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FEFA9F2" w:rsidR="00DD3D9E" w:rsidRPr="0044590D" w:rsidRDefault="00976864">
      <w:pPr>
        <w:pStyle w:val="Els-Title"/>
        <w:rPr>
          <w:color w:val="000000" w:themeColor="text1"/>
          <w:lang w:val="en-GB"/>
        </w:rPr>
      </w:pPr>
      <w:r w:rsidRPr="0044590D">
        <w:rPr>
          <w:color w:val="000000" w:themeColor="text1"/>
          <w:lang w:val="en-GB"/>
        </w:rPr>
        <w:t xml:space="preserve">Harnessing </w:t>
      </w:r>
      <w:r w:rsidR="00BD22CA" w:rsidRPr="0044590D">
        <w:rPr>
          <w:color w:val="000000" w:themeColor="text1"/>
          <w:lang w:val="en-GB"/>
        </w:rPr>
        <w:t>Instruction</w:t>
      </w:r>
      <w:r w:rsidRPr="0044590D">
        <w:rPr>
          <w:color w:val="000000" w:themeColor="text1"/>
          <w:lang w:val="en-GB"/>
        </w:rPr>
        <w:t>-</w:t>
      </w:r>
      <w:r w:rsidR="00BD22CA" w:rsidRPr="0044590D">
        <w:rPr>
          <w:color w:val="000000" w:themeColor="text1"/>
          <w:lang w:val="en-GB"/>
        </w:rPr>
        <w:t xml:space="preserve">Tuned Large Language Models </w:t>
      </w:r>
      <w:r w:rsidRPr="0044590D">
        <w:rPr>
          <w:color w:val="000000" w:themeColor="text1"/>
          <w:lang w:val="en-GB"/>
        </w:rPr>
        <w:t xml:space="preserve">to </w:t>
      </w:r>
      <w:r w:rsidR="00BD22CA" w:rsidRPr="0044590D">
        <w:rPr>
          <w:color w:val="000000" w:themeColor="text1"/>
          <w:lang w:val="en-GB"/>
        </w:rPr>
        <w:t xml:space="preserve">Mine Structured Omics Data </w:t>
      </w:r>
      <w:r w:rsidRPr="0044590D">
        <w:rPr>
          <w:color w:val="000000" w:themeColor="text1"/>
          <w:lang w:val="en-GB"/>
        </w:rPr>
        <w:t xml:space="preserve">for </w:t>
      </w:r>
      <w:r w:rsidR="00BD22CA" w:rsidRPr="0044590D">
        <w:rPr>
          <w:color w:val="000000" w:themeColor="text1"/>
          <w:lang w:val="en-GB"/>
        </w:rPr>
        <w:t>Predicting Chemical Toxicity</w:t>
      </w:r>
    </w:p>
    <w:p w14:paraId="144DE680" w14:textId="5D272B99" w:rsidR="00DD3D9E" w:rsidRPr="0044590D" w:rsidRDefault="00976864">
      <w:pPr>
        <w:pStyle w:val="Els-Author"/>
      </w:pPr>
      <w:r w:rsidRPr="0044590D">
        <w:t>Yufan Liu,</w:t>
      </w:r>
      <w:r w:rsidRPr="0044590D">
        <w:rPr>
          <w:vertAlign w:val="superscript"/>
        </w:rPr>
        <w:t>a</w:t>
      </w:r>
      <w:r w:rsidRPr="0044590D">
        <w:t xml:space="preserve"> Guoping Lian,</w:t>
      </w:r>
      <w:r w:rsidRPr="0044590D">
        <w:rPr>
          <w:vertAlign w:val="superscript"/>
        </w:rPr>
        <w:t>a,b</w:t>
      </w:r>
      <w:r w:rsidRPr="0044590D">
        <w:t xml:space="preserve"> Tao Chen</w:t>
      </w:r>
      <w:r w:rsidRPr="0044590D">
        <w:rPr>
          <w:vertAlign w:val="superscript"/>
        </w:rPr>
        <w:t>a*</w:t>
      </w:r>
      <w:r w:rsidRPr="0044590D">
        <w:t xml:space="preserve"> </w:t>
      </w:r>
    </w:p>
    <w:p w14:paraId="144DE681" w14:textId="7615F1AC" w:rsidR="00DD3D9E" w:rsidRPr="0044590D" w:rsidRDefault="00976864">
      <w:pPr>
        <w:pStyle w:val="Els-Affiliation"/>
      </w:pPr>
      <w:r w:rsidRPr="0044590D">
        <w:rPr>
          <w:vertAlign w:val="superscript"/>
        </w:rPr>
        <w:t>a</w:t>
      </w:r>
      <w:r w:rsidRPr="0044590D">
        <w:t>School of Chemistry and Chemical Engineering,University of Surrey, Stag Hill, Guildford GU2 7XH, UK</w:t>
      </w:r>
    </w:p>
    <w:p w14:paraId="144DE682" w14:textId="3A87AE2C" w:rsidR="00DD3D9E" w:rsidRPr="0044590D" w:rsidRDefault="00976864">
      <w:pPr>
        <w:pStyle w:val="Els-Affiliation"/>
      </w:pPr>
      <w:r w:rsidRPr="0044590D">
        <w:rPr>
          <w:vertAlign w:val="superscript"/>
        </w:rPr>
        <w:t>b</w:t>
      </w:r>
      <w:r w:rsidRPr="0044590D">
        <w:t>Unilever R&amp;D Colworth, Unilever, Sharnbrook MK44 1LQ, UK</w:t>
      </w:r>
    </w:p>
    <w:p w14:paraId="144DE683" w14:textId="151F0577" w:rsidR="008D2649" w:rsidRPr="0044590D" w:rsidRDefault="00BD22CA" w:rsidP="008D2649">
      <w:pPr>
        <w:pStyle w:val="Els-Affiliation"/>
        <w:spacing w:after="120"/>
      </w:pPr>
      <w:r w:rsidRPr="0044590D">
        <w:t xml:space="preserve">* </w:t>
      </w:r>
      <w:r w:rsidR="00976864" w:rsidRPr="0044590D">
        <w:t>t.chen@surrey.ac.uk</w:t>
      </w:r>
    </w:p>
    <w:p w14:paraId="144DE684" w14:textId="77777777" w:rsidR="008D2649" w:rsidRPr="0044590D" w:rsidRDefault="008D2649" w:rsidP="00440729">
      <w:pPr>
        <w:pStyle w:val="Els-Abstract"/>
        <w:rPr>
          <w:lang w:val="en-GB"/>
        </w:rPr>
      </w:pPr>
      <w:r w:rsidRPr="0044590D">
        <w:rPr>
          <w:lang w:val="en-GB"/>
        </w:rPr>
        <w:t>Abstract</w:t>
      </w:r>
    </w:p>
    <w:p w14:paraId="182A327F" w14:textId="3E5FA660" w:rsidR="00976864" w:rsidRPr="0044590D" w:rsidRDefault="00976864" w:rsidP="008D2649">
      <w:pPr>
        <w:pStyle w:val="Els-body-text"/>
        <w:spacing w:after="120"/>
        <w:rPr>
          <w:lang w:val="en-GB"/>
        </w:rPr>
      </w:pPr>
      <w:r w:rsidRPr="0044590D">
        <w:rPr>
          <w:lang w:val="en-GB"/>
        </w:rPr>
        <w:t>Chemical safety and toxicology are important considerations in designing safer and sustainable products and processes. Omics technologies, including transcriptomics, proteomics, and metabolomics, provide crucial insights into chemical toxicity by identifying molecular-level changes post-chemical exposure and elucidating regulatory pathways. Despite the vast literature on this topic, there's a lack of comprehensive datasets detailing chemical perturbations and their outcomes. A tool that can efficiently and accurately extract structured data from scientific literature is needed. Large Language Models (LLMs) like GPT-4 offer the potential for efficient information retrieval from intricate texts. However, optimi</w:t>
      </w:r>
      <w:r w:rsidR="008C30A4" w:rsidRPr="0044590D">
        <w:rPr>
          <w:lang w:val="en-GB"/>
        </w:rPr>
        <w:t>s</w:t>
      </w:r>
      <w:r w:rsidRPr="0044590D">
        <w:rPr>
          <w:lang w:val="en-GB"/>
        </w:rPr>
        <w:t>ing their factuality and desired behaviour often requires labour-intensive human feedback. Addressing this, our work introduces a semi-automated pipeline for structured information extraction from voluminous literature. Initially, literature that contain any type of omics in the title or abstract and mention pathway analysis in the text were obtained from PubMed. Subsequently, GPT-4 was employed to extract data points including omics type, perturbation, perturbation type and study results, from select</w:t>
      </w:r>
      <w:r w:rsidR="00257EA1" w:rsidRPr="0044590D">
        <w:rPr>
          <w:lang w:val="en-GB"/>
        </w:rPr>
        <w:t>ed</w:t>
      </w:r>
      <w:r w:rsidRPr="0044590D">
        <w:rPr>
          <w:lang w:val="en-GB"/>
        </w:rPr>
        <w:t xml:space="preserve"> literature abstracts in a zero-shot manner. After manual corrections, this data served to fine-tune the </w:t>
      </w:r>
      <w:r w:rsidR="003B2863" w:rsidRPr="003B2863">
        <w:rPr>
          <w:lang w:val="en-GB"/>
        </w:rPr>
        <w:t xml:space="preserve">GPT-3.5-turbo </w:t>
      </w:r>
      <w:r w:rsidRPr="0044590D">
        <w:rPr>
          <w:lang w:val="en-GB"/>
        </w:rPr>
        <w:t xml:space="preserve">model. This fine-tuned model then processed a new batch of abstracts, with its output validated by GPT-4. Discrepancies were manually reconciled, and the consolidated data was used to further fine-tune the </w:t>
      </w:r>
      <w:r w:rsidR="003B2863" w:rsidRPr="003B2863">
        <w:rPr>
          <w:lang w:val="en-GB"/>
        </w:rPr>
        <w:t>GPT-3.5-turbo</w:t>
      </w:r>
      <w:r w:rsidRPr="0044590D">
        <w:rPr>
          <w:lang w:val="en-GB"/>
        </w:rPr>
        <w:t xml:space="preserve"> model. Following an iterative process of reconciliation and fine-tuning, the resulting model demonstrated high accuracy and alignment in extracting structured data from literature with minimal human intervention, which holds the potential to accelerate knowledge transformation. Additionally, we present a structured dataset encapsulating omics type, perturbations, perturbation types, results, etc.</w:t>
      </w:r>
      <w:r w:rsidR="00AA2137" w:rsidRPr="0044590D">
        <w:rPr>
          <w:lang w:val="en-GB"/>
        </w:rPr>
        <w:t xml:space="preserve">, that can be used </w:t>
      </w:r>
      <w:r w:rsidR="00EE2DFF" w:rsidRPr="0044590D">
        <w:rPr>
          <w:lang w:val="en-GB"/>
        </w:rPr>
        <w:t xml:space="preserve">for future </w:t>
      </w:r>
      <w:r w:rsidRPr="0044590D">
        <w:rPr>
          <w:lang w:val="en-GB"/>
        </w:rPr>
        <w:t xml:space="preserve"> omics studies.</w:t>
      </w:r>
    </w:p>
    <w:p w14:paraId="44232641" w14:textId="0FAEE221" w:rsidR="00BD22CA" w:rsidRPr="0044590D" w:rsidRDefault="008D2649" w:rsidP="008D2649">
      <w:pPr>
        <w:pStyle w:val="Els-body-text"/>
        <w:spacing w:after="120"/>
        <w:rPr>
          <w:lang w:val="en-GB"/>
        </w:rPr>
      </w:pPr>
      <w:r w:rsidRPr="0044590D">
        <w:rPr>
          <w:b/>
          <w:bCs/>
          <w:lang w:val="en-GB"/>
        </w:rPr>
        <w:t>Keywords</w:t>
      </w:r>
      <w:r w:rsidRPr="0044590D">
        <w:rPr>
          <w:lang w:val="en-GB"/>
        </w:rPr>
        <w:t xml:space="preserve">: </w:t>
      </w:r>
      <w:r w:rsidR="00976864" w:rsidRPr="0044590D">
        <w:rPr>
          <w:lang w:val="en-GB"/>
        </w:rPr>
        <w:t>Chemical safety, omics technologies, Large Language Models (LLMs), Structured information extraction, fine-tuning GPT.</w:t>
      </w:r>
    </w:p>
    <w:p w14:paraId="144DE689" w14:textId="1332EA3D" w:rsidR="008D2649" w:rsidRPr="0044590D" w:rsidRDefault="00292AF6" w:rsidP="008D2649">
      <w:pPr>
        <w:pStyle w:val="Els-1storder-head"/>
        <w:rPr>
          <w:lang w:val="en-GB"/>
        </w:rPr>
      </w:pPr>
      <w:r w:rsidRPr="0044590D">
        <w:rPr>
          <w:lang w:val="en-GB"/>
        </w:rPr>
        <w:t>Introduction</w:t>
      </w:r>
    </w:p>
    <w:p w14:paraId="2177C760" w14:textId="56BBFD2C" w:rsidR="00A00A31" w:rsidRPr="0044590D" w:rsidRDefault="00A00A31" w:rsidP="00A00A31">
      <w:pPr>
        <w:pStyle w:val="Els-body-text"/>
        <w:rPr>
          <w:lang w:val="en-GB" w:eastAsia="zh-CN"/>
        </w:rPr>
      </w:pPr>
      <w:r w:rsidRPr="0044590D">
        <w:rPr>
          <w:lang w:val="en-GB" w:eastAsia="zh-CN"/>
        </w:rPr>
        <w:t xml:space="preserve">In the field of chemical safety and toxicology, the </w:t>
      </w:r>
      <w:r w:rsidR="00441120" w:rsidRPr="0044590D">
        <w:rPr>
          <w:lang w:val="en-GB" w:eastAsia="zh-CN"/>
        </w:rPr>
        <w:t>need</w:t>
      </w:r>
      <w:r w:rsidRPr="0044590D">
        <w:rPr>
          <w:lang w:val="en-GB" w:eastAsia="zh-CN"/>
        </w:rPr>
        <w:t xml:space="preserve"> to develop safer and more sustainable products and processes is increasingly recogni</w:t>
      </w:r>
      <w:r w:rsidR="00441120" w:rsidRPr="0044590D">
        <w:rPr>
          <w:lang w:val="en-GB" w:eastAsia="zh-CN"/>
        </w:rPr>
        <w:t>s</w:t>
      </w:r>
      <w:r w:rsidRPr="0044590D">
        <w:rPr>
          <w:lang w:val="en-GB" w:eastAsia="zh-CN"/>
        </w:rPr>
        <w:t>ed</w:t>
      </w:r>
      <w:r w:rsidR="00B12A68" w:rsidRPr="0044590D">
        <w:rPr>
          <w:lang w:val="en-GB" w:eastAsia="zh-CN"/>
        </w:rPr>
        <w:t xml:space="preserve"> </w:t>
      </w:r>
      <w:r w:rsidR="00B12A68" w:rsidRPr="0044590D">
        <w:rPr>
          <w:lang w:val="en-GB" w:eastAsia="zh-CN"/>
        </w:rPr>
        <w:fldChar w:fldCharType="begin" w:fldLock="1"/>
      </w:r>
      <w:r w:rsidR="00D22827" w:rsidRPr="0044590D">
        <w:rPr>
          <w:lang w:val="en-GB" w:eastAsia="zh-CN"/>
        </w:rPr>
        <w:instrText>ADDIN CSL_CITATION {"citationItems":[{"id":"ITEM-1","itemData":{"DOI":"10.1039/c6gc00758a","ISSN":"14639270","abstract":"Designing safer, healthier and sustainable products and processes requires the engagement of toxicologists and the incorporation of twenty-first century toxicology principles and practices. As the demand for safer products increases, scientists must incorporate toxicology as early as possible as part of a comprehensive design strategy to minimize or eliminate toxicity prior to product development. Hazard reduction through molecular design benefits from trans-disciplinary collaboration among chemists, toxicologists and environmental scientists, and must be initiated at the design stage of chemicals synthesis. The path forward requires a sustained multi-pronged commitment to embedding the principles of toxicology into the chemistry curriculum, developing a framework that articulates maxims for sustainable design, promoting research collaboration among allied professional scientists and supporting education and outreach efforts at every opportunity, to technical and non-technical audiences, that highlight the natural nexus between toxicology and chemistry.","author":[{"dropping-particle":"","family":"Anastas","given":"Nicholas D.","non-dropping-particle":"","parse-names":false,"suffix":""}],"container-title":"Green Chemistry","id":"ITEM-1","issue":"16","issued":{"date-parts":[["2016"]]},"page":"4325-4331","publisher":"Royal Society of Chemistry","title":"Connecting toxicology and chemistry to ensure safer chemical design","type":"article-journal","volume":"18"},"uris":["http://www.mendeley.com/documents/?uuid=5196dba0-d0a5-4b72-a024-4590ed4fe089"]}],"mendeley":{"formattedCitation":"(Anastas, 2016)","plainTextFormattedCitation":"(Anastas, 2016)","previouslyFormattedCitation":"(Anastas, 2016)"},"properties":{"noteIndex":0},"schema":"https://github.com/citation-style-language/schema/raw/master/csl-citation.json"}</w:instrText>
      </w:r>
      <w:r w:rsidR="00B12A68" w:rsidRPr="0044590D">
        <w:rPr>
          <w:lang w:val="en-GB" w:eastAsia="zh-CN"/>
        </w:rPr>
        <w:fldChar w:fldCharType="separate"/>
      </w:r>
      <w:r w:rsidR="001F3DA0" w:rsidRPr="0044590D">
        <w:rPr>
          <w:noProof/>
          <w:lang w:val="en-GB" w:eastAsia="zh-CN"/>
        </w:rPr>
        <w:t>(Anastas, 2016)</w:t>
      </w:r>
      <w:r w:rsidR="00B12A68" w:rsidRPr="0044590D">
        <w:rPr>
          <w:lang w:val="en-GB" w:eastAsia="zh-CN"/>
        </w:rPr>
        <w:fldChar w:fldCharType="end"/>
      </w:r>
      <w:r w:rsidRPr="0044590D">
        <w:rPr>
          <w:lang w:val="en-GB" w:eastAsia="zh-CN"/>
        </w:rPr>
        <w:t xml:space="preserve">. The emergence of omics technologies, including transcriptomics, proteomics, metabolomics, and other related disciplines, has significantly enhanced </w:t>
      </w:r>
      <w:r w:rsidR="00E21AAD" w:rsidRPr="0044590D">
        <w:rPr>
          <w:lang w:val="en-GB" w:eastAsia="zh-CN"/>
        </w:rPr>
        <w:t>our understanding of the mechanisms underlying chemical toxicity</w:t>
      </w:r>
      <w:r w:rsidRPr="0044590D">
        <w:rPr>
          <w:lang w:val="en-GB" w:eastAsia="zh-CN"/>
        </w:rPr>
        <w:t xml:space="preserve">. These technologies provide detailed insights </w:t>
      </w:r>
      <w:r w:rsidRPr="0044590D">
        <w:rPr>
          <w:lang w:val="en-GB" w:eastAsia="zh-CN"/>
        </w:rPr>
        <w:lastRenderedPageBreak/>
        <w:t>into the molecular-level changes that transpire following chemical exposure, thus elucidating on the complex regulatory pathways within cells</w:t>
      </w:r>
      <w:r w:rsidR="007B2693" w:rsidRPr="0044590D">
        <w:rPr>
          <w:lang w:val="en-GB" w:eastAsia="zh-CN"/>
        </w:rPr>
        <w:t xml:space="preserve"> </w:t>
      </w:r>
      <w:r w:rsidR="007B2693" w:rsidRPr="0044590D">
        <w:rPr>
          <w:lang w:val="en-GB" w:eastAsia="zh-CN"/>
        </w:rPr>
        <w:fldChar w:fldCharType="begin" w:fldLock="1"/>
      </w:r>
      <w:r w:rsidR="00D22827" w:rsidRPr="0044590D">
        <w:rPr>
          <w:lang w:val="en-GB" w:eastAsia="zh-CN"/>
        </w:rPr>
        <w:instrText>ADDIN CSL_CITATION {"citationItems":[{"id":"ITEM-1","itemData":{"DOI":"10.1080/15376516.2023.2265462","ISSN":"15376524","PMID":"37794615","abstract":"Comprehensive analysis of multi-omics data can reveal alterations in regulatory pathways induced by cellular exposure to chemicals by characterizing biological processes at the molecular level. Data-driven omics analysis, conducted in a dose-dependent or dynamic manner, can facilitate comprehending toxicity mechanisms. This study introduces a novel multi-omics data analysis designed to concurrently examine dose-dependent and temporal patterns of cellular responses to chemical perturbations. This analysis, encompassing preliminary exploration, pattern deconstruction, and network reconstruction of multi-omics data, provides a comprehensive perspective on the dynamic behaviors of cells exposed to varying levels of chemical stimuli. Importantly, this analysis is adaptable to any number of omics layers, including site-specific phosphoproteomics. We implemented this analysis on multi-omics data obtained from HepG2 cells exposed to a range of caffeine doses over varying durations and identified six response patterns, along with their associated biomolecules and pathways. Our study demonstrates the effectiveness of the proposed multi-omics data analysis in capturing multidimensional patterns of cellular response to chemical perturbation, enhancing understanding of pathway regulation for chemical risk assessment.","author":[{"dropping-particle":"","family":"Liu","given":"Yufan","non-dropping-particle":"","parse-names":false,"suffix":""},{"dropping-particle":"","family":"Lian","given":"Guoping","non-dropping-particle":"","parse-names":false,"suffix":""},{"dropping-particle":"","family":"Chen","given":"Tao","non-dropping-particle":"","parse-names":false,"suffix":""}],"container-title":"Toxicology Mechanisms and Methods","id":"ITEM-1","issue":"0","issued":{"date-parts":[["2023"]]},"page":"1-12","publisher":"Taylor &amp; Francis","title":"A novel multi-omics data analysis of dose-dependent and temporal changes in regulatory pathways due to chemical perturbation: a case study on caffeine","type":"article-journal","volume":"0"},"uris":["http://www.mendeley.com/documents/?uuid=edf909bf-82a4-43d5-a446-b385a12f8d88"]}],"mendeley":{"formattedCitation":"(Liu, Lian and Chen, 2023)","manualFormatting":"(Liu et al., 2023)","plainTextFormattedCitation":"(Liu, Lian and Chen, 2023)","previouslyFormattedCitation":"(Liu, Lian and Chen, 2023)"},"properties":{"noteIndex":0},"schema":"https://github.com/citation-style-language/schema/raw/master/csl-citation.json"}</w:instrText>
      </w:r>
      <w:r w:rsidR="007B2693" w:rsidRPr="0044590D">
        <w:rPr>
          <w:lang w:val="en-GB" w:eastAsia="zh-CN"/>
        </w:rPr>
        <w:fldChar w:fldCharType="separate"/>
      </w:r>
      <w:r w:rsidR="007B2693" w:rsidRPr="0044590D">
        <w:rPr>
          <w:noProof/>
          <w:lang w:val="en-GB" w:eastAsia="zh-CN"/>
        </w:rPr>
        <w:t>(Liu</w:t>
      </w:r>
      <w:r w:rsidR="007B2693" w:rsidRPr="0044590D">
        <w:rPr>
          <w:noProof/>
          <w:lang w:val="en-GB"/>
        </w:rPr>
        <w:t xml:space="preserve"> et al.</w:t>
      </w:r>
      <w:r w:rsidR="007B2693" w:rsidRPr="0044590D">
        <w:rPr>
          <w:noProof/>
          <w:lang w:val="en-GB" w:eastAsia="zh-CN"/>
        </w:rPr>
        <w:t>, 2023)</w:t>
      </w:r>
      <w:r w:rsidR="007B2693" w:rsidRPr="0044590D">
        <w:rPr>
          <w:lang w:val="en-GB" w:eastAsia="zh-CN"/>
        </w:rPr>
        <w:fldChar w:fldCharType="end"/>
      </w:r>
      <w:r w:rsidRPr="0044590D">
        <w:rPr>
          <w:lang w:val="en-GB" w:eastAsia="zh-CN"/>
        </w:rPr>
        <w:t>.</w:t>
      </w:r>
    </w:p>
    <w:p w14:paraId="72DDA1FE" w14:textId="39F9C904" w:rsidR="007B2693" w:rsidRPr="0044590D" w:rsidRDefault="00A00A31" w:rsidP="00A00A31">
      <w:pPr>
        <w:pStyle w:val="Els-body-text"/>
        <w:rPr>
          <w:lang w:val="en-GB" w:eastAsia="zh-CN"/>
        </w:rPr>
      </w:pPr>
      <w:r w:rsidRPr="0044590D">
        <w:rPr>
          <w:lang w:val="en-GB" w:eastAsia="zh-CN"/>
        </w:rPr>
        <w:t>The regulatory pathways of a cell are a complex network involving a myriad of biomolecules, each possessing distinct physicochemical properties and engaging in complex, non-linear interactions. Single-omics techniques can measure biomolecules of a specific type, providing a fragmented view of these pathways. Multi-omics approaches enable a more holistic understanding of pathway’s response to chemical exposure</w:t>
      </w:r>
      <w:r w:rsidR="007B2693" w:rsidRPr="0044590D">
        <w:rPr>
          <w:lang w:val="en-GB" w:eastAsia="zh-CN"/>
        </w:rPr>
        <w:t xml:space="preserve"> </w:t>
      </w:r>
      <w:r w:rsidR="007B2693" w:rsidRPr="0044590D">
        <w:rPr>
          <w:lang w:val="en-GB" w:eastAsia="zh-CN"/>
        </w:rPr>
        <w:fldChar w:fldCharType="begin" w:fldLock="1"/>
      </w:r>
      <w:r w:rsidR="00D22827" w:rsidRPr="0044590D">
        <w:rPr>
          <w:lang w:val="en-GB" w:eastAsia="zh-CN"/>
        </w:rPr>
        <w:instrText>ADDIN CSL_CITATION {"citationItems":[{"id":"ITEM-1","itemData":{"DOI":"10.1007/s00204-020-02656-y","ISSN":"14320738","PMID":"32034435","abstract":"Exposure of cells or organisms to chemicals can trigger a series of effects at the regulatory pathway level, which involve changes of levels, interactions, and feedback loops of biomolecules of different types. A single-omics technique, e.g., transcriptomics, will detect biomolecules of one type and thus can only capture changes in a small subset of the biological cascade. Therefore, although applying single-omics analyses can lead to the identification of biomarkers for certain exposures, they cannot provide a systemic understanding of toxicity pathways or adverse outcome pathways. Integration of multiple omics data sets promises a substantial improvement in detecting this pathway response to a toxicant, by an increase of information as such and especially by a systemic understanding. Here, we report the findings of a thorough evaluation of the prospects and challenges of multi-omics data integration in toxicological research. We review the availability of such data, discuss options for experimental design, evaluate methods for integration and analysis of multi-omics data, discuss best practices, and identify knowledge gaps. Re-analyzing published data, we demonstrate that multi-omics data integration can considerably improve the confidence in detecting a pathway response. Finally, we argue that more data need to be generated from studies with a multi-omics-focused design, to define which omics layers contribute most to the identification of a pathway response to a toxicant.","author":[{"dropping-particle":"","family":"Canzler","given":"Sebastian","non-dropping-particle":"","parse-names":false,"suffix":""},{"dropping-particle":"","family":"Schor","given":"Jana","non-dropping-particle":"","parse-names":false,"suffix":""},{"dropping-particle":"","family":"Busch","given":"Wibke","non-dropping-particle":"","parse-names":false,"suffix":""},{"dropping-particle":"","family":"Schubert","given":"Kristin","non-dropping-particle":"","parse-names":false,"suffix":""},{"dropping-particle":"","family":"Rolle-Kampczyk","given":"Ulrike E.","non-dropping-particle":"","parse-names":false,"suffix":""},{"dropping-particle":"","family":"Seitz","given":"Hervé","non-dropping-particle":"","parse-names":false,"suffix":""},{"dropping-particle":"","family":"Kamp","given":"Hennicke","non-dropping-particle":"","parse-names":false,"suffix":""},{"dropping-particle":"","family":"Bergen","given":"Martin","non-dropping-particle":"von","parse-names":false,"suffix":""},{"dropping-particle":"","family":"Buesen","given":"Roland","non-dropping-particle":"","parse-names":false,"suffix":""},{"dropping-particle":"","family":"Hackermüller","given":"Jörg","non-dropping-particle":"","parse-names":false,"suffix":""}],"container-title":"Archives of Toxicology","id":"ITEM-1","issue":"2","issued":{"date-parts":[["2020","2","1"]]},"page":"371-388","publisher":"Springer","title":"Prospects and challenges of multi-omics data integration in toxicology","type":"article","volume":"94"},"uris":["http://www.mendeley.com/documents/?uuid=581e2c9b-bf89-38f9-bbd6-68315969834e"]}],"mendeley":{"formattedCitation":"(Canzler &lt;i&gt;et al.&lt;/i&gt;, 2020)","plainTextFormattedCitation":"(Canzler et al., 2020)","previouslyFormattedCitation":"(Canzler &lt;i&gt;et al.&lt;/i&gt;, 2020)"},"properties":{"noteIndex":0},"schema":"https://github.com/citation-style-language/schema/raw/master/csl-citation.json"}</w:instrText>
      </w:r>
      <w:r w:rsidR="007B2693" w:rsidRPr="0044590D">
        <w:rPr>
          <w:lang w:val="en-GB" w:eastAsia="zh-CN"/>
        </w:rPr>
        <w:fldChar w:fldCharType="separate"/>
      </w:r>
      <w:r w:rsidR="001F3DA0" w:rsidRPr="0044590D">
        <w:rPr>
          <w:noProof/>
          <w:lang w:val="en-GB" w:eastAsia="zh-CN"/>
        </w:rPr>
        <w:t xml:space="preserve">(Canzler </w:t>
      </w:r>
      <w:r w:rsidR="001F3DA0" w:rsidRPr="0044590D">
        <w:rPr>
          <w:i/>
          <w:noProof/>
          <w:lang w:val="en-GB" w:eastAsia="zh-CN"/>
        </w:rPr>
        <w:t>et al.</w:t>
      </w:r>
      <w:r w:rsidR="001F3DA0" w:rsidRPr="0044590D">
        <w:rPr>
          <w:noProof/>
          <w:lang w:val="en-GB" w:eastAsia="zh-CN"/>
        </w:rPr>
        <w:t>, 2020)</w:t>
      </w:r>
      <w:r w:rsidR="007B2693" w:rsidRPr="0044590D">
        <w:rPr>
          <w:lang w:val="en-GB" w:eastAsia="zh-CN"/>
        </w:rPr>
        <w:fldChar w:fldCharType="end"/>
      </w:r>
      <w:r w:rsidRPr="0044590D">
        <w:rPr>
          <w:lang w:val="en-GB" w:eastAsia="zh-CN"/>
        </w:rPr>
        <w:t xml:space="preserve">. </w:t>
      </w:r>
    </w:p>
    <w:p w14:paraId="22C88AF5" w14:textId="1DA5ADA9" w:rsidR="003B3DA2" w:rsidRPr="0044590D" w:rsidRDefault="00A00A31" w:rsidP="00A00A31">
      <w:pPr>
        <w:pStyle w:val="Els-body-text"/>
        <w:rPr>
          <w:lang w:val="en-GB" w:eastAsia="zh-CN"/>
        </w:rPr>
      </w:pPr>
      <w:r w:rsidRPr="0044590D">
        <w:rPr>
          <w:lang w:val="en-GB" w:eastAsia="zh-CN"/>
        </w:rPr>
        <w:t xml:space="preserve">Transcriptomics, which focuses on the comprehensive detection of </w:t>
      </w:r>
      <w:r w:rsidR="007B2693" w:rsidRPr="0044590D">
        <w:rPr>
          <w:lang w:val="en-GB" w:eastAsia="zh-CN"/>
        </w:rPr>
        <w:t>RNAs</w:t>
      </w:r>
      <w:r w:rsidRPr="0044590D">
        <w:rPr>
          <w:lang w:val="en-GB" w:eastAsia="zh-CN"/>
        </w:rPr>
        <w:t xml:space="preserve"> in the cell, primarily identifies pathway responses through the differential expression of a known set of target genes. Proteomics</w:t>
      </w:r>
      <w:r w:rsidR="00EB538C" w:rsidRPr="0044590D">
        <w:rPr>
          <w:lang w:val="en-GB" w:eastAsia="zh-CN"/>
        </w:rPr>
        <w:t xml:space="preserve"> </w:t>
      </w:r>
      <w:r w:rsidRPr="0044590D">
        <w:rPr>
          <w:lang w:val="en-GB" w:eastAsia="zh-CN"/>
        </w:rPr>
        <w:t>offer</w:t>
      </w:r>
      <w:r w:rsidR="00EB538C" w:rsidRPr="0044590D">
        <w:rPr>
          <w:lang w:val="en-GB" w:eastAsia="zh-CN"/>
        </w:rPr>
        <w:t xml:space="preserve">s </w:t>
      </w:r>
      <w:r w:rsidRPr="0044590D">
        <w:rPr>
          <w:lang w:val="en-GB" w:eastAsia="zh-CN"/>
        </w:rPr>
        <w:t xml:space="preserve">insights into the proteins is particularly valuable for understanding </w:t>
      </w:r>
      <w:proofErr w:type="spellStart"/>
      <w:r w:rsidRPr="0044590D">
        <w:rPr>
          <w:lang w:val="en-GB" w:eastAsia="zh-CN"/>
        </w:rPr>
        <w:t>toxicopathic</w:t>
      </w:r>
      <w:proofErr w:type="spellEnd"/>
      <w:r w:rsidRPr="0044590D">
        <w:rPr>
          <w:lang w:val="en-GB" w:eastAsia="zh-CN"/>
        </w:rPr>
        <w:t xml:space="preserve"> effects and responses, leading to the development of protein-centric adverse outcome pathways (AOPs) and predictive models of toxicological pathways</w:t>
      </w:r>
      <w:r w:rsidR="001E138B" w:rsidRPr="0044590D">
        <w:rPr>
          <w:lang w:val="en-GB" w:eastAsia="zh-CN"/>
        </w:rPr>
        <w:t xml:space="preserve"> </w:t>
      </w:r>
      <w:r w:rsidR="001E138B" w:rsidRPr="0044590D">
        <w:rPr>
          <w:lang w:val="en-GB" w:eastAsia="zh-CN"/>
        </w:rPr>
        <w:fldChar w:fldCharType="begin" w:fldLock="1"/>
      </w:r>
      <w:r w:rsidR="00D22827" w:rsidRPr="0044590D">
        <w:rPr>
          <w:lang w:val="en-GB" w:eastAsia="zh-CN"/>
        </w:rPr>
        <w:instrText>ADDIN CSL_CITATION {"citationItems":[{"id":"ITEM-1","itemData":{"author":[{"dropping-particle":"","family":"Madeira","given":"Carolina","non-dropping-particle":"","parse-names":false,"suffix":""},{"dropping-particle":"","family":"Costa","given":"Pedro M","non-dropping-particle":"","parse-names":false,"suffix":""}],"container-title":"Advances in Protein Chemistry and Structural Biology","id":"ITEM-1","issued":{"date-parts":[["2021"]]},"page":"55-91","publisher":"Elsevier","title":"Proteomics in systems toxicology","type":"article-journal","volume":"127"},"uris":["http://www.mendeley.com/documents/?uuid=00659f31-340c-49ea-ad9d-f551a4dc0113"]}],"mendeley":{"formattedCitation":"(Madeira and Costa, 2021)","plainTextFormattedCitation":"(Madeira and Costa, 2021)","previouslyFormattedCitation":"(Madeira and Costa, 2021)"},"properties":{"noteIndex":0},"schema":"https://github.com/citation-style-language/schema/raw/master/csl-citation.json"}</w:instrText>
      </w:r>
      <w:r w:rsidR="001E138B" w:rsidRPr="0044590D">
        <w:rPr>
          <w:lang w:val="en-GB" w:eastAsia="zh-CN"/>
        </w:rPr>
        <w:fldChar w:fldCharType="separate"/>
      </w:r>
      <w:r w:rsidR="001F3DA0" w:rsidRPr="0044590D">
        <w:rPr>
          <w:noProof/>
          <w:lang w:val="en-GB" w:eastAsia="zh-CN"/>
        </w:rPr>
        <w:t>(Madeira and Costa, 2021)</w:t>
      </w:r>
      <w:r w:rsidR="001E138B" w:rsidRPr="0044590D">
        <w:rPr>
          <w:lang w:val="en-GB" w:eastAsia="zh-CN"/>
        </w:rPr>
        <w:fldChar w:fldCharType="end"/>
      </w:r>
      <w:r w:rsidRPr="0044590D">
        <w:rPr>
          <w:lang w:val="en-GB" w:eastAsia="zh-CN"/>
        </w:rPr>
        <w:t xml:space="preserve">. </w:t>
      </w:r>
      <w:r w:rsidR="00AA065A" w:rsidRPr="0044590D">
        <w:rPr>
          <w:lang w:val="en-GB" w:eastAsia="zh-CN"/>
        </w:rPr>
        <w:t xml:space="preserve">Phosphoproteomics, which aims to map and quantify protein phosphorylation, plays a vital role in deciphering the intracellular signalling networks that respond to cellular stresses </w:t>
      </w:r>
      <w:r w:rsidR="003B3DA2" w:rsidRPr="0044590D">
        <w:rPr>
          <w:lang w:val="en-GB" w:eastAsia="zh-CN"/>
        </w:rPr>
        <w:t xml:space="preserve"> </w:t>
      </w:r>
      <w:r w:rsidR="003B3DA2" w:rsidRPr="0044590D">
        <w:rPr>
          <w:lang w:val="en-GB" w:eastAsia="zh-CN"/>
        </w:rPr>
        <w:fldChar w:fldCharType="begin" w:fldLock="1"/>
      </w:r>
      <w:r w:rsidR="00D22827" w:rsidRPr="0044590D">
        <w:rPr>
          <w:lang w:val="en-GB" w:eastAsia="zh-CN"/>
        </w:rPr>
        <w:instrText>ADDIN CSL_CITATION {"citationItems":[{"id":"ITEM-1","itemData":{"DOI":"10.1016/j.csbj.2014.08.004","ISSN":"20010370","abstract":"Current toxicology studies frequently lack measurements at molecular resolution to enable a more mechanism-based and predictive toxicological assessment. Recently, a systems toxicology assessment framework has been proposed, which combines conventional toxicological assessment strategies with system-wide measurement methods and computational analysis approaches from the field of systems biology. Proteomic measurements are an integral component of this integrative strategy because protein alterations closely mirror biological effects, such as biological stress responses or global tissue alterations. Here, we provide an overview of the technical foundations and highlight select applications of proteomics for systems toxicology studies. With a focus on mass spectrometry-based proteomics, we summarize the experimental methods for quantitative proteomics and describe the computational approaches used to derive biological/mechanistic insights from these datasets. To illustrate how proteomics has been successfully employed to address mechanistic questions in toxicology, we summarized several case studies. Overall, we provide the technical and conceptual foundation for the integration of proteomic measurements in a more comprehensive systems toxicology assessment framework. We conclude that, owing to the critical importance of protein-level measurements and recent technological advances, proteomics will be an integral part of integrative systems toxicology approaches in the future.","author":[{"dropping-particle":"","family":"Titz","given":"Bjoern","non-dropping-particle":"","parse-names":false,"suffix":""},{"dropping-particle":"","family":"Elamin","given":"Ashraf","non-dropping-particle":"","parse-names":false,"suffix":""},{"dropping-particle":"","family":"Martin","given":"Florian","non-dropping-particle":"","parse-names":false,"suffix":""},{"dropping-particle":"","family":"Schneider","given":"Thomas","non-dropping-particle":"","parse-names":false,"suffix":""},{"dropping-particle":"","family":"Dijon","given":"Sophie","non-dropping-particle":"","parse-names":false,"suffix":""},{"dropping-particle":"V.","family":"Ivanov","given":"Nikolai","non-dropping-particle":"","parse-names":false,"suffix":""},{"dropping-particle":"","family":"Hoeng","given":"Julia","non-dropping-particle":"","parse-names":false,"suffix":""},{"dropping-particle":"","family":"Peitsch","given":"Manuel C.","non-dropping-particle":"","parse-names":false,"suffix":""}],"container-title":"Computational and Structural Biotechnology Journal","id":"ITEM-1","issue":"18","issued":{"date-parts":[["2014"]]},"page":"73-90","publisher":"Elsevier B.V.","title":"Proteomics for systems toxicology","type":"article-journal","volume":"11"},"uris":["http://www.mendeley.com/documents/?uuid=caffc555-951b-4978-aff2-77b8e8054719"]}],"mendeley":{"formattedCitation":"(Titz &lt;i&gt;et al.&lt;/i&gt;, 2014)","plainTextFormattedCitation":"(Titz et al., 2014)","previouslyFormattedCitation":"(Titz &lt;i&gt;et al.&lt;/i&gt;, 2014)"},"properties":{"noteIndex":0},"schema":"https://github.com/citation-style-language/schema/raw/master/csl-citation.json"}</w:instrText>
      </w:r>
      <w:r w:rsidR="003B3DA2" w:rsidRPr="0044590D">
        <w:rPr>
          <w:lang w:val="en-GB" w:eastAsia="zh-CN"/>
        </w:rPr>
        <w:fldChar w:fldCharType="separate"/>
      </w:r>
      <w:r w:rsidR="001F3DA0" w:rsidRPr="0044590D">
        <w:rPr>
          <w:noProof/>
          <w:lang w:val="en-GB" w:eastAsia="zh-CN"/>
        </w:rPr>
        <w:t xml:space="preserve">(Titz </w:t>
      </w:r>
      <w:r w:rsidR="001F3DA0" w:rsidRPr="0044590D">
        <w:rPr>
          <w:i/>
          <w:noProof/>
          <w:lang w:val="en-GB" w:eastAsia="zh-CN"/>
        </w:rPr>
        <w:t>et al.</w:t>
      </w:r>
      <w:r w:rsidR="001F3DA0" w:rsidRPr="0044590D">
        <w:rPr>
          <w:noProof/>
          <w:lang w:val="en-GB" w:eastAsia="zh-CN"/>
        </w:rPr>
        <w:t>, 2014)</w:t>
      </w:r>
      <w:r w:rsidR="003B3DA2" w:rsidRPr="0044590D">
        <w:rPr>
          <w:lang w:val="en-GB" w:eastAsia="zh-CN"/>
        </w:rPr>
        <w:fldChar w:fldCharType="end"/>
      </w:r>
      <w:r w:rsidR="001E138B" w:rsidRPr="0044590D">
        <w:rPr>
          <w:lang w:val="en-GB" w:eastAsia="zh-CN"/>
        </w:rPr>
        <w:t xml:space="preserve">. </w:t>
      </w:r>
      <w:r w:rsidR="00AA065A" w:rsidRPr="0044590D">
        <w:rPr>
          <w:lang w:val="en-GB" w:eastAsia="zh-CN"/>
        </w:rPr>
        <w:t>Metabolomics, focusing on a wide array of chemically heterogeneous molecules, has emerged as a pivotal tool in toxicological studies, examining metabolic alterations in cells under chemical exposures</w:t>
      </w:r>
      <w:r w:rsidR="003B3DA2" w:rsidRPr="0044590D">
        <w:rPr>
          <w:lang w:val="en-GB" w:eastAsia="zh-CN"/>
        </w:rPr>
        <w:t xml:space="preserve"> </w:t>
      </w:r>
      <w:r w:rsidR="003B3DA2" w:rsidRPr="0044590D">
        <w:rPr>
          <w:lang w:val="en-GB" w:eastAsia="zh-CN"/>
        </w:rPr>
        <w:fldChar w:fldCharType="begin" w:fldLock="1"/>
      </w:r>
      <w:r w:rsidR="00D22827" w:rsidRPr="0044590D">
        <w:rPr>
          <w:lang w:val="en-GB" w:eastAsia="zh-CN"/>
        </w:rPr>
        <w:instrText>ADDIN CSL_CITATION {"citationItems":[{"id":"ITEM-1","itemData":{"DOI":"10.1039/d0an02212h","ISSN":"13645528","PMID":"33605958","abstract":"Innovative methodological approaches are needed to conduct human health and environmental risk assessments on a growing number of marketed chemicals. Metabolomics is progressively proving its value as an efficient strategy to perform toxicological evaluations of new and existing substances, and it will likely become a key tool to accelerate chemical risk assessments. However, additional guidance with widely accepted and harmonized procedures is needed before metabolomics can be routinely incorporated in decision-making for regulatory purposes. The aim of this review is to provide an overview of metabolomic strategies that have been successfully employed in toxicity assessment as well as the most promising workflows in a regulatory context. First, we provide a general view of the different steps of regulatory toxicology-oriented metabolomics. Emphasis is put on three key elements: robustness of experimental design, choice of analytical platform, and use of adapted data treatment tools. Then, examples in which metabolomics supported regulatory toxicology outputs in different scenarios are reviewed, including chemical grouping, elucidation of mechanisms of toxicity, and determination of points of departure. The overall intention is to provide insights into why and how to plan and conduct metabolomic studies for regulatory toxicology purposes. This journal is","author":[{"dropping-particle":"","family":"Olesti","given":"Eulalia","non-dropping-particle":"","parse-names":false,"suffix":""},{"dropping-particle":"","family":"González-Ruiz","given":"Víctor","non-dropping-particle":"","parse-names":false,"suffix":""},{"dropping-particle":"","family":"Wilks","given":"Martin F.","non-dropping-particle":"","parse-names":false,"suffix":""},{"dropping-particle":"","family":"Boccard","given":"Julien","non-dropping-particle":"","parse-names":false,"suffix":""},{"dropping-particle":"","family":"Rudaz","given":"Serge","non-dropping-particle":"","parse-names":false,"suffix":""}],"container-title":"Analyst","id":"ITEM-1","issue":"6","issued":{"date-parts":[["2021"]]},"page":"1820-1834","publisher":"Royal Society of Chemistry","title":"Approaches in metabolomics for regulatory toxicology applications","type":"article-journal","volume":"146"},"uris":["http://www.mendeley.com/documents/?uuid=10589e49-7fd2-40a8-9205-b1a5256168d0"]}],"mendeley":{"formattedCitation":"(Olesti &lt;i&gt;et al.&lt;/i&gt;, 2021)","plainTextFormattedCitation":"(Olesti et al., 2021)","previouslyFormattedCitation":"(Olesti &lt;i&gt;et al.&lt;/i&gt;, 2021)"},"properties":{"noteIndex":0},"schema":"https://github.com/citation-style-language/schema/raw/master/csl-citation.json"}</w:instrText>
      </w:r>
      <w:r w:rsidR="003B3DA2" w:rsidRPr="0044590D">
        <w:rPr>
          <w:lang w:val="en-GB" w:eastAsia="zh-CN"/>
        </w:rPr>
        <w:fldChar w:fldCharType="separate"/>
      </w:r>
      <w:r w:rsidR="001F3DA0" w:rsidRPr="0044590D">
        <w:rPr>
          <w:noProof/>
          <w:lang w:val="en-GB" w:eastAsia="zh-CN"/>
        </w:rPr>
        <w:t xml:space="preserve">(Olesti </w:t>
      </w:r>
      <w:r w:rsidR="001F3DA0" w:rsidRPr="0044590D">
        <w:rPr>
          <w:i/>
          <w:noProof/>
          <w:lang w:val="en-GB" w:eastAsia="zh-CN"/>
        </w:rPr>
        <w:t>et al.</w:t>
      </w:r>
      <w:r w:rsidR="001F3DA0" w:rsidRPr="0044590D">
        <w:rPr>
          <w:noProof/>
          <w:lang w:val="en-GB" w:eastAsia="zh-CN"/>
        </w:rPr>
        <w:t>, 2021)</w:t>
      </w:r>
      <w:r w:rsidR="003B3DA2" w:rsidRPr="0044590D">
        <w:rPr>
          <w:lang w:val="en-GB" w:eastAsia="zh-CN"/>
        </w:rPr>
        <w:fldChar w:fldCharType="end"/>
      </w:r>
      <w:r w:rsidRPr="0044590D">
        <w:rPr>
          <w:lang w:val="en-GB" w:eastAsia="zh-CN"/>
        </w:rPr>
        <w:t xml:space="preserve">. </w:t>
      </w:r>
      <w:r w:rsidR="00811D79" w:rsidRPr="0044590D">
        <w:rPr>
          <w:lang w:val="en-GB" w:eastAsia="zh-CN"/>
        </w:rPr>
        <w:t xml:space="preserve">On this basis, the fields of </w:t>
      </w:r>
      <w:proofErr w:type="spellStart"/>
      <w:r w:rsidR="00811D79" w:rsidRPr="0044590D">
        <w:rPr>
          <w:lang w:val="en-GB" w:eastAsia="zh-CN"/>
        </w:rPr>
        <w:t>toxicogenomics</w:t>
      </w:r>
      <w:proofErr w:type="spellEnd"/>
      <w:r w:rsidR="00811D79" w:rsidRPr="0044590D">
        <w:rPr>
          <w:lang w:val="en-GB" w:eastAsia="zh-CN"/>
        </w:rPr>
        <w:t xml:space="preserve">, </w:t>
      </w:r>
      <w:proofErr w:type="spellStart"/>
      <w:r w:rsidR="00811D79" w:rsidRPr="0044590D">
        <w:rPr>
          <w:lang w:val="en-GB" w:eastAsia="zh-CN"/>
        </w:rPr>
        <w:t>toxicoproteomics</w:t>
      </w:r>
      <w:proofErr w:type="spellEnd"/>
      <w:r w:rsidR="00811D79" w:rsidRPr="0044590D">
        <w:rPr>
          <w:lang w:val="en-GB" w:eastAsia="zh-CN"/>
        </w:rPr>
        <w:t xml:space="preserve">, </w:t>
      </w:r>
      <w:proofErr w:type="spellStart"/>
      <w:r w:rsidR="00811D79" w:rsidRPr="0044590D">
        <w:rPr>
          <w:lang w:val="en-GB" w:eastAsia="zh-CN"/>
        </w:rPr>
        <w:t>toxicometabolomics</w:t>
      </w:r>
      <w:proofErr w:type="spellEnd"/>
      <w:r w:rsidR="00811D79" w:rsidRPr="0044590D">
        <w:rPr>
          <w:lang w:val="en-GB" w:eastAsia="zh-CN"/>
        </w:rPr>
        <w:t xml:space="preserve"> and other fields have been </w:t>
      </w:r>
      <w:r w:rsidR="00AA065A" w:rsidRPr="0044590D">
        <w:rPr>
          <w:lang w:val="en-GB" w:eastAsia="zh-CN"/>
        </w:rPr>
        <w:t>developed</w:t>
      </w:r>
      <w:r w:rsidR="00811D79" w:rsidRPr="0044590D">
        <w:rPr>
          <w:lang w:val="en-GB" w:eastAsia="zh-CN"/>
        </w:rPr>
        <w:t xml:space="preserve"> to use omics technology to predict toxicity.</w:t>
      </w:r>
    </w:p>
    <w:p w14:paraId="7A58ED1B" w14:textId="06ADDDCF" w:rsidR="00A00A31" w:rsidRPr="0044590D" w:rsidRDefault="00A00A31" w:rsidP="00A00A31">
      <w:pPr>
        <w:pStyle w:val="Els-body-text"/>
        <w:rPr>
          <w:color w:val="000000" w:themeColor="text1"/>
          <w:lang w:val="en-GB"/>
        </w:rPr>
      </w:pPr>
      <w:r w:rsidRPr="0044590D">
        <w:rPr>
          <w:lang w:val="en-GB" w:eastAsia="zh-CN"/>
        </w:rPr>
        <w:t xml:space="preserve">Despite these advancements, a significant gap remains in the availability of datasets that encompass </w:t>
      </w:r>
      <w:r w:rsidR="00144277" w:rsidRPr="0044590D">
        <w:rPr>
          <w:lang w:val="en-GB" w:eastAsia="zh-CN"/>
        </w:rPr>
        <w:t xml:space="preserve">the information about chemical perturbation and corresponding </w:t>
      </w:r>
      <w:r w:rsidRPr="0044590D">
        <w:rPr>
          <w:lang w:val="en-GB" w:eastAsia="zh-CN"/>
        </w:rPr>
        <w:t xml:space="preserve">real omics data and detailed information about regulatory pathways. </w:t>
      </w:r>
      <w:r w:rsidR="00AA065A" w:rsidRPr="0044590D">
        <w:rPr>
          <w:lang w:val="en-GB" w:eastAsia="zh-CN"/>
        </w:rPr>
        <w:t xml:space="preserve">Existing databases, such as </w:t>
      </w:r>
      <w:proofErr w:type="spellStart"/>
      <w:r w:rsidR="00091154" w:rsidRPr="0044590D">
        <w:rPr>
          <w:lang w:val="en-GB" w:eastAsia="zh-CN"/>
        </w:rPr>
        <w:t>DrugMatrix</w:t>
      </w:r>
      <w:proofErr w:type="spellEnd"/>
      <w:r w:rsidR="00091154" w:rsidRPr="0044590D">
        <w:rPr>
          <w:lang w:val="en-GB" w:eastAsia="zh-CN"/>
        </w:rPr>
        <w:t>, Open TG-GATEs</w:t>
      </w:r>
      <w:r w:rsidR="0025571F" w:rsidRPr="0044590D">
        <w:rPr>
          <w:lang w:val="en-GB" w:eastAsia="zh-CN"/>
        </w:rPr>
        <w:t xml:space="preserve"> </w:t>
      </w:r>
      <w:r w:rsidR="00091154" w:rsidRPr="0044590D">
        <w:rPr>
          <w:lang w:val="en-GB" w:eastAsia="zh-CN"/>
        </w:rPr>
        <w:t>and L1000</w:t>
      </w:r>
      <w:r w:rsidR="00AA7910" w:rsidRPr="0044590D">
        <w:rPr>
          <w:lang w:val="en-GB" w:eastAsia="zh-CN"/>
        </w:rPr>
        <w:t xml:space="preserve"> </w:t>
      </w:r>
      <w:r w:rsidR="00AA7910" w:rsidRPr="0044590D">
        <w:rPr>
          <w:lang w:val="en-GB" w:eastAsia="zh-CN"/>
        </w:rPr>
        <w:fldChar w:fldCharType="begin" w:fldLock="1"/>
      </w:r>
      <w:r w:rsidR="00D22827" w:rsidRPr="0044590D">
        <w:rPr>
          <w:lang w:val="en-GB" w:eastAsia="zh-CN"/>
        </w:rPr>
        <w:instrText>ADDIN CSL_CITATION {"citationItems":[{"id":"ITEM-1","itemData":{"DOI":"10.1016/j.slasd.2022.12.003","ISSN":"24725560","PMID":"36639032","abstract":"Various sources of information can be used to better understand and predict compound activity and safety-related endpoints, including biological data such as gene expression and cell morphology. In this review, we first introduce types of chemical, in vitro and in vivo information that can be used to describe compounds and adverse effects. We then explore how compound descriptors based on chemical structure or biological perturbation response can be used to predict safety-related endpoints, and how especially biological data can help us to better understand adverse effects mechanistically. Overall, the described applications demonstrate how large-scale biological information presents new opportunities to anticipate and understand the biological effects of compounds, and how this can support predictive toxicology and drug discovery projects.","author":[{"dropping-particle":"","family":"Liu","given":"Anika","non-dropping-particle":"","parse-names":false,"suffix":""},{"dropping-particle":"","family":"Seal","given":"Srijit","non-dropping-particle":"","parse-names":false,"suffix":""},{"dropping-particle":"","family":"Yang","given":"Hongbin","non-dropping-particle":"","parse-names":false,"suffix":""},{"dropping-particle":"","family":"Bender","given":"Andreas","non-dropping-particle":"","parse-names":false,"suffix":""}],"container-title":"SLAS Discovery","id":"ITEM-1","issue":"3","issued":{"date-parts":[["2023"]]},"page":"53-64","publisher":"Elsevier Inc.","title":"Using chemical and biological data to predict drug toxicity","type":"article-journal","volume":"28"},"uris":["http://www.mendeley.com/documents/?uuid=13291435-4906-47fd-81c3-e5c14b58c000"]}],"mendeley":{"formattedCitation":"(Liu &lt;i&gt;et al.&lt;/i&gt;, 2023)","plainTextFormattedCitation":"(Liu et al., 2023)","previouslyFormattedCitation":"(Liu &lt;i&gt;et al.&lt;/i&gt;, 2023)"},"properties":{"noteIndex":0},"schema":"https://github.com/citation-style-language/schema/raw/master/csl-citation.json"}</w:instrText>
      </w:r>
      <w:r w:rsidR="00AA7910" w:rsidRPr="0044590D">
        <w:rPr>
          <w:lang w:val="en-GB" w:eastAsia="zh-CN"/>
        </w:rPr>
        <w:fldChar w:fldCharType="separate"/>
      </w:r>
      <w:r w:rsidR="001F3DA0" w:rsidRPr="0044590D">
        <w:rPr>
          <w:noProof/>
          <w:lang w:val="en-GB" w:eastAsia="zh-CN"/>
        </w:rPr>
        <w:t xml:space="preserve">(Liu </w:t>
      </w:r>
      <w:r w:rsidR="001F3DA0" w:rsidRPr="0044590D">
        <w:rPr>
          <w:i/>
          <w:noProof/>
          <w:lang w:val="en-GB" w:eastAsia="zh-CN"/>
        </w:rPr>
        <w:t>et al.</w:t>
      </w:r>
      <w:r w:rsidR="001F3DA0" w:rsidRPr="0044590D">
        <w:rPr>
          <w:noProof/>
          <w:lang w:val="en-GB" w:eastAsia="zh-CN"/>
        </w:rPr>
        <w:t>, 2023)</w:t>
      </w:r>
      <w:r w:rsidR="00AA7910" w:rsidRPr="0044590D">
        <w:rPr>
          <w:lang w:val="en-GB" w:eastAsia="zh-CN"/>
        </w:rPr>
        <w:fldChar w:fldCharType="end"/>
      </w:r>
      <w:r w:rsidR="00AA065A" w:rsidRPr="0044590D">
        <w:rPr>
          <w:lang w:val="en-GB" w:eastAsia="zh-CN"/>
        </w:rPr>
        <w:t xml:space="preserve">, provide limited information, predominantly in gene expression. </w:t>
      </w:r>
      <w:r w:rsidRPr="0044590D">
        <w:rPr>
          <w:lang w:val="en-GB" w:eastAsia="zh-CN"/>
        </w:rPr>
        <w:t xml:space="preserve">While the literature on the use of omics data to explore chemical toxicity mechanisms is growing, the effective extraction of information from these complex datasets is a formidable challenge. The development of large language models (LLMs) like GPT </w:t>
      </w:r>
      <w:r w:rsidR="006E718D" w:rsidRPr="0044590D">
        <w:rPr>
          <w:lang w:val="en-GB" w:eastAsia="zh-CN"/>
        </w:rPr>
        <w:t>has facilitated the efficient extraction of information from complex, unstructured text sources</w:t>
      </w:r>
      <w:r w:rsidR="00616807" w:rsidRPr="0044590D">
        <w:rPr>
          <w:lang w:val="en-GB" w:eastAsia="zh-CN"/>
        </w:rPr>
        <w:t xml:space="preserve"> </w:t>
      </w:r>
      <w:r w:rsidR="00616807" w:rsidRPr="0044590D">
        <w:rPr>
          <w:lang w:val="en-GB" w:eastAsia="zh-CN"/>
        </w:rPr>
        <w:fldChar w:fldCharType="begin" w:fldLock="1"/>
      </w:r>
      <w:r w:rsidR="00D22827" w:rsidRPr="0044590D">
        <w:rPr>
          <w:lang w:val="en-GB" w:eastAsia="zh-CN"/>
        </w:rPr>
        <w:instrText>ADDIN CSL_CITATION {"citationItems":[{"id":"ITEM-1","itemData":{"abstract":"As a primary means of information acquisition, information retrieval (IR) systems, such as search engines, have integrated themselves into our daily lives. These systems also serve as components of dialogue, question-answering, and recommender systems. The trajectory of IR has evolved dynamically from its origins in term-based methods to its integration with advanced neural models. While the neural models excel at capturing complex contextual signals and semantic nuances, thereby reshaping the IR landscape, they still face challenges such as data scarcity, interpretability, and the generation of contextually plausible yet potentially inaccurate responses. This evolution requires a combination of both traditional methods (such as term-based sparse retrieval methods with rapid response) and modern neural architectures (such as language models with powerful language understanding capacity). Meanwhile, the emergence of large language models (LLMs), typified by ChatGPT and GPT-4, has revolutionized natural language processing due to their remarkable language understanding, generation, generalization, and reasoning abilities. Consequently, recent research has sought to leverage LLMs to improve IR systems. Given the rapid evolution of this research trajectory, it is necessary to consolidate existing methodologies and provide nuanced insights through a comprehensive overview. In this survey, we delve into the confluence of LLMs and IR systems, including crucial aspects such as query rewriters, retrievers, rerankers, and readers. Additionally, we explore promising directions within this expanding field.","author":[{"dropping-particle":"","family":"Zhu","given":"Yutao","non-dropping-particle":"","parse-names":false,"suffix":""},{"dropping-particle":"","family":"Yuan","given":"Huaying","non-dropping-particle":"","parse-names":false,"suffix":""},{"dropping-particle":"","family":"Wang","given":"Shuting","non-dropping-particle":"","parse-names":false,"suffix":""},{"dropping-particle":"","family":"Liu","given":"Jiongnan","non-dropping-particle":"","parse-names":false,"suffix":""},{"dropping-particle":"","family":"Liu","given":"Wenhan","non-dropping-particle":"","parse-names":false,"suffix":""},{"dropping-particle":"","family":"Deng","given":"Chenlong","non-dropping-particle":"","parse-names":false,"suffix":""},{"dropping-particle":"","family":"Dou","given":"Zhicheng","non-dropping-particle":"","parse-names":false,"suffix":""},{"dropping-particle":"","family":"Wen","given":"Ji-Rong","non-dropping-particle":"","parse-names":false,"suffix":""}],"id":"ITEM-1","issued":{"date-parts":[["2023"]]},"page":"1-26","title":"Large Language Models for Information Retrieval: A Survey","type":"article-journal"},"uris":["http://www.mendeley.com/documents/?uuid=3a8a60e1-87c2-462e-a37e-a076d3acba6f"]}],"mendeley":{"formattedCitation":"(Zhu &lt;i&gt;et al.&lt;/i&gt;, 2023)","plainTextFormattedCitation":"(Zhu et al., 2023)","previouslyFormattedCitation":"(Zhu &lt;i&gt;et al.&lt;/i&gt;, 2023)"},"properties":{"noteIndex":0},"schema":"https://github.com/citation-style-language/schema/raw/master/csl-citation.json"}</w:instrText>
      </w:r>
      <w:r w:rsidR="00616807" w:rsidRPr="0044590D">
        <w:rPr>
          <w:lang w:val="en-GB" w:eastAsia="zh-CN"/>
        </w:rPr>
        <w:fldChar w:fldCharType="separate"/>
      </w:r>
      <w:r w:rsidR="001F3DA0" w:rsidRPr="0044590D">
        <w:rPr>
          <w:noProof/>
          <w:lang w:val="en-GB" w:eastAsia="zh-CN"/>
        </w:rPr>
        <w:t xml:space="preserve">(Zhu </w:t>
      </w:r>
      <w:r w:rsidR="001F3DA0" w:rsidRPr="0044590D">
        <w:rPr>
          <w:i/>
          <w:noProof/>
          <w:lang w:val="en-GB" w:eastAsia="zh-CN"/>
        </w:rPr>
        <w:t>et al.</w:t>
      </w:r>
      <w:r w:rsidR="001F3DA0" w:rsidRPr="0044590D">
        <w:rPr>
          <w:noProof/>
          <w:lang w:val="en-GB" w:eastAsia="zh-CN"/>
        </w:rPr>
        <w:t>, 2023)</w:t>
      </w:r>
      <w:r w:rsidR="00616807" w:rsidRPr="0044590D">
        <w:rPr>
          <w:lang w:val="en-GB" w:eastAsia="zh-CN"/>
        </w:rPr>
        <w:fldChar w:fldCharType="end"/>
      </w:r>
      <w:r w:rsidRPr="0044590D">
        <w:rPr>
          <w:lang w:val="en-GB" w:eastAsia="zh-CN"/>
        </w:rPr>
        <w:t xml:space="preserve">. </w:t>
      </w:r>
      <w:r w:rsidR="006773BB" w:rsidRPr="0044590D">
        <w:rPr>
          <w:color w:val="000000" w:themeColor="text1"/>
          <w:lang w:val="en-GB"/>
        </w:rPr>
        <w:t xml:space="preserve">However, </w:t>
      </w:r>
      <w:r w:rsidR="006E718D" w:rsidRPr="0044590D">
        <w:rPr>
          <w:color w:val="000000" w:themeColor="text1"/>
          <w:lang w:val="en-GB"/>
        </w:rPr>
        <w:t>a critical challenge remains in evaluating the accuracy of the outputs generated by LLMs and in ensuring their human alignment</w:t>
      </w:r>
      <w:r w:rsidR="006773BB" w:rsidRPr="0044590D">
        <w:rPr>
          <w:color w:val="000000" w:themeColor="text1"/>
          <w:lang w:val="en-GB"/>
        </w:rPr>
        <w:t>.</w:t>
      </w:r>
      <w:r w:rsidR="004F12ED" w:rsidRPr="0044590D">
        <w:rPr>
          <w:color w:val="000000" w:themeColor="text1"/>
          <w:lang w:val="en-GB"/>
        </w:rPr>
        <w:t xml:space="preserve"> </w:t>
      </w:r>
      <w:r w:rsidR="006E718D" w:rsidRPr="0044590D">
        <w:rPr>
          <w:color w:val="000000" w:themeColor="text1"/>
          <w:lang w:val="en-GB"/>
        </w:rPr>
        <w:t>This alignment is crucial to guarantee that the model's outputs are not only precise but also consonant with human values and intentions.</w:t>
      </w:r>
      <w:r w:rsidR="006773BB" w:rsidRPr="0044590D">
        <w:rPr>
          <w:color w:val="000000" w:themeColor="text1"/>
          <w:lang w:val="en-GB"/>
        </w:rPr>
        <w:t xml:space="preserve"> Conventionally, </w:t>
      </w:r>
      <w:r w:rsidR="006E718D" w:rsidRPr="0044590D">
        <w:rPr>
          <w:color w:val="000000" w:themeColor="text1"/>
          <w:lang w:val="en-GB"/>
        </w:rPr>
        <w:t>such evaluations necessitate intricate training procedures or labo</w:t>
      </w:r>
      <w:r w:rsidR="0044590D">
        <w:rPr>
          <w:color w:val="000000" w:themeColor="text1"/>
          <w:lang w:val="en-GB"/>
        </w:rPr>
        <w:t>u</w:t>
      </w:r>
      <w:r w:rsidR="006E718D" w:rsidRPr="0044590D">
        <w:rPr>
          <w:color w:val="000000" w:themeColor="text1"/>
          <w:lang w:val="en-GB"/>
        </w:rPr>
        <w:t>r-intensive manual annotation of samples, which are time-consuming</w:t>
      </w:r>
      <w:r w:rsidR="0044590D" w:rsidRPr="0044590D">
        <w:rPr>
          <w:color w:val="000000" w:themeColor="text1"/>
          <w:lang w:val="en-GB"/>
        </w:rPr>
        <w:t xml:space="preserve"> </w:t>
      </w:r>
      <w:r w:rsidR="0044590D" w:rsidRPr="0044590D">
        <w:rPr>
          <w:color w:val="000000" w:themeColor="text1"/>
          <w:lang w:val="en-GB"/>
        </w:rPr>
        <w:fldChar w:fldCharType="begin" w:fldLock="1"/>
      </w:r>
      <w:r w:rsidR="0044590D" w:rsidRPr="0044590D">
        <w:rPr>
          <w:color w:val="000000" w:themeColor="text1"/>
          <w:lang w:val="en-GB"/>
        </w:rPr>
        <w:instrText>ADDIN CSL_CITATION {"citationItems":[{"id":"ITEM-1","itemData":{"abstract":"Generative Artificial Intelligence (AI) has enabled the development of sophisticated models that are capable of producing high-caliber text, images, and other outputs through the utilization of large pre-trained models. Nevertheless, assessing the quality of the generation is an even more arduous task than the generation itself, and this issue has not been given adequate consideration recently. This paper proposes a novel evaluation framework, GPTScore, which utilizes the emergent abilities (e.g., zero-shot instruction) of generative pre-trained models to score generated texts. There are 19 pre-trained models explored in this paper, ranging in size from 80M (e.g., FLAN-T5-small) to 175B (e.g., GPT3). Experimental results on four text generation tasks, 22 evaluation aspects, and corresponding 37 datasets demonstrate that this approach can effectively allow us to achieve what one desires to evaluate for texts simply by natural language instructions. This nature helps us overcome several long-standing challenges in text evaluation--how to achieve customized, multi-faceted evaluation without the need for annotated samples. We make our code publicly available at https://github.com/jinlanfu/GPTScore.","author":[{"dropping-particle":"","family":"Fu","given":"Jinlan","non-dropping-particle":"","parse-names":false,"suffix":""},{"dropping-particle":"","family":"Ng","given":"See-Kiong","non-dropping-particle":"","parse-names":false,"suffix":""},{"dropping-particle":"","family":"Jiang","given":"Zhengbao","non-dropping-particle":"","parse-names":false,"suffix":""},{"dropping-particle":"","family":"Liu","given":"Pengfei","non-dropping-particle":"","parse-names":false,"suffix":""}],"id":"ITEM-1","issued":{"date-parts":[["2023"]]},"title":"GPTScore: Evaluate as You Desire","type":"article-journal"},"uris":["http://www.mendeley.com/documents/?uuid=0226671e-e33b-45e5-875a-f94564638b4a"]}],"mendeley":{"formattedCitation":"(Fu &lt;i&gt;et al.&lt;/i&gt;, 2023)","plainTextFormattedCitation":"(Fu et al., 2023)"},"properties":{"noteIndex":0},"schema":"https://github.com/citation-style-language/schema/raw/master/csl-citation.json"}</w:instrText>
      </w:r>
      <w:r w:rsidR="0044590D" w:rsidRPr="0044590D">
        <w:rPr>
          <w:color w:val="000000" w:themeColor="text1"/>
          <w:lang w:val="en-GB"/>
        </w:rPr>
        <w:fldChar w:fldCharType="separate"/>
      </w:r>
      <w:r w:rsidR="0044590D" w:rsidRPr="0044590D">
        <w:rPr>
          <w:noProof/>
          <w:color w:val="000000" w:themeColor="text1"/>
          <w:lang w:val="en-GB"/>
        </w:rPr>
        <w:t xml:space="preserve">(Fu </w:t>
      </w:r>
      <w:r w:rsidR="0044590D" w:rsidRPr="0044590D">
        <w:rPr>
          <w:i/>
          <w:noProof/>
          <w:color w:val="000000" w:themeColor="text1"/>
          <w:lang w:val="en-GB"/>
        </w:rPr>
        <w:t>et al.</w:t>
      </w:r>
      <w:r w:rsidR="0044590D" w:rsidRPr="0044590D">
        <w:rPr>
          <w:noProof/>
          <w:color w:val="000000" w:themeColor="text1"/>
          <w:lang w:val="en-GB"/>
        </w:rPr>
        <w:t>, 2023)</w:t>
      </w:r>
      <w:r w:rsidR="0044590D" w:rsidRPr="0044590D">
        <w:rPr>
          <w:color w:val="000000" w:themeColor="text1"/>
          <w:lang w:val="en-GB"/>
        </w:rPr>
        <w:fldChar w:fldCharType="end"/>
      </w:r>
      <w:r w:rsidR="006E718D" w:rsidRPr="0044590D">
        <w:rPr>
          <w:color w:val="000000" w:themeColor="text1"/>
          <w:lang w:val="en-GB"/>
        </w:rPr>
        <w:t>. Therefore, a more expedient and efficient approach is imperative.</w:t>
      </w:r>
    </w:p>
    <w:p w14:paraId="5E9119F8" w14:textId="72D7F1F6" w:rsidR="002B46E8" w:rsidRPr="0044590D" w:rsidRDefault="00A00A31" w:rsidP="00292AF6">
      <w:pPr>
        <w:pStyle w:val="Els-body-text"/>
        <w:rPr>
          <w:lang w:val="en-GB"/>
        </w:rPr>
      </w:pPr>
      <w:r w:rsidRPr="0044590D">
        <w:rPr>
          <w:lang w:val="en-GB" w:eastAsia="zh-CN"/>
        </w:rPr>
        <w:t xml:space="preserve">In this context, we propose a semi-automated method that enables effective information extraction with minimal human intervention. Our approach has led to the extraction of 10 critical data points, including </w:t>
      </w:r>
      <w:r w:rsidR="00FA01E4" w:rsidRPr="0044590D">
        <w:rPr>
          <w:lang w:val="en-GB" w:eastAsia="zh-CN"/>
        </w:rPr>
        <w:t>omics</w:t>
      </w:r>
      <w:r w:rsidRPr="0044590D">
        <w:rPr>
          <w:lang w:val="en-GB" w:eastAsia="zh-CN"/>
        </w:rPr>
        <w:t xml:space="preserve"> layer, species, biological sample, differentially expressed genes (DEGs), proteins (DEPs), metabolites (DEMs), and regulatory pathways for a range of chemicals. This dataset is poised to be a valuable resource for downstream analysis, offering the potential to unravel the intricate relationships between these data points and to further our understanding of chemical toxicity mechanisms.</w:t>
      </w:r>
    </w:p>
    <w:p w14:paraId="69DD912F" w14:textId="74973856" w:rsidR="00292AF6" w:rsidRPr="0044590D" w:rsidRDefault="00292AF6" w:rsidP="00292AF6">
      <w:pPr>
        <w:pStyle w:val="Els-1storder-head"/>
        <w:rPr>
          <w:lang w:val="en-GB"/>
        </w:rPr>
      </w:pPr>
      <w:r w:rsidRPr="0044590D">
        <w:rPr>
          <w:lang w:val="en-GB"/>
        </w:rPr>
        <w:t>Method</w:t>
      </w:r>
      <w:r w:rsidR="005213C3" w:rsidRPr="0044590D">
        <w:rPr>
          <w:lang w:val="en-GB"/>
        </w:rPr>
        <w:t>s and results</w:t>
      </w:r>
    </w:p>
    <w:p w14:paraId="144DE69A" w14:textId="6C6A455B" w:rsidR="008D2649" w:rsidRPr="0044590D" w:rsidRDefault="002A2028" w:rsidP="008D2649">
      <w:pPr>
        <w:pStyle w:val="Els-2ndorder-head"/>
        <w:rPr>
          <w:lang w:val="en-GB"/>
        </w:rPr>
      </w:pPr>
      <w:r w:rsidRPr="0044590D">
        <w:rPr>
          <w:lang w:val="en-GB"/>
        </w:rPr>
        <w:t>Corpus retrieval</w:t>
      </w:r>
    </w:p>
    <w:p w14:paraId="1522EBB9" w14:textId="5CD588B6" w:rsidR="005213C3" w:rsidRPr="0044590D" w:rsidRDefault="00724AA1" w:rsidP="005352D7">
      <w:pPr>
        <w:pStyle w:val="Els-body-text"/>
        <w:keepNext/>
        <w:rPr>
          <w:lang w:val="en-GB"/>
        </w:rPr>
      </w:pPr>
      <w:r w:rsidRPr="0044590D">
        <w:rPr>
          <w:rFonts w:eastAsia="Times New Roman"/>
          <w:lang w:val="en-GB"/>
        </w:rPr>
        <w:t>Our methodology commenced with the stringent selection of articles from a comprehensive corpus. Criteria for inclusion mandated the presence of specific omics-related terms (proteomics, metabolomics, transcriptomics, phosphoproteomics, multi-</w:t>
      </w:r>
      <w:r w:rsidRPr="0044590D">
        <w:rPr>
          <w:rFonts w:eastAsia="Times New Roman"/>
          <w:lang w:val="en-GB"/>
        </w:rPr>
        <w:lastRenderedPageBreak/>
        <w:t xml:space="preserve">omics) in either the title or abstract. Additionally, articles were required to contain the phrase "pathway analysis" within their main text. Exclusion criteria were set to omit articles with any mention of "plant" in the title or abstract, reflecting our study's focus on non-plant organisms. From the PMC database (as of 25th October 2023), we retrieved 13,102 articles in XML format. </w:t>
      </w:r>
      <w:r w:rsidR="00AD06B7" w:rsidRPr="0044590D">
        <w:rPr>
          <w:lang w:val="en-GB"/>
        </w:rPr>
        <w:t xml:space="preserve">The retrieved articles were </w:t>
      </w:r>
      <w:r w:rsidR="0044590D" w:rsidRPr="0044590D">
        <w:rPr>
          <w:lang w:val="en-GB"/>
        </w:rPr>
        <w:t>pre-processed</w:t>
      </w:r>
      <w:r w:rsidR="00AD06B7" w:rsidRPr="0044590D">
        <w:rPr>
          <w:lang w:val="en-GB"/>
        </w:rPr>
        <w:t xml:space="preserve"> to keep the </w:t>
      </w:r>
      <w:r w:rsidR="003A3CBE" w:rsidRPr="0044590D">
        <w:rPr>
          <w:lang w:val="en-GB"/>
        </w:rPr>
        <w:t xml:space="preserve">articles with </w:t>
      </w:r>
      <w:r w:rsidR="00AD06B7" w:rsidRPr="0044590D">
        <w:rPr>
          <w:lang w:val="en-GB"/>
        </w:rPr>
        <w:t>‘arti</w:t>
      </w:r>
      <w:r w:rsidR="00AD06B7" w:rsidRPr="0044590D">
        <w:rPr>
          <w:lang w:val="en-GB" w:eastAsia="zh-CN"/>
        </w:rPr>
        <w:t>c</w:t>
      </w:r>
      <w:r w:rsidR="00AD06B7" w:rsidRPr="0044590D">
        <w:rPr>
          <w:lang w:val="en-GB"/>
        </w:rPr>
        <w:t>le-</w:t>
      </w:r>
      <w:r w:rsidR="003A3CBE" w:rsidRPr="0044590D">
        <w:rPr>
          <w:lang w:val="en-GB"/>
        </w:rPr>
        <w:t>type’ of ‘research-article’.</w:t>
      </w:r>
    </w:p>
    <w:p w14:paraId="6C931374" w14:textId="77777777" w:rsidR="00AA065A" w:rsidRPr="0044590D" w:rsidRDefault="00AA065A" w:rsidP="005352D7">
      <w:pPr>
        <w:pStyle w:val="Els-body-text"/>
        <w:keepNext/>
        <w:rPr>
          <w:lang w:val="en-GB"/>
        </w:rPr>
      </w:pPr>
    </w:p>
    <w:p w14:paraId="34CCF957" w14:textId="77777777" w:rsidR="00AA065A" w:rsidRPr="0044590D" w:rsidRDefault="00AA065A" w:rsidP="00AA065A">
      <w:pPr>
        <w:pStyle w:val="Els-body-text"/>
        <w:rPr>
          <w:lang w:val="en-GB"/>
        </w:rPr>
      </w:pPr>
      <w:r w:rsidRPr="0044590D">
        <w:rPr>
          <w:noProof/>
          <w:lang w:val="en-GB"/>
        </w:rPr>
        <w:drawing>
          <wp:inline distT="0" distB="0" distL="0" distR="0" wp14:anchorId="5C0A12EE" wp14:editId="48BAFD28">
            <wp:extent cx="4439446" cy="2737184"/>
            <wp:effectExtent l="0" t="0" r="5715" b="6350"/>
            <wp:docPr id="1740589585" name="Picture 1" descr="A diagram of a scientific research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89585" name="Picture 1" descr="A diagram of a scientific research process&#10;&#10;Description automatically generated"/>
                    <pic:cNvPicPr/>
                  </pic:nvPicPr>
                  <pic:blipFill rotWithShape="1">
                    <a:blip r:embed="rId8" cstate="print">
                      <a:extLst>
                        <a:ext uri="{28A0092B-C50C-407E-A947-70E740481C1C}">
                          <a14:useLocalDpi xmlns:a14="http://schemas.microsoft.com/office/drawing/2010/main" val="0"/>
                        </a:ext>
                      </a:extLst>
                    </a:blip>
                    <a:srcRect l="-1" r="2402"/>
                    <a:stretch/>
                  </pic:blipFill>
                  <pic:spPr bwMode="auto">
                    <a:xfrm>
                      <a:off x="0" y="0"/>
                      <a:ext cx="4520799" cy="2787343"/>
                    </a:xfrm>
                    <a:prstGeom prst="rect">
                      <a:avLst/>
                    </a:prstGeom>
                    <a:ln>
                      <a:noFill/>
                    </a:ln>
                    <a:extLst>
                      <a:ext uri="{53640926-AAD7-44D8-BBD7-CCE9431645EC}">
                        <a14:shadowObscured xmlns:a14="http://schemas.microsoft.com/office/drawing/2010/main"/>
                      </a:ext>
                    </a:extLst>
                  </pic:spPr>
                </pic:pic>
              </a:graphicData>
            </a:graphic>
          </wp:inline>
        </w:drawing>
      </w:r>
    </w:p>
    <w:p w14:paraId="6EA7C211" w14:textId="10A9B93F" w:rsidR="00AA065A" w:rsidRPr="0044590D" w:rsidRDefault="00AA065A" w:rsidP="00AA065A">
      <w:pPr>
        <w:pStyle w:val="Caption"/>
        <w:jc w:val="both"/>
        <w:rPr>
          <w:lang w:val="en-GB"/>
        </w:rPr>
      </w:pPr>
      <w:r w:rsidRPr="0044590D">
        <w:rPr>
          <w:lang w:val="en-GB"/>
        </w:rPr>
        <w:t xml:space="preserve">Figure </w:t>
      </w:r>
      <w:r w:rsidRPr="0044590D">
        <w:rPr>
          <w:lang w:val="en-GB"/>
        </w:rPr>
        <w:fldChar w:fldCharType="begin"/>
      </w:r>
      <w:r w:rsidRPr="0044590D">
        <w:rPr>
          <w:lang w:val="en-GB"/>
        </w:rPr>
        <w:instrText xml:space="preserve"> SEQ Figure \* ARABIC </w:instrText>
      </w:r>
      <w:r w:rsidRPr="0044590D">
        <w:rPr>
          <w:lang w:val="en-GB"/>
        </w:rPr>
        <w:fldChar w:fldCharType="separate"/>
      </w:r>
      <w:r w:rsidR="00AA7910" w:rsidRPr="0044590D">
        <w:rPr>
          <w:noProof/>
          <w:lang w:val="en-GB"/>
        </w:rPr>
        <w:t>1</w:t>
      </w:r>
      <w:r w:rsidRPr="0044590D">
        <w:rPr>
          <w:lang w:val="en-GB"/>
        </w:rPr>
        <w:fldChar w:fldCharType="end"/>
      </w:r>
      <w:r w:rsidRPr="0044590D">
        <w:rPr>
          <w:lang w:val="en-GB"/>
        </w:rPr>
        <w:t xml:space="preserve"> The overview of information extraction</w:t>
      </w:r>
    </w:p>
    <w:p w14:paraId="2F6A5897" w14:textId="096FA1F5" w:rsidR="008777CC" w:rsidRPr="0044590D" w:rsidRDefault="00E835D3" w:rsidP="008777CC">
      <w:pPr>
        <w:pStyle w:val="Els-2ndorder-head"/>
        <w:rPr>
          <w:lang w:val="en-GB"/>
        </w:rPr>
      </w:pPr>
      <w:r w:rsidRPr="0044590D">
        <w:rPr>
          <w:lang w:val="en-GB"/>
        </w:rPr>
        <w:t xml:space="preserve">GPT-4 </w:t>
      </w:r>
      <w:r w:rsidR="00417867" w:rsidRPr="0044590D">
        <w:rPr>
          <w:lang w:val="en-GB"/>
        </w:rPr>
        <w:t>extraction in z</w:t>
      </w:r>
      <w:r w:rsidR="008777CC" w:rsidRPr="0044590D">
        <w:rPr>
          <w:lang w:val="en-GB"/>
        </w:rPr>
        <w:t xml:space="preserve">ero-shot </w:t>
      </w:r>
      <w:proofErr w:type="gramStart"/>
      <w:r w:rsidR="008777CC" w:rsidRPr="0044590D">
        <w:rPr>
          <w:lang w:val="en-GB"/>
        </w:rPr>
        <w:t>prompting</w:t>
      </w:r>
      <w:proofErr w:type="gramEnd"/>
    </w:p>
    <w:p w14:paraId="7AD77008" w14:textId="1D073383" w:rsidR="00C8100F" w:rsidRPr="0044590D" w:rsidRDefault="00C8100F" w:rsidP="00B35B38">
      <w:pPr>
        <w:pStyle w:val="Els-body-text"/>
        <w:rPr>
          <w:lang w:val="en-GB"/>
        </w:rPr>
      </w:pPr>
      <w:r w:rsidRPr="0044590D">
        <w:rPr>
          <w:lang w:val="en-GB"/>
        </w:rPr>
        <w:t xml:space="preserve">GPT-4 API was used </w:t>
      </w:r>
      <w:r w:rsidR="00724AA1" w:rsidRPr="0044590D">
        <w:rPr>
          <w:lang w:val="en-GB"/>
        </w:rPr>
        <w:t xml:space="preserve">for extracting structured information from 150 randomly chosen articles. This process was executed in a zero-shot manner with a structured prompt: </w:t>
      </w:r>
      <w:r w:rsidRPr="0044590D">
        <w:rPr>
          <w:lang w:val="en-GB"/>
        </w:rPr>
        <w:t>‘Based on the title and abstract of the scientific research article, please extract the following details:’</w:t>
      </w:r>
      <w:r w:rsidR="003868CF" w:rsidRPr="0044590D">
        <w:rPr>
          <w:lang w:val="en-GB"/>
        </w:rPr>
        <w:t>.</w:t>
      </w:r>
    </w:p>
    <w:p w14:paraId="4D766E5F" w14:textId="1188ED54" w:rsidR="00620C19" w:rsidRPr="0044590D" w:rsidRDefault="00641AFB" w:rsidP="00C8100F">
      <w:pPr>
        <w:pStyle w:val="Els-body-text"/>
        <w:rPr>
          <w:lang w:val="en-GB"/>
        </w:rPr>
      </w:pPr>
      <w:r w:rsidRPr="0044590D">
        <w:rPr>
          <w:lang w:val="en-GB"/>
        </w:rPr>
        <w:t xml:space="preserve">The prompt was designed to extract key details including </w:t>
      </w:r>
      <w:r w:rsidR="00C8100F" w:rsidRPr="0044590D">
        <w:rPr>
          <w:lang w:val="en-GB"/>
        </w:rPr>
        <w:t>(</w:t>
      </w:r>
      <w:r w:rsidR="00482A74" w:rsidRPr="0044590D">
        <w:rPr>
          <w:lang w:val="en-GB"/>
        </w:rPr>
        <w:t>1</w:t>
      </w:r>
      <w:r w:rsidR="00C8100F" w:rsidRPr="0044590D">
        <w:rPr>
          <w:lang w:val="en-GB"/>
        </w:rPr>
        <w:t>) Target article</w:t>
      </w:r>
      <w:r w:rsidR="00E21AAD" w:rsidRPr="0044590D">
        <w:rPr>
          <w:lang w:val="en-GB"/>
        </w:rPr>
        <w:t>:</w:t>
      </w:r>
      <w:r w:rsidR="00CC0B6E" w:rsidRPr="0044590D">
        <w:rPr>
          <w:lang w:val="en-GB"/>
        </w:rPr>
        <w:t xml:space="preserve"> This question is </w:t>
      </w:r>
      <w:r w:rsidRPr="0044590D">
        <w:rPr>
          <w:lang w:val="en-GB"/>
        </w:rPr>
        <w:t>set</w:t>
      </w:r>
      <w:r w:rsidR="00CC0B6E" w:rsidRPr="0044590D">
        <w:rPr>
          <w:lang w:val="en-GB"/>
        </w:rPr>
        <w:t xml:space="preserve"> to know whether this article contains the information we want before extracting information</w:t>
      </w:r>
      <w:r w:rsidR="00E21AAD" w:rsidRPr="0044590D">
        <w:rPr>
          <w:lang w:val="en-GB"/>
        </w:rPr>
        <w:t>;</w:t>
      </w:r>
      <w:r w:rsidR="006727F1" w:rsidRPr="0044590D">
        <w:rPr>
          <w:lang w:val="en-GB"/>
        </w:rPr>
        <w:t xml:space="preserve"> </w:t>
      </w:r>
      <w:r w:rsidR="00C8100F" w:rsidRPr="0044590D">
        <w:rPr>
          <w:lang w:val="en-GB"/>
        </w:rPr>
        <w:t>(2) Type of omics</w:t>
      </w:r>
      <w:r w:rsidR="00E21AAD" w:rsidRPr="0044590D">
        <w:rPr>
          <w:lang w:val="en-GB" w:eastAsia="zh-CN"/>
        </w:rPr>
        <w:t>:</w:t>
      </w:r>
      <w:r w:rsidR="00CC0B6E" w:rsidRPr="0044590D">
        <w:rPr>
          <w:lang w:val="en-GB" w:eastAsia="zh-CN"/>
        </w:rPr>
        <w:t xml:space="preserve"> Different omics layers contain different layers of molecular information</w:t>
      </w:r>
      <w:r w:rsidR="00E21AAD" w:rsidRPr="0044590D">
        <w:rPr>
          <w:lang w:val="en-GB" w:eastAsia="zh-CN"/>
        </w:rPr>
        <w:t>;</w:t>
      </w:r>
      <w:r w:rsidR="006727F1" w:rsidRPr="0044590D">
        <w:rPr>
          <w:lang w:val="en-GB"/>
        </w:rPr>
        <w:t xml:space="preserve"> </w:t>
      </w:r>
      <w:r w:rsidR="00C8100F" w:rsidRPr="0044590D">
        <w:rPr>
          <w:lang w:val="en-GB"/>
        </w:rPr>
        <w:t>(3) Specific primary perturbation</w:t>
      </w:r>
      <w:r w:rsidR="00E21AAD" w:rsidRPr="0044590D">
        <w:rPr>
          <w:lang w:val="en-GB"/>
        </w:rPr>
        <w:t>:</w:t>
      </w:r>
      <w:r w:rsidR="00CC0B6E" w:rsidRPr="0044590D">
        <w:rPr>
          <w:lang w:val="en-GB"/>
        </w:rPr>
        <w:t xml:space="preserve"> It is important to know the aim of the article, which is the primary perturbation that causing omics change</w:t>
      </w:r>
      <w:r w:rsidR="00E21AAD" w:rsidRPr="0044590D">
        <w:rPr>
          <w:lang w:val="en-GB"/>
        </w:rPr>
        <w:t>;</w:t>
      </w:r>
      <w:r w:rsidR="006727F1" w:rsidRPr="0044590D">
        <w:rPr>
          <w:lang w:val="en-GB"/>
        </w:rPr>
        <w:t xml:space="preserve"> </w:t>
      </w:r>
      <w:r w:rsidR="00CC0B6E" w:rsidRPr="0044590D">
        <w:rPr>
          <w:lang w:val="en-GB"/>
        </w:rPr>
        <w:t>(4) Perturbation type</w:t>
      </w:r>
      <w:r w:rsidR="00E21AAD" w:rsidRPr="0044590D">
        <w:rPr>
          <w:lang w:val="en-GB"/>
        </w:rPr>
        <w:t>:</w:t>
      </w:r>
      <w:r w:rsidR="00CC0B6E" w:rsidRPr="0044590D">
        <w:rPr>
          <w:lang w:val="en-GB"/>
        </w:rPr>
        <w:t xml:space="preserve"> Figur</w:t>
      </w:r>
      <w:r w:rsidR="006727F1" w:rsidRPr="0044590D">
        <w:rPr>
          <w:lang w:val="en-GB"/>
        </w:rPr>
        <w:t>ing</w:t>
      </w:r>
      <w:r w:rsidR="00CC0B6E" w:rsidRPr="0044590D">
        <w:rPr>
          <w:lang w:val="en-GB"/>
        </w:rPr>
        <w:t xml:space="preserve"> out what the </w:t>
      </w:r>
      <w:r w:rsidR="006727F1" w:rsidRPr="0044590D">
        <w:rPr>
          <w:lang w:val="en-GB"/>
        </w:rPr>
        <w:t>type</w:t>
      </w:r>
      <w:r w:rsidR="00CC0B6E" w:rsidRPr="0044590D">
        <w:rPr>
          <w:lang w:val="en-GB"/>
        </w:rPr>
        <w:t xml:space="preserve"> of the primary perturbation</w:t>
      </w:r>
      <w:r w:rsidR="006727F1" w:rsidRPr="0044590D">
        <w:rPr>
          <w:lang w:val="en-GB"/>
        </w:rPr>
        <w:t xml:space="preserve"> can help us to do downstream analysis</w:t>
      </w:r>
      <w:r w:rsidR="00E21AAD" w:rsidRPr="0044590D">
        <w:rPr>
          <w:lang w:val="en-GB"/>
        </w:rPr>
        <w:t>;</w:t>
      </w:r>
      <w:r w:rsidR="006727F1" w:rsidRPr="0044590D">
        <w:rPr>
          <w:lang w:val="en-GB"/>
        </w:rPr>
        <w:t xml:space="preserve"> </w:t>
      </w:r>
      <w:r w:rsidR="00CC0B6E" w:rsidRPr="0044590D">
        <w:rPr>
          <w:lang w:val="en-GB"/>
        </w:rPr>
        <w:t>(5) Comparison group</w:t>
      </w:r>
      <w:r w:rsidR="00E21AAD" w:rsidRPr="0044590D">
        <w:rPr>
          <w:lang w:val="en-GB"/>
        </w:rPr>
        <w:t>:</w:t>
      </w:r>
      <w:r w:rsidR="006727F1" w:rsidRPr="0044590D">
        <w:rPr>
          <w:lang w:val="en-GB"/>
        </w:rPr>
        <w:t xml:space="preserve"> With this data point, the settings of control group can be acquired</w:t>
      </w:r>
      <w:r w:rsidR="00E21AAD" w:rsidRPr="0044590D">
        <w:rPr>
          <w:lang w:val="en-GB"/>
        </w:rPr>
        <w:t>;</w:t>
      </w:r>
      <w:r w:rsidR="006727F1" w:rsidRPr="0044590D">
        <w:rPr>
          <w:lang w:val="en-GB"/>
        </w:rPr>
        <w:t xml:space="preserve"> </w:t>
      </w:r>
      <w:r w:rsidR="00C8100F" w:rsidRPr="0044590D">
        <w:rPr>
          <w:lang w:val="en-GB"/>
        </w:rPr>
        <w:t>(6) Bio</w:t>
      </w:r>
      <w:r w:rsidR="00CC0B6E" w:rsidRPr="0044590D">
        <w:rPr>
          <w:lang w:val="en-GB"/>
        </w:rPr>
        <w:t xml:space="preserve">logical </w:t>
      </w:r>
      <w:r w:rsidR="00C8100F" w:rsidRPr="0044590D">
        <w:rPr>
          <w:lang w:val="en-GB"/>
        </w:rPr>
        <w:t>sample</w:t>
      </w:r>
      <w:r w:rsidR="00E21AAD" w:rsidRPr="0044590D">
        <w:rPr>
          <w:lang w:val="en-GB" w:eastAsia="zh-CN"/>
        </w:rPr>
        <w:t>:</w:t>
      </w:r>
      <w:r w:rsidR="006727F1" w:rsidRPr="0044590D">
        <w:rPr>
          <w:lang w:val="en-GB" w:eastAsia="zh-CN"/>
        </w:rPr>
        <w:t xml:space="preserve"> Different biological samples with difference cells composition can convey different information.</w:t>
      </w:r>
      <w:r w:rsidR="006727F1" w:rsidRPr="0044590D">
        <w:rPr>
          <w:lang w:val="en-GB"/>
        </w:rPr>
        <w:t xml:space="preserve"> </w:t>
      </w:r>
      <w:r w:rsidR="00C8100F" w:rsidRPr="0044590D">
        <w:rPr>
          <w:lang w:val="en-GB"/>
        </w:rPr>
        <w:t>(7) Species</w:t>
      </w:r>
      <w:r w:rsidR="00E21AAD" w:rsidRPr="0044590D">
        <w:rPr>
          <w:lang w:val="en-GB"/>
        </w:rPr>
        <w:t>:</w:t>
      </w:r>
      <w:r w:rsidR="006727F1" w:rsidRPr="0044590D">
        <w:rPr>
          <w:lang w:val="en-GB"/>
        </w:rPr>
        <w:t xml:space="preserve"> The same treatment can act differently one different animal</w:t>
      </w:r>
      <w:r w:rsidR="00E21AAD" w:rsidRPr="0044590D">
        <w:rPr>
          <w:lang w:val="en-GB"/>
        </w:rPr>
        <w:t>;</w:t>
      </w:r>
      <w:r w:rsidR="006727F1" w:rsidRPr="0044590D">
        <w:rPr>
          <w:lang w:val="en-GB"/>
        </w:rPr>
        <w:t xml:space="preserve"> </w:t>
      </w:r>
      <w:r w:rsidR="0064303F" w:rsidRPr="0044590D">
        <w:rPr>
          <w:lang w:val="en-GB"/>
        </w:rPr>
        <w:t xml:space="preserve">(8) </w:t>
      </w:r>
      <w:r w:rsidR="00C8100F" w:rsidRPr="0044590D">
        <w:rPr>
          <w:lang w:val="en-GB"/>
        </w:rPr>
        <w:t>Differentially Expressed Genes</w:t>
      </w:r>
      <w:r w:rsidR="006727F1" w:rsidRPr="0044590D">
        <w:rPr>
          <w:lang w:val="en-GB"/>
        </w:rPr>
        <w:t xml:space="preserve"> (DEG</w:t>
      </w:r>
      <w:r w:rsidR="002B00DF" w:rsidRPr="0044590D">
        <w:rPr>
          <w:lang w:val="en-GB"/>
        </w:rPr>
        <w:t>s</w:t>
      </w:r>
      <w:r w:rsidR="006727F1" w:rsidRPr="0044590D">
        <w:rPr>
          <w:lang w:val="en-GB"/>
        </w:rPr>
        <w:t>)</w:t>
      </w:r>
      <w:r w:rsidR="00E21AAD" w:rsidRPr="0044590D">
        <w:rPr>
          <w:lang w:val="en-GB"/>
        </w:rPr>
        <w:t>;</w:t>
      </w:r>
      <w:r w:rsidR="006727F1" w:rsidRPr="0044590D">
        <w:rPr>
          <w:lang w:val="en-GB"/>
        </w:rPr>
        <w:t xml:space="preserve"> </w:t>
      </w:r>
      <w:r w:rsidR="0064303F" w:rsidRPr="0044590D">
        <w:rPr>
          <w:lang w:val="en-GB"/>
        </w:rPr>
        <w:t xml:space="preserve">(9) </w:t>
      </w:r>
      <w:r w:rsidR="00C8100F" w:rsidRPr="0044590D">
        <w:rPr>
          <w:lang w:val="en-GB"/>
        </w:rPr>
        <w:t>Differentially Expressed Proteins</w:t>
      </w:r>
      <w:r w:rsidR="006727F1" w:rsidRPr="0044590D">
        <w:rPr>
          <w:lang w:val="en-GB"/>
        </w:rPr>
        <w:t xml:space="preserve"> (DEP</w:t>
      </w:r>
      <w:r w:rsidR="002B00DF" w:rsidRPr="0044590D">
        <w:rPr>
          <w:lang w:val="en-GB"/>
        </w:rPr>
        <w:t>s</w:t>
      </w:r>
      <w:r w:rsidR="006727F1" w:rsidRPr="0044590D">
        <w:rPr>
          <w:lang w:val="en-GB"/>
        </w:rPr>
        <w:t>)</w:t>
      </w:r>
      <w:r w:rsidR="00E21AAD" w:rsidRPr="0044590D">
        <w:rPr>
          <w:lang w:val="en-GB"/>
        </w:rPr>
        <w:t xml:space="preserve">; </w:t>
      </w:r>
      <w:r w:rsidR="0064303F" w:rsidRPr="0044590D">
        <w:rPr>
          <w:lang w:val="en-GB"/>
        </w:rPr>
        <w:t xml:space="preserve">(10) </w:t>
      </w:r>
      <w:r w:rsidR="00C8100F" w:rsidRPr="0044590D">
        <w:rPr>
          <w:lang w:val="en-GB"/>
        </w:rPr>
        <w:t>Differentially Expressed Metabolites</w:t>
      </w:r>
      <w:r w:rsidR="002B00DF" w:rsidRPr="0044590D">
        <w:rPr>
          <w:lang w:val="en-GB"/>
        </w:rPr>
        <w:t xml:space="preserve"> (DEMs)</w:t>
      </w:r>
      <w:r w:rsidR="006727F1" w:rsidRPr="0044590D">
        <w:rPr>
          <w:lang w:val="en-GB"/>
        </w:rPr>
        <w:t xml:space="preserve">. </w:t>
      </w:r>
      <w:r w:rsidR="0064303F" w:rsidRPr="0044590D">
        <w:rPr>
          <w:lang w:val="en-GB"/>
        </w:rPr>
        <w:t xml:space="preserve">(11) </w:t>
      </w:r>
      <w:r w:rsidR="00C8100F" w:rsidRPr="0044590D">
        <w:rPr>
          <w:lang w:val="en-GB"/>
        </w:rPr>
        <w:t>Pathway Enrichment Results</w:t>
      </w:r>
      <w:r w:rsidR="006727F1" w:rsidRPr="0044590D">
        <w:rPr>
          <w:lang w:val="en-GB"/>
        </w:rPr>
        <w:t xml:space="preserve">: Results in regulatory can help us to understand the mechanism of cellular or tissue’s responses to stimulation. </w:t>
      </w:r>
    </w:p>
    <w:p w14:paraId="2EAEF0C9" w14:textId="767E943A" w:rsidR="00144277" w:rsidRPr="0044590D" w:rsidRDefault="005271A9" w:rsidP="00C8100F">
      <w:pPr>
        <w:pStyle w:val="Els-body-text"/>
        <w:rPr>
          <w:lang w:val="en-GB"/>
        </w:rPr>
      </w:pPr>
      <w:r w:rsidRPr="0044590D">
        <w:rPr>
          <w:lang w:val="en-GB"/>
        </w:rPr>
        <w:t xml:space="preserve">The prompts that describe each task are shown in Table 1. </w:t>
      </w:r>
      <w:r w:rsidR="00CC0B6E" w:rsidRPr="0044590D">
        <w:rPr>
          <w:lang w:val="en-GB"/>
        </w:rPr>
        <w:t>T</w:t>
      </w:r>
      <w:r w:rsidR="00CC0B6E" w:rsidRPr="0044590D">
        <w:rPr>
          <w:lang w:val="en-GB" w:eastAsia="zh-CN"/>
        </w:rPr>
        <w:t>o avoid hallucination, the description of each prompt is ended with “</w:t>
      </w:r>
      <w:r w:rsidR="00CC0B6E" w:rsidRPr="0044590D">
        <w:rPr>
          <w:i/>
          <w:iCs/>
          <w:lang w:val="en-GB" w:eastAsia="zh-CN"/>
        </w:rPr>
        <w:t>If the information isn't available, respond with ‘Not specified’</w:t>
      </w:r>
      <w:r w:rsidR="00CC0B6E" w:rsidRPr="0044590D">
        <w:rPr>
          <w:lang w:val="en-GB" w:eastAsia="zh-CN"/>
        </w:rPr>
        <w:t>”.</w:t>
      </w:r>
    </w:p>
    <w:p w14:paraId="115E1FFC" w14:textId="77777777" w:rsidR="00D22827" w:rsidRPr="0044590D" w:rsidRDefault="00D22827" w:rsidP="00C8100F">
      <w:pPr>
        <w:pStyle w:val="Els-body-text"/>
        <w:rPr>
          <w:lang w:val="en-GB"/>
        </w:rPr>
      </w:pPr>
    </w:p>
    <w:p w14:paraId="00DC2B90" w14:textId="207013A1" w:rsidR="00AA065A" w:rsidRPr="0044590D" w:rsidRDefault="00AA065A" w:rsidP="00AA065A">
      <w:pPr>
        <w:pStyle w:val="Caption"/>
        <w:keepNext/>
        <w:rPr>
          <w:lang w:val="en-GB"/>
        </w:rPr>
      </w:pPr>
      <w:r w:rsidRPr="0044590D">
        <w:rPr>
          <w:lang w:val="en-GB"/>
        </w:rPr>
        <w:lastRenderedPageBreak/>
        <w:t xml:space="preserve">Table </w:t>
      </w:r>
      <w:r w:rsidRPr="0044590D">
        <w:rPr>
          <w:lang w:val="en-GB"/>
        </w:rPr>
        <w:fldChar w:fldCharType="begin"/>
      </w:r>
      <w:r w:rsidRPr="0044590D">
        <w:rPr>
          <w:lang w:val="en-GB"/>
        </w:rPr>
        <w:instrText xml:space="preserve"> SEQ Table \* ARABIC </w:instrText>
      </w:r>
      <w:r w:rsidRPr="0044590D">
        <w:rPr>
          <w:lang w:val="en-GB"/>
        </w:rPr>
        <w:fldChar w:fldCharType="separate"/>
      </w:r>
      <w:r w:rsidRPr="0044590D">
        <w:rPr>
          <w:noProof/>
          <w:lang w:val="en-GB"/>
        </w:rPr>
        <w:t>1</w:t>
      </w:r>
      <w:r w:rsidRPr="0044590D">
        <w:rPr>
          <w:lang w:val="en-GB"/>
        </w:rPr>
        <w:fldChar w:fldCharType="end"/>
      </w:r>
      <w:r w:rsidRPr="0044590D">
        <w:rPr>
          <w:lang w:val="en-GB"/>
        </w:rPr>
        <w:t xml:space="preserve"> Extracted data points and </w:t>
      </w:r>
      <w:r w:rsidR="005271A9" w:rsidRPr="0044590D">
        <w:rPr>
          <w:lang w:val="en-GB"/>
        </w:rPr>
        <w:t xml:space="preserve">the </w:t>
      </w:r>
      <w:r w:rsidRPr="0044590D">
        <w:rPr>
          <w:lang w:val="en-GB"/>
        </w:rPr>
        <w:t>description</w:t>
      </w:r>
      <w:r w:rsidR="005271A9" w:rsidRPr="0044590D">
        <w:rPr>
          <w:lang w:val="en-GB"/>
        </w:rPr>
        <w:t xml:space="preserve"> of prompt</w:t>
      </w:r>
      <w:r w:rsidR="0044590D" w:rsidRPr="0044590D">
        <w:rPr>
          <w:lang w:val="en-GB"/>
        </w:rPr>
        <w:t>.</w:t>
      </w:r>
    </w:p>
    <w:tbl>
      <w:tblPr>
        <w:tblStyle w:val="TableGridLight"/>
        <w:tblW w:w="0" w:type="auto"/>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838"/>
        <w:gridCol w:w="5238"/>
      </w:tblGrid>
      <w:tr w:rsidR="00620C19" w:rsidRPr="0044590D" w14:paraId="1D2E2C40" w14:textId="77777777" w:rsidTr="00620C19">
        <w:tc>
          <w:tcPr>
            <w:tcW w:w="1838" w:type="dxa"/>
            <w:tcBorders>
              <w:top w:val="single" w:sz="4" w:space="0" w:color="000000"/>
              <w:bottom w:val="single" w:sz="4" w:space="0" w:color="000000"/>
              <w:right w:val="single" w:sz="4" w:space="0" w:color="000000"/>
            </w:tcBorders>
          </w:tcPr>
          <w:p w14:paraId="7D255B70" w14:textId="40CC582D" w:rsidR="00620C19" w:rsidRPr="0044590D" w:rsidRDefault="00620C19" w:rsidP="00C8100F">
            <w:pPr>
              <w:pStyle w:val="Els-body-text"/>
              <w:rPr>
                <w:lang w:val="en-GB"/>
              </w:rPr>
            </w:pPr>
            <w:r w:rsidRPr="0044590D">
              <w:rPr>
                <w:lang w:val="en-GB"/>
              </w:rPr>
              <w:t>Data points</w:t>
            </w:r>
          </w:p>
        </w:tc>
        <w:tc>
          <w:tcPr>
            <w:tcW w:w="5238" w:type="dxa"/>
            <w:tcBorders>
              <w:top w:val="single" w:sz="4" w:space="0" w:color="000000"/>
              <w:left w:val="single" w:sz="4" w:space="0" w:color="000000"/>
              <w:bottom w:val="single" w:sz="4" w:space="0" w:color="000000"/>
            </w:tcBorders>
          </w:tcPr>
          <w:p w14:paraId="1D31DE69" w14:textId="7D227F76" w:rsidR="00620C19" w:rsidRPr="0044590D" w:rsidRDefault="005271A9" w:rsidP="00C8100F">
            <w:pPr>
              <w:pStyle w:val="Els-body-text"/>
              <w:rPr>
                <w:lang w:val="en-GB"/>
              </w:rPr>
            </w:pPr>
            <w:r w:rsidRPr="0044590D">
              <w:rPr>
                <w:lang w:val="en-GB"/>
              </w:rPr>
              <w:t>Prompt</w:t>
            </w:r>
          </w:p>
        </w:tc>
      </w:tr>
      <w:tr w:rsidR="00620C19" w:rsidRPr="0044590D" w14:paraId="130B7CF2" w14:textId="77777777" w:rsidTr="00620C19">
        <w:tc>
          <w:tcPr>
            <w:tcW w:w="1838" w:type="dxa"/>
            <w:tcBorders>
              <w:top w:val="single" w:sz="4" w:space="0" w:color="000000"/>
              <w:right w:val="single" w:sz="4" w:space="0" w:color="000000"/>
            </w:tcBorders>
          </w:tcPr>
          <w:p w14:paraId="0F645F61" w14:textId="0D3EC26E" w:rsidR="00620C19" w:rsidRPr="0044590D" w:rsidRDefault="00620C19" w:rsidP="00C8100F">
            <w:pPr>
              <w:pStyle w:val="Els-body-text"/>
              <w:rPr>
                <w:lang w:val="en-GB"/>
              </w:rPr>
            </w:pPr>
            <w:r w:rsidRPr="0044590D">
              <w:rPr>
                <w:lang w:val="en-GB"/>
              </w:rPr>
              <w:t>Target article</w:t>
            </w:r>
          </w:p>
        </w:tc>
        <w:tc>
          <w:tcPr>
            <w:tcW w:w="5238" w:type="dxa"/>
            <w:tcBorders>
              <w:top w:val="single" w:sz="4" w:space="0" w:color="000000"/>
              <w:left w:val="single" w:sz="4" w:space="0" w:color="000000"/>
            </w:tcBorders>
          </w:tcPr>
          <w:p w14:paraId="18ABD4B2" w14:textId="2869BE04" w:rsidR="00620C19" w:rsidRPr="0044590D" w:rsidRDefault="00620C19" w:rsidP="00C8100F">
            <w:pPr>
              <w:pStyle w:val="Els-body-text"/>
              <w:rPr>
                <w:lang w:val="en-GB"/>
              </w:rPr>
            </w:pPr>
            <w:r w:rsidRPr="0044590D">
              <w:rPr>
                <w:lang w:val="en-GB"/>
              </w:rPr>
              <w:t>Is the article focused on omics analysis comparing two conditions (e.g., disease vs. control, treated vs. untreated, treatment A vs. treatment B)?</w:t>
            </w:r>
          </w:p>
        </w:tc>
      </w:tr>
      <w:tr w:rsidR="00620C19" w:rsidRPr="0044590D" w14:paraId="18FA036C" w14:textId="77777777" w:rsidTr="00620C19">
        <w:tc>
          <w:tcPr>
            <w:tcW w:w="1838" w:type="dxa"/>
            <w:tcBorders>
              <w:right w:val="single" w:sz="4" w:space="0" w:color="000000"/>
            </w:tcBorders>
          </w:tcPr>
          <w:p w14:paraId="3AC4FFF2" w14:textId="5A399041" w:rsidR="00620C19" w:rsidRPr="0044590D" w:rsidRDefault="00620C19" w:rsidP="00C8100F">
            <w:pPr>
              <w:pStyle w:val="Els-body-text"/>
              <w:rPr>
                <w:lang w:val="en-GB"/>
              </w:rPr>
            </w:pPr>
            <w:r w:rsidRPr="0044590D">
              <w:rPr>
                <w:lang w:val="en-GB"/>
              </w:rPr>
              <w:t>Type of omics</w:t>
            </w:r>
          </w:p>
        </w:tc>
        <w:tc>
          <w:tcPr>
            <w:tcW w:w="5238" w:type="dxa"/>
            <w:tcBorders>
              <w:left w:val="single" w:sz="4" w:space="0" w:color="000000"/>
            </w:tcBorders>
          </w:tcPr>
          <w:p w14:paraId="329BAAF3" w14:textId="71CD91CB" w:rsidR="00620C19" w:rsidRPr="0044590D" w:rsidRDefault="00620C19" w:rsidP="00C8100F">
            <w:pPr>
              <w:pStyle w:val="Els-body-text"/>
              <w:rPr>
                <w:lang w:val="en-GB"/>
              </w:rPr>
            </w:pPr>
            <w:r w:rsidRPr="0044590D">
              <w:rPr>
                <w:lang w:val="en-GB"/>
              </w:rPr>
              <w:t>What omics data layers are examined in this research? Identify all layers, such as genomics, transcriptomics, proteomics, phosphoproteomics, and metabolomics.</w:t>
            </w:r>
          </w:p>
        </w:tc>
      </w:tr>
      <w:tr w:rsidR="00620C19" w:rsidRPr="0044590D" w14:paraId="23D582E3" w14:textId="77777777" w:rsidTr="00620C19">
        <w:tc>
          <w:tcPr>
            <w:tcW w:w="1838" w:type="dxa"/>
            <w:tcBorders>
              <w:right w:val="single" w:sz="4" w:space="0" w:color="000000"/>
            </w:tcBorders>
          </w:tcPr>
          <w:p w14:paraId="4A62033A" w14:textId="43708402" w:rsidR="00620C19" w:rsidRPr="0044590D" w:rsidRDefault="00620C19" w:rsidP="00C8100F">
            <w:pPr>
              <w:pStyle w:val="Els-body-text"/>
              <w:rPr>
                <w:lang w:val="en-GB"/>
              </w:rPr>
            </w:pPr>
            <w:r w:rsidRPr="0044590D">
              <w:rPr>
                <w:lang w:val="en-GB"/>
              </w:rPr>
              <w:t>Perturbation</w:t>
            </w:r>
          </w:p>
        </w:tc>
        <w:tc>
          <w:tcPr>
            <w:tcW w:w="5238" w:type="dxa"/>
            <w:tcBorders>
              <w:left w:val="single" w:sz="4" w:space="0" w:color="000000"/>
            </w:tcBorders>
          </w:tcPr>
          <w:p w14:paraId="2D229C5E" w14:textId="2868EC2F" w:rsidR="00620C19" w:rsidRPr="0044590D" w:rsidRDefault="00620C19" w:rsidP="00C8100F">
            <w:pPr>
              <w:pStyle w:val="Els-body-text"/>
              <w:rPr>
                <w:lang w:val="en-GB"/>
              </w:rPr>
            </w:pPr>
            <w:r w:rsidRPr="0044590D">
              <w:rPr>
                <w:lang w:val="en-GB"/>
              </w:rPr>
              <w:t>Define the main factor causing the observed omics changes.</w:t>
            </w:r>
          </w:p>
        </w:tc>
      </w:tr>
      <w:tr w:rsidR="00620C19" w:rsidRPr="0044590D" w14:paraId="07E0FB9E" w14:textId="77777777" w:rsidTr="00620C19">
        <w:tc>
          <w:tcPr>
            <w:tcW w:w="1838" w:type="dxa"/>
            <w:tcBorders>
              <w:right w:val="single" w:sz="4" w:space="0" w:color="000000"/>
            </w:tcBorders>
          </w:tcPr>
          <w:p w14:paraId="510B15E8" w14:textId="031E3FBB" w:rsidR="00620C19" w:rsidRPr="0044590D" w:rsidRDefault="00620C19" w:rsidP="00C8100F">
            <w:pPr>
              <w:pStyle w:val="Els-body-text"/>
              <w:rPr>
                <w:lang w:val="en-GB"/>
              </w:rPr>
            </w:pPr>
            <w:r w:rsidRPr="0044590D">
              <w:rPr>
                <w:lang w:val="en-GB"/>
              </w:rPr>
              <w:t>Perturbation type</w:t>
            </w:r>
          </w:p>
        </w:tc>
        <w:tc>
          <w:tcPr>
            <w:tcW w:w="5238" w:type="dxa"/>
            <w:tcBorders>
              <w:left w:val="single" w:sz="4" w:space="0" w:color="000000"/>
            </w:tcBorders>
          </w:tcPr>
          <w:p w14:paraId="31543E26" w14:textId="2E2693D9" w:rsidR="00620C19" w:rsidRPr="0044590D" w:rsidRDefault="00620C19" w:rsidP="00C8100F">
            <w:pPr>
              <w:pStyle w:val="Els-body-text"/>
              <w:rPr>
                <w:lang w:val="en-GB"/>
              </w:rPr>
            </w:pPr>
            <w:r w:rsidRPr="0044590D">
              <w:rPr>
                <w:lang w:val="en-GB"/>
              </w:rPr>
              <w:t xml:space="preserve">Characterize the nature of the main cause. Options include 'disease', </w:t>
            </w:r>
            <w:r w:rsidR="00163F31" w:rsidRPr="0044590D">
              <w:rPr>
                <w:lang w:val="en-GB"/>
              </w:rPr>
              <w:t>'</w:t>
            </w:r>
            <w:r w:rsidR="00163F31">
              <w:rPr>
                <w:lang w:val="en-GB"/>
              </w:rPr>
              <w:t>monomolecular</w:t>
            </w:r>
            <w:r w:rsidR="00163F31" w:rsidRPr="0044590D">
              <w:rPr>
                <w:lang w:val="en-GB"/>
              </w:rPr>
              <w:t xml:space="preserve"> </w:t>
            </w:r>
            <w:r w:rsidRPr="0044590D">
              <w:rPr>
                <w:lang w:val="en-GB"/>
              </w:rPr>
              <w:t>substance', '</w:t>
            </w:r>
            <w:r w:rsidR="00163F31">
              <w:rPr>
                <w:lang w:val="en-GB"/>
              </w:rPr>
              <w:t>Complex</w:t>
            </w:r>
            <w:r w:rsidRPr="0044590D">
              <w:rPr>
                <w:lang w:val="en-GB"/>
              </w:rPr>
              <w:t xml:space="preserve"> </w:t>
            </w:r>
            <w:r w:rsidR="00163F31">
              <w:rPr>
                <w:lang w:val="en-GB"/>
              </w:rPr>
              <w:t>mixtures/</w:t>
            </w:r>
            <w:r w:rsidRPr="0044590D">
              <w:rPr>
                <w:lang w:val="en-GB"/>
              </w:rPr>
              <w:t>substance', 'physical processes', 'genetic modifications', 'development', 'resistance', and 'other'.</w:t>
            </w:r>
          </w:p>
        </w:tc>
      </w:tr>
      <w:tr w:rsidR="00620C19" w:rsidRPr="0044590D" w14:paraId="50B66035" w14:textId="77777777" w:rsidTr="00620C19">
        <w:tc>
          <w:tcPr>
            <w:tcW w:w="1838" w:type="dxa"/>
            <w:tcBorders>
              <w:right w:val="single" w:sz="4" w:space="0" w:color="000000"/>
            </w:tcBorders>
          </w:tcPr>
          <w:p w14:paraId="5D219EA2" w14:textId="028516B7" w:rsidR="00620C19" w:rsidRPr="0044590D" w:rsidRDefault="00620C19" w:rsidP="00C8100F">
            <w:pPr>
              <w:pStyle w:val="Els-body-text"/>
              <w:rPr>
                <w:lang w:val="en-GB"/>
              </w:rPr>
            </w:pPr>
            <w:r w:rsidRPr="0044590D">
              <w:rPr>
                <w:lang w:val="en-GB"/>
              </w:rPr>
              <w:t>Comparison group</w:t>
            </w:r>
          </w:p>
        </w:tc>
        <w:tc>
          <w:tcPr>
            <w:tcW w:w="5238" w:type="dxa"/>
            <w:tcBorders>
              <w:left w:val="single" w:sz="4" w:space="0" w:color="000000"/>
            </w:tcBorders>
          </w:tcPr>
          <w:p w14:paraId="6DCF9C91" w14:textId="6FEF13C7" w:rsidR="00620C19" w:rsidRPr="0044590D" w:rsidRDefault="00620C19" w:rsidP="00C8100F">
            <w:pPr>
              <w:pStyle w:val="Els-body-text"/>
              <w:rPr>
                <w:lang w:val="en-GB"/>
              </w:rPr>
            </w:pPr>
            <w:r w:rsidRPr="0044590D">
              <w:rPr>
                <w:lang w:val="en-GB"/>
              </w:rPr>
              <w:t>Identify the reference or control group against which the primary perturbation was studied. If not clearly stated or if the reference group lacks any specific condition, answer 'Control'.</w:t>
            </w:r>
          </w:p>
        </w:tc>
      </w:tr>
      <w:tr w:rsidR="00620C19" w:rsidRPr="0044590D" w14:paraId="1C0823F3" w14:textId="77777777" w:rsidTr="00620C19">
        <w:tc>
          <w:tcPr>
            <w:tcW w:w="1838" w:type="dxa"/>
            <w:tcBorders>
              <w:right w:val="single" w:sz="4" w:space="0" w:color="000000"/>
            </w:tcBorders>
          </w:tcPr>
          <w:p w14:paraId="7F95C2EB" w14:textId="23B7618B" w:rsidR="00620C19" w:rsidRPr="0044590D" w:rsidRDefault="00620C19" w:rsidP="00C8100F">
            <w:pPr>
              <w:pStyle w:val="Els-body-text"/>
              <w:rPr>
                <w:lang w:val="en-GB"/>
              </w:rPr>
            </w:pPr>
            <w:r w:rsidRPr="0044590D">
              <w:rPr>
                <w:lang w:val="en-GB"/>
              </w:rPr>
              <w:t>Biological sample</w:t>
            </w:r>
          </w:p>
        </w:tc>
        <w:tc>
          <w:tcPr>
            <w:tcW w:w="5238" w:type="dxa"/>
            <w:tcBorders>
              <w:left w:val="single" w:sz="4" w:space="0" w:color="000000"/>
            </w:tcBorders>
          </w:tcPr>
          <w:p w14:paraId="2F63A044" w14:textId="6225AB2B" w:rsidR="00620C19" w:rsidRPr="0044590D" w:rsidRDefault="00620C19" w:rsidP="00C8100F">
            <w:pPr>
              <w:pStyle w:val="Els-body-text"/>
              <w:rPr>
                <w:lang w:val="en-GB"/>
              </w:rPr>
            </w:pPr>
            <w:r w:rsidRPr="0044590D">
              <w:rPr>
                <w:lang w:val="en-GB"/>
              </w:rPr>
              <w:t>Specify the biological samples used in the research, such as cells, plasma, or urine</w:t>
            </w:r>
          </w:p>
        </w:tc>
      </w:tr>
      <w:tr w:rsidR="00620C19" w:rsidRPr="0044590D" w14:paraId="71760436" w14:textId="77777777" w:rsidTr="00620C19">
        <w:tc>
          <w:tcPr>
            <w:tcW w:w="1838" w:type="dxa"/>
            <w:tcBorders>
              <w:right w:val="single" w:sz="4" w:space="0" w:color="000000"/>
            </w:tcBorders>
          </w:tcPr>
          <w:p w14:paraId="4EAB4328" w14:textId="495E88B5" w:rsidR="00620C19" w:rsidRPr="0044590D" w:rsidRDefault="00620C19" w:rsidP="00C8100F">
            <w:pPr>
              <w:pStyle w:val="Els-body-text"/>
              <w:rPr>
                <w:lang w:val="en-GB"/>
              </w:rPr>
            </w:pPr>
            <w:r w:rsidRPr="0044590D">
              <w:rPr>
                <w:lang w:val="en-GB"/>
              </w:rPr>
              <w:t>Species</w:t>
            </w:r>
          </w:p>
        </w:tc>
        <w:tc>
          <w:tcPr>
            <w:tcW w:w="5238" w:type="dxa"/>
            <w:tcBorders>
              <w:left w:val="single" w:sz="4" w:space="0" w:color="000000"/>
            </w:tcBorders>
          </w:tcPr>
          <w:p w14:paraId="1B3C4028" w14:textId="578C88F9" w:rsidR="00620C19" w:rsidRPr="0044590D" w:rsidRDefault="00620C19" w:rsidP="00C8100F">
            <w:pPr>
              <w:pStyle w:val="Els-body-text"/>
              <w:rPr>
                <w:lang w:val="en-GB"/>
              </w:rPr>
            </w:pPr>
            <w:proofErr w:type="gramStart"/>
            <w:r w:rsidRPr="0044590D">
              <w:rPr>
                <w:lang w:val="en-GB"/>
              </w:rPr>
              <w:t>Specify clearly</w:t>
            </w:r>
            <w:proofErr w:type="gramEnd"/>
            <w:r w:rsidRPr="0044590D">
              <w:rPr>
                <w:lang w:val="en-GB"/>
              </w:rPr>
              <w:t xml:space="preserve"> the species the study was conducted on, such as Homo sapiens, mouse, rat.</w:t>
            </w:r>
          </w:p>
        </w:tc>
      </w:tr>
      <w:tr w:rsidR="00620C19" w:rsidRPr="0044590D" w14:paraId="35E8168C" w14:textId="77777777" w:rsidTr="00620C19">
        <w:tc>
          <w:tcPr>
            <w:tcW w:w="1838" w:type="dxa"/>
            <w:tcBorders>
              <w:right w:val="single" w:sz="4" w:space="0" w:color="000000"/>
            </w:tcBorders>
          </w:tcPr>
          <w:p w14:paraId="7F57F38C" w14:textId="4D056850" w:rsidR="00620C19" w:rsidRPr="0044590D" w:rsidRDefault="00620C19" w:rsidP="00C8100F">
            <w:pPr>
              <w:pStyle w:val="Els-body-text"/>
              <w:rPr>
                <w:lang w:val="en-GB"/>
              </w:rPr>
            </w:pPr>
            <w:r w:rsidRPr="0044590D">
              <w:rPr>
                <w:lang w:val="en-GB"/>
              </w:rPr>
              <w:t>DEG</w:t>
            </w:r>
            <w:r w:rsidR="002B00DF" w:rsidRPr="0044590D">
              <w:rPr>
                <w:lang w:val="en-GB"/>
              </w:rPr>
              <w:t>s</w:t>
            </w:r>
          </w:p>
        </w:tc>
        <w:tc>
          <w:tcPr>
            <w:tcW w:w="5238" w:type="dxa"/>
            <w:tcBorders>
              <w:left w:val="single" w:sz="4" w:space="0" w:color="000000"/>
            </w:tcBorders>
          </w:tcPr>
          <w:p w14:paraId="6C272CA1" w14:textId="0EC245A8" w:rsidR="00620C19" w:rsidRPr="0044590D" w:rsidRDefault="00620C19" w:rsidP="00C8100F">
            <w:pPr>
              <w:pStyle w:val="Els-body-text"/>
              <w:rPr>
                <w:lang w:val="en-GB"/>
              </w:rPr>
            </w:pPr>
            <w:r w:rsidRPr="0044590D">
              <w:rPr>
                <w:lang w:val="en-GB"/>
              </w:rPr>
              <w:t>List only the names of the specific differentially expressed genes, e.g., ATP2A1.</w:t>
            </w:r>
          </w:p>
        </w:tc>
      </w:tr>
      <w:tr w:rsidR="00620C19" w:rsidRPr="0044590D" w14:paraId="0C6D0613" w14:textId="77777777" w:rsidTr="00620C19">
        <w:tc>
          <w:tcPr>
            <w:tcW w:w="1838" w:type="dxa"/>
            <w:tcBorders>
              <w:right w:val="single" w:sz="4" w:space="0" w:color="000000"/>
            </w:tcBorders>
          </w:tcPr>
          <w:p w14:paraId="386C84C0" w14:textId="637F92C3" w:rsidR="00620C19" w:rsidRPr="0044590D" w:rsidRDefault="00620C19" w:rsidP="00C8100F">
            <w:pPr>
              <w:pStyle w:val="Els-body-text"/>
              <w:rPr>
                <w:lang w:val="en-GB"/>
              </w:rPr>
            </w:pPr>
            <w:r w:rsidRPr="0044590D">
              <w:rPr>
                <w:lang w:val="en-GB"/>
              </w:rPr>
              <w:t>DEP</w:t>
            </w:r>
            <w:r w:rsidR="002B00DF" w:rsidRPr="0044590D">
              <w:rPr>
                <w:lang w:val="en-GB"/>
              </w:rPr>
              <w:t>s</w:t>
            </w:r>
          </w:p>
        </w:tc>
        <w:tc>
          <w:tcPr>
            <w:tcW w:w="5238" w:type="dxa"/>
            <w:tcBorders>
              <w:left w:val="single" w:sz="4" w:space="0" w:color="000000"/>
            </w:tcBorders>
          </w:tcPr>
          <w:p w14:paraId="362D8C52" w14:textId="1C4D8553" w:rsidR="00620C19" w:rsidRPr="0044590D" w:rsidRDefault="00620C19" w:rsidP="00C8100F">
            <w:pPr>
              <w:pStyle w:val="Els-body-text"/>
              <w:rPr>
                <w:lang w:val="en-GB"/>
              </w:rPr>
            </w:pPr>
            <w:r w:rsidRPr="0044590D">
              <w:rPr>
                <w:lang w:val="en-GB"/>
              </w:rPr>
              <w:t>List only the names of the specific differentially expressed proteins, e.g. Paralemmin-3/A6NDB9.</w:t>
            </w:r>
          </w:p>
        </w:tc>
      </w:tr>
      <w:tr w:rsidR="00620C19" w:rsidRPr="0044590D" w14:paraId="5CC75302" w14:textId="77777777" w:rsidTr="00620C19">
        <w:tc>
          <w:tcPr>
            <w:tcW w:w="1838" w:type="dxa"/>
            <w:tcBorders>
              <w:right w:val="single" w:sz="4" w:space="0" w:color="000000"/>
            </w:tcBorders>
          </w:tcPr>
          <w:p w14:paraId="1559F32F" w14:textId="302E2A8B" w:rsidR="00620C19" w:rsidRPr="0044590D" w:rsidRDefault="00620C19" w:rsidP="00C8100F">
            <w:pPr>
              <w:pStyle w:val="Els-body-text"/>
              <w:rPr>
                <w:lang w:val="en-GB"/>
              </w:rPr>
            </w:pPr>
            <w:r w:rsidRPr="0044590D">
              <w:rPr>
                <w:lang w:val="en-GB"/>
              </w:rPr>
              <w:t>DEM</w:t>
            </w:r>
            <w:r w:rsidR="002B00DF" w:rsidRPr="0044590D">
              <w:rPr>
                <w:lang w:val="en-GB"/>
              </w:rPr>
              <w:t>s</w:t>
            </w:r>
          </w:p>
        </w:tc>
        <w:tc>
          <w:tcPr>
            <w:tcW w:w="5238" w:type="dxa"/>
            <w:tcBorders>
              <w:left w:val="single" w:sz="4" w:space="0" w:color="000000"/>
            </w:tcBorders>
          </w:tcPr>
          <w:p w14:paraId="36D321E0" w14:textId="18EA464F" w:rsidR="00620C19" w:rsidRPr="0044590D" w:rsidRDefault="00620C19" w:rsidP="00C8100F">
            <w:pPr>
              <w:pStyle w:val="Els-body-text"/>
              <w:rPr>
                <w:lang w:val="en-GB"/>
              </w:rPr>
            </w:pPr>
            <w:r w:rsidRPr="0044590D">
              <w:rPr>
                <w:lang w:val="en-GB"/>
              </w:rPr>
              <w:t>List only the names of the specific differentially expressed metabolites.</w:t>
            </w:r>
          </w:p>
        </w:tc>
      </w:tr>
      <w:tr w:rsidR="00620C19" w:rsidRPr="0044590D" w14:paraId="75D5DD66" w14:textId="77777777" w:rsidTr="00620C19">
        <w:tc>
          <w:tcPr>
            <w:tcW w:w="1838" w:type="dxa"/>
            <w:tcBorders>
              <w:right w:val="single" w:sz="4" w:space="0" w:color="000000"/>
            </w:tcBorders>
          </w:tcPr>
          <w:p w14:paraId="4375934B" w14:textId="5B95FD62" w:rsidR="00620C19" w:rsidRPr="0044590D" w:rsidRDefault="00620C19" w:rsidP="00C8100F">
            <w:pPr>
              <w:pStyle w:val="Els-body-text"/>
              <w:rPr>
                <w:lang w:val="en-GB"/>
              </w:rPr>
            </w:pPr>
            <w:r w:rsidRPr="0044590D">
              <w:rPr>
                <w:lang w:val="en-GB"/>
              </w:rPr>
              <w:t>Pathways</w:t>
            </w:r>
          </w:p>
        </w:tc>
        <w:tc>
          <w:tcPr>
            <w:tcW w:w="5238" w:type="dxa"/>
            <w:tcBorders>
              <w:left w:val="single" w:sz="4" w:space="0" w:color="000000"/>
              <w:bottom w:val="single" w:sz="4" w:space="0" w:color="000000"/>
            </w:tcBorders>
          </w:tcPr>
          <w:p w14:paraId="10A06F2D" w14:textId="64955614" w:rsidR="00620C19" w:rsidRPr="0044590D" w:rsidRDefault="00620C19" w:rsidP="00C8100F">
            <w:pPr>
              <w:pStyle w:val="Els-body-text"/>
              <w:rPr>
                <w:lang w:val="en-GB"/>
              </w:rPr>
            </w:pPr>
            <w:r w:rsidRPr="0044590D">
              <w:rPr>
                <w:lang w:val="en-GB"/>
              </w:rPr>
              <w:t>List the biological pathways (excluding individual genes or transcription factors) impacted by the primary perturbation.</w:t>
            </w:r>
          </w:p>
        </w:tc>
      </w:tr>
    </w:tbl>
    <w:p w14:paraId="122924DC" w14:textId="72A56090" w:rsidR="0064303F" w:rsidRPr="0044590D" w:rsidRDefault="0064303F" w:rsidP="00C8100F">
      <w:pPr>
        <w:pStyle w:val="Els-body-text"/>
        <w:rPr>
          <w:lang w:val="en-GB"/>
        </w:rPr>
      </w:pPr>
    </w:p>
    <w:p w14:paraId="776C1F7E" w14:textId="6018C30C" w:rsidR="008B7CE3" w:rsidRPr="0044590D" w:rsidRDefault="00641AFB" w:rsidP="00C8100F">
      <w:pPr>
        <w:pStyle w:val="Els-body-text"/>
        <w:rPr>
          <w:lang w:val="en-GB" w:eastAsia="zh-CN"/>
        </w:rPr>
      </w:pPr>
      <w:bookmarkStart w:id="0" w:name="OLE_LINK1"/>
      <w:bookmarkStart w:id="1" w:name="OLE_LINK2"/>
      <w:r w:rsidRPr="0044590D">
        <w:rPr>
          <w:lang w:val="en-GB"/>
        </w:rPr>
        <w:t>Extracted data underwent initial manual validation and formatting, with semicolons delineating multiple comparison groups.</w:t>
      </w:r>
      <w:r w:rsidR="005271A9" w:rsidRPr="0044590D">
        <w:rPr>
          <w:lang w:val="en-GB"/>
        </w:rPr>
        <w:t xml:space="preserve"> The validation classified each answer into three classes, a) Correct: the information is </w:t>
      </w:r>
      <w:proofErr w:type="gramStart"/>
      <w:r w:rsidR="005271A9" w:rsidRPr="0044590D">
        <w:rPr>
          <w:lang w:val="en-GB"/>
        </w:rPr>
        <w:t>correct</w:t>
      </w:r>
      <w:proofErr w:type="gramEnd"/>
      <w:r w:rsidR="005271A9" w:rsidRPr="0044590D">
        <w:rPr>
          <w:lang w:val="en-GB"/>
        </w:rPr>
        <w:t xml:space="preserve"> and the format is desired; b) Correct but not aligned: Correct information location but not in desired format; c) Wrong: wrong information extracted. The GPT-4 model achieved 83% to 100% in 11 tasks (Figure 2).</w:t>
      </w:r>
    </w:p>
    <w:bookmarkEnd w:id="0"/>
    <w:bookmarkEnd w:id="1"/>
    <w:p w14:paraId="661A11C3" w14:textId="77777777" w:rsidR="00972314" w:rsidRPr="0044590D" w:rsidRDefault="00972314" w:rsidP="00C8100F">
      <w:pPr>
        <w:pStyle w:val="Els-body-text"/>
        <w:rPr>
          <w:lang w:val="en-GB"/>
        </w:rPr>
      </w:pPr>
    </w:p>
    <w:p w14:paraId="2215B020" w14:textId="77777777" w:rsidR="00482A74" w:rsidRPr="0044590D" w:rsidRDefault="00972314" w:rsidP="00482A74">
      <w:pPr>
        <w:pStyle w:val="Els-body-text"/>
        <w:keepNext/>
        <w:rPr>
          <w:lang w:val="en-GB"/>
        </w:rPr>
      </w:pPr>
      <w:r w:rsidRPr="0044590D">
        <w:rPr>
          <w:noProof/>
          <w:lang w:val="en-GB"/>
        </w:rPr>
        <w:drawing>
          <wp:inline distT="0" distB="0" distL="0" distR="0" wp14:anchorId="4F06C6D5" wp14:editId="5B6AE0A8">
            <wp:extent cx="4499610" cy="1822027"/>
            <wp:effectExtent l="0" t="0" r="3175" b="5080"/>
            <wp:docPr id="2583828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9E7A41" w14:textId="68BD2009" w:rsidR="0064303F" w:rsidRPr="0044590D" w:rsidRDefault="00482A74" w:rsidP="00482A74">
      <w:pPr>
        <w:pStyle w:val="Caption"/>
        <w:jc w:val="both"/>
        <w:rPr>
          <w:lang w:val="en-GB"/>
        </w:rPr>
      </w:pPr>
      <w:r w:rsidRPr="0044590D">
        <w:rPr>
          <w:lang w:val="en-GB"/>
        </w:rPr>
        <w:t xml:space="preserve">Figure </w:t>
      </w:r>
      <w:r w:rsidRPr="0044590D">
        <w:rPr>
          <w:lang w:val="en-GB"/>
        </w:rPr>
        <w:fldChar w:fldCharType="begin"/>
      </w:r>
      <w:r w:rsidRPr="0044590D">
        <w:rPr>
          <w:lang w:val="en-GB"/>
        </w:rPr>
        <w:instrText xml:space="preserve"> SEQ Figure \* ARABIC </w:instrText>
      </w:r>
      <w:r w:rsidRPr="0044590D">
        <w:rPr>
          <w:lang w:val="en-GB"/>
        </w:rPr>
        <w:fldChar w:fldCharType="separate"/>
      </w:r>
      <w:r w:rsidR="00AA7910" w:rsidRPr="0044590D">
        <w:rPr>
          <w:noProof/>
          <w:lang w:val="en-GB"/>
        </w:rPr>
        <w:t>2</w:t>
      </w:r>
      <w:r w:rsidRPr="0044590D">
        <w:rPr>
          <w:lang w:val="en-GB"/>
        </w:rPr>
        <w:fldChar w:fldCharType="end"/>
      </w:r>
      <w:r w:rsidRPr="0044590D">
        <w:rPr>
          <w:lang w:val="en-GB"/>
        </w:rPr>
        <w:t xml:space="preserve"> The accuracy of zero-shot prompting in extracting information from 150 articles.</w:t>
      </w:r>
    </w:p>
    <w:p w14:paraId="64118CA8" w14:textId="54CE874B" w:rsidR="008777CC" w:rsidRPr="0044590D" w:rsidRDefault="008777CC" w:rsidP="0064303F">
      <w:pPr>
        <w:pStyle w:val="Els-2ndorder-head"/>
        <w:rPr>
          <w:lang w:val="en-GB"/>
        </w:rPr>
      </w:pPr>
      <w:r w:rsidRPr="0044590D">
        <w:rPr>
          <w:lang w:val="en-GB"/>
        </w:rPr>
        <w:lastRenderedPageBreak/>
        <w:t>Fine-tuning GPT model</w:t>
      </w:r>
    </w:p>
    <w:p w14:paraId="12F76398" w14:textId="1902AA66" w:rsidR="002B46E8" w:rsidRPr="0044590D" w:rsidRDefault="00641AFB" w:rsidP="00B35B38">
      <w:pPr>
        <w:pStyle w:val="Els-body-text"/>
        <w:rPr>
          <w:rFonts w:eastAsia="Times New Roman"/>
          <w:lang w:val="en-GB"/>
        </w:rPr>
      </w:pPr>
      <w:r w:rsidRPr="0044590D">
        <w:rPr>
          <w:rFonts w:eastAsia="Times New Roman" w:hint="eastAsia"/>
          <w:lang w:val="en-GB" w:eastAsia="zh-CN"/>
        </w:rPr>
        <w:t>T</w:t>
      </w:r>
      <w:r w:rsidRPr="0044590D">
        <w:rPr>
          <w:rFonts w:eastAsia="Times New Roman"/>
          <w:lang w:val="en-GB"/>
        </w:rPr>
        <w:t xml:space="preserve">wo fine-tuned </w:t>
      </w:r>
      <w:r w:rsidR="003B2863" w:rsidRPr="003B2863">
        <w:rPr>
          <w:rFonts w:eastAsia="Times New Roman"/>
          <w:lang w:val="en-GB"/>
        </w:rPr>
        <w:t xml:space="preserve">GPT-3.5-turbo </w:t>
      </w:r>
      <w:r w:rsidRPr="0044590D">
        <w:rPr>
          <w:rFonts w:eastAsia="Times New Roman"/>
          <w:lang w:val="en-GB"/>
        </w:rPr>
        <w:t>models</w:t>
      </w:r>
      <w:r w:rsidR="003B2863">
        <w:rPr>
          <w:rFonts w:eastAsia="Times New Roman"/>
          <w:lang w:val="en-GB"/>
        </w:rPr>
        <w:t xml:space="preserve"> (</w:t>
      </w:r>
      <w:r w:rsidR="003B2863" w:rsidRPr="003B2863">
        <w:rPr>
          <w:rFonts w:eastAsia="Times New Roman"/>
          <w:lang w:val="en-GB"/>
        </w:rPr>
        <w:t>gpt-3.5-turbo-</w:t>
      </w:r>
      <w:r w:rsidR="00163F31">
        <w:rPr>
          <w:rFonts w:eastAsia="Times New Roman"/>
          <w:lang w:val="en-GB"/>
        </w:rPr>
        <w:t>1106</w:t>
      </w:r>
      <w:r w:rsidR="003B2863">
        <w:rPr>
          <w:rFonts w:eastAsia="Times New Roman"/>
          <w:lang w:val="en-GB"/>
        </w:rPr>
        <w:t>)</w:t>
      </w:r>
      <w:r w:rsidR="003B2863" w:rsidRPr="003B2863">
        <w:rPr>
          <w:rFonts w:eastAsia="Times New Roman"/>
          <w:lang w:val="en-GB"/>
        </w:rPr>
        <w:t xml:space="preserve"> </w:t>
      </w:r>
      <w:r w:rsidRPr="0044590D">
        <w:rPr>
          <w:rFonts w:eastAsia="Times New Roman"/>
          <w:lang w:val="en-GB"/>
        </w:rPr>
        <w:t>were developed: one for classification and another for information extraction.</w:t>
      </w:r>
      <w:r w:rsidR="002B46E8" w:rsidRPr="0044590D">
        <w:rPr>
          <w:rFonts w:eastAsia="Times New Roman"/>
          <w:lang w:val="en-GB"/>
        </w:rPr>
        <w:t xml:space="preserve"> </w:t>
      </w:r>
    </w:p>
    <w:p w14:paraId="2F878443" w14:textId="529FD18B" w:rsidR="002B46E8" w:rsidRPr="0044590D" w:rsidRDefault="002B46E8" w:rsidP="002B46E8">
      <w:pPr>
        <w:pStyle w:val="Els-3rdorder-head"/>
        <w:rPr>
          <w:lang w:val="en-GB"/>
        </w:rPr>
      </w:pPr>
      <w:r w:rsidRPr="0044590D">
        <w:rPr>
          <w:lang w:val="en-GB"/>
        </w:rPr>
        <w:t>Fine-tuned model for target article identification</w:t>
      </w:r>
    </w:p>
    <w:p w14:paraId="374C27EA" w14:textId="607C63EC" w:rsidR="002B46E8" w:rsidRPr="0044590D" w:rsidRDefault="00641AFB" w:rsidP="00EB5EF3">
      <w:pPr>
        <w:pStyle w:val="Els-body-text"/>
        <w:rPr>
          <w:rFonts w:eastAsia="Times New Roman"/>
          <w:lang w:val="en-GB"/>
        </w:rPr>
      </w:pPr>
      <w:r w:rsidRPr="0044590D">
        <w:rPr>
          <w:rFonts w:eastAsia="Times New Roman"/>
          <w:lang w:val="en-GB"/>
        </w:rPr>
        <w:t>The classification model was trained using 150 positive articles from the initial step and 50 negative articles unrelated to omics analysis</w:t>
      </w:r>
      <w:r w:rsidR="002B46E8" w:rsidRPr="0044590D">
        <w:rPr>
          <w:rFonts w:eastAsia="Times New Roman"/>
          <w:lang w:val="en-GB"/>
        </w:rPr>
        <w:t xml:space="preserve">. The positive examples were </w:t>
      </w:r>
      <w:proofErr w:type="spellStart"/>
      <w:r w:rsidR="002B46E8" w:rsidRPr="0044590D">
        <w:rPr>
          <w:rFonts w:eastAsia="Times New Roman"/>
          <w:lang w:val="en-GB"/>
        </w:rPr>
        <w:t>labeled</w:t>
      </w:r>
      <w:proofErr w:type="spellEnd"/>
      <w:r w:rsidR="002B46E8" w:rsidRPr="0044590D">
        <w:rPr>
          <w:rFonts w:eastAsia="Times New Roman"/>
          <w:lang w:val="en-GB"/>
        </w:rPr>
        <w:t xml:space="preserve"> with ‘True</w:t>
      </w:r>
      <w:r w:rsidR="005061F0" w:rsidRPr="0044590D">
        <w:rPr>
          <w:rFonts w:eastAsia="Times New Roman"/>
          <w:lang w:val="en-GB"/>
        </w:rPr>
        <w:t>’,</w:t>
      </w:r>
      <w:r w:rsidR="002B46E8" w:rsidRPr="0044590D">
        <w:rPr>
          <w:rFonts w:eastAsia="Times New Roman"/>
          <w:lang w:val="en-GB"/>
        </w:rPr>
        <w:t xml:space="preserve"> and negative as ‘False’. The </w:t>
      </w:r>
      <w:r w:rsidR="005061F0" w:rsidRPr="0044590D">
        <w:rPr>
          <w:rFonts w:eastAsia="Times New Roman"/>
          <w:lang w:val="en-GB"/>
        </w:rPr>
        <w:t>prompt was structured as</w:t>
      </w:r>
      <w:r w:rsidR="00EB5EF3" w:rsidRPr="0044590D">
        <w:rPr>
          <w:rFonts w:eastAsia="Times New Roman"/>
          <w:lang w:val="en-GB"/>
        </w:rPr>
        <w:t xml:space="preserve"> </w:t>
      </w:r>
      <w:r w:rsidR="00EB5EF3" w:rsidRPr="0044590D">
        <w:rPr>
          <w:rFonts w:eastAsia="Times New Roman"/>
          <w:i/>
          <w:iCs/>
          <w:lang w:val="en-GB"/>
        </w:rPr>
        <w:t>“You are an expert in Bioinformatics. You are to determine if the study focused on omics analysis comparing two conditions (e.g., disease vs. control, treated vs. untreated, treatment A vs. treatment B) based on article title and abstract provided.”</w:t>
      </w:r>
      <w:r w:rsidR="00EB5EF3" w:rsidRPr="0044590D">
        <w:rPr>
          <w:rFonts w:eastAsia="Times New Roman"/>
          <w:lang w:val="en-GB"/>
        </w:rPr>
        <w:t xml:space="preserve"> </w:t>
      </w:r>
      <w:r w:rsidR="00EB5EF3" w:rsidRPr="0044590D">
        <w:rPr>
          <w:rFonts w:eastAsia="Times New Roman"/>
          <w:lang w:val="en-GB" w:eastAsia="zh-CN"/>
        </w:rPr>
        <w:t xml:space="preserve">Which is followed by the </w:t>
      </w:r>
      <w:r w:rsidR="005061F0" w:rsidRPr="0044590D">
        <w:rPr>
          <w:rFonts w:eastAsia="Times New Roman"/>
          <w:lang w:val="en-GB"/>
        </w:rPr>
        <w:t xml:space="preserve">title and </w:t>
      </w:r>
      <w:r w:rsidR="00EB5EF3" w:rsidRPr="0044590D">
        <w:rPr>
          <w:rFonts w:eastAsia="Times New Roman"/>
          <w:lang w:val="en-GB"/>
        </w:rPr>
        <w:t xml:space="preserve">the </w:t>
      </w:r>
      <w:r w:rsidR="005061F0" w:rsidRPr="0044590D">
        <w:rPr>
          <w:rFonts w:eastAsia="Times New Roman"/>
          <w:lang w:val="en-GB"/>
        </w:rPr>
        <w:t>abstract</w:t>
      </w:r>
      <w:r w:rsidR="00EB5EF3" w:rsidRPr="0044590D">
        <w:rPr>
          <w:rFonts w:eastAsia="Times New Roman"/>
          <w:lang w:val="en-GB"/>
        </w:rPr>
        <w:t xml:space="preserve">. The True/False labels were used as </w:t>
      </w:r>
      <w:r w:rsidRPr="0044590D">
        <w:rPr>
          <w:rFonts w:eastAsia="Times New Roman"/>
          <w:lang w:val="en-GB"/>
        </w:rPr>
        <w:t xml:space="preserve">expected </w:t>
      </w:r>
      <w:r w:rsidR="00EB5EF3" w:rsidRPr="0044590D">
        <w:rPr>
          <w:rFonts w:eastAsia="Times New Roman"/>
          <w:lang w:val="en-GB"/>
        </w:rPr>
        <w:t>output to fine tune the model.</w:t>
      </w:r>
    </w:p>
    <w:p w14:paraId="3B998F5E" w14:textId="3E8C1439" w:rsidR="002B46E8" w:rsidRPr="0044590D" w:rsidRDefault="002B46E8" w:rsidP="002B46E8">
      <w:pPr>
        <w:pStyle w:val="Els-3rdorder-head"/>
        <w:rPr>
          <w:lang w:val="en-GB"/>
        </w:rPr>
      </w:pPr>
      <w:r w:rsidRPr="0044590D">
        <w:rPr>
          <w:lang w:val="en-GB"/>
        </w:rPr>
        <w:t>Fine-tuned model for information extraction</w:t>
      </w:r>
    </w:p>
    <w:p w14:paraId="75A7941B" w14:textId="1D659CBB" w:rsidR="00EB5EF3" w:rsidRPr="0044590D" w:rsidRDefault="00641AFB" w:rsidP="00EB5EF3">
      <w:pPr>
        <w:pStyle w:val="Els-body-text"/>
        <w:rPr>
          <w:rFonts w:eastAsia="Times New Roman"/>
          <w:lang w:val="en-GB" w:eastAsia="zh-CN"/>
        </w:rPr>
      </w:pPr>
      <w:r w:rsidRPr="0044590D">
        <w:rPr>
          <w:rFonts w:eastAsia="Times New Roman"/>
          <w:lang w:val="en-GB"/>
        </w:rPr>
        <w:t>The preliminary model for information extraction was trained using pairs of titles, abstracts, and their respective extracted information, post manual correction.</w:t>
      </w:r>
      <w:r w:rsidR="00EB5EF3" w:rsidRPr="0044590D">
        <w:rPr>
          <w:rFonts w:eastAsia="Times New Roman"/>
          <w:lang w:val="en-GB"/>
        </w:rPr>
        <w:t xml:space="preserve"> The </w:t>
      </w:r>
      <w:r w:rsidR="008B7CE3" w:rsidRPr="0044590D">
        <w:rPr>
          <w:rFonts w:eastAsia="Times New Roman"/>
          <w:lang w:val="en-GB"/>
        </w:rPr>
        <w:t>prompt</w:t>
      </w:r>
      <w:r w:rsidR="00EB5EF3" w:rsidRPr="0044590D">
        <w:rPr>
          <w:rFonts w:eastAsia="Times New Roman"/>
          <w:lang w:val="en-GB"/>
        </w:rPr>
        <w:t xml:space="preserve"> </w:t>
      </w:r>
      <w:r w:rsidR="008B7CE3" w:rsidRPr="0044590D">
        <w:rPr>
          <w:rFonts w:eastAsia="Times New Roman"/>
          <w:lang w:val="en-GB"/>
        </w:rPr>
        <w:t xml:space="preserve">used for training </w:t>
      </w:r>
      <w:r w:rsidR="00EB5EF3" w:rsidRPr="0044590D">
        <w:rPr>
          <w:rFonts w:eastAsia="Times New Roman"/>
          <w:lang w:val="en-GB"/>
        </w:rPr>
        <w:t xml:space="preserve">contains </w:t>
      </w:r>
      <w:r w:rsidR="008B7CE3" w:rsidRPr="0044590D">
        <w:rPr>
          <w:rFonts w:eastAsia="Times New Roman"/>
          <w:lang w:val="en-GB"/>
        </w:rPr>
        <w:t>two</w:t>
      </w:r>
      <w:r w:rsidR="00EB5EF3" w:rsidRPr="0044590D">
        <w:rPr>
          <w:rFonts w:eastAsia="Times New Roman"/>
          <w:lang w:val="en-GB"/>
        </w:rPr>
        <w:t xml:space="preserve"> parts</w:t>
      </w:r>
      <w:r w:rsidR="008B7CE3" w:rsidRPr="0044590D">
        <w:rPr>
          <w:rFonts w:eastAsia="Times New Roman"/>
          <w:lang w:val="en-GB"/>
        </w:rPr>
        <w:t xml:space="preserve">. The first part is system message, which tells the system the details about the task of extraction, including the return format, JSON, and the 10 data points with the descriptions. The second part is user message, </w:t>
      </w:r>
      <w:r w:rsidR="00F614DF" w:rsidRPr="0044590D">
        <w:rPr>
          <w:rFonts w:eastAsia="Times New Roman"/>
          <w:lang w:val="en-GB" w:eastAsia="zh-CN"/>
        </w:rPr>
        <w:t>which contains the title and the abstract of the article. The ten time points were used as output to fine-tune the model.</w:t>
      </w:r>
    </w:p>
    <w:p w14:paraId="6CFB6C10" w14:textId="04AADDB4" w:rsidR="008777CC" w:rsidRPr="0044590D" w:rsidRDefault="008777CC" w:rsidP="008777CC">
      <w:pPr>
        <w:pStyle w:val="Els-2ndorder-head"/>
        <w:rPr>
          <w:lang w:val="en-GB"/>
        </w:rPr>
      </w:pPr>
      <w:r w:rsidRPr="0044590D">
        <w:rPr>
          <w:lang w:val="en-GB"/>
        </w:rPr>
        <w:t xml:space="preserve">Validation and </w:t>
      </w:r>
      <w:r w:rsidR="00B35B38" w:rsidRPr="0044590D">
        <w:rPr>
          <w:lang w:val="en-GB" w:eastAsia="zh-CN"/>
        </w:rPr>
        <w:t>correction</w:t>
      </w:r>
    </w:p>
    <w:p w14:paraId="697EA51C" w14:textId="69E09881" w:rsidR="008777CC" w:rsidRPr="0044590D" w:rsidRDefault="00F614DF" w:rsidP="006E198D">
      <w:pPr>
        <w:jc w:val="both"/>
        <w:rPr>
          <w:lang w:eastAsia="zh-CN"/>
        </w:rPr>
      </w:pPr>
      <w:r w:rsidRPr="0044590D">
        <w:t xml:space="preserve">After the development of </w:t>
      </w:r>
      <w:r w:rsidR="00641AFB" w:rsidRPr="0044590D">
        <w:t xml:space="preserve">the </w:t>
      </w:r>
      <w:r w:rsidRPr="0044590D">
        <w:rPr>
          <w:lang w:eastAsia="zh-CN"/>
        </w:rPr>
        <w:t>fine-tuned models</w:t>
      </w:r>
      <w:r w:rsidR="00641AFB" w:rsidRPr="0044590D">
        <w:rPr>
          <w:lang w:eastAsia="zh-CN"/>
        </w:rPr>
        <w:t xml:space="preserve"> for</w:t>
      </w:r>
      <w:r w:rsidR="00641AFB" w:rsidRPr="0044590D">
        <w:t xml:space="preserve"> classification </w:t>
      </w:r>
      <w:r w:rsidR="00641AFB" w:rsidRPr="0044590D">
        <w:rPr>
          <w:lang w:eastAsia="zh-CN"/>
        </w:rPr>
        <w:t>and information extraction</w:t>
      </w:r>
      <w:r w:rsidR="009F017F" w:rsidRPr="0044590D">
        <w:rPr>
          <w:lang w:eastAsia="zh-CN"/>
        </w:rPr>
        <w:t xml:space="preserve">, </w:t>
      </w:r>
      <w:r w:rsidR="00641AFB" w:rsidRPr="0044590D">
        <w:rPr>
          <w:lang w:eastAsia="zh-CN"/>
        </w:rPr>
        <w:t>these models were employed to process 200 articles</w:t>
      </w:r>
      <w:r w:rsidR="00B27B4C" w:rsidRPr="0044590D">
        <w:rPr>
          <w:lang w:eastAsia="zh-CN"/>
        </w:rPr>
        <w:t xml:space="preserve">. </w:t>
      </w:r>
      <w:r w:rsidR="005271A9" w:rsidRPr="0044590D">
        <w:rPr>
          <w:lang w:eastAsia="zh-CN"/>
        </w:rPr>
        <w:t>Zero-shot prompting was also employed for this determination</w:t>
      </w:r>
      <w:r w:rsidR="00B27B4C" w:rsidRPr="0044590D">
        <w:rPr>
          <w:lang w:eastAsia="zh-CN"/>
        </w:rPr>
        <w:t xml:space="preserve">. </w:t>
      </w:r>
      <w:r w:rsidR="005271A9" w:rsidRPr="0044590D">
        <w:rPr>
          <w:lang w:eastAsia="zh-CN"/>
        </w:rPr>
        <w:t>Comparisons were made between the results from the fine-tuned models and GPT-4, with any discrepancies being manually reviewed.</w:t>
      </w:r>
    </w:p>
    <w:p w14:paraId="5480C12A" w14:textId="6847772F" w:rsidR="00330816" w:rsidRPr="0044590D" w:rsidRDefault="005271A9" w:rsidP="006E198D">
      <w:pPr>
        <w:pStyle w:val="Els-body-text"/>
        <w:rPr>
          <w:lang w:val="en-GB" w:eastAsia="zh-CN"/>
        </w:rPr>
      </w:pPr>
      <w:r w:rsidRPr="0044590D">
        <w:rPr>
          <w:lang w:val="en-GB"/>
        </w:rPr>
        <w:t>Of these, 1</w:t>
      </w:r>
      <w:r w:rsidR="001C456F">
        <w:rPr>
          <w:lang w:val="en-GB"/>
        </w:rPr>
        <w:t>69</w:t>
      </w:r>
      <w:r w:rsidRPr="0044590D">
        <w:rPr>
          <w:lang w:val="en-GB"/>
        </w:rPr>
        <w:t xml:space="preserve"> articles were identified as target papers and used for further information extraction. </w:t>
      </w:r>
      <w:r w:rsidR="00330816" w:rsidRPr="0044590D">
        <w:rPr>
          <w:lang w:val="en-GB" w:eastAsia="zh-CN"/>
        </w:rPr>
        <w:t xml:space="preserve">The results from </w:t>
      </w:r>
      <w:r w:rsidRPr="0044590D">
        <w:rPr>
          <w:lang w:val="en-GB" w:eastAsia="zh-CN"/>
        </w:rPr>
        <w:t>the fine-tuned models underwent validation using zero-shot prompting</w:t>
      </w:r>
      <w:r w:rsidR="001C456F">
        <w:rPr>
          <w:lang w:val="en-GB" w:eastAsia="zh-CN"/>
        </w:rPr>
        <w:t xml:space="preserve"> </w:t>
      </w:r>
      <w:r w:rsidRPr="0044590D">
        <w:rPr>
          <w:lang w:val="en-GB" w:eastAsia="zh-CN"/>
        </w:rPr>
        <w:t>GPT-</w:t>
      </w:r>
      <w:r w:rsidR="00330816" w:rsidRPr="0044590D">
        <w:rPr>
          <w:lang w:val="en-GB" w:eastAsia="zh-CN"/>
        </w:rPr>
        <w:t>4. The prompt was structed to have two parts, the first part, system message, starts with “Your task is to determine if the student's answers is correct or not.</w:t>
      </w:r>
    </w:p>
    <w:p w14:paraId="6A7F45D7" w14:textId="77777777" w:rsidR="00330816" w:rsidRPr="0044590D" w:rsidRDefault="00330816" w:rsidP="006E198D">
      <w:pPr>
        <w:pStyle w:val="Els-body-text"/>
        <w:rPr>
          <w:lang w:val="en-GB" w:eastAsia="zh-CN"/>
        </w:rPr>
      </w:pPr>
      <w:r w:rsidRPr="0044590D">
        <w:rPr>
          <w:lang w:val="en-GB" w:eastAsia="zh-CN"/>
        </w:rPr>
        <w:t xml:space="preserve">To solve the </w:t>
      </w:r>
      <w:proofErr w:type="gramStart"/>
      <w:r w:rsidRPr="0044590D">
        <w:rPr>
          <w:lang w:val="en-GB" w:eastAsia="zh-CN"/>
        </w:rPr>
        <w:t>problem</w:t>
      </w:r>
      <w:proofErr w:type="gramEnd"/>
      <w:r w:rsidRPr="0044590D">
        <w:rPr>
          <w:lang w:val="en-GB" w:eastAsia="zh-CN"/>
        </w:rPr>
        <w:t xml:space="preserve"> do the following:</w:t>
      </w:r>
    </w:p>
    <w:p w14:paraId="2FA7444A" w14:textId="77777777" w:rsidR="00330816" w:rsidRPr="0044590D" w:rsidRDefault="00330816" w:rsidP="006E198D">
      <w:pPr>
        <w:pStyle w:val="Els-body-text"/>
        <w:rPr>
          <w:lang w:val="en-GB" w:eastAsia="zh-CN"/>
        </w:rPr>
      </w:pPr>
      <w:r w:rsidRPr="0044590D">
        <w:rPr>
          <w:lang w:val="en-GB" w:eastAsia="zh-CN"/>
        </w:rPr>
        <w:t xml:space="preserve">- First, work out your own answers to the questions. </w:t>
      </w:r>
    </w:p>
    <w:p w14:paraId="483683F5" w14:textId="040287F8" w:rsidR="00B27B4C" w:rsidRPr="0044590D" w:rsidRDefault="00330816" w:rsidP="006E198D">
      <w:pPr>
        <w:pStyle w:val="Els-body-text"/>
        <w:rPr>
          <w:lang w:val="en-GB" w:eastAsia="zh-CN"/>
        </w:rPr>
      </w:pPr>
      <w:r w:rsidRPr="0044590D">
        <w:rPr>
          <w:lang w:val="en-GB" w:eastAsia="zh-CN"/>
        </w:rPr>
        <w:t xml:space="preserve">- Then compare your solution to the student's solution and evaluate if the student's solution is correct or not.” </w:t>
      </w:r>
      <w:r w:rsidR="00B027DC" w:rsidRPr="0044590D">
        <w:rPr>
          <w:lang w:val="en-GB" w:eastAsia="zh-CN"/>
        </w:rPr>
        <w:t xml:space="preserve">Also indicated the desired answer is “Correct/Wrong”. The second part user massage was structured to include the instruction of desired data points extraction, title, abstract, and “student solutions”. </w:t>
      </w:r>
    </w:p>
    <w:p w14:paraId="435DB57F" w14:textId="3E8B3001" w:rsidR="00B027DC" w:rsidRPr="0044590D" w:rsidRDefault="00B027DC" w:rsidP="006E198D">
      <w:pPr>
        <w:pStyle w:val="Els-body-text"/>
        <w:rPr>
          <w:lang w:val="en-GB" w:eastAsia="zh-CN"/>
        </w:rPr>
      </w:pPr>
      <w:r w:rsidRPr="0044590D">
        <w:rPr>
          <w:lang w:val="en-GB" w:eastAsia="zh-CN"/>
        </w:rPr>
        <w:t xml:space="preserve">The results that were regarded as a wrong answer were validated manually. To understand the performance of both the </w:t>
      </w:r>
      <w:r w:rsidR="00D95A4C" w:rsidRPr="0044590D">
        <w:rPr>
          <w:lang w:val="en-GB" w:eastAsia="zh-CN"/>
        </w:rPr>
        <w:t>GPT</w:t>
      </w:r>
      <w:r w:rsidRPr="0044590D">
        <w:rPr>
          <w:lang w:val="en-GB" w:eastAsia="zh-CN"/>
        </w:rPr>
        <w:t>-4 and fine-tuned GPT</w:t>
      </w:r>
      <w:r w:rsidR="00D95A4C" w:rsidRPr="0044590D">
        <w:rPr>
          <w:lang w:val="en-GB" w:eastAsia="zh-CN"/>
        </w:rPr>
        <w:t>-4</w:t>
      </w:r>
      <w:r w:rsidRPr="0044590D">
        <w:rPr>
          <w:lang w:val="en-GB" w:eastAsia="zh-CN"/>
        </w:rPr>
        <w:t xml:space="preserve"> model, the output from two model were assessed </w:t>
      </w:r>
      <w:r w:rsidR="00560556" w:rsidRPr="0044590D">
        <w:rPr>
          <w:lang w:val="en-GB" w:eastAsia="zh-CN"/>
        </w:rPr>
        <w:t xml:space="preserve">comprehensively. </w:t>
      </w:r>
    </w:p>
    <w:p w14:paraId="24C76790" w14:textId="0FFCED23" w:rsidR="003A665D" w:rsidRPr="0044590D" w:rsidRDefault="00430E56" w:rsidP="006E198D">
      <w:pPr>
        <w:pStyle w:val="Els-body-text"/>
        <w:rPr>
          <w:lang w:val="en-GB" w:eastAsia="zh-CN"/>
        </w:rPr>
      </w:pPr>
      <w:r w:rsidRPr="0044590D">
        <w:rPr>
          <w:lang w:val="en-GB" w:eastAsia="zh-CN"/>
        </w:rPr>
        <w:t xml:space="preserve">Following manual corrections, the consolidated results were used to train two additional fine-tuned models. </w:t>
      </w:r>
      <w:r w:rsidR="00796E7D">
        <w:rPr>
          <w:lang w:val="en-GB" w:eastAsia="zh-CN"/>
        </w:rPr>
        <w:t>Step 2.3.1- 2.4 were repeated on b</w:t>
      </w:r>
      <w:r w:rsidR="00FF3F1D">
        <w:rPr>
          <w:lang w:val="en-GB" w:eastAsia="zh-CN"/>
        </w:rPr>
        <w:t>oth the</w:t>
      </w:r>
      <w:r w:rsidR="00FF3F1D" w:rsidRPr="0044590D">
        <w:rPr>
          <w:lang w:val="en-GB" w:eastAsia="zh-CN"/>
        </w:rPr>
        <w:t xml:space="preserve"> </w:t>
      </w:r>
      <w:r w:rsidRPr="0044590D">
        <w:rPr>
          <w:lang w:val="en-GB" w:eastAsia="zh-CN"/>
        </w:rPr>
        <w:t>second</w:t>
      </w:r>
      <w:r w:rsidR="001C456F">
        <w:rPr>
          <w:lang w:val="en-GB" w:eastAsia="zh-CN"/>
        </w:rPr>
        <w:t xml:space="preserve"> and third</w:t>
      </w:r>
      <w:r w:rsidRPr="0044590D">
        <w:rPr>
          <w:lang w:val="en-GB" w:eastAsia="zh-CN"/>
        </w:rPr>
        <w:t xml:space="preserve"> batch</w:t>
      </w:r>
      <w:r w:rsidR="00FF3F1D">
        <w:rPr>
          <w:lang w:val="en-GB" w:eastAsia="zh-CN"/>
        </w:rPr>
        <w:t>,</w:t>
      </w:r>
      <w:r w:rsidRPr="0044590D">
        <w:rPr>
          <w:lang w:val="en-GB" w:eastAsia="zh-CN"/>
        </w:rPr>
        <w:t xml:space="preserve"> </w:t>
      </w:r>
      <w:r w:rsidR="00FF3F1D">
        <w:rPr>
          <w:lang w:val="en-GB" w:eastAsia="zh-CN"/>
        </w:rPr>
        <w:t>comprising</w:t>
      </w:r>
      <w:r w:rsidR="001C456F">
        <w:rPr>
          <w:lang w:val="en-GB" w:eastAsia="zh-CN"/>
        </w:rPr>
        <w:t xml:space="preserve"> </w:t>
      </w:r>
      <w:r w:rsidRPr="0044590D">
        <w:rPr>
          <w:lang w:val="en-GB" w:eastAsia="zh-CN"/>
        </w:rPr>
        <w:t>2</w:t>
      </w:r>
      <w:r w:rsidR="001C456F">
        <w:rPr>
          <w:lang w:val="en-GB" w:eastAsia="zh-CN"/>
        </w:rPr>
        <w:t>00</w:t>
      </w:r>
      <w:r w:rsidRPr="0044590D">
        <w:rPr>
          <w:lang w:val="en-GB" w:eastAsia="zh-CN"/>
        </w:rPr>
        <w:t xml:space="preserve"> articles </w:t>
      </w:r>
      <w:r w:rsidR="001C456F">
        <w:rPr>
          <w:lang w:val="en-GB" w:eastAsia="zh-CN"/>
        </w:rPr>
        <w:t>each</w:t>
      </w:r>
      <w:r w:rsidRPr="0044590D">
        <w:rPr>
          <w:lang w:val="en-GB" w:eastAsia="zh-CN"/>
        </w:rPr>
        <w:t>.</w:t>
      </w:r>
      <w:r w:rsidR="001C456F">
        <w:rPr>
          <w:lang w:val="en-GB" w:eastAsia="zh-CN"/>
        </w:rPr>
        <w:t xml:space="preserve"> </w:t>
      </w:r>
      <w:r w:rsidR="00FF3F1D" w:rsidRPr="00FF3F1D">
        <w:rPr>
          <w:lang w:val="en-GB" w:eastAsia="zh-CN"/>
        </w:rPr>
        <w:t>This semi-automated fine-tuning process reduced the workload by 72% compared to manually assessing all data points.</w:t>
      </w:r>
    </w:p>
    <w:p w14:paraId="2DCA6A26" w14:textId="416691F3" w:rsidR="003A665D" w:rsidRPr="0044590D" w:rsidRDefault="003A665D" w:rsidP="002D22DE">
      <w:pPr>
        <w:pStyle w:val="Els-2ndorder-head"/>
        <w:rPr>
          <w:lang w:val="en-GB" w:eastAsia="zh-CN"/>
        </w:rPr>
      </w:pPr>
      <w:r w:rsidRPr="0044590D">
        <w:rPr>
          <w:lang w:val="en-GB"/>
        </w:rPr>
        <w:t>Large-scale information extraction</w:t>
      </w:r>
    </w:p>
    <w:p w14:paraId="5EBFD809" w14:textId="2C889D07" w:rsidR="008B606D" w:rsidRPr="0044590D" w:rsidRDefault="00430E56" w:rsidP="008B606D">
      <w:pPr>
        <w:pStyle w:val="Els-body-text"/>
        <w:rPr>
          <w:lang w:val="en-GB" w:eastAsia="zh-CN"/>
        </w:rPr>
      </w:pPr>
      <w:r w:rsidRPr="0044590D">
        <w:rPr>
          <w:lang w:val="en-GB" w:eastAsia="zh-CN"/>
        </w:rPr>
        <w:t xml:space="preserve">After three iterations of fine-tuning, the models achieved accuracies of </w:t>
      </w:r>
      <w:r w:rsidR="00B423C8">
        <w:rPr>
          <w:lang w:val="en-GB" w:eastAsia="zh-CN"/>
        </w:rPr>
        <w:t>97</w:t>
      </w:r>
      <w:r w:rsidRPr="0044590D">
        <w:rPr>
          <w:lang w:val="en-GB" w:eastAsia="zh-CN"/>
        </w:rPr>
        <w:t>% in classification and</w:t>
      </w:r>
      <w:r w:rsidR="00B423C8">
        <w:rPr>
          <w:lang w:val="en-GB" w:eastAsia="zh-CN"/>
        </w:rPr>
        <w:t xml:space="preserve"> average accuracies of </w:t>
      </w:r>
      <w:r w:rsidR="00163F31">
        <w:rPr>
          <w:lang w:val="en-GB" w:eastAsia="zh-CN"/>
        </w:rPr>
        <w:t>9</w:t>
      </w:r>
      <w:r w:rsidR="00163F31">
        <w:rPr>
          <w:lang w:val="en-GB" w:eastAsia="zh-CN"/>
        </w:rPr>
        <w:t>7</w:t>
      </w:r>
      <w:r w:rsidRPr="0044590D">
        <w:rPr>
          <w:lang w:val="en-GB" w:eastAsia="zh-CN"/>
        </w:rPr>
        <w:t xml:space="preserve">% in </w:t>
      </w:r>
      <w:r w:rsidR="00B423C8">
        <w:rPr>
          <w:lang w:val="en-GB" w:eastAsia="zh-CN"/>
        </w:rPr>
        <w:t xml:space="preserve">10 tasks in </w:t>
      </w:r>
      <w:r w:rsidRPr="0044590D">
        <w:rPr>
          <w:lang w:val="en-GB" w:eastAsia="zh-CN"/>
        </w:rPr>
        <w:t xml:space="preserve">information extraction. The classification model was then applied to the remaining articles in the pool, identifying those relevant for further information extraction. Ultimately, this process yielded data on </w:t>
      </w:r>
      <w:r w:rsidR="006751C5">
        <w:rPr>
          <w:lang w:val="en-GB" w:eastAsia="zh-CN"/>
        </w:rPr>
        <w:t>1063</w:t>
      </w:r>
      <w:r w:rsidRPr="0044590D">
        <w:rPr>
          <w:lang w:val="en-GB" w:eastAsia="zh-CN"/>
        </w:rPr>
        <w:t xml:space="preserve"> </w:t>
      </w:r>
      <w:r w:rsidR="006751C5">
        <w:rPr>
          <w:lang w:val="en-GB" w:eastAsia="zh-CN"/>
        </w:rPr>
        <w:t>monomolecular</w:t>
      </w:r>
      <w:r w:rsidR="006751C5" w:rsidRPr="0044590D">
        <w:rPr>
          <w:lang w:val="en-GB" w:eastAsia="zh-CN"/>
        </w:rPr>
        <w:t xml:space="preserve"> </w:t>
      </w:r>
      <w:r w:rsidRPr="0044590D">
        <w:rPr>
          <w:lang w:val="en-GB" w:eastAsia="zh-CN"/>
        </w:rPr>
        <w:t>substances</w:t>
      </w:r>
      <w:r w:rsidR="006751C5">
        <w:rPr>
          <w:lang w:val="en-GB" w:eastAsia="zh-CN"/>
        </w:rPr>
        <w:t xml:space="preserve"> and </w:t>
      </w:r>
      <w:r w:rsidR="001C456F">
        <w:rPr>
          <w:lang w:val="en-GB" w:eastAsia="zh-CN"/>
        </w:rPr>
        <w:t>758 complex mixtures/substances</w:t>
      </w:r>
      <w:r w:rsidRPr="0044590D">
        <w:rPr>
          <w:lang w:val="en-GB" w:eastAsia="zh-CN"/>
        </w:rPr>
        <w:t>, alongside corresponding differentially expressed genes, proteins, metabolites, and regulatory pathways.</w:t>
      </w:r>
    </w:p>
    <w:p w14:paraId="44409DE5" w14:textId="3C4A315C" w:rsidR="00AA7910" w:rsidRPr="0044590D" w:rsidRDefault="00376933" w:rsidP="00A24CE5">
      <w:pPr>
        <w:pStyle w:val="Els-body-text"/>
        <w:keepNext/>
        <w:rPr>
          <w:lang w:val="en-GB"/>
        </w:rPr>
      </w:pPr>
      <w:r>
        <w:rPr>
          <w:noProof/>
          <w:lang w:val="en-GB"/>
        </w:rPr>
        <w:lastRenderedPageBreak/>
        <mc:AlternateContent>
          <mc:Choice Requires="wps">
            <w:drawing>
              <wp:anchor distT="0" distB="0" distL="114300" distR="114300" simplePos="0" relativeHeight="251661312" behindDoc="0" locked="0" layoutInCell="1" allowOverlap="1" wp14:anchorId="6BBD1959" wp14:editId="72CD26D5">
                <wp:simplePos x="0" y="0"/>
                <wp:positionH relativeFrom="column">
                  <wp:posOffset>2141855</wp:posOffset>
                </wp:positionH>
                <wp:positionV relativeFrom="paragraph">
                  <wp:posOffset>34936</wp:posOffset>
                </wp:positionV>
                <wp:extent cx="382249" cy="254760"/>
                <wp:effectExtent l="0" t="0" r="0" b="0"/>
                <wp:wrapNone/>
                <wp:docPr id="451267593" name="Text Box 1"/>
                <wp:cNvGraphicFramePr/>
                <a:graphic xmlns:a="http://schemas.openxmlformats.org/drawingml/2006/main">
                  <a:graphicData uri="http://schemas.microsoft.com/office/word/2010/wordprocessingShape">
                    <wps:wsp>
                      <wps:cNvSpPr txBox="1"/>
                      <wps:spPr>
                        <a:xfrm>
                          <a:off x="0" y="0"/>
                          <a:ext cx="382249" cy="254760"/>
                        </a:xfrm>
                        <a:prstGeom prst="rect">
                          <a:avLst/>
                        </a:prstGeom>
                        <a:noFill/>
                        <a:ln w="6350">
                          <a:noFill/>
                        </a:ln>
                      </wps:spPr>
                      <wps:txbx>
                        <w:txbxContent>
                          <w:p w14:paraId="524FDE15" w14:textId="73889138" w:rsidR="00376933" w:rsidRPr="00376933" w:rsidRDefault="00376933" w:rsidP="00376933">
                            <w:pPr>
                              <w:rPr>
                                <w:sz w:val="18"/>
                                <w:szCs w:val="18"/>
                              </w:rPr>
                            </w:pPr>
                            <w:r>
                              <w:rPr>
                                <w:sz w:val="18"/>
                                <w:szCs w:val="18"/>
                              </w:rPr>
                              <w:t>b</w:t>
                            </w:r>
                            <w:r w:rsidRPr="00376933">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D1959" id="_x0000_t202" coordsize="21600,21600" o:spt="202" path="m,l,21600r21600,l21600,xe">
                <v:stroke joinstyle="miter"/>
                <v:path gradientshapeok="t" o:connecttype="rect"/>
              </v:shapetype>
              <v:shape id="Text Box 1" o:spid="_x0000_s1026" type="#_x0000_t202" style="position:absolute;left:0;text-align:left;margin-left:168.65pt;margin-top:2.75pt;width:30.1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" filled="f" stroked="f" strokeweight=".5pt">
                <v:textbox>
                  <w:txbxContent>
                    <w:p w14:paraId="524FDE15" w14:textId="73889138" w:rsidR="00376933" w:rsidRPr="00376933" w:rsidRDefault="00376933" w:rsidP="00376933">
                      <w:pPr>
                        <w:rPr>
                          <w:sz w:val="18"/>
                          <w:szCs w:val="18"/>
                        </w:rPr>
                      </w:pPr>
                      <w:r>
                        <w:rPr>
                          <w:sz w:val="18"/>
                          <w:szCs w:val="18"/>
                        </w:rPr>
                        <w:t>b</w:t>
                      </w:r>
                      <w:r w:rsidRPr="00376933">
                        <w:rPr>
                          <w:sz w:val="18"/>
                          <w:szCs w:val="18"/>
                        </w:rPr>
                        <w:t>)</w:t>
                      </w:r>
                    </w:p>
                  </w:txbxContent>
                </v:textbox>
              </v:shape>
            </w:pict>
          </mc:Fallback>
        </mc:AlternateContent>
      </w:r>
      <w:r>
        <w:rPr>
          <w:noProof/>
          <w:lang w:val="en-GB"/>
        </w:rPr>
        <mc:AlternateContent>
          <mc:Choice Requires="wps">
            <w:drawing>
              <wp:anchor distT="0" distB="0" distL="114300" distR="114300" simplePos="0" relativeHeight="251659264" behindDoc="0" locked="0" layoutInCell="1" allowOverlap="1" wp14:anchorId="3BF4C9DD" wp14:editId="5DCEBA10">
                <wp:simplePos x="0" y="0"/>
                <wp:positionH relativeFrom="column">
                  <wp:posOffset>-635</wp:posOffset>
                </wp:positionH>
                <wp:positionV relativeFrom="paragraph">
                  <wp:posOffset>49842</wp:posOffset>
                </wp:positionV>
                <wp:extent cx="299803" cy="262266"/>
                <wp:effectExtent l="0" t="0" r="0" b="0"/>
                <wp:wrapNone/>
                <wp:docPr id="1810892795" name="Text Box 1"/>
                <wp:cNvGraphicFramePr/>
                <a:graphic xmlns:a="http://schemas.openxmlformats.org/drawingml/2006/main">
                  <a:graphicData uri="http://schemas.microsoft.com/office/word/2010/wordprocessingShape">
                    <wps:wsp>
                      <wps:cNvSpPr txBox="1"/>
                      <wps:spPr>
                        <a:xfrm>
                          <a:off x="0" y="0"/>
                          <a:ext cx="299803" cy="262266"/>
                        </a:xfrm>
                        <a:prstGeom prst="rect">
                          <a:avLst/>
                        </a:prstGeom>
                        <a:noFill/>
                        <a:ln w="6350">
                          <a:noFill/>
                        </a:ln>
                      </wps:spPr>
                      <wps:txbx>
                        <w:txbxContent>
                          <w:p w14:paraId="4B917C99" w14:textId="775895F5" w:rsidR="00376933" w:rsidRPr="00376933" w:rsidRDefault="00376933">
                            <w:pPr>
                              <w:rPr>
                                <w:sz w:val="18"/>
                                <w:szCs w:val="18"/>
                              </w:rPr>
                            </w:pPr>
                            <w:r w:rsidRPr="00376933">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4C9DD" id="_x0000_s1027" type="#_x0000_t202" style="position:absolute;left:0;text-align:left;margin-left:-.05pt;margin-top:3.9pt;width:23.6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" filled="f" stroked="f" strokeweight=".5pt">
                <v:textbox>
                  <w:txbxContent>
                    <w:p w14:paraId="4B917C99" w14:textId="775895F5" w:rsidR="00376933" w:rsidRPr="00376933" w:rsidRDefault="00376933">
                      <w:pPr>
                        <w:rPr>
                          <w:sz w:val="18"/>
                          <w:szCs w:val="18"/>
                        </w:rPr>
                      </w:pPr>
                      <w:r w:rsidRPr="00376933">
                        <w:rPr>
                          <w:sz w:val="18"/>
                          <w:szCs w:val="18"/>
                        </w:rPr>
                        <w:t>a)</w:t>
                      </w:r>
                    </w:p>
                  </w:txbxContent>
                </v:textbox>
              </v:shape>
            </w:pict>
          </mc:Fallback>
        </mc:AlternateContent>
      </w:r>
      <w:r w:rsidR="00A76658" w:rsidRPr="0044590D">
        <w:rPr>
          <w:noProof/>
          <w:lang w:val="en-GB"/>
        </w:rPr>
        <w:drawing>
          <wp:inline distT="0" distB="0" distL="0" distR="0" wp14:anchorId="0D1348D7" wp14:editId="3CF3D154">
            <wp:extent cx="2181225" cy="2176379"/>
            <wp:effectExtent l="0" t="0" r="3175" b="0"/>
            <wp:docPr id="1138790270" name="Chart 11387902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F3521" w:rsidRPr="0044590D">
        <w:rPr>
          <w:noProof/>
          <w:lang w:val="en-GB"/>
        </w:rPr>
        <w:drawing>
          <wp:inline distT="0" distB="0" distL="0" distR="0" wp14:anchorId="24C4988A" wp14:editId="5F95A52A">
            <wp:extent cx="2304415" cy="2208263"/>
            <wp:effectExtent l="0" t="0" r="0" b="1905"/>
            <wp:docPr id="191072598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76F166" w14:textId="7E2AE475" w:rsidR="005271A9" w:rsidRPr="0044590D" w:rsidRDefault="00AA7910" w:rsidP="00AA7910">
      <w:pPr>
        <w:pStyle w:val="Caption"/>
        <w:jc w:val="both"/>
        <w:rPr>
          <w:lang w:val="en-GB"/>
        </w:rPr>
      </w:pPr>
      <w:r w:rsidRPr="0044590D">
        <w:rPr>
          <w:lang w:val="en-GB"/>
        </w:rPr>
        <w:t xml:space="preserve">Figure </w:t>
      </w:r>
      <w:r w:rsidRPr="0044590D">
        <w:rPr>
          <w:lang w:val="en-GB"/>
        </w:rPr>
        <w:fldChar w:fldCharType="begin"/>
      </w:r>
      <w:r w:rsidRPr="0044590D">
        <w:rPr>
          <w:lang w:val="en-GB"/>
        </w:rPr>
        <w:instrText xml:space="preserve"> SEQ Figure \* ARABIC </w:instrText>
      </w:r>
      <w:r w:rsidRPr="0044590D">
        <w:rPr>
          <w:lang w:val="en-GB"/>
        </w:rPr>
        <w:fldChar w:fldCharType="separate"/>
      </w:r>
      <w:r w:rsidRPr="0044590D">
        <w:rPr>
          <w:noProof/>
          <w:lang w:val="en-GB"/>
        </w:rPr>
        <w:t>3</w:t>
      </w:r>
      <w:r w:rsidRPr="0044590D">
        <w:rPr>
          <w:lang w:val="en-GB"/>
        </w:rPr>
        <w:fldChar w:fldCharType="end"/>
      </w:r>
      <w:r w:rsidRPr="0044590D">
        <w:rPr>
          <w:lang w:val="en-GB"/>
        </w:rPr>
        <w:t xml:space="preserve"> a) The performance of GPT-4 in validating fine-tune model; b) The performance of fine-tuned models </w:t>
      </w:r>
      <w:r w:rsidR="00376933">
        <w:rPr>
          <w:lang w:val="en-GB"/>
        </w:rPr>
        <w:t xml:space="preserve">in ten tasks of information extraction </w:t>
      </w:r>
      <w:r w:rsidRPr="0044590D">
        <w:rPr>
          <w:lang w:val="en-GB"/>
        </w:rPr>
        <w:t>in th</w:t>
      </w:r>
      <w:r w:rsidR="00EF3521" w:rsidRPr="0044590D">
        <w:rPr>
          <w:lang w:val="en-GB"/>
        </w:rPr>
        <w:t xml:space="preserve">ree </w:t>
      </w:r>
      <w:r w:rsidR="002B00DF" w:rsidRPr="0044590D">
        <w:rPr>
          <w:lang w:val="en-GB"/>
        </w:rPr>
        <w:t>iterations</w:t>
      </w:r>
      <w:r w:rsidR="00EF3521" w:rsidRPr="0044590D">
        <w:rPr>
          <w:lang w:val="en-GB"/>
        </w:rPr>
        <w:t>.</w:t>
      </w:r>
    </w:p>
    <w:p w14:paraId="144DE6BA" w14:textId="77777777" w:rsidR="008D2649" w:rsidRPr="0044590D" w:rsidRDefault="008D2649" w:rsidP="008D2649">
      <w:pPr>
        <w:pStyle w:val="Els-1storder-head"/>
        <w:spacing w:after="120"/>
        <w:rPr>
          <w:lang w:val="en-GB"/>
        </w:rPr>
      </w:pPr>
      <w:r w:rsidRPr="0044590D">
        <w:rPr>
          <w:lang w:val="en-GB"/>
        </w:rPr>
        <w:t>Conclusions</w:t>
      </w:r>
    </w:p>
    <w:p w14:paraId="39A79FD8" w14:textId="4B2614D9" w:rsidR="00440729" w:rsidRPr="0044590D" w:rsidRDefault="00430E56" w:rsidP="008B606D">
      <w:pPr>
        <w:pStyle w:val="Els-body-text"/>
        <w:rPr>
          <w:lang w:val="en-GB"/>
        </w:rPr>
      </w:pPr>
      <w:r w:rsidRPr="0044590D">
        <w:rPr>
          <w:lang w:val="en-GB"/>
        </w:rPr>
        <w:t>Our study has successfully demonstrated the integration of advanced computational methods with omics data analysis in chemical safety and toxicology. By developing a semi-automated pipeline using GPT-4 and fine-tuned models, we have streamlined the extraction of critical data from extensive scientific literature, achieving high accuracy in both classification and information extraction. Our findings pave the way for future research in chemical toxicity and safer product development, showcasing the significant role of artificial intelligence in advancing the field of toxicological studies.</w:t>
      </w:r>
    </w:p>
    <w:p w14:paraId="6A507C23" w14:textId="7E821B91" w:rsidR="00440729" w:rsidRPr="0044590D" w:rsidRDefault="00440729" w:rsidP="00440729">
      <w:pPr>
        <w:pStyle w:val="Els-Abstract"/>
        <w:rPr>
          <w:lang w:val="en-GB"/>
        </w:rPr>
      </w:pPr>
      <w:r w:rsidRPr="0044590D">
        <w:rPr>
          <w:lang w:val="en-GB"/>
        </w:rPr>
        <w:t>Acknowledgement</w:t>
      </w:r>
    </w:p>
    <w:p w14:paraId="3FD516F1" w14:textId="148021BF" w:rsidR="00440729" w:rsidRPr="0044590D" w:rsidRDefault="00A24CE5" w:rsidP="00440729">
      <w:pPr>
        <w:pStyle w:val="Els-body-text"/>
        <w:rPr>
          <w:lang w:val="en-GB"/>
        </w:rPr>
      </w:pPr>
      <w:r w:rsidRPr="0044590D">
        <w:rPr>
          <w:lang w:val="en-GB"/>
        </w:rPr>
        <w:t>Y. Liu received a PhD studentship co-funded by Unilever and the University of Surrey.</w:t>
      </w:r>
    </w:p>
    <w:p w14:paraId="144DE6BF" w14:textId="608D0AD6" w:rsidR="008D2649" w:rsidRPr="0044590D" w:rsidRDefault="008D2649" w:rsidP="008D2649">
      <w:pPr>
        <w:pStyle w:val="Els-reference-head"/>
        <w:rPr>
          <w:lang w:val="en-GB"/>
        </w:rPr>
      </w:pPr>
      <w:r w:rsidRPr="0044590D">
        <w:rPr>
          <w:lang w:val="en-GB"/>
        </w:rPr>
        <w:t>References</w:t>
      </w:r>
    </w:p>
    <w:p w14:paraId="329377D9" w14:textId="1C0A5A49" w:rsidR="0044590D" w:rsidRPr="0044590D" w:rsidRDefault="00B12A68" w:rsidP="0044590D">
      <w:pPr>
        <w:widowControl w:val="0"/>
        <w:autoSpaceDE w:val="0"/>
        <w:autoSpaceDN w:val="0"/>
        <w:adjustRightInd w:val="0"/>
        <w:rPr>
          <w:noProof/>
          <w:sz w:val="18"/>
        </w:rPr>
      </w:pPr>
      <w:r w:rsidRPr="0044590D">
        <w:fldChar w:fldCharType="begin" w:fldLock="1"/>
      </w:r>
      <w:r w:rsidRPr="0044590D">
        <w:instrText xml:space="preserve">ADDIN Mendeley Bibliography CSL_BIBLIOGRAPHY </w:instrText>
      </w:r>
      <w:r w:rsidRPr="0044590D">
        <w:fldChar w:fldCharType="separate"/>
      </w:r>
      <w:r w:rsidR="0044590D" w:rsidRPr="0044590D">
        <w:rPr>
          <w:noProof/>
          <w:sz w:val="18"/>
        </w:rPr>
        <w:t xml:space="preserve">Anastas, N. D. (2016) ‘Connecting toxicology and chemistry to ensure safer chemical design’, </w:t>
      </w:r>
      <w:r w:rsidR="0044590D" w:rsidRPr="0044590D">
        <w:rPr>
          <w:i/>
          <w:iCs/>
          <w:noProof/>
          <w:sz w:val="18"/>
        </w:rPr>
        <w:t>Green Chemistry</w:t>
      </w:r>
      <w:r w:rsidR="0044590D" w:rsidRPr="0044590D">
        <w:rPr>
          <w:noProof/>
          <w:sz w:val="18"/>
        </w:rPr>
        <w:t>, 18(16), pp. 4325–4331. doi: 10.1039/c6gc00758a.</w:t>
      </w:r>
    </w:p>
    <w:p w14:paraId="5E698C42" w14:textId="77777777" w:rsidR="0044590D" w:rsidRPr="0044590D" w:rsidRDefault="0044590D" w:rsidP="0044590D">
      <w:pPr>
        <w:widowControl w:val="0"/>
        <w:autoSpaceDE w:val="0"/>
        <w:autoSpaceDN w:val="0"/>
        <w:adjustRightInd w:val="0"/>
        <w:rPr>
          <w:noProof/>
          <w:sz w:val="18"/>
        </w:rPr>
      </w:pPr>
      <w:r w:rsidRPr="0044590D">
        <w:rPr>
          <w:noProof/>
          <w:sz w:val="18"/>
        </w:rPr>
        <w:t xml:space="preserve">Canzler, S. </w:t>
      </w:r>
      <w:r w:rsidRPr="0044590D">
        <w:rPr>
          <w:i/>
          <w:iCs/>
          <w:noProof/>
          <w:sz w:val="18"/>
        </w:rPr>
        <w:t>et al.</w:t>
      </w:r>
      <w:r w:rsidRPr="0044590D">
        <w:rPr>
          <w:noProof/>
          <w:sz w:val="18"/>
        </w:rPr>
        <w:t xml:space="preserve"> (2020) ‘Prospects and challenges of multi-omics data integration in toxicology’, </w:t>
      </w:r>
      <w:r w:rsidRPr="0044590D">
        <w:rPr>
          <w:i/>
          <w:iCs/>
          <w:noProof/>
          <w:sz w:val="18"/>
        </w:rPr>
        <w:t>Archives of Toxicology</w:t>
      </w:r>
      <w:r w:rsidRPr="0044590D">
        <w:rPr>
          <w:noProof/>
          <w:sz w:val="18"/>
        </w:rPr>
        <w:t>. Springer, pp. 371–388. doi: 10.1007/s00204-020-02656-y.</w:t>
      </w:r>
    </w:p>
    <w:p w14:paraId="1236A44F" w14:textId="449C11E9" w:rsidR="0044590D" w:rsidRPr="0044590D" w:rsidRDefault="0044590D" w:rsidP="0044590D">
      <w:pPr>
        <w:widowControl w:val="0"/>
        <w:autoSpaceDE w:val="0"/>
        <w:autoSpaceDN w:val="0"/>
        <w:adjustRightInd w:val="0"/>
        <w:rPr>
          <w:noProof/>
          <w:sz w:val="18"/>
        </w:rPr>
      </w:pPr>
      <w:r w:rsidRPr="0044590D">
        <w:rPr>
          <w:noProof/>
          <w:sz w:val="18"/>
        </w:rPr>
        <w:t xml:space="preserve">Fu, J. </w:t>
      </w:r>
      <w:r w:rsidRPr="0044590D">
        <w:rPr>
          <w:i/>
          <w:iCs/>
          <w:noProof/>
          <w:sz w:val="18"/>
        </w:rPr>
        <w:t>et al.</w:t>
      </w:r>
      <w:r w:rsidRPr="0044590D">
        <w:rPr>
          <w:noProof/>
          <w:sz w:val="18"/>
        </w:rPr>
        <w:t xml:space="preserve"> (2023) ‘GPTScore: Evaluate as You Desire’.</w:t>
      </w:r>
    </w:p>
    <w:p w14:paraId="554A267E" w14:textId="77777777" w:rsidR="0044590D" w:rsidRPr="0044590D" w:rsidRDefault="0044590D" w:rsidP="0044590D">
      <w:pPr>
        <w:widowControl w:val="0"/>
        <w:autoSpaceDE w:val="0"/>
        <w:autoSpaceDN w:val="0"/>
        <w:adjustRightInd w:val="0"/>
        <w:rPr>
          <w:noProof/>
          <w:sz w:val="18"/>
        </w:rPr>
      </w:pPr>
      <w:r w:rsidRPr="0044590D">
        <w:rPr>
          <w:noProof/>
          <w:sz w:val="18"/>
        </w:rPr>
        <w:t xml:space="preserve">Liu, A. </w:t>
      </w:r>
      <w:r w:rsidRPr="0044590D">
        <w:rPr>
          <w:i/>
          <w:iCs/>
          <w:noProof/>
          <w:sz w:val="18"/>
        </w:rPr>
        <w:t>et al.</w:t>
      </w:r>
      <w:r w:rsidRPr="0044590D">
        <w:rPr>
          <w:noProof/>
          <w:sz w:val="18"/>
        </w:rPr>
        <w:t xml:space="preserve"> (2023) ‘Using chemical and biological data to predict drug toxicity’, </w:t>
      </w:r>
      <w:r w:rsidRPr="0044590D">
        <w:rPr>
          <w:i/>
          <w:iCs/>
          <w:noProof/>
          <w:sz w:val="18"/>
        </w:rPr>
        <w:t>SLAS Discovery</w:t>
      </w:r>
      <w:r w:rsidRPr="0044590D">
        <w:rPr>
          <w:noProof/>
          <w:sz w:val="18"/>
        </w:rPr>
        <w:t>, 28(3), pp. 53–64. doi: 10.1016/j.slasd.2022.12.003.</w:t>
      </w:r>
    </w:p>
    <w:p w14:paraId="18B387AB" w14:textId="77777777" w:rsidR="0044590D" w:rsidRPr="0044590D" w:rsidRDefault="0044590D" w:rsidP="0044590D">
      <w:pPr>
        <w:widowControl w:val="0"/>
        <w:autoSpaceDE w:val="0"/>
        <w:autoSpaceDN w:val="0"/>
        <w:adjustRightInd w:val="0"/>
        <w:rPr>
          <w:noProof/>
          <w:sz w:val="18"/>
        </w:rPr>
      </w:pPr>
      <w:r w:rsidRPr="0044590D">
        <w:rPr>
          <w:noProof/>
          <w:sz w:val="18"/>
        </w:rPr>
        <w:t xml:space="preserve">Liu, Y., Lian, G. and Chen, T. (2023) ‘A novel multi-omics data analysis of dose-dependent and temporal changes in regulatory pathways due to chemical perturbation: a case study on caffeine’, </w:t>
      </w:r>
      <w:r w:rsidRPr="0044590D">
        <w:rPr>
          <w:i/>
          <w:iCs/>
          <w:noProof/>
          <w:sz w:val="18"/>
        </w:rPr>
        <w:t>Toxicology Mechanisms and Methods</w:t>
      </w:r>
      <w:r w:rsidRPr="0044590D">
        <w:rPr>
          <w:noProof/>
          <w:sz w:val="18"/>
        </w:rPr>
        <w:t>, 0(0), pp. 1–12. doi: 10.1080/15376516.2023.2265462.</w:t>
      </w:r>
    </w:p>
    <w:p w14:paraId="3A686112" w14:textId="2CA82351" w:rsidR="0044590D" w:rsidRPr="0044590D" w:rsidRDefault="0044590D" w:rsidP="0044590D">
      <w:pPr>
        <w:widowControl w:val="0"/>
        <w:autoSpaceDE w:val="0"/>
        <w:autoSpaceDN w:val="0"/>
        <w:adjustRightInd w:val="0"/>
        <w:rPr>
          <w:noProof/>
          <w:sz w:val="18"/>
        </w:rPr>
      </w:pPr>
      <w:r w:rsidRPr="0044590D">
        <w:rPr>
          <w:noProof/>
          <w:sz w:val="18"/>
        </w:rPr>
        <w:t xml:space="preserve">Madeira, C. and Costa, P. M. (2021) ‘Proteomics in systems toxicology’, </w:t>
      </w:r>
      <w:r w:rsidRPr="0044590D">
        <w:rPr>
          <w:i/>
          <w:iCs/>
          <w:noProof/>
          <w:sz w:val="18"/>
        </w:rPr>
        <w:t>Advances in Protein Chemistry and Structural Biology</w:t>
      </w:r>
      <w:r w:rsidRPr="0044590D">
        <w:rPr>
          <w:noProof/>
          <w:sz w:val="18"/>
        </w:rPr>
        <w:t>, 127, pp. 55–91.</w:t>
      </w:r>
      <w:r w:rsidR="00E85B2E">
        <w:rPr>
          <w:noProof/>
          <w:sz w:val="18"/>
        </w:rPr>
        <w:t xml:space="preserve"> doi: </w:t>
      </w:r>
      <w:r w:rsidR="00E85B2E" w:rsidRPr="00E85B2E">
        <w:rPr>
          <w:noProof/>
          <w:sz w:val="18"/>
        </w:rPr>
        <w:t>10.1016/bs.apcsb.2021.03.001</w:t>
      </w:r>
    </w:p>
    <w:p w14:paraId="5160C0FC" w14:textId="77777777" w:rsidR="0044590D" w:rsidRPr="0044590D" w:rsidRDefault="0044590D" w:rsidP="0044590D">
      <w:pPr>
        <w:widowControl w:val="0"/>
        <w:autoSpaceDE w:val="0"/>
        <w:autoSpaceDN w:val="0"/>
        <w:adjustRightInd w:val="0"/>
        <w:rPr>
          <w:noProof/>
          <w:sz w:val="18"/>
        </w:rPr>
      </w:pPr>
      <w:r w:rsidRPr="0044590D">
        <w:rPr>
          <w:noProof/>
          <w:sz w:val="18"/>
        </w:rPr>
        <w:t xml:space="preserve">Olesti, E. </w:t>
      </w:r>
      <w:r w:rsidRPr="0044590D">
        <w:rPr>
          <w:i/>
          <w:iCs/>
          <w:noProof/>
          <w:sz w:val="18"/>
        </w:rPr>
        <w:t>et al.</w:t>
      </w:r>
      <w:r w:rsidRPr="0044590D">
        <w:rPr>
          <w:noProof/>
          <w:sz w:val="18"/>
        </w:rPr>
        <w:t xml:space="preserve"> (2021) ‘Approaches in metabolomics for regulatory toxicology applications’, </w:t>
      </w:r>
      <w:r w:rsidRPr="0044590D">
        <w:rPr>
          <w:i/>
          <w:iCs/>
          <w:noProof/>
          <w:sz w:val="18"/>
        </w:rPr>
        <w:t>Analyst</w:t>
      </w:r>
      <w:r w:rsidRPr="0044590D">
        <w:rPr>
          <w:noProof/>
          <w:sz w:val="18"/>
        </w:rPr>
        <w:t>, 146(6), pp. 1820–1834. doi: 10.1039/d0an02212h.</w:t>
      </w:r>
    </w:p>
    <w:p w14:paraId="07D86E66" w14:textId="77777777" w:rsidR="0044590D" w:rsidRPr="0044590D" w:rsidRDefault="0044590D" w:rsidP="0044590D">
      <w:pPr>
        <w:widowControl w:val="0"/>
        <w:autoSpaceDE w:val="0"/>
        <w:autoSpaceDN w:val="0"/>
        <w:adjustRightInd w:val="0"/>
        <w:rPr>
          <w:noProof/>
          <w:sz w:val="18"/>
        </w:rPr>
      </w:pPr>
      <w:r w:rsidRPr="0044590D">
        <w:rPr>
          <w:noProof/>
          <w:sz w:val="18"/>
        </w:rPr>
        <w:t xml:space="preserve">Titz, B. </w:t>
      </w:r>
      <w:r w:rsidRPr="0044590D">
        <w:rPr>
          <w:i/>
          <w:iCs/>
          <w:noProof/>
          <w:sz w:val="18"/>
        </w:rPr>
        <w:t>et al.</w:t>
      </w:r>
      <w:r w:rsidRPr="0044590D">
        <w:rPr>
          <w:noProof/>
          <w:sz w:val="18"/>
        </w:rPr>
        <w:t xml:space="preserve"> (2014) ‘Proteomics for systems toxicology’, </w:t>
      </w:r>
      <w:r w:rsidRPr="0044590D">
        <w:rPr>
          <w:i/>
          <w:iCs/>
          <w:noProof/>
          <w:sz w:val="18"/>
        </w:rPr>
        <w:t>Computational and Structural Biotechnology Journal</w:t>
      </w:r>
      <w:r w:rsidRPr="0044590D">
        <w:rPr>
          <w:noProof/>
          <w:sz w:val="18"/>
        </w:rPr>
        <w:t>, 11(18), pp. 73–90. doi: 10.1016/j.csbj.2014.08.004.</w:t>
      </w:r>
    </w:p>
    <w:p w14:paraId="150FF348" w14:textId="2AB09C33" w:rsidR="0044590D" w:rsidRPr="0044590D" w:rsidRDefault="0044590D" w:rsidP="0044590D">
      <w:pPr>
        <w:widowControl w:val="0"/>
        <w:autoSpaceDE w:val="0"/>
        <w:autoSpaceDN w:val="0"/>
        <w:adjustRightInd w:val="0"/>
        <w:rPr>
          <w:noProof/>
          <w:sz w:val="18"/>
        </w:rPr>
      </w:pPr>
      <w:r w:rsidRPr="0044590D">
        <w:rPr>
          <w:noProof/>
          <w:sz w:val="18"/>
        </w:rPr>
        <w:t xml:space="preserve">Zhu, Y. </w:t>
      </w:r>
      <w:r w:rsidRPr="0044590D">
        <w:rPr>
          <w:i/>
          <w:iCs/>
          <w:noProof/>
          <w:sz w:val="18"/>
        </w:rPr>
        <w:t>et al.</w:t>
      </w:r>
      <w:r w:rsidRPr="0044590D">
        <w:rPr>
          <w:noProof/>
          <w:sz w:val="18"/>
        </w:rPr>
        <w:t xml:space="preserve"> (2023) ‘Large Language Models for Information Retrieval: A Survey’, pp. 1–26.</w:t>
      </w:r>
    </w:p>
    <w:p w14:paraId="144DE6C3" w14:textId="1FF4DBCA" w:rsidR="008D2649" w:rsidRPr="0044590D" w:rsidRDefault="00B12A68" w:rsidP="0044590D">
      <w:pPr>
        <w:widowControl w:val="0"/>
        <w:autoSpaceDE w:val="0"/>
        <w:autoSpaceDN w:val="0"/>
        <w:adjustRightInd w:val="0"/>
        <w:rPr>
          <w:lang w:eastAsia="zh-CN"/>
        </w:rPr>
      </w:pPr>
      <w:r w:rsidRPr="0044590D">
        <w:fldChar w:fldCharType="end"/>
      </w:r>
    </w:p>
    <w:sectPr w:rsidR="008D2649" w:rsidRPr="0044590D" w:rsidSect="00F17CE0">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955C" w14:textId="77777777" w:rsidR="00F17CE0" w:rsidRDefault="00F17CE0">
      <w:r>
        <w:separator/>
      </w:r>
    </w:p>
  </w:endnote>
  <w:endnote w:type="continuationSeparator" w:id="0">
    <w:p w14:paraId="1327F1D7" w14:textId="77777777" w:rsidR="00F17CE0" w:rsidRDefault="00F1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CF508" w14:textId="77777777" w:rsidR="00F17CE0" w:rsidRDefault="00F17CE0">
      <w:r>
        <w:separator/>
      </w:r>
    </w:p>
  </w:footnote>
  <w:footnote w:type="continuationSeparator" w:id="0">
    <w:p w14:paraId="6D93B51C" w14:textId="77777777" w:rsidR="00F17CE0" w:rsidRDefault="00F17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56BD7CE" w:rsidR="00DD3D9E" w:rsidRDefault="00DD3D9E">
    <w:pPr>
      <w:pStyle w:val="Header"/>
      <w:tabs>
        <w:tab w:val="clear" w:pos="7200"/>
        <w:tab w:val="right" w:pos="7088"/>
      </w:tabs>
      <w:rPr>
        <w:i/>
      </w:rPr>
    </w:pPr>
    <w:r>
      <w:rPr>
        <w:rStyle w:val="PageNumber"/>
      </w:rPr>
      <w:tab/>
    </w:r>
    <w:r>
      <w:rPr>
        <w:rStyle w:val="PageNumber"/>
        <w:i/>
      </w:rPr>
      <w:tab/>
    </w:r>
    <w:r w:rsidR="00BD22CA">
      <w:rPr>
        <w:i/>
      </w:rPr>
      <w:t>Y.Liu et al.</w:t>
    </w:r>
  </w:p>
  <w:p w14:paraId="6BFF50B6" w14:textId="77777777" w:rsidR="00BD22CA" w:rsidRDefault="00BD22CA">
    <w:pPr>
      <w:pStyle w:val="Header"/>
      <w:tabs>
        <w:tab w:val="clear" w:pos="7200"/>
        <w:tab w:val="right" w:pos="708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0C62345" w:rsidR="00DD3D9E" w:rsidRDefault="00BD22CA">
    <w:pPr>
      <w:pStyle w:val="Header"/>
      <w:tabs>
        <w:tab w:val="clear" w:pos="7200"/>
        <w:tab w:val="right" w:pos="7088"/>
      </w:tabs>
      <w:jc w:val="right"/>
      <w:rPr>
        <w:sz w:val="24"/>
      </w:rPr>
    </w:pPr>
    <w:r w:rsidRPr="00BD22CA">
      <w:rPr>
        <w:i/>
      </w:rPr>
      <w:t>Harnessing Instruction-Tuned Large Language Models to Mine Structured Omics Data for Predicting Chemical Toxicity</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4DECE1BD"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w:t>
    </w:r>
    <w:proofErr w:type="gramStart"/>
    <w:r w:rsidRPr="00F06842">
      <w:rPr>
        <w:rStyle w:val="underline1"/>
        <w:sz w:val="18"/>
        <w:szCs w:val="18"/>
        <w:u w:val="none"/>
      </w:rPr>
      <w:t xml:space="preserve">Engineering </w:t>
    </w:r>
    <w:r w:rsidR="005352D7">
      <w:rPr>
        <w:rStyle w:val="underline1"/>
        <w:sz w:val="18"/>
        <w:szCs w:val="18"/>
        <w:u w:val="none"/>
      </w:rPr>
      <w:t xml:space="preserve"> or</w:t>
    </w:r>
    <w:proofErr w:type="gramEnd"/>
    <w:r w:rsidR="005352D7">
      <w:rPr>
        <w:rStyle w:val="underline1"/>
        <w:sz w:val="18"/>
        <w:szCs w:val="18"/>
        <w:u w:val="none"/>
      </w:rPr>
      <w:t xml:space="preserve"> </w:t>
    </w:r>
    <w:r w:rsidRPr="00F06842">
      <w:rPr>
        <w:rStyle w:val="underline1"/>
        <w:sz w:val="18"/>
        <w:szCs w:val="18"/>
        <w:u w:val="none"/>
      </w:rPr>
      <w:t xml:space="preserve">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w:t>
    </w:r>
    <w:r w:rsidR="005352D7">
      <w:rPr>
        <w:noProof/>
        <w:sz w:val="18"/>
        <w:szCs w:val="18"/>
      </w:rPr>
      <w:t xml:space="preserve"> or </w:t>
    </w:r>
    <w:r w:rsidRPr="003B50B5">
      <w:rPr>
        <w:noProof/>
        <w:sz w:val="18"/>
        <w:szCs w:val="18"/>
      </w:rPr>
      <w:t>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678889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617F"/>
    <w:rsid w:val="00091154"/>
    <w:rsid w:val="000D3D9B"/>
    <w:rsid w:val="000F64DB"/>
    <w:rsid w:val="001302A9"/>
    <w:rsid w:val="00144277"/>
    <w:rsid w:val="0016032F"/>
    <w:rsid w:val="00163F31"/>
    <w:rsid w:val="00181EE5"/>
    <w:rsid w:val="001879F6"/>
    <w:rsid w:val="001C0148"/>
    <w:rsid w:val="001C456F"/>
    <w:rsid w:val="001C757E"/>
    <w:rsid w:val="001E138B"/>
    <w:rsid w:val="001F3DA0"/>
    <w:rsid w:val="0020390F"/>
    <w:rsid w:val="0025571F"/>
    <w:rsid w:val="00257EA1"/>
    <w:rsid w:val="00264926"/>
    <w:rsid w:val="00292AF6"/>
    <w:rsid w:val="002A2028"/>
    <w:rsid w:val="002B00DF"/>
    <w:rsid w:val="002B46E8"/>
    <w:rsid w:val="00326101"/>
    <w:rsid w:val="00330816"/>
    <w:rsid w:val="00376933"/>
    <w:rsid w:val="003868CF"/>
    <w:rsid w:val="003A3CBE"/>
    <w:rsid w:val="003A665D"/>
    <w:rsid w:val="003B2863"/>
    <w:rsid w:val="003B3DA2"/>
    <w:rsid w:val="003D1582"/>
    <w:rsid w:val="003D7E4C"/>
    <w:rsid w:val="003E41C2"/>
    <w:rsid w:val="004019DE"/>
    <w:rsid w:val="00417867"/>
    <w:rsid w:val="00430E56"/>
    <w:rsid w:val="00440729"/>
    <w:rsid w:val="00441120"/>
    <w:rsid w:val="0044590D"/>
    <w:rsid w:val="00482A74"/>
    <w:rsid w:val="0049772C"/>
    <w:rsid w:val="004F12ED"/>
    <w:rsid w:val="005061F0"/>
    <w:rsid w:val="005213C3"/>
    <w:rsid w:val="005271A9"/>
    <w:rsid w:val="005352D7"/>
    <w:rsid w:val="00552EEB"/>
    <w:rsid w:val="00560556"/>
    <w:rsid w:val="005B25F7"/>
    <w:rsid w:val="005C0D5A"/>
    <w:rsid w:val="005F5213"/>
    <w:rsid w:val="006010C0"/>
    <w:rsid w:val="00616807"/>
    <w:rsid w:val="00620C19"/>
    <w:rsid w:val="00641AFB"/>
    <w:rsid w:val="0064303F"/>
    <w:rsid w:val="006727F1"/>
    <w:rsid w:val="006751C5"/>
    <w:rsid w:val="006773BB"/>
    <w:rsid w:val="006A4456"/>
    <w:rsid w:val="006A69BF"/>
    <w:rsid w:val="006E198D"/>
    <w:rsid w:val="006E718D"/>
    <w:rsid w:val="00711DF4"/>
    <w:rsid w:val="00724AA1"/>
    <w:rsid w:val="00796E7D"/>
    <w:rsid w:val="007B2693"/>
    <w:rsid w:val="007D6F59"/>
    <w:rsid w:val="007D70A1"/>
    <w:rsid w:val="00811D79"/>
    <w:rsid w:val="008132E8"/>
    <w:rsid w:val="00816FC3"/>
    <w:rsid w:val="00823407"/>
    <w:rsid w:val="00833835"/>
    <w:rsid w:val="00863A4C"/>
    <w:rsid w:val="008777CC"/>
    <w:rsid w:val="008B0184"/>
    <w:rsid w:val="008B606D"/>
    <w:rsid w:val="008B7CE3"/>
    <w:rsid w:val="008C30A4"/>
    <w:rsid w:val="008C5D02"/>
    <w:rsid w:val="008D0249"/>
    <w:rsid w:val="008D2649"/>
    <w:rsid w:val="008E2E7C"/>
    <w:rsid w:val="0090568D"/>
    <w:rsid w:val="009125C9"/>
    <w:rsid w:val="00913879"/>
    <w:rsid w:val="00917661"/>
    <w:rsid w:val="00953733"/>
    <w:rsid w:val="00966A46"/>
    <w:rsid w:val="00970E5D"/>
    <w:rsid w:val="00972314"/>
    <w:rsid w:val="00976864"/>
    <w:rsid w:val="0097701C"/>
    <w:rsid w:val="00980A65"/>
    <w:rsid w:val="009F017F"/>
    <w:rsid w:val="00A00A31"/>
    <w:rsid w:val="00A204E2"/>
    <w:rsid w:val="00A24CE5"/>
    <w:rsid w:val="00A25E70"/>
    <w:rsid w:val="00A33765"/>
    <w:rsid w:val="00A63269"/>
    <w:rsid w:val="00A76658"/>
    <w:rsid w:val="00A92377"/>
    <w:rsid w:val="00AA065A"/>
    <w:rsid w:val="00AA2137"/>
    <w:rsid w:val="00AA7910"/>
    <w:rsid w:val="00AB29ED"/>
    <w:rsid w:val="00AD06B7"/>
    <w:rsid w:val="00AE4BD8"/>
    <w:rsid w:val="00B027DC"/>
    <w:rsid w:val="00B12A68"/>
    <w:rsid w:val="00B228CA"/>
    <w:rsid w:val="00B27A4F"/>
    <w:rsid w:val="00B27B4C"/>
    <w:rsid w:val="00B35B38"/>
    <w:rsid w:val="00B423C8"/>
    <w:rsid w:val="00B433CC"/>
    <w:rsid w:val="00B4388F"/>
    <w:rsid w:val="00B63237"/>
    <w:rsid w:val="00BD22CA"/>
    <w:rsid w:val="00BF587E"/>
    <w:rsid w:val="00C26763"/>
    <w:rsid w:val="00C8100F"/>
    <w:rsid w:val="00C94BB7"/>
    <w:rsid w:val="00C960DC"/>
    <w:rsid w:val="00CC0B6E"/>
    <w:rsid w:val="00CD7B9D"/>
    <w:rsid w:val="00CE5586"/>
    <w:rsid w:val="00CF21B9"/>
    <w:rsid w:val="00D02C75"/>
    <w:rsid w:val="00D10E22"/>
    <w:rsid w:val="00D13D2C"/>
    <w:rsid w:val="00D22827"/>
    <w:rsid w:val="00D95A4C"/>
    <w:rsid w:val="00DA32A5"/>
    <w:rsid w:val="00DC2F94"/>
    <w:rsid w:val="00DD3D9E"/>
    <w:rsid w:val="00DD7908"/>
    <w:rsid w:val="00E21AAD"/>
    <w:rsid w:val="00E46934"/>
    <w:rsid w:val="00E82297"/>
    <w:rsid w:val="00E835D3"/>
    <w:rsid w:val="00E85B2E"/>
    <w:rsid w:val="00EB538C"/>
    <w:rsid w:val="00EB5EF3"/>
    <w:rsid w:val="00ED0277"/>
    <w:rsid w:val="00EE2DFF"/>
    <w:rsid w:val="00EE48D2"/>
    <w:rsid w:val="00EF3521"/>
    <w:rsid w:val="00EF39FD"/>
    <w:rsid w:val="00F023E7"/>
    <w:rsid w:val="00F06842"/>
    <w:rsid w:val="00F107FD"/>
    <w:rsid w:val="00F17CE0"/>
    <w:rsid w:val="00F27D93"/>
    <w:rsid w:val="00F614DF"/>
    <w:rsid w:val="00FA01E4"/>
    <w:rsid w:val="00FB64A8"/>
    <w:rsid w:val="00FF3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2">
    <w:name w:val="heading 2"/>
    <w:basedOn w:val="Normal"/>
    <w:next w:val="Normal"/>
    <w:link w:val="Heading2Char"/>
    <w:semiHidden/>
    <w:unhideWhenUsed/>
    <w:qFormat/>
    <w:rsid w:val="00B35B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440729"/>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Heading2Char">
    <w:name w:val="Heading 2 Char"/>
    <w:basedOn w:val="DefaultParagraphFont"/>
    <w:link w:val="Heading2"/>
    <w:semiHidden/>
    <w:rsid w:val="00B35B38"/>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rsid w:val="00620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20C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6773BB"/>
  </w:style>
  <w:style w:type="paragraph" w:styleId="Revision">
    <w:name w:val="Revision"/>
    <w:hidden/>
    <w:uiPriority w:val="99"/>
    <w:semiHidden/>
    <w:rsid w:val="00966A4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7939">
      <w:bodyDiv w:val="1"/>
      <w:marLeft w:val="0"/>
      <w:marRight w:val="0"/>
      <w:marTop w:val="0"/>
      <w:marBottom w:val="0"/>
      <w:divBdr>
        <w:top w:val="none" w:sz="0" w:space="0" w:color="auto"/>
        <w:left w:val="none" w:sz="0" w:space="0" w:color="auto"/>
        <w:bottom w:val="none" w:sz="0" w:space="0" w:color="auto"/>
        <w:right w:val="none" w:sz="0" w:space="0" w:color="auto"/>
      </w:divBdr>
      <w:divsChild>
        <w:div w:id="790783520">
          <w:marLeft w:val="0"/>
          <w:marRight w:val="0"/>
          <w:marTop w:val="0"/>
          <w:marBottom w:val="0"/>
          <w:divBdr>
            <w:top w:val="none" w:sz="0" w:space="0" w:color="auto"/>
            <w:left w:val="none" w:sz="0" w:space="0" w:color="auto"/>
            <w:bottom w:val="none" w:sz="0" w:space="0" w:color="auto"/>
            <w:right w:val="none" w:sz="0" w:space="0" w:color="auto"/>
          </w:divBdr>
          <w:divsChild>
            <w:div w:id="17968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9495">
      <w:bodyDiv w:val="1"/>
      <w:marLeft w:val="0"/>
      <w:marRight w:val="0"/>
      <w:marTop w:val="0"/>
      <w:marBottom w:val="0"/>
      <w:divBdr>
        <w:top w:val="none" w:sz="0" w:space="0" w:color="auto"/>
        <w:left w:val="none" w:sz="0" w:space="0" w:color="auto"/>
        <w:bottom w:val="none" w:sz="0" w:space="0" w:color="auto"/>
        <w:right w:val="none" w:sz="0" w:space="0" w:color="auto"/>
      </w:divBdr>
      <w:divsChild>
        <w:div w:id="1324815392">
          <w:marLeft w:val="0"/>
          <w:marRight w:val="0"/>
          <w:marTop w:val="0"/>
          <w:marBottom w:val="0"/>
          <w:divBdr>
            <w:top w:val="none" w:sz="0" w:space="0" w:color="auto"/>
            <w:left w:val="none" w:sz="0" w:space="0" w:color="auto"/>
            <w:bottom w:val="none" w:sz="0" w:space="0" w:color="auto"/>
            <w:right w:val="none" w:sz="0" w:space="0" w:color="auto"/>
          </w:divBdr>
          <w:divsChild>
            <w:div w:id="3924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11884">
      <w:bodyDiv w:val="1"/>
      <w:marLeft w:val="0"/>
      <w:marRight w:val="0"/>
      <w:marTop w:val="0"/>
      <w:marBottom w:val="0"/>
      <w:divBdr>
        <w:top w:val="none" w:sz="0" w:space="0" w:color="auto"/>
        <w:left w:val="none" w:sz="0" w:space="0" w:color="auto"/>
        <w:bottom w:val="none" w:sz="0" w:space="0" w:color="auto"/>
        <w:right w:val="none" w:sz="0" w:space="0" w:color="auto"/>
      </w:divBdr>
      <w:divsChild>
        <w:div w:id="604657210">
          <w:marLeft w:val="0"/>
          <w:marRight w:val="0"/>
          <w:marTop w:val="0"/>
          <w:marBottom w:val="0"/>
          <w:divBdr>
            <w:top w:val="none" w:sz="0" w:space="0" w:color="auto"/>
            <w:left w:val="none" w:sz="0" w:space="0" w:color="auto"/>
            <w:bottom w:val="none" w:sz="0" w:space="0" w:color="auto"/>
            <w:right w:val="none" w:sz="0" w:space="0" w:color="auto"/>
          </w:divBdr>
          <w:divsChild>
            <w:div w:id="936451816">
              <w:marLeft w:val="0"/>
              <w:marRight w:val="0"/>
              <w:marTop w:val="0"/>
              <w:marBottom w:val="0"/>
              <w:divBdr>
                <w:top w:val="none" w:sz="0" w:space="0" w:color="auto"/>
                <w:left w:val="none" w:sz="0" w:space="0" w:color="auto"/>
                <w:bottom w:val="none" w:sz="0" w:space="0" w:color="auto"/>
                <w:right w:val="none" w:sz="0" w:space="0" w:color="auto"/>
              </w:divBdr>
            </w:div>
            <w:div w:id="829446519">
              <w:marLeft w:val="0"/>
              <w:marRight w:val="0"/>
              <w:marTop w:val="0"/>
              <w:marBottom w:val="0"/>
              <w:divBdr>
                <w:top w:val="none" w:sz="0" w:space="0" w:color="auto"/>
                <w:left w:val="none" w:sz="0" w:space="0" w:color="auto"/>
                <w:bottom w:val="none" w:sz="0" w:space="0" w:color="auto"/>
                <w:right w:val="none" w:sz="0" w:space="0" w:color="auto"/>
              </w:divBdr>
            </w:div>
            <w:div w:id="14195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7123">
      <w:bodyDiv w:val="1"/>
      <w:marLeft w:val="0"/>
      <w:marRight w:val="0"/>
      <w:marTop w:val="0"/>
      <w:marBottom w:val="0"/>
      <w:divBdr>
        <w:top w:val="none" w:sz="0" w:space="0" w:color="auto"/>
        <w:left w:val="none" w:sz="0" w:space="0" w:color="auto"/>
        <w:bottom w:val="none" w:sz="0" w:space="0" w:color="auto"/>
        <w:right w:val="none" w:sz="0" w:space="0" w:color="auto"/>
      </w:divBdr>
      <w:divsChild>
        <w:div w:id="746532071">
          <w:marLeft w:val="0"/>
          <w:marRight w:val="0"/>
          <w:marTop w:val="0"/>
          <w:marBottom w:val="0"/>
          <w:divBdr>
            <w:top w:val="none" w:sz="0" w:space="0" w:color="auto"/>
            <w:left w:val="none" w:sz="0" w:space="0" w:color="auto"/>
            <w:bottom w:val="none" w:sz="0" w:space="0" w:color="auto"/>
            <w:right w:val="none" w:sz="0" w:space="0" w:color="auto"/>
          </w:divBdr>
          <w:divsChild>
            <w:div w:id="18677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88346">
      <w:bodyDiv w:val="1"/>
      <w:marLeft w:val="0"/>
      <w:marRight w:val="0"/>
      <w:marTop w:val="0"/>
      <w:marBottom w:val="0"/>
      <w:divBdr>
        <w:top w:val="none" w:sz="0" w:space="0" w:color="auto"/>
        <w:left w:val="none" w:sz="0" w:space="0" w:color="auto"/>
        <w:bottom w:val="none" w:sz="0" w:space="0" w:color="auto"/>
        <w:right w:val="none" w:sz="0" w:space="0" w:color="auto"/>
      </w:divBdr>
    </w:div>
    <w:div w:id="859120553">
      <w:bodyDiv w:val="1"/>
      <w:marLeft w:val="0"/>
      <w:marRight w:val="0"/>
      <w:marTop w:val="0"/>
      <w:marBottom w:val="0"/>
      <w:divBdr>
        <w:top w:val="none" w:sz="0" w:space="0" w:color="auto"/>
        <w:left w:val="none" w:sz="0" w:space="0" w:color="auto"/>
        <w:bottom w:val="none" w:sz="0" w:space="0" w:color="auto"/>
        <w:right w:val="none" w:sz="0" w:space="0" w:color="auto"/>
      </w:divBdr>
      <w:divsChild>
        <w:div w:id="734667997">
          <w:marLeft w:val="0"/>
          <w:marRight w:val="0"/>
          <w:marTop w:val="0"/>
          <w:marBottom w:val="0"/>
          <w:divBdr>
            <w:top w:val="none" w:sz="0" w:space="0" w:color="auto"/>
            <w:left w:val="none" w:sz="0" w:space="0" w:color="auto"/>
            <w:bottom w:val="none" w:sz="0" w:space="0" w:color="auto"/>
            <w:right w:val="none" w:sz="0" w:space="0" w:color="auto"/>
          </w:divBdr>
          <w:divsChild>
            <w:div w:id="1265265348">
              <w:marLeft w:val="0"/>
              <w:marRight w:val="0"/>
              <w:marTop w:val="0"/>
              <w:marBottom w:val="0"/>
              <w:divBdr>
                <w:top w:val="none" w:sz="0" w:space="0" w:color="auto"/>
                <w:left w:val="none" w:sz="0" w:space="0" w:color="auto"/>
                <w:bottom w:val="none" w:sz="0" w:space="0" w:color="auto"/>
                <w:right w:val="none" w:sz="0" w:space="0" w:color="auto"/>
              </w:divBdr>
            </w:div>
            <w:div w:id="128012836">
              <w:marLeft w:val="0"/>
              <w:marRight w:val="0"/>
              <w:marTop w:val="0"/>
              <w:marBottom w:val="0"/>
              <w:divBdr>
                <w:top w:val="none" w:sz="0" w:space="0" w:color="auto"/>
                <w:left w:val="none" w:sz="0" w:space="0" w:color="auto"/>
                <w:bottom w:val="none" w:sz="0" w:space="0" w:color="auto"/>
                <w:right w:val="none" w:sz="0" w:space="0" w:color="auto"/>
              </w:divBdr>
            </w:div>
            <w:div w:id="1641033081">
              <w:marLeft w:val="0"/>
              <w:marRight w:val="0"/>
              <w:marTop w:val="0"/>
              <w:marBottom w:val="0"/>
              <w:divBdr>
                <w:top w:val="none" w:sz="0" w:space="0" w:color="auto"/>
                <w:left w:val="none" w:sz="0" w:space="0" w:color="auto"/>
                <w:bottom w:val="none" w:sz="0" w:space="0" w:color="auto"/>
                <w:right w:val="none" w:sz="0" w:space="0" w:color="auto"/>
              </w:divBdr>
            </w:div>
            <w:div w:id="2127308935">
              <w:marLeft w:val="0"/>
              <w:marRight w:val="0"/>
              <w:marTop w:val="0"/>
              <w:marBottom w:val="0"/>
              <w:divBdr>
                <w:top w:val="none" w:sz="0" w:space="0" w:color="auto"/>
                <w:left w:val="none" w:sz="0" w:space="0" w:color="auto"/>
                <w:bottom w:val="none" w:sz="0" w:space="0" w:color="auto"/>
                <w:right w:val="none" w:sz="0" w:space="0" w:color="auto"/>
              </w:divBdr>
            </w:div>
            <w:div w:id="17079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1600">
      <w:bodyDiv w:val="1"/>
      <w:marLeft w:val="0"/>
      <w:marRight w:val="0"/>
      <w:marTop w:val="0"/>
      <w:marBottom w:val="0"/>
      <w:divBdr>
        <w:top w:val="none" w:sz="0" w:space="0" w:color="auto"/>
        <w:left w:val="none" w:sz="0" w:space="0" w:color="auto"/>
        <w:bottom w:val="none" w:sz="0" w:space="0" w:color="auto"/>
        <w:right w:val="none" w:sz="0" w:space="0" w:color="auto"/>
      </w:divBdr>
      <w:divsChild>
        <w:div w:id="1007900396">
          <w:marLeft w:val="0"/>
          <w:marRight w:val="0"/>
          <w:marTop w:val="0"/>
          <w:marBottom w:val="0"/>
          <w:divBdr>
            <w:top w:val="none" w:sz="0" w:space="0" w:color="auto"/>
            <w:left w:val="none" w:sz="0" w:space="0" w:color="auto"/>
            <w:bottom w:val="none" w:sz="0" w:space="0" w:color="auto"/>
            <w:right w:val="none" w:sz="0" w:space="0" w:color="auto"/>
          </w:divBdr>
          <w:divsChild>
            <w:div w:id="21086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1485">
      <w:bodyDiv w:val="1"/>
      <w:marLeft w:val="0"/>
      <w:marRight w:val="0"/>
      <w:marTop w:val="0"/>
      <w:marBottom w:val="0"/>
      <w:divBdr>
        <w:top w:val="none" w:sz="0" w:space="0" w:color="auto"/>
        <w:left w:val="none" w:sz="0" w:space="0" w:color="auto"/>
        <w:bottom w:val="none" w:sz="0" w:space="0" w:color="auto"/>
        <w:right w:val="none" w:sz="0" w:space="0" w:color="auto"/>
      </w:divBdr>
      <w:divsChild>
        <w:div w:id="689339715">
          <w:marLeft w:val="0"/>
          <w:marRight w:val="0"/>
          <w:marTop w:val="0"/>
          <w:marBottom w:val="0"/>
          <w:divBdr>
            <w:top w:val="single" w:sz="2" w:space="0" w:color="D9D9E3"/>
            <w:left w:val="single" w:sz="2" w:space="0" w:color="D9D9E3"/>
            <w:bottom w:val="single" w:sz="2" w:space="0" w:color="D9D9E3"/>
            <w:right w:val="single" w:sz="2" w:space="0" w:color="D9D9E3"/>
          </w:divBdr>
          <w:divsChild>
            <w:div w:id="406146425">
              <w:marLeft w:val="0"/>
              <w:marRight w:val="0"/>
              <w:marTop w:val="0"/>
              <w:marBottom w:val="0"/>
              <w:divBdr>
                <w:top w:val="single" w:sz="2" w:space="0" w:color="D9D9E3"/>
                <w:left w:val="single" w:sz="2" w:space="0" w:color="D9D9E3"/>
                <w:bottom w:val="single" w:sz="2" w:space="0" w:color="D9D9E3"/>
                <w:right w:val="single" w:sz="2" w:space="0" w:color="D9D9E3"/>
              </w:divBdr>
              <w:divsChild>
                <w:div w:id="1342010300">
                  <w:marLeft w:val="0"/>
                  <w:marRight w:val="0"/>
                  <w:marTop w:val="0"/>
                  <w:marBottom w:val="0"/>
                  <w:divBdr>
                    <w:top w:val="single" w:sz="2" w:space="0" w:color="D9D9E3"/>
                    <w:left w:val="single" w:sz="2" w:space="0" w:color="D9D9E3"/>
                    <w:bottom w:val="single" w:sz="2" w:space="0" w:color="D9D9E3"/>
                    <w:right w:val="single" w:sz="2" w:space="0" w:color="D9D9E3"/>
                  </w:divBdr>
                  <w:divsChild>
                    <w:div w:id="254753945">
                      <w:marLeft w:val="0"/>
                      <w:marRight w:val="0"/>
                      <w:marTop w:val="0"/>
                      <w:marBottom w:val="0"/>
                      <w:divBdr>
                        <w:top w:val="single" w:sz="2" w:space="0" w:color="D9D9E3"/>
                        <w:left w:val="single" w:sz="2" w:space="0" w:color="D9D9E3"/>
                        <w:bottom w:val="single" w:sz="2" w:space="0" w:color="D9D9E3"/>
                        <w:right w:val="single" w:sz="2" w:space="0" w:color="D9D9E3"/>
                      </w:divBdr>
                      <w:divsChild>
                        <w:div w:id="1903131824">
                          <w:marLeft w:val="0"/>
                          <w:marRight w:val="0"/>
                          <w:marTop w:val="0"/>
                          <w:marBottom w:val="0"/>
                          <w:divBdr>
                            <w:top w:val="none" w:sz="0" w:space="0" w:color="auto"/>
                            <w:left w:val="none" w:sz="0" w:space="0" w:color="auto"/>
                            <w:bottom w:val="none" w:sz="0" w:space="0" w:color="auto"/>
                            <w:right w:val="none" w:sz="0" w:space="0" w:color="auto"/>
                          </w:divBdr>
                          <w:divsChild>
                            <w:div w:id="1654724269">
                              <w:marLeft w:val="0"/>
                              <w:marRight w:val="0"/>
                              <w:marTop w:val="100"/>
                              <w:marBottom w:val="100"/>
                              <w:divBdr>
                                <w:top w:val="single" w:sz="2" w:space="0" w:color="D9D9E3"/>
                                <w:left w:val="single" w:sz="2" w:space="0" w:color="D9D9E3"/>
                                <w:bottom w:val="single" w:sz="2" w:space="0" w:color="D9D9E3"/>
                                <w:right w:val="single" w:sz="2" w:space="0" w:color="D9D9E3"/>
                              </w:divBdr>
                              <w:divsChild>
                                <w:div w:id="821654178">
                                  <w:marLeft w:val="0"/>
                                  <w:marRight w:val="0"/>
                                  <w:marTop w:val="0"/>
                                  <w:marBottom w:val="0"/>
                                  <w:divBdr>
                                    <w:top w:val="single" w:sz="2" w:space="0" w:color="D9D9E3"/>
                                    <w:left w:val="single" w:sz="2" w:space="0" w:color="D9D9E3"/>
                                    <w:bottom w:val="single" w:sz="2" w:space="0" w:color="D9D9E3"/>
                                    <w:right w:val="single" w:sz="2" w:space="0" w:color="D9D9E3"/>
                                  </w:divBdr>
                                  <w:divsChild>
                                    <w:div w:id="1608079391">
                                      <w:marLeft w:val="0"/>
                                      <w:marRight w:val="0"/>
                                      <w:marTop w:val="0"/>
                                      <w:marBottom w:val="0"/>
                                      <w:divBdr>
                                        <w:top w:val="single" w:sz="2" w:space="0" w:color="D9D9E3"/>
                                        <w:left w:val="single" w:sz="2" w:space="0" w:color="D9D9E3"/>
                                        <w:bottom w:val="single" w:sz="2" w:space="0" w:color="D9D9E3"/>
                                        <w:right w:val="single" w:sz="2" w:space="0" w:color="D9D9E3"/>
                                      </w:divBdr>
                                      <w:divsChild>
                                        <w:div w:id="783961236">
                                          <w:marLeft w:val="0"/>
                                          <w:marRight w:val="0"/>
                                          <w:marTop w:val="0"/>
                                          <w:marBottom w:val="0"/>
                                          <w:divBdr>
                                            <w:top w:val="single" w:sz="2" w:space="0" w:color="D9D9E3"/>
                                            <w:left w:val="single" w:sz="2" w:space="0" w:color="D9D9E3"/>
                                            <w:bottom w:val="single" w:sz="2" w:space="0" w:color="D9D9E3"/>
                                            <w:right w:val="single" w:sz="2" w:space="0" w:color="D9D9E3"/>
                                          </w:divBdr>
                                          <w:divsChild>
                                            <w:div w:id="577137182">
                                              <w:marLeft w:val="0"/>
                                              <w:marRight w:val="0"/>
                                              <w:marTop w:val="0"/>
                                              <w:marBottom w:val="0"/>
                                              <w:divBdr>
                                                <w:top w:val="single" w:sz="2" w:space="0" w:color="D9D9E3"/>
                                                <w:left w:val="single" w:sz="2" w:space="0" w:color="D9D9E3"/>
                                                <w:bottom w:val="single" w:sz="2" w:space="0" w:color="D9D9E3"/>
                                                <w:right w:val="single" w:sz="2" w:space="0" w:color="D9D9E3"/>
                                              </w:divBdr>
                                              <w:divsChild>
                                                <w:div w:id="72316120">
                                                  <w:marLeft w:val="0"/>
                                                  <w:marRight w:val="0"/>
                                                  <w:marTop w:val="0"/>
                                                  <w:marBottom w:val="0"/>
                                                  <w:divBdr>
                                                    <w:top w:val="single" w:sz="2" w:space="0" w:color="D9D9E3"/>
                                                    <w:left w:val="single" w:sz="2" w:space="0" w:color="D9D9E3"/>
                                                    <w:bottom w:val="single" w:sz="2" w:space="0" w:color="D9D9E3"/>
                                                    <w:right w:val="single" w:sz="2" w:space="0" w:color="D9D9E3"/>
                                                  </w:divBdr>
                                                  <w:divsChild>
                                                    <w:div w:id="1090812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70382301">
          <w:marLeft w:val="0"/>
          <w:marRight w:val="0"/>
          <w:marTop w:val="0"/>
          <w:marBottom w:val="0"/>
          <w:divBdr>
            <w:top w:val="none" w:sz="0" w:space="0" w:color="auto"/>
            <w:left w:val="none" w:sz="0" w:space="0" w:color="auto"/>
            <w:bottom w:val="none" w:sz="0" w:space="0" w:color="auto"/>
            <w:right w:val="none" w:sz="0" w:space="0" w:color="auto"/>
          </w:divBdr>
          <w:divsChild>
            <w:div w:id="698117934">
              <w:marLeft w:val="0"/>
              <w:marRight w:val="0"/>
              <w:marTop w:val="0"/>
              <w:marBottom w:val="0"/>
              <w:divBdr>
                <w:top w:val="single" w:sz="2" w:space="0" w:color="D9D9E3"/>
                <w:left w:val="single" w:sz="2" w:space="0" w:color="D9D9E3"/>
                <w:bottom w:val="single" w:sz="2" w:space="0" w:color="D9D9E3"/>
                <w:right w:val="single" w:sz="2" w:space="0" w:color="D9D9E3"/>
              </w:divBdr>
              <w:divsChild>
                <w:div w:id="214970936">
                  <w:marLeft w:val="0"/>
                  <w:marRight w:val="0"/>
                  <w:marTop w:val="0"/>
                  <w:marBottom w:val="0"/>
                  <w:divBdr>
                    <w:top w:val="single" w:sz="2" w:space="0" w:color="D9D9E3"/>
                    <w:left w:val="single" w:sz="2" w:space="0" w:color="D9D9E3"/>
                    <w:bottom w:val="single" w:sz="2" w:space="0" w:color="D9D9E3"/>
                    <w:right w:val="single" w:sz="2" w:space="0" w:color="D9D9E3"/>
                  </w:divBdr>
                  <w:divsChild>
                    <w:div w:id="469249171">
                      <w:marLeft w:val="0"/>
                      <w:marRight w:val="0"/>
                      <w:marTop w:val="0"/>
                      <w:marBottom w:val="0"/>
                      <w:divBdr>
                        <w:top w:val="single" w:sz="6" w:space="0" w:color="auto"/>
                        <w:left w:val="single" w:sz="6" w:space="0" w:color="auto"/>
                        <w:bottom w:val="single" w:sz="6" w:space="0" w:color="auto"/>
                        <w:right w:val="single" w:sz="6" w:space="0" w:color="auto"/>
                      </w:divBdr>
                      <w:divsChild>
                        <w:div w:id="1029187527">
                          <w:marLeft w:val="0"/>
                          <w:marRight w:val="0"/>
                          <w:marTop w:val="0"/>
                          <w:marBottom w:val="0"/>
                          <w:divBdr>
                            <w:top w:val="none" w:sz="0" w:space="0" w:color="auto"/>
                            <w:left w:val="none" w:sz="0" w:space="0" w:color="auto"/>
                            <w:bottom w:val="none" w:sz="0" w:space="0" w:color="auto"/>
                            <w:right w:val="none" w:sz="0" w:space="0" w:color="auto"/>
                          </w:divBdr>
                          <w:divsChild>
                            <w:div w:id="1636329384">
                              <w:marLeft w:val="0"/>
                              <w:marRight w:val="0"/>
                              <w:marTop w:val="0"/>
                              <w:marBottom w:val="0"/>
                              <w:divBdr>
                                <w:top w:val="none" w:sz="0" w:space="0" w:color="auto"/>
                                <w:left w:val="none" w:sz="0" w:space="0" w:color="auto"/>
                                <w:bottom w:val="none" w:sz="0" w:space="0" w:color="auto"/>
                                <w:right w:val="none" w:sz="0" w:space="0" w:color="auto"/>
                              </w:divBdr>
                              <w:divsChild>
                                <w:div w:id="1643577463">
                                  <w:marLeft w:val="0"/>
                                  <w:marRight w:val="0"/>
                                  <w:marTop w:val="0"/>
                                  <w:marBottom w:val="0"/>
                                  <w:divBdr>
                                    <w:top w:val="none" w:sz="0" w:space="0" w:color="auto"/>
                                    <w:left w:val="none" w:sz="0" w:space="0" w:color="auto"/>
                                    <w:bottom w:val="none" w:sz="0" w:space="0" w:color="auto"/>
                                    <w:right w:val="none" w:sz="0" w:space="0" w:color="auto"/>
                                  </w:divBdr>
                                  <w:divsChild>
                                    <w:div w:id="1163547253">
                                      <w:marLeft w:val="0"/>
                                      <w:marRight w:val="0"/>
                                      <w:marTop w:val="0"/>
                                      <w:marBottom w:val="0"/>
                                      <w:divBdr>
                                        <w:top w:val="none" w:sz="0" w:space="0" w:color="auto"/>
                                        <w:left w:val="none" w:sz="0" w:space="0" w:color="auto"/>
                                        <w:bottom w:val="none" w:sz="0" w:space="0" w:color="auto"/>
                                        <w:right w:val="none" w:sz="0" w:space="0" w:color="auto"/>
                                      </w:divBdr>
                                      <w:divsChild>
                                        <w:div w:id="100955706">
                                          <w:marLeft w:val="0"/>
                                          <w:marRight w:val="0"/>
                                          <w:marTop w:val="0"/>
                                          <w:marBottom w:val="0"/>
                                          <w:divBdr>
                                            <w:top w:val="none" w:sz="0" w:space="0" w:color="auto"/>
                                            <w:left w:val="none" w:sz="0" w:space="0" w:color="auto"/>
                                            <w:bottom w:val="none" w:sz="0" w:space="0" w:color="auto"/>
                                            <w:right w:val="none" w:sz="0" w:space="0" w:color="auto"/>
                                          </w:divBdr>
                                          <w:divsChild>
                                            <w:div w:id="6378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1601285">
      <w:bodyDiv w:val="1"/>
      <w:marLeft w:val="0"/>
      <w:marRight w:val="0"/>
      <w:marTop w:val="0"/>
      <w:marBottom w:val="0"/>
      <w:divBdr>
        <w:top w:val="none" w:sz="0" w:space="0" w:color="auto"/>
        <w:left w:val="none" w:sz="0" w:space="0" w:color="auto"/>
        <w:bottom w:val="none" w:sz="0" w:space="0" w:color="auto"/>
        <w:right w:val="none" w:sz="0" w:space="0" w:color="auto"/>
      </w:divBdr>
      <w:divsChild>
        <w:div w:id="904606492">
          <w:marLeft w:val="0"/>
          <w:marRight w:val="0"/>
          <w:marTop w:val="0"/>
          <w:marBottom w:val="0"/>
          <w:divBdr>
            <w:top w:val="none" w:sz="0" w:space="0" w:color="auto"/>
            <w:left w:val="none" w:sz="0" w:space="0" w:color="auto"/>
            <w:bottom w:val="none" w:sz="0" w:space="0" w:color="auto"/>
            <w:right w:val="none" w:sz="0" w:space="0" w:color="auto"/>
          </w:divBdr>
          <w:divsChild>
            <w:div w:id="2115664058">
              <w:marLeft w:val="0"/>
              <w:marRight w:val="0"/>
              <w:marTop w:val="0"/>
              <w:marBottom w:val="0"/>
              <w:divBdr>
                <w:top w:val="none" w:sz="0" w:space="0" w:color="auto"/>
                <w:left w:val="none" w:sz="0" w:space="0" w:color="auto"/>
                <w:bottom w:val="none" w:sz="0" w:space="0" w:color="auto"/>
                <w:right w:val="none" w:sz="0" w:space="0" w:color="auto"/>
              </w:divBdr>
              <w:divsChild>
                <w:div w:id="1451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799543">
      <w:bodyDiv w:val="1"/>
      <w:marLeft w:val="0"/>
      <w:marRight w:val="0"/>
      <w:marTop w:val="0"/>
      <w:marBottom w:val="0"/>
      <w:divBdr>
        <w:top w:val="none" w:sz="0" w:space="0" w:color="auto"/>
        <w:left w:val="none" w:sz="0" w:space="0" w:color="auto"/>
        <w:bottom w:val="none" w:sz="0" w:space="0" w:color="auto"/>
        <w:right w:val="none" w:sz="0" w:space="0" w:color="auto"/>
      </w:divBdr>
    </w:div>
    <w:div w:id="1640765707">
      <w:bodyDiv w:val="1"/>
      <w:marLeft w:val="0"/>
      <w:marRight w:val="0"/>
      <w:marTop w:val="0"/>
      <w:marBottom w:val="0"/>
      <w:divBdr>
        <w:top w:val="none" w:sz="0" w:space="0" w:color="auto"/>
        <w:left w:val="none" w:sz="0" w:space="0" w:color="auto"/>
        <w:bottom w:val="none" w:sz="0" w:space="0" w:color="auto"/>
        <w:right w:val="none" w:sz="0" w:space="0" w:color="auto"/>
      </w:divBdr>
    </w:div>
    <w:div w:id="1718166375">
      <w:bodyDiv w:val="1"/>
      <w:marLeft w:val="0"/>
      <w:marRight w:val="0"/>
      <w:marTop w:val="0"/>
      <w:marBottom w:val="0"/>
      <w:divBdr>
        <w:top w:val="none" w:sz="0" w:space="0" w:color="auto"/>
        <w:left w:val="none" w:sz="0" w:space="0" w:color="auto"/>
        <w:bottom w:val="none" w:sz="0" w:space="0" w:color="auto"/>
        <w:right w:val="none" w:sz="0" w:space="0" w:color="auto"/>
      </w:divBdr>
      <w:divsChild>
        <w:div w:id="1745712559">
          <w:marLeft w:val="0"/>
          <w:marRight w:val="0"/>
          <w:marTop w:val="0"/>
          <w:marBottom w:val="0"/>
          <w:divBdr>
            <w:top w:val="none" w:sz="0" w:space="0" w:color="auto"/>
            <w:left w:val="none" w:sz="0" w:space="0" w:color="auto"/>
            <w:bottom w:val="none" w:sz="0" w:space="0" w:color="auto"/>
            <w:right w:val="none" w:sz="0" w:space="0" w:color="auto"/>
          </w:divBdr>
          <w:divsChild>
            <w:div w:id="17922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46055">
      <w:bodyDiv w:val="1"/>
      <w:marLeft w:val="0"/>
      <w:marRight w:val="0"/>
      <w:marTop w:val="0"/>
      <w:marBottom w:val="0"/>
      <w:divBdr>
        <w:top w:val="none" w:sz="0" w:space="0" w:color="auto"/>
        <w:left w:val="none" w:sz="0" w:space="0" w:color="auto"/>
        <w:bottom w:val="none" w:sz="0" w:space="0" w:color="auto"/>
        <w:right w:val="none" w:sz="0" w:space="0" w:color="auto"/>
      </w:divBdr>
      <w:divsChild>
        <w:div w:id="1693609574">
          <w:marLeft w:val="0"/>
          <w:marRight w:val="0"/>
          <w:marTop w:val="0"/>
          <w:marBottom w:val="0"/>
          <w:divBdr>
            <w:top w:val="none" w:sz="0" w:space="0" w:color="auto"/>
            <w:left w:val="none" w:sz="0" w:space="0" w:color="auto"/>
            <w:bottom w:val="none" w:sz="0" w:space="0" w:color="auto"/>
            <w:right w:val="none" w:sz="0" w:space="0" w:color="auto"/>
          </w:divBdr>
          <w:divsChild>
            <w:div w:id="174198717">
              <w:marLeft w:val="0"/>
              <w:marRight w:val="0"/>
              <w:marTop w:val="0"/>
              <w:marBottom w:val="0"/>
              <w:divBdr>
                <w:top w:val="none" w:sz="0" w:space="0" w:color="auto"/>
                <w:left w:val="none" w:sz="0" w:space="0" w:color="auto"/>
                <w:bottom w:val="none" w:sz="0" w:space="0" w:color="auto"/>
                <w:right w:val="none" w:sz="0" w:space="0" w:color="auto"/>
              </w:divBdr>
            </w:div>
            <w:div w:id="1519854230">
              <w:marLeft w:val="0"/>
              <w:marRight w:val="0"/>
              <w:marTop w:val="0"/>
              <w:marBottom w:val="0"/>
              <w:divBdr>
                <w:top w:val="none" w:sz="0" w:space="0" w:color="auto"/>
                <w:left w:val="none" w:sz="0" w:space="0" w:color="auto"/>
                <w:bottom w:val="none" w:sz="0" w:space="0" w:color="auto"/>
                <w:right w:val="none" w:sz="0" w:space="0" w:color="auto"/>
              </w:divBdr>
            </w:div>
            <w:div w:id="1470706002">
              <w:marLeft w:val="0"/>
              <w:marRight w:val="0"/>
              <w:marTop w:val="0"/>
              <w:marBottom w:val="0"/>
              <w:divBdr>
                <w:top w:val="none" w:sz="0" w:space="0" w:color="auto"/>
                <w:left w:val="none" w:sz="0" w:space="0" w:color="auto"/>
                <w:bottom w:val="none" w:sz="0" w:space="0" w:color="auto"/>
                <w:right w:val="none" w:sz="0" w:space="0" w:color="auto"/>
              </w:divBdr>
            </w:div>
            <w:div w:id="710153414">
              <w:marLeft w:val="0"/>
              <w:marRight w:val="0"/>
              <w:marTop w:val="0"/>
              <w:marBottom w:val="0"/>
              <w:divBdr>
                <w:top w:val="none" w:sz="0" w:space="0" w:color="auto"/>
                <w:left w:val="none" w:sz="0" w:space="0" w:color="auto"/>
                <w:bottom w:val="none" w:sz="0" w:space="0" w:color="auto"/>
                <w:right w:val="none" w:sz="0" w:space="0" w:color="auto"/>
              </w:divBdr>
            </w:div>
            <w:div w:id="18219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20979596009431"/>
          <c:y val="7.6896190143306536E-2"/>
          <c:w val="0.71432968635059479"/>
          <c:h val="0.44877266084486728"/>
        </c:manualLayout>
      </c:layout>
      <c:barChart>
        <c:barDir val="col"/>
        <c:grouping val="stacked"/>
        <c:varyColors val="0"/>
        <c:ser>
          <c:idx val="0"/>
          <c:order val="0"/>
          <c:tx>
            <c:strRef>
              <c:f>Sheet1!$B$1</c:f>
              <c:strCache>
                <c:ptCount val="1"/>
                <c:pt idx="0">
                  <c:v>Correct</c:v>
                </c:pt>
              </c:strCache>
            </c:strRef>
          </c:tx>
          <c:spPr>
            <a:solidFill>
              <a:schemeClr val="tx1">
                <a:lumMod val="75000"/>
                <a:lumOff val="25000"/>
              </a:schemeClr>
            </a:solidFill>
            <a:ln>
              <a:noFill/>
            </a:ln>
            <a:effectLst/>
          </c:spPr>
          <c:invertIfNegative val="0"/>
          <c:cat>
            <c:strRef>
              <c:f>Sheet1!$A$2:$A$12</c:f>
              <c:strCache>
                <c:ptCount val="11"/>
                <c:pt idx="0">
                  <c:v>Target Article</c:v>
                </c:pt>
                <c:pt idx="1">
                  <c:v>Types of omics</c:v>
                </c:pt>
                <c:pt idx="2">
                  <c:v>Treatment</c:v>
                </c:pt>
                <c:pt idx="3">
                  <c:v>Treatment type</c:v>
                </c:pt>
                <c:pt idx="4">
                  <c:v>Comparison Group</c:v>
                </c:pt>
                <c:pt idx="5">
                  <c:v>Biological sample</c:v>
                </c:pt>
                <c:pt idx="6">
                  <c:v>Species</c:v>
                </c:pt>
                <c:pt idx="7">
                  <c:v>DEG</c:v>
                </c:pt>
                <c:pt idx="8">
                  <c:v>DEP</c:v>
                </c:pt>
                <c:pt idx="9">
                  <c:v>DEM</c:v>
                </c:pt>
                <c:pt idx="10">
                  <c:v>Pathways</c:v>
                </c:pt>
              </c:strCache>
            </c:strRef>
          </c:cat>
          <c:val>
            <c:numRef>
              <c:f>Sheet1!$B$2:$B$12</c:f>
              <c:numCache>
                <c:formatCode>General</c:formatCode>
                <c:ptCount val="11"/>
                <c:pt idx="0">
                  <c:v>100</c:v>
                </c:pt>
                <c:pt idx="1">
                  <c:v>93</c:v>
                </c:pt>
                <c:pt idx="2">
                  <c:v>69</c:v>
                </c:pt>
                <c:pt idx="3">
                  <c:v>81</c:v>
                </c:pt>
                <c:pt idx="4">
                  <c:v>62</c:v>
                </c:pt>
                <c:pt idx="5">
                  <c:v>79</c:v>
                </c:pt>
                <c:pt idx="6">
                  <c:v>71</c:v>
                </c:pt>
                <c:pt idx="7">
                  <c:v>84</c:v>
                </c:pt>
                <c:pt idx="8">
                  <c:v>94</c:v>
                </c:pt>
                <c:pt idx="9">
                  <c:v>83</c:v>
                </c:pt>
                <c:pt idx="10">
                  <c:v>88</c:v>
                </c:pt>
              </c:numCache>
            </c:numRef>
          </c:val>
          <c:extLst>
            <c:ext xmlns:c16="http://schemas.microsoft.com/office/drawing/2014/chart" uri="{C3380CC4-5D6E-409C-BE32-E72D297353CC}">
              <c16:uniqueId val="{00000000-13A0-744D-8F9A-FF4FEC588040}"/>
            </c:ext>
          </c:extLst>
        </c:ser>
        <c:ser>
          <c:idx val="1"/>
          <c:order val="1"/>
          <c:tx>
            <c:strRef>
              <c:f>Sheet1!$C$1</c:f>
              <c:strCache>
                <c:ptCount val="1"/>
                <c:pt idx="0">
                  <c:v>Correct but not aligned</c:v>
                </c:pt>
              </c:strCache>
            </c:strRef>
          </c:tx>
          <c:spPr>
            <a:solidFill>
              <a:schemeClr val="bg1">
                <a:lumMod val="85000"/>
              </a:schemeClr>
            </a:solidFill>
            <a:ln>
              <a:noFill/>
            </a:ln>
            <a:effectLst/>
          </c:spPr>
          <c:invertIfNegative val="0"/>
          <c:cat>
            <c:strRef>
              <c:f>Sheet1!$A$2:$A$12</c:f>
              <c:strCache>
                <c:ptCount val="11"/>
                <c:pt idx="0">
                  <c:v>Target Article</c:v>
                </c:pt>
                <c:pt idx="1">
                  <c:v>Types of omics</c:v>
                </c:pt>
                <c:pt idx="2">
                  <c:v>Treatment</c:v>
                </c:pt>
                <c:pt idx="3">
                  <c:v>Treatment type</c:v>
                </c:pt>
                <c:pt idx="4">
                  <c:v>Comparison Group</c:v>
                </c:pt>
                <c:pt idx="5">
                  <c:v>Biological sample</c:v>
                </c:pt>
                <c:pt idx="6">
                  <c:v>Species</c:v>
                </c:pt>
                <c:pt idx="7">
                  <c:v>DEG</c:v>
                </c:pt>
                <c:pt idx="8">
                  <c:v>DEP</c:v>
                </c:pt>
                <c:pt idx="9">
                  <c:v>DEM</c:v>
                </c:pt>
                <c:pt idx="10">
                  <c:v>Pathways</c:v>
                </c:pt>
              </c:strCache>
            </c:strRef>
          </c:cat>
          <c:val>
            <c:numRef>
              <c:f>Sheet1!$C$2:$C$12</c:f>
              <c:numCache>
                <c:formatCode>General</c:formatCode>
                <c:ptCount val="11"/>
                <c:pt idx="0">
                  <c:v>0</c:v>
                </c:pt>
                <c:pt idx="1">
                  <c:v>3</c:v>
                </c:pt>
                <c:pt idx="2">
                  <c:v>17</c:v>
                </c:pt>
                <c:pt idx="3">
                  <c:v>11</c:v>
                </c:pt>
                <c:pt idx="4">
                  <c:v>34</c:v>
                </c:pt>
                <c:pt idx="5">
                  <c:v>12</c:v>
                </c:pt>
                <c:pt idx="6">
                  <c:v>12</c:v>
                </c:pt>
                <c:pt idx="7">
                  <c:v>9</c:v>
                </c:pt>
                <c:pt idx="8">
                  <c:v>2</c:v>
                </c:pt>
                <c:pt idx="9">
                  <c:v>7</c:v>
                </c:pt>
                <c:pt idx="10">
                  <c:v>3</c:v>
                </c:pt>
              </c:numCache>
            </c:numRef>
          </c:val>
          <c:extLst>
            <c:ext xmlns:c16="http://schemas.microsoft.com/office/drawing/2014/chart" uri="{C3380CC4-5D6E-409C-BE32-E72D297353CC}">
              <c16:uniqueId val="{00000001-13A0-744D-8F9A-FF4FEC588040}"/>
            </c:ext>
          </c:extLst>
        </c:ser>
        <c:dLbls>
          <c:showLegendKey val="0"/>
          <c:showVal val="0"/>
          <c:showCatName val="0"/>
          <c:showSerName val="0"/>
          <c:showPercent val="0"/>
          <c:showBubbleSize val="0"/>
        </c:dLbls>
        <c:gapWidth val="150"/>
        <c:overlap val="100"/>
        <c:axId val="252390032"/>
        <c:axId val="252391760"/>
      </c:barChart>
      <c:catAx>
        <c:axId val="25239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2391760"/>
        <c:crosses val="autoZero"/>
        <c:auto val="1"/>
        <c:lblAlgn val="ctr"/>
        <c:lblOffset val="100"/>
        <c:noMultiLvlLbl val="0"/>
      </c:catAx>
      <c:valAx>
        <c:axId val="25239176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tLang="zh-CN"/>
                  <a:t>Accuracy(%)</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2390032"/>
        <c:crosses val="autoZero"/>
        <c:crossBetween val="between"/>
        <c:majorUnit val="20"/>
      </c:valAx>
      <c:spPr>
        <a:noFill/>
        <a:ln>
          <a:noFill/>
        </a:ln>
        <a:effectLst/>
      </c:spPr>
    </c:plotArea>
    <c:legend>
      <c:legendPos val="r"/>
      <c:layout>
        <c:manualLayout>
          <c:xMode val="edge"/>
          <c:yMode val="edge"/>
          <c:x val="0.8329275203851001"/>
          <c:y val="0.14442227402455504"/>
          <c:w val="0.14731521176279722"/>
          <c:h val="0.452504080121756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48099458512329307"/>
          <c:y val="1.4035369885738315E-2"/>
          <c:w val="0.44828102944226278"/>
          <c:h val="0.88785168267739512"/>
        </c:manualLayout>
      </c:layout>
      <c:barChart>
        <c:barDir val="bar"/>
        <c:grouping val="clustered"/>
        <c:varyColors val="0"/>
        <c:ser>
          <c:idx val="0"/>
          <c:order val="0"/>
          <c:tx>
            <c:strRef>
              <c:f>Sheet1!$B$1</c:f>
              <c:strCache>
                <c:ptCount val="1"/>
                <c:pt idx="0">
                  <c:v>Series 1</c:v>
                </c:pt>
              </c:strCache>
            </c:strRef>
          </c:tx>
          <c:spPr>
            <a:solidFill>
              <a:schemeClr val="accent4"/>
            </a:solidFill>
            <a:ln>
              <a:noFill/>
            </a:ln>
            <a:effectLst/>
          </c:spPr>
          <c:invertIfNegative val="0"/>
          <c:cat>
            <c:strRef>
              <c:f>Sheet1!$A$2:$A$11</c:f>
              <c:strCache>
                <c:ptCount val="10"/>
                <c:pt idx="0">
                  <c:v>Pathways</c:v>
                </c:pt>
                <c:pt idx="1">
                  <c:v>DEMs</c:v>
                </c:pt>
                <c:pt idx="2">
                  <c:v>DEPs</c:v>
                </c:pt>
                <c:pt idx="3">
                  <c:v>DEGs</c:v>
                </c:pt>
                <c:pt idx="4">
                  <c:v>Species</c:v>
                </c:pt>
                <c:pt idx="5">
                  <c:v>Biological sample</c:v>
                </c:pt>
                <c:pt idx="6">
                  <c:v>Comparison group</c:v>
                </c:pt>
                <c:pt idx="7">
                  <c:v>Treatment type</c:v>
                </c:pt>
                <c:pt idx="8">
                  <c:v>Treatment</c:v>
                </c:pt>
                <c:pt idx="9">
                  <c:v>Types of omics</c:v>
                </c:pt>
              </c:strCache>
            </c:strRef>
          </c:cat>
          <c:val>
            <c:numRef>
              <c:f>Sheet1!$B$2:$B$11</c:f>
              <c:numCache>
                <c:formatCode>General</c:formatCode>
                <c:ptCount val="10"/>
                <c:pt idx="0">
                  <c:v>90</c:v>
                </c:pt>
                <c:pt idx="1">
                  <c:v>97</c:v>
                </c:pt>
                <c:pt idx="2">
                  <c:v>93</c:v>
                </c:pt>
                <c:pt idx="3">
                  <c:v>95</c:v>
                </c:pt>
                <c:pt idx="4">
                  <c:v>95</c:v>
                </c:pt>
                <c:pt idx="5">
                  <c:v>95</c:v>
                </c:pt>
                <c:pt idx="6">
                  <c:v>91</c:v>
                </c:pt>
                <c:pt idx="7">
                  <c:v>85</c:v>
                </c:pt>
                <c:pt idx="8">
                  <c:v>96</c:v>
                </c:pt>
                <c:pt idx="9">
                  <c:v>97</c:v>
                </c:pt>
              </c:numCache>
            </c:numRef>
          </c:val>
          <c:extLst>
            <c:ext xmlns:c16="http://schemas.microsoft.com/office/drawing/2014/chart" uri="{C3380CC4-5D6E-409C-BE32-E72D297353CC}">
              <c16:uniqueId val="{00000000-A9E1-6C48-A559-B02526A4E7AD}"/>
            </c:ext>
          </c:extLst>
        </c:ser>
        <c:dLbls>
          <c:showLegendKey val="0"/>
          <c:showVal val="0"/>
          <c:showCatName val="0"/>
          <c:showSerName val="0"/>
          <c:showPercent val="0"/>
          <c:showBubbleSize val="0"/>
        </c:dLbls>
        <c:gapWidth val="182"/>
        <c:axId val="1866585904"/>
        <c:axId val="1867120352"/>
      </c:barChart>
      <c:catAx>
        <c:axId val="1866585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67120352"/>
        <c:crosses val="autoZero"/>
        <c:auto val="1"/>
        <c:lblAlgn val="ctr"/>
        <c:lblOffset val="100"/>
        <c:noMultiLvlLbl val="0"/>
      </c:catAx>
      <c:valAx>
        <c:axId val="1867120352"/>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66585904"/>
        <c:crosses val="autoZero"/>
        <c:crossBetween val="between"/>
        <c:majorUnit val="5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6594660361332376E-2"/>
          <c:y val="2.8945468921748034E-2"/>
          <c:w val="0.59832018104377904"/>
          <c:h val="0.87607322389786024"/>
        </c:manualLayout>
      </c:layout>
      <c:barChart>
        <c:barDir val="bar"/>
        <c:grouping val="clustered"/>
        <c:varyColors val="0"/>
        <c:ser>
          <c:idx val="0"/>
          <c:order val="0"/>
          <c:tx>
            <c:strRef>
              <c:f>Sheet1!$B$1</c:f>
              <c:strCache>
                <c:ptCount val="1"/>
                <c:pt idx="0">
                  <c:v>Third fine-tuning</c:v>
                </c:pt>
              </c:strCache>
            </c:strRef>
          </c:tx>
          <c:spPr>
            <a:solidFill>
              <a:schemeClr val="dk1">
                <a:tint val="88500"/>
              </a:schemeClr>
            </a:solidFill>
            <a:ln>
              <a:noFill/>
            </a:ln>
            <a:effectLst/>
          </c:spPr>
          <c:invertIfNegative val="0"/>
          <c:cat>
            <c:strRef>
              <c:f>Sheet1!$A$2:$A$11</c:f>
              <c:strCache>
                <c:ptCount val="10"/>
                <c:pt idx="0">
                  <c:v>Pathway</c:v>
                </c:pt>
                <c:pt idx="1">
                  <c:v>DEM</c:v>
                </c:pt>
                <c:pt idx="2">
                  <c:v>DEP</c:v>
                </c:pt>
                <c:pt idx="3">
                  <c:v>DEG</c:v>
                </c:pt>
                <c:pt idx="4">
                  <c:v>Species</c:v>
                </c:pt>
                <c:pt idx="5">
                  <c:v>Biological sample</c:v>
                </c:pt>
                <c:pt idx="6">
                  <c:v>Control</c:v>
                </c:pt>
                <c:pt idx="7">
                  <c:v>Treatment type</c:v>
                </c:pt>
                <c:pt idx="8">
                  <c:v>Treatment</c:v>
                </c:pt>
                <c:pt idx="9">
                  <c:v>Types of omics data</c:v>
                </c:pt>
              </c:strCache>
            </c:strRef>
          </c:cat>
          <c:val>
            <c:numRef>
              <c:f>Sheet1!$B$2:$B$11</c:f>
              <c:numCache>
                <c:formatCode>General</c:formatCode>
                <c:ptCount val="10"/>
                <c:pt idx="0">
                  <c:v>97.5</c:v>
                </c:pt>
                <c:pt idx="1">
                  <c:v>99.4</c:v>
                </c:pt>
                <c:pt idx="2">
                  <c:v>99.4</c:v>
                </c:pt>
                <c:pt idx="3">
                  <c:v>98.8</c:v>
                </c:pt>
                <c:pt idx="4">
                  <c:v>96.9</c:v>
                </c:pt>
                <c:pt idx="5">
                  <c:v>96.3</c:v>
                </c:pt>
                <c:pt idx="6">
                  <c:v>92</c:v>
                </c:pt>
                <c:pt idx="7">
                  <c:v>95.7</c:v>
                </c:pt>
                <c:pt idx="8">
                  <c:v>96.3</c:v>
                </c:pt>
                <c:pt idx="9">
                  <c:v>98.8</c:v>
                </c:pt>
              </c:numCache>
            </c:numRef>
          </c:val>
          <c:extLst>
            <c:ext xmlns:c16="http://schemas.microsoft.com/office/drawing/2014/chart" uri="{C3380CC4-5D6E-409C-BE32-E72D297353CC}">
              <c16:uniqueId val="{00000000-D80C-234D-89BD-4FD2E8A41883}"/>
            </c:ext>
          </c:extLst>
        </c:ser>
        <c:ser>
          <c:idx val="1"/>
          <c:order val="1"/>
          <c:tx>
            <c:strRef>
              <c:f>Sheet1!$C$1</c:f>
              <c:strCache>
                <c:ptCount val="1"/>
                <c:pt idx="0">
                  <c:v>Second fine-tuning</c:v>
                </c:pt>
              </c:strCache>
            </c:strRef>
          </c:tx>
          <c:spPr>
            <a:solidFill>
              <a:schemeClr val="dk1">
                <a:tint val="55000"/>
              </a:schemeClr>
            </a:solidFill>
            <a:ln>
              <a:noFill/>
            </a:ln>
            <a:effectLst/>
          </c:spPr>
          <c:invertIfNegative val="0"/>
          <c:cat>
            <c:strRef>
              <c:f>Sheet1!$A$2:$A$11</c:f>
              <c:strCache>
                <c:ptCount val="10"/>
                <c:pt idx="0">
                  <c:v>Pathway</c:v>
                </c:pt>
                <c:pt idx="1">
                  <c:v>DEM</c:v>
                </c:pt>
                <c:pt idx="2">
                  <c:v>DEP</c:v>
                </c:pt>
                <c:pt idx="3">
                  <c:v>DEG</c:v>
                </c:pt>
                <c:pt idx="4">
                  <c:v>Species</c:v>
                </c:pt>
                <c:pt idx="5">
                  <c:v>Biological sample</c:v>
                </c:pt>
                <c:pt idx="6">
                  <c:v>Control</c:v>
                </c:pt>
                <c:pt idx="7">
                  <c:v>Treatment type</c:v>
                </c:pt>
                <c:pt idx="8">
                  <c:v>Treatment</c:v>
                </c:pt>
                <c:pt idx="9">
                  <c:v>Types of omics data</c:v>
                </c:pt>
              </c:strCache>
            </c:strRef>
          </c:cat>
          <c:val>
            <c:numRef>
              <c:f>Sheet1!$C$2:$C$11</c:f>
              <c:numCache>
                <c:formatCode>General</c:formatCode>
                <c:ptCount val="10"/>
                <c:pt idx="0">
                  <c:v>99.3</c:v>
                </c:pt>
                <c:pt idx="1">
                  <c:v>96.7</c:v>
                </c:pt>
                <c:pt idx="2">
                  <c:v>97.3</c:v>
                </c:pt>
                <c:pt idx="3">
                  <c:v>97.3</c:v>
                </c:pt>
                <c:pt idx="4">
                  <c:v>99.3</c:v>
                </c:pt>
                <c:pt idx="5">
                  <c:v>100</c:v>
                </c:pt>
                <c:pt idx="6">
                  <c:v>88.8</c:v>
                </c:pt>
                <c:pt idx="7">
                  <c:v>92.8</c:v>
                </c:pt>
                <c:pt idx="8">
                  <c:v>97.4</c:v>
                </c:pt>
                <c:pt idx="9">
                  <c:v>96.7</c:v>
                </c:pt>
              </c:numCache>
            </c:numRef>
          </c:val>
          <c:extLst>
            <c:ext xmlns:c16="http://schemas.microsoft.com/office/drawing/2014/chart" uri="{C3380CC4-5D6E-409C-BE32-E72D297353CC}">
              <c16:uniqueId val="{00000001-D80C-234D-89BD-4FD2E8A41883}"/>
            </c:ext>
          </c:extLst>
        </c:ser>
        <c:ser>
          <c:idx val="2"/>
          <c:order val="2"/>
          <c:tx>
            <c:strRef>
              <c:f>Sheet1!$D$1</c:f>
              <c:strCache>
                <c:ptCount val="1"/>
                <c:pt idx="0">
                  <c:v>First fine-tuning</c:v>
                </c:pt>
              </c:strCache>
            </c:strRef>
          </c:tx>
          <c:spPr>
            <a:solidFill>
              <a:schemeClr val="bg1">
                <a:lumMod val="85000"/>
              </a:schemeClr>
            </a:solidFill>
            <a:ln>
              <a:noFill/>
            </a:ln>
            <a:effectLst/>
          </c:spPr>
          <c:invertIfNegative val="0"/>
          <c:cat>
            <c:strRef>
              <c:f>Sheet1!$A$2:$A$11</c:f>
              <c:strCache>
                <c:ptCount val="10"/>
                <c:pt idx="0">
                  <c:v>Pathway</c:v>
                </c:pt>
                <c:pt idx="1">
                  <c:v>DEM</c:v>
                </c:pt>
                <c:pt idx="2">
                  <c:v>DEP</c:v>
                </c:pt>
                <c:pt idx="3">
                  <c:v>DEG</c:v>
                </c:pt>
                <c:pt idx="4">
                  <c:v>Species</c:v>
                </c:pt>
                <c:pt idx="5">
                  <c:v>Biological sample</c:v>
                </c:pt>
                <c:pt idx="6">
                  <c:v>Control</c:v>
                </c:pt>
                <c:pt idx="7">
                  <c:v>Treatment type</c:v>
                </c:pt>
                <c:pt idx="8">
                  <c:v>Treatment</c:v>
                </c:pt>
                <c:pt idx="9">
                  <c:v>Types of omics data</c:v>
                </c:pt>
              </c:strCache>
            </c:strRef>
          </c:cat>
          <c:val>
            <c:numRef>
              <c:f>Sheet1!$D$2:$D$11</c:f>
              <c:numCache>
                <c:formatCode>General</c:formatCode>
                <c:ptCount val="10"/>
                <c:pt idx="0">
                  <c:v>91.7</c:v>
                </c:pt>
                <c:pt idx="1">
                  <c:v>95.9</c:v>
                </c:pt>
                <c:pt idx="2">
                  <c:v>94.1</c:v>
                </c:pt>
                <c:pt idx="3">
                  <c:v>91.7</c:v>
                </c:pt>
                <c:pt idx="4">
                  <c:v>98.2</c:v>
                </c:pt>
                <c:pt idx="5">
                  <c:v>92.3</c:v>
                </c:pt>
                <c:pt idx="6">
                  <c:v>92.9</c:v>
                </c:pt>
                <c:pt idx="7">
                  <c:v>88.8</c:v>
                </c:pt>
                <c:pt idx="8">
                  <c:v>95.3</c:v>
                </c:pt>
                <c:pt idx="9">
                  <c:v>97.6</c:v>
                </c:pt>
              </c:numCache>
            </c:numRef>
          </c:val>
          <c:extLst>
            <c:ext xmlns:c16="http://schemas.microsoft.com/office/drawing/2014/chart" uri="{C3380CC4-5D6E-409C-BE32-E72D297353CC}">
              <c16:uniqueId val="{00000000-372F-0047-96A3-1145BCACD83D}"/>
            </c:ext>
          </c:extLst>
        </c:ser>
        <c:dLbls>
          <c:showLegendKey val="0"/>
          <c:showVal val="0"/>
          <c:showCatName val="0"/>
          <c:showSerName val="0"/>
          <c:showPercent val="0"/>
          <c:showBubbleSize val="0"/>
        </c:dLbls>
        <c:gapWidth val="182"/>
        <c:axId val="1569695600"/>
        <c:axId val="393117008"/>
      </c:barChart>
      <c:catAx>
        <c:axId val="1569695600"/>
        <c:scaling>
          <c:orientation val="minMax"/>
        </c:scaling>
        <c:delete val="1"/>
        <c:axPos val="l"/>
        <c:numFmt formatCode="General" sourceLinked="1"/>
        <c:majorTickMark val="none"/>
        <c:minorTickMark val="none"/>
        <c:tickLblPos val="nextTo"/>
        <c:crossAx val="393117008"/>
        <c:crosses val="autoZero"/>
        <c:auto val="1"/>
        <c:lblAlgn val="ctr"/>
        <c:lblOffset val="100"/>
        <c:noMultiLvlLbl val="0"/>
      </c:catAx>
      <c:valAx>
        <c:axId val="393117008"/>
        <c:scaling>
          <c:orientation val="minMax"/>
          <c:max val="1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69695600"/>
        <c:crosses val="autoZero"/>
        <c:crossBetween val="between"/>
      </c:valAx>
      <c:spPr>
        <a:noFill/>
        <a:ln>
          <a:noFill/>
        </a:ln>
        <a:effectLst/>
      </c:spPr>
    </c:plotArea>
    <c:legend>
      <c:legendPos val="r"/>
      <c:layout>
        <c:manualLayout>
          <c:xMode val="edge"/>
          <c:yMode val="edge"/>
          <c:x val="0.7077197964577121"/>
          <c:y val="0.30411447539480629"/>
          <c:w val="0.29228068728939882"/>
          <c:h val="0.444015680093482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4">
  <a:schemeClr val="accent4"/>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0</TotalTime>
  <Pages>6</Pages>
  <Words>5914</Words>
  <Characters>33712</Characters>
  <Application>Microsoft Office Word</Application>
  <DocSecurity>0</DocSecurity>
  <Lines>280</Lines>
  <Paragraphs>79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39547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Liu, Yufan (PG/R - Chemistry &amp; Chem Eng)</cp:lastModifiedBy>
  <cp:revision>2</cp:revision>
  <cp:lastPrinted>2004-12-17T09:20:00Z</cp:lastPrinted>
  <dcterms:created xsi:type="dcterms:W3CDTF">2024-01-15T16:05:00Z</dcterms:created>
  <dcterms:modified xsi:type="dcterms:W3CDTF">2024-01-15T16:05:00Z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 11th edition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7th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 6th edition</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17th edition (author-date)</vt:lpwstr>
  </property>
  <property fmtid="{D5CDD505-2E9C-101B-9397-08002B2CF9AE}" pid="20" name="Mendeley Recent Style Id 5_1">
    <vt:lpwstr>http://www.zotero.org/styles/harvard-cite-them-right</vt:lpwstr>
  </property>
  <property fmtid="{D5CDD505-2E9C-101B-9397-08002B2CF9AE}" pid="21" name="Mendeley Recent Style Name 5_1">
    <vt:lpwstr>Cite Them Right 10th edition - Harvard</vt:lpwstr>
  </property>
  <property fmtid="{D5CDD505-2E9C-101B-9397-08002B2CF9AE}" pid="22" name="Mendeley Recent Style Id 6_1">
    <vt:lpwstr>http://www.zotero.org/styles/harvard1</vt:lpwstr>
  </property>
  <property fmtid="{D5CDD505-2E9C-101B-9397-08002B2CF9AE}" pid="23" name="Mendeley Recent Style Name 6_1">
    <vt:lpwstr>Harvard reference format 1 (deprecated)</vt:lpwstr>
  </property>
  <property fmtid="{D5CDD505-2E9C-101B-9397-08002B2CF9AE}" pid="24" name="Mendeley Recent Style Id 7_1">
    <vt:lpwstr>http://www.zotero.org/styles/national-library-of-medicine</vt:lpwstr>
  </property>
  <property fmtid="{D5CDD505-2E9C-101B-9397-08002B2CF9AE}" pid="25" name="Mendeley Recent Style Name 7_1">
    <vt:lpwstr>National Library of Medicine</vt:lpwstr>
  </property>
  <property fmtid="{D5CDD505-2E9C-101B-9397-08002B2CF9AE}" pid="26" name="Mendeley Recent Style Id 8_1">
    <vt:lpwstr>http://www.zotero.org/styles/national-library-of-medicine-grant-proposals</vt:lpwstr>
  </property>
  <property fmtid="{D5CDD505-2E9C-101B-9397-08002B2CF9AE}" pid="27" name="Mendeley Recent Style Name 8_1">
    <vt:lpwstr>National Library of Medicine (grant proposals with PMCID/PMID)</vt:lpwstr>
  </property>
  <property fmtid="{D5CDD505-2E9C-101B-9397-08002B2CF9AE}" pid="28" name="Mendeley Recent Style Id 9_1">
    <vt:lpwstr>http://www.zotero.org/styles/science-without-titles</vt:lpwstr>
  </property>
  <property fmtid="{D5CDD505-2E9C-101B-9397-08002B2CF9AE}" pid="29" name="Mendeley Recent Style Name 9_1">
    <vt:lpwstr>Science (without titles)</vt:lpwstr>
  </property>
  <property fmtid="{D5CDD505-2E9C-101B-9397-08002B2CF9AE}" pid="30" name="Mendeley Document_1">
    <vt:lpwstr>True</vt:lpwstr>
  </property>
  <property fmtid="{D5CDD505-2E9C-101B-9397-08002B2CF9AE}" pid="31" name="Mendeley Citation Style_1">
    <vt:lpwstr>http://www.zotero.org/styles/harvard1</vt:lpwstr>
  </property>
  <property fmtid="{D5CDD505-2E9C-101B-9397-08002B2CF9AE}" pid="32" name="Mendeley Unique User Id_1">
    <vt:lpwstr>e1492efb-0fb7-33de-8f70-373193a146a8</vt:lpwstr>
  </property>
</Properties>
</file>