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DE67F" w14:textId="2409FA0A" w:rsidR="00DD3D9E" w:rsidRPr="00B177C4" w:rsidRDefault="00A502F5">
      <w:pPr>
        <w:pStyle w:val="Els-Title"/>
        <w:rPr>
          <w:color w:val="000000" w:themeColor="text1"/>
        </w:rPr>
      </w:pPr>
      <w:r w:rsidRPr="00B177C4">
        <w:rPr>
          <w:color w:val="000000" w:themeColor="text1"/>
        </w:rPr>
        <w:t xml:space="preserve">Modeling Substrate Degradation in Upflow Anaerobic </w:t>
      </w:r>
      <w:r w:rsidR="00366DE8" w:rsidRPr="00B177C4">
        <w:rPr>
          <w:color w:val="000000" w:themeColor="text1"/>
        </w:rPr>
        <w:t>S</w:t>
      </w:r>
      <w:r w:rsidRPr="00B177C4">
        <w:rPr>
          <w:color w:val="000000" w:themeColor="text1"/>
        </w:rPr>
        <w:t>ludge Blanket Reactors</w:t>
      </w:r>
    </w:p>
    <w:p w14:paraId="144DE680" w14:textId="5874DE2E" w:rsidR="00DD3D9E" w:rsidRPr="003E3C4A" w:rsidRDefault="00A502F5">
      <w:pPr>
        <w:pStyle w:val="Els-Author"/>
        <w:rPr>
          <w:lang w:val="it-IT"/>
        </w:rPr>
      </w:pPr>
      <w:r w:rsidRPr="003E3C4A">
        <w:rPr>
          <w:lang w:val="it-IT"/>
        </w:rPr>
        <w:t>Federico Moretta, Luisa Carbone, Giulia Bozzano</w:t>
      </w:r>
    </w:p>
    <w:p w14:paraId="144DE682" w14:textId="54969A63" w:rsidR="00DD3D9E" w:rsidRPr="003E3C4A" w:rsidRDefault="00A502F5">
      <w:pPr>
        <w:pStyle w:val="Els-Affiliation"/>
        <w:rPr>
          <w:lang w:val="it-IT"/>
        </w:rPr>
      </w:pPr>
      <w:r w:rsidRPr="003E3C4A">
        <w:rPr>
          <w:lang w:val="it-IT"/>
        </w:rPr>
        <w:t>Politecnico di Milano, Dipartimento di Chimica, Materiali ed Ingegneria Chimica, p.zza Leonardo da Vinci, 32, 20133, Milano (MI), Italy.</w:t>
      </w:r>
    </w:p>
    <w:p w14:paraId="338958CB" w14:textId="63B619BD" w:rsidR="00A502F5" w:rsidRPr="00B177C4" w:rsidRDefault="00A502F5" w:rsidP="008D2649">
      <w:pPr>
        <w:pStyle w:val="Els-Affiliation"/>
        <w:spacing w:after="120"/>
        <w:rPr>
          <w:lang w:val="en-US"/>
        </w:rPr>
      </w:pPr>
      <w:r w:rsidRPr="00B177C4">
        <w:rPr>
          <w:lang w:val="en-US"/>
        </w:rPr>
        <w:t>giulia.bozzano@polimi.it</w:t>
      </w:r>
    </w:p>
    <w:p w14:paraId="793298FF" w14:textId="64ACFAD1" w:rsidR="00831EC3" w:rsidRPr="003900A1" w:rsidRDefault="008D2649" w:rsidP="003900A1">
      <w:pPr>
        <w:pStyle w:val="Els-Abstract"/>
      </w:pPr>
      <w:r w:rsidRPr="00B177C4">
        <w:t>Abstract</w:t>
      </w:r>
    </w:p>
    <w:p w14:paraId="2AEC9D57" w14:textId="4CA5E53D" w:rsidR="00831EC3" w:rsidRDefault="00831EC3" w:rsidP="00831EC3">
      <w:pPr>
        <w:pStyle w:val="Els-body-text"/>
        <w:spacing w:after="120"/>
        <w:rPr>
          <w:rFonts w:eastAsiaTheme="minorHAnsi"/>
          <w:color w:val="000000" w:themeColor="text1"/>
        </w:rPr>
      </w:pPr>
      <w:r w:rsidRPr="00831EC3">
        <w:rPr>
          <w:rFonts w:eastAsiaTheme="minorHAnsi"/>
          <w:color w:val="000000" w:themeColor="text1"/>
        </w:rPr>
        <w:t xml:space="preserve">Anaerobic digestion </w:t>
      </w:r>
      <w:r w:rsidR="005946A2">
        <w:rPr>
          <w:rFonts w:eastAsiaTheme="minorHAnsi"/>
          <w:color w:val="000000" w:themeColor="text1"/>
        </w:rPr>
        <w:t>concerns the conversion of</w:t>
      </w:r>
      <w:r w:rsidRPr="00831EC3">
        <w:rPr>
          <w:rFonts w:eastAsiaTheme="minorHAnsi"/>
          <w:color w:val="000000" w:themeColor="text1"/>
        </w:rPr>
        <w:t xml:space="preserve"> organic resources into biogas, providing clean energy. The upflow anaerobic sludge blanket (UASB) reactor, known for its efficiency in wastewater treatment, utilizes biomass </w:t>
      </w:r>
      <w:r w:rsidR="005946A2">
        <w:rPr>
          <w:rFonts w:eastAsiaTheme="minorHAnsi"/>
          <w:color w:val="000000" w:themeColor="text1"/>
        </w:rPr>
        <w:t xml:space="preserve">as </w:t>
      </w:r>
      <w:r w:rsidRPr="00831EC3">
        <w:rPr>
          <w:rFonts w:eastAsiaTheme="minorHAnsi"/>
          <w:color w:val="000000" w:themeColor="text1"/>
        </w:rPr>
        <w:t xml:space="preserve">granules, enhancing efficiency and reducing costs. However, </w:t>
      </w:r>
      <w:r w:rsidR="005946A2">
        <w:rPr>
          <w:rFonts w:eastAsiaTheme="minorHAnsi"/>
          <w:color w:val="000000" w:themeColor="text1"/>
        </w:rPr>
        <w:t xml:space="preserve">the </w:t>
      </w:r>
      <w:r w:rsidRPr="00831EC3">
        <w:rPr>
          <w:rFonts w:eastAsiaTheme="minorHAnsi"/>
          <w:color w:val="000000" w:themeColor="text1"/>
        </w:rPr>
        <w:t xml:space="preserve">understanding </w:t>
      </w:r>
      <w:r w:rsidR="005946A2">
        <w:rPr>
          <w:rFonts w:eastAsiaTheme="minorHAnsi"/>
          <w:color w:val="000000" w:themeColor="text1"/>
        </w:rPr>
        <w:t xml:space="preserve">around its </w:t>
      </w:r>
      <w:r w:rsidRPr="00831EC3">
        <w:rPr>
          <w:rFonts w:eastAsiaTheme="minorHAnsi"/>
          <w:color w:val="000000" w:themeColor="text1"/>
        </w:rPr>
        <w:t xml:space="preserve">substrate-biomass reactivity </w:t>
      </w:r>
      <w:r w:rsidR="005946A2">
        <w:rPr>
          <w:rFonts w:eastAsiaTheme="minorHAnsi"/>
          <w:color w:val="000000" w:themeColor="text1"/>
        </w:rPr>
        <w:t xml:space="preserve">and interaction </w:t>
      </w:r>
      <w:r w:rsidRPr="00831EC3">
        <w:rPr>
          <w:rFonts w:eastAsiaTheme="minorHAnsi"/>
          <w:color w:val="000000" w:themeColor="text1"/>
        </w:rPr>
        <w:t>is limited, leading to co</w:t>
      </w:r>
      <w:r w:rsidR="005946A2">
        <w:rPr>
          <w:rFonts w:eastAsiaTheme="minorHAnsi"/>
          <w:color w:val="000000" w:themeColor="text1"/>
        </w:rPr>
        <w:t>mplex and scarce modeling</w:t>
      </w:r>
      <w:r w:rsidR="008941E3">
        <w:rPr>
          <w:rFonts w:eastAsiaTheme="minorHAnsi"/>
          <w:color w:val="000000" w:themeColor="text1"/>
        </w:rPr>
        <w:t xml:space="preserve"> for biogas production and morganic matter remotion prediction</w:t>
      </w:r>
      <w:r w:rsidRPr="00831EC3">
        <w:rPr>
          <w:rFonts w:eastAsiaTheme="minorHAnsi"/>
          <w:color w:val="000000" w:themeColor="text1"/>
        </w:rPr>
        <w:t xml:space="preserve">. This work develops a dynamic model for UASB reactors, using a tanks-in-series model </w:t>
      </w:r>
      <w:r w:rsidR="003900A1">
        <w:rPr>
          <w:rFonts w:eastAsiaTheme="minorHAnsi"/>
          <w:color w:val="000000" w:themeColor="text1"/>
        </w:rPr>
        <w:t>to better treat the</w:t>
      </w:r>
      <w:r w:rsidRPr="00831EC3">
        <w:rPr>
          <w:rFonts w:eastAsiaTheme="minorHAnsi"/>
          <w:color w:val="000000" w:themeColor="text1"/>
        </w:rPr>
        <w:t xml:space="preserve"> hydrodynamic complexity. A lumped kinetic mechanism identifies key components: substrate, active biomass, inactive biomass, and methane. Emphasis is on granule dynamics, considering reaction-diffusion equations. Diffusion through particle boundary layers is analyzed for a realistic substrate concentration profile. Granule kinetics use the Monod equation, solved numerically</w:t>
      </w:r>
      <w:r w:rsidR="003900A1">
        <w:rPr>
          <w:rFonts w:eastAsiaTheme="minorHAnsi"/>
          <w:color w:val="000000" w:themeColor="text1"/>
        </w:rPr>
        <w:t xml:space="preserve"> through python programming language</w:t>
      </w:r>
      <w:r w:rsidRPr="00831EC3">
        <w:rPr>
          <w:rFonts w:eastAsiaTheme="minorHAnsi"/>
          <w:color w:val="000000" w:themeColor="text1"/>
        </w:rPr>
        <w:t>. The model, validated against literature and industrial data, enhances understanding of UASB reactor substrate degradation, aiding in system optimization for wastewater treatment.</w:t>
      </w:r>
    </w:p>
    <w:p w14:paraId="519CE673" w14:textId="77777777" w:rsidR="00831EC3" w:rsidRDefault="00831EC3" w:rsidP="00831EC3">
      <w:pPr>
        <w:pStyle w:val="Els-body-text"/>
        <w:spacing w:after="120"/>
        <w:rPr>
          <w:rFonts w:eastAsiaTheme="minorHAnsi"/>
          <w:color w:val="000000" w:themeColor="text1"/>
        </w:rPr>
      </w:pPr>
    </w:p>
    <w:p w14:paraId="144DE687" w14:textId="525CEA7F" w:rsidR="008D2649" w:rsidRPr="00B177C4" w:rsidRDefault="008D2649" w:rsidP="00831EC3">
      <w:pPr>
        <w:pStyle w:val="Els-body-text"/>
        <w:spacing w:after="120"/>
      </w:pPr>
      <w:r w:rsidRPr="00B177C4">
        <w:rPr>
          <w:b/>
          <w:bCs/>
        </w:rPr>
        <w:t>Keywords</w:t>
      </w:r>
      <w:r w:rsidRPr="00B177C4">
        <w:t xml:space="preserve">: </w:t>
      </w:r>
      <w:r w:rsidR="000923E1" w:rsidRPr="00B177C4">
        <w:t xml:space="preserve">Anaerobic Digestion, Sludge, </w:t>
      </w:r>
      <w:r w:rsidR="003E3C4A">
        <w:t xml:space="preserve">Mathematical  </w:t>
      </w:r>
      <w:r w:rsidR="000923E1" w:rsidRPr="00B177C4">
        <w:t>Modelling</w:t>
      </w:r>
      <w:r w:rsidR="003E3C4A">
        <w:t>, Transport Phenomena.</w:t>
      </w:r>
    </w:p>
    <w:p w14:paraId="144DE689" w14:textId="5B3DC09E" w:rsidR="008D2649" w:rsidRPr="00B177C4" w:rsidRDefault="000923E1" w:rsidP="000923E1">
      <w:pPr>
        <w:pStyle w:val="Els-1storder-head"/>
      </w:pPr>
      <w:r w:rsidRPr="00B177C4">
        <w:t>Introduction</w:t>
      </w:r>
    </w:p>
    <w:p w14:paraId="5B3816A9" w14:textId="427A01AA" w:rsidR="006231F8" w:rsidRDefault="000923E1" w:rsidP="006231F8">
      <w:pPr>
        <w:pStyle w:val="Els-body-text"/>
      </w:pPr>
      <w:r w:rsidRPr="000923E1">
        <w:t>Anaerobic digestion (AD) is an established technology in the wastewater treatment field which, through the metabolization of organic matter, can recover energy by producing biogas, a mixture of methane and carbon dioxide.</w:t>
      </w:r>
    </w:p>
    <w:p w14:paraId="2BB8D174" w14:textId="7C464358" w:rsidR="006231F8" w:rsidRDefault="006231F8" w:rsidP="006231F8">
      <w:pPr>
        <w:pStyle w:val="Els-2ndorder-head"/>
      </w:pPr>
      <w:r>
        <w:t>The process</w:t>
      </w:r>
    </w:p>
    <w:p w14:paraId="47B44502" w14:textId="77777777" w:rsidR="006231F8" w:rsidRDefault="000923E1" w:rsidP="000923E1">
      <w:pPr>
        <w:pStyle w:val="Els-body-text"/>
      </w:pPr>
      <w:r w:rsidRPr="000923E1">
        <w:t xml:space="preserve">The upflow anaerobic sludge blanket (UASB) is an anaerobic digester in which the microorganisms, that perform the digestion, are in granular form. This determines the capability of treating higher </w:t>
      </w:r>
      <w:r w:rsidR="00C03831" w:rsidRPr="000923E1">
        <w:t xml:space="preserve">organic loading rates </w:t>
      </w:r>
      <w:r w:rsidRPr="000923E1">
        <w:t xml:space="preserve">(OLR), a higher efficiency, compact volumes, and lower </w:t>
      </w:r>
      <w:r w:rsidRPr="00B177C4">
        <w:t>costs</w:t>
      </w:r>
      <w:r w:rsidRPr="000923E1">
        <w:t>.</w:t>
      </w:r>
      <w:r w:rsidRPr="00B177C4">
        <w:t xml:space="preserve"> </w:t>
      </w:r>
      <w:r w:rsidRPr="000923E1">
        <w:t>It is comprised of two sections: a cylindrical column and a gas</w:t>
      </w:r>
      <w:r w:rsidR="00C03831">
        <w:t>-</w:t>
      </w:r>
      <w:r w:rsidRPr="000923E1">
        <w:t>solid separator. The influent wastewater enters at the bottom and flows upwards. The first section that it passes through is the sludge bed at the bottom of the reactor, which consists of very active biomass in the form of dense granules and heavy and sedimentable flocs. Here is the region in which the digestion proceeds at the highest rate. The next layer is the sludge blanket, where the microorganisms are present in the form of a suspension of lighter flocs. The various reactions keep going, but at a significantly slower pace. Finally, the three-phase separator divides the gas from the effluent wastewater, while most of the biomass is retained in the reactor.</w:t>
      </w:r>
      <w:r w:rsidRPr="00B177C4">
        <w:t xml:space="preserve"> </w:t>
      </w:r>
    </w:p>
    <w:p w14:paraId="40FA27FF" w14:textId="1CC3064A" w:rsidR="006231F8" w:rsidRDefault="006231F8" w:rsidP="000923E1">
      <w:pPr>
        <w:pStyle w:val="Els-2ndorder-head"/>
      </w:pPr>
      <w:r>
        <w:t>The problem and purpose of the work</w:t>
      </w:r>
    </w:p>
    <w:p w14:paraId="06142A24" w14:textId="77777777" w:rsidR="006231F8" w:rsidRDefault="000923E1" w:rsidP="000923E1">
      <w:pPr>
        <w:pStyle w:val="Els-body-text"/>
      </w:pPr>
      <w:r w:rsidRPr="000923E1">
        <w:t>The aim of this work is to develop a generalized dynamic model to describe the behavior of the reactor, both at the particle scale and at the reactor level</w:t>
      </w:r>
      <w:r w:rsidR="007C7A3D">
        <w:t xml:space="preserve">. </w:t>
      </w:r>
      <w:r w:rsidRPr="000923E1">
        <w:t>The result proposed is highly innovative, as there is an evident lack of research focus on this type of reactor, despite being one of the most used technologies in its field</w:t>
      </w:r>
      <w:r w:rsidR="00DF3A74">
        <w:t xml:space="preserve"> </w:t>
      </w:r>
      <w:r w:rsidR="00DF3A74">
        <w:fldChar w:fldCharType="begin"/>
      </w:r>
      <w:r w:rsidR="00DF3A74">
        <w:instrText xml:space="preserve"> ADDIN ZOTERO_ITEM CSL_CITATION {"citationID":"x83XWxsL","properties":{"formattedCitation":"(Mainardis et al., 2020)","plainCitation":"(Mainardis et al., 2020)","noteIndex":0},"citationItems":[{"id":781,"uris":["http://zotero.org/users/local/GPcrMwRN/items/M66LMBMA"],"itemData":{"id":781,"type":"article-journal","abstract":"Up-flow anaerobic sludge blanket (UASB) reactor belongs to high-rate systems, able to perform anaerobic reaction at reduced hydraulic retention time, if compared to traditional digesters. In this review, the most recent advances in UASB reactor applications are critically summarized and discussed, with outline on the most critical aspects for further possible future developments. Beside traditional anaerobic treatment of soluble and biodegradable substrates, research is actually focusing on the treatment of refractory and slowly degradable matrices, thanks to an improved understanding of microbial community composition and reactor hydrodynamics, together with utilization of powerful modeling tools. Innovative approaches include the use of UASB reactor for nitrogen removal, as well as for hydrogen and volatile fatty acid production. Co-digestion of complementary substrates available in the same territory is being extensively studied to increase biogas yield and provide smooth continuous operations in a circular economy perspective. Particular importance is being given to decentralized treatment, able to provide electricity and heat to local users with possible integration with other renewable energies. Proper pre-treatment application increases biogas yield, while a successive post-treatment is needed to meet required effluent standards, also from a toxicological perspective. An increased full-scale application of UASB technology is desirable to achieve circular economy and sustainability scopes, with efficient biogas exploitation, fulfilling renewable energy targets and green-house gases emission reduction, in particular in tropical countries, where limited reactor heating is required.","container-title":"Bioengineering","DOI":"10.3390/bioengineering7020043","ISSN":"2306-5354","issue":"2","language":"en","license":"http://creativecommons.org/licenses/by/3.0/","note":"number: 2\npublisher: Multidisciplinary Digital Publishing Institute","page":"43","source":"www.mdpi.com","title":"Up-Flow Anaerobic Sludge Blanket (UASB) Technology for Energy Recovery: A Review on State-of-the-Art and Recent Technological Advances","title-short":"Up-Flow Anaerobic Sludge Blanket (UASB) Technology for Energy Recovery","volume":"7","author":[{"family":"Mainardis","given":"Matia"},{"family":"Buttazzoni","given":"Marco"},{"family":"Goi","given":"Daniele"}],"issued":{"date-parts":[["2020",6]]}}}],"schema":"https://github.com/citation-style-language/schema/raw/master/csl-citation.json"} </w:instrText>
      </w:r>
      <w:r w:rsidR="00DF3A74">
        <w:fldChar w:fldCharType="separate"/>
      </w:r>
      <w:r w:rsidR="00DF3A74">
        <w:rPr>
          <w:noProof/>
        </w:rPr>
        <w:t>(Mainardis et al., 2020)</w:t>
      </w:r>
      <w:r w:rsidR="00DF3A74">
        <w:fldChar w:fldCharType="end"/>
      </w:r>
      <w:r w:rsidRPr="000923E1">
        <w:t xml:space="preserve">. Furthermore, a focus is reserved for the dynamics of the granules, considering both kinetics and mass transfer, resulting in a model able to estimate their growth during operations </w:t>
      </w:r>
      <w:r w:rsidRPr="00B177C4">
        <w:t>using</w:t>
      </w:r>
      <w:r w:rsidRPr="000923E1">
        <w:t xml:space="preserve"> typical computational fluid dynamics techniques. </w:t>
      </w:r>
      <w:r w:rsidR="007C7A3D">
        <w:t>No kinetic constant and transport parameters regression have been made but derived from common mathematical relations. M</w:t>
      </w:r>
      <w:r w:rsidRPr="000923E1">
        <w:t xml:space="preserve">ost </w:t>
      </w:r>
      <w:r w:rsidR="007C7A3D">
        <w:t>models</w:t>
      </w:r>
      <w:r w:rsidRPr="000923E1">
        <w:t xml:space="preserve"> proposed </w:t>
      </w:r>
      <w:r w:rsidR="007C7A3D">
        <w:t>in the literature</w:t>
      </w:r>
      <w:r w:rsidRPr="000923E1">
        <w:t xml:space="preserve"> are extremely complex, resulting in too high computational times and the necessity of </w:t>
      </w:r>
      <w:r w:rsidR="007C7A3D">
        <w:t xml:space="preserve">complex </w:t>
      </w:r>
      <w:r w:rsidRPr="000923E1">
        <w:t>input data, thus making them unsuitable for industrial purposes</w:t>
      </w:r>
      <w:r w:rsidR="00DF3A74">
        <w:t xml:space="preserve"> </w:t>
      </w:r>
      <w:r w:rsidR="00DF3A74">
        <w:fldChar w:fldCharType="begin"/>
      </w:r>
      <w:r w:rsidR="00DF3A74">
        <w:instrText xml:space="preserve"> ADDIN ZOTERO_ITEM CSL_CITATION {"citationID":"cyr0S0eU","properties":{"formattedCitation":"(Boiocchi et al., 2022; Michalopoulos et al., 2018)","plainCitation":"(Boiocchi et al., 2022; Michalopoulos et al., 2018)","noteIndex":0},"citationItems":[{"id":777,"uris":["http://zotero.org/users/local/GPcrMwRN/items/6QHAGQEC"],"itemData":{"id":777,"type":"article-journal","abstract":"In the present work, a novel mathematical dynamic model describing the upflow anaerobic sludge blanket (UASB) has been developed. The model incorporates both the biological processes and the transport of sludge particles specifically related to the UASB treatment of blackwater. The processes occurring in the reactor are modeled as a sequence of two completely-mixed reactive tanks, one representing the sludge bed where most solids concentrate and the other representing a less solid-concentrated liquid volume. Solids from the sludge bed are assumed to be dragged to the upper zone of the reactor by the methane gas produced. The time variation of the sludge bed volume is included by assuming a constant sludge density. The model is calibrated against published data obtained from a stable operation of a lab-scale UASB system treating at different organic loading rates blackwater collected from real vacuum toilets. Good model prediction compatibility with the measurements of emitted biogas and methane gas flow rates, effluent COD, volatile fatty acids, pH and sludge bed volume was revealed. Furthermore, the model was successfully validated against another independent set of data from a UASB reactor treating a more diluted type of blackwater collected from conventional toilets. A scenario analysis performed using such a validated model reveals higher methane production yield but also higher effluent COD concentration at increasing organic loading rates and sludge bed volumes. It is found that longer HRTs can improve COD removal efficiency and methane production in blackwater treatment processes.","container-title":"Journal of Environmental Chemical Engineering","DOI":"10.1016/j.jece.2022.107614","ISSN":"2213-3437","issue":"3","journalAbbreviation":"Journal of Environmental Chemical Engineering","page":"107614","source":"ScienceDirect","title":"Modeling and optimization of an upflow anaerobic sludge blanket (UASB) system treating blackwaters","volume":"10","author":[{"family":"Boiocchi","given":"Riccardo"},{"family":"Zhang","given":"Qianyi"},{"family":"Gao","given":"Mengjiao"},{"family":"Liu","given":"Yang"}],"issued":{"date-parts":[["2022",6,1]]}}},{"id":783,"uris":["http://zotero.org/users/local/GPcrMwRN/items/6UB5B4HG"],"itemData":{"id":783,"type":"article-journal","abstract":"A major factor that determines the mixing pattern inside a reactor is the Residence Time Distribution (RTD). The aim of this paper is the study of the hydraulic behavior of a pilot-scale Periodic Anaerobic Baffled Reactor (PABR) through experimental RTD tests and the development of a CFD model. The tank in series model was used for the determination of the equivalent number (NR) of Continuous Stirred Tank Reactors (CSTR) that simulates the mixing pattern. The hydraulic “dead” space (Vd) was also calculated. Both experimental and simulation results indicate the flexibility of the reactor to perform as a CSTR (NR = 1, Vd = 38.6%–39.6%), as a Plug Flow Reactor (PFR) (NR = 10–16, Vd = 25%–35.4%) or intermediate between the two, depending on the operating parameters. The CFD model can be used for the optimization of the reactor's geometry and for the selection of the optimal operating parameters depending on the type of wastewater to be treated.","container-title":"Computers &amp; Chemical Engineering","DOI":"10.1016/j.compchemeng.2018.01.014","ISSN":"0098-1354","journalAbbreviation":"Computers &amp; Chemical Engineering","page":"278-287","source":"ScienceDirect","title":"Experimental and numerical assessment of the hydraulic behavior of a pilot-scale Periodic Anaerobic Baffled Reactor (PABR)","volume":"111","author":[{"family":"Michalopoulos","given":"I."},{"family":"Kamperidis","given":"T."},{"family":"Seintis","given":"G."},{"family":"Pashos","given":"G."},{"family":"Lytras","given":"C."},{"family":"Papadopoulou","given":"K."},{"family":"Boudouvis","given":"A. G."},{"family":"Lyberatos","given":"G."}],"issued":{"date-parts":[["2018",3,4]]}}}],"schema":"https://github.com/citation-style-language/schema/raw/master/csl-citation.json"} </w:instrText>
      </w:r>
      <w:r w:rsidR="00DF3A74">
        <w:fldChar w:fldCharType="separate"/>
      </w:r>
      <w:r w:rsidR="00DF3A74">
        <w:rPr>
          <w:noProof/>
        </w:rPr>
        <w:t>(Boiocchi et al., 2022; Michalopoulos et al., 2018)</w:t>
      </w:r>
      <w:r w:rsidR="00DF3A74">
        <w:fldChar w:fldCharType="end"/>
      </w:r>
      <w:r w:rsidRPr="000923E1">
        <w:t xml:space="preserve">. </w:t>
      </w:r>
    </w:p>
    <w:p w14:paraId="07CF7600" w14:textId="28ACA8A9" w:rsidR="006231F8" w:rsidRDefault="004D7D7F" w:rsidP="000923E1">
      <w:pPr>
        <w:pStyle w:val="Els-2ndorder-head"/>
      </w:pPr>
      <w:r>
        <w:t>Model key points</w:t>
      </w:r>
    </w:p>
    <w:p w14:paraId="044A81A8" w14:textId="00D50939" w:rsidR="000923E1" w:rsidRPr="00B177C4" w:rsidRDefault="000923E1" w:rsidP="000923E1">
      <w:pPr>
        <w:pStyle w:val="Els-body-text"/>
      </w:pPr>
      <w:r w:rsidRPr="000923E1">
        <w:t xml:space="preserve">The problem under study presents complexities from several points of view: the hydrodynamics are non-ideal, with the fluid behavior being in between that of a </w:t>
      </w:r>
      <w:r w:rsidR="00673369">
        <w:t>plug-flow reactor (</w:t>
      </w:r>
      <w:r w:rsidRPr="000923E1">
        <w:t>PFR</w:t>
      </w:r>
      <w:r w:rsidR="00673369">
        <w:t>)</w:t>
      </w:r>
      <w:r w:rsidRPr="000923E1">
        <w:t xml:space="preserve"> and a </w:t>
      </w:r>
      <w:r w:rsidR="00673369">
        <w:t>continuous stirred tank reactor (</w:t>
      </w:r>
      <w:r w:rsidRPr="000923E1">
        <w:t>CSTR</w:t>
      </w:r>
      <w:r w:rsidR="00673369">
        <w:t>)</w:t>
      </w:r>
      <w:r w:rsidRPr="000923E1">
        <w:t>; the biochemical reactions are not describable with simple kinetics due to the inability to identify all the species that participate in the reactions. Finally, mass transport phenomena need to be taken into consideration, because of the heterogeneous nature of the system.</w:t>
      </w:r>
      <w:r w:rsidRPr="00B177C4">
        <w:t xml:space="preserve"> </w:t>
      </w:r>
      <w:r w:rsidR="007C7A3D">
        <w:t>Many methods</w:t>
      </w:r>
      <w:r w:rsidRPr="000923E1">
        <w:t xml:space="preserve"> can be identified to describe the fluid dynamics of the process</w:t>
      </w:r>
      <w:r w:rsidR="00DF3A74">
        <w:rPr>
          <w:i/>
          <w:iCs/>
        </w:rPr>
        <w:t xml:space="preserve">, </w:t>
      </w:r>
      <w:r w:rsidR="00DF3A74" w:rsidRPr="00DF3A74">
        <w:t>and the one</w:t>
      </w:r>
      <w:r w:rsidR="00DF3A74">
        <w:t xml:space="preserve"> used for this is the</w:t>
      </w:r>
      <w:r w:rsidR="00DF3A74">
        <w:rPr>
          <w:i/>
          <w:iCs/>
        </w:rPr>
        <w:t xml:space="preserve"> </w:t>
      </w:r>
      <w:r w:rsidRPr="000923E1">
        <w:rPr>
          <w:i/>
          <w:iCs/>
        </w:rPr>
        <w:t>tanks-in-series</w:t>
      </w:r>
      <w:r w:rsidRPr="000923E1">
        <w:t xml:space="preserve"> models</w:t>
      </w:r>
      <w:r w:rsidR="00DF3A74">
        <w:t>.</w:t>
      </w:r>
      <w:r w:rsidRPr="000923E1">
        <w:t xml:space="preserve"> </w:t>
      </w:r>
      <w:r w:rsidR="00DF3A74">
        <w:t>This is</w:t>
      </w:r>
      <w:r w:rsidRPr="000923E1">
        <w:t xml:space="preserve"> considered</w:t>
      </w:r>
      <w:r w:rsidR="00DF3A74">
        <w:t xml:space="preserve"> as</w:t>
      </w:r>
      <w:r w:rsidRPr="000923E1">
        <w:t xml:space="preserve"> one-parameter model</w:t>
      </w:r>
      <w:r w:rsidR="00DF3A74">
        <w:t xml:space="preserve">, </w:t>
      </w:r>
      <w:r w:rsidRPr="000923E1">
        <w:t xml:space="preserve">since the variable that describes the flow is respectively the number of tanks in series (N) used to </w:t>
      </w:r>
      <w:r w:rsidR="00DF3A74">
        <w:t xml:space="preserve">model the real </w:t>
      </w:r>
      <w:r w:rsidRPr="000923E1">
        <w:t xml:space="preserve">reactor. </w:t>
      </w:r>
      <w:r w:rsidR="00DF3A74">
        <w:t>This</w:t>
      </w:r>
      <w:r w:rsidRPr="000923E1">
        <w:t xml:space="preserve"> indicate</w:t>
      </w:r>
      <w:r w:rsidR="00DF3A74">
        <w:t>s</w:t>
      </w:r>
      <w:r w:rsidRPr="000923E1">
        <w:t xml:space="preserve"> how close the flow is to either a plug flow or a completely mixed regime, as </w:t>
      </w:r>
      <w:r w:rsidR="00DF3A74">
        <w:t>it is</w:t>
      </w:r>
      <w:r w:rsidRPr="000923E1">
        <w:t xml:space="preserve"> linked to the Peclet (Pe) number. The kinetics are usually expressed by the Monod equation, the most used expression to model the growth of microorganisms.</w:t>
      </w:r>
      <w:r w:rsidRPr="00B177C4">
        <w:t xml:space="preserve"> </w:t>
      </w:r>
      <w:r w:rsidRPr="000923E1">
        <w:t>For the transport phenomena, some authors propose to neglect the external mass transfer due to the relatively high upflow velocities in the reactor, while others conclude that it may have a relevant impact on the system. Conversely, the internal mass transfer should not be disregarded.</w:t>
      </w:r>
    </w:p>
    <w:p w14:paraId="37E73E7E" w14:textId="7C5E4A7C" w:rsidR="000923E1" w:rsidRPr="00B177C4" w:rsidRDefault="000923E1" w:rsidP="000923E1">
      <w:pPr>
        <w:pStyle w:val="Els-1storder-head"/>
      </w:pPr>
      <w:r w:rsidRPr="00B177C4">
        <w:t>Model description</w:t>
      </w:r>
    </w:p>
    <w:p w14:paraId="1CDC3512" w14:textId="6C194D58" w:rsidR="000923E1" w:rsidRPr="00B177C4" w:rsidRDefault="000923E1" w:rsidP="000923E1">
      <w:pPr>
        <w:pStyle w:val="Els-body-text"/>
      </w:pPr>
      <w:r w:rsidRPr="00B177C4">
        <w:t xml:space="preserve">The model here developed has been called GRANULE (generalized diffusion sludge particle model). It takes into consideration the non-ideal hydrodynamics of the reactor using a tanks-in-series </w:t>
      </w:r>
      <w:r w:rsidR="00151A24" w:rsidRPr="00B177C4">
        <w:t xml:space="preserve">(TIS) </w:t>
      </w:r>
      <w:r w:rsidRPr="00B177C4">
        <w:t xml:space="preserve">model. The core of the work can be identified in the reaction-diffusion equation, solved with the Finite Difference Method. Because of the focus on particle dynamics, a better understanding of the internal and external mass transfer phenomena affecting the granules can be achieved. </w:t>
      </w:r>
      <w:r w:rsidRPr="000923E1">
        <w:t>To have comprehensive knowledge of the behavior of the main components present in the reactor environment, a lumped approach for the kinetics is chosen, with mass balance equations for the substrate, the active and inactive biomass, and the methane produced during the reactions. Because of the impossibility of solving analytically this type of problem, the model was implemented in Python and solved with numerical techniques.</w:t>
      </w:r>
      <w:r w:rsidR="00396452">
        <w:t xml:space="preserve"> The model automatically </w:t>
      </w:r>
      <w:proofErr w:type="gramStart"/>
      <w:r w:rsidR="00396452">
        <w:t>select</w:t>
      </w:r>
      <w:proofErr w:type="gramEnd"/>
      <w:r w:rsidR="00396452">
        <w:t xml:space="preserve"> the amount of </w:t>
      </w:r>
      <w:r w:rsidR="00056CA4">
        <w:t>TIS needed for the simulation</w:t>
      </w:r>
      <w:r w:rsidR="00AF027E">
        <w:t>; through an iterative approach, until steady states conditions are reached.</w:t>
      </w:r>
    </w:p>
    <w:p w14:paraId="039C0095" w14:textId="31757CE8" w:rsidR="00366DE8" w:rsidRPr="00B177C4" w:rsidRDefault="00F21C76" w:rsidP="00366DE8">
      <w:pPr>
        <w:pStyle w:val="Els-2ndorder-head"/>
      </w:pPr>
      <w:r>
        <w:t>Transport Phenomena</w:t>
      </w:r>
    </w:p>
    <w:p w14:paraId="3F9743DB" w14:textId="77777777" w:rsidR="00366DE8" w:rsidRPr="00366DE8" w:rsidRDefault="00366DE8" w:rsidP="00366DE8">
      <w:pPr>
        <w:pStyle w:val="Els-body-text"/>
      </w:pPr>
      <w:r w:rsidRPr="00366DE8">
        <w:t xml:space="preserve">To model the particle dynamics, a mass balance of the substrate concentration is written, based on the following hypotheses: </w:t>
      </w:r>
    </w:p>
    <w:p w14:paraId="2912EFBE" w14:textId="77777777" w:rsidR="00366DE8" w:rsidRPr="00366DE8" w:rsidRDefault="00366DE8" w:rsidP="00366DE8">
      <w:pPr>
        <w:pStyle w:val="Els-body-text"/>
        <w:numPr>
          <w:ilvl w:val="0"/>
          <w:numId w:val="19"/>
        </w:numPr>
      </w:pPr>
      <w:r w:rsidRPr="00366DE8">
        <w:t>The granules can be assumed to be spherical in shape and uniform in size.</w:t>
      </w:r>
    </w:p>
    <w:p w14:paraId="568414ED" w14:textId="77777777" w:rsidR="00366DE8" w:rsidRPr="00366DE8" w:rsidRDefault="00366DE8" w:rsidP="00366DE8">
      <w:pPr>
        <w:pStyle w:val="Els-body-text"/>
        <w:numPr>
          <w:ilvl w:val="0"/>
          <w:numId w:val="19"/>
        </w:numPr>
      </w:pPr>
      <w:r w:rsidRPr="00366DE8">
        <w:t xml:space="preserve">The problem is spherically symmetric, meaning that considering a spherical polar system with r as the radial coordinate, θ as the polar angular coordinate and φ as the azimuthal angular coordinate, the only gradient is in the radial direction, making the problem one-dimensional. </w:t>
      </w:r>
    </w:p>
    <w:p w14:paraId="2423BE30" w14:textId="6B4568CA" w:rsidR="00366DE8" w:rsidRPr="00366DE8" w:rsidRDefault="00366DE8" w:rsidP="00366DE8">
      <w:pPr>
        <w:pStyle w:val="Els-body-text"/>
        <w:numPr>
          <w:ilvl w:val="0"/>
          <w:numId w:val="19"/>
        </w:numPr>
      </w:pPr>
      <w:r w:rsidRPr="00366DE8">
        <w:t xml:space="preserve">The </w:t>
      </w:r>
      <w:r w:rsidR="00A24964">
        <w:t>convective</w:t>
      </w:r>
      <w:r w:rsidRPr="00366DE8">
        <w:t xml:space="preserve"> term can be neglected, as it is assumed that the transport due to diffusion is much higher with respect to </w:t>
      </w:r>
      <w:r w:rsidR="002609DF">
        <w:t>this</w:t>
      </w:r>
      <w:r w:rsidR="00875A3A">
        <w:t xml:space="preserve"> </w:t>
      </w:r>
      <w:r w:rsidR="00875A3A">
        <w:fldChar w:fldCharType="begin"/>
      </w:r>
      <w:r w:rsidR="00313BD4">
        <w:instrText xml:space="preserve"> ADDIN ZOTERO_ITEM CSL_CITATION {"citationID":"6EAZdXpj","properties":{"formattedCitation":"(Rodr\\uc0\\u237{}guez-G\\uc0\\u243{}mez et al., 2013)","plainCitation":"(Rodríguez-Gómez et al., 2013)","noteIndex":0},"citationItems":[{"id":840,"uris":["http://zotero.org/users/local/GPcrMwRN/items/9ZZ5D4TI"],"itemData":{"id":840,"type":"article-journal","abstract":"A dynamic model to describe the performance of the Upflow Anaerobic Sludge Blanket (UASB) reactor was developed. It includes dispersion, advection, and reaction terms, as well as the resistances through which the substrate passes before its biotransformation. The UASB reactor is viewed as several continuous stirred tank reactors connected in series. The good agreement between experimental and simulated results shows that the model is able to predict the performance of the UASB reactor (i.e. substrate concentration, biomass concentration, granule size, and height of the sludge bed).","container-title":"Biodegradation","DOI":"10.1007/s10532-013-9656-z","journalAbbreviation":"Biodegradation","source":"ResearchGate","title":"A model to describe the performance of the UASB reactor","volume":"25","author":[{"family":"Rodríguez-Gómez","given":"Raúl"},{"family":"Renman","given":"Gunno"},{"family":"Moreno","given":"Luis"},{"family":"Liu","given":"Longcheng"}],"issued":{"date-parts":[["2013",7,23]]}}}],"schema":"https://github.com/citation-style-language/schema/raw/master/csl-citation.json"} </w:instrText>
      </w:r>
      <w:r w:rsidR="00875A3A">
        <w:fldChar w:fldCharType="separate"/>
      </w:r>
      <w:r w:rsidR="00313BD4" w:rsidRPr="00313BD4">
        <w:t>(Rodríguez-Gómez et al., 2013)</w:t>
      </w:r>
      <w:r w:rsidR="00875A3A">
        <w:fldChar w:fldCharType="end"/>
      </w:r>
      <w:r w:rsidR="00B01973">
        <w:t>.</w:t>
      </w:r>
    </w:p>
    <w:p w14:paraId="0A43F51B" w14:textId="77777777" w:rsidR="00366DE8" w:rsidRPr="00366DE8" w:rsidRDefault="00366DE8" w:rsidP="00366DE8">
      <w:pPr>
        <w:pStyle w:val="Els-body-text"/>
        <w:numPr>
          <w:ilvl w:val="0"/>
          <w:numId w:val="19"/>
        </w:numPr>
      </w:pPr>
      <w:r w:rsidRPr="00366DE8">
        <w:t xml:space="preserve">A quasi-steady state is assumed to simplify the ODE resolution. </w:t>
      </w:r>
    </w:p>
    <w:p w14:paraId="6C1ED317" w14:textId="77777777" w:rsidR="00366DE8" w:rsidRPr="00366DE8" w:rsidRDefault="00366DE8" w:rsidP="00366DE8">
      <w:pPr>
        <w:pStyle w:val="Els-body-text"/>
        <w:numPr>
          <w:ilvl w:val="0"/>
          <w:numId w:val="19"/>
        </w:numPr>
      </w:pPr>
      <w:r w:rsidRPr="00366DE8">
        <w:t>The biomass concentration inside the particle is uniform.</w:t>
      </w:r>
    </w:p>
    <w:p w14:paraId="759501BA" w14:textId="77777777" w:rsidR="00366DE8" w:rsidRPr="00366DE8" w:rsidRDefault="00366DE8" w:rsidP="00366DE8">
      <w:pPr>
        <w:pStyle w:val="Els-body-text"/>
        <w:numPr>
          <w:ilvl w:val="0"/>
          <w:numId w:val="19"/>
        </w:numPr>
      </w:pPr>
      <w:r w:rsidRPr="00366DE8">
        <w:t>The reaction term can be described using the Monod equation.</w:t>
      </w:r>
    </w:p>
    <w:p w14:paraId="70703DD2" w14:textId="0A2EF1EC" w:rsidR="00366DE8" w:rsidRPr="00366DE8" w:rsidRDefault="00366DE8" w:rsidP="00366DE8">
      <w:pPr>
        <w:pStyle w:val="Els-body-text"/>
        <w:numPr>
          <w:ilvl w:val="0"/>
          <w:numId w:val="19"/>
        </w:numPr>
      </w:pPr>
      <w:r w:rsidRPr="00366DE8">
        <w:t xml:space="preserve">The diffusion flux is expressed by Fick’s law, and to evaluate the diffusion coefficient </w:t>
      </w:r>
      <m:oMath>
        <m:r>
          <m:rPr>
            <m:scr m:val="script"/>
          </m:rPr>
          <w:rPr>
            <w:rFonts w:ascii="Cambria Math" w:hAnsi="Cambria Math"/>
          </w:rPr>
          <m:t>D</m:t>
        </m:r>
      </m:oMath>
      <w:r w:rsidRPr="00366DE8">
        <w:t xml:space="preserve"> the Wilke-Chang correlation is used, assuming that the physical characteristics of both the substrate and the wastewater can be approximated with the water ones. </w:t>
      </w:r>
    </w:p>
    <w:p w14:paraId="1D0087DE" w14:textId="77777777" w:rsidR="00366DE8" w:rsidRPr="00366DE8" w:rsidRDefault="00366DE8" w:rsidP="00366DE8">
      <w:pPr>
        <w:pStyle w:val="Els-body-text"/>
        <w:numPr>
          <w:ilvl w:val="0"/>
          <w:numId w:val="19"/>
        </w:numPr>
      </w:pPr>
      <w:r w:rsidRPr="00366DE8">
        <w:t>The external mass transfer coefficient is evaluated using the Kolmogorov theory for turbulent flows.</w:t>
      </w:r>
    </w:p>
    <w:p w14:paraId="38691CC0" w14:textId="77777777" w:rsidR="00366DE8" w:rsidRDefault="00366DE8" w:rsidP="00366DE8">
      <w:pPr>
        <w:pStyle w:val="Els-body-text"/>
      </w:pPr>
      <w:r w:rsidRPr="00366DE8">
        <w:t xml:space="preserve">The resulting expression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965"/>
      </w:tblGrid>
      <w:tr w:rsidR="007E742D" w14:paraId="6AF7545D" w14:textId="77777777" w:rsidTr="007E742D">
        <w:trPr>
          <w:trHeight w:val="584"/>
        </w:trPr>
        <w:tc>
          <w:tcPr>
            <w:tcW w:w="4111" w:type="dxa"/>
            <w:vAlign w:val="center"/>
          </w:tcPr>
          <w:p w14:paraId="6CDE911A" w14:textId="098598B5" w:rsidR="007E742D" w:rsidRDefault="007E742D">
            <w:pPr>
              <w:pStyle w:val="Els-body-text"/>
              <w:jc w:val="left"/>
            </w:pPr>
            <m:oMath>
              <m:r>
                <m:rPr>
                  <m:scr m:val="script"/>
                </m:rPr>
                <w:rPr>
                  <w:rFonts w:ascii="Cambria Math" w:hAnsi="Cambria Math"/>
                </w:rPr>
                <m:t>D</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f>
                <m:fPr>
                  <m:ctrlPr>
                    <w:rPr>
                      <w:rFonts w:ascii="Cambria Math" w:hAnsi="Cambria Math"/>
                      <w:i/>
                    </w:rPr>
                  </m:ctrlPr>
                </m:fPr>
                <m:num>
                  <m:r>
                    <w:rPr>
                      <w:rFonts w:ascii="Cambria Math" w:hAnsi="Cambria Math"/>
                    </w:rPr>
                    <m:t>d</m:t>
                  </m:r>
                </m:num>
                <m:den>
                  <m:r>
                    <w:rPr>
                      <w:rFonts w:ascii="Cambria Math" w:hAnsi="Cambria Math"/>
                    </w:rPr>
                    <m:t>dr</m:t>
                  </m:r>
                </m:den>
              </m:f>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dS</m:t>
                          </m:r>
                        </m:e>
                        <m:sub>
                          <m:r>
                            <w:rPr>
                              <w:rFonts w:ascii="Cambria Math" w:hAnsi="Cambria Math"/>
                            </w:rPr>
                            <m:t>P</m:t>
                          </m:r>
                        </m:sub>
                      </m:sSub>
                    </m:num>
                    <m:den>
                      <m:r>
                        <w:rPr>
                          <w:rFonts w:ascii="Cambria Math" w:hAnsi="Cambria Math"/>
                        </w:rPr>
                        <m:t>dr</m:t>
                      </m:r>
                    </m:den>
                  </m:f>
                </m:e>
              </m:d>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μ</m:t>
                      </m:r>
                    </m:e>
                    <m:sub>
                      <m:r>
                        <w:rPr>
                          <w:rFonts w:ascii="Cambria Math" w:hAnsi="Cambria Math"/>
                        </w:rPr>
                        <m:t>MAX</m:t>
                      </m:r>
                    </m:sub>
                  </m:sSub>
                </m:num>
                <m:den>
                  <m:r>
                    <w:rPr>
                      <w:rFonts w:ascii="Cambria Math" w:hAnsi="Cambria Math"/>
                    </w:rPr>
                    <m:t>Y</m:t>
                  </m:r>
                </m:den>
              </m:f>
              <m:f>
                <m:fPr>
                  <m:ctrlPr>
                    <w:rPr>
                      <w:rFonts w:ascii="Cambria Math" w:hAnsi="Cambria Math"/>
                      <w:i/>
                      <w:iCs/>
                    </w:rPr>
                  </m:ctrlPr>
                </m:fPr>
                <m:num>
                  <m:r>
                    <w:rPr>
                      <w:rFonts w:ascii="Cambria Math" w:hAnsi="Cambria Math"/>
                    </w:rPr>
                    <m:t>X</m:t>
                  </m:r>
                </m:num>
                <m:den>
                  <m:sSub>
                    <m:sSubPr>
                      <m:ctrlPr>
                        <w:rPr>
                          <w:rFonts w:ascii="Cambria Math" w:hAnsi="Cambria Math"/>
                          <w:i/>
                          <w:iCs/>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P</m:t>
                      </m:r>
                    </m:sub>
                  </m:sSub>
                </m:den>
              </m:f>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=0</m:t>
              </m:r>
            </m:oMath>
            <w:r>
              <w:t xml:space="preserve"> </w:t>
            </w:r>
          </w:p>
        </w:tc>
        <w:tc>
          <w:tcPr>
            <w:tcW w:w="2965" w:type="dxa"/>
            <w:vAlign w:val="center"/>
          </w:tcPr>
          <w:p w14:paraId="31718490" w14:textId="0922723F" w:rsidR="007E742D" w:rsidRDefault="007E742D">
            <w:pPr>
              <w:pStyle w:val="Els-body-text"/>
              <w:jc w:val="right"/>
            </w:pPr>
            <w:r>
              <w:t>(1)</w:t>
            </w:r>
          </w:p>
        </w:tc>
      </w:tr>
    </w:tbl>
    <w:p w14:paraId="75FE7091" w14:textId="5F5EC749" w:rsidR="00366DE8" w:rsidRDefault="00366DE8" w:rsidP="00366DE8">
      <w:pPr>
        <w:pStyle w:val="Els-body-text"/>
      </w:pPr>
      <w:r w:rsidRPr="00366DE8">
        <w:t>Where S</w:t>
      </w:r>
      <w:r w:rsidRPr="00366DE8">
        <w:rPr>
          <w:vertAlign w:val="subscript"/>
        </w:rPr>
        <w:t>P</w:t>
      </w:r>
      <w:r w:rsidRPr="00366DE8">
        <w:t xml:space="preserve"> is the substrate concentration inside the particle</w:t>
      </w:r>
      <w:r w:rsidR="0046611B">
        <w:t xml:space="preserve"> [kg/m</w:t>
      </w:r>
      <w:r w:rsidR="0046611B" w:rsidRPr="0046611B">
        <w:rPr>
          <w:vertAlign w:val="superscript"/>
        </w:rPr>
        <w:t>3</w:t>
      </w:r>
      <w:r w:rsidR="0046611B">
        <w:t>]</w:t>
      </w:r>
      <w:r w:rsidRPr="00366DE8">
        <w:t>, X is the biomass concentration</w:t>
      </w:r>
      <w:r w:rsidR="0046611B">
        <w:t xml:space="preserve"> [kg/m</w:t>
      </w:r>
      <w:r w:rsidR="0046611B" w:rsidRPr="0046611B">
        <w:rPr>
          <w:vertAlign w:val="superscript"/>
        </w:rPr>
        <w:t>3</w:t>
      </w:r>
      <w:r w:rsidR="0046611B">
        <w:t>]</w:t>
      </w:r>
      <w:r w:rsidRPr="00366DE8">
        <w:t xml:space="preserve">, </w:t>
      </w:r>
      <m:oMath>
        <m:sSub>
          <m:sSubPr>
            <m:ctrlPr>
              <w:rPr>
                <w:rFonts w:ascii="Cambria Math" w:hAnsi="Cambria Math"/>
                <w:i/>
              </w:rPr>
            </m:ctrlPr>
          </m:sSubPr>
          <m:e>
            <m:r>
              <w:rPr>
                <w:rFonts w:ascii="Cambria Math" w:hAnsi="Cambria Math"/>
              </w:rPr>
              <m:t>μ</m:t>
            </m:r>
          </m:e>
          <m:sub>
            <m:r>
              <w:rPr>
                <w:rFonts w:ascii="Cambria Math" w:hAnsi="Cambria Math"/>
              </w:rPr>
              <m:t>MAX</m:t>
            </m:r>
          </m:sub>
        </m:sSub>
      </m:oMath>
      <w:r w:rsidR="0046611B">
        <w:t>[d</w:t>
      </w:r>
      <w:r w:rsidR="0046611B">
        <w:rPr>
          <w:vertAlign w:val="superscript"/>
        </w:rPr>
        <w:t>-1</w:t>
      </w:r>
      <w:r w:rsidR="0046611B">
        <w:t>]</w:t>
      </w:r>
      <w:r w:rsidRPr="00366DE8">
        <w:t xml:space="preserve"> and K</w:t>
      </w:r>
      <w:r w:rsidRPr="00366DE8">
        <w:rPr>
          <w:vertAlign w:val="subscript"/>
        </w:rPr>
        <w:t>S</w:t>
      </w:r>
      <w:r w:rsidRPr="00366DE8">
        <w:t xml:space="preserve"> </w:t>
      </w:r>
      <w:r w:rsidR="0046611B">
        <w:t>[kg/m</w:t>
      </w:r>
      <w:r w:rsidR="0046611B" w:rsidRPr="0046611B">
        <w:rPr>
          <w:vertAlign w:val="superscript"/>
        </w:rPr>
        <w:t>3</w:t>
      </w:r>
      <w:r w:rsidR="0046611B">
        <w:t>]</w:t>
      </w:r>
      <w:r w:rsidRPr="00366DE8">
        <w:t>are respectively the maximum growth rate of the microorganisms and the half-saturation constant, and Y is the stoichiometric yield.</w:t>
      </w:r>
      <w:r w:rsidR="0046611B">
        <w:t xml:space="preserve"> </w:t>
      </w:r>
      <w:r w:rsidRPr="00366DE8">
        <w:t xml:space="preserve">With the boundary conditions: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965"/>
      </w:tblGrid>
      <w:tr w:rsidR="007E742D" w14:paraId="5F51E841" w14:textId="77777777" w:rsidTr="007E742D">
        <w:trPr>
          <w:trHeight w:val="576"/>
        </w:trPr>
        <w:tc>
          <w:tcPr>
            <w:tcW w:w="4111" w:type="dxa"/>
            <w:vAlign w:val="center"/>
          </w:tcPr>
          <w:p w14:paraId="0D3A2D1D" w14:textId="69922949" w:rsidR="007E742D" w:rsidRDefault="00613E32" w:rsidP="007E742D">
            <w:pPr>
              <w:pStyle w:val="Els-body-text"/>
              <w:jc w:val="left"/>
            </w:pP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dS</m:t>
                              </m:r>
                            </m:e>
                            <m:sub>
                              <m:r>
                                <w:rPr>
                                  <w:rFonts w:ascii="Cambria Math" w:hAnsi="Cambria Math"/>
                                </w:rPr>
                                <m:t>P</m:t>
                              </m:r>
                            </m:sub>
                          </m:sSub>
                        </m:num>
                        <m:den>
                          <m:r>
                            <w:rPr>
                              <w:rFonts w:ascii="Cambria Math" w:hAnsi="Cambria Math"/>
                            </w:rPr>
                            <m:t>dr</m:t>
                          </m:r>
                        </m:den>
                      </m:f>
                    </m:e>
                  </m:d>
                </m:e>
                <m:sub>
                  <m:r>
                    <w:rPr>
                      <w:rFonts w:ascii="Cambria Math" w:hAnsi="Cambria Math"/>
                    </w:rPr>
                    <m:t>r</m:t>
                  </m:r>
                  <m:r>
                    <w:rPr>
                      <w:rFonts w:ascii="Cambria Math" w:hAnsi="Cambria Math"/>
                    </w:rPr>
                    <m:t>=0</m:t>
                  </m:r>
                </m:sub>
              </m:sSub>
              <m:r>
                <w:rPr>
                  <w:rFonts w:ascii="Cambria Math" w:hAnsi="Cambria Math"/>
                </w:rPr>
                <m:t xml:space="preserve">=0 </m:t>
              </m:r>
            </m:oMath>
            <w:r w:rsidR="007E742D">
              <w:t xml:space="preserve"> </w:t>
            </w:r>
            <w:r w:rsidR="007E742D">
              <w:rPr>
                <w:iCs/>
              </w:rPr>
              <w:t xml:space="preserve"> </w:t>
            </w:r>
          </w:p>
        </w:tc>
        <w:tc>
          <w:tcPr>
            <w:tcW w:w="2965" w:type="dxa"/>
            <w:vAlign w:val="center"/>
          </w:tcPr>
          <w:p w14:paraId="0BE15A4D" w14:textId="4F130F8E" w:rsidR="007E742D" w:rsidRDefault="007E742D" w:rsidP="007E742D">
            <w:pPr>
              <w:pStyle w:val="Els-body-text"/>
              <w:jc w:val="right"/>
            </w:pPr>
            <w:r>
              <w:t>(2)</w:t>
            </w:r>
          </w:p>
        </w:tc>
      </w:tr>
      <w:tr w:rsidR="007E742D" w14:paraId="3903AD62" w14:textId="77777777" w:rsidTr="007E7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4111" w:type="dxa"/>
            <w:tcBorders>
              <w:top w:val="nil"/>
              <w:left w:val="nil"/>
              <w:bottom w:val="nil"/>
              <w:right w:val="nil"/>
            </w:tcBorders>
            <w:vAlign w:val="center"/>
          </w:tcPr>
          <w:p w14:paraId="6447ECDD" w14:textId="040C063E" w:rsidR="007E742D" w:rsidRDefault="007E742D" w:rsidP="007E742D">
            <w:pPr>
              <w:pStyle w:val="Els-body-text"/>
              <w:jc w:val="left"/>
            </w:pPr>
            <m:oMath>
              <m:r>
                <m:rPr>
                  <m:scr m:val="script"/>
                </m:rPr>
                <w:rPr>
                  <w:rFonts w:ascii="Cambria Math" w:hAnsi="Cambria Math"/>
                </w:rPr>
                <m:t>D</m:t>
              </m:r>
              <m:sSub>
                <m:sSubPr>
                  <m:ctrlPr>
                    <w:rPr>
                      <w:rFonts w:ascii="Cambria Math" w:hAnsi="Cambria Math"/>
                      <w:i/>
                      <w:iCs/>
                    </w:rPr>
                  </m:ctrlPr>
                </m:sSubPr>
                <m:e>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dr</m:t>
                          </m:r>
                        </m:den>
                      </m:f>
                    </m:e>
                  </m:d>
                </m:e>
                <m:sub>
                  <m:r>
                    <w:rPr>
                      <w:rFonts w:ascii="Cambria Math" w:hAnsi="Cambria Math"/>
                    </w:rPr>
                    <m:t>r=R</m:t>
                  </m:r>
                </m:sub>
              </m:sSub>
              <m:r>
                <m:rPr>
                  <m:nor/>
                </m:rPr>
                <w:rPr>
                  <w:i/>
                </w:rPr>
                <m:t>= </m:t>
              </m:r>
              <m:sSub>
                <m:sSubPr>
                  <m:ctrlPr>
                    <w:rPr>
                      <w:rFonts w:ascii="Cambria Math" w:hAnsi="Cambria Math"/>
                      <w:i/>
                      <w:iCs/>
                    </w:rPr>
                  </m:ctrlPr>
                </m:sSubPr>
                <m:e>
                  <m:r>
                    <w:rPr>
                      <w:rFonts w:ascii="Cambria Math" w:hAnsi="Cambria Math"/>
                    </w:rPr>
                    <m:t>k</m:t>
                  </m:r>
                </m:e>
                <m:sub>
                  <m:r>
                    <w:rPr>
                      <w:rFonts w:ascii="Cambria Math" w:hAnsi="Cambria Math"/>
                    </w:rPr>
                    <m:t>m</m:t>
                  </m:r>
                </m:sub>
              </m:sSub>
              <m:d>
                <m:dPr>
                  <m:ctrlPr>
                    <w:rPr>
                      <w:rFonts w:ascii="Cambria Math" w:hAnsi="Cambria Math"/>
                      <w:i/>
                    </w:rPr>
                  </m:ctrlPr>
                </m:dPr>
                <m:e>
                  <m:r>
                    <w:rPr>
                      <w:rFonts w:ascii="Cambria Math" w:hAnsi="Cambria Math"/>
                    </w:rPr>
                    <m:t>S-</m:t>
                  </m:r>
                  <m:sSub>
                    <m:sSubPr>
                      <m:ctrlPr>
                        <w:rPr>
                          <w:rFonts w:ascii="Cambria Math" w:hAnsi="Cambria Math"/>
                          <w:i/>
                          <w:iCs/>
                        </w:rPr>
                      </m:ctrlPr>
                    </m:sSubPr>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P</m:t>
                              </m:r>
                            </m:sub>
                          </m:sSub>
                        </m:e>
                      </m:d>
                    </m:e>
                    <m:sub>
                      <m:r>
                        <w:rPr>
                          <w:rFonts w:ascii="Cambria Math" w:hAnsi="Cambria Math"/>
                        </w:rPr>
                        <m:t>r=R</m:t>
                      </m:r>
                    </m:sub>
                  </m:sSub>
                </m:e>
              </m:d>
            </m:oMath>
            <w:r>
              <w:t xml:space="preserve"> </w:t>
            </w:r>
          </w:p>
        </w:tc>
        <w:tc>
          <w:tcPr>
            <w:tcW w:w="2965" w:type="dxa"/>
            <w:tcBorders>
              <w:top w:val="nil"/>
              <w:left w:val="nil"/>
              <w:bottom w:val="nil"/>
              <w:right w:val="nil"/>
            </w:tcBorders>
            <w:vAlign w:val="center"/>
          </w:tcPr>
          <w:p w14:paraId="3656BFAA" w14:textId="61A39D8F" w:rsidR="007E742D" w:rsidRDefault="007E742D" w:rsidP="007E742D">
            <w:pPr>
              <w:pStyle w:val="Els-body-text"/>
              <w:jc w:val="right"/>
            </w:pPr>
            <w:r>
              <w:t>(3)</w:t>
            </w:r>
          </w:p>
        </w:tc>
      </w:tr>
    </w:tbl>
    <w:p w14:paraId="0DF9EB12" w14:textId="2B3CDF65" w:rsidR="00366DE8" w:rsidRPr="00366DE8" w:rsidRDefault="00366DE8" w:rsidP="00366DE8">
      <w:pPr>
        <w:pStyle w:val="Els-body-text"/>
      </w:pPr>
      <w:r w:rsidRPr="00366DE8">
        <w:t xml:space="preserve">Where Equation (2) is the condition of symmetry at the center of the granule, and Equation (3) states that the diffusive flux at the surface of the particle must be equal to the external convective transport, expressed as the product of the external mass transfer coefficient </w:t>
      </w:r>
      <m:oMath>
        <m:sSub>
          <m:sSubPr>
            <m:ctrlPr>
              <w:rPr>
                <w:rFonts w:ascii="Cambria Math" w:hAnsi="Cambria Math"/>
              </w:rPr>
            </m:ctrlPr>
          </m:sSubPr>
          <m:e>
            <m:r>
              <w:rPr>
                <w:rFonts w:ascii="Cambria Math" w:hAnsi="Cambria Math"/>
              </w:rPr>
              <m:t>k</m:t>
            </m:r>
          </m:e>
          <m:sub>
            <m:r>
              <w:rPr>
                <w:rFonts w:ascii="Cambria Math" w:hAnsi="Cambria Math"/>
              </w:rPr>
              <m:t>m</m:t>
            </m:r>
          </m:sub>
        </m:sSub>
        <m:r>
          <w:rPr>
            <w:rFonts w:ascii="Cambria Math" w:hAnsi="Cambria Math"/>
          </w:rPr>
          <m:t xml:space="preserve"> </m:t>
        </m:r>
      </m:oMath>
      <w:r w:rsidR="0046611B">
        <w:t xml:space="preserve">[m/s] </w:t>
      </w:r>
      <w:r w:rsidRPr="00366DE8">
        <w:t>and the difference between the bulk concentration S</w:t>
      </w:r>
      <w:r w:rsidR="00F21C76">
        <w:t xml:space="preserve"> [kg/m</w:t>
      </w:r>
      <w:r w:rsidR="00F21C76" w:rsidRPr="00F21C76">
        <w:rPr>
          <w:vertAlign w:val="superscript"/>
        </w:rPr>
        <w:t>3</w:t>
      </w:r>
      <w:r w:rsidR="00F21C76">
        <w:t>]</w:t>
      </w:r>
      <w:r w:rsidRPr="00366DE8">
        <w:t xml:space="preserve"> and the concentration on the surface of the particle. S</w:t>
      </w:r>
      <w:r w:rsidRPr="00366DE8">
        <w:rPr>
          <w:vertAlign w:val="subscript"/>
        </w:rPr>
        <w:t>P</w:t>
      </w:r>
      <w:r w:rsidRPr="00366DE8">
        <w:t xml:space="preserve"> is the substrate concentration inside the particle, which differs from S because of the resistance to the transport of the substrate given both by the wastewater (external resistance) and by the particles themselves (internal resistance). Because of this difference, it is more accurate to use S</w:t>
      </w:r>
      <w:r w:rsidRPr="00366DE8">
        <w:rPr>
          <w:vertAlign w:val="subscript"/>
        </w:rPr>
        <w:t>P</w:t>
      </w:r>
      <w:r w:rsidRPr="00366DE8">
        <w:t xml:space="preserve"> in the model.  </w:t>
      </w:r>
    </w:p>
    <w:p w14:paraId="47BBBC9F" w14:textId="53582256" w:rsidR="00366DE8" w:rsidRPr="00366DE8" w:rsidRDefault="00366DE8" w:rsidP="00366DE8">
      <w:pPr>
        <w:pStyle w:val="Els-body-text"/>
      </w:pPr>
      <w:r w:rsidRPr="00366DE8">
        <w:t xml:space="preserve">Equation (1) does not have an analytical </w:t>
      </w:r>
      <w:r w:rsidRPr="00B177C4">
        <w:t>solution;</w:t>
      </w:r>
      <w:r w:rsidRPr="00366DE8">
        <w:t xml:space="preserve"> </w:t>
      </w:r>
      <w:r w:rsidR="00151A24" w:rsidRPr="00B177C4">
        <w:t>therefore,</w:t>
      </w:r>
      <w:r w:rsidRPr="00366DE8">
        <w:t xml:space="preserve"> the Finite Difference Method was utilized to solve it. The first order derivative was discretized using a </w:t>
      </w:r>
      <w:r w:rsidRPr="00366DE8">
        <w:rPr>
          <w:i/>
          <w:iCs/>
        </w:rPr>
        <w:t>first-order forward difference</w:t>
      </w:r>
      <w:r w:rsidRPr="00366DE8">
        <w:t xml:space="preserve"> scheme and the second derivative was discretized with a </w:t>
      </w:r>
      <w:r w:rsidRPr="00366DE8">
        <w:rPr>
          <w:i/>
          <w:iCs/>
        </w:rPr>
        <w:t>second</w:t>
      </w:r>
      <w:r w:rsidR="009142B1">
        <w:rPr>
          <w:i/>
          <w:iCs/>
        </w:rPr>
        <w:t>-</w:t>
      </w:r>
      <w:r w:rsidRPr="00366DE8">
        <w:rPr>
          <w:i/>
          <w:iCs/>
        </w:rPr>
        <w:t>order central difference</w:t>
      </w:r>
      <w:r w:rsidRPr="00366DE8">
        <w:t xml:space="preserve"> scheme.  </w:t>
      </w:r>
    </w:p>
    <w:p w14:paraId="08400A9D" w14:textId="137BE29F" w:rsidR="00366DE8" w:rsidRPr="00B177C4" w:rsidRDefault="00F21C76" w:rsidP="00366DE8">
      <w:pPr>
        <w:pStyle w:val="Els-2ndorder-head"/>
      </w:pPr>
      <w:r>
        <w:t>Kinetic system and m</w:t>
      </w:r>
      <w:r w:rsidR="00366DE8" w:rsidRPr="00B177C4">
        <w:t>ass balances</w:t>
      </w:r>
    </w:p>
    <w:p w14:paraId="1BE3DD43" w14:textId="59F6FC92" w:rsidR="00366DE8" w:rsidRDefault="00366DE8" w:rsidP="00366DE8">
      <w:pPr>
        <w:pStyle w:val="Els-body-text"/>
      </w:pPr>
      <w:r w:rsidRPr="00366DE8">
        <w:t xml:space="preserve">To take into consideration the non-ideal hydrodynamics of the UASB, a tanks-in-series model has been utilized. The reactor is thus divided into a N number of CSTRs, each of equal volume </w:t>
      </w:r>
      <w:proofErr w:type="spellStart"/>
      <w:r w:rsidRPr="00366DE8">
        <w:t>V</w:t>
      </w:r>
      <w:r w:rsidRPr="00366DE8">
        <w:rPr>
          <w:vertAlign w:val="subscript"/>
        </w:rPr>
        <w:t>j</w:t>
      </w:r>
      <w:proofErr w:type="spellEnd"/>
      <w:r w:rsidR="0046611B">
        <w:t xml:space="preserve"> [m</w:t>
      </w:r>
      <w:r w:rsidR="0046611B" w:rsidRPr="0046611B">
        <w:rPr>
          <w:vertAlign w:val="superscript"/>
        </w:rPr>
        <w:t>3</w:t>
      </w:r>
      <w:r w:rsidR="0046611B">
        <w:t>]</w:t>
      </w:r>
      <w:r w:rsidRPr="00366DE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965"/>
      </w:tblGrid>
      <w:tr w:rsidR="007E742D" w14:paraId="1B63DCD2" w14:textId="77777777">
        <w:trPr>
          <w:trHeight w:val="492"/>
        </w:trPr>
        <w:tc>
          <w:tcPr>
            <w:tcW w:w="4111" w:type="dxa"/>
            <w:vAlign w:val="center"/>
          </w:tcPr>
          <w:p w14:paraId="4C5991F5" w14:textId="6B387CAE" w:rsidR="007E742D" w:rsidRDefault="00613E32">
            <w:pPr>
              <w:pStyle w:val="Els-body-text"/>
              <w:jc w:val="left"/>
            </w:pPr>
            <m:oMath>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N</m:t>
                  </m:r>
                </m:den>
              </m:f>
            </m:oMath>
            <w:r w:rsidR="007E742D">
              <w:t xml:space="preserve"> </w:t>
            </w:r>
          </w:p>
        </w:tc>
        <w:tc>
          <w:tcPr>
            <w:tcW w:w="2965" w:type="dxa"/>
            <w:vAlign w:val="center"/>
          </w:tcPr>
          <w:p w14:paraId="23414E41" w14:textId="647E3E60" w:rsidR="007E742D" w:rsidRDefault="007E742D">
            <w:pPr>
              <w:pStyle w:val="Els-body-text"/>
              <w:jc w:val="right"/>
            </w:pPr>
            <w:r>
              <w:t>(4)</w:t>
            </w:r>
          </w:p>
        </w:tc>
      </w:tr>
    </w:tbl>
    <w:p w14:paraId="590689A2" w14:textId="77777777" w:rsidR="00366DE8" w:rsidRDefault="00366DE8" w:rsidP="00366DE8">
      <w:pPr>
        <w:pStyle w:val="Els-body-text"/>
      </w:pPr>
      <w:r w:rsidRPr="00366DE8">
        <w:t>For each j-</w:t>
      </w:r>
      <w:proofErr w:type="spellStart"/>
      <w:r w:rsidRPr="00366DE8">
        <w:t>th</w:t>
      </w:r>
      <w:proofErr w:type="spellEnd"/>
      <w:r w:rsidRPr="00366DE8">
        <w:t xml:space="preserve"> reactor it is possible to write: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965"/>
      </w:tblGrid>
      <w:tr w:rsidR="007E742D" w14:paraId="5BDB7818" w14:textId="77777777" w:rsidTr="007E742D">
        <w:trPr>
          <w:trHeight w:val="492"/>
        </w:trPr>
        <w:tc>
          <w:tcPr>
            <w:tcW w:w="4111" w:type="dxa"/>
            <w:vAlign w:val="center"/>
          </w:tcPr>
          <w:bookmarkStart w:id="0" w:name="_Hlk117268013"/>
          <w:p w14:paraId="0F931B19" w14:textId="035DFCE9" w:rsidR="007E742D" w:rsidRDefault="00613E32" w:rsidP="007E742D">
            <w:pPr>
              <w:pStyle w:val="Els-body-text"/>
              <w:jc w:val="left"/>
            </w:pPr>
            <m:oMath>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S</m:t>
                      </m:r>
                    </m:e>
                    <m:sub>
                      <m:r>
                        <w:rPr>
                          <w:rFonts w:ascii="Cambria Math" w:hAnsi="Cambria Math"/>
                        </w:rPr>
                        <m:t>j</m:t>
                      </m:r>
                    </m:sub>
                  </m:sSub>
                </m:num>
                <m:den>
                  <m:r>
                    <w:rPr>
                      <w:rFonts w:ascii="Cambria Math" w:hAnsi="Cambria Math"/>
                    </w:rPr>
                    <m:t>dt</m:t>
                  </m:r>
                </m:den>
              </m:f>
              <w:bookmarkEnd w:id="0"/>
              <m:r>
                <w:rPr>
                  <w:rFonts w:ascii="Cambria Math" w:hAnsi="Cambria Math"/>
                </w:rPr>
                <m:t>=</m:t>
              </m:r>
              <m:f>
                <m:fPr>
                  <m:ctrlPr>
                    <w:rPr>
                      <w:rFonts w:ascii="Cambria Math" w:hAnsi="Cambria Math"/>
                      <w:i/>
                      <w:iCs/>
                    </w:rPr>
                  </m:ctrlPr>
                </m:fPr>
                <m:num>
                  <m:r>
                    <w:rPr>
                      <w:rFonts w:ascii="Cambria Math" w:hAnsi="Cambria Math"/>
                    </w:rPr>
                    <m:t>Q</m:t>
                  </m:r>
                </m:num>
                <m:den>
                  <m:sSub>
                    <m:sSubPr>
                      <m:ctrlPr>
                        <w:rPr>
                          <w:rFonts w:ascii="Cambria Math" w:hAnsi="Cambria Math"/>
                          <w:i/>
                          <w:iCs/>
                        </w:rPr>
                      </m:ctrlPr>
                    </m:sSubPr>
                    <m:e>
                      <m:r>
                        <w:rPr>
                          <w:rFonts w:ascii="Cambria Math" w:hAnsi="Cambria Math"/>
                        </w:rPr>
                        <m:t>V</m:t>
                      </m:r>
                    </m:e>
                    <m:sub>
                      <m:r>
                        <w:rPr>
                          <w:rFonts w:ascii="Cambria Math" w:hAnsi="Cambria Math"/>
                        </w:rPr>
                        <m:t>j</m:t>
                      </m:r>
                    </m:sub>
                  </m:sSub>
                </m:den>
              </m:f>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j</m:t>
                      </m:r>
                      <m:r>
                        <w:rPr>
                          <w:rFonts w:ascii="Cambria Math" w:hAnsi="Cambria Math"/>
                        </w:rPr>
                        <m:t>-</m:t>
                      </m:r>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j</m:t>
                      </m:r>
                    </m:sub>
                  </m:sSub>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ηR</m:t>
                  </m:r>
                </m:e>
                <m:sub>
                  <m:r>
                    <w:rPr>
                      <w:rFonts w:ascii="Cambria Math" w:hAnsi="Cambria Math"/>
                    </w:rPr>
                    <m:t>j</m:t>
                  </m:r>
                </m:sub>
              </m:sSub>
            </m:oMath>
            <w:r w:rsidR="007E742D">
              <w:t xml:space="preserve">   </w:t>
            </w:r>
            <w:r w:rsidR="007E742D">
              <w:rPr>
                <w:iCs/>
              </w:rPr>
              <w:t xml:space="preserve"> </w:t>
            </w:r>
          </w:p>
        </w:tc>
        <w:tc>
          <w:tcPr>
            <w:tcW w:w="2965" w:type="dxa"/>
            <w:vAlign w:val="center"/>
          </w:tcPr>
          <w:p w14:paraId="1983442F" w14:textId="768DC37C" w:rsidR="007E742D" w:rsidRDefault="007E742D" w:rsidP="007E742D">
            <w:pPr>
              <w:pStyle w:val="Els-body-text"/>
              <w:jc w:val="right"/>
            </w:pPr>
            <w:r>
              <w:t>(5)</w:t>
            </w:r>
          </w:p>
        </w:tc>
      </w:tr>
      <w:tr w:rsidR="007E742D" w14:paraId="0D3ACF5D" w14:textId="77777777" w:rsidTr="007E7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4111" w:type="dxa"/>
            <w:tcBorders>
              <w:top w:val="nil"/>
              <w:left w:val="nil"/>
              <w:bottom w:val="nil"/>
              <w:right w:val="nil"/>
            </w:tcBorders>
            <w:vAlign w:val="center"/>
          </w:tcPr>
          <w:p w14:paraId="0D9B1354" w14:textId="3DFEF717" w:rsidR="007E742D" w:rsidRDefault="00613E32" w:rsidP="007E742D">
            <w:pPr>
              <w:pStyle w:val="Els-body-text"/>
              <w:jc w:val="left"/>
            </w:pPr>
            <m:oMath>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X</m:t>
                      </m:r>
                    </m:e>
                    <m:sub>
                      <m:r>
                        <w:rPr>
                          <w:rFonts w:ascii="Cambria Math" w:hAnsi="Cambria Math"/>
                        </w:rPr>
                        <m:t>j</m:t>
                      </m:r>
                    </m:sub>
                  </m:sSub>
                </m:num>
                <m:den>
                  <m:r>
                    <w:rPr>
                      <w:rFonts w:ascii="Cambria Math" w:hAnsi="Cambria Math"/>
                    </w:rPr>
                    <m:t>dt</m:t>
                  </m:r>
                </m:den>
              </m:f>
              <m:r>
                <w:rPr>
                  <w:rFonts w:ascii="Cambria Math" w:hAnsi="Cambria Math"/>
                </w:rPr>
                <m:t>=</m:t>
              </m:r>
              <m:f>
                <m:fPr>
                  <m:ctrlPr>
                    <w:rPr>
                      <w:rFonts w:ascii="Cambria Math" w:hAnsi="Cambria Math"/>
                      <w:i/>
                      <w:iCs/>
                    </w:rPr>
                  </m:ctrlPr>
                </m:fPr>
                <m:num>
                  <m:r>
                    <w:rPr>
                      <w:rFonts w:ascii="Cambria Math" w:hAnsi="Cambria Math"/>
                    </w:rPr>
                    <m:t>Q</m:t>
                  </m:r>
                </m:num>
                <m:den>
                  <m:sSub>
                    <m:sSubPr>
                      <m:ctrlPr>
                        <w:rPr>
                          <w:rFonts w:ascii="Cambria Math" w:hAnsi="Cambria Math"/>
                          <w:i/>
                          <w:iCs/>
                        </w:rPr>
                      </m:ctrlPr>
                    </m:sSubPr>
                    <m:e>
                      <m:r>
                        <w:rPr>
                          <w:rFonts w:ascii="Cambria Math" w:hAnsi="Cambria Math"/>
                        </w:rPr>
                        <m:t>V</m:t>
                      </m:r>
                    </m:e>
                    <m:sub>
                      <m:r>
                        <w:rPr>
                          <w:rFonts w:ascii="Cambria Math" w:hAnsi="Cambria Math"/>
                        </w:rPr>
                        <m:t>j</m:t>
                      </m:r>
                    </m:sub>
                  </m:sSub>
                </m:den>
              </m:f>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j</m:t>
                      </m:r>
                      <m:r>
                        <w:rPr>
                          <w:rFonts w:ascii="Cambria Math" w:hAnsi="Cambria Math"/>
                        </w:rPr>
                        <m:t>-</m:t>
                      </m:r>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ctrlPr>
                    <w:rPr>
                      <w:rFonts w:ascii="Cambria Math" w:hAnsi="Cambria Math"/>
                      <w:i/>
                    </w:rPr>
                  </m:ctrlPr>
                </m:e>
              </m:d>
              <m:r>
                <w:rPr>
                  <w:rFonts w:ascii="Cambria Math" w:hAnsi="Cambria Math"/>
                </w:rPr>
                <m:t>+</m:t>
              </m:r>
              <m:r>
                <w:rPr>
                  <w:rFonts w:ascii="Cambria Math" w:hAnsi="Cambria Math"/>
                </w:rPr>
                <m:t>η</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sSub>
                <m:sSubPr>
                  <m:ctrlPr>
                    <w:rPr>
                      <w:rFonts w:ascii="Cambria Math" w:hAnsi="Cambria Math"/>
                      <w:i/>
                    </w:rPr>
                  </m:ctrlPr>
                </m:sSubPr>
                <m:e>
                  <m:r>
                    <w:rPr>
                      <w:rFonts w:ascii="Cambria Math" w:hAnsi="Cambria Math"/>
                    </w:rPr>
                    <m:t>X</m:t>
                  </m:r>
                </m:e>
                <m:sub>
                  <m:r>
                    <w:rPr>
                      <w:rFonts w:ascii="Cambria Math" w:hAnsi="Cambria Math"/>
                    </w:rPr>
                    <m:t>j</m:t>
                  </m:r>
                </m:sub>
              </m:sSub>
            </m:oMath>
            <w:r w:rsidR="007E742D">
              <w:t xml:space="preserve"> </w:t>
            </w:r>
          </w:p>
        </w:tc>
        <w:tc>
          <w:tcPr>
            <w:tcW w:w="2965" w:type="dxa"/>
            <w:tcBorders>
              <w:top w:val="nil"/>
              <w:left w:val="nil"/>
              <w:bottom w:val="nil"/>
              <w:right w:val="nil"/>
            </w:tcBorders>
            <w:vAlign w:val="center"/>
          </w:tcPr>
          <w:p w14:paraId="1141327E" w14:textId="5F3DB8A7" w:rsidR="007E742D" w:rsidRDefault="007E742D" w:rsidP="007E742D">
            <w:pPr>
              <w:pStyle w:val="Els-body-text"/>
              <w:jc w:val="right"/>
            </w:pPr>
            <w:r>
              <w:t>(7)</w:t>
            </w:r>
          </w:p>
        </w:tc>
      </w:tr>
      <w:tr w:rsidR="007E742D" w14:paraId="64945371" w14:textId="77777777" w:rsidTr="007E7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4111" w:type="dxa"/>
            <w:tcBorders>
              <w:top w:val="nil"/>
              <w:left w:val="nil"/>
              <w:bottom w:val="nil"/>
              <w:right w:val="nil"/>
            </w:tcBorders>
            <w:vAlign w:val="center"/>
          </w:tcPr>
          <w:p w14:paraId="2431D01E" w14:textId="795A0A7D" w:rsidR="007E742D" w:rsidRDefault="00613E32" w:rsidP="007E742D">
            <w:pPr>
              <w:pStyle w:val="Els-body-text"/>
              <w:jc w:val="left"/>
            </w:pPr>
            <m:oMath>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E</m:t>
                      </m:r>
                    </m:e>
                    <m:sub>
                      <m:r>
                        <w:rPr>
                          <w:rFonts w:ascii="Cambria Math" w:hAnsi="Cambria Math"/>
                        </w:rPr>
                        <m:t>j</m:t>
                      </m:r>
                    </m:sub>
                  </m:sSub>
                </m:num>
                <m:den>
                  <m:r>
                    <w:rPr>
                      <w:rFonts w:ascii="Cambria Math" w:hAnsi="Cambria Math"/>
                    </w:rPr>
                    <m:t>dt</m:t>
                  </m:r>
                </m:den>
              </m:f>
              <m:r>
                <w:rPr>
                  <w:rFonts w:ascii="Cambria Math" w:hAnsi="Cambria Math"/>
                </w:rPr>
                <m:t>=</m:t>
              </m:r>
              <m:f>
                <m:fPr>
                  <m:ctrlPr>
                    <w:rPr>
                      <w:rFonts w:ascii="Cambria Math" w:hAnsi="Cambria Math"/>
                      <w:i/>
                      <w:iCs/>
                    </w:rPr>
                  </m:ctrlPr>
                </m:fPr>
                <m:num>
                  <m:r>
                    <w:rPr>
                      <w:rFonts w:ascii="Cambria Math" w:hAnsi="Cambria Math"/>
                    </w:rPr>
                    <m:t>Q</m:t>
                  </m:r>
                </m:num>
                <m:den>
                  <m:sSub>
                    <m:sSubPr>
                      <m:ctrlPr>
                        <w:rPr>
                          <w:rFonts w:ascii="Cambria Math" w:hAnsi="Cambria Math"/>
                          <w:i/>
                          <w:iCs/>
                        </w:rPr>
                      </m:ctrlPr>
                    </m:sSubPr>
                    <m:e>
                      <m:r>
                        <w:rPr>
                          <w:rFonts w:ascii="Cambria Math" w:hAnsi="Cambria Math"/>
                        </w:rPr>
                        <m:t>V</m:t>
                      </m:r>
                    </m:e>
                    <m:sub>
                      <m:r>
                        <w:rPr>
                          <w:rFonts w:ascii="Cambria Math" w:hAnsi="Cambria Math"/>
                        </w:rPr>
                        <m:t>j</m:t>
                      </m:r>
                    </m:sub>
                  </m:sSub>
                </m:den>
              </m:f>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j</m:t>
                      </m:r>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 </m:t>
              </m:r>
            </m:oMath>
            <w:r w:rsidR="007E742D">
              <w:t xml:space="preserve"> </w:t>
            </w:r>
          </w:p>
        </w:tc>
        <w:tc>
          <w:tcPr>
            <w:tcW w:w="2965" w:type="dxa"/>
            <w:tcBorders>
              <w:top w:val="nil"/>
              <w:left w:val="nil"/>
              <w:bottom w:val="nil"/>
              <w:right w:val="nil"/>
            </w:tcBorders>
            <w:vAlign w:val="center"/>
          </w:tcPr>
          <w:p w14:paraId="2609E49E" w14:textId="3A4D23EC" w:rsidR="007E742D" w:rsidRDefault="007E742D" w:rsidP="007E742D">
            <w:pPr>
              <w:pStyle w:val="Els-body-text"/>
              <w:jc w:val="right"/>
            </w:pPr>
            <w:r>
              <w:t>(8)</w:t>
            </w:r>
          </w:p>
        </w:tc>
      </w:tr>
    </w:tbl>
    <w:p w14:paraId="0E13BC39" w14:textId="7CD7C1AB" w:rsidR="00366DE8" w:rsidRDefault="00366DE8" w:rsidP="00366DE8">
      <w:pPr>
        <w:pStyle w:val="Els-body-text"/>
      </w:pPr>
      <w:r w:rsidRPr="00366DE8">
        <w:t>These are the mass balances respectively for the concentration of substrate S</w:t>
      </w:r>
      <w:r w:rsidR="0046611B">
        <w:t xml:space="preserve"> [kg/m</w:t>
      </w:r>
      <w:r w:rsidR="0046611B" w:rsidRPr="0046611B">
        <w:rPr>
          <w:vertAlign w:val="superscript"/>
        </w:rPr>
        <w:t>3</w:t>
      </w:r>
      <w:r w:rsidR="0046611B">
        <w:t>]</w:t>
      </w:r>
      <w:r w:rsidRPr="00366DE8">
        <w:t>, the active biomass X</w:t>
      </w:r>
      <w:r w:rsidR="0046611B">
        <w:t xml:space="preserve"> [kg/m</w:t>
      </w:r>
      <w:r w:rsidR="0046611B" w:rsidRPr="0046611B">
        <w:rPr>
          <w:vertAlign w:val="superscript"/>
        </w:rPr>
        <w:t>3</w:t>
      </w:r>
      <w:r w:rsidR="0046611B">
        <w:t>]</w:t>
      </w:r>
      <w:r w:rsidRPr="00366DE8">
        <w:t>, and the inactive E</w:t>
      </w:r>
      <w:r w:rsidR="0046611B">
        <w:t xml:space="preserve"> [kg/m</w:t>
      </w:r>
      <w:r w:rsidR="0046611B" w:rsidRPr="0046611B">
        <w:rPr>
          <w:vertAlign w:val="superscript"/>
        </w:rPr>
        <w:t>3</w:t>
      </w:r>
      <w:r w:rsidR="0046611B">
        <w:t>]</w:t>
      </w:r>
      <w:r w:rsidRPr="00366DE8">
        <w:t xml:space="preserve">. The latter is an indication of how much biomass dies during operations. The microbial decay is an inevitable phenomenon due to several factors, especially the lack of nutrients. It is assumed that it can be modeled with a first order kinetic expression, depending on the biomass </w:t>
      </w:r>
      <w:r w:rsidRPr="00B177C4">
        <w:t>concentration,</w:t>
      </w:r>
      <w:r w:rsidRPr="00366DE8">
        <w:t xml:space="preserve"> and described by the decay constant </w:t>
      </w:r>
      <w:proofErr w:type="spellStart"/>
      <w:r w:rsidRPr="00366DE8">
        <w:t>K</w:t>
      </w:r>
      <w:r w:rsidRPr="00366DE8">
        <w:rPr>
          <w:vertAlign w:val="subscript"/>
        </w:rPr>
        <w:t>d</w:t>
      </w:r>
      <w:proofErr w:type="spellEnd"/>
      <w:r w:rsidR="0046611B">
        <w:rPr>
          <w:vertAlign w:val="subscript"/>
        </w:rPr>
        <w:t xml:space="preserve"> </w:t>
      </w:r>
      <w:r w:rsidR="0046611B">
        <w:t>[d</w:t>
      </w:r>
      <w:r w:rsidR="0046611B">
        <w:rPr>
          <w:vertAlign w:val="superscript"/>
        </w:rPr>
        <w:t>-1</w:t>
      </w:r>
      <w:r w:rsidR="0046611B">
        <w:t>]</w:t>
      </w:r>
      <w:r w:rsidRPr="00366DE8">
        <w:t xml:space="preserve">. The reaction term </w:t>
      </w:r>
      <w:proofErr w:type="spellStart"/>
      <w:r w:rsidRPr="00366DE8">
        <w:t>R</w:t>
      </w:r>
      <w:r w:rsidRPr="00366DE8">
        <w:rPr>
          <w:vertAlign w:val="subscript"/>
        </w:rPr>
        <w:t>j</w:t>
      </w:r>
      <w:proofErr w:type="spellEnd"/>
      <w:r w:rsidRPr="00366DE8">
        <w:t xml:space="preserve"> at the macro scale is different with respect to the Monod kinetics, because it needs to consider what is </w:t>
      </w:r>
      <w:r w:rsidRPr="00B177C4">
        <w:t>occurring</w:t>
      </w:r>
      <w:r w:rsidRPr="00366DE8">
        <w:t xml:space="preserve"> to the particles. It is defined as the diffusion flux, multiplied by the surface that it traverses, </w:t>
      </w:r>
      <w:r w:rsidRPr="00366DE8">
        <w:rPr>
          <w:i/>
        </w:rPr>
        <w:t>i.e</w:t>
      </w:r>
      <w:r w:rsidRPr="00366DE8">
        <w:t>., the surface of the particle, and by the number of particles present in the reactor (N</w:t>
      </w:r>
      <w:r w:rsidRPr="00366DE8">
        <w:rPr>
          <w:vertAlign w:val="subscript"/>
        </w:rPr>
        <w:t>p</w:t>
      </w:r>
      <w:r w:rsidRPr="00366DE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965"/>
      </w:tblGrid>
      <w:tr w:rsidR="007E742D" w14:paraId="3FF0DF73" w14:textId="77777777" w:rsidTr="007E742D">
        <w:trPr>
          <w:trHeight w:val="414"/>
        </w:trPr>
        <w:tc>
          <w:tcPr>
            <w:tcW w:w="4111" w:type="dxa"/>
            <w:vAlign w:val="center"/>
          </w:tcPr>
          <w:p w14:paraId="5ED44200" w14:textId="46676728" w:rsidR="007E742D" w:rsidRDefault="00613E32">
            <w:pPr>
              <w:pStyle w:val="Els-body-text"/>
              <w:jc w:val="left"/>
            </w:pPr>
            <m:oMath>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 -</m:t>
              </m:r>
              <m:r>
                <m:rPr>
                  <m:scr m:val="script"/>
                </m:rPr>
                <w:rPr>
                  <w:rFonts w:ascii="Cambria Math" w:hAnsi="Cambria Math"/>
                </w:rPr>
                <m:t>D</m:t>
              </m:r>
              <m:r>
                <w:rPr>
                  <w:rFonts w:ascii="Cambria Math"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 xml:space="preserve"> 4</m:t>
              </m:r>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sSub>
                <m:sSubPr>
                  <m:ctrlPr>
                    <w:rPr>
                      <w:rFonts w:ascii="Cambria Math" w:hAnsi="Cambria Math"/>
                      <w:i/>
                    </w:rPr>
                  </m:ctrlPr>
                </m:sSubPr>
                <m:e>
                  <m:r>
                    <w:rPr>
                      <w:rFonts w:ascii="Cambria Math" w:hAnsi="Cambria Math"/>
                    </w:rPr>
                    <m:t>N</m:t>
                  </m:r>
                </m:e>
                <m:sub>
                  <m:r>
                    <w:rPr>
                      <w:rFonts w:ascii="Cambria Math" w:hAnsi="Cambria Math"/>
                    </w:rPr>
                    <m:t>p</m:t>
                  </m:r>
                </m:sub>
              </m:sSub>
            </m:oMath>
            <w:r w:rsidR="007E742D">
              <w:t xml:space="preserve">  </w:t>
            </w:r>
            <w:r w:rsidR="007E742D">
              <w:rPr>
                <w:iCs/>
              </w:rPr>
              <w:t xml:space="preserve"> </w:t>
            </w:r>
          </w:p>
        </w:tc>
        <w:tc>
          <w:tcPr>
            <w:tcW w:w="2965" w:type="dxa"/>
            <w:vAlign w:val="center"/>
          </w:tcPr>
          <w:p w14:paraId="0FF4DDE2" w14:textId="599253E9" w:rsidR="007E742D" w:rsidRDefault="007E742D">
            <w:pPr>
              <w:pStyle w:val="Els-body-text"/>
              <w:jc w:val="right"/>
            </w:pPr>
            <w:r>
              <w:t>(8)</w:t>
            </w:r>
          </w:p>
        </w:tc>
      </w:tr>
    </w:tbl>
    <w:p w14:paraId="7CF956DB" w14:textId="77777777" w:rsidR="00366DE8" w:rsidRDefault="00366DE8" w:rsidP="00366DE8">
      <w:pPr>
        <w:pStyle w:val="Els-body-text"/>
      </w:pPr>
      <w:r w:rsidRPr="00366DE8">
        <w:t>It is assumed that no new granules are formed, hence the microbial growth manifests itself simply as the growth of the already-formed particles. N</w:t>
      </w:r>
      <w:r w:rsidRPr="00366DE8">
        <w:rPr>
          <w:vertAlign w:val="subscript"/>
        </w:rPr>
        <w:t>p</w:t>
      </w:r>
      <w:r w:rsidRPr="00366DE8">
        <w:t xml:space="preserve"> is calculated at the start of the simulation through the formula: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965"/>
      </w:tblGrid>
      <w:tr w:rsidR="007E742D" w14:paraId="5AA7F9DC" w14:textId="77777777" w:rsidTr="007E742D">
        <w:trPr>
          <w:trHeight w:val="598"/>
        </w:trPr>
        <w:tc>
          <w:tcPr>
            <w:tcW w:w="4111" w:type="dxa"/>
            <w:vAlign w:val="center"/>
          </w:tcPr>
          <w:p w14:paraId="2FB65B2E" w14:textId="52E52FC3" w:rsidR="007E742D" w:rsidRDefault="00613E32">
            <w:pPr>
              <w:pStyle w:val="Els-body-text"/>
              <w:jc w:val="left"/>
            </w:pPr>
            <m:oMath>
              <m:sSub>
                <m:sSubPr>
                  <m:ctrlPr>
                    <w:rPr>
                      <w:rFonts w:ascii="Cambria Math" w:hAnsi="Cambria Math"/>
                    </w:rPr>
                  </m:ctrlPr>
                </m:sSubPr>
                <m:e>
                  <m:r>
                    <w:rPr>
                      <w:rFonts w:ascii="Cambria Math" w:hAnsi="Cambria Math"/>
                    </w:rPr>
                    <m:t>N</m:t>
                  </m:r>
                </m:e>
                <m:sub>
                  <m:r>
                    <w:rPr>
                      <w:rFonts w:ascii="Cambria Math" w:hAnsi="Cambria Math"/>
                    </w:rPr>
                    <m:t>p</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ρ</m:t>
                      </m:r>
                    </m:e>
                    <m:sub>
                      <m:r>
                        <w:rPr>
                          <w:rFonts w:ascii="Cambria Math" w:hAnsi="Cambria Math"/>
                        </w:rPr>
                        <m:t>biomass</m:t>
                      </m:r>
                    </m:sub>
                  </m:sSub>
                </m:den>
              </m:f>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bSup>
                    <m:sSubSupPr>
                      <m:ctrlPr>
                        <w:rPr>
                          <w:rFonts w:ascii="Cambria Math" w:hAnsi="Cambria Math"/>
                        </w:rPr>
                      </m:ctrlPr>
                    </m:sSubSupPr>
                    <m:e>
                      <m:r>
                        <w:rPr>
                          <w:rFonts w:ascii="Cambria Math" w:hAnsi="Cambria Math"/>
                        </w:rPr>
                        <m:t>R</m:t>
                      </m:r>
                    </m:e>
                    <m:sub>
                      <m:r>
                        <m:rPr>
                          <m:sty m:val="p"/>
                        </m:rPr>
                        <w:rPr>
                          <w:rFonts w:ascii="Cambria Math" w:hAnsi="Cambria Math"/>
                        </w:rPr>
                        <m:t>0</m:t>
                      </m:r>
                    </m:sub>
                    <m:sup>
                      <m:r>
                        <m:rPr>
                          <m:sty m:val="p"/>
                        </m:rPr>
                        <w:rPr>
                          <w:rFonts w:ascii="Cambria Math" w:hAnsi="Cambria Math"/>
                        </w:rPr>
                        <m:t>3</m:t>
                      </m:r>
                    </m:sup>
                  </m:sSubSup>
                </m:den>
              </m:f>
              <m:r>
                <m:rPr>
                  <m:sty m:val="p"/>
                </m:rPr>
                <w:rPr>
                  <w:rFonts w:ascii="Cambria Math" w:hAnsi="Cambria Math"/>
                </w:rPr>
                <m:t xml:space="preserve"> </m:t>
              </m:r>
            </m:oMath>
            <w:r w:rsidR="007E742D">
              <w:rPr>
                <w:iCs/>
              </w:rPr>
              <w:t xml:space="preserve">   </w:t>
            </w:r>
          </w:p>
        </w:tc>
        <w:tc>
          <w:tcPr>
            <w:tcW w:w="2965" w:type="dxa"/>
            <w:vAlign w:val="center"/>
          </w:tcPr>
          <w:p w14:paraId="01D4C576" w14:textId="67F8038D" w:rsidR="007E742D" w:rsidRDefault="007E742D">
            <w:pPr>
              <w:pStyle w:val="Els-body-text"/>
              <w:jc w:val="right"/>
            </w:pPr>
            <w:r>
              <w:t>(9)</w:t>
            </w:r>
          </w:p>
        </w:tc>
      </w:tr>
    </w:tbl>
    <w:p w14:paraId="686B8054" w14:textId="7AF7AEFE" w:rsidR="00366DE8" w:rsidRDefault="00366DE8" w:rsidP="00366DE8">
      <w:pPr>
        <w:pStyle w:val="Els-body-text"/>
      </w:pPr>
      <w:r w:rsidRPr="00366DE8">
        <w:t>Where X</w:t>
      </w:r>
      <w:r w:rsidRPr="00366DE8">
        <w:rPr>
          <w:vertAlign w:val="subscript"/>
        </w:rPr>
        <w:t>0</w:t>
      </w:r>
      <w:r w:rsidRPr="00366DE8">
        <w:t xml:space="preserve"> and E</w:t>
      </w:r>
      <w:r w:rsidRPr="00366DE8">
        <w:rPr>
          <w:vertAlign w:val="subscript"/>
        </w:rPr>
        <w:t>0</w:t>
      </w:r>
      <w:r w:rsidRPr="00366DE8">
        <w:t xml:space="preserve"> are the entirety of the biomass that enters the first CSTR, </w:t>
      </w:r>
      <w:proofErr w:type="spellStart"/>
      <w:r w:rsidRPr="00366DE8">
        <w:t>ρ</w:t>
      </w:r>
      <w:r w:rsidRPr="00366DE8">
        <w:rPr>
          <w:vertAlign w:val="subscript"/>
        </w:rPr>
        <w:t>biomass</w:t>
      </w:r>
      <w:proofErr w:type="spellEnd"/>
      <w:r w:rsidRPr="00366DE8">
        <w:t xml:space="preserve"> is the density of the biomass and R</w:t>
      </w:r>
      <w:r w:rsidRPr="00366DE8">
        <w:rPr>
          <w:vertAlign w:val="subscript"/>
        </w:rPr>
        <w:t>0</w:t>
      </w:r>
      <w:r w:rsidRPr="00366DE8">
        <w:t xml:space="preserve"> </w:t>
      </w:r>
      <w:r w:rsidR="0046611B">
        <w:t xml:space="preserve">[m] </w:t>
      </w:r>
      <w:r w:rsidRPr="00366DE8">
        <w:t>is the initial average radius of the particles. From Equation (9), because of the assumption of constant N</w:t>
      </w:r>
      <w:r w:rsidRPr="00366DE8">
        <w:rPr>
          <w:vertAlign w:val="subscript"/>
        </w:rPr>
        <w:t>p</w:t>
      </w:r>
      <w:r w:rsidRPr="00366DE8">
        <w:t xml:space="preserve">, it is then possible to calculate the new radius of the particles, after the ODE system is solved. Furthermore, η is the internal mass transfer </w:t>
      </w:r>
      <w:r w:rsidR="007E742D">
        <w:t>efficiency, defined as follow</w:t>
      </w:r>
      <w:r w:rsidRPr="00366DE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965"/>
      </w:tblGrid>
      <w:tr w:rsidR="007E742D" w14:paraId="380B4DAE" w14:textId="77777777" w:rsidTr="007E742D">
        <w:trPr>
          <w:trHeight w:val="793"/>
        </w:trPr>
        <w:tc>
          <w:tcPr>
            <w:tcW w:w="4111" w:type="dxa"/>
            <w:vAlign w:val="center"/>
          </w:tcPr>
          <w:p w14:paraId="1BE09E93" w14:textId="06D893B2" w:rsidR="007E742D" w:rsidRDefault="007E742D">
            <w:pPr>
              <w:pStyle w:val="Els-body-text"/>
              <w:jc w:val="left"/>
            </w:pPr>
            <m:oMath>
              <m:r>
                <w:rPr>
                  <w:rFonts w:ascii="Cambria Math" w:hAnsi="Cambria Math"/>
                </w:rPr>
                <m:t>η=</m:t>
              </m:r>
              <m:f>
                <m:fPr>
                  <m:ctrlPr>
                    <w:rPr>
                      <w:rFonts w:ascii="Cambria Math" w:hAnsi="Cambria Math"/>
                      <w:i/>
                      <w:iCs/>
                    </w:rPr>
                  </m:ctrlPr>
                </m:fPr>
                <m:num>
                  <m:nary>
                    <m:naryPr>
                      <m:limLoc m:val="undOvr"/>
                      <m:subHide m:val="1"/>
                      <m:supHide m:val="1"/>
                      <m:ctrlPr>
                        <w:rPr>
                          <w:rFonts w:ascii="Cambria Math" w:hAnsi="Cambria Math"/>
                          <w:i/>
                          <w:iCs/>
                        </w:rPr>
                      </m:ctrlPr>
                    </m:naryPr>
                    <m:sub/>
                    <m:sup/>
                    <m:e>
                      <m:r>
                        <w:rPr>
                          <w:rFonts w:ascii="Cambria Math" w:hAnsi="Cambria Math"/>
                        </w:rPr>
                        <m:t>RdV</m:t>
                      </m:r>
                    </m:e>
                  </m:nary>
                </m:num>
                <m:den>
                  <m:sSub>
                    <m:sSubPr>
                      <m:ctrlPr>
                        <w:rPr>
                          <w:rFonts w:ascii="Cambria Math" w:hAnsi="Cambria Math"/>
                          <w:i/>
                          <w:iCs/>
                        </w:rPr>
                      </m:ctrlPr>
                    </m:sSubPr>
                    <m:e>
                      <m:r>
                        <w:rPr>
                          <w:rFonts w:ascii="Cambria Math" w:hAnsi="Cambria Math"/>
                        </w:rPr>
                        <m:t>R</m:t>
                      </m:r>
                    </m:e>
                    <m:sub>
                      <m:r>
                        <w:rPr>
                          <w:rFonts w:ascii="Cambria Math" w:hAnsi="Cambria Math"/>
                        </w:rPr>
                        <m:t>surface</m:t>
                      </m:r>
                    </m:sub>
                  </m:sSub>
                  <m:r>
                    <w:rPr>
                      <w:rFonts w:ascii="Cambria Math" w:hAnsi="Cambria Math"/>
                    </w:rPr>
                    <m:t>V</m:t>
                  </m:r>
                </m:den>
              </m:f>
              <m:r>
                <w:rPr>
                  <w:rFonts w:ascii="Cambria Math" w:hAnsi="Cambria Math"/>
                </w:rPr>
                <m:t>= </m:t>
              </m:r>
              <m:f>
                <m:fPr>
                  <m:ctrlPr>
                    <w:rPr>
                      <w:rFonts w:ascii="Cambria Math" w:hAnsi="Cambria Math"/>
                      <w:i/>
                      <w:iCs/>
                    </w:rPr>
                  </m:ctrlPr>
                </m:fPr>
                <m:num>
                  <m:r>
                    <w:rPr>
                      <w:rFonts w:ascii="Cambria Math" w:hAnsi="Cambria Math"/>
                    </w:rPr>
                    <m:t>3</m:t>
                  </m:r>
                  <m:r>
                    <m:rPr>
                      <m:scr m:val="script"/>
                    </m:rPr>
                    <w:rPr>
                      <w:rFonts w:ascii="Cambria Math" w:hAnsi="Cambria Math"/>
                    </w:rPr>
                    <m:t>D</m:t>
                  </m:r>
                  <m:sSub>
                    <m:sSubPr>
                      <m:ctrlPr>
                        <w:rPr>
                          <w:rFonts w:ascii="Cambria Math" w:hAnsi="Cambria Math"/>
                          <w:i/>
                          <w:iCs/>
                        </w:rPr>
                      </m:ctrlPr>
                    </m:sSubPr>
                    <m:e>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dr</m:t>
                              </m:r>
                            </m:den>
                          </m:f>
                        </m:e>
                      </m:d>
                    </m:e>
                    <m:sub>
                      <m:r>
                        <w:rPr>
                          <w:rFonts w:ascii="Cambria Math" w:hAnsi="Cambria Math"/>
                        </w:rPr>
                        <m:t>r=</m:t>
                      </m:r>
                      <m:sSub>
                        <m:sSubPr>
                          <m:ctrlPr>
                            <w:rPr>
                              <w:rFonts w:ascii="Cambria Math" w:hAnsi="Cambria Math"/>
                              <w:i/>
                              <w:iCs/>
                            </w:rPr>
                          </m:ctrlPr>
                        </m:sSubPr>
                        <m:e>
                          <m:r>
                            <w:rPr>
                              <w:rFonts w:ascii="Cambria Math" w:hAnsi="Cambria Math"/>
                            </w:rPr>
                            <m:t>R</m:t>
                          </m:r>
                        </m:e>
                        <m:sub>
                          <m:r>
                            <w:rPr>
                              <w:rFonts w:ascii="Cambria Math" w:hAnsi="Cambria Math"/>
                            </w:rPr>
                            <m:t>P</m:t>
                          </m:r>
                        </m:sub>
                      </m:sSub>
                    </m:sub>
                  </m:sSub>
                </m:num>
                <m:den>
                  <m:f>
                    <m:fPr>
                      <m:ctrlPr>
                        <w:rPr>
                          <w:rFonts w:ascii="Cambria Math" w:hAnsi="Cambria Math"/>
                          <w:i/>
                          <w:iCs/>
                        </w:rPr>
                      </m:ctrlPr>
                    </m:fPr>
                    <m:num>
                      <m:sSub>
                        <m:sSubPr>
                          <m:ctrlPr>
                            <w:rPr>
                              <w:rFonts w:ascii="Cambria Math" w:hAnsi="Cambria Math"/>
                              <w:i/>
                              <w:iCs/>
                            </w:rPr>
                          </m:ctrlPr>
                        </m:sSubPr>
                        <m:e>
                          <m:r>
                            <w:rPr>
                              <w:rFonts w:ascii="Cambria Math" w:hAnsi="Cambria Math"/>
                            </w:rPr>
                            <m:t>μ</m:t>
                          </m:r>
                        </m:e>
                        <m:sub>
                          <m:r>
                            <w:rPr>
                              <w:rFonts w:ascii="Cambria Math" w:hAnsi="Cambria Math"/>
                            </w:rPr>
                            <m:t>MAX</m:t>
                          </m:r>
                        </m:sub>
                      </m:sSub>
                    </m:num>
                    <m:den>
                      <m:r>
                        <w:rPr>
                          <w:rFonts w:ascii="Cambria Math" w:hAnsi="Cambria Math"/>
                        </w:rPr>
                        <m:t>Y</m:t>
                      </m:r>
                    </m:den>
                  </m:f>
                  <m:f>
                    <m:fPr>
                      <m:ctrlPr>
                        <w:rPr>
                          <w:rFonts w:ascii="Cambria Math" w:hAnsi="Cambria Math"/>
                          <w:i/>
                          <w:iCs/>
                        </w:rPr>
                      </m:ctrlPr>
                    </m:fPr>
                    <m:num>
                      <m:r>
                        <w:rPr>
                          <w:rFonts w:ascii="Cambria Math" w:hAnsi="Cambria Math"/>
                        </w:rPr>
                        <m:t>X</m:t>
                      </m:r>
                    </m:num>
                    <m:den>
                      <m:sSub>
                        <m:sSubPr>
                          <m:ctrlPr>
                            <w:rPr>
                              <w:rFonts w:ascii="Cambria Math" w:hAnsi="Cambria Math"/>
                              <w:i/>
                              <w:iCs/>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P</m:t>
                          </m:r>
                        </m:sub>
                      </m:sSub>
                      <m:d>
                        <m:dPr>
                          <m:ctrlPr>
                            <w:rPr>
                              <w:rFonts w:ascii="Cambria Math" w:hAnsi="Cambria Math"/>
                              <w:i/>
                              <w:iCs/>
                            </w:rPr>
                          </m:ctrlPr>
                        </m:dPr>
                        <m:e>
                          <m:r>
                            <w:rPr>
                              <w:rFonts w:ascii="Cambria Math" w:hAnsi="Cambria Math"/>
                            </w:rPr>
                            <m:t>r=</m:t>
                          </m:r>
                          <m:sSub>
                            <m:sSubPr>
                              <m:ctrlPr>
                                <w:rPr>
                                  <w:rFonts w:ascii="Cambria Math" w:hAnsi="Cambria Math"/>
                                  <w:i/>
                                  <w:iCs/>
                                </w:rPr>
                              </m:ctrlPr>
                            </m:sSubPr>
                            <m:e>
                              <m:r>
                                <w:rPr>
                                  <w:rFonts w:ascii="Cambria Math" w:hAnsi="Cambria Math"/>
                                </w:rPr>
                                <m:t>R</m:t>
                              </m:r>
                            </m:e>
                            <m:sub>
                              <m:r>
                                <w:rPr>
                                  <w:rFonts w:ascii="Cambria Math" w:hAnsi="Cambria Math"/>
                                </w:rPr>
                                <m:t>P</m:t>
                              </m:r>
                            </m:sub>
                          </m:sSub>
                        </m:e>
                      </m:d>
                    </m:den>
                  </m:f>
                  <m:sSub>
                    <m:sSubPr>
                      <m:ctrlPr>
                        <w:rPr>
                          <w:rFonts w:ascii="Cambria Math" w:hAnsi="Cambria Math"/>
                          <w:i/>
                          <w:iCs/>
                        </w:rPr>
                      </m:ctrlPr>
                    </m:sSubPr>
                    <m:e>
                      <m:r>
                        <w:rPr>
                          <w:rFonts w:ascii="Cambria Math" w:hAnsi="Cambria Math"/>
                        </w:rPr>
                        <m:t>S</m:t>
                      </m:r>
                    </m:e>
                    <m:sub>
                      <m:r>
                        <w:rPr>
                          <w:rFonts w:ascii="Cambria Math" w:hAnsi="Cambria Math"/>
                        </w:rPr>
                        <m:t>P</m:t>
                      </m:r>
                    </m:sub>
                  </m:sSub>
                  <m:d>
                    <m:dPr>
                      <m:ctrlPr>
                        <w:rPr>
                          <w:rFonts w:ascii="Cambria Math" w:hAnsi="Cambria Math"/>
                          <w:i/>
                          <w:iCs/>
                        </w:rPr>
                      </m:ctrlPr>
                    </m:dPr>
                    <m:e>
                      <m:r>
                        <w:rPr>
                          <w:rFonts w:ascii="Cambria Math" w:hAnsi="Cambria Math"/>
                        </w:rPr>
                        <m:t>r=</m:t>
                      </m:r>
                      <m:sSub>
                        <m:sSubPr>
                          <m:ctrlPr>
                            <w:rPr>
                              <w:rFonts w:ascii="Cambria Math" w:hAnsi="Cambria Math"/>
                              <w:i/>
                              <w:iCs/>
                            </w:rPr>
                          </m:ctrlPr>
                        </m:sSubPr>
                        <m:e>
                          <m:r>
                            <w:rPr>
                              <w:rFonts w:ascii="Cambria Math" w:hAnsi="Cambria Math"/>
                            </w:rPr>
                            <m:t>R</m:t>
                          </m:r>
                        </m:e>
                        <m:sub>
                          <m:r>
                            <w:rPr>
                              <w:rFonts w:ascii="Cambria Math" w:hAnsi="Cambria Math"/>
                            </w:rPr>
                            <m:t>P</m:t>
                          </m:r>
                        </m:sub>
                      </m:sSub>
                    </m:e>
                  </m:d>
                  <m:sSub>
                    <m:sSubPr>
                      <m:ctrlPr>
                        <w:rPr>
                          <w:rFonts w:ascii="Cambria Math" w:hAnsi="Cambria Math"/>
                          <w:i/>
                          <w:iCs/>
                        </w:rPr>
                      </m:ctrlPr>
                    </m:sSubPr>
                    <m:e>
                      <m:r>
                        <w:rPr>
                          <w:rFonts w:ascii="Cambria Math" w:hAnsi="Cambria Math"/>
                        </w:rPr>
                        <m:t>  R</m:t>
                      </m:r>
                    </m:e>
                    <m:sub>
                      <m:r>
                        <w:rPr>
                          <w:rFonts w:ascii="Cambria Math" w:hAnsi="Cambria Math"/>
                        </w:rPr>
                        <m:t>P</m:t>
                      </m:r>
                    </m:sub>
                  </m:sSub>
                </m:den>
              </m:f>
            </m:oMath>
            <w:r>
              <w:rPr>
                <w:iCs/>
              </w:rPr>
              <w:t xml:space="preserve">   </w:t>
            </w:r>
          </w:p>
        </w:tc>
        <w:tc>
          <w:tcPr>
            <w:tcW w:w="2965" w:type="dxa"/>
            <w:vAlign w:val="center"/>
          </w:tcPr>
          <w:p w14:paraId="13301E69" w14:textId="1FC1779E" w:rsidR="007E742D" w:rsidRDefault="007E742D">
            <w:pPr>
              <w:pStyle w:val="Els-body-text"/>
              <w:jc w:val="right"/>
            </w:pPr>
            <w:r>
              <w:t>(10)</w:t>
            </w:r>
          </w:p>
        </w:tc>
      </w:tr>
    </w:tbl>
    <w:p w14:paraId="76265902" w14:textId="61D9DD8F" w:rsidR="007E742D" w:rsidRDefault="00366DE8" w:rsidP="00366DE8">
      <w:pPr>
        <w:pStyle w:val="Els-body-text"/>
      </w:pPr>
      <w:r w:rsidRPr="00366DE8">
        <w:t>In each reactor the same flowrate Q enters, and it is assumed that the inlet one is equal to the outlet</w:t>
      </w:r>
      <w:r w:rsidRPr="00B177C4">
        <w:t xml:space="preserve"> (steady conditions)</w:t>
      </w:r>
      <w:r w:rsidRPr="00366DE8">
        <w:t>. To describe the concentration of methane calculated, Equation 1</w:t>
      </w:r>
      <w:r w:rsidR="007E742D">
        <w:t>1</w:t>
      </w:r>
      <w:r w:rsidRPr="00366DE8">
        <w:t xml:space="preserve"> </w:t>
      </w:r>
      <w:r w:rsidR="00151A24" w:rsidRPr="00B177C4">
        <w:t>is considered</w:t>
      </w:r>
      <w:r w:rsidRPr="00366DE8">
        <w:t xml:space="preserve">. It is assumed that in each CSTR no methane enters, as it is only formed in the reactor through the reaction, and the methane formed exits </w:t>
      </w:r>
      <w:r w:rsidR="00F21C76">
        <w:t>each</w:t>
      </w:r>
      <w:r w:rsidRPr="00366DE8">
        <w:t xml:space="preserve"> reactor.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965"/>
      </w:tblGrid>
      <w:tr w:rsidR="007E742D" w14:paraId="00D36357" w14:textId="77777777" w:rsidTr="007E742D">
        <w:trPr>
          <w:trHeight w:val="506"/>
        </w:trPr>
        <w:tc>
          <w:tcPr>
            <w:tcW w:w="4111" w:type="dxa"/>
            <w:vAlign w:val="center"/>
          </w:tcPr>
          <w:p w14:paraId="3831877B" w14:textId="73F11301" w:rsidR="007E742D" w:rsidRDefault="00613E32">
            <w:pPr>
              <w:pStyle w:val="Els-body-text"/>
              <w:jc w:val="left"/>
            </w:pPr>
            <m:oMath>
              <m:f>
                <m:fPr>
                  <m:ctrlPr>
                    <w:rPr>
                      <w:rFonts w:ascii="Cambria Math" w:hAnsi="Cambria Math"/>
                      <w:i/>
                      <w:iCs/>
                    </w:rPr>
                  </m:ctrlPr>
                </m:fPr>
                <m:num>
                  <m:r>
                    <w:rPr>
                      <w:rFonts w:ascii="Cambria Math" w:hAnsi="Cambria Math"/>
                    </w:rPr>
                    <m:t>d</m:t>
                  </m:r>
                  <m:sSub>
                    <m:sSubPr>
                      <m:ctrlPr>
                        <w:rPr>
                          <w:rFonts w:ascii="Cambria Math" w:hAnsi="Cambria Math"/>
                          <w:i/>
                          <w:iCs/>
                        </w:rPr>
                      </m:ctrlPr>
                    </m:sSubPr>
                    <m:e>
                      <m:r>
                        <w:rPr>
                          <w:rFonts w:ascii="Cambria Math" w:hAnsi="Cambria Math"/>
                        </w:rPr>
                        <m:t>M</m:t>
                      </m:r>
                    </m:e>
                    <m:sub>
                      <m:r>
                        <w:rPr>
                          <w:rFonts w:ascii="Cambria Math" w:hAnsi="Cambria Math"/>
                        </w:rPr>
                        <m:t>j</m:t>
                      </m:r>
                    </m:sub>
                  </m:sSub>
                </m:num>
                <m:den>
                  <m:r>
                    <w:rPr>
                      <w:rFonts w:ascii="Cambria Math" w:hAnsi="Cambria Math"/>
                    </w:rPr>
                    <m:t>dt</m:t>
                  </m:r>
                </m:den>
              </m:f>
              <m:r>
                <w:rPr>
                  <w:rFonts w:ascii="Cambria Math" w:hAnsi="Cambria Math"/>
                </w:rPr>
                <m:t>=-</m:t>
              </m:r>
              <m:f>
                <m:fPr>
                  <m:ctrlPr>
                    <w:rPr>
                      <w:rFonts w:ascii="Cambria Math" w:hAnsi="Cambria Math"/>
                      <w:i/>
                      <w:iCs/>
                    </w:rPr>
                  </m:ctrlPr>
                </m:fPr>
                <m:num>
                  <m:r>
                    <w:rPr>
                      <w:rFonts w:ascii="Cambria Math" w:hAnsi="Cambria Math"/>
                    </w:rPr>
                    <m:t>Q</m:t>
                  </m:r>
                </m:num>
                <m:den>
                  <m:sSub>
                    <m:sSubPr>
                      <m:ctrlPr>
                        <w:rPr>
                          <w:rFonts w:ascii="Cambria Math" w:hAnsi="Cambria Math"/>
                          <w:i/>
                          <w:iCs/>
                        </w:rPr>
                      </m:ctrlPr>
                    </m:sSubPr>
                    <m:e>
                      <m:r>
                        <w:rPr>
                          <w:rFonts w:ascii="Cambria Math" w:hAnsi="Cambria Math"/>
                        </w:rPr>
                        <m:t>V</m:t>
                      </m:r>
                    </m:e>
                    <m:sub>
                      <m:r>
                        <w:rPr>
                          <w:rFonts w:ascii="Cambria Math" w:hAnsi="Cambria Math"/>
                        </w:rPr>
                        <m:t>j</m:t>
                      </m:r>
                    </m:sub>
                  </m:sSub>
                </m:den>
              </m:f>
              <m:sSub>
                <m:sSubPr>
                  <m:ctrlPr>
                    <w:rPr>
                      <w:rFonts w:ascii="Cambria Math" w:hAnsi="Cambria Math"/>
                      <w:i/>
                      <w:iCs/>
                    </w:rPr>
                  </m:ctrlPr>
                </m:sSubPr>
                <m:e>
                  <m:r>
                    <w:rPr>
                      <w:rFonts w:ascii="Cambria Math" w:hAnsi="Cambria Math"/>
                    </w:rPr>
                    <m:t>M</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ηR</m:t>
                  </m:r>
                </m:e>
                <m:sub>
                  <m:r>
                    <w:rPr>
                      <w:rFonts w:ascii="Cambria Math" w:hAnsi="Cambria Math"/>
                    </w:rPr>
                    <m:t>j</m:t>
                  </m:r>
                </m:sub>
              </m:sSub>
              <m:r>
                <w:rPr>
                  <w:rFonts w:ascii="Cambria Math" w:hAnsi="Cambria Math"/>
                </w:rPr>
                <m:t xml:space="preserve"> </m:t>
              </m:r>
            </m:oMath>
            <w:r w:rsidR="007E742D">
              <w:t xml:space="preserve"> </w:t>
            </w:r>
            <w:r w:rsidR="007E742D">
              <w:rPr>
                <w:iCs/>
              </w:rPr>
              <w:t xml:space="preserve">  </w:t>
            </w:r>
          </w:p>
        </w:tc>
        <w:tc>
          <w:tcPr>
            <w:tcW w:w="2965" w:type="dxa"/>
            <w:vAlign w:val="center"/>
          </w:tcPr>
          <w:p w14:paraId="5F2746C9" w14:textId="3BC9E50A" w:rsidR="007E742D" w:rsidRDefault="007E742D">
            <w:pPr>
              <w:pStyle w:val="Els-body-text"/>
              <w:jc w:val="right"/>
            </w:pPr>
            <w:r>
              <w:t>(11)</w:t>
            </w:r>
          </w:p>
        </w:tc>
      </w:tr>
    </w:tbl>
    <w:p w14:paraId="6EA32EAE" w14:textId="77777777" w:rsidR="00F21C76" w:rsidRDefault="0046611B" w:rsidP="00F21C76">
      <w:pPr>
        <w:pStyle w:val="Els-body-text"/>
      </w:pPr>
      <w:r>
        <w:t>Where M is the methane concentration [kg/m</w:t>
      </w:r>
      <w:r w:rsidRPr="0046611B">
        <w:rPr>
          <w:vertAlign w:val="superscript"/>
        </w:rPr>
        <w:t>3</w:t>
      </w:r>
      <w:r>
        <w:t xml:space="preserve">]. </w:t>
      </w:r>
      <w:r w:rsidR="00366DE8" w:rsidRPr="00366DE8">
        <w:t xml:space="preserve">Finally, the number of reactors into which the UASB is divided is chosen by the user. </w:t>
      </w:r>
    </w:p>
    <w:p w14:paraId="276B16B7" w14:textId="580C34DD" w:rsidR="000923E1" w:rsidRPr="00B177C4" w:rsidRDefault="00151A24" w:rsidP="00F21C76">
      <w:pPr>
        <w:pStyle w:val="Els-1storder-head"/>
      </w:pPr>
      <w:r w:rsidRPr="00B177C4">
        <w:t>Results and Discussion</w:t>
      </w:r>
    </w:p>
    <w:p w14:paraId="513F31F2" w14:textId="3CAA7FCF" w:rsidR="00B177C4" w:rsidRPr="00B177C4" w:rsidRDefault="00151A24" w:rsidP="007C7A3D">
      <w:pPr>
        <w:pStyle w:val="Els-body-text"/>
        <w:spacing w:after="240"/>
      </w:pPr>
      <w:r w:rsidRPr="00151A24">
        <w:t>To validate the model, it was compared to two other works proposed in the literature: the model presented by</w:t>
      </w:r>
      <w:r w:rsidRPr="00151A24" w:rsidDel="00BB0D47">
        <w:t xml:space="preserve"> </w:t>
      </w:r>
      <w:r w:rsidR="00F21C76">
        <w:fldChar w:fldCharType="begin"/>
      </w:r>
      <w:r w:rsidR="006E2529">
        <w:instrText xml:space="preserve"> ADDIN ZOTERO_ITEM CSL_CITATION {"citationID":"Gaxq6YT4","properties":{"formattedCitation":"(Bolle et al., 1986)","plainCitation":"(Bolle et al., 1986)","dontUpdate":true,"noteIndex":0},"citationItems":[{"id":789,"uris":["http://zotero.org/users/local/GPcrMwRN/items/LM364MP5"],"itemData":{"id":789,"type":"article-journal","abstract":"In this article a dynamic model of a continuous working UASB reactor is described. It results from the integration of the fluid flow pattern in the reactor, the kinetic behavior of the bacteria (where inhibition and limitation were taken into account), and the mass transport phenomena between different compartments and different phases. The mathematical equations underlying the model and describing the important mechanisms were programmed and prepared for computations and simulations by computer. The settler efficiency has to be over 99% to prevent the reactor from wash-out. When the settler efficiency is over 99%, the total sludge content of the reactor increases steadily, so the reactor is hardly ever in a steady state. This implies dynamic modeling. The model is able to predict the various observable and nonobservable or difficult to observe state variables, e.g., the sludge bed height, the sludge blanket concentration, the short-circuiting flows over bed and blanket, and the effluent COD concentration as a function of the hydrodynamic load, COD load, pH, and settler efficiency. The optimal pH value is between 6.0 and 8.0; fatty acid shock loadings are difficult to handle outside this optimal pH range.","container-title":"Biotechnology and Bioengineering","DOI":"10.1002/bit.260281106","ISSN":"0006-3592","issue":"11","journalAbbreviation":"Biotechnol Bioeng","language":"eng","note":"PMID: 18555276","page":"1621-1636","source":"PubMed","title":"An integral dynamic model for the UASB reactor","volume":"28","author":[{"family":"Bolle","given":"W. L."},{"family":"Breugel","given":"J.","non-dropping-particle":"van"},{"family":"Eybergen","given":"G. C.","non-dropping-particle":"van"},{"family":"Kossen","given":"N. W."},{"family":"Gils","given":"W.","non-dropping-particle":"van"}],"issued":{"date-parts":[["1986",11]]}}}],"schema":"https://github.com/citation-style-language/schema/raw/master/csl-citation.json"} </w:instrText>
      </w:r>
      <w:r w:rsidR="00F21C76">
        <w:fldChar w:fldCharType="separate"/>
      </w:r>
      <w:r w:rsidR="00F21C76">
        <w:rPr>
          <w:noProof/>
        </w:rPr>
        <w:t>Bolle et al. (1986)</w:t>
      </w:r>
      <w:r w:rsidR="00F21C76">
        <w:fldChar w:fldCharType="end"/>
      </w:r>
      <w:r w:rsidRPr="00151A24">
        <w:t xml:space="preserve"> and by</w:t>
      </w:r>
      <w:r w:rsidR="00F21C76">
        <w:t xml:space="preserve"> </w:t>
      </w:r>
      <w:r w:rsidR="00F21C76">
        <w:fldChar w:fldCharType="begin"/>
      </w:r>
      <w:r w:rsidR="006E2529">
        <w:instrText xml:space="preserve"> ADDIN ZOTERO_ITEM CSL_CITATION {"citationID":"d8sR1ClS","properties":{"formattedCitation":"(Pontes and Pinto, 2006)","plainCitation":"(Pontes and Pinto, 2006)","dontUpdate":true,"noteIndex":0},"citationItems":[{"id":791,"uris":["http://zotero.org/users/local/GPcrMwRN/items/G9FR55ST"],"itemData":{"id":791,"type":"article-journal","abstract":"The objective of this paper is to develop anaerobic digestion models that integrate features from the kinetics of the process with those from flow (or hydraulic) behavior in modern anaerobic digesters. First, a detailed kinetic model based on the one described in Kalyuzhnyi [S.V. Kalyuzhnyi, Batch anaerobic digestion of glucose and its mathematical modeling. II. Description, verification and application of model, Bioresour. Technol. 59 (1997) 249–258] was modified to account the production of endogenous residue. The two digesters studied in this work are the UASB (upflow anaerobic sludge blanket) and the EGSB (expanded granular sludge bed) reactors. The flow models for those digesters have to take into account the different flow behaviors for the effluent and the sludge. The flow model for the UASB reactor was based on that of Bolle et al. [W.L. Bolle, J. van Breugel, G.C. van Eybergen, N.W.F. Kossen, W. van Gils, Kinetics of anaerobic purification of industrial wastewater, Biotechnol. Bioeng. 28 (1986) 542–548], which was generalized in this work to take into account the volume variations of the reactor sections in non-steady state. The model for the EGSB reactor was developed from the experimental results described in Brito and Melo [A.G. Brito, L.F. Melo, A simplified analysis of reaction and mass transfer in UASB and EGSB reactors, Environ. Technol. 18 (1997) 35–44]. With the kinetic and flow models, integrated models for anaerobic digestion in selected modern anaerobic digesters are developed and validated, and many simulations of these models under different scenarios are described. In particular, the anaerobic digestion in an UASB reactor simulation shows that the volume variations of the sections of this reactor proposed in this work are necessary to accurately describe the behavior of such digester in non-steady state.","container-title":"Chemical Engineering Journal - CHEM ENG J","DOI":"10.1016/j.cej.2006.02.018","journalAbbreviation":"Chemical Engineering Journal - CHEM ENG J","page":"65-80","source":"ResearchGate","title":"Analysis of integrated kinetic and flow models for anaerobic digesters","volume":"122","author":[{"family":"Pontes","given":"Ricardo"},{"family":"Pinto","given":"Jose"}],"issued":{"date-parts":[["2006",9,1]]}}}],"schema":"https://github.com/citation-style-language/schema/raw/master/csl-citation.json"} </w:instrText>
      </w:r>
      <w:r w:rsidR="00F21C76">
        <w:fldChar w:fldCharType="separate"/>
      </w:r>
      <w:r w:rsidR="00F21C76">
        <w:rPr>
          <w:noProof/>
        </w:rPr>
        <w:t>Pontes and Pinto (2006)</w:t>
      </w:r>
      <w:r w:rsidR="00F21C76">
        <w:fldChar w:fldCharType="end"/>
      </w:r>
      <w:r w:rsidRPr="00151A24">
        <w:t>.  In both models the UASB is divided into two CSTRs to describe respectively the bed and the blanket, and one PFR to represent the settler, in which it is assumed that no reactions take place. In the bed there is the presence of dead volume</w:t>
      </w:r>
      <w:r w:rsidR="00447D81" w:rsidRPr="00B177C4">
        <w:t>s</w:t>
      </w:r>
      <w:r w:rsidRPr="00151A24">
        <w:t xml:space="preserve">, while two short circuiting flows are defined. </w:t>
      </w:r>
      <w:r w:rsidR="00447D81" w:rsidRPr="00B177C4">
        <w:t>Consequently, t</w:t>
      </w:r>
      <w:r w:rsidRPr="00151A24">
        <w:t>wo different simulations were performed: the first one (Scenario 1</w:t>
      </w:r>
      <w:r w:rsidR="00B77E80">
        <w:t>, Figure 1a</w:t>
      </w:r>
      <w:r w:rsidRPr="00151A24">
        <w:t>) was done in batch mode, meaning in an ideal situation in which the reactor was assumed to not have input and output flows</w:t>
      </w:r>
      <w:r w:rsidR="00F21C76">
        <w:t xml:space="preserve">; </w:t>
      </w:r>
      <w:r w:rsidRPr="00151A24">
        <w:t>while the second simulation (Scenario 2</w:t>
      </w:r>
      <w:r w:rsidR="00B77E80">
        <w:t>, Figure 1b</w:t>
      </w:r>
      <w:r w:rsidRPr="00151A24">
        <w:t>) the UASB is in continuous mode. The results are represented in Figure 1</w:t>
      </w:r>
      <w:r w:rsidR="00B77E80">
        <w:t>a-b,</w:t>
      </w:r>
      <w:r w:rsidRPr="00151A24">
        <w:t xml:space="preserve"> with the GRANULE trend described by the continuous line, and the literature models expressed by their main values, reported respectively by the red and blue dots.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538"/>
      </w:tblGrid>
      <w:tr w:rsidR="00B177C4" w:rsidRPr="00B177C4" w14:paraId="3E862313" w14:textId="77777777" w:rsidTr="00B177C4">
        <w:tc>
          <w:tcPr>
            <w:tcW w:w="3538" w:type="dxa"/>
          </w:tcPr>
          <w:p w14:paraId="68F82213" w14:textId="59E1DF33" w:rsidR="00B177C4" w:rsidRPr="00B177C4" w:rsidRDefault="007819AE" w:rsidP="00151A24">
            <w:pPr>
              <w:pStyle w:val="Els-body-text"/>
              <w:rPr>
                <w:noProof/>
              </w:rPr>
            </w:pPr>
            <w:r>
              <w:rPr>
                <w:noProof/>
              </w:rPr>
              <mc:AlternateContent>
                <mc:Choice Requires="wps">
                  <w:drawing>
                    <wp:anchor distT="0" distB="0" distL="114300" distR="114300" simplePos="0" relativeHeight="251658240" behindDoc="0" locked="0" layoutInCell="1" allowOverlap="1" wp14:anchorId="493CA03D" wp14:editId="3BEDCDA6">
                      <wp:simplePos x="0" y="0"/>
                      <wp:positionH relativeFrom="column">
                        <wp:posOffset>1757041</wp:posOffset>
                      </wp:positionH>
                      <wp:positionV relativeFrom="paragraph">
                        <wp:posOffset>9864</wp:posOffset>
                      </wp:positionV>
                      <wp:extent cx="335091" cy="272617"/>
                      <wp:effectExtent l="0" t="0" r="0" b="0"/>
                      <wp:wrapNone/>
                      <wp:docPr id="682871845" name="Text Box 682871845"/>
                      <wp:cNvGraphicFramePr/>
                      <a:graphic xmlns:a="http://schemas.openxmlformats.org/drawingml/2006/main">
                        <a:graphicData uri="http://schemas.microsoft.com/office/word/2010/wordprocessingShape">
                          <wps:wsp>
                            <wps:cNvSpPr txBox="1"/>
                            <wps:spPr>
                              <a:xfrm>
                                <a:off x="0" y="0"/>
                                <a:ext cx="335091" cy="272617"/>
                              </a:xfrm>
                              <a:prstGeom prst="rect">
                                <a:avLst/>
                              </a:prstGeom>
                              <a:noFill/>
                              <a:ln w="6350">
                                <a:noFill/>
                              </a:ln>
                            </wps:spPr>
                            <wps:txbx>
                              <w:txbxContent>
                                <w:p w14:paraId="18615A78" w14:textId="05844D19" w:rsidR="007819AE" w:rsidRDefault="007819A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CA03D" id="_x0000_t202" coordsize="21600,21600" o:spt="202" path="m,l,21600r21600,l21600,xe">
                      <v:stroke joinstyle="miter"/>
                      <v:path gradientshapeok="t" o:connecttype="rect"/>
                    </v:shapetype>
                    <v:shape id="Text Box 682871845" o:spid="_x0000_s1026" type="#_x0000_t202" style="position:absolute;left:0;text-align:left;margin-left:138.35pt;margin-top:.8pt;width:26.4pt;height:2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" filled="f" stroked="f" strokeweight=".5pt">
                      <v:textbox>
                        <w:txbxContent>
                          <w:p w14:paraId="18615A78" w14:textId="05844D19" w:rsidR="007819AE" w:rsidRDefault="007819AE">
                            <w:r>
                              <w:t>(a)</w:t>
                            </w:r>
                          </w:p>
                        </w:txbxContent>
                      </v:textbox>
                    </v:shape>
                  </w:pict>
                </mc:Fallback>
              </mc:AlternateContent>
            </w:r>
            <w:r w:rsidR="00B177C4" w:rsidRPr="00B177C4">
              <w:rPr>
                <w:noProof/>
              </w:rPr>
              <w:drawing>
                <wp:inline distT="0" distB="0" distL="0" distR="0" wp14:anchorId="129010B8" wp14:editId="7F36E93A">
                  <wp:extent cx="2089611" cy="1899700"/>
                  <wp:effectExtent l="0" t="0" r="6350" b="5715"/>
                  <wp:docPr id="1857240292" name="Picture 1857240292"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40292" name="Immagine 1" descr="Immagine che contiene testo, linea, diagramma, Diagramma&#10;&#10;Descrizione generata automaticamente"/>
                          <pic:cNvPicPr/>
                        </pic:nvPicPr>
                        <pic:blipFill>
                          <a:blip r:embed="rId8"/>
                          <a:stretch>
                            <a:fillRect/>
                          </a:stretch>
                        </pic:blipFill>
                        <pic:spPr>
                          <a:xfrm>
                            <a:off x="0" y="0"/>
                            <a:ext cx="2153414" cy="1957704"/>
                          </a:xfrm>
                          <a:prstGeom prst="rect">
                            <a:avLst/>
                          </a:prstGeom>
                        </pic:spPr>
                      </pic:pic>
                    </a:graphicData>
                  </a:graphic>
                </wp:inline>
              </w:drawing>
            </w:r>
          </w:p>
        </w:tc>
        <w:tc>
          <w:tcPr>
            <w:tcW w:w="3538" w:type="dxa"/>
          </w:tcPr>
          <w:p w14:paraId="12400ED8" w14:textId="3D5D77A2" w:rsidR="00B177C4" w:rsidRPr="00B177C4" w:rsidRDefault="007819AE" w:rsidP="00151A24">
            <w:pPr>
              <w:pStyle w:val="Els-body-text"/>
              <w:rPr>
                <w:noProof/>
              </w:rPr>
            </w:pPr>
            <w:r>
              <w:rPr>
                <w:noProof/>
              </w:rPr>
              <mc:AlternateContent>
                <mc:Choice Requires="wps">
                  <w:drawing>
                    <wp:anchor distT="0" distB="0" distL="114300" distR="114300" simplePos="0" relativeHeight="251658241" behindDoc="0" locked="0" layoutInCell="1" allowOverlap="1" wp14:anchorId="64B8F920" wp14:editId="50502AB1">
                      <wp:simplePos x="0" y="0"/>
                      <wp:positionH relativeFrom="column">
                        <wp:posOffset>1700140</wp:posOffset>
                      </wp:positionH>
                      <wp:positionV relativeFrom="paragraph">
                        <wp:posOffset>21744</wp:posOffset>
                      </wp:positionV>
                      <wp:extent cx="380526" cy="272617"/>
                      <wp:effectExtent l="0" t="0" r="0" b="0"/>
                      <wp:wrapNone/>
                      <wp:docPr id="1314455404" name="Text Box 1314455404"/>
                      <wp:cNvGraphicFramePr/>
                      <a:graphic xmlns:a="http://schemas.openxmlformats.org/drawingml/2006/main">
                        <a:graphicData uri="http://schemas.microsoft.com/office/word/2010/wordprocessingShape">
                          <wps:wsp>
                            <wps:cNvSpPr txBox="1"/>
                            <wps:spPr>
                              <a:xfrm>
                                <a:off x="0" y="0"/>
                                <a:ext cx="380526" cy="272617"/>
                              </a:xfrm>
                              <a:prstGeom prst="rect">
                                <a:avLst/>
                              </a:prstGeom>
                              <a:noFill/>
                              <a:ln w="6350">
                                <a:noFill/>
                              </a:ln>
                            </wps:spPr>
                            <wps:txbx>
                              <w:txbxContent>
                                <w:p w14:paraId="046B7C7A" w14:textId="5761A16E" w:rsidR="007819AE" w:rsidRDefault="007819AE" w:rsidP="007819A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8F920" id="Text Box 1314455404" o:spid="_x0000_s1027" type="#_x0000_t202" style="position:absolute;left:0;text-align:left;margin-left:133.85pt;margin-top:1.7pt;width:29.95pt;height:2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XFGQIAADI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" filled="f" stroked="f" strokeweight=".5pt">
                      <v:textbox>
                        <w:txbxContent>
                          <w:p w14:paraId="046B7C7A" w14:textId="5761A16E" w:rsidR="007819AE" w:rsidRDefault="007819AE" w:rsidP="007819AE">
                            <w:r>
                              <w:t>(b)</w:t>
                            </w:r>
                          </w:p>
                        </w:txbxContent>
                      </v:textbox>
                    </v:shape>
                  </w:pict>
                </mc:Fallback>
              </mc:AlternateContent>
            </w:r>
            <w:r w:rsidR="00B177C4" w:rsidRPr="00B177C4">
              <w:rPr>
                <w:noProof/>
              </w:rPr>
              <w:drawing>
                <wp:inline distT="0" distB="0" distL="0" distR="0" wp14:anchorId="39A0F0EB" wp14:editId="3D85DE90">
                  <wp:extent cx="2054928" cy="1868170"/>
                  <wp:effectExtent l="0" t="0" r="2540" b="0"/>
                  <wp:docPr id="1530433287" name="Picture 1530433287"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33287" name="Immagine 1" descr="Immagine che contiene testo, linea, diagramma, Diagramma&#10;&#10;Descrizione generata automaticamente"/>
                          <pic:cNvPicPr/>
                        </pic:nvPicPr>
                        <pic:blipFill>
                          <a:blip r:embed="rId9"/>
                          <a:stretch>
                            <a:fillRect/>
                          </a:stretch>
                        </pic:blipFill>
                        <pic:spPr>
                          <a:xfrm>
                            <a:off x="0" y="0"/>
                            <a:ext cx="2097230" cy="1906628"/>
                          </a:xfrm>
                          <a:prstGeom prst="rect">
                            <a:avLst/>
                          </a:prstGeom>
                        </pic:spPr>
                      </pic:pic>
                    </a:graphicData>
                  </a:graphic>
                </wp:inline>
              </w:drawing>
            </w:r>
          </w:p>
        </w:tc>
      </w:tr>
    </w:tbl>
    <w:p w14:paraId="1F422CD4" w14:textId="512A3127" w:rsidR="00151A24" w:rsidRPr="00B177C4" w:rsidRDefault="00151A24" w:rsidP="007C7A3D">
      <w:pPr>
        <w:pStyle w:val="Els-body-text"/>
        <w:spacing w:after="240"/>
      </w:pPr>
      <w:r w:rsidRPr="00151A24">
        <w:rPr>
          <w:b/>
          <w:bCs/>
        </w:rPr>
        <w:t>Figure 1</w:t>
      </w:r>
      <w:r w:rsidR="00B177C4" w:rsidRPr="00B177C4">
        <w:t xml:space="preserve">. </w:t>
      </w:r>
      <w:r w:rsidRPr="00151A24">
        <w:t xml:space="preserve">Effluent substrate </w:t>
      </w:r>
      <w:r w:rsidR="0046611B">
        <w:t>comparison between model (black line)</w:t>
      </w:r>
      <w:r w:rsidRPr="00151A24">
        <w:t xml:space="preserve"> simulation </w:t>
      </w:r>
      <w:r w:rsidR="0046611B">
        <w:t>in</w:t>
      </w:r>
      <w:r w:rsidR="00B177C4" w:rsidRPr="00B177C4">
        <w:t xml:space="preserve"> (a)</w:t>
      </w:r>
      <w:r w:rsidRPr="00151A24">
        <w:t xml:space="preserve"> Scenario 1</w:t>
      </w:r>
      <w:r w:rsidR="00B177C4" w:rsidRPr="00B177C4">
        <w:t xml:space="preserve">, with </w:t>
      </w:r>
      <w:proofErr w:type="spellStart"/>
      <w:r w:rsidR="00B177C4" w:rsidRPr="00B177C4">
        <w:t>Bolle</w:t>
      </w:r>
      <w:proofErr w:type="spellEnd"/>
      <w:r w:rsidR="00B177C4" w:rsidRPr="00B177C4">
        <w:t xml:space="preserve"> et al. (red triangles) and Pinto ed al. (blue squares) data;</w:t>
      </w:r>
      <w:r w:rsidR="00447D81" w:rsidRPr="00B177C4">
        <w:t xml:space="preserve"> and</w:t>
      </w:r>
      <w:r w:rsidR="00B177C4" w:rsidRPr="00B177C4">
        <w:t xml:space="preserve"> (b)</w:t>
      </w:r>
      <w:r w:rsidR="00447D81" w:rsidRPr="00B177C4">
        <w:t xml:space="preserve"> Scenario 2</w:t>
      </w:r>
      <w:r w:rsidR="00B177C4" w:rsidRPr="00B177C4">
        <w:t xml:space="preserve"> with </w:t>
      </w:r>
      <w:r w:rsidR="00127123">
        <w:t>Pinto</w:t>
      </w:r>
      <w:r w:rsidR="00B177C4" w:rsidRPr="00B177C4">
        <w:t xml:space="preserve"> et al. data</w:t>
      </w:r>
      <w:r w:rsidR="007819AE">
        <w:t>.</w:t>
      </w:r>
    </w:p>
    <w:p w14:paraId="3F9A383D" w14:textId="18640C20" w:rsidR="00151A24" w:rsidRPr="00151A24" w:rsidRDefault="007819AE" w:rsidP="007C7A3D">
      <w:pPr>
        <w:pStyle w:val="Els-body-text"/>
        <w:spacing w:after="240"/>
      </w:pPr>
      <w:r>
        <w:t>As is it possible to see, t</w:t>
      </w:r>
      <w:r w:rsidR="00151A24" w:rsidRPr="00151A24">
        <w:t xml:space="preserve">he model adequately </w:t>
      </w:r>
      <w:r w:rsidRPr="00151A24">
        <w:t>describes</w:t>
      </w:r>
      <w:r w:rsidR="00151A24" w:rsidRPr="00151A24">
        <w:t xml:space="preserve"> the trend of both </w:t>
      </w:r>
      <w:r>
        <w:t>the literature models</w:t>
      </w:r>
      <w:r w:rsidR="00151A24" w:rsidRPr="00151A24">
        <w:t xml:space="preserve">, </w:t>
      </w:r>
      <w:r>
        <w:t>with negligible discrepancy</w:t>
      </w:r>
      <w:r w:rsidR="00151A24" w:rsidRPr="00151A24">
        <w:t xml:space="preserve">. This may be due to the differences in the kinetics used in the models. </w:t>
      </w:r>
      <w:r w:rsidR="00B77E80">
        <w:t>Other</w:t>
      </w:r>
      <w:r w:rsidR="000B4CBC">
        <w:t xml:space="preserve"> experimental</w:t>
      </w:r>
      <w:r w:rsidR="00151A24" w:rsidRPr="00151A24">
        <w:t xml:space="preserve"> data set </w:t>
      </w:r>
      <w:r w:rsidR="00B77E80">
        <w:t>were</w:t>
      </w:r>
      <w:r w:rsidR="00151A24" w:rsidRPr="00151A24">
        <w:t xml:space="preserve"> taken from</w:t>
      </w:r>
      <w:r>
        <w:t xml:space="preserve"> the work of</w:t>
      </w:r>
      <w:r w:rsidR="00151A24" w:rsidRPr="00151A24">
        <w:t xml:space="preserve"> </w:t>
      </w:r>
      <w:r w:rsidR="00F21C76">
        <w:fldChar w:fldCharType="begin"/>
      </w:r>
      <w:r w:rsidR="006E2529">
        <w:instrText xml:space="preserve"> ADDIN ZOTERO_ITEM CSL_CITATION {"citationID":"f4QyxQL4","properties":{"formattedCitation":"(Leit\\uc0\\u227{}o et al., 2005)","plainCitation":"(Leitão et al., 2005)","dontUpdate":true,"noteIndex":0},"citationItems":[{"id":785,"uris":["http://zotero.org/users/local/GPcrMwRN/items/Q8R327E9"],"itemData":{"id":785,"type":"article-journal","abstract":"In this investigation, the performance of Upflow Anaerobic Sludge Blanket (UASB) reactors treating municipal wastewater was evaluated on the basis of: (i) COD removal efficiency, (ii) effluent variability, and (iii) pH stability. The experiments were performed using 8 pilot-scale UASB reactors (120 L) from which some of them were operated with different influent COD (CODInf ranging from 92 to 816 mg/L) and some at different hydraulic retention time (HRT ranging from 1 to 6 h). The results show that decreasing the CODInf, or lowering the HRT, leads to decreased efficiencies and increased effluent variability. During this experiment, the reactors could treat efficiently sewage with concentration as low as 200 mg COD/L. They could also be operated satisfactorily at an HRT as low as 2 hours, without problems of operational stability. The maximum COD removal efficiency can be achieved at CODInf exceeding 300 mg/L and HRT of 6h.","container-title":"Water Science and Technology: A Journal of the International Association on Water Pollution Research","ISSN":"0273-1223","issue":"1-2","journalAbbreviation":"Water Sci Technol","language":"eng","note":"PMID: 16180442","page":"299-305","source":"PubMed","title":"The effect of operational conditions on the performance of UASB reactors for domestic wastewater treatment","volume":"52","author":[{"family":"Leitão","given":"R. C."},{"family":"Silva-Filho","given":"J. A."},{"family":"Sanders","given":"W."},{"family":"Haandel","given":"A. C.","non-dropping-particle":"van"},{"family":"Zeeman","given":"G."},{"family":"Lettinga","given":"G."}],"issued":{"date-parts":[["2005"]]}}}],"schema":"https://github.com/citation-style-language/schema/raw/master/csl-citation.json"} </w:instrText>
      </w:r>
      <w:r w:rsidR="00F21C76">
        <w:fldChar w:fldCharType="separate"/>
      </w:r>
      <w:r w:rsidR="00F21C76" w:rsidRPr="00F21C76">
        <w:t xml:space="preserve">Leitão et al., </w:t>
      </w:r>
      <w:r w:rsidR="00F21C76">
        <w:t>(</w:t>
      </w:r>
      <w:r w:rsidR="00F21C76" w:rsidRPr="00F21C76">
        <w:t>2005)</w:t>
      </w:r>
      <w:r w:rsidR="00F21C76">
        <w:fldChar w:fldCharType="end"/>
      </w:r>
      <w:r w:rsidR="00B77E80">
        <w:t>, and</w:t>
      </w:r>
      <w:r w:rsidRPr="00151A24">
        <w:t xml:space="preserve"> from </w:t>
      </w:r>
      <w:r w:rsidR="00F21C76">
        <w:fldChar w:fldCharType="begin"/>
      </w:r>
      <w:r w:rsidR="006E2529">
        <w:instrText xml:space="preserve"> ADDIN ZOTERO_ITEM CSL_CITATION {"citationID":"bF20Snqi","properties":{"formattedCitation":"(Shanmugam and Akunna, 2008)","plainCitation":"(Shanmugam and Akunna, 2008)","dontUpdate":true,"noteIndex":0},"citationItems":[{"id":787,"uris":["http://zotero.org/users/local/GPcrMwRN/items/37EYC7BY"],"itemData":{"id":787,"type":"article-journal","abstract":"Anaerobic technologies have proved successful in the treatment of various high strength wastewaters with perceptible advantages over aerobic systems. The applicability of anaerobic processes to treat low strength wastewaters has been increasing with the evolution of high-rate reactors capable of achieving high sludge retention time (SRT) when operating at low HRT. However, the performance of these systems can be affected by high variations in flow and wastewater composition. This paper reports on the comparative study carried out with two such high rate reactors systems to evaluate their performances when used for the treatment of low strength wastewaters at high hydraulic rates. One of the two systems is the most commonly used upflow anaerobic sludge blanket (UASB) reactor in which all reactions occur within a single vessel. The other is the granular bed baffled reactor (GRABBR) that encourages different stages of anaerobic digestion in separate vessels longitudinally across the reactor. The reactors, with equal capacity of 10 litres, were subjected to increasing organic loading rates (OLRs) and hydraulic retention times (HRTs) of up to 60 kg COD m(-3) d(-1) and 1 h respectively. Results show that the GRABBR has greater processes stability at relatively low HRTs, whilst the UASB seems to be better equipped to cope with organic overloads or shockloads. The study also shows that the GRABBR enables the harvesting of biogas with greater energetic value and hence greater re-use potential than the UASB. Biogas of up to 86% methane content is obtainable with GRABBR treating low strength wastewaters.","container-title":"Water Science and Technology: A Journal of the International Association on Water Pollution Research","DOI":"10.2166/wst.2008.338","ISSN":"0273-1223","issue":"1","journalAbbreviation":"Water Sci Technol","language":"eng","note":"PMID: 18653958","page":"225-232","source":"PubMed","title":"Comparing the performance of UASB and GRABBR treating low strength wastewaters","volume":"58","author":[{"family":"Shanmugam","given":"A. S."},{"family":"Akunna","given":"J. C."}],"issued":{"date-parts":[["2008"]]}}}],"schema":"https://github.com/citation-style-language/schema/raw/master/csl-citation.json"} </w:instrText>
      </w:r>
      <w:r w:rsidR="00F21C76">
        <w:fldChar w:fldCharType="separate"/>
      </w:r>
      <w:r w:rsidR="00F21C76">
        <w:rPr>
          <w:noProof/>
        </w:rPr>
        <w:t>Shanmugam and Akunna (2008)</w:t>
      </w:r>
      <w:r w:rsidR="00F21C76">
        <w:fldChar w:fldCharType="end"/>
      </w:r>
      <w:r w:rsidR="00B77E80">
        <w:t>; which comparison is shown in Figure 2a and 2b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538"/>
      </w:tblGrid>
      <w:tr w:rsidR="007E742D" w14:paraId="2FFEE347" w14:textId="77777777" w:rsidTr="007E742D">
        <w:tc>
          <w:tcPr>
            <w:tcW w:w="3538" w:type="dxa"/>
          </w:tcPr>
          <w:p w14:paraId="773C28B0" w14:textId="204C9F2B" w:rsidR="00B77E80" w:rsidRDefault="0046611B" w:rsidP="00151A24">
            <w:pPr>
              <w:pStyle w:val="Els-body-text"/>
            </w:pPr>
            <w:r>
              <w:rPr>
                <w:noProof/>
              </w:rPr>
              <mc:AlternateContent>
                <mc:Choice Requires="wps">
                  <w:drawing>
                    <wp:anchor distT="0" distB="0" distL="114300" distR="114300" simplePos="0" relativeHeight="251658242" behindDoc="0" locked="0" layoutInCell="1" allowOverlap="1" wp14:anchorId="6D6B3CBE" wp14:editId="480F975F">
                      <wp:simplePos x="0" y="0"/>
                      <wp:positionH relativeFrom="column">
                        <wp:posOffset>1607465</wp:posOffset>
                      </wp:positionH>
                      <wp:positionV relativeFrom="paragraph">
                        <wp:posOffset>-42411</wp:posOffset>
                      </wp:positionV>
                      <wp:extent cx="334645" cy="272415"/>
                      <wp:effectExtent l="0" t="0" r="0" b="0"/>
                      <wp:wrapNone/>
                      <wp:docPr id="495461520" name="Text Box 495461520"/>
                      <wp:cNvGraphicFramePr/>
                      <a:graphic xmlns:a="http://schemas.openxmlformats.org/drawingml/2006/main">
                        <a:graphicData uri="http://schemas.microsoft.com/office/word/2010/wordprocessingShape">
                          <wps:wsp>
                            <wps:cNvSpPr txBox="1"/>
                            <wps:spPr>
                              <a:xfrm>
                                <a:off x="0" y="0"/>
                                <a:ext cx="334645" cy="272415"/>
                              </a:xfrm>
                              <a:prstGeom prst="rect">
                                <a:avLst/>
                              </a:prstGeom>
                              <a:noFill/>
                              <a:ln w="6350">
                                <a:noFill/>
                              </a:ln>
                            </wps:spPr>
                            <wps:txbx>
                              <w:txbxContent>
                                <w:p w14:paraId="2899E9D1" w14:textId="77777777" w:rsidR="007E742D" w:rsidRDefault="007E742D" w:rsidP="007E742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3CBE" id="Text Box 495461520" o:spid="_x0000_s1028" type="#_x0000_t202" style="position:absolute;left:0;text-align:left;margin-left:126.55pt;margin-top:-3.35pt;width:26.35pt;height:2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" filled="f" stroked="f" strokeweight=".5pt">
                      <v:textbox>
                        <w:txbxContent>
                          <w:p w14:paraId="2899E9D1" w14:textId="77777777" w:rsidR="007E742D" w:rsidRDefault="007E742D" w:rsidP="007E742D">
                            <w:r>
                              <w:t>(a)</w:t>
                            </w:r>
                          </w:p>
                        </w:txbxContent>
                      </v:textbox>
                    </v:shape>
                  </w:pict>
                </mc:Fallback>
              </mc:AlternateContent>
            </w:r>
            <w:r w:rsidR="00B77E80" w:rsidRPr="00B77E80">
              <w:rPr>
                <w:noProof/>
              </w:rPr>
              <w:drawing>
                <wp:inline distT="0" distB="0" distL="0" distR="0" wp14:anchorId="1BA1944E" wp14:editId="48AAA72E">
                  <wp:extent cx="1885595" cy="1714226"/>
                  <wp:effectExtent l="0" t="0" r="0" b="635"/>
                  <wp:docPr id="735206903" name="Picture 73520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06903" name=""/>
                          <pic:cNvPicPr/>
                        </pic:nvPicPr>
                        <pic:blipFill>
                          <a:blip r:embed="rId10"/>
                          <a:stretch>
                            <a:fillRect/>
                          </a:stretch>
                        </pic:blipFill>
                        <pic:spPr>
                          <a:xfrm>
                            <a:off x="0" y="0"/>
                            <a:ext cx="1951403" cy="1774054"/>
                          </a:xfrm>
                          <a:prstGeom prst="rect">
                            <a:avLst/>
                          </a:prstGeom>
                        </pic:spPr>
                      </pic:pic>
                    </a:graphicData>
                  </a:graphic>
                </wp:inline>
              </w:drawing>
            </w:r>
          </w:p>
        </w:tc>
        <w:tc>
          <w:tcPr>
            <w:tcW w:w="3538" w:type="dxa"/>
          </w:tcPr>
          <w:p w14:paraId="59F1E584" w14:textId="15D24C17" w:rsidR="00B77E80" w:rsidRDefault="0046611B" w:rsidP="00151A24">
            <w:pPr>
              <w:pStyle w:val="Els-body-text"/>
            </w:pPr>
            <w:r>
              <w:rPr>
                <w:noProof/>
              </w:rPr>
              <mc:AlternateContent>
                <mc:Choice Requires="wps">
                  <w:drawing>
                    <wp:anchor distT="0" distB="0" distL="114300" distR="114300" simplePos="0" relativeHeight="251658243" behindDoc="0" locked="0" layoutInCell="1" allowOverlap="1" wp14:anchorId="7684174E" wp14:editId="6DE872DA">
                      <wp:simplePos x="0" y="0"/>
                      <wp:positionH relativeFrom="column">
                        <wp:posOffset>1576208</wp:posOffset>
                      </wp:positionH>
                      <wp:positionV relativeFrom="paragraph">
                        <wp:posOffset>-59378</wp:posOffset>
                      </wp:positionV>
                      <wp:extent cx="380365" cy="272415"/>
                      <wp:effectExtent l="0" t="0" r="0" b="0"/>
                      <wp:wrapNone/>
                      <wp:docPr id="1279716660" name="Text Box 1279716660"/>
                      <wp:cNvGraphicFramePr/>
                      <a:graphic xmlns:a="http://schemas.openxmlformats.org/drawingml/2006/main">
                        <a:graphicData uri="http://schemas.microsoft.com/office/word/2010/wordprocessingShape">
                          <wps:wsp>
                            <wps:cNvSpPr txBox="1"/>
                            <wps:spPr>
                              <a:xfrm>
                                <a:off x="0" y="0"/>
                                <a:ext cx="380365" cy="272415"/>
                              </a:xfrm>
                              <a:prstGeom prst="rect">
                                <a:avLst/>
                              </a:prstGeom>
                              <a:noFill/>
                              <a:ln w="6350">
                                <a:noFill/>
                              </a:ln>
                            </wps:spPr>
                            <wps:txbx>
                              <w:txbxContent>
                                <w:p w14:paraId="5FFF11B0" w14:textId="77777777" w:rsidR="007E742D" w:rsidRDefault="007E742D" w:rsidP="007E742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174E" id="Text Box 1279716660" o:spid="_x0000_s1029" type="#_x0000_t202" style="position:absolute;left:0;text-align:left;margin-left:124.1pt;margin-top:-4.7pt;width:29.95pt;height:21.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qcGgIAADI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" filled="f" stroked="f" strokeweight=".5pt">
                      <v:textbox>
                        <w:txbxContent>
                          <w:p w14:paraId="5FFF11B0" w14:textId="77777777" w:rsidR="007E742D" w:rsidRDefault="007E742D" w:rsidP="007E742D">
                            <w:r>
                              <w:t>(b)</w:t>
                            </w:r>
                          </w:p>
                        </w:txbxContent>
                      </v:textbox>
                    </v:shape>
                  </w:pict>
                </mc:Fallback>
              </mc:AlternateContent>
            </w:r>
            <w:r w:rsidR="007E742D" w:rsidRPr="007E742D">
              <w:rPr>
                <w:noProof/>
              </w:rPr>
              <w:drawing>
                <wp:inline distT="0" distB="0" distL="0" distR="0" wp14:anchorId="627C90B4" wp14:editId="2FC09919">
                  <wp:extent cx="1885200" cy="1713865"/>
                  <wp:effectExtent l="0" t="0" r="0" b="635"/>
                  <wp:docPr id="1654360812" name="Picture 165436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60812" name=""/>
                          <pic:cNvPicPr/>
                        </pic:nvPicPr>
                        <pic:blipFill>
                          <a:blip r:embed="rId11"/>
                          <a:stretch>
                            <a:fillRect/>
                          </a:stretch>
                        </pic:blipFill>
                        <pic:spPr>
                          <a:xfrm>
                            <a:off x="0" y="0"/>
                            <a:ext cx="1951212" cy="1773878"/>
                          </a:xfrm>
                          <a:prstGeom prst="rect">
                            <a:avLst/>
                          </a:prstGeom>
                        </pic:spPr>
                      </pic:pic>
                    </a:graphicData>
                  </a:graphic>
                </wp:inline>
              </w:drawing>
            </w:r>
          </w:p>
        </w:tc>
      </w:tr>
    </w:tbl>
    <w:p w14:paraId="1A6C5B66" w14:textId="45A4C428" w:rsidR="00151A24" w:rsidRDefault="00151A24" w:rsidP="007C7A3D">
      <w:pPr>
        <w:pStyle w:val="Els-body-text"/>
        <w:spacing w:after="240"/>
      </w:pPr>
      <w:r w:rsidRPr="00151A24">
        <w:rPr>
          <w:b/>
          <w:bCs/>
        </w:rPr>
        <w:t xml:space="preserve">Figure </w:t>
      </w:r>
      <w:r w:rsidR="00B77E80" w:rsidRPr="00B77E80">
        <w:rPr>
          <w:b/>
          <w:bCs/>
        </w:rPr>
        <w:t>2</w:t>
      </w:r>
      <w:r w:rsidR="00B77E80">
        <w:t>.</w:t>
      </w:r>
      <w:r w:rsidRPr="00151A24">
        <w:t xml:space="preserve"> Results of </w:t>
      </w:r>
      <w:r w:rsidR="00DB78EE">
        <w:t xml:space="preserve">comparison </w:t>
      </w:r>
      <w:r w:rsidR="007E742D">
        <w:t xml:space="preserve">of model (line with mark) </w:t>
      </w:r>
      <w:r w:rsidR="00DB78EE">
        <w:t xml:space="preserve">with </w:t>
      </w:r>
      <w:r w:rsidR="00FE23F0">
        <w:t>ex</w:t>
      </w:r>
      <w:r w:rsidR="00A84036">
        <w:t xml:space="preserve">perimental data from </w:t>
      </w:r>
      <w:r w:rsidR="00DB78EE">
        <w:t xml:space="preserve">(a) </w:t>
      </w:r>
      <w:proofErr w:type="spellStart"/>
      <w:r w:rsidR="00DB78EE">
        <w:t>Leitao</w:t>
      </w:r>
      <w:proofErr w:type="spellEnd"/>
      <w:r w:rsidR="00DB78EE">
        <w:t xml:space="preserve"> et al. and (b) </w:t>
      </w:r>
      <w:r w:rsidR="00DB78EE" w:rsidRPr="00151A24">
        <w:t xml:space="preserve">Shanmugam &amp; </w:t>
      </w:r>
      <w:proofErr w:type="spellStart"/>
      <w:r w:rsidR="00DB78EE" w:rsidRPr="00151A24">
        <w:t>Akunna</w:t>
      </w:r>
      <w:proofErr w:type="spellEnd"/>
      <w:r w:rsidR="00DB78EE">
        <w:t xml:space="preserve"> data</w:t>
      </w:r>
      <w:r w:rsidR="007E742D">
        <w:t xml:space="preserve"> (red triangles)</w:t>
      </w:r>
      <w:r w:rsidR="00DB78EE">
        <w:t>.</w:t>
      </w:r>
    </w:p>
    <w:p w14:paraId="2E72F0D4" w14:textId="59CECD28" w:rsidR="007E742D" w:rsidRDefault="007E742D" w:rsidP="00151A24">
      <w:pPr>
        <w:pStyle w:val="Els-body-text"/>
      </w:pPr>
      <w:r>
        <w:t>As it is possible to see, the</w:t>
      </w:r>
      <w:r w:rsidR="00151A24" w:rsidRPr="00151A24">
        <w:t xml:space="preserve"> model adequately </w:t>
      </w:r>
      <w:r w:rsidR="0046611B" w:rsidRPr="00151A24">
        <w:t>describes</w:t>
      </w:r>
      <w:r w:rsidR="00151A24" w:rsidRPr="00151A24">
        <w:t xml:space="preserve"> methane production</w:t>
      </w:r>
      <w:r>
        <w:t xml:space="preserve"> too</w:t>
      </w:r>
      <w:r w:rsidR="00151A24" w:rsidRPr="00151A24">
        <w:t xml:space="preserve">. It is possible to </w:t>
      </w:r>
      <w:r>
        <w:t>confirm</w:t>
      </w:r>
      <w:r w:rsidR="00151A24" w:rsidRPr="00151A24">
        <w:t xml:space="preserve"> that in all cases, the model </w:t>
      </w:r>
      <w:r w:rsidRPr="00151A24">
        <w:t>can</w:t>
      </w:r>
      <w:r w:rsidR="00151A24" w:rsidRPr="00151A24">
        <w:t xml:space="preserve"> describe properly the trends delineated by the experimental data.</w:t>
      </w:r>
    </w:p>
    <w:p w14:paraId="109CB4F0" w14:textId="1E496F76" w:rsidR="007E742D" w:rsidRDefault="007E742D" w:rsidP="007E742D">
      <w:pPr>
        <w:pStyle w:val="Els-1storder-head"/>
      </w:pPr>
      <w:r>
        <w:t>Conclusions</w:t>
      </w:r>
    </w:p>
    <w:p w14:paraId="4C5A8E1D" w14:textId="00A007E9" w:rsidR="0009338E" w:rsidRDefault="007C7A3D" w:rsidP="00B3348E">
      <w:pPr>
        <w:pStyle w:val="Els-body-text"/>
      </w:pPr>
      <w:r w:rsidRPr="007C7A3D">
        <w:t>This work successfully</w:t>
      </w:r>
      <w:r w:rsidR="003042E1">
        <w:t xml:space="preserve"> brings to</w:t>
      </w:r>
      <w:r w:rsidRPr="007C7A3D">
        <w:t xml:space="preserve"> </w:t>
      </w:r>
      <w:r w:rsidR="003042E1">
        <w:t xml:space="preserve">the </w:t>
      </w:r>
      <w:r w:rsidRPr="007C7A3D">
        <w:t>develop</w:t>
      </w:r>
      <w:r w:rsidR="003042E1">
        <w:t>ment of</w:t>
      </w:r>
      <w:r w:rsidRPr="007C7A3D">
        <w:t xml:space="preserve"> a dynamic UASB reactor model</w:t>
      </w:r>
      <w:r w:rsidR="00734C98">
        <w:t xml:space="preserve">, </w:t>
      </w:r>
      <w:r w:rsidR="0009338E">
        <w:t>which has</w:t>
      </w:r>
      <w:r w:rsidR="00B3348E">
        <w:t xml:space="preserve"> a significantly low computational time, and correctly describe the dynamics of an extremely complex process, despite its</w:t>
      </w:r>
      <w:r w:rsidR="003042E1">
        <w:t xml:space="preserve"> </w:t>
      </w:r>
      <w:r w:rsidR="00B3348E">
        <w:t>simplicity.</w:t>
      </w:r>
      <w:r w:rsidRPr="007C7A3D">
        <w:t xml:space="preserve"> </w:t>
      </w:r>
      <w:r w:rsidR="0009338E">
        <w:t>As confirmation to this, comparison done with simulation and experimental data from the literature has been made, bringing successful results.</w:t>
      </w:r>
    </w:p>
    <w:p w14:paraId="496B01F8" w14:textId="3CEF88A9" w:rsidR="00151A24" w:rsidRPr="00B177C4" w:rsidRDefault="007C7A3D" w:rsidP="00B3348E">
      <w:pPr>
        <w:pStyle w:val="Els-body-text"/>
      </w:pPr>
      <w:r w:rsidRPr="007C7A3D">
        <w:t xml:space="preserve">However, improvements are suggested, such as refining lumped kinetics to distinguish substrate types and bacterial species. Specifically, modeling volatile fatty acids and differentiating microbial species (acidogenic, acetogenic, and methanogenic) would enhance </w:t>
      </w:r>
      <w:r>
        <w:t xml:space="preserve">its </w:t>
      </w:r>
      <w:r w:rsidRPr="007C7A3D">
        <w:t>accuracy. For kinetic parameters, calibration using more data and regression analysis is proposed</w:t>
      </w:r>
      <w:r>
        <w:t>, since here phenomenological approach have been used</w:t>
      </w:r>
      <w:r w:rsidRPr="007C7A3D">
        <w:t xml:space="preserve">. Despite these </w:t>
      </w:r>
      <w:r>
        <w:t xml:space="preserve">possible </w:t>
      </w:r>
      <w:r w:rsidRPr="007C7A3D">
        <w:t>enhancement</w:t>
      </w:r>
      <w:r>
        <w:t>s</w:t>
      </w:r>
      <w:r w:rsidRPr="007C7A3D">
        <w:t xml:space="preserve">, the presented work marks </w:t>
      </w:r>
      <w:r>
        <w:t xml:space="preserve">great </w:t>
      </w:r>
      <w:r w:rsidRPr="007C7A3D">
        <w:t>progress in modeling UASB reactors, with the potential to become a valuable tool in wastewater treatment</w:t>
      </w:r>
      <w:r>
        <w:t>.</w:t>
      </w:r>
    </w:p>
    <w:p w14:paraId="00F819BE" w14:textId="580EF591" w:rsidR="006E2529" w:rsidRPr="006E2529" w:rsidRDefault="008D2649" w:rsidP="006E2529">
      <w:pPr>
        <w:pStyle w:val="Els-reference-head"/>
      </w:pPr>
      <w:r w:rsidRPr="00B177C4">
        <w:t>References</w:t>
      </w:r>
    </w:p>
    <w:p w14:paraId="3D59BEEE" w14:textId="77777777" w:rsidR="00437BBB" w:rsidRPr="00437BBB" w:rsidRDefault="00184311">
      <w:pPr>
        <w:widowControl w:val="0"/>
        <w:autoSpaceDE w:val="0"/>
        <w:autoSpaceDN w:val="0"/>
        <w:adjustRightInd w:val="0"/>
        <w:rPr>
          <w:sz w:val="18"/>
        </w:rPr>
      </w:pPr>
      <w:r>
        <w:fldChar w:fldCharType="begin"/>
      </w:r>
      <w:r w:rsidR="00437BBB">
        <w:rPr>
          <w:lang w:val="it-IT"/>
        </w:rPr>
        <w:instrText xml:space="preserve"> ADDIN ZOTERO_BIBL {"uncited":[],"omitted":[],"custom":[]} CSL_BIBLIOGRAPHY </w:instrText>
      </w:r>
      <w:r>
        <w:fldChar w:fldCharType="separate"/>
      </w:r>
      <w:r w:rsidR="00437BBB" w:rsidRPr="00437BBB">
        <w:rPr>
          <w:sz w:val="18"/>
          <w:lang w:val="it-IT"/>
        </w:rPr>
        <w:t xml:space="preserve">Boiocchi, R., Zhang, Q., Gao, M., </w:t>
      </w:r>
      <w:proofErr w:type="spellStart"/>
      <w:r w:rsidR="00437BBB" w:rsidRPr="00437BBB">
        <w:rPr>
          <w:sz w:val="18"/>
          <w:lang w:val="it-IT"/>
        </w:rPr>
        <w:t>Liu</w:t>
      </w:r>
      <w:proofErr w:type="spellEnd"/>
      <w:r w:rsidR="00437BBB" w:rsidRPr="00437BBB">
        <w:rPr>
          <w:sz w:val="18"/>
          <w:lang w:val="it-IT"/>
        </w:rPr>
        <w:t xml:space="preserve">, Y., 2022. </w:t>
      </w:r>
      <w:proofErr w:type="spellStart"/>
      <w:r w:rsidR="00437BBB" w:rsidRPr="00437BBB">
        <w:rPr>
          <w:sz w:val="18"/>
        </w:rPr>
        <w:t>Modeling</w:t>
      </w:r>
      <w:proofErr w:type="spellEnd"/>
      <w:r w:rsidR="00437BBB" w:rsidRPr="00437BBB">
        <w:rPr>
          <w:sz w:val="18"/>
        </w:rPr>
        <w:t xml:space="preserve"> and optimization of an upflow anaerobic sludge blanket (UASB) system treating blackwaters. J. Environ. Chem. Eng. 10, 107614. https://doi.org/10.1016/j.jece.2022.107614</w:t>
      </w:r>
    </w:p>
    <w:p w14:paraId="36FE80C9" w14:textId="77777777" w:rsidR="00437BBB" w:rsidRPr="00437BBB" w:rsidRDefault="00437BBB">
      <w:pPr>
        <w:widowControl w:val="0"/>
        <w:autoSpaceDE w:val="0"/>
        <w:autoSpaceDN w:val="0"/>
        <w:adjustRightInd w:val="0"/>
        <w:rPr>
          <w:sz w:val="18"/>
        </w:rPr>
      </w:pPr>
      <w:proofErr w:type="spellStart"/>
      <w:r w:rsidRPr="00437BBB">
        <w:rPr>
          <w:sz w:val="18"/>
        </w:rPr>
        <w:t>Bolle</w:t>
      </w:r>
      <w:proofErr w:type="spellEnd"/>
      <w:r w:rsidRPr="00437BBB">
        <w:rPr>
          <w:sz w:val="18"/>
        </w:rPr>
        <w:t xml:space="preserve">, W.L., van </w:t>
      </w:r>
      <w:proofErr w:type="spellStart"/>
      <w:r w:rsidRPr="00437BBB">
        <w:rPr>
          <w:sz w:val="18"/>
        </w:rPr>
        <w:t>Breugel</w:t>
      </w:r>
      <w:proofErr w:type="spellEnd"/>
      <w:r w:rsidRPr="00437BBB">
        <w:rPr>
          <w:sz w:val="18"/>
        </w:rPr>
        <w:t xml:space="preserve">, J., van </w:t>
      </w:r>
      <w:proofErr w:type="spellStart"/>
      <w:r w:rsidRPr="00437BBB">
        <w:rPr>
          <w:sz w:val="18"/>
        </w:rPr>
        <w:t>Eybergen</w:t>
      </w:r>
      <w:proofErr w:type="spellEnd"/>
      <w:r w:rsidRPr="00437BBB">
        <w:rPr>
          <w:sz w:val="18"/>
        </w:rPr>
        <w:t xml:space="preserve">, G.C., </w:t>
      </w:r>
      <w:proofErr w:type="spellStart"/>
      <w:r w:rsidRPr="00437BBB">
        <w:rPr>
          <w:sz w:val="18"/>
        </w:rPr>
        <w:t>Kossen</w:t>
      </w:r>
      <w:proofErr w:type="spellEnd"/>
      <w:r w:rsidRPr="00437BBB">
        <w:rPr>
          <w:sz w:val="18"/>
        </w:rPr>
        <w:t xml:space="preserve">, N.W., van Gils, W., 1986. An integral dynamic model for the UASB reactor. </w:t>
      </w:r>
      <w:proofErr w:type="spellStart"/>
      <w:r w:rsidRPr="00437BBB">
        <w:rPr>
          <w:sz w:val="18"/>
        </w:rPr>
        <w:t>Biotechnol</w:t>
      </w:r>
      <w:proofErr w:type="spellEnd"/>
      <w:r w:rsidRPr="00437BBB">
        <w:rPr>
          <w:sz w:val="18"/>
        </w:rPr>
        <w:t xml:space="preserve">. </w:t>
      </w:r>
      <w:proofErr w:type="spellStart"/>
      <w:r w:rsidRPr="00437BBB">
        <w:rPr>
          <w:sz w:val="18"/>
        </w:rPr>
        <w:t>Bioeng</w:t>
      </w:r>
      <w:proofErr w:type="spellEnd"/>
      <w:r w:rsidRPr="00437BBB">
        <w:rPr>
          <w:sz w:val="18"/>
        </w:rPr>
        <w:t>. 28, 1621–1636. https://doi.org/10.1002/bit.260281106</w:t>
      </w:r>
    </w:p>
    <w:p w14:paraId="5C9F6E11" w14:textId="77777777" w:rsidR="00437BBB" w:rsidRPr="00437BBB" w:rsidRDefault="00437BBB">
      <w:pPr>
        <w:widowControl w:val="0"/>
        <w:autoSpaceDE w:val="0"/>
        <w:autoSpaceDN w:val="0"/>
        <w:adjustRightInd w:val="0"/>
        <w:rPr>
          <w:sz w:val="18"/>
        </w:rPr>
      </w:pPr>
      <w:proofErr w:type="spellStart"/>
      <w:r w:rsidRPr="00437BBB">
        <w:rPr>
          <w:sz w:val="18"/>
        </w:rPr>
        <w:t>Leitão</w:t>
      </w:r>
      <w:proofErr w:type="spellEnd"/>
      <w:r w:rsidRPr="00437BBB">
        <w:rPr>
          <w:sz w:val="18"/>
        </w:rPr>
        <w:t xml:space="preserve">, R.C., Silva-Filho, J.A., Sanders, W., van </w:t>
      </w:r>
      <w:proofErr w:type="spellStart"/>
      <w:r w:rsidRPr="00437BBB">
        <w:rPr>
          <w:sz w:val="18"/>
        </w:rPr>
        <w:t>Haandel</w:t>
      </w:r>
      <w:proofErr w:type="spellEnd"/>
      <w:r w:rsidRPr="00437BBB">
        <w:rPr>
          <w:sz w:val="18"/>
        </w:rPr>
        <w:t xml:space="preserve">, A.C., Zeeman, G., </w:t>
      </w:r>
      <w:proofErr w:type="spellStart"/>
      <w:r w:rsidRPr="00437BBB">
        <w:rPr>
          <w:sz w:val="18"/>
        </w:rPr>
        <w:t>Lettinga</w:t>
      </w:r>
      <w:proofErr w:type="spellEnd"/>
      <w:r w:rsidRPr="00437BBB">
        <w:rPr>
          <w:sz w:val="18"/>
        </w:rPr>
        <w:t xml:space="preserve">, G., 2005. The effect of operational conditions on the performance of UASB reactors for domestic wastewater treatment. Water Sci. Technol. J. Int. Assoc. Water </w:t>
      </w:r>
      <w:proofErr w:type="spellStart"/>
      <w:r w:rsidRPr="00437BBB">
        <w:rPr>
          <w:sz w:val="18"/>
        </w:rPr>
        <w:t>Pollut</w:t>
      </w:r>
      <w:proofErr w:type="spellEnd"/>
      <w:r w:rsidRPr="00437BBB">
        <w:rPr>
          <w:sz w:val="18"/>
        </w:rPr>
        <w:t>. Res. 52, 299–305.</w:t>
      </w:r>
    </w:p>
    <w:p w14:paraId="6B4E7437" w14:textId="77777777" w:rsidR="00437BBB" w:rsidRPr="00437BBB" w:rsidRDefault="00437BBB">
      <w:pPr>
        <w:widowControl w:val="0"/>
        <w:autoSpaceDE w:val="0"/>
        <w:autoSpaceDN w:val="0"/>
        <w:adjustRightInd w:val="0"/>
        <w:rPr>
          <w:sz w:val="18"/>
        </w:rPr>
      </w:pPr>
      <w:proofErr w:type="spellStart"/>
      <w:r w:rsidRPr="00437BBB">
        <w:rPr>
          <w:sz w:val="18"/>
        </w:rPr>
        <w:t>Mainardis</w:t>
      </w:r>
      <w:proofErr w:type="spellEnd"/>
      <w:r w:rsidRPr="00437BBB">
        <w:rPr>
          <w:sz w:val="18"/>
        </w:rPr>
        <w:t xml:space="preserve">, M., </w:t>
      </w:r>
      <w:proofErr w:type="spellStart"/>
      <w:r w:rsidRPr="00437BBB">
        <w:rPr>
          <w:sz w:val="18"/>
        </w:rPr>
        <w:t>Buttazzoni</w:t>
      </w:r>
      <w:proofErr w:type="spellEnd"/>
      <w:r w:rsidRPr="00437BBB">
        <w:rPr>
          <w:sz w:val="18"/>
        </w:rPr>
        <w:t xml:space="preserve">, M., </w:t>
      </w:r>
      <w:proofErr w:type="spellStart"/>
      <w:r w:rsidRPr="00437BBB">
        <w:rPr>
          <w:sz w:val="18"/>
        </w:rPr>
        <w:t>Goi</w:t>
      </w:r>
      <w:proofErr w:type="spellEnd"/>
      <w:r w:rsidRPr="00437BBB">
        <w:rPr>
          <w:sz w:val="18"/>
        </w:rPr>
        <w:t>, D., 2020. Up-Flow Anaerobic Sludge Blanket (UASB) Technology for Energy Recovery: A Review on State-of-the-Art and Recent Technological Advances. Bioengineering 7, 43. https://doi.org/10.3390/bioengineering7020043</w:t>
      </w:r>
    </w:p>
    <w:p w14:paraId="3BCD4D5A" w14:textId="77777777" w:rsidR="00437BBB" w:rsidRPr="00437BBB" w:rsidRDefault="00437BBB">
      <w:pPr>
        <w:widowControl w:val="0"/>
        <w:autoSpaceDE w:val="0"/>
        <w:autoSpaceDN w:val="0"/>
        <w:adjustRightInd w:val="0"/>
        <w:rPr>
          <w:sz w:val="18"/>
        </w:rPr>
      </w:pPr>
      <w:proofErr w:type="spellStart"/>
      <w:r w:rsidRPr="00437BBB">
        <w:rPr>
          <w:sz w:val="18"/>
        </w:rPr>
        <w:t>Michalopoulos</w:t>
      </w:r>
      <w:proofErr w:type="spellEnd"/>
      <w:r w:rsidRPr="00437BBB">
        <w:rPr>
          <w:sz w:val="18"/>
        </w:rPr>
        <w:t xml:space="preserve">, I., </w:t>
      </w:r>
      <w:proofErr w:type="spellStart"/>
      <w:r w:rsidRPr="00437BBB">
        <w:rPr>
          <w:sz w:val="18"/>
        </w:rPr>
        <w:t>Kamperidis</w:t>
      </w:r>
      <w:proofErr w:type="spellEnd"/>
      <w:r w:rsidRPr="00437BBB">
        <w:rPr>
          <w:sz w:val="18"/>
        </w:rPr>
        <w:t xml:space="preserve">, T., </w:t>
      </w:r>
      <w:proofErr w:type="spellStart"/>
      <w:r w:rsidRPr="00437BBB">
        <w:rPr>
          <w:sz w:val="18"/>
        </w:rPr>
        <w:t>Seintis</w:t>
      </w:r>
      <w:proofErr w:type="spellEnd"/>
      <w:r w:rsidRPr="00437BBB">
        <w:rPr>
          <w:sz w:val="18"/>
        </w:rPr>
        <w:t xml:space="preserve">, G., </w:t>
      </w:r>
      <w:proofErr w:type="spellStart"/>
      <w:r w:rsidRPr="00437BBB">
        <w:rPr>
          <w:sz w:val="18"/>
        </w:rPr>
        <w:t>Pashos</w:t>
      </w:r>
      <w:proofErr w:type="spellEnd"/>
      <w:r w:rsidRPr="00437BBB">
        <w:rPr>
          <w:sz w:val="18"/>
        </w:rPr>
        <w:t xml:space="preserve">, G., </w:t>
      </w:r>
      <w:proofErr w:type="spellStart"/>
      <w:r w:rsidRPr="00437BBB">
        <w:rPr>
          <w:sz w:val="18"/>
        </w:rPr>
        <w:t>Lytras</w:t>
      </w:r>
      <w:proofErr w:type="spellEnd"/>
      <w:r w:rsidRPr="00437BBB">
        <w:rPr>
          <w:sz w:val="18"/>
        </w:rPr>
        <w:t xml:space="preserve">, C., </w:t>
      </w:r>
      <w:proofErr w:type="spellStart"/>
      <w:r w:rsidRPr="00437BBB">
        <w:rPr>
          <w:sz w:val="18"/>
        </w:rPr>
        <w:t>Papadopoulou</w:t>
      </w:r>
      <w:proofErr w:type="spellEnd"/>
      <w:r w:rsidRPr="00437BBB">
        <w:rPr>
          <w:sz w:val="18"/>
        </w:rPr>
        <w:t xml:space="preserve">, K., </w:t>
      </w:r>
      <w:proofErr w:type="spellStart"/>
      <w:r w:rsidRPr="00437BBB">
        <w:rPr>
          <w:sz w:val="18"/>
        </w:rPr>
        <w:t>Boudouvis</w:t>
      </w:r>
      <w:proofErr w:type="spellEnd"/>
      <w:r w:rsidRPr="00437BBB">
        <w:rPr>
          <w:sz w:val="18"/>
        </w:rPr>
        <w:t xml:space="preserve">, A.G., </w:t>
      </w:r>
      <w:proofErr w:type="spellStart"/>
      <w:r w:rsidRPr="00437BBB">
        <w:rPr>
          <w:sz w:val="18"/>
        </w:rPr>
        <w:t>Lyberatos</w:t>
      </w:r>
      <w:proofErr w:type="spellEnd"/>
      <w:r w:rsidRPr="00437BBB">
        <w:rPr>
          <w:sz w:val="18"/>
        </w:rPr>
        <w:t xml:space="preserve">, G., 2018. Experimental and numerical assessment of the hydraulic </w:t>
      </w:r>
      <w:proofErr w:type="spellStart"/>
      <w:r w:rsidRPr="00437BBB">
        <w:rPr>
          <w:sz w:val="18"/>
        </w:rPr>
        <w:t>behavior</w:t>
      </w:r>
      <w:proofErr w:type="spellEnd"/>
      <w:r w:rsidRPr="00437BBB">
        <w:rPr>
          <w:sz w:val="18"/>
        </w:rPr>
        <w:t xml:space="preserve"> of a pilot-scale Periodic Anaerobic Baffled Reactor (PABR). </w:t>
      </w:r>
      <w:proofErr w:type="spellStart"/>
      <w:r w:rsidRPr="00437BBB">
        <w:rPr>
          <w:sz w:val="18"/>
        </w:rPr>
        <w:t>Comput</w:t>
      </w:r>
      <w:proofErr w:type="spellEnd"/>
      <w:r w:rsidRPr="00437BBB">
        <w:rPr>
          <w:sz w:val="18"/>
        </w:rPr>
        <w:t>. Chem. Eng. 111, 278–287. https://doi.org/10.1016/j.compchemeng.2018.01.014</w:t>
      </w:r>
    </w:p>
    <w:p w14:paraId="4E1D5AC6" w14:textId="77777777" w:rsidR="00437BBB" w:rsidRPr="00437BBB" w:rsidRDefault="00437BBB">
      <w:pPr>
        <w:widowControl w:val="0"/>
        <w:autoSpaceDE w:val="0"/>
        <w:autoSpaceDN w:val="0"/>
        <w:adjustRightInd w:val="0"/>
        <w:rPr>
          <w:sz w:val="18"/>
        </w:rPr>
      </w:pPr>
      <w:r w:rsidRPr="00437BBB">
        <w:rPr>
          <w:sz w:val="18"/>
        </w:rPr>
        <w:t>Pontes, R., Pinto, J., 2006. Analysis of integrated kinetic and flow models for anaerobic digesters. Chem. Eng. J. - CHEM ENG J 122, 65–80. https://doi.org/10.1016/j.cej.2006.02.018</w:t>
      </w:r>
    </w:p>
    <w:p w14:paraId="5730390B" w14:textId="77777777" w:rsidR="00437BBB" w:rsidRPr="00437BBB" w:rsidRDefault="00437BBB">
      <w:pPr>
        <w:widowControl w:val="0"/>
        <w:autoSpaceDE w:val="0"/>
        <w:autoSpaceDN w:val="0"/>
        <w:adjustRightInd w:val="0"/>
        <w:rPr>
          <w:sz w:val="18"/>
        </w:rPr>
      </w:pPr>
      <w:r w:rsidRPr="00437BBB">
        <w:rPr>
          <w:sz w:val="18"/>
          <w:lang w:val="it-IT"/>
        </w:rPr>
        <w:t>Rodríguez-</w:t>
      </w:r>
      <w:proofErr w:type="spellStart"/>
      <w:r w:rsidRPr="00437BBB">
        <w:rPr>
          <w:sz w:val="18"/>
          <w:lang w:val="it-IT"/>
        </w:rPr>
        <w:t>Gómez</w:t>
      </w:r>
      <w:proofErr w:type="spellEnd"/>
      <w:r w:rsidRPr="00437BBB">
        <w:rPr>
          <w:sz w:val="18"/>
          <w:lang w:val="it-IT"/>
        </w:rPr>
        <w:t xml:space="preserve">, R., </w:t>
      </w:r>
      <w:proofErr w:type="spellStart"/>
      <w:r w:rsidRPr="00437BBB">
        <w:rPr>
          <w:sz w:val="18"/>
          <w:lang w:val="it-IT"/>
        </w:rPr>
        <w:t>Renman</w:t>
      </w:r>
      <w:proofErr w:type="spellEnd"/>
      <w:r w:rsidRPr="00437BBB">
        <w:rPr>
          <w:sz w:val="18"/>
          <w:lang w:val="it-IT"/>
        </w:rPr>
        <w:t xml:space="preserve">, G., Moreno, L., </w:t>
      </w:r>
      <w:proofErr w:type="spellStart"/>
      <w:r w:rsidRPr="00437BBB">
        <w:rPr>
          <w:sz w:val="18"/>
          <w:lang w:val="it-IT"/>
        </w:rPr>
        <w:t>Liu</w:t>
      </w:r>
      <w:proofErr w:type="spellEnd"/>
      <w:r w:rsidRPr="00437BBB">
        <w:rPr>
          <w:sz w:val="18"/>
          <w:lang w:val="it-IT"/>
        </w:rPr>
        <w:t xml:space="preserve">, L., 2013. </w:t>
      </w:r>
      <w:r w:rsidRPr="00437BBB">
        <w:rPr>
          <w:sz w:val="18"/>
        </w:rPr>
        <w:t>A model to describe the performance of the UASB reactor. Biodegradation 25. https://doi.org/10.1007/s10532-013-9656-z</w:t>
      </w:r>
    </w:p>
    <w:p w14:paraId="70093009" w14:textId="77777777" w:rsidR="00437BBB" w:rsidRPr="00437BBB" w:rsidRDefault="00437BBB">
      <w:pPr>
        <w:widowControl w:val="0"/>
        <w:autoSpaceDE w:val="0"/>
        <w:autoSpaceDN w:val="0"/>
        <w:adjustRightInd w:val="0"/>
        <w:rPr>
          <w:sz w:val="18"/>
        </w:rPr>
      </w:pPr>
      <w:r w:rsidRPr="00437BBB">
        <w:rPr>
          <w:sz w:val="18"/>
        </w:rPr>
        <w:t xml:space="preserve">Shanmugam, A.S., </w:t>
      </w:r>
      <w:proofErr w:type="spellStart"/>
      <w:r w:rsidRPr="00437BBB">
        <w:rPr>
          <w:sz w:val="18"/>
        </w:rPr>
        <w:t>Akunna</w:t>
      </w:r>
      <w:proofErr w:type="spellEnd"/>
      <w:r w:rsidRPr="00437BBB">
        <w:rPr>
          <w:sz w:val="18"/>
        </w:rPr>
        <w:t xml:space="preserve">, J.C., 2008. Comparing the performance of UASB and GRABBR treating low strength wastewaters. Water Sci. Technol. J. Int. Assoc. Water </w:t>
      </w:r>
      <w:proofErr w:type="spellStart"/>
      <w:r w:rsidRPr="00437BBB">
        <w:rPr>
          <w:sz w:val="18"/>
        </w:rPr>
        <w:t>Pollut</w:t>
      </w:r>
      <w:proofErr w:type="spellEnd"/>
      <w:r w:rsidRPr="00437BBB">
        <w:rPr>
          <w:sz w:val="18"/>
        </w:rPr>
        <w:t>. Res. 58, 225–232. https://doi.org/10.2166/wst.2008.338</w:t>
      </w:r>
    </w:p>
    <w:p w14:paraId="2E441DDB" w14:textId="76433301" w:rsidR="00184311" w:rsidRPr="00184311" w:rsidRDefault="00184311" w:rsidP="00F21C76">
      <w:pPr>
        <w:pStyle w:val="Els-referenceno-number"/>
        <w:ind w:left="0" w:firstLine="0"/>
        <w:rPr>
          <w:lang w:val="en-US"/>
        </w:rPr>
      </w:pPr>
      <w:r>
        <w:rPr>
          <w:lang w:val="en-US"/>
        </w:rPr>
        <w:fldChar w:fldCharType="end"/>
      </w:r>
    </w:p>
    <w:sectPr w:rsidR="00184311" w:rsidRPr="00184311" w:rsidSect="004C503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ABACF" w14:textId="77777777" w:rsidR="004C5034" w:rsidRDefault="004C5034">
      <w:r>
        <w:separator/>
      </w:r>
    </w:p>
  </w:endnote>
  <w:endnote w:type="continuationSeparator" w:id="0">
    <w:p w14:paraId="24349E74" w14:textId="77777777" w:rsidR="004C5034" w:rsidRDefault="004C5034">
      <w:r>
        <w:continuationSeparator/>
      </w:r>
    </w:p>
  </w:endnote>
  <w:endnote w:type="continuationNotice" w:id="1">
    <w:p w14:paraId="15B2DC3A" w14:textId="77777777" w:rsidR="004C5034" w:rsidRDefault="004C50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FD542" w14:textId="77777777" w:rsidR="004C5034" w:rsidRDefault="004C5034">
      <w:r>
        <w:separator/>
      </w:r>
    </w:p>
  </w:footnote>
  <w:footnote w:type="continuationSeparator" w:id="0">
    <w:p w14:paraId="42C6098B" w14:textId="77777777" w:rsidR="004C5034" w:rsidRDefault="004C5034">
      <w:r>
        <w:continuationSeparator/>
      </w:r>
    </w:p>
  </w:footnote>
  <w:footnote w:type="continuationNotice" w:id="1">
    <w:p w14:paraId="4C8E9B78" w14:textId="77777777" w:rsidR="004C5034" w:rsidRDefault="004C50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E6C9" w14:textId="121F40EE" w:rsidR="00DD3D9E" w:rsidRDefault="00DD3D9E">
    <w:pPr>
      <w:pStyle w:val="Header"/>
      <w:tabs>
        <w:tab w:val="clear" w:pos="7200"/>
        <w:tab w:val="right" w:pos="7088"/>
      </w:tabs>
    </w:pPr>
    <w:r>
      <w:rPr>
        <w:rStyle w:val="PageNumber"/>
      </w:rPr>
      <w:tab/>
    </w:r>
    <w:r>
      <w:rPr>
        <w:rStyle w:val="PageNumber"/>
        <w:i/>
      </w:rPr>
      <w:tab/>
    </w:r>
    <w:r w:rsidR="00366DE8">
      <w:rPr>
        <w:i/>
      </w:rPr>
      <w:t>F. Moretta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E6CA" w14:textId="65D03BDE" w:rsidR="00DD3D9E" w:rsidRDefault="00366DE8" w:rsidP="00366DE8">
    <w:pPr>
      <w:pStyle w:val="Header"/>
      <w:tabs>
        <w:tab w:val="clear" w:pos="7200"/>
        <w:tab w:val="right" w:pos="7088"/>
      </w:tabs>
      <w:rPr>
        <w:sz w:val="24"/>
      </w:rPr>
    </w:pPr>
    <w:r>
      <w:rPr>
        <w:i/>
      </w:rPr>
      <w:t>Modeling Substrate Degradation in Upflow Sludge Blanket (UASB) Reactors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w:t>
    </w:r>
    <w:proofErr w:type="spellStart"/>
    <w:r w:rsidRPr="0068162C">
      <w:rPr>
        <w:color w:val="auto"/>
        <w:sz w:val="18"/>
        <w:szCs w:val="18"/>
      </w:rPr>
      <w:t>Gintaras</w:t>
    </w:r>
    <w:proofErr w:type="spellEnd"/>
    <w:r w:rsidRPr="0068162C">
      <w:rPr>
        <w:color w:val="auto"/>
        <w:sz w:val="18"/>
        <w:szCs w:val="18"/>
      </w:rPr>
      <w:t xml:space="preserve">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6551D52"/>
    <w:multiLevelType w:val="hybridMultilevel"/>
    <w:tmpl w:val="F3E43842"/>
    <w:lvl w:ilvl="0" w:tplc="0410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A30C88"/>
    <w:multiLevelType w:val="hybridMultilevel"/>
    <w:tmpl w:val="35EAD19A"/>
    <w:lvl w:ilvl="0" w:tplc="0410000F">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A0C6153"/>
    <w:multiLevelType w:val="hybridMultilevel"/>
    <w:tmpl w:val="086C601C"/>
    <w:lvl w:ilvl="0" w:tplc="041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4"/>
  </w:num>
  <w:num w:numId="2" w16cid:durableId="47382885">
    <w:abstractNumId w:val="14"/>
  </w:num>
  <w:num w:numId="3" w16cid:durableId="967853731">
    <w:abstractNumId w:val="14"/>
  </w:num>
  <w:num w:numId="4" w16cid:durableId="1739282265">
    <w:abstractNumId w:val="14"/>
  </w:num>
  <w:num w:numId="5" w16cid:durableId="698892343">
    <w:abstractNumId w:val="0"/>
  </w:num>
  <w:num w:numId="6" w16cid:durableId="1660883641">
    <w:abstractNumId w:val="6"/>
  </w:num>
  <w:num w:numId="7" w16cid:durableId="1863349795">
    <w:abstractNumId w:val="15"/>
  </w:num>
  <w:num w:numId="8" w16cid:durableId="1750734252">
    <w:abstractNumId w:val="1"/>
  </w:num>
  <w:num w:numId="9" w16cid:durableId="203061615">
    <w:abstractNumId w:val="13"/>
  </w:num>
  <w:num w:numId="10" w16cid:durableId="1478497114">
    <w:abstractNumId w:val="17"/>
  </w:num>
  <w:num w:numId="11" w16cid:durableId="1896693444">
    <w:abstractNumId w:val="16"/>
  </w:num>
  <w:num w:numId="12" w16cid:durableId="774787662">
    <w:abstractNumId w:val="5"/>
  </w:num>
  <w:num w:numId="13" w16cid:durableId="1525900646">
    <w:abstractNumId w:val="11"/>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12"/>
  </w:num>
  <w:num w:numId="19" w16cid:durableId="237177447">
    <w:abstractNumId w:val="8"/>
  </w:num>
  <w:num w:numId="20" w16cid:durableId="591281138">
    <w:abstractNumId w:val="10"/>
  </w:num>
  <w:num w:numId="21" w16cid:durableId="6935031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20128"/>
    <w:rsid w:val="00055251"/>
    <w:rsid w:val="00056CA4"/>
    <w:rsid w:val="000923E1"/>
    <w:rsid w:val="0009338E"/>
    <w:rsid w:val="000B4CBC"/>
    <w:rsid w:val="000C5756"/>
    <w:rsid w:val="000D3D9B"/>
    <w:rsid w:val="00127123"/>
    <w:rsid w:val="00151A24"/>
    <w:rsid w:val="0016032F"/>
    <w:rsid w:val="001734BE"/>
    <w:rsid w:val="00184311"/>
    <w:rsid w:val="001879F6"/>
    <w:rsid w:val="001C0148"/>
    <w:rsid w:val="001C757E"/>
    <w:rsid w:val="0020390F"/>
    <w:rsid w:val="002472C6"/>
    <w:rsid w:val="002609DF"/>
    <w:rsid w:val="00264926"/>
    <w:rsid w:val="003042E1"/>
    <w:rsid w:val="00313BD4"/>
    <w:rsid w:val="00366DE8"/>
    <w:rsid w:val="003900A1"/>
    <w:rsid w:val="00396452"/>
    <w:rsid w:val="003D1582"/>
    <w:rsid w:val="003D7E4C"/>
    <w:rsid w:val="003E3C4A"/>
    <w:rsid w:val="003E41C2"/>
    <w:rsid w:val="00437BBB"/>
    <w:rsid w:val="00447D81"/>
    <w:rsid w:val="0046611B"/>
    <w:rsid w:val="0048503C"/>
    <w:rsid w:val="0049772C"/>
    <w:rsid w:val="004C5034"/>
    <w:rsid w:val="004D7D7F"/>
    <w:rsid w:val="00552EEB"/>
    <w:rsid w:val="005946A2"/>
    <w:rsid w:val="005D2D16"/>
    <w:rsid w:val="006231F8"/>
    <w:rsid w:val="00673369"/>
    <w:rsid w:val="0068516E"/>
    <w:rsid w:val="006A69BF"/>
    <w:rsid w:val="006E2529"/>
    <w:rsid w:val="00711DF4"/>
    <w:rsid w:val="00734C98"/>
    <w:rsid w:val="0077717D"/>
    <w:rsid w:val="007819AE"/>
    <w:rsid w:val="007C7A3D"/>
    <w:rsid w:val="007D70A1"/>
    <w:rsid w:val="007E742D"/>
    <w:rsid w:val="008132E8"/>
    <w:rsid w:val="00823407"/>
    <w:rsid w:val="00831EC3"/>
    <w:rsid w:val="00875A3A"/>
    <w:rsid w:val="00883BFE"/>
    <w:rsid w:val="008941E3"/>
    <w:rsid w:val="008B0184"/>
    <w:rsid w:val="008C5D02"/>
    <w:rsid w:val="008D2649"/>
    <w:rsid w:val="0090568D"/>
    <w:rsid w:val="009125C9"/>
    <w:rsid w:val="00913879"/>
    <w:rsid w:val="009142B1"/>
    <w:rsid w:val="00917661"/>
    <w:rsid w:val="00970E5D"/>
    <w:rsid w:val="0097701C"/>
    <w:rsid w:val="00980A65"/>
    <w:rsid w:val="00A24964"/>
    <w:rsid w:val="00A25E70"/>
    <w:rsid w:val="00A33765"/>
    <w:rsid w:val="00A502F5"/>
    <w:rsid w:val="00A63269"/>
    <w:rsid w:val="00A84036"/>
    <w:rsid w:val="00A92377"/>
    <w:rsid w:val="00AB29ED"/>
    <w:rsid w:val="00AE4BD8"/>
    <w:rsid w:val="00AF027E"/>
    <w:rsid w:val="00B01973"/>
    <w:rsid w:val="00B177C4"/>
    <w:rsid w:val="00B3348E"/>
    <w:rsid w:val="00B4388F"/>
    <w:rsid w:val="00B63237"/>
    <w:rsid w:val="00B77E80"/>
    <w:rsid w:val="00C03831"/>
    <w:rsid w:val="00C85926"/>
    <w:rsid w:val="00C960DC"/>
    <w:rsid w:val="00D02C75"/>
    <w:rsid w:val="00D10E22"/>
    <w:rsid w:val="00D13D2C"/>
    <w:rsid w:val="00D76D43"/>
    <w:rsid w:val="00DB78EE"/>
    <w:rsid w:val="00DC2F94"/>
    <w:rsid w:val="00DD3D9E"/>
    <w:rsid w:val="00DD7908"/>
    <w:rsid w:val="00DF3A74"/>
    <w:rsid w:val="00E82297"/>
    <w:rsid w:val="00EF39FD"/>
    <w:rsid w:val="00F06842"/>
    <w:rsid w:val="00F107FD"/>
    <w:rsid w:val="00F21C76"/>
    <w:rsid w:val="00FB64A8"/>
    <w:rsid w:val="00FD1A0D"/>
    <w:rsid w:val="00FE2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132C0AF2-3191-422F-8206-7EBABADA5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2">
    <w:name w:val="heading 2"/>
    <w:basedOn w:val="Normal"/>
    <w:next w:val="Normal"/>
    <w:link w:val="Heading2Char"/>
    <w:semiHidden/>
    <w:unhideWhenUsed/>
    <w:qFormat/>
    <w:rsid w:val="00366D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link w:val="Els-referenceCaratter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link w:val="Els-referenceno-numberCaratter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uiPriority w:val="99"/>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UnresolvedMention">
    <w:name w:val="Unresolved Mention"/>
    <w:basedOn w:val="DefaultParagraphFont"/>
    <w:uiPriority w:val="99"/>
    <w:semiHidden/>
    <w:unhideWhenUsed/>
    <w:rsid w:val="00A502F5"/>
    <w:rPr>
      <w:color w:val="605E5C"/>
      <w:shd w:val="clear" w:color="auto" w:fill="E1DFDD"/>
    </w:rPr>
  </w:style>
  <w:style w:type="paragraph" w:customStyle="1" w:styleId="Text">
    <w:name w:val="Text"/>
    <w:basedOn w:val="Normal"/>
    <w:link w:val="TextChar"/>
    <w:qFormat/>
    <w:rsid w:val="00A502F5"/>
    <w:pPr>
      <w:spacing w:before="120" w:after="120"/>
      <w:jc w:val="both"/>
    </w:pPr>
    <w:rPr>
      <w:rFonts w:ascii="Palatino Linotype" w:eastAsiaTheme="minorHAnsi" w:hAnsi="Palatino Linotype" w:cstheme="minorBidi"/>
      <w:sz w:val="24"/>
      <w:szCs w:val="22"/>
      <w:lang w:val="en-US"/>
    </w:rPr>
  </w:style>
  <w:style w:type="character" w:customStyle="1" w:styleId="TextChar">
    <w:name w:val="Text Char"/>
    <w:basedOn w:val="DefaultParagraphFont"/>
    <w:link w:val="Text"/>
    <w:rsid w:val="00A502F5"/>
    <w:rPr>
      <w:rFonts w:ascii="Palatino Linotype" w:eastAsiaTheme="minorHAnsi" w:hAnsi="Palatino Linotype" w:cstheme="minorBidi"/>
      <w:sz w:val="24"/>
      <w:szCs w:val="22"/>
      <w:lang w:val="en-US" w:eastAsia="en-US"/>
    </w:rPr>
  </w:style>
  <w:style w:type="character" w:customStyle="1" w:styleId="Heading2Char">
    <w:name w:val="Heading 2 Char"/>
    <w:basedOn w:val="DefaultParagraphFont"/>
    <w:link w:val="Heading2"/>
    <w:semiHidden/>
    <w:rsid w:val="00366DE8"/>
    <w:rPr>
      <w:rFonts w:asciiTheme="majorHAnsi" w:eastAsiaTheme="majorEastAsia" w:hAnsiTheme="majorHAnsi" w:cstheme="majorBidi"/>
      <w:color w:val="365F91" w:themeColor="accent1" w:themeShade="BF"/>
      <w:sz w:val="26"/>
      <w:szCs w:val="26"/>
      <w:lang w:eastAsia="en-US"/>
    </w:rPr>
  </w:style>
  <w:style w:type="table" w:styleId="TableGrid">
    <w:name w:val="Table Grid"/>
    <w:basedOn w:val="TableNormal"/>
    <w:rsid w:val="00B17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742D"/>
    <w:rPr>
      <w:color w:val="666666"/>
    </w:rPr>
  </w:style>
  <w:style w:type="paragraph" w:customStyle="1" w:styleId="Bibliografia1">
    <w:name w:val="Bibliografia1"/>
    <w:basedOn w:val="Normal"/>
    <w:link w:val="BibliographyCarattere"/>
    <w:rsid w:val="00184311"/>
    <w:pPr>
      <w:ind w:left="720" w:hanging="720"/>
    </w:pPr>
    <w:rPr>
      <w:noProof/>
      <w:sz w:val="18"/>
      <w:lang w:val="en-US"/>
    </w:rPr>
  </w:style>
  <w:style w:type="character" w:customStyle="1" w:styleId="Els-referenceCarattere">
    <w:name w:val="Els-reference Carattere"/>
    <w:basedOn w:val="DefaultParagraphFont"/>
    <w:link w:val="Els-reference"/>
    <w:rsid w:val="00184311"/>
    <w:rPr>
      <w:noProof/>
      <w:sz w:val="18"/>
      <w:lang w:eastAsia="en-US"/>
    </w:rPr>
  </w:style>
  <w:style w:type="character" w:customStyle="1" w:styleId="Els-referenceno-numberCarattere">
    <w:name w:val="Els-reference no-number Carattere"/>
    <w:basedOn w:val="Els-referenceCarattere"/>
    <w:link w:val="Els-referenceno-number"/>
    <w:rsid w:val="00184311"/>
    <w:rPr>
      <w:noProof/>
      <w:sz w:val="18"/>
      <w:lang w:eastAsia="en-US"/>
    </w:rPr>
  </w:style>
  <w:style w:type="character" w:customStyle="1" w:styleId="BibliographyCarattere">
    <w:name w:val="Bibliography Carattere"/>
    <w:basedOn w:val="Els-referenceno-numberCarattere"/>
    <w:link w:val="Bibliografia1"/>
    <w:rsid w:val="00184311"/>
    <w:rPr>
      <w:noProof/>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163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151</TotalTime>
  <Pages>1</Pages>
  <Words>5236</Words>
  <Characters>29850</Characters>
  <Application>Microsoft Office Word</Application>
  <DocSecurity>4</DocSecurity>
  <Lines>248</Lines>
  <Paragraphs>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35016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cp:lastModifiedBy>Federico Moretta</cp:lastModifiedBy>
  <cp:revision>50</cp:revision>
  <cp:lastPrinted>2004-12-17T18:20:00Z</cp:lastPrinted>
  <dcterms:created xsi:type="dcterms:W3CDTF">2023-10-02T16:50:00Z</dcterms:created>
  <dcterms:modified xsi:type="dcterms:W3CDTF">2024-01-13T21:09:00Z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id="xSc5NCCq"/&gt;&lt;style id="http://www.zotero.org/styles/elsevier-harvard" hasBibliography="1" bibliographyStyleHasBeenSet="1"/&gt;&lt;prefs&gt;&lt;pref name="fieldType" value="Field"/&gt;&lt;pref name="automaticJournal</vt:lpwstr>
  </property>
  <property fmtid="{D5CDD505-2E9C-101B-9397-08002B2CF9AE}" pid="11" name="ZOTERO_PREF_2">
    <vt:lpwstr>Abbreviations" value="true"/&gt;&lt;/prefs&gt;&lt;/data&gt;</vt:lpwstr>
  </property>
</Properties>
</file>