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51664" w14:textId="06985822" w:rsidR="00E907D2" w:rsidRPr="004F115E" w:rsidRDefault="00E907D2" w:rsidP="00E907D2">
      <w:pPr>
        <w:pStyle w:val="Els-Title"/>
        <w:rPr>
          <w:color w:val="000000" w:themeColor="text1"/>
        </w:rPr>
      </w:pPr>
      <w:r w:rsidRPr="00B27C02">
        <w:rPr>
          <w:color w:val="000000" w:themeColor="text1"/>
        </w:rPr>
        <w:t xml:space="preserve">Evaluating </w:t>
      </w:r>
      <w:r>
        <w:rPr>
          <w:color w:val="000000" w:themeColor="text1"/>
        </w:rPr>
        <w:t>P</w:t>
      </w:r>
      <w:r w:rsidRPr="00B27C02">
        <w:rPr>
          <w:color w:val="000000" w:themeColor="text1"/>
        </w:rPr>
        <w:t xml:space="preserve">otential </w:t>
      </w:r>
      <w:r>
        <w:rPr>
          <w:color w:val="000000" w:themeColor="text1"/>
        </w:rPr>
        <w:t>R</w:t>
      </w:r>
      <w:r w:rsidRPr="00B27C02">
        <w:rPr>
          <w:color w:val="000000" w:themeColor="text1"/>
        </w:rPr>
        <w:t xml:space="preserve">eplacements for </w:t>
      </w:r>
      <w:r>
        <w:rPr>
          <w:color w:val="000000" w:themeColor="text1"/>
        </w:rPr>
        <w:t>F</w:t>
      </w:r>
      <w:r w:rsidRPr="00B27C02">
        <w:rPr>
          <w:color w:val="000000" w:themeColor="text1"/>
        </w:rPr>
        <w:t xml:space="preserve">ossil-based PET in </w:t>
      </w:r>
      <w:r w:rsidR="00E574A4">
        <w:rPr>
          <w:color w:val="000000" w:themeColor="text1"/>
        </w:rPr>
        <w:t>C</w:t>
      </w:r>
      <w:r w:rsidRPr="00B27C02">
        <w:rPr>
          <w:color w:val="000000" w:themeColor="text1"/>
        </w:rPr>
        <w:t xml:space="preserve">reating a </w:t>
      </w:r>
      <w:r w:rsidR="00E574A4">
        <w:rPr>
          <w:color w:val="000000" w:themeColor="text1"/>
        </w:rPr>
        <w:t>C</w:t>
      </w:r>
      <w:r w:rsidRPr="00B27C02">
        <w:rPr>
          <w:color w:val="000000" w:themeColor="text1"/>
        </w:rPr>
        <w:t xml:space="preserve">ircular </w:t>
      </w:r>
      <w:r w:rsidR="00E574A4">
        <w:rPr>
          <w:color w:val="000000" w:themeColor="text1"/>
        </w:rPr>
        <w:t>B</w:t>
      </w:r>
      <w:r w:rsidRPr="00B27C02">
        <w:rPr>
          <w:color w:val="000000" w:themeColor="text1"/>
        </w:rPr>
        <w:t xml:space="preserve">io-economy of </w:t>
      </w:r>
      <w:r w:rsidR="00E574A4">
        <w:rPr>
          <w:color w:val="000000" w:themeColor="text1"/>
        </w:rPr>
        <w:t>P</w:t>
      </w:r>
      <w:r w:rsidRPr="00B27C02">
        <w:rPr>
          <w:color w:val="000000" w:themeColor="text1"/>
        </w:rPr>
        <w:t xml:space="preserve">ackaging </w:t>
      </w:r>
      <w:r w:rsidR="00E574A4">
        <w:rPr>
          <w:color w:val="000000" w:themeColor="text1"/>
        </w:rPr>
        <w:t>P</w:t>
      </w:r>
      <w:r w:rsidRPr="00B27C02">
        <w:rPr>
          <w:color w:val="000000" w:themeColor="text1"/>
        </w:rPr>
        <w:t>lastics</w:t>
      </w:r>
    </w:p>
    <w:p w14:paraId="7D0AB856" w14:textId="1184BB1E" w:rsidR="00E574A4" w:rsidRPr="004F115E" w:rsidRDefault="00E574A4" w:rsidP="00E574A4">
      <w:pPr>
        <w:pStyle w:val="Els-Author"/>
        <w:rPr>
          <w:lang w:val="fr-FR"/>
        </w:rPr>
      </w:pPr>
      <w:r w:rsidRPr="004F115E">
        <w:rPr>
          <w:lang w:val="fr-FR"/>
        </w:rPr>
        <w:t>Jana Lukic</w:t>
      </w:r>
      <w:r w:rsidRPr="004F115E">
        <w:rPr>
          <w:vertAlign w:val="superscript"/>
          <w:lang w:val="fr-FR"/>
        </w:rPr>
        <w:t>a</w:t>
      </w:r>
      <w:r w:rsidRPr="004F115E">
        <w:rPr>
          <w:lang w:val="fr-FR"/>
        </w:rPr>
        <w:t>, Marie J. Jones</w:t>
      </w:r>
      <w:r w:rsidRPr="004F115E">
        <w:rPr>
          <w:vertAlign w:val="superscript"/>
          <w:lang w:val="fr-FR"/>
        </w:rPr>
        <w:t>a,b</w:t>
      </w:r>
      <w:r w:rsidR="005428B3">
        <w:rPr>
          <w:vertAlign w:val="superscript"/>
          <w:lang w:val="fr-FR"/>
        </w:rPr>
        <w:t>*</w:t>
      </w:r>
      <w:r w:rsidRPr="004F115E">
        <w:rPr>
          <w:lang w:val="fr-FR"/>
        </w:rPr>
        <w:t>, Antoine Astour</w:t>
      </w:r>
      <w:r w:rsidRPr="004F115E">
        <w:rPr>
          <w:vertAlign w:val="superscript"/>
          <w:lang w:val="fr-FR"/>
        </w:rPr>
        <w:t>a</w:t>
      </w:r>
      <w:r w:rsidRPr="004F115E">
        <w:rPr>
          <w:lang w:val="fr-FR"/>
        </w:rPr>
        <w:t>, François Maréchal</w:t>
      </w:r>
      <w:r w:rsidRPr="004F115E">
        <w:rPr>
          <w:vertAlign w:val="superscript"/>
          <w:lang w:val="fr-FR"/>
        </w:rPr>
        <w:t>a</w:t>
      </w:r>
    </w:p>
    <w:p w14:paraId="1F4EB5AD" w14:textId="77777777" w:rsidR="00E574A4" w:rsidRPr="00B27C02" w:rsidRDefault="00E574A4" w:rsidP="00E574A4">
      <w:pPr>
        <w:pStyle w:val="Els-Affiliation"/>
        <w:rPr>
          <w:lang w:val="fr-FR"/>
        </w:rPr>
      </w:pPr>
      <w:r w:rsidRPr="00B27C02">
        <w:rPr>
          <w:vertAlign w:val="superscript"/>
          <w:lang w:val="fr-FR"/>
        </w:rPr>
        <w:t>a</w:t>
      </w:r>
      <w:r w:rsidRPr="00B27C02">
        <w:rPr>
          <w:lang w:val="fr-FR"/>
        </w:rPr>
        <w:t>Industrial Energy Systems Laboratory, École Polytechnique Fédérale de Lausanne (EPFL), Valais-Wallis, 1950 Sion, Switzerland</w:t>
      </w:r>
    </w:p>
    <w:p w14:paraId="299C8032" w14:textId="77777777" w:rsidR="00E574A4" w:rsidRDefault="00E574A4" w:rsidP="00E574A4">
      <w:pPr>
        <w:pStyle w:val="Els-Affiliation"/>
      </w:pPr>
      <w:r>
        <w:rPr>
          <w:vertAlign w:val="superscript"/>
        </w:rPr>
        <w:t>b</w:t>
      </w:r>
      <w:r w:rsidRPr="00B27C02">
        <w:t>Laboratory of Sustainable and Catalytic Processing, École Polytechnique Fédérale de Lausanne, 1015 Lausanne, Switzerland</w:t>
      </w:r>
    </w:p>
    <w:p w14:paraId="73EEC98A" w14:textId="77777777" w:rsidR="00E574A4" w:rsidRPr="00A94774" w:rsidRDefault="006D53AB" w:rsidP="00E574A4">
      <w:pPr>
        <w:pStyle w:val="Els-Affiliation"/>
        <w:spacing w:after="120"/>
      </w:pPr>
      <w:hyperlink r:id="rId8" w:history="1">
        <w:r w:rsidR="00E574A4" w:rsidRPr="00B834A0">
          <w:rPr>
            <w:rStyle w:val="Hyperlink"/>
          </w:rPr>
          <w:t>marie.jones@epfl.ch</w:t>
        </w:r>
      </w:hyperlink>
      <w:r w:rsidR="00E574A4">
        <w:t xml:space="preserve"> </w:t>
      </w:r>
    </w:p>
    <w:p w14:paraId="2BF005E0" w14:textId="77777777" w:rsidR="00D26303" w:rsidRDefault="00EA484D">
      <w:pPr>
        <w:keepNext/>
        <w:pBdr>
          <w:top w:val="nil"/>
          <w:left w:val="nil"/>
          <w:bottom w:val="nil"/>
          <w:right w:val="nil"/>
          <w:between w:val="nil"/>
        </w:pBdr>
        <w:spacing w:before="240" w:after="60"/>
        <w:jc w:val="both"/>
        <w:rPr>
          <w:b/>
          <w:color w:val="000000"/>
          <w:sz w:val="22"/>
          <w:szCs w:val="22"/>
        </w:rPr>
      </w:pPr>
      <w:r>
        <w:rPr>
          <w:b/>
          <w:color w:val="000000"/>
          <w:sz w:val="22"/>
          <w:szCs w:val="22"/>
        </w:rPr>
        <w:t>Abstract</w:t>
      </w:r>
    </w:p>
    <w:p w14:paraId="321E22BD" w14:textId="5E5F6AA0" w:rsidR="00D26303" w:rsidRDefault="00EA484D">
      <w:pPr>
        <w:pBdr>
          <w:top w:val="nil"/>
          <w:left w:val="nil"/>
          <w:bottom w:val="nil"/>
          <w:right w:val="nil"/>
          <w:between w:val="nil"/>
        </w:pBdr>
        <w:spacing w:after="120"/>
        <w:jc w:val="both"/>
        <w:rPr>
          <w:color w:val="FF0000"/>
        </w:rPr>
      </w:pPr>
      <w:r>
        <w:rPr>
          <w:color w:val="000000"/>
        </w:rPr>
        <w:t xml:space="preserve">Second-generation bio-refineries rely on the use of waste, non-edible lignocellulosic biomass and can be adapted for the </w:t>
      </w:r>
      <w:r>
        <w:t>production of</w:t>
      </w:r>
      <w:r>
        <w:rPr>
          <w:color w:val="000000"/>
        </w:rPr>
        <w:t xml:space="preserve"> highly </w:t>
      </w:r>
      <w:r>
        <w:t>functionalized</w:t>
      </w:r>
      <w:r>
        <w:rPr>
          <w:color w:val="000000"/>
        </w:rPr>
        <w:t xml:space="preserve"> plastics, such </w:t>
      </w:r>
      <w:r>
        <w:t>as</w:t>
      </w:r>
      <w:r>
        <w:rPr>
          <w:color w:val="000000"/>
        </w:rPr>
        <w:t xml:space="preserve"> PET, or its biobased alternatives with higher production efficiencies, but lower technological readiness levels (TRL).</w:t>
      </w:r>
      <w:r>
        <w:t xml:space="preserve"> Inherent </w:t>
      </w:r>
      <w:r>
        <w:rPr>
          <w:color w:val="000000"/>
        </w:rPr>
        <w:t xml:space="preserve">mass and energy </w:t>
      </w:r>
      <w:r w:rsidR="00B46A46">
        <w:rPr>
          <w:color w:val="000000"/>
        </w:rPr>
        <w:t xml:space="preserve">losses </w:t>
      </w:r>
      <w:r>
        <w:t>ar</w:t>
      </w:r>
      <w:r>
        <w:rPr>
          <w:color w:val="000000"/>
        </w:rPr>
        <w:t xml:space="preserve">e detected at an early stage </w:t>
      </w:r>
      <w:r>
        <w:t>using</w:t>
      </w:r>
      <w:r>
        <w:rPr>
          <w:color w:val="000000"/>
        </w:rPr>
        <w:t xml:space="preserve"> the Second-law Thermodynamic Analysis and</w:t>
      </w:r>
      <w:r>
        <w:t xml:space="preserve"> later complemented</w:t>
      </w:r>
      <w:r>
        <w:rPr>
          <w:color w:val="000000"/>
        </w:rPr>
        <w:t xml:space="preserve"> </w:t>
      </w:r>
      <w:r>
        <w:t>with the results of detailed modeling, techno-economic assessment (TEA) and life-cycle analysis (LCA)</w:t>
      </w:r>
      <w:r>
        <w:rPr>
          <w:color w:val="000000"/>
        </w:rPr>
        <w:t xml:space="preserve">. Trade-offs between </w:t>
      </w:r>
      <w:r>
        <w:t>currently</w:t>
      </w:r>
      <w:r>
        <w:rPr>
          <w:color w:val="000000"/>
        </w:rPr>
        <w:t xml:space="preserve"> un</w:t>
      </w:r>
      <w:r w:rsidR="002C31F8">
        <w:rPr>
          <w:color w:val="000000"/>
        </w:rPr>
        <w:t>-</w:t>
      </w:r>
      <w:r>
        <w:rPr>
          <w:color w:val="000000"/>
        </w:rPr>
        <w:t xml:space="preserve">optimized biobased processes </w:t>
      </w:r>
      <w:r>
        <w:t>and</w:t>
      </w:r>
      <w:r>
        <w:rPr>
          <w:color w:val="000000"/>
        </w:rPr>
        <w:t xml:space="preserve"> the traditional</w:t>
      </w:r>
      <w:r>
        <w:t xml:space="preserve"> </w:t>
      </w:r>
      <w:r>
        <w:rPr>
          <w:color w:val="000000"/>
        </w:rPr>
        <w:t xml:space="preserve">retrofitting pathways are compared on several levels of </w:t>
      </w:r>
      <w:r>
        <w:t>modeling</w:t>
      </w:r>
      <w:r>
        <w:rPr>
          <w:color w:val="000000"/>
        </w:rPr>
        <w:t xml:space="preserve"> complexity with the final goal </w:t>
      </w:r>
      <w:r>
        <w:t>of</w:t>
      </w:r>
      <w:r>
        <w:rPr>
          <w:color w:val="000000"/>
        </w:rPr>
        <w:t xml:space="preserve"> </w:t>
      </w:r>
      <w:r>
        <w:t>assessing</w:t>
      </w:r>
      <w:r>
        <w:rPr>
          <w:color w:val="000000"/>
        </w:rPr>
        <w:t xml:space="preserve"> the real operation of a biorefinery.</w:t>
      </w:r>
      <w:r>
        <w:t xml:space="preserve"> </w:t>
      </w:r>
      <w:r w:rsidRPr="003B0378">
        <w:t>Our results highlight</w:t>
      </w:r>
      <w:r w:rsidR="002B113B" w:rsidRPr="003B0378">
        <w:t xml:space="preserve"> the </w:t>
      </w:r>
      <w:r w:rsidR="003B0378" w:rsidRPr="003B0378">
        <w:t>potential</w:t>
      </w:r>
      <w:r w:rsidR="002B113B" w:rsidRPr="003B0378">
        <w:t xml:space="preserve"> in production costs and global warming </w:t>
      </w:r>
      <w:r w:rsidR="003B0378" w:rsidRPr="003B0378">
        <w:t>reduction</w:t>
      </w:r>
      <w:r w:rsidR="002B113B" w:rsidRPr="003B0378">
        <w:t xml:space="preserve"> in the case of new bio-polymers compatible with the </w:t>
      </w:r>
      <w:r w:rsidR="003B0378" w:rsidRPr="003B0378">
        <w:t>biomass structure</w:t>
      </w:r>
      <w:r w:rsidR="002B113B" w:rsidRPr="003B0378">
        <w:t>.</w:t>
      </w:r>
    </w:p>
    <w:p w14:paraId="4927879F" w14:textId="77777777" w:rsidR="00D26303" w:rsidRDefault="00EA484D">
      <w:pPr>
        <w:pBdr>
          <w:top w:val="nil"/>
          <w:left w:val="nil"/>
          <w:bottom w:val="nil"/>
          <w:right w:val="nil"/>
          <w:between w:val="nil"/>
        </w:pBdr>
        <w:spacing w:after="120"/>
        <w:jc w:val="both"/>
        <w:rPr>
          <w:color w:val="000000"/>
        </w:rPr>
      </w:pPr>
      <w:r>
        <w:rPr>
          <w:b/>
          <w:color w:val="000000"/>
        </w:rPr>
        <w:t>Keywords</w:t>
      </w:r>
      <w:r>
        <w:rPr>
          <w:color w:val="000000"/>
        </w:rPr>
        <w:t>: circular bioplastic industry, lignocellulosic biomass, PET</w:t>
      </w:r>
    </w:p>
    <w:p w14:paraId="0C8ACC3C" w14:textId="086CA4ED" w:rsidR="00D26303" w:rsidRDefault="00EA484D" w:rsidP="006A4AE3">
      <w:pPr>
        <w:pStyle w:val="Els-1storder-head"/>
        <w:numPr>
          <w:ilvl w:val="0"/>
          <w:numId w:val="2"/>
        </w:numPr>
      </w:pPr>
      <w:r w:rsidRPr="006A4AE3">
        <w:t>Introduction</w:t>
      </w:r>
    </w:p>
    <w:p w14:paraId="43C9DBBC" w14:textId="494A96A5" w:rsidR="00D26303" w:rsidRDefault="00EA484D" w:rsidP="006A4AE3">
      <w:pPr>
        <w:pStyle w:val="NoSpacing"/>
        <w:jc w:val="both"/>
      </w:pPr>
      <w:r>
        <w:t>In the near future, the chemical industry will represent one of the main contributors to GHG emissions due to strong reliance on fossil feedstock</w:t>
      </w:r>
      <w:r w:rsidR="00B46A46">
        <w:t xml:space="preserve"> </w:t>
      </w:r>
      <w:r w:rsidR="00B46A46">
        <w:rPr>
          <w:noProof/>
          <w:lang w:val="en-GB"/>
        </w:rPr>
        <w:t>(Lange et al. 2021)</w:t>
      </w:r>
      <w:r>
        <w:t xml:space="preserve">. One of the most resource-intensive products of the chemical industry is plastics, whose properties and low cost are irreplaceable </w:t>
      </w:r>
      <w:r w:rsidR="00CC67E5">
        <w:t>to</w:t>
      </w:r>
      <w:r>
        <w:t xml:space="preserve"> our society</w:t>
      </w:r>
      <w:r w:rsidR="00B46A46">
        <w:t xml:space="preserve"> (</w:t>
      </w:r>
      <w:r w:rsidR="00B46A46">
        <w:rPr>
          <w:noProof/>
          <w:lang w:val="en-GB"/>
        </w:rPr>
        <w:t>Gabrielli et al. 2023)</w:t>
      </w:r>
      <w:r>
        <w:t xml:space="preserve">. </w:t>
      </w:r>
      <w:r w:rsidR="00CC67E5">
        <w:t xml:space="preserve">The shift towards renewable feedstock is required to reduce the </w:t>
      </w:r>
      <w:r w:rsidR="00B36996">
        <w:t>fossil fuel depletion</w:t>
      </w:r>
      <w:r w:rsidR="00CC67E5">
        <w:t>, while recycling enables value and propert</w:t>
      </w:r>
      <w:r w:rsidR="0047044F">
        <w:t>ies</w:t>
      </w:r>
      <w:r w:rsidR="00CC67E5">
        <w:t xml:space="preserve"> preservation.</w:t>
      </w:r>
      <w:r>
        <w:t xml:space="preserve"> </w:t>
      </w:r>
      <w:r w:rsidR="00CC67E5">
        <w:t xml:space="preserve">Overall potential of the </w:t>
      </w:r>
      <w:r w:rsidR="005A4E51">
        <w:t xml:space="preserve">sustainable </w:t>
      </w:r>
      <w:r w:rsidR="00CC67E5">
        <w:t>plastic sector has been assessed in the</w:t>
      </w:r>
      <w:r w:rsidR="00FC3DB6">
        <w:t xml:space="preserve"> previous</w:t>
      </w:r>
      <w:r w:rsidR="00CC67E5">
        <w:t xml:space="preserve"> work </w:t>
      </w:r>
      <w:r w:rsidR="00FC3DB6">
        <w:t>by</w:t>
      </w:r>
      <w:r w:rsidR="00B46A46">
        <w:t xml:space="preserve"> </w:t>
      </w:r>
      <w:r w:rsidR="00B46A46">
        <w:rPr>
          <w:noProof/>
          <w:lang w:val="en-GB"/>
        </w:rPr>
        <w:t>Meys et al. 2021</w:t>
      </w:r>
      <w:r w:rsidR="00FC3DB6">
        <w:t xml:space="preserve"> and</w:t>
      </w:r>
      <w:r w:rsidR="00B46A46">
        <w:t xml:space="preserve"> </w:t>
      </w:r>
      <w:r w:rsidR="00B46A46">
        <w:rPr>
          <w:noProof/>
          <w:lang w:val="en-GB"/>
        </w:rPr>
        <w:t>Bachmann et al. 2023</w:t>
      </w:r>
      <w:r w:rsidR="00CC67E5">
        <w:t xml:space="preserve">, </w:t>
      </w:r>
      <w:r w:rsidR="0047044F">
        <w:t xml:space="preserve">where </w:t>
      </w:r>
      <w:r w:rsidR="00CC67E5">
        <w:t>the use of CO</w:t>
      </w:r>
      <w:r w:rsidR="0047044F">
        <w:rPr>
          <w:vertAlign w:val="subscript"/>
        </w:rPr>
        <w:t>2</w:t>
      </w:r>
      <w:r w:rsidR="00CC67E5">
        <w:t xml:space="preserve"> and biomass as renewable feedstock</w:t>
      </w:r>
      <w:r w:rsidR="002C31F8">
        <w:t>s</w:t>
      </w:r>
      <w:r w:rsidR="00CC67E5">
        <w:t xml:space="preserve"> </w:t>
      </w:r>
      <w:r w:rsidR="005A4E51">
        <w:t>are</w:t>
      </w:r>
      <w:r w:rsidR="0047044F">
        <w:t xml:space="preserve"> combined </w:t>
      </w:r>
      <w:r w:rsidR="00CC67E5">
        <w:t>with recycling</w:t>
      </w:r>
      <w:r w:rsidR="0047044F">
        <w:t xml:space="preserve"> solutions</w:t>
      </w:r>
      <w:r w:rsidR="00CC67E5">
        <w:t xml:space="preserve"> to close </w:t>
      </w:r>
      <w:r w:rsidR="0079017A">
        <w:t>the</w:t>
      </w:r>
      <w:r w:rsidR="00CC67E5">
        <w:t xml:space="preserve"> carbon cycle</w:t>
      </w:r>
      <w:r w:rsidR="0079017A">
        <w:t xml:space="preserve"> of plastic</w:t>
      </w:r>
      <w:r w:rsidR="00CC67E5">
        <w:t xml:space="preserve">. </w:t>
      </w:r>
      <w:r w:rsidR="006A4AE3">
        <w:t>However, n</w:t>
      </w:r>
      <w:r w:rsidR="00CC67E5">
        <w:t>ew technologies</w:t>
      </w:r>
      <w:r w:rsidR="0047044F">
        <w:t xml:space="preserve"> with low TRL </w:t>
      </w:r>
      <w:r w:rsidR="005A4E51">
        <w:t>aren’t included in the analysis</w:t>
      </w:r>
      <w:r w:rsidR="00CC67E5">
        <w:t>.</w:t>
      </w:r>
    </w:p>
    <w:p w14:paraId="2EA3F427" w14:textId="77777777" w:rsidR="00DA15CB" w:rsidRDefault="00DA15CB" w:rsidP="00DA15CB">
      <w:pPr>
        <w:pStyle w:val="Els-body-text"/>
        <w:rPr>
          <w:lang w:val="en-GB"/>
        </w:rPr>
      </w:pPr>
    </w:p>
    <w:p w14:paraId="5025588F" w14:textId="12B933B5" w:rsidR="002C31F8" w:rsidRPr="002C31F8" w:rsidRDefault="000A1442" w:rsidP="00DA15CB">
      <w:pPr>
        <w:pStyle w:val="Els-body-text"/>
        <w:rPr>
          <w:lang w:val="en-GB"/>
        </w:rPr>
      </w:pPr>
      <w:r w:rsidRPr="002C31F8">
        <w:rPr>
          <w:lang w:val="en-GB"/>
        </w:rPr>
        <w:lastRenderedPageBreak/>
        <w:t>Lignocellulosic</w:t>
      </w:r>
      <w:r w:rsidR="00EA484D" w:rsidRPr="002C31F8">
        <w:rPr>
          <w:lang w:val="en-GB"/>
        </w:rPr>
        <w:t xml:space="preserve"> biomass</w:t>
      </w:r>
      <w:r w:rsidRPr="002C31F8">
        <w:rPr>
          <w:lang w:val="en-GB"/>
        </w:rPr>
        <w:t xml:space="preserve"> </w:t>
      </w:r>
      <w:r w:rsidR="00EA484D" w:rsidRPr="002C31F8">
        <w:rPr>
          <w:lang w:val="en-GB"/>
        </w:rPr>
        <w:t>offers grand potential of naturally available polysaccharides</w:t>
      </w:r>
      <w:r w:rsidR="0047044F" w:rsidRPr="002C31F8">
        <w:rPr>
          <w:lang w:val="en-GB"/>
        </w:rPr>
        <w:t xml:space="preserve"> with high structural similarity to p</w:t>
      </w:r>
      <w:r w:rsidR="00EA484D" w:rsidRPr="002C31F8">
        <w:rPr>
          <w:lang w:val="en-GB"/>
        </w:rPr>
        <w:t xml:space="preserve">olymers </w:t>
      </w:r>
      <w:r w:rsidR="0047044F" w:rsidRPr="002C31F8">
        <w:rPr>
          <w:lang w:val="en-GB"/>
        </w:rPr>
        <w:t>used in packaging applications. N</w:t>
      </w:r>
      <w:r w:rsidR="00EA484D" w:rsidRPr="002C31F8">
        <w:rPr>
          <w:lang w:val="en-GB"/>
        </w:rPr>
        <w:t>ew conversion route</w:t>
      </w:r>
      <w:r w:rsidRPr="002C31F8">
        <w:rPr>
          <w:lang w:val="en-GB"/>
        </w:rPr>
        <w:t>s</w:t>
      </w:r>
      <w:r w:rsidR="0047044F" w:rsidRPr="002C31F8">
        <w:rPr>
          <w:lang w:val="en-GB"/>
        </w:rPr>
        <w:t xml:space="preserve"> that avoid biomass degradation and deoxygenation are expected to result in higher production efficiencies</w:t>
      </w:r>
      <w:r w:rsidR="00EA484D" w:rsidRPr="002C31F8">
        <w:rPr>
          <w:lang w:val="en-GB"/>
        </w:rPr>
        <w:t xml:space="preserve">. The work </w:t>
      </w:r>
      <w:r w:rsidR="00F37B3C" w:rsidRPr="002C31F8">
        <w:rPr>
          <w:lang w:val="en-GB"/>
        </w:rPr>
        <w:t>by</w:t>
      </w:r>
      <w:r w:rsidR="00FC3DB6" w:rsidRPr="002C31F8">
        <w:rPr>
          <w:lang w:val="en-GB"/>
        </w:rPr>
        <w:t xml:space="preserve"> </w:t>
      </w:r>
      <w:r w:rsidR="00B46A46">
        <w:rPr>
          <w:lang w:val="en-GB"/>
        </w:rPr>
        <w:t>Manker et al. 2022</w:t>
      </w:r>
      <w:r w:rsidR="00EA484D" w:rsidRPr="002C31F8">
        <w:rPr>
          <w:lang w:val="en-GB"/>
        </w:rPr>
        <w:t xml:space="preserve"> portrays successful selective </w:t>
      </w:r>
      <w:r w:rsidR="006A4AE3" w:rsidRPr="002C31F8">
        <w:rPr>
          <w:lang w:val="en-GB"/>
        </w:rPr>
        <w:t>depolymerization</w:t>
      </w:r>
      <w:r w:rsidR="00EA484D" w:rsidRPr="002C31F8">
        <w:rPr>
          <w:lang w:val="en-GB"/>
        </w:rPr>
        <w:t xml:space="preserve"> of waste biomass to produce</w:t>
      </w:r>
      <w:r w:rsidR="00B46A46" w:rsidRPr="002C31F8">
        <w:rPr>
          <w:lang w:val="en-GB"/>
        </w:rPr>
        <w:t xml:space="preserve"> xylose-based polyesters</w:t>
      </w:r>
      <w:r w:rsidR="00AD5215" w:rsidRPr="002C31F8">
        <w:rPr>
          <w:lang w:val="en-GB"/>
        </w:rPr>
        <w:t xml:space="preserve"> (</w:t>
      </w:r>
      <w:r w:rsidR="002C31F8" w:rsidRPr="002C31F8">
        <w:rPr>
          <w:lang w:val="en-GB"/>
        </w:rPr>
        <w:t>such is</w:t>
      </w:r>
      <w:r w:rsidR="00AD5215" w:rsidRPr="002C31F8">
        <w:rPr>
          <w:lang w:val="en-GB"/>
        </w:rPr>
        <w:t xml:space="preserve"> PHX (poly(hexylene xylosediglyoxylate))</w:t>
      </w:r>
      <w:r w:rsidR="00EA484D" w:rsidRPr="002C31F8">
        <w:rPr>
          <w:lang w:val="en-GB"/>
        </w:rPr>
        <w:t xml:space="preserve">, </w:t>
      </w:r>
      <w:r w:rsidRPr="002C31F8">
        <w:rPr>
          <w:lang w:val="en-GB"/>
        </w:rPr>
        <w:t>potential</w:t>
      </w:r>
      <w:r w:rsidR="00EA484D" w:rsidRPr="002C31F8">
        <w:rPr>
          <w:lang w:val="en-GB"/>
        </w:rPr>
        <w:t xml:space="preserve"> bio-based alternative to rigid polyesters. </w:t>
      </w:r>
      <w:r w:rsidR="006A4AE3" w:rsidRPr="002C31F8">
        <w:rPr>
          <w:lang w:val="en-GB"/>
        </w:rPr>
        <w:t>The</w:t>
      </w:r>
      <w:r w:rsidR="002C31F8" w:rsidRPr="002C31F8">
        <w:rPr>
          <w:lang w:val="en-GB"/>
        </w:rPr>
        <w:t>ir monomer (DMGX (dimethylglyoxylate xylose))</w:t>
      </w:r>
      <w:r w:rsidR="006A4AE3" w:rsidRPr="002C31F8">
        <w:rPr>
          <w:lang w:val="en-GB"/>
        </w:rPr>
        <w:t xml:space="preserve"> </w:t>
      </w:r>
      <w:r w:rsidR="002C31F8" w:rsidRPr="002C31F8">
        <w:rPr>
          <w:lang w:val="en-GB"/>
        </w:rPr>
        <w:t>is</w:t>
      </w:r>
      <w:r w:rsidR="006A4AE3" w:rsidRPr="002C31F8">
        <w:rPr>
          <w:lang w:val="en-GB"/>
        </w:rPr>
        <w:t xml:space="preserve"> conceptually c</w:t>
      </w:r>
      <w:r w:rsidR="001E75E3" w:rsidRPr="002C31F8">
        <w:rPr>
          <w:lang w:val="en-GB"/>
        </w:rPr>
        <w:t>ompare</w:t>
      </w:r>
      <w:r w:rsidR="006A4AE3" w:rsidRPr="002C31F8">
        <w:rPr>
          <w:lang w:val="en-GB"/>
        </w:rPr>
        <w:t xml:space="preserve">d </w:t>
      </w:r>
      <w:r w:rsidR="001E75E3" w:rsidRPr="002C31F8">
        <w:rPr>
          <w:lang w:val="en-GB"/>
        </w:rPr>
        <w:t>to</w:t>
      </w:r>
      <w:r w:rsidR="00EA484D" w:rsidRPr="002C31F8">
        <w:rPr>
          <w:lang w:val="en-GB"/>
        </w:rPr>
        <w:t xml:space="preserve"> </w:t>
      </w:r>
      <w:r w:rsidR="002C31F8" w:rsidRPr="002C31F8">
        <w:rPr>
          <w:lang w:val="en-GB"/>
        </w:rPr>
        <w:t xml:space="preserve">the </w:t>
      </w:r>
      <w:r w:rsidR="00DA15CB">
        <w:rPr>
          <w:lang w:val="en-GB"/>
        </w:rPr>
        <w:t>monomers</w:t>
      </w:r>
      <w:r w:rsidR="002C31F8" w:rsidRPr="002C31F8">
        <w:rPr>
          <w:lang w:val="en-GB"/>
        </w:rPr>
        <w:t xml:space="preserve"> of </w:t>
      </w:r>
      <w:r w:rsidR="00EA484D" w:rsidRPr="002C31F8">
        <w:rPr>
          <w:lang w:val="en-GB"/>
        </w:rPr>
        <w:t xml:space="preserve">other bio-based alternatives </w:t>
      </w:r>
      <w:r w:rsidR="002C31F8" w:rsidRPr="002C31F8">
        <w:rPr>
          <w:lang w:val="en-GB"/>
        </w:rPr>
        <w:t>with intermediate TRL</w:t>
      </w:r>
      <w:r w:rsidR="002C31F8">
        <w:rPr>
          <w:lang w:val="en-GB"/>
        </w:rPr>
        <w:t xml:space="preserve"> </w:t>
      </w:r>
      <w:r w:rsidR="002C31F8" w:rsidRPr="002C31F8">
        <w:rPr>
          <w:lang w:val="en-GB"/>
        </w:rPr>
        <w:t>(</w:t>
      </w:r>
      <w:r w:rsidR="002C31F8">
        <w:rPr>
          <w:lang w:val="en-GB"/>
        </w:rPr>
        <w:t>Manker et al. 2023):</w:t>
      </w:r>
      <w:r w:rsidR="002C31F8" w:rsidRPr="002C31F8">
        <w:rPr>
          <w:lang w:val="en-GB"/>
        </w:rPr>
        <w:t xml:space="preserve"> </w:t>
      </w:r>
      <w:r w:rsidR="002C31F8">
        <w:rPr>
          <w:lang w:val="en-GB"/>
        </w:rPr>
        <w:t>PTA (purified terephthalic acid) for bio-</w:t>
      </w:r>
      <w:r w:rsidR="00EA484D" w:rsidRPr="002C31F8">
        <w:rPr>
          <w:lang w:val="en-GB"/>
        </w:rPr>
        <w:t xml:space="preserve">PET and </w:t>
      </w:r>
      <w:r w:rsidR="002C31F8">
        <w:rPr>
          <w:lang w:val="en-GB"/>
        </w:rPr>
        <w:t xml:space="preserve">FDCA (2,5-furandicarboxylic acid) for </w:t>
      </w:r>
      <w:r w:rsidR="00EA484D" w:rsidRPr="002C31F8">
        <w:rPr>
          <w:lang w:val="en-GB"/>
        </w:rPr>
        <w:t>PEF</w:t>
      </w:r>
      <w:r w:rsidR="002C31F8">
        <w:rPr>
          <w:lang w:val="en-GB"/>
        </w:rPr>
        <w:t xml:space="preserve"> (polyethylene furanoate) production.</w:t>
      </w:r>
    </w:p>
    <w:p w14:paraId="34233BBC" w14:textId="7CA4E690" w:rsidR="00D26303" w:rsidRPr="002C31F8" w:rsidRDefault="00EA484D" w:rsidP="002C31F8">
      <w:pPr>
        <w:pStyle w:val="Els-body-text"/>
        <w:ind w:firstLine="360"/>
        <w:rPr>
          <w:lang w:val="en-GB"/>
        </w:rPr>
      </w:pPr>
      <w:r w:rsidRPr="002C31F8">
        <w:rPr>
          <w:lang w:val="en-GB"/>
        </w:rPr>
        <w:t xml:space="preserve">This work aims </w:t>
      </w:r>
      <w:r w:rsidR="006A4AE3" w:rsidRPr="002C31F8">
        <w:rPr>
          <w:lang w:val="en-GB"/>
        </w:rPr>
        <w:t>at</w:t>
      </w:r>
      <w:r w:rsidRPr="002C31F8">
        <w:rPr>
          <w:lang w:val="en-GB"/>
        </w:rPr>
        <w:t xml:space="preserve"> provid</w:t>
      </w:r>
      <w:r w:rsidR="006A4AE3" w:rsidRPr="002C31F8">
        <w:rPr>
          <w:lang w:val="en-GB"/>
        </w:rPr>
        <w:t>ing</w:t>
      </w:r>
      <w:r w:rsidRPr="002C31F8">
        <w:rPr>
          <w:lang w:val="en-GB"/>
        </w:rPr>
        <w:t xml:space="preserve"> the first benchmark for the</w:t>
      </w:r>
      <w:r w:rsidR="00B5591A">
        <w:rPr>
          <w:lang w:val="en-GB"/>
        </w:rPr>
        <w:t xml:space="preserve"> large-scale production </w:t>
      </w:r>
      <w:r w:rsidRPr="002C31F8">
        <w:rPr>
          <w:lang w:val="en-GB"/>
        </w:rPr>
        <w:t xml:space="preserve">comparison </w:t>
      </w:r>
      <w:r w:rsidR="00B5591A">
        <w:rPr>
          <w:lang w:val="en-GB"/>
        </w:rPr>
        <w:t>of</w:t>
      </w:r>
      <w:r w:rsidRPr="002C31F8">
        <w:rPr>
          <w:lang w:val="en-GB"/>
        </w:rPr>
        <w:t xml:space="preserve"> drop-in polymers (bio-PET) </w:t>
      </w:r>
      <w:r w:rsidR="00DA15CB">
        <w:rPr>
          <w:lang w:val="en-GB"/>
        </w:rPr>
        <w:t>and new</w:t>
      </w:r>
      <w:r w:rsidRPr="002C31F8">
        <w:rPr>
          <w:lang w:val="en-GB"/>
        </w:rPr>
        <w:t xml:space="preserve"> molecules (PEF, PHX)</w:t>
      </w:r>
      <w:r w:rsidR="0047044F" w:rsidRPr="002C31F8">
        <w:rPr>
          <w:lang w:val="en-GB"/>
        </w:rPr>
        <w:t xml:space="preserve"> obtained from waste lignocellulosic biomass</w:t>
      </w:r>
      <w:r w:rsidRPr="002C31F8">
        <w:rPr>
          <w:lang w:val="en-GB"/>
        </w:rPr>
        <w:t xml:space="preserve">, including traditional biomass treatment by gasification. Only chemo-catalytic routes are considered as the most prominent near-term </w:t>
      </w:r>
      <w:r w:rsidR="0077109A" w:rsidRPr="002C31F8">
        <w:rPr>
          <w:lang w:val="en-GB"/>
        </w:rPr>
        <w:t xml:space="preserve">industrial </w:t>
      </w:r>
      <w:r w:rsidRPr="002C31F8">
        <w:rPr>
          <w:lang w:val="en-GB"/>
        </w:rPr>
        <w:t>solution</w:t>
      </w:r>
      <w:r w:rsidR="001E75E3" w:rsidRPr="002C31F8">
        <w:rPr>
          <w:lang w:val="en-GB"/>
        </w:rPr>
        <w:t>s</w:t>
      </w:r>
      <w:r w:rsidRPr="002C31F8">
        <w:rPr>
          <w:lang w:val="en-GB"/>
        </w:rPr>
        <w:t xml:space="preserve">. Understanding the trade-offs that new technologies are facing in their commercialization and industrial implementation is crucial at the process development stage and requires </w:t>
      </w:r>
      <w:r w:rsidR="0047044F" w:rsidRPr="002C31F8">
        <w:rPr>
          <w:lang w:val="en-GB"/>
        </w:rPr>
        <w:t xml:space="preserve">a </w:t>
      </w:r>
      <w:r w:rsidRPr="002C31F8">
        <w:rPr>
          <w:lang w:val="en-GB"/>
        </w:rPr>
        <w:t xml:space="preserve">robust </w:t>
      </w:r>
      <w:r w:rsidR="0077109A" w:rsidRPr="002C31F8">
        <w:rPr>
          <w:lang w:val="en-GB"/>
        </w:rPr>
        <w:t xml:space="preserve">multi-level </w:t>
      </w:r>
      <w:r w:rsidRPr="002C31F8">
        <w:rPr>
          <w:lang w:val="en-GB"/>
        </w:rPr>
        <w:t>methodology</w:t>
      </w:r>
      <w:r w:rsidR="0077109A" w:rsidRPr="002C31F8">
        <w:rPr>
          <w:lang w:val="en-GB"/>
        </w:rPr>
        <w:t xml:space="preserve"> (thermodynamic, process and system analysis)</w:t>
      </w:r>
      <w:r w:rsidRPr="002C31F8">
        <w:rPr>
          <w:lang w:val="en-GB"/>
        </w:rPr>
        <w:t xml:space="preserve">. The way in which the results change across modeling levels is discussed and justifies the use of computational techniques in order to leverage sustainable processes and support decision making. </w:t>
      </w:r>
    </w:p>
    <w:p w14:paraId="46B7651A" w14:textId="77777777" w:rsidR="00D26303" w:rsidRDefault="00EA484D" w:rsidP="007D7470">
      <w:pPr>
        <w:pStyle w:val="Els-1storder-head"/>
        <w:numPr>
          <w:ilvl w:val="0"/>
          <w:numId w:val="2"/>
        </w:numPr>
      </w:pPr>
      <w:r w:rsidRPr="007D7470">
        <w:t>Methodology</w:t>
      </w:r>
    </w:p>
    <w:p w14:paraId="19F28BA7" w14:textId="09E574FB" w:rsidR="00F66039" w:rsidRPr="00F66039" w:rsidRDefault="005428B3" w:rsidP="00F66039">
      <w:pPr>
        <w:pStyle w:val="Els-2ndorder-head"/>
        <w:numPr>
          <w:ilvl w:val="1"/>
          <w:numId w:val="2"/>
        </w:numPr>
      </w:pPr>
      <w:r>
        <w:t xml:space="preserve">Thermodynamic </w:t>
      </w:r>
      <w:r w:rsidRPr="00F66039">
        <w:t>Analysis</w:t>
      </w:r>
    </w:p>
    <w:p w14:paraId="329AD7C1" w14:textId="531129E1" w:rsidR="00D26303" w:rsidRDefault="00EA484D">
      <w:pPr>
        <w:pBdr>
          <w:top w:val="nil"/>
          <w:left w:val="nil"/>
          <w:bottom w:val="nil"/>
          <w:right w:val="nil"/>
          <w:between w:val="nil"/>
        </w:pBdr>
        <w:jc w:val="both"/>
        <w:rPr>
          <w:color w:val="000000"/>
        </w:rPr>
      </w:pPr>
      <w:r>
        <w:rPr>
          <w:color w:val="000000"/>
        </w:rPr>
        <w:t xml:space="preserve">Second-Law Thermodynamic Analysis is performed in this work by following the changes </w:t>
      </w:r>
      <w:r w:rsidR="005A4E51">
        <w:rPr>
          <w:color w:val="000000"/>
        </w:rPr>
        <w:t>in</w:t>
      </w:r>
      <w:r>
        <w:rPr>
          <w:color w:val="000000"/>
        </w:rPr>
        <w:t xml:space="preserve"> chemical exergies across</w:t>
      </w:r>
      <w:r w:rsidR="005A4E51">
        <w:rPr>
          <w:color w:val="000000"/>
        </w:rPr>
        <w:t xml:space="preserve"> the</w:t>
      </w:r>
      <w:r>
        <w:rPr>
          <w:color w:val="000000"/>
        </w:rPr>
        <w:t xml:space="preserve"> production routes in focu</w:t>
      </w:r>
      <w:r w:rsidR="001364D0">
        <w:rPr>
          <w:color w:val="000000"/>
        </w:rPr>
        <w:t>s</w:t>
      </w:r>
      <w:r>
        <w:rPr>
          <w:color w:val="000000"/>
        </w:rPr>
        <w:t xml:space="preserve">. Considering chemical transformations with 100% stoichiometric efficiency </w:t>
      </w:r>
      <w:r w:rsidR="005A4E51">
        <w:rPr>
          <w:color w:val="000000"/>
        </w:rPr>
        <w:t xml:space="preserve">with </w:t>
      </w:r>
      <w:r>
        <w:rPr>
          <w:color w:val="000000"/>
        </w:rPr>
        <w:t xml:space="preserve">all the reagents and products </w:t>
      </w:r>
      <w:r w:rsidR="005A4E51">
        <w:rPr>
          <w:color w:val="000000"/>
        </w:rPr>
        <w:t>being</w:t>
      </w:r>
      <w:r>
        <w:rPr>
          <w:color w:val="000000"/>
        </w:rPr>
        <w:t xml:space="preserve"> at </w:t>
      </w:r>
      <w:r w:rsidR="005A4E51">
        <w:rPr>
          <w:color w:val="000000"/>
        </w:rPr>
        <w:t>ambient</w:t>
      </w:r>
      <w:r>
        <w:rPr>
          <w:color w:val="000000"/>
        </w:rPr>
        <w:t xml:space="preserve"> conditions, maximum exergy efficiencies are </w:t>
      </w:r>
      <w:r w:rsidR="005A4E51">
        <w:rPr>
          <w:color w:val="000000"/>
        </w:rPr>
        <w:t>obtained</w:t>
      </w:r>
      <w:r w:rsidR="00CE6490">
        <w:rPr>
          <w:color w:val="000000"/>
        </w:rPr>
        <w:t xml:space="preserve"> </w:t>
      </w:r>
      <w:r w:rsidR="00B46A46" w:rsidRPr="000D3DC9">
        <w:rPr>
          <w:noProof/>
          <w:color w:val="000000"/>
          <w:lang w:val="en-GB"/>
        </w:rPr>
        <w:t xml:space="preserve">(Weber </w:t>
      </w:r>
      <w:r w:rsidR="00B46A46">
        <w:rPr>
          <w:noProof/>
          <w:color w:val="000000"/>
          <w:lang w:val="en-GB"/>
        </w:rPr>
        <w:t>et al.</w:t>
      </w:r>
      <w:r w:rsidR="00B46A46" w:rsidRPr="000D3DC9">
        <w:rPr>
          <w:noProof/>
          <w:color w:val="000000"/>
          <w:lang w:val="en-GB"/>
        </w:rPr>
        <w:t xml:space="preserve"> 2022</w:t>
      </w:r>
      <w:r w:rsidR="00B46A46">
        <w:rPr>
          <w:noProof/>
          <w:color w:val="000000"/>
          <w:lang w:val="en-GB"/>
        </w:rPr>
        <w:t>)</w:t>
      </w:r>
      <w:r>
        <w:t xml:space="preserve"> </w:t>
      </w:r>
      <w:r>
        <w:rPr>
          <w:color w:val="000000"/>
        </w:rPr>
        <w:t>to which real processes are always inferior</w:t>
      </w:r>
      <w:r w:rsidR="00B46A46">
        <w:rPr>
          <w:color w:val="000000"/>
        </w:rPr>
        <w:t xml:space="preserve"> (</w:t>
      </w:r>
      <w:r w:rsidR="00B46A46" w:rsidRPr="000D3DC9">
        <w:rPr>
          <w:noProof/>
          <w:color w:val="000000"/>
          <w:lang w:val="en-GB"/>
        </w:rPr>
        <w:t xml:space="preserve">Müller </w:t>
      </w:r>
      <w:r w:rsidR="00B46A46">
        <w:rPr>
          <w:noProof/>
          <w:color w:val="000000"/>
          <w:lang w:val="en-GB"/>
        </w:rPr>
        <w:t>et al.</w:t>
      </w:r>
      <w:r w:rsidR="00B46A46" w:rsidRPr="000D3DC9">
        <w:rPr>
          <w:noProof/>
          <w:color w:val="000000"/>
          <w:lang w:val="en-GB"/>
        </w:rPr>
        <w:t xml:space="preserve"> 2020</w:t>
      </w:r>
      <w:r w:rsidR="00B46A46">
        <w:rPr>
          <w:noProof/>
          <w:color w:val="000000"/>
          <w:lang w:val="en-GB"/>
        </w:rPr>
        <w:t>)</w:t>
      </w:r>
      <w:r>
        <w:rPr>
          <w:color w:val="000000"/>
        </w:rPr>
        <w:t xml:space="preserve">. Even without considering physical exergy, such analysis serves as a </w:t>
      </w:r>
      <w:r>
        <w:t>powerful</w:t>
      </w:r>
      <w:r>
        <w:rPr>
          <w:color w:val="000000"/>
        </w:rPr>
        <w:t xml:space="preserve"> tool in performing comparative studies in case</w:t>
      </w:r>
      <w:r w:rsidR="00C514DF">
        <w:rPr>
          <w:color w:val="000000"/>
        </w:rPr>
        <w:t>s</w:t>
      </w:r>
      <w:r>
        <w:rPr>
          <w:color w:val="000000"/>
        </w:rPr>
        <w:t xml:space="preserve"> whe</w:t>
      </w:r>
      <w:r>
        <w:t>re</w:t>
      </w:r>
      <w:r>
        <w:rPr>
          <w:color w:val="000000"/>
        </w:rPr>
        <w:t xml:space="preserve"> processes </w:t>
      </w:r>
      <w:r w:rsidR="001E75E3">
        <w:rPr>
          <w:color w:val="000000"/>
        </w:rPr>
        <w:t>are of</w:t>
      </w:r>
      <w:r>
        <w:rPr>
          <w:color w:val="000000"/>
        </w:rPr>
        <w:t xml:space="preserve"> differen</w:t>
      </w:r>
      <w:r>
        <w:t>t</w:t>
      </w:r>
      <w:r>
        <w:rPr>
          <w:color w:val="000000"/>
        </w:rPr>
        <w:t xml:space="preserve"> TRL</w:t>
      </w:r>
      <w:r w:rsidR="005A4E51">
        <w:rPr>
          <w:color w:val="000000"/>
        </w:rPr>
        <w:t>.</w:t>
      </w:r>
    </w:p>
    <w:p w14:paraId="7953D1E3" w14:textId="4A46BBB4" w:rsidR="00D26303" w:rsidRDefault="00EA484D" w:rsidP="00B5591A">
      <w:pPr>
        <w:pBdr>
          <w:top w:val="nil"/>
          <w:left w:val="nil"/>
          <w:bottom w:val="nil"/>
          <w:right w:val="nil"/>
          <w:between w:val="nil"/>
        </w:pBdr>
        <w:ind w:firstLine="360"/>
        <w:jc w:val="both"/>
      </w:pPr>
      <w:r>
        <w:rPr>
          <w:color w:val="000000"/>
        </w:rPr>
        <w:t xml:space="preserve">BUE (biomass </w:t>
      </w:r>
      <w:r>
        <w:t>utilization</w:t>
      </w:r>
      <w:r>
        <w:rPr>
          <w:color w:val="000000"/>
        </w:rPr>
        <w:t xml:space="preserve"> efficiency) is used as an indicator of atom efficiency f</w:t>
      </w:r>
      <w:r w:rsidR="00C514DF">
        <w:rPr>
          <w:color w:val="000000"/>
        </w:rPr>
        <w:t>or</w:t>
      </w:r>
      <w:r>
        <w:rPr>
          <w:color w:val="000000"/>
        </w:rPr>
        <w:t xml:space="preserve"> the chemical routes</w:t>
      </w:r>
      <w:r>
        <w:t xml:space="preserve"> </w:t>
      </w:r>
      <w:r w:rsidR="00C514DF">
        <w:t>as it represents the percentage of the starting feedstock that ends up in the product structure</w:t>
      </w:r>
      <w:r w:rsidR="00B46A46">
        <w:t xml:space="preserve"> (</w:t>
      </w:r>
      <w:r w:rsidR="00B46A46">
        <w:rPr>
          <w:noProof/>
          <w:lang w:val="en-GB"/>
        </w:rPr>
        <w:t>Iffland 2015)</w:t>
      </w:r>
      <w:r w:rsidR="00C514DF">
        <w:t>. M</w:t>
      </w:r>
      <w:r>
        <w:t>ain material losses caused by the sub-optimal feedstock valorization</w:t>
      </w:r>
      <w:r w:rsidR="00C514DF">
        <w:t xml:space="preserve"> are identified</w:t>
      </w:r>
      <w:r>
        <w:t xml:space="preserve">. </w:t>
      </w:r>
      <w:r w:rsidR="006A4AE3">
        <w:t>V</w:t>
      </w:r>
      <w:r w:rsidR="00C514DF">
        <w:t>al</w:t>
      </w:r>
      <w:r w:rsidR="006A4AE3">
        <w:t>ues obtained from the previous work of</w:t>
      </w:r>
      <w:r w:rsidR="0079017A">
        <w:t xml:space="preserve"> </w:t>
      </w:r>
      <w:r w:rsidR="00B46A46">
        <w:rPr>
          <w:noProof/>
          <w:lang w:val="en-GB"/>
        </w:rPr>
        <w:t>Manker et al. 2023</w:t>
      </w:r>
      <w:r w:rsidR="006A4AE3">
        <w:t xml:space="preserve"> are </w:t>
      </w:r>
      <w:r w:rsidR="00F37B3C">
        <w:t>used in the analysis</w:t>
      </w:r>
      <w:r w:rsidR="00C514DF">
        <w:t>.</w:t>
      </w:r>
    </w:p>
    <w:p w14:paraId="1FA7FC4F" w14:textId="77777777" w:rsidR="00D26303" w:rsidRDefault="00D26303">
      <w:pPr>
        <w:pBdr>
          <w:top w:val="nil"/>
          <w:left w:val="nil"/>
          <w:bottom w:val="nil"/>
          <w:right w:val="nil"/>
          <w:between w:val="nil"/>
        </w:pBdr>
        <w:jc w:val="both"/>
      </w:pPr>
    </w:p>
    <w:p w14:paraId="0A872C82" w14:textId="596E54E1" w:rsidR="00D26303" w:rsidRDefault="00EA484D" w:rsidP="00F66039">
      <w:pPr>
        <w:pStyle w:val="ListParagraph"/>
        <w:keepNext/>
        <w:numPr>
          <w:ilvl w:val="1"/>
          <w:numId w:val="4"/>
        </w:numPr>
        <w:pBdr>
          <w:top w:val="nil"/>
          <w:left w:val="nil"/>
          <w:bottom w:val="nil"/>
          <w:right w:val="nil"/>
          <w:between w:val="nil"/>
        </w:pBdr>
        <w:spacing w:before="80"/>
        <w:jc w:val="both"/>
      </w:pPr>
      <w:r w:rsidRPr="00F66039">
        <w:rPr>
          <w:i/>
          <w:color w:val="000000"/>
        </w:rPr>
        <w:t>Process Modelling</w:t>
      </w:r>
      <w:r w:rsidRPr="00F66039">
        <w:rPr>
          <w:i/>
        </w:rPr>
        <w:t>, Techno-Economic Assessment and Life-Cycle Analysis</w:t>
      </w:r>
    </w:p>
    <w:p w14:paraId="1FCE72A0" w14:textId="4687066B" w:rsidR="00D26303" w:rsidRPr="001E75E3" w:rsidRDefault="00023CEB">
      <w:pPr>
        <w:pBdr>
          <w:top w:val="nil"/>
          <w:left w:val="nil"/>
          <w:bottom w:val="nil"/>
          <w:right w:val="nil"/>
          <w:between w:val="nil"/>
        </w:pBdr>
        <w:jc w:val="both"/>
      </w:pPr>
      <w:r>
        <w:t>P</w:t>
      </w:r>
      <w:r w:rsidR="00EA484D">
        <w:t>ublicly available data from literature and patents</w:t>
      </w:r>
      <w:sdt>
        <w:sdtPr>
          <w:id w:val="-725673501"/>
          <w:citation/>
        </w:sdtPr>
        <w:sdtEndPr/>
        <w:sdtContent>
          <w:r w:rsidR="00B5591A">
            <w:fldChar w:fldCharType="begin"/>
          </w:r>
          <w:r w:rsidR="00B5591A">
            <w:rPr>
              <w:lang w:val="en-GB"/>
            </w:rPr>
            <w:instrText xml:space="preserve"> CITATION van21 \l 2057 </w:instrText>
          </w:r>
          <w:r w:rsidR="00B5591A">
            <w:fldChar w:fldCharType="separate"/>
          </w:r>
          <w:r w:rsidR="001C1493">
            <w:rPr>
              <w:noProof/>
              <w:lang w:val="en-GB"/>
            </w:rPr>
            <w:t xml:space="preserve"> (van Putten et al. 2021)</w:t>
          </w:r>
          <w:r w:rsidR="00B5591A">
            <w:fldChar w:fldCharType="end"/>
          </w:r>
        </w:sdtContent>
      </w:sdt>
      <w:r w:rsidR="00B5591A">
        <w:t>,</w:t>
      </w:r>
      <w:r w:rsidR="00DA15CB">
        <w:t xml:space="preserve"> </w:t>
      </w:r>
      <w:sdt>
        <w:sdtPr>
          <w:id w:val="557286469"/>
          <w:citation/>
        </w:sdtPr>
        <w:sdtEndPr/>
        <w:sdtContent>
          <w:r w:rsidR="00DA15CB">
            <w:fldChar w:fldCharType="begin"/>
          </w:r>
          <w:r w:rsidR="00DA15CB">
            <w:rPr>
              <w:lang w:val="en-GB"/>
            </w:rPr>
            <w:instrText xml:space="preserve"> CITATION Muñ13 \l 2057 </w:instrText>
          </w:r>
          <w:r w:rsidR="00DA15CB">
            <w:fldChar w:fldCharType="separate"/>
          </w:r>
          <w:r w:rsidR="001C1493">
            <w:rPr>
              <w:noProof/>
              <w:lang w:val="en-GB"/>
            </w:rPr>
            <w:t>(Muñoz De Diego et al. 2013)</w:t>
          </w:r>
          <w:r w:rsidR="00DA15CB">
            <w:fldChar w:fldCharType="end"/>
          </w:r>
        </w:sdtContent>
      </w:sdt>
      <w:r w:rsidR="00DA15CB">
        <w:t xml:space="preserve">, </w:t>
      </w:r>
      <w:sdt>
        <w:sdtPr>
          <w:id w:val="680317789"/>
          <w:citation/>
        </w:sdtPr>
        <w:sdtEndPr/>
        <w:sdtContent>
          <w:r w:rsidR="00DA15CB">
            <w:fldChar w:fldCharType="begin"/>
          </w:r>
          <w:r w:rsidR="00DA15CB">
            <w:rPr>
              <w:lang w:val="en-GB"/>
            </w:rPr>
            <w:instrText xml:space="preserve"> CITATION Hir20 \l 2057 </w:instrText>
          </w:r>
          <w:r w:rsidR="00DA15CB">
            <w:fldChar w:fldCharType="separate"/>
          </w:r>
          <w:r w:rsidR="001C1493">
            <w:rPr>
              <w:noProof/>
              <w:lang w:val="en-GB"/>
            </w:rPr>
            <w:t>(Hirsch - Weil et al. 2020)</w:t>
          </w:r>
          <w:r w:rsidR="00DA15CB">
            <w:fldChar w:fldCharType="end"/>
          </w:r>
        </w:sdtContent>
      </w:sdt>
      <w:r w:rsidR="00DA15CB">
        <w:t xml:space="preserve">, </w:t>
      </w:r>
      <w:sdt>
        <w:sdtPr>
          <w:id w:val="-1979218459"/>
          <w:citation/>
        </w:sdtPr>
        <w:sdtEndPr/>
        <w:sdtContent>
          <w:r w:rsidR="00DA15CB">
            <w:fldChar w:fldCharType="begin"/>
          </w:r>
          <w:r w:rsidR="00DA15CB">
            <w:rPr>
              <w:lang w:val="en-GB"/>
            </w:rPr>
            <w:instrText xml:space="preserve"> CITATION Mas16 \l 2057 </w:instrText>
          </w:r>
          <w:r w:rsidR="00DA15CB">
            <w:fldChar w:fldCharType="separate"/>
          </w:r>
          <w:r w:rsidR="001C1493">
            <w:rPr>
              <w:noProof/>
              <w:lang w:val="en-GB"/>
            </w:rPr>
            <w:t>(Masuno et al. 2016)</w:t>
          </w:r>
          <w:r w:rsidR="00DA15CB">
            <w:fldChar w:fldCharType="end"/>
          </w:r>
        </w:sdtContent>
      </w:sdt>
      <w:r w:rsidR="003B205A">
        <w:t xml:space="preserve">, </w:t>
      </w:r>
      <w:sdt>
        <w:sdtPr>
          <w:id w:val="1499084998"/>
          <w:citation/>
        </w:sdtPr>
        <w:sdtEndPr/>
        <w:sdtContent>
          <w:r w:rsidR="003B205A">
            <w:fldChar w:fldCharType="begin"/>
          </w:r>
          <w:r w:rsidR="003B205A">
            <w:rPr>
              <w:lang w:val="en-GB"/>
            </w:rPr>
            <w:instrText xml:space="preserve"> CITATION Han13 \l 2057 </w:instrText>
          </w:r>
          <w:r w:rsidR="003B205A">
            <w:fldChar w:fldCharType="separate"/>
          </w:r>
          <w:r w:rsidR="001C1493">
            <w:rPr>
              <w:noProof/>
              <w:lang w:val="en-GB"/>
            </w:rPr>
            <w:t>(Hannula and Kurkela 2013)</w:t>
          </w:r>
          <w:r w:rsidR="003B205A">
            <w:fldChar w:fldCharType="end"/>
          </w:r>
        </w:sdtContent>
      </w:sdt>
      <w:r w:rsidR="00417318">
        <w:t>,</w:t>
      </w:r>
      <w:r w:rsidR="00DA15CB">
        <w:t xml:space="preserve"> </w:t>
      </w:r>
      <w:r w:rsidR="00DA15CB">
        <w:rPr>
          <w:noProof/>
          <w:lang w:val="en-GB"/>
        </w:rPr>
        <w:t>(Manker et al. 2022)</w:t>
      </w:r>
      <w:r>
        <w:rPr>
          <w:noProof/>
          <w:lang w:val="en-GB"/>
        </w:rPr>
        <w:t xml:space="preserve"> has been used </w:t>
      </w:r>
      <w:r w:rsidR="003B205A">
        <w:rPr>
          <w:noProof/>
          <w:lang w:val="en-GB"/>
        </w:rPr>
        <w:t xml:space="preserve">to </w:t>
      </w:r>
      <w:r w:rsidR="00EA484D">
        <w:t>model</w:t>
      </w:r>
      <w:r w:rsidR="003B205A">
        <w:t xml:space="preserve"> the</w:t>
      </w:r>
      <w:r w:rsidR="00EA484D">
        <w:t xml:space="preserve"> </w:t>
      </w:r>
      <w:r>
        <w:t xml:space="preserve">processes </w:t>
      </w:r>
      <w:r w:rsidR="00EA484D">
        <w:t>in Aspen Plus® by extrapolating lab- and pilot-scale conditions to full industrial production. From the mass and energy balances, the capital and operating costs were estimated, for both the process equipment and the auxiliaries (utility generation</w:t>
      </w:r>
      <w:r w:rsidR="001E75E3">
        <w:t xml:space="preserve"> and</w:t>
      </w:r>
      <w:r w:rsidR="00EA484D">
        <w:t xml:space="preserve"> waste treatme</w:t>
      </w:r>
      <w:r w:rsidR="001E75E3">
        <w:t>nt</w:t>
      </w:r>
      <w:r w:rsidR="00EA484D">
        <w:t>). The Global Warming Potential (GWP100), expressed in kg CO</w:t>
      </w:r>
      <w:r w:rsidR="00EA484D">
        <w:rPr>
          <w:vertAlign w:val="subscript"/>
        </w:rPr>
        <w:t>2</w:t>
      </w:r>
      <w:r w:rsidR="00EA484D">
        <w:t xml:space="preserve">eq/kg of polymer, is used as a sustainability metric to compare the processes. The background inventory is retrieved from </w:t>
      </w:r>
      <w:r w:rsidR="00AD5215">
        <w:t>E</w:t>
      </w:r>
      <w:r w:rsidR="00EA484D">
        <w:t>coinvent</w:t>
      </w:r>
      <w:r w:rsidR="00AD5215">
        <w:t xml:space="preserve"> </w:t>
      </w:r>
      <w:r w:rsidR="00AD5215" w:rsidRPr="006D0B58">
        <w:t>v3.9.1</w:t>
      </w:r>
      <w:r w:rsidR="00EA484D">
        <w:t xml:space="preserve">, whilst the foreground data comes from the simulation results. The functional unit is defined as one kg of polymer and the analysis stops at the factory door (“cradle-to-gate analysis”), since recycling is not yet considered. For multi-output </w:t>
      </w:r>
      <w:r w:rsidR="00EA484D">
        <w:lastRenderedPageBreak/>
        <w:t xml:space="preserve">processes, the emissions are allocated, on a mass basis, to other high-value products, such as lignin and cellulose pulp. Regarding biogenic carbon accounting, we follow the conservative approach of carbon neutrality, meaning that </w:t>
      </w:r>
      <w:r w:rsidR="00AD5215">
        <w:t xml:space="preserve">no </w:t>
      </w:r>
      <w:r w:rsidR="00EA484D">
        <w:t>carbon credits are awarded to the biobased products but that upon decomposition, the CO</w:t>
      </w:r>
      <w:r w:rsidR="00EA484D">
        <w:rPr>
          <w:vertAlign w:val="subscript"/>
        </w:rPr>
        <w:t>2</w:t>
      </w:r>
      <w:r w:rsidR="00EA484D">
        <w:t xml:space="preserve"> released would be counted as zero.</w:t>
      </w:r>
    </w:p>
    <w:p w14:paraId="4E102EFA" w14:textId="2740C3A4" w:rsidR="00D26303" w:rsidRPr="00F66039" w:rsidRDefault="00EA484D" w:rsidP="00F66039">
      <w:pPr>
        <w:pStyle w:val="Els-1storder-head"/>
        <w:numPr>
          <w:ilvl w:val="0"/>
          <w:numId w:val="2"/>
        </w:numPr>
        <w:spacing w:after="120"/>
        <w:rPr>
          <w:lang w:val="en-GB"/>
        </w:rPr>
      </w:pPr>
      <w:r w:rsidRPr="00F66039">
        <w:rPr>
          <w:lang w:val="en-GB"/>
        </w:rPr>
        <w:t>Results and Discussion</w:t>
      </w:r>
    </w:p>
    <w:p w14:paraId="5DE71844" w14:textId="77777777" w:rsidR="00D26303" w:rsidRDefault="00EA484D" w:rsidP="00F66039">
      <w:pPr>
        <w:pStyle w:val="Els-3rdorder-head"/>
        <w:numPr>
          <w:ilvl w:val="2"/>
          <w:numId w:val="2"/>
        </w:numPr>
        <w:ind w:left="0" w:firstLine="0"/>
      </w:pPr>
      <w:r w:rsidRPr="00F66039">
        <w:t>Chemical Exergy and BUE Comparison</w:t>
      </w:r>
    </w:p>
    <w:p w14:paraId="059AD4AE" w14:textId="3E879920" w:rsidR="00D26303" w:rsidRDefault="00EA484D">
      <w:pPr>
        <w:pBdr>
          <w:top w:val="nil"/>
          <w:left w:val="nil"/>
          <w:bottom w:val="nil"/>
          <w:right w:val="nil"/>
          <w:between w:val="nil"/>
        </w:pBdr>
        <w:jc w:val="both"/>
        <w:rPr>
          <w:color w:val="000000"/>
        </w:rPr>
      </w:pPr>
      <w:r>
        <w:rPr>
          <w:color w:val="000000"/>
        </w:rPr>
        <w:t xml:space="preserve">Each of the four routes is characterized by the change in chemical exergy across its </w:t>
      </w:r>
      <w:r w:rsidR="009F596F">
        <w:rPr>
          <w:color w:val="000000"/>
        </w:rPr>
        <w:t>process units</w:t>
      </w:r>
      <w:r w:rsidR="007721DF">
        <w:rPr>
          <w:color w:val="000000"/>
        </w:rPr>
        <w:t xml:space="preserve"> </w:t>
      </w:r>
      <w:r>
        <w:rPr>
          <w:color w:val="000000"/>
        </w:rPr>
        <w:t>(</w:t>
      </w:r>
      <w:r w:rsidR="001706C9">
        <w:rPr>
          <w:color w:val="000000"/>
        </w:rPr>
        <w:fldChar w:fldCharType="begin"/>
      </w:r>
      <w:r w:rsidR="001706C9">
        <w:rPr>
          <w:color w:val="000000"/>
        </w:rPr>
        <w:instrText xml:space="preserve"> REF _Ref152147136 \h </w:instrText>
      </w:r>
      <w:r w:rsidR="001706C9">
        <w:rPr>
          <w:color w:val="000000"/>
        </w:rPr>
      </w:r>
      <w:r w:rsidR="001706C9">
        <w:rPr>
          <w:color w:val="000000"/>
        </w:rPr>
        <w:fldChar w:fldCharType="separate"/>
      </w:r>
      <w:r w:rsidR="00537BEA" w:rsidRPr="00924543">
        <w:t xml:space="preserve">Figure </w:t>
      </w:r>
      <w:r w:rsidR="00537BEA">
        <w:rPr>
          <w:noProof/>
        </w:rPr>
        <w:t>1</w:t>
      </w:r>
      <w:r w:rsidR="001706C9">
        <w:rPr>
          <w:color w:val="000000"/>
        </w:rPr>
        <w:fldChar w:fldCharType="end"/>
      </w:r>
      <w:r>
        <w:rPr>
          <w:color w:val="000000"/>
        </w:rPr>
        <w:t xml:space="preserve">). The analysis </w:t>
      </w:r>
      <w:r w:rsidR="00924543">
        <w:rPr>
          <w:color w:val="000000"/>
        </w:rPr>
        <w:t>begins on the level of</w:t>
      </w:r>
      <w:r>
        <w:rPr>
          <w:color w:val="000000"/>
        </w:rPr>
        <w:t xml:space="preserve"> </w:t>
      </w:r>
      <w:r w:rsidR="00924543">
        <w:rPr>
          <w:color w:val="000000"/>
        </w:rPr>
        <w:t xml:space="preserve">extracted </w:t>
      </w:r>
      <w:r>
        <w:rPr>
          <w:color w:val="000000"/>
        </w:rPr>
        <w:t>sugars (</w:t>
      </w:r>
      <w:r>
        <w:t>glucose in all cases except for PHX which is produced from xylose)</w:t>
      </w:r>
      <w:r>
        <w:rPr>
          <w:color w:val="000000"/>
        </w:rPr>
        <w:t xml:space="preserve"> and end</w:t>
      </w:r>
      <w:r w:rsidR="007721DF">
        <w:rPr>
          <w:color w:val="000000"/>
        </w:rPr>
        <w:t>s</w:t>
      </w:r>
      <w:r>
        <w:rPr>
          <w:color w:val="000000"/>
        </w:rPr>
        <w:t xml:space="preserve"> with the monomer </w:t>
      </w:r>
      <w:r w:rsidR="007721DF">
        <w:rPr>
          <w:color w:val="000000"/>
        </w:rPr>
        <w:t>formation</w:t>
      </w:r>
      <w:r w:rsidR="001657D8">
        <w:rPr>
          <w:color w:val="000000"/>
        </w:rPr>
        <w:t>.</w:t>
      </w:r>
    </w:p>
    <w:p w14:paraId="1FDDC0E0" w14:textId="77777777" w:rsidR="00D26303" w:rsidRDefault="00D26303">
      <w:pPr>
        <w:pBdr>
          <w:top w:val="nil"/>
          <w:left w:val="nil"/>
          <w:bottom w:val="nil"/>
          <w:right w:val="nil"/>
          <w:between w:val="nil"/>
        </w:pBdr>
        <w:jc w:val="both"/>
      </w:pPr>
    </w:p>
    <w:p w14:paraId="3AAC3A5E" w14:textId="77777777" w:rsidR="00924543" w:rsidRDefault="00EA484D" w:rsidP="00924543">
      <w:pPr>
        <w:keepNext/>
        <w:pBdr>
          <w:top w:val="nil"/>
          <w:left w:val="nil"/>
          <w:bottom w:val="nil"/>
          <w:right w:val="nil"/>
          <w:between w:val="nil"/>
        </w:pBdr>
        <w:jc w:val="center"/>
      </w:pPr>
      <w:r>
        <w:rPr>
          <w:noProof/>
        </w:rPr>
        <w:drawing>
          <wp:inline distT="114300" distB="114300" distL="114300" distR="114300" wp14:anchorId="00F1B438" wp14:editId="5FDD8421">
            <wp:extent cx="3906455" cy="295154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967079" cy="2997350"/>
                    </a:xfrm>
                    <a:prstGeom prst="rect">
                      <a:avLst/>
                    </a:prstGeom>
                    <a:ln/>
                  </pic:spPr>
                </pic:pic>
              </a:graphicData>
            </a:graphic>
          </wp:inline>
        </w:drawing>
      </w:r>
    </w:p>
    <w:p w14:paraId="54E47162" w14:textId="3722B535" w:rsidR="00D26303" w:rsidRPr="00924543" w:rsidRDefault="00924543" w:rsidP="00924543">
      <w:pPr>
        <w:pStyle w:val="Caption"/>
        <w:jc w:val="center"/>
        <w:rPr>
          <w:color w:val="auto"/>
        </w:rPr>
      </w:pPr>
      <w:bookmarkStart w:id="0" w:name="_Ref152147136"/>
      <w:r w:rsidRPr="00924543">
        <w:rPr>
          <w:color w:val="auto"/>
        </w:rPr>
        <w:t xml:space="preserve">Figure </w:t>
      </w:r>
      <w:r w:rsidRPr="00924543">
        <w:rPr>
          <w:color w:val="auto"/>
        </w:rPr>
        <w:fldChar w:fldCharType="begin"/>
      </w:r>
      <w:r w:rsidRPr="00924543">
        <w:rPr>
          <w:color w:val="auto"/>
        </w:rPr>
        <w:instrText xml:space="preserve"> SEQ Figure \* ARABIC </w:instrText>
      </w:r>
      <w:r w:rsidRPr="00924543">
        <w:rPr>
          <w:color w:val="auto"/>
        </w:rPr>
        <w:fldChar w:fldCharType="separate"/>
      </w:r>
      <w:r w:rsidR="00537BEA">
        <w:rPr>
          <w:noProof/>
          <w:color w:val="auto"/>
        </w:rPr>
        <w:t>1</w:t>
      </w:r>
      <w:r w:rsidRPr="00924543">
        <w:rPr>
          <w:color w:val="auto"/>
        </w:rPr>
        <w:fldChar w:fldCharType="end"/>
      </w:r>
      <w:bookmarkEnd w:id="0"/>
      <w:r w:rsidRPr="00924543">
        <w:rPr>
          <w:color w:val="auto"/>
        </w:rPr>
        <w:t>:Changes of Chemical Exergy and BUE across the investigated chemical routes</w:t>
      </w:r>
      <w:r w:rsidR="00F37B3C">
        <w:rPr>
          <w:color w:val="auto"/>
        </w:rPr>
        <w:t xml:space="preserve">; </w:t>
      </w:r>
      <w:r w:rsidRPr="00924543">
        <w:rPr>
          <w:color w:val="auto"/>
        </w:rPr>
        <w:t xml:space="preserve">adapted from (Manker </w:t>
      </w:r>
      <w:r w:rsidR="00FF6A00">
        <w:rPr>
          <w:color w:val="auto"/>
        </w:rPr>
        <w:t>et al.</w:t>
      </w:r>
      <w:r w:rsidRPr="00924543">
        <w:rPr>
          <w:color w:val="auto"/>
        </w:rPr>
        <w:t xml:space="preserve"> 2023)</w:t>
      </w:r>
    </w:p>
    <w:p w14:paraId="59E15C79" w14:textId="635EF492" w:rsidR="003234BD" w:rsidRDefault="00C514DF">
      <w:pPr>
        <w:pBdr>
          <w:top w:val="nil"/>
          <w:left w:val="nil"/>
          <w:bottom w:val="nil"/>
          <w:right w:val="nil"/>
          <w:between w:val="nil"/>
        </w:pBdr>
        <w:jc w:val="both"/>
      </w:pPr>
      <w:r>
        <w:t>N</w:t>
      </w:r>
      <w:r w:rsidR="00EA484D">
        <w:t>egative exergy difference between the starting material and the final product indicates that part of the chemical energy embedded in the starting molecular structure i</w:t>
      </w:r>
      <w:r>
        <w:t xml:space="preserve">s </w:t>
      </w:r>
      <w:r w:rsidR="00EA484D">
        <w:t xml:space="preserve">lost to the environment. This is the case for all synthesis routes except for DMGX, for which </w:t>
      </w:r>
      <w:r w:rsidR="003234BD">
        <w:t xml:space="preserve">additional exergy is required </w:t>
      </w:r>
      <w:r w:rsidR="00EA484D">
        <w:t>to yield the final product. This result is coherent with the high biomass utilization efficiency</w:t>
      </w:r>
      <w:r w:rsidR="00F37B3C">
        <w:t xml:space="preserve"> achieved</w:t>
      </w:r>
      <w:r w:rsidR="00EA484D">
        <w:t xml:space="preserve"> by the acetal-protection process: very few biogenic atoms are lost but additional energy must be delivered to the system to drive the protection reaction. From a high-level perspective, energy lost to the environment via atomic rearrangement is wasted</w:t>
      </w:r>
      <w:r w:rsidR="003234BD">
        <w:t>,</w:t>
      </w:r>
      <w:r w:rsidR="00EA484D">
        <w:t xml:space="preserve"> whereas providing extra heat to a process can be done in a controlled manner, thus reducing overall losses. This back-of-the-envelope analysis provides </w:t>
      </w:r>
      <w:r w:rsidR="00023CEB">
        <w:t>the</w:t>
      </w:r>
      <w:r w:rsidR="00EA484D">
        <w:t xml:space="preserve"> first argument to the potential of designing biobased molecules retaining as many biogenic atoms as possible, in contrast to retrofitting biomass to poorly oxygenated petrochemicals.</w:t>
      </w:r>
    </w:p>
    <w:p w14:paraId="2AA5630C" w14:textId="77777777" w:rsidR="00D26303" w:rsidRDefault="00EA484D" w:rsidP="00F66039">
      <w:pPr>
        <w:pStyle w:val="Els-3rdorder-head"/>
        <w:numPr>
          <w:ilvl w:val="2"/>
          <w:numId w:val="2"/>
        </w:numPr>
        <w:ind w:left="0" w:firstLine="0"/>
      </w:pPr>
      <w:r w:rsidRPr="00F66039">
        <w:lastRenderedPageBreak/>
        <w:t xml:space="preserve">Process </w:t>
      </w:r>
      <w:r>
        <w:t>Modeling</w:t>
      </w:r>
      <w:r w:rsidRPr="00F66039">
        <w:t xml:space="preserve"> Results</w:t>
      </w:r>
    </w:p>
    <w:p w14:paraId="2D2A4949" w14:textId="7228E58F" w:rsidR="001364D0" w:rsidRDefault="00EA484D">
      <w:pPr>
        <w:pBdr>
          <w:top w:val="nil"/>
          <w:left w:val="nil"/>
          <w:bottom w:val="nil"/>
          <w:right w:val="nil"/>
          <w:between w:val="nil"/>
        </w:pBdr>
        <w:jc w:val="both"/>
        <w:rPr>
          <w:color w:val="000000"/>
        </w:rPr>
      </w:pPr>
      <w:r>
        <w:rPr>
          <w:color w:val="000000"/>
        </w:rPr>
        <w:t>Process yields and feedstock allocation are presented in the form of Sankey diagrams</w:t>
      </w:r>
      <w:r w:rsidR="00F37B3C">
        <w:rPr>
          <w:color w:val="000000"/>
        </w:rPr>
        <w:t xml:space="preserve"> </w:t>
      </w:r>
      <w:r>
        <w:rPr>
          <w:color w:val="000000"/>
        </w:rPr>
        <w:t>(</w:t>
      </w:r>
      <w:r w:rsidR="001706C9">
        <w:rPr>
          <w:color w:val="000000"/>
        </w:rPr>
        <w:fldChar w:fldCharType="begin"/>
      </w:r>
      <w:r w:rsidR="001706C9">
        <w:rPr>
          <w:color w:val="000000"/>
        </w:rPr>
        <w:instrText xml:space="preserve"> REF _Ref152147149 \h </w:instrText>
      </w:r>
      <w:r w:rsidR="001706C9">
        <w:rPr>
          <w:color w:val="000000"/>
        </w:rPr>
      </w:r>
      <w:r w:rsidR="001706C9">
        <w:rPr>
          <w:color w:val="000000"/>
        </w:rPr>
        <w:fldChar w:fldCharType="separate"/>
      </w:r>
      <w:r w:rsidR="00537BEA" w:rsidRPr="00924543">
        <w:t xml:space="preserve">Figure </w:t>
      </w:r>
      <w:r w:rsidR="00537BEA">
        <w:rPr>
          <w:noProof/>
        </w:rPr>
        <w:t>2</w:t>
      </w:r>
      <w:r w:rsidR="001706C9">
        <w:rPr>
          <w:color w:val="000000"/>
        </w:rPr>
        <w:fldChar w:fldCharType="end"/>
      </w:r>
      <w:r>
        <w:rPr>
          <w:color w:val="000000"/>
        </w:rPr>
        <w:t xml:space="preserve">). The flows are normalized for each </w:t>
      </w:r>
      <w:r w:rsidR="00F37B3C">
        <w:rPr>
          <w:color w:val="000000"/>
        </w:rPr>
        <w:t>process</w:t>
      </w:r>
      <w:r>
        <w:rPr>
          <w:color w:val="000000"/>
        </w:rPr>
        <w:t xml:space="preserve"> separately and thus, cannot be directly compared across diagrams. </w:t>
      </w:r>
      <w:r>
        <w:t>Process</w:t>
      </w:r>
      <w:r w:rsidR="003234BD">
        <w:t>ing</w:t>
      </w:r>
      <w:r>
        <w:t xml:space="preserve"> steps</w:t>
      </w:r>
      <w:r>
        <w:rPr>
          <w:color w:val="000000"/>
        </w:rPr>
        <w:t xml:space="preserve"> are represented as dark-</w:t>
      </w:r>
      <w:r>
        <w:t>gray</w:t>
      </w:r>
      <w:r>
        <w:rPr>
          <w:color w:val="000000"/>
        </w:rPr>
        <w:t xml:space="preserve"> vertical lines whose height is a size </w:t>
      </w:r>
      <w:r w:rsidR="0006767B">
        <w:rPr>
          <w:color w:val="000000"/>
        </w:rPr>
        <w:t>indicator</w:t>
      </w:r>
      <w:r>
        <w:rPr>
          <w:color w:val="000000"/>
        </w:rPr>
        <w:t xml:space="preserve">. </w:t>
      </w:r>
      <w:r w:rsidR="003234BD">
        <w:rPr>
          <w:color w:val="000000"/>
        </w:rPr>
        <w:t>Their number</w:t>
      </w:r>
      <w:r>
        <w:rPr>
          <w:color w:val="000000"/>
        </w:rPr>
        <w:t xml:space="preserve"> is </w:t>
      </w:r>
      <w:r w:rsidR="0006767B">
        <w:rPr>
          <w:color w:val="000000"/>
        </w:rPr>
        <w:t>related to</w:t>
      </w:r>
      <w:r>
        <w:rPr>
          <w:color w:val="000000"/>
        </w:rPr>
        <w:t xml:space="preserve"> processing complexity and, in most cases, to the end product yields. For this analysis, the processes are presented as they are reported in literature, thus starting from the waste biomass </w:t>
      </w:r>
      <w:r w:rsidR="001508E2">
        <w:rPr>
          <w:color w:val="000000"/>
        </w:rPr>
        <w:t xml:space="preserve">until </w:t>
      </w:r>
      <w:r>
        <w:rPr>
          <w:color w:val="000000"/>
        </w:rPr>
        <w:t>the polymer</w:t>
      </w:r>
      <w:r w:rsidR="001508E2">
        <w:rPr>
          <w:color w:val="000000"/>
        </w:rPr>
        <w:t xml:space="preserve"> product</w:t>
      </w:r>
      <w:r>
        <w:rPr>
          <w:color w:val="000000"/>
        </w:rPr>
        <w:t>.</w:t>
      </w:r>
    </w:p>
    <w:p w14:paraId="0EFC7F34" w14:textId="44949872" w:rsidR="00D26303" w:rsidRDefault="00D26303">
      <w:pPr>
        <w:pBdr>
          <w:top w:val="nil"/>
          <w:left w:val="nil"/>
          <w:bottom w:val="nil"/>
          <w:right w:val="nil"/>
          <w:between w:val="nil"/>
        </w:pBdr>
        <w:jc w:val="both"/>
        <w:rPr>
          <w:color w:val="000000"/>
        </w:rPr>
      </w:pPr>
    </w:p>
    <w:p w14:paraId="07A8A0EC" w14:textId="2EEB3F0B" w:rsidR="00D26303" w:rsidRDefault="00514D91">
      <w:pPr>
        <w:keepNext/>
        <w:pBdr>
          <w:top w:val="nil"/>
          <w:left w:val="nil"/>
          <w:bottom w:val="nil"/>
          <w:right w:val="nil"/>
          <w:between w:val="nil"/>
        </w:pBdr>
        <w:jc w:val="both"/>
      </w:pPr>
      <w:r>
        <w:rPr>
          <w:noProof/>
        </w:rPr>
        <mc:AlternateContent>
          <mc:Choice Requires="wps">
            <w:drawing>
              <wp:anchor distT="0" distB="0" distL="114300" distR="114300" simplePos="0" relativeHeight="251663360" behindDoc="1" locked="0" layoutInCell="1" allowOverlap="1" wp14:anchorId="58D41596" wp14:editId="5F07E0F3">
                <wp:simplePos x="0" y="0"/>
                <wp:positionH relativeFrom="leftMargin">
                  <wp:posOffset>2082965</wp:posOffset>
                </wp:positionH>
                <wp:positionV relativeFrom="paragraph">
                  <wp:posOffset>-167398</wp:posOffset>
                </wp:positionV>
                <wp:extent cx="1212850" cy="317500"/>
                <wp:effectExtent l="0" t="0" r="6350" b="6350"/>
                <wp:wrapNone/>
                <wp:docPr id="11" name="Text Box 11"/>
                <wp:cNvGraphicFramePr/>
                <a:graphic xmlns:a="http://schemas.openxmlformats.org/drawingml/2006/main">
                  <a:graphicData uri="http://schemas.microsoft.com/office/word/2010/wordprocessingShape">
                    <wps:wsp>
                      <wps:cNvSpPr txBox="1"/>
                      <wps:spPr>
                        <a:xfrm>
                          <a:off x="0" y="0"/>
                          <a:ext cx="1212850" cy="317500"/>
                        </a:xfrm>
                        <a:prstGeom prst="rect">
                          <a:avLst/>
                        </a:prstGeom>
                        <a:solidFill>
                          <a:schemeClr val="lt1"/>
                        </a:solidFill>
                        <a:ln w="6350">
                          <a:noFill/>
                        </a:ln>
                      </wps:spPr>
                      <wps:txbx>
                        <w:txbxContent>
                          <w:p w14:paraId="7636170D" w14:textId="74D7A8F2" w:rsidR="001364D0" w:rsidRPr="00AF5EA5" w:rsidRDefault="001364D0" w:rsidP="001364D0">
                            <w:pPr>
                              <w:rPr>
                                <w:b/>
                                <w:bCs/>
                                <w:sz w:val="18"/>
                                <w:szCs w:val="18"/>
                                <w:lang w:val="en-GB"/>
                              </w:rPr>
                            </w:pPr>
                            <w:r w:rsidRPr="00AF5EA5">
                              <w:rPr>
                                <w:b/>
                                <w:bCs/>
                                <w:sz w:val="18"/>
                                <w:szCs w:val="18"/>
                                <w:lang w:val="en-GB"/>
                              </w:rPr>
                              <w:t>PHX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41596" id="_x0000_t202" coordsize="21600,21600" o:spt="202" path="m,l,21600r21600,l21600,xe">
                <v:stroke joinstyle="miter"/>
                <v:path gradientshapeok="t" o:connecttype="rect"/>
              </v:shapetype>
              <v:shape id="Text Box 11" o:spid="_x0000_s1026" type="#_x0000_t202" style="position:absolute;left:0;text-align:left;margin-left:164pt;margin-top:-13.2pt;width:95.5pt;height:25pt;z-index:-251653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" fillcolor="white [3201]" stroked="f" strokeweight=".5pt">
                <v:textbox>
                  <w:txbxContent>
                    <w:p w14:paraId="7636170D" w14:textId="74D7A8F2" w:rsidR="001364D0" w:rsidRPr="00AF5EA5" w:rsidRDefault="001364D0" w:rsidP="001364D0">
                      <w:pPr>
                        <w:rPr>
                          <w:b/>
                          <w:bCs/>
                          <w:sz w:val="18"/>
                          <w:szCs w:val="18"/>
                          <w:lang w:val="en-GB"/>
                        </w:rPr>
                      </w:pPr>
                      <w:r w:rsidRPr="00AF5EA5">
                        <w:rPr>
                          <w:b/>
                          <w:bCs/>
                          <w:sz w:val="18"/>
                          <w:szCs w:val="18"/>
                          <w:lang w:val="en-GB"/>
                        </w:rPr>
                        <w:t>PHX production</w:t>
                      </w:r>
                    </w:p>
                  </w:txbxContent>
                </v:textbox>
                <w10:wrap anchorx="margin"/>
              </v:shape>
            </w:pict>
          </mc:Fallback>
        </mc:AlternateContent>
      </w:r>
      <w:r w:rsidR="001706C9">
        <w:rPr>
          <w:noProof/>
        </w:rPr>
        <mc:AlternateContent>
          <mc:Choice Requires="wps">
            <w:drawing>
              <wp:anchor distT="0" distB="0" distL="114300" distR="114300" simplePos="0" relativeHeight="251665408" behindDoc="1" locked="0" layoutInCell="1" allowOverlap="1" wp14:anchorId="0FECBA9A" wp14:editId="2FEC6398">
                <wp:simplePos x="0" y="0"/>
                <wp:positionH relativeFrom="margin">
                  <wp:posOffset>2475036</wp:posOffset>
                </wp:positionH>
                <wp:positionV relativeFrom="paragraph">
                  <wp:posOffset>-190547</wp:posOffset>
                </wp:positionV>
                <wp:extent cx="1739900" cy="381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39900" cy="381000"/>
                        </a:xfrm>
                        <a:prstGeom prst="rect">
                          <a:avLst/>
                        </a:prstGeom>
                        <a:solidFill>
                          <a:schemeClr val="lt1"/>
                        </a:solidFill>
                        <a:ln w="6350">
                          <a:noFill/>
                        </a:ln>
                      </wps:spPr>
                      <wps:txbx>
                        <w:txbxContent>
                          <w:p w14:paraId="6086A3A8" w14:textId="697BC282" w:rsidR="001364D0" w:rsidRPr="00AF5EA5" w:rsidRDefault="001364D0" w:rsidP="001364D0">
                            <w:pPr>
                              <w:rPr>
                                <w:b/>
                                <w:bCs/>
                                <w:sz w:val="18"/>
                                <w:szCs w:val="18"/>
                                <w:lang w:val="en-GB"/>
                              </w:rPr>
                            </w:pPr>
                            <w:r w:rsidRPr="00AF5EA5">
                              <w:rPr>
                                <w:b/>
                                <w:bCs/>
                                <w:sz w:val="18"/>
                                <w:szCs w:val="18"/>
                                <w:lang w:val="en-GB"/>
                              </w:rPr>
                              <w:t>PET production (methanol)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CBA9A" id="Text Box 12" o:spid="_x0000_s1027" type="#_x0000_t202" style="position:absolute;left:0;text-align:left;margin-left:194.9pt;margin-top:-15pt;width:137pt;height:30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" fillcolor="white [3201]" stroked="f" strokeweight=".5pt">
                <v:textbox>
                  <w:txbxContent>
                    <w:p w14:paraId="6086A3A8" w14:textId="697BC282" w:rsidR="001364D0" w:rsidRPr="00AF5EA5" w:rsidRDefault="001364D0" w:rsidP="001364D0">
                      <w:pPr>
                        <w:rPr>
                          <w:b/>
                          <w:bCs/>
                          <w:sz w:val="18"/>
                          <w:szCs w:val="18"/>
                          <w:lang w:val="en-GB"/>
                        </w:rPr>
                      </w:pPr>
                      <w:r w:rsidRPr="00AF5EA5">
                        <w:rPr>
                          <w:b/>
                          <w:bCs/>
                          <w:sz w:val="18"/>
                          <w:szCs w:val="18"/>
                          <w:lang w:val="en-GB"/>
                        </w:rPr>
                        <w:t>PET production (methanol)</w:t>
                      </w:r>
                    </w:p>
                  </w:txbxContent>
                </v:textbox>
                <w10:wrap anchorx="margin"/>
              </v:shape>
            </w:pict>
          </mc:Fallback>
        </mc:AlternateContent>
      </w:r>
      <w:r w:rsidR="00EA484D">
        <w:rPr>
          <w:noProof/>
        </w:rPr>
        <w:drawing>
          <wp:inline distT="114300" distB="114300" distL="114300" distR="114300" wp14:anchorId="0D91087C" wp14:editId="5D0E398C">
            <wp:extent cx="2303463" cy="170340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1805" b="24462"/>
                    <a:stretch>
                      <a:fillRect/>
                    </a:stretch>
                  </pic:blipFill>
                  <pic:spPr>
                    <a:xfrm>
                      <a:off x="0" y="0"/>
                      <a:ext cx="2303463" cy="1703401"/>
                    </a:xfrm>
                    <a:prstGeom prst="rect">
                      <a:avLst/>
                    </a:prstGeom>
                    <a:ln/>
                  </pic:spPr>
                </pic:pic>
              </a:graphicData>
            </a:graphic>
          </wp:inline>
        </w:drawing>
      </w:r>
      <w:r w:rsidR="00EA484D">
        <w:rPr>
          <w:noProof/>
        </w:rPr>
        <w:drawing>
          <wp:inline distT="114300" distB="114300" distL="114300" distR="114300" wp14:anchorId="4CFAEA95" wp14:editId="51063822">
            <wp:extent cx="1989138" cy="176487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1384" b="10066"/>
                    <a:stretch>
                      <a:fillRect/>
                    </a:stretch>
                  </pic:blipFill>
                  <pic:spPr>
                    <a:xfrm>
                      <a:off x="0" y="0"/>
                      <a:ext cx="1989138" cy="1764872"/>
                    </a:xfrm>
                    <a:prstGeom prst="rect">
                      <a:avLst/>
                    </a:prstGeom>
                    <a:ln/>
                  </pic:spPr>
                </pic:pic>
              </a:graphicData>
            </a:graphic>
          </wp:inline>
        </w:drawing>
      </w:r>
    </w:p>
    <w:p w14:paraId="62CBD20C" w14:textId="11DE4817" w:rsidR="001C1493" w:rsidRDefault="001C1493">
      <w:pPr>
        <w:keepNext/>
        <w:pBdr>
          <w:top w:val="nil"/>
          <w:left w:val="nil"/>
          <w:bottom w:val="nil"/>
          <w:right w:val="nil"/>
          <w:between w:val="nil"/>
        </w:pBdr>
        <w:jc w:val="both"/>
      </w:pPr>
      <w:r>
        <w:rPr>
          <w:noProof/>
        </w:rPr>
        <mc:AlternateContent>
          <mc:Choice Requires="wps">
            <w:drawing>
              <wp:anchor distT="0" distB="0" distL="114300" distR="114300" simplePos="0" relativeHeight="251661312" behindDoc="1" locked="0" layoutInCell="1" allowOverlap="1" wp14:anchorId="30ED039F" wp14:editId="44DE5766">
                <wp:simplePos x="0" y="0"/>
                <wp:positionH relativeFrom="leftMargin">
                  <wp:posOffset>4149524</wp:posOffset>
                </wp:positionH>
                <wp:positionV relativeFrom="paragraph">
                  <wp:posOffset>64513</wp:posOffset>
                </wp:positionV>
                <wp:extent cx="1657350" cy="259626"/>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1657350" cy="259626"/>
                        </a:xfrm>
                        <a:prstGeom prst="rect">
                          <a:avLst/>
                        </a:prstGeom>
                        <a:solidFill>
                          <a:schemeClr val="lt1"/>
                        </a:solidFill>
                        <a:ln w="6350">
                          <a:noFill/>
                        </a:ln>
                      </wps:spPr>
                      <wps:txbx>
                        <w:txbxContent>
                          <w:p w14:paraId="01BC9F7A" w14:textId="541D3207" w:rsidR="001364D0" w:rsidRPr="00AF5EA5" w:rsidRDefault="001364D0" w:rsidP="001364D0">
                            <w:pPr>
                              <w:rPr>
                                <w:b/>
                                <w:bCs/>
                                <w:sz w:val="18"/>
                                <w:szCs w:val="18"/>
                                <w:lang w:val="en-GB"/>
                              </w:rPr>
                            </w:pPr>
                            <w:r w:rsidRPr="00AF5EA5">
                              <w:rPr>
                                <w:b/>
                                <w:bCs/>
                                <w:sz w:val="18"/>
                                <w:szCs w:val="18"/>
                                <w:lang w:val="en-GB"/>
                              </w:rPr>
                              <w:t>PET production (CMF)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039F" id="Text Box 10" o:spid="_x0000_s1028" type="#_x0000_t202" style="position:absolute;left:0;text-align:left;margin-left:326.75pt;margin-top:5.1pt;width:130.5pt;height:20.4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" fillcolor="white [3201]" stroked="f" strokeweight=".5pt">
                <v:textbox>
                  <w:txbxContent>
                    <w:p w14:paraId="01BC9F7A" w14:textId="541D3207" w:rsidR="001364D0" w:rsidRPr="00AF5EA5" w:rsidRDefault="001364D0" w:rsidP="001364D0">
                      <w:pPr>
                        <w:rPr>
                          <w:b/>
                          <w:bCs/>
                          <w:sz w:val="18"/>
                          <w:szCs w:val="18"/>
                          <w:lang w:val="en-GB"/>
                        </w:rPr>
                      </w:pPr>
                      <w:r w:rsidRPr="00AF5EA5">
                        <w:rPr>
                          <w:b/>
                          <w:bCs/>
                          <w:sz w:val="18"/>
                          <w:szCs w:val="18"/>
                          <w:lang w:val="en-GB"/>
                        </w:rPr>
                        <w:t>PET production (CMF)</w:t>
                      </w:r>
                    </w:p>
                  </w:txbxContent>
                </v:textbox>
                <w10:wrap anchorx="margin"/>
              </v:shape>
            </w:pict>
          </mc:Fallback>
        </mc:AlternateContent>
      </w:r>
      <w:r>
        <w:rPr>
          <w:noProof/>
        </w:rPr>
        <mc:AlternateContent>
          <mc:Choice Requires="wps">
            <w:drawing>
              <wp:anchor distT="0" distB="0" distL="114300" distR="114300" simplePos="0" relativeHeight="251659264" behindDoc="1" locked="0" layoutInCell="1" allowOverlap="1" wp14:anchorId="6B672A46" wp14:editId="7D118784">
                <wp:simplePos x="0" y="0"/>
                <wp:positionH relativeFrom="leftMargin">
                  <wp:posOffset>1890178</wp:posOffset>
                </wp:positionH>
                <wp:positionV relativeFrom="paragraph">
                  <wp:posOffset>80677</wp:posOffset>
                </wp:positionV>
                <wp:extent cx="1388715" cy="32385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1388715" cy="323850"/>
                        </a:xfrm>
                        <a:prstGeom prst="rect">
                          <a:avLst/>
                        </a:prstGeom>
                        <a:solidFill>
                          <a:schemeClr val="lt1"/>
                        </a:solidFill>
                        <a:ln w="6350">
                          <a:noFill/>
                        </a:ln>
                      </wps:spPr>
                      <wps:txbx>
                        <w:txbxContent>
                          <w:p w14:paraId="4E3CDA35" w14:textId="0F08DD74" w:rsidR="001364D0" w:rsidRPr="00AF5EA5" w:rsidRDefault="001364D0">
                            <w:pPr>
                              <w:rPr>
                                <w:b/>
                                <w:bCs/>
                                <w:sz w:val="18"/>
                                <w:szCs w:val="18"/>
                                <w:lang w:val="en-GB"/>
                              </w:rPr>
                            </w:pPr>
                            <w:r w:rsidRPr="00AF5EA5">
                              <w:rPr>
                                <w:b/>
                                <w:bCs/>
                                <w:sz w:val="18"/>
                                <w:szCs w:val="18"/>
                                <w:lang w:val="en-GB"/>
                              </w:rPr>
                              <w:t>PEF production</w:t>
                            </w:r>
                            <w:r w:rsidR="001706C9">
                              <w:rPr>
                                <w:b/>
                                <w:bCs/>
                                <w:sz w:val="18"/>
                                <w:szCs w:val="18"/>
                                <w:lang w:val="en-GB"/>
                              </w:rPr>
                              <w:t xml:space="preserve"> (CMF)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2A46" id="Text Box 9" o:spid="_x0000_s1029" type="#_x0000_t202" style="position:absolute;left:0;text-align:left;margin-left:148.85pt;margin-top:6.35pt;width:109.35pt;height:25.5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" fillcolor="white [3201]" stroked="f" strokeweight=".5pt">
                <v:textbox>
                  <w:txbxContent>
                    <w:p w14:paraId="4E3CDA35" w14:textId="0F08DD74" w:rsidR="001364D0" w:rsidRPr="00AF5EA5" w:rsidRDefault="001364D0">
                      <w:pPr>
                        <w:rPr>
                          <w:b/>
                          <w:bCs/>
                          <w:sz w:val="18"/>
                          <w:szCs w:val="18"/>
                          <w:lang w:val="en-GB"/>
                        </w:rPr>
                      </w:pPr>
                      <w:r w:rsidRPr="00AF5EA5">
                        <w:rPr>
                          <w:b/>
                          <w:bCs/>
                          <w:sz w:val="18"/>
                          <w:szCs w:val="18"/>
                          <w:lang w:val="en-GB"/>
                        </w:rPr>
                        <w:t>PEF production</w:t>
                      </w:r>
                      <w:r w:rsidR="001706C9">
                        <w:rPr>
                          <w:b/>
                          <w:bCs/>
                          <w:sz w:val="18"/>
                          <w:szCs w:val="18"/>
                          <w:lang w:val="en-GB"/>
                        </w:rPr>
                        <w:t xml:space="preserve"> (CMF)</w:t>
                      </w:r>
                    </w:p>
                  </w:txbxContent>
                </v:textbox>
                <w10:wrap anchorx="margin"/>
              </v:shape>
            </w:pict>
          </mc:Fallback>
        </mc:AlternateContent>
      </w:r>
    </w:p>
    <w:p w14:paraId="57A0B4BD" w14:textId="65357993" w:rsidR="001C1493" w:rsidRDefault="001C1493">
      <w:pPr>
        <w:keepNext/>
        <w:pBdr>
          <w:top w:val="nil"/>
          <w:left w:val="nil"/>
          <w:bottom w:val="nil"/>
          <w:right w:val="nil"/>
          <w:between w:val="nil"/>
        </w:pBdr>
        <w:jc w:val="both"/>
      </w:pPr>
    </w:p>
    <w:p w14:paraId="2BC19F05" w14:textId="3611A051" w:rsidR="00455D96" w:rsidRDefault="00EA484D" w:rsidP="00455D96">
      <w:pPr>
        <w:keepNext/>
        <w:pBdr>
          <w:top w:val="nil"/>
          <w:left w:val="nil"/>
          <w:bottom w:val="nil"/>
          <w:right w:val="nil"/>
          <w:between w:val="nil"/>
        </w:pBdr>
        <w:jc w:val="both"/>
      </w:pPr>
      <w:r>
        <w:rPr>
          <w:noProof/>
        </w:rPr>
        <w:drawing>
          <wp:inline distT="114300" distB="114300" distL="114300" distR="114300" wp14:anchorId="76A460AB" wp14:editId="656C880C">
            <wp:extent cx="2255520" cy="1844608"/>
            <wp:effectExtent l="0" t="0" r="0" b="381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2"/>
                    <a:srcRect t="3214" b="14929"/>
                    <a:stretch/>
                  </pic:blipFill>
                  <pic:spPr bwMode="auto">
                    <a:xfrm>
                      <a:off x="0" y="0"/>
                      <a:ext cx="2255838" cy="1844868"/>
                    </a:xfrm>
                    <a:prstGeom prst="rect">
                      <a:avLst/>
                    </a:prstGeom>
                    <a:ln>
                      <a:noFill/>
                    </a:ln>
                    <a:extLst>
                      <a:ext uri="{53640926-AAD7-44D8-BBD7-CCE9431645EC}">
                        <a14:shadowObscured xmlns:a14="http://schemas.microsoft.com/office/drawing/2010/main"/>
                      </a:ext>
                    </a:extLst>
                  </pic:spPr>
                </pic:pic>
              </a:graphicData>
            </a:graphic>
          </wp:inline>
        </w:drawing>
      </w:r>
      <w:r w:rsidR="00455D96">
        <w:rPr>
          <w:noProof/>
        </w:rPr>
        <w:drawing>
          <wp:inline distT="114300" distB="114300" distL="114300" distR="114300" wp14:anchorId="5D401E2A" wp14:editId="7FD209D2">
            <wp:extent cx="2138544" cy="1877062"/>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t="1382" b="10268"/>
                    <a:stretch>
                      <a:fillRect/>
                    </a:stretch>
                  </pic:blipFill>
                  <pic:spPr>
                    <a:xfrm>
                      <a:off x="0" y="0"/>
                      <a:ext cx="2138544" cy="1877062"/>
                    </a:xfrm>
                    <a:prstGeom prst="rect">
                      <a:avLst/>
                    </a:prstGeom>
                    <a:ln/>
                  </pic:spPr>
                </pic:pic>
              </a:graphicData>
            </a:graphic>
          </wp:inline>
        </w:drawing>
      </w:r>
    </w:p>
    <w:p w14:paraId="0F39F14C" w14:textId="24AC7621" w:rsidR="00D26303" w:rsidRPr="00924543" w:rsidRDefault="00455D96" w:rsidP="00455D96">
      <w:pPr>
        <w:pStyle w:val="Caption"/>
        <w:jc w:val="center"/>
        <w:rPr>
          <w:color w:val="auto"/>
        </w:rPr>
      </w:pPr>
      <w:bookmarkStart w:id="1" w:name="_Ref152147149"/>
      <w:r w:rsidRPr="00924543">
        <w:rPr>
          <w:color w:val="auto"/>
        </w:rPr>
        <w:t xml:space="preserve">Figure </w:t>
      </w:r>
      <w:r w:rsidRPr="00924543">
        <w:rPr>
          <w:color w:val="auto"/>
        </w:rPr>
        <w:fldChar w:fldCharType="begin"/>
      </w:r>
      <w:r w:rsidRPr="00924543">
        <w:rPr>
          <w:color w:val="auto"/>
        </w:rPr>
        <w:instrText xml:space="preserve"> SEQ Figure \* ARABIC </w:instrText>
      </w:r>
      <w:r w:rsidRPr="00924543">
        <w:rPr>
          <w:color w:val="auto"/>
        </w:rPr>
        <w:fldChar w:fldCharType="separate"/>
      </w:r>
      <w:r w:rsidR="00537BEA">
        <w:rPr>
          <w:noProof/>
          <w:color w:val="auto"/>
        </w:rPr>
        <w:t>2</w:t>
      </w:r>
      <w:r w:rsidRPr="00924543">
        <w:rPr>
          <w:color w:val="auto"/>
        </w:rPr>
        <w:fldChar w:fldCharType="end"/>
      </w:r>
      <w:bookmarkEnd w:id="1"/>
      <w:r w:rsidRPr="00924543">
        <w:rPr>
          <w:color w:val="auto"/>
        </w:rPr>
        <w:t>: Sankey Flow Diagram - Mass Balance of the analyzed processes</w:t>
      </w:r>
    </w:p>
    <w:p w14:paraId="6DAA99B5" w14:textId="7E562332" w:rsidR="007D7470" w:rsidRPr="003B205A" w:rsidRDefault="00EA484D" w:rsidP="003B205A">
      <w:pPr>
        <w:pStyle w:val="Els-body-text"/>
      </w:pPr>
      <w:r w:rsidRPr="003B205A">
        <w:t xml:space="preserve">All the routes involved have relatively low material efficiencies, which is in the order of magnitude of second-generation bio-refineries that process recalcitrant </w:t>
      </w:r>
      <w:r>
        <w:t>lignocellulos</w:t>
      </w:r>
      <w:r w:rsidR="001706C9">
        <w:t>e</w:t>
      </w:r>
      <w:r w:rsidRPr="003B205A">
        <w:t xml:space="preserve"> structure. The route with the highest product yield and biomass valorization in the form of useful products is the one towards PHX. The route</w:t>
      </w:r>
      <w:r w:rsidR="001706C9" w:rsidRPr="003B205A">
        <w:t>s</w:t>
      </w:r>
      <w:r w:rsidRPr="003B205A">
        <w:t xml:space="preserve"> towards PEF</w:t>
      </w:r>
      <w:r w:rsidR="001706C9" w:rsidRPr="003B205A">
        <w:t xml:space="preserve"> and PET</w:t>
      </w:r>
      <w:r w:rsidRPr="003B205A">
        <w:t xml:space="preserve"> </w:t>
      </w:r>
      <w:r w:rsidR="001706C9" w:rsidRPr="003B205A">
        <w:t>are</w:t>
      </w:r>
      <w:r w:rsidRPr="003B205A">
        <w:t xml:space="preserve"> water-</w:t>
      </w:r>
      <w:r w:rsidR="00F37B3C" w:rsidRPr="003B205A">
        <w:t>and reagent-</w:t>
      </w:r>
      <w:r w:rsidRPr="003B205A">
        <w:t xml:space="preserve">intensive and </w:t>
      </w:r>
      <w:r w:rsidR="001706C9" w:rsidRPr="003B205A">
        <w:t>are</w:t>
      </w:r>
      <w:r w:rsidRPr="003B205A">
        <w:t xml:space="preserve"> characterized by an increase in </w:t>
      </w:r>
      <w:r w:rsidR="003234BD" w:rsidRPr="003B205A">
        <w:t xml:space="preserve">the </w:t>
      </w:r>
      <w:r>
        <w:t>number of reaction steps</w:t>
      </w:r>
      <w:r w:rsidRPr="003B205A">
        <w:t xml:space="preserve">. PET formation from methanol is the route with the lowest degree of biomass valorization which comes visible through large </w:t>
      </w:r>
      <w:r>
        <w:t>amounts</w:t>
      </w:r>
      <w:r w:rsidRPr="003B205A">
        <w:t xml:space="preserve"> of waste formed and the largest material requirements </w:t>
      </w:r>
      <w:r w:rsidR="003234BD" w:rsidRPr="003B205A">
        <w:t>for</w:t>
      </w:r>
      <w:r w:rsidRPr="003B205A">
        <w:t xml:space="preserve"> all the process</w:t>
      </w:r>
      <w:r w:rsidR="003234BD" w:rsidRPr="003B205A">
        <w:t>ing steps</w:t>
      </w:r>
      <w:r w:rsidRPr="003B205A">
        <w:t>.</w:t>
      </w:r>
    </w:p>
    <w:p w14:paraId="3B536398" w14:textId="53182C4D" w:rsidR="00D26303" w:rsidRPr="003B205A" w:rsidRDefault="00EA484D" w:rsidP="003B205A">
      <w:pPr>
        <w:pStyle w:val="Els-body-text"/>
        <w:ind w:firstLine="720"/>
      </w:pPr>
      <w:r w:rsidRPr="003B205A">
        <w:t xml:space="preserve">Holistic quantitative assessment of processing routes including both their mass and energy requirements is achieved by translating them into costs and environmental indicators through TEA and LCA. </w:t>
      </w:r>
      <w:r w:rsidR="001706C9" w:rsidRPr="003B205A">
        <w:fldChar w:fldCharType="begin"/>
      </w:r>
      <w:r w:rsidR="001706C9" w:rsidRPr="003B205A">
        <w:instrText xml:space="preserve"> REF _Ref152147432 \h </w:instrText>
      </w:r>
      <w:r w:rsidR="003B205A">
        <w:instrText xml:space="preserve"> \* MERGEFORMAT </w:instrText>
      </w:r>
      <w:r w:rsidR="001706C9" w:rsidRPr="003B205A">
        <w:fldChar w:fldCharType="separate"/>
      </w:r>
      <w:r w:rsidR="00537BEA" w:rsidRPr="00DD2B48">
        <w:t xml:space="preserve">Figure </w:t>
      </w:r>
      <w:r w:rsidR="00537BEA">
        <w:t>3</w:t>
      </w:r>
      <w:r w:rsidR="001706C9" w:rsidRPr="003B205A">
        <w:fldChar w:fldCharType="end"/>
      </w:r>
      <w:r w:rsidR="001706C9" w:rsidRPr="003B205A">
        <w:t xml:space="preserve"> </w:t>
      </w:r>
      <w:r w:rsidRPr="003B205A">
        <w:t xml:space="preserve">compares the alternatives with respect to the </w:t>
      </w:r>
      <w:r w:rsidRPr="003B205A">
        <w:lastRenderedPageBreak/>
        <w:t>production costs per unit mass of the polymer product</w:t>
      </w:r>
      <w:r w:rsidR="001706C9" w:rsidRPr="003B205A">
        <w:t xml:space="preserve"> (A)</w:t>
      </w:r>
      <w:r w:rsidRPr="003B205A">
        <w:t xml:space="preserve"> and the equivalent CO</w:t>
      </w:r>
      <w:r w:rsidRPr="001C1493">
        <w:rPr>
          <w:vertAlign w:val="subscript"/>
        </w:rPr>
        <w:t>2</w:t>
      </w:r>
      <w:r w:rsidRPr="003B205A">
        <w:t xml:space="preserve"> emissions per kg of all the useful products generated</w:t>
      </w:r>
      <w:r w:rsidR="001706C9" w:rsidRPr="003B205A">
        <w:t xml:space="preserve"> (B)</w:t>
      </w:r>
      <w:r w:rsidRPr="003B205A">
        <w:t>. Values presented for PEF and PHX production are subject to a large uncertainty due to scale-up from laboratory or pilot plant results to an industrial scale bio-refinery of 40 ton/h. Another layer of uncertainty</w:t>
      </w:r>
      <w:r w:rsidR="001706C9" w:rsidRPr="003B205A">
        <w:t xml:space="preserve"> to the operating costs</w:t>
      </w:r>
      <w:r w:rsidRPr="003B205A">
        <w:t xml:space="preserve"> is caused by the market </w:t>
      </w:r>
      <w:r>
        <w:t>price</w:t>
      </w:r>
      <w:r w:rsidRPr="003B205A">
        <w:t xml:space="preserve"> fluctuations.</w:t>
      </w:r>
    </w:p>
    <w:p w14:paraId="1AF538B7" w14:textId="77777777" w:rsidR="00A84A14" w:rsidRDefault="00493254" w:rsidP="00A84A14">
      <w:pPr>
        <w:keepNext/>
        <w:pBdr>
          <w:top w:val="nil"/>
          <w:left w:val="nil"/>
          <w:bottom w:val="nil"/>
          <w:right w:val="nil"/>
          <w:between w:val="nil"/>
        </w:pBdr>
        <w:jc w:val="both"/>
      </w:pPr>
      <w:r>
        <w:rPr>
          <w:noProof/>
        </w:rPr>
        <w:drawing>
          <wp:inline distT="0" distB="0" distL="0" distR="0" wp14:anchorId="5C36BE68" wp14:editId="7ABC4B8E">
            <wp:extent cx="4493762" cy="1896956"/>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4" cstate="print">
                      <a:extLst>
                        <a:ext uri="{28A0092B-C50C-407E-A947-70E740481C1C}">
                          <a14:useLocalDpi xmlns:a14="http://schemas.microsoft.com/office/drawing/2010/main" val="0"/>
                        </a:ext>
                      </a:extLst>
                    </a:blip>
                    <a:srcRect l="2936" t="5622" r="4340" b="6356"/>
                    <a:stretch/>
                  </pic:blipFill>
                  <pic:spPr bwMode="auto">
                    <a:xfrm>
                      <a:off x="0" y="0"/>
                      <a:ext cx="4521449" cy="1908644"/>
                    </a:xfrm>
                    <a:prstGeom prst="rect">
                      <a:avLst/>
                    </a:prstGeom>
                    <a:ln>
                      <a:noFill/>
                    </a:ln>
                    <a:extLst>
                      <a:ext uri="{53640926-AAD7-44D8-BBD7-CCE9431645EC}">
                        <a14:shadowObscured xmlns:a14="http://schemas.microsoft.com/office/drawing/2010/main"/>
                      </a:ext>
                    </a:extLst>
                  </pic:spPr>
                </pic:pic>
              </a:graphicData>
            </a:graphic>
          </wp:inline>
        </w:drawing>
      </w:r>
    </w:p>
    <w:p w14:paraId="5B2327C8" w14:textId="42DFB242" w:rsidR="00D26303" w:rsidRPr="00DD2B48" w:rsidRDefault="00A84A14" w:rsidP="005257C4">
      <w:pPr>
        <w:pStyle w:val="Caption"/>
        <w:jc w:val="center"/>
        <w:rPr>
          <w:color w:val="auto"/>
        </w:rPr>
      </w:pPr>
      <w:bookmarkStart w:id="2" w:name="_Ref152147432"/>
      <w:r w:rsidRPr="00DD2B48">
        <w:rPr>
          <w:color w:val="auto"/>
        </w:rPr>
        <w:t xml:space="preserve">Figure </w:t>
      </w:r>
      <w:r w:rsidR="00464D5B" w:rsidRPr="00DD2B48">
        <w:rPr>
          <w:color w:val="auto"/>
        </w:rPr>
        <w:fldChar w:fldCharType="begin"/>
      </w:r>
      <w:r w:rsidR="00464D5B" w:rsidRPr="00DD2B48">
        <w:rPr>
          <w:color w:val="auto"/>
        </w:rPr>
        <w:instrText xml:space="preserve"> SEQ Figure \* ARABIC </w:instrText>
      </w:r>
      <w:r w:rsidR="00464D5B" w:rsidRPr="00DD2B48">
        <w:rPr>
          <w:color w:val="auto"/>
        </w:rPr>
        <w:fldChar w:fldCharType="separate"/>
      </w:r>
      <w:r w:rsidR="00537BEA">
        <w:rPr>
          <w:noProof/>
          <w:color w:val="auto"/>
        </w:rPr>
        <w:t>3</w:t>
      </w:r>
      <w:r w:rsidR="00464D5B" w:rsidRPr="00DD2B48">
        <w:rPr>
          <w:noProof/>
          <w:color w:val="auto"/>
        </w:rPr>
        <w:fldChar w:fldCharType="end"/>
      </w:r>
      <w:bookmarkEnd w:id="2"/>
      <w:r w:rsidRPr="00DD2B48">
        <w:rPr>
          <w:color w:val="auto"/>
        </w:rPr>
        <w:t>: Production costs (A) and Environmental Impact (B) comparison</w:t>
      </w:r>
    </w:p>
    <w:p w14:paraId="151DB99B" w14:textId="6FE281BC" w:rsidR="00F66039" w:rsidRDefault="00DD2B48">
      <w:pPr>
        <w:pBdr>
          <w:top w:val="nil"/>
          <w:left w:val="nil"/>
          <w:bottom w:val="nil"/>
          <w:right w:val="nil"/>
          <w:between w:val="nil"/>
        </w:pBdr>
        <w:jc w:val="both"/>
        <w:rPr>
          <w:color w:val="000000"/>
        </w:rPr>
      </w:pPr>
      <w:r>
        <w:rPr>
          <w:color w:val="000000"/>
        </w:rPr>
        <w:t>The most significant contributor</w:t>
      </w:r>
      <w:r w:rsidR="00773B77">
        <w:rPr>
          <w:color w:val="000000"/>
        </w:rPr>
        <w:t xml:space="preserve"> </w:t>
      </w:r>
      <w:r>
        <w:rPr>
          <w:color w:val="000000"/>
        </w:rPr>
        <w:t>to</w:t>
      </w:r>
      <w:r w:rsidR="00773B77">
        <w:rPr>
          <w:color w:val="000000"/>
        </w:rPr>
        <w:t xml:space="preserve"> both</w:t>
      </w:r>
      <w:r>
        <w:rPr>
          <w:color w:val="000000"/>
        </w:rPr>
        <w:t xml:space="preserve"> costs and emissions </w:t>
      </w:r>
      <w:r w:rsidR="00773B77">
        <w:rPr>
          <w:color w:val="000000"/>
        </w:rPr>
        <w:t>is m</w:t>
      </w:r>
      <w:r>
        <w:rPr>
          <w:color w:val="000000"/>
        </w:rPr>
        <w:t>onomer production.</w:t>
      </w:r>
      <w:r w:rsidR="003D7938">
        <w:rPr>
          <w:color w:val="000000"/>
        </w:rPr>
        <w:t xml:space="preserve"> M</w:t>
      </w:r>
      <w:r>
        <w:rPr>
          <w:color w:val="000000"/>
        </w:rPr>
        <w:t>aterial requirements in the form of reagent, feedstock and waste treatment are the most significant</w:t>
      </w:r>
      <w:r w:rsidR="003D7938">
        <w:rPr>
          <w:color w:val="000000"/>
        </w:rPr>
        <w:t xml:space="preserve"> cost contributors </w:t>
      </w:r>
      <w:r w:rsidR="00170BF3">
        <w:rPr>
          <w:color w:val="000000"/>
        </w:rPr>
        <w:t>in all</w:t>
      </w:r>
      <w:r w:rsidR="003D7938">
        <w:rPr>
          <w:color w:val="000000"/>
        </w:rPr>
        <w:t xml:space="preserve"> processes</w:t>
      </w:r>
      <w:r w:rsidR="007D7470">
        <w:rPr>
          <w:color w:val="000000"/>
        </w:rPr>
        <w:t>, whil</w:t>
      </w:r>
      <w:r w:rsidR="00170BF3">
        <w:rPr>
          <w:color w:val="000000"/>
        </w:rPr>
        <w:t>st</w:t>
      </w:r>
      <w:r w:rsidR="007D7470">
        <w:rPr>
          <w:color w:val="000000"/>
        </w:rPr>
        <w:t xml:space="preserve"> capital expenditures </w:t>
      </w:r>
      <w:r w:rsidR="00170BF3">
        <w:rPr>
          <w:color w:val="000000"/>
        </w:rPr>
        <w:t>remain</w:t>
      </w:r>
      <w:r w:rsidR="007D7470">
        <w:rPr>
          <w:color w:val="000000"/>
        </w:rPr>
        <w:t xml:space="preserve"> in the range of 10</w:t>
      </w:r>
      <w:r w:rsidR="003B205A">
        <w:rPr>
          <w:color w:val="000000"/>
        </w:rPr>
        <w:t xml:space="preserve"> </w:t>
      </w:r>
      <w:r w:rsidR="007D7470">
        <w:rPr>
          <w:color w:val="000000"/>
        </w:rPr>
        <w:t>% of the production costs, as expected.</w:t>
      </w:r>
      <w:r>
        <w:rPr>
          <w:color w:val="000000"/>
        </w:rPr>
        <w:t xml:space="preserve"> PHX pr</w:t>
      </w:r>
      <w:r w:rsidR="003D7938">
        <w:rPr>
          <w:color w:val="000000"/>
        </w:rPr>
        <w:t>oduction</w:t>
      </w:r>
      <w:r>
        <w:rPr>
          <w:color w:val="000000"/>
        </w:rPr>
        <w:t xml:space="preserve"> has a </w:t>
      </w:r>
      <w:r w:rsidR="00773B77">
        <w:rPr>
          <w:color w:val="000000"/>
        </w:rPr>
        <w:t>substantially</w:t>
      </w:r>
      <w:r>
        <w:rPr>
          <w:color w:val="000000"/>
        </w:rPr>
        <w:t xml:space="preserve"> different cost distribution compared </w:t>
      </w:r>
      <w:r w:rsidR="007D7470">
        <w:rPr>
          <w:color w:val="000000"/>
        </w:rPr>
        <w:t xml:space="preserve">to </w:t>
      </w:r>
      <w:r w:rsidR="00773B77">
        <w:rPr>
          <w:color w:val="000000"/>
        </w:rPr>
        <w:t>conventional gasification route,</w:t>
      </w:r>
      <w:r w:rsidR="007D7470">
        <w:rPr>
          <w:color w:val="000000"/>
        </w:rPr>
        <w:t xml:space="preserve"> especially in terms of capital investments</w:t>
      </w:r>
      <w:r w:rsidR="00773B77">
        <w:rPr>
          <w:color w:val="000000"/>
        </w:rPr>
        <w:t>. By further optimizing material use in large-scale PHX production, one can envision further reduction in</w:t>
      </w:r>
      <w:r w:rsidR="007D7470">
        <w:rPr>
          <w:color w:val="000000"/>
        </w:rPr>
        <w:t xml:space="preserve"> operating</w:t>
      </w:r>
      <w:r w:rsidR="00773B77">
        <w:rPr>
          <w:color w:val="000000"/>
        </w:rPr>
        <w:t xml:space="preserve"> costs, which </w:t>
      </w:r>
      <w:r w:rsidR="007D7470">
        <w:rPr>
          <w:color w:val="000000"/>
        </w:rPr>
        <w:t>will increase its commercial competitiveness</w:t>
      </w:r>
      <w:r w:rsidR="00773B77">
        <w:rPr>
          <w:color w:val="000000"/>
        </w:rPr>
        <w:t>.</w:t>
      </w:r>
    </w:p>
    <w:p w14:paraId="7CE59407" w14:textId="231095E5" w:rsidR="00DD2B48" w:rsidRDefault="00514D91" w:rsidP="001C1493">
      <w:pPr>
        <w:pBdr>
          <w:top w:val="nil"/>
          <w:left w:val="nil"/>
          <w:bottom w:val="nil"/>
          <w:right w:val="nil"/>
          <w:between w:val="nil"/>
        </w:pBdr>
        <w:ind w:firstLine="720"/>
        <w:jc w:val="both"/>
        <w:rPr>
          <w:color w:val="000000"/>
        </w:rPr>
      </w:pPr>
      <w:r>
        <w:rPr>
          <w:color w:val="000000"/>
        </w:rPr>
        <w:t>The major influence</w:t>
      </w:r>
      <w:r w:rsidR="00DD2B48">
        <w:rPr>
          <w:color w:val="000000"/>
        </w:rPr>
        <w:t xml:space="preserve"> of natural gas in driving the global warming potential </w:t>
      </w:r>
      <w:r w:rsidR="00170BF3">
        <w:rPr>
          <w:color w:val="000000"/>
        </w:rPr>
        <w:t>across</w:t>
      </w:r>
      <w:r>
        <w:rPr>
          <w:color w:val="000000"/>
        </w:rPr>
        <w:t xml:space="preserve"> all</w:t>
      </w:r>
      <w:r w:rsidR="00DD2B48">
        <w:rPr>
          <w:color w:val="000000"/>
        </w:rPr>
        <w:t xml:space="preserve"> processes is evident, especially in the case of PEF production. The reason for th</w:t>
      </w:r>
      <w:r w:rsidR="003D7938">
        <w:rPr>
          <w:color w:val="000000"/>
        </w:rPr>
        <w:t>e</w:t>
      </w:r>
      <w:r w:rsidR="00DD2B48">
        <w:rPr>
          <w:color w:val="000000"/>
        </w:rPr>
        <w:t xml:space="preserve"> excessive heating requirement </w:t>
      </w:r>
      <w:r>
        <w:rPr>
          <w:color w:val="000000"/>
        </w:rPr>
        <w:t xml:space="preserve">of PEF </w:t>
      </w:r>
      <w:r w:rsidR="00DD2B48">
        <w:rPr>
          <w:color w:val="000000"/>
        </w:rPr>
        <w:t>compared to PET production through CMF lies in</w:t>
      </w:r>
      <w:r w:rsidR="00773B77">
        <w:rPr>
          <w:color w:val="000000"/>
        </w:rPr>
        <w:t xml:space="preserve"> the difference in operating </w:t>
      </w:r>
      <w:r w:rsidR="003D7938">
        <w:rPr>
          <w:color w:val="000000"/>
        </w:rPr>
        <w:t>requirements,</w:t>
      </w:r>
      <w:r w:rsidR="00DD2B48">
        <w:rPr>
          <w:color w:val="000000"/>
        </w:rPr>
        <w:t xml:space="preserve"> dilute pr</w:t>
      </w:r>
      <w:r w:rsidR="004D49E3">
        <w:rPr>
          <w:color w:val="000000"/>
        </w:rPr>
        <w:t>ocessing conditions</w:t>
      </w:r>
      <w:r w:rsidR="003D7938">
        <w:rPr>
          <w:color w:val="000000"/>
        </w:rPr>
        <w:t xml:space="preserve"> a</w:t>
      </w:r>
      <w:r w:rsidR="00F66039">
        <w:rPr>
          <w:color w:val="000000"/>
        </w:rPr>
        <w:t>nd</w:t>
      </w:r>
      <w:r w:rsidR="003D7938">
        <w:rPr>
          <w:color w:val="000000"/>
        </w:rPr>
        <w:t xml:space="preserve"> </w:t>
      </w:r>
      <w:r w:rsidR="00773B77">
        <w:rPr>
          <w:color w:val="000000"/>
        </w:rPr>
        <w:t>lower degree of heat integration opportunitie</w:t>
      </w:r>
      <w:r w:rsidR="003D7938">
        <w:rPr>
          <w:color w:val="000000"/>
        </w:rPr>
        <w:t xml:space="preserve">s. High temperatures required for gasification are on the other hand responsible for high heating demand in PET production through methanol. </w:t>
      </w:r>
      <w:r w:rsidR="00F66039">
        <w:rPr>
          <w:color w:val="000000"/>
        </w:rPr>
        <w:t>Key</w:t>
      </w:r>
      <w:r w:rsidR="003D7938">
        <w:rPr>
          <w:color w:val="000000"/>
        </w:rPr>
        <w:t xml:space="preserve"> d</w:t>
      </w:r>
      <w:r w:rsidR="004D49E3">
        <w:rPr>
          <w:color w:val="000000"/>
        </w:rPr>
        <w:t>ifferences</w:t>
      </w:r>
      <w:r w:rsidR="003D7938">
        <w:rPr>
          <w:color w:val="000000"/>
        </w:rPr>
        <w:t xml:space="preserve"> in operating conditions </w:t>
      </w:r>
      <w:r w:rsidR="00170BF3">
        <w:rPr>
          <w:color w:val="000000"/>
        </w:rPr>
        <w:t xml:space="preserve">between </w:t>
      </w:r>
      <w:r w:rsidR="003D7938">
        <w:rPr>
          <w:color w:val="000000"/>
        </w:rPr>
        <w:t xml:space="preserve">processes </w:t>
      </w:r>
      <w:r w:rsidR="004D49E3">
        <w:rPr>
          <w:color w:val="000000"/>
        </w:rPr>
        <w:t xml:space="preserve">arising from the variations in molecular structures </w:t>
      </w:r>
      <w:r w:rsidR="003D7938">
        <w:rPr>
          <w:color w:val="000000"/>
        </w:rPr>
        <w:t>are considered as intrinsic</w:t>
      </w:r>
      <w:r w:rsidR="004D49E3">
        <w:rPr>
          <w:color w:val="000000"/>
        </w:rPr>
        <w:t xml:space="preserve"> process</w:t>
      </w:r>
      <w:r w:rsidR="003D7938">
        <w:rPr>
          <w:color w:val="000000"/>
        </w:rPr>
        <w:t xml:space="preserve"> characteristic</w:t>
      </w:r>
      <w:r w:rsidR="004D49E3">
        <w:rPr>
          <w:color w:val="000000"/>
        </w:rPr>
        <w:t>s</w:t>
      </w:r>
      <w:r w:rsidR="003D7938">
        <w:rPr>
          <w:color w:val="000000"/>
        </w:rPr>
        <w:t xml:space="preserve"> and </w:t>
      </w:r>
      <w:r w:rsidR="00170BF3">
        <w:rPr>
          <w:color w:val="000000"/>
        </w:rPr>
        <w:t>are</w:t>
      </w:r>
      <w:r w:rsidR="003D7938">
        <w:rPr>
          <w:color w:val="000000"/>
        </w:rPr>
        <w:t xml:space="preserve"> not expected to be overcome by process optimization. </w:t>
      </w:r>
      <w:r w:rsidR="009B0144">
        <w:rPr>
          <w:color w:val="000000"/>
        </w:rPr>
        <w:t>Such is the case of PEF wh</w:t>
      </w:r>
      <w:r w:rsidR="00E97051">
        <w:rPr>
          <w:color w:val="000000"/>
        </w:rPr>
        <w:t>ose monomer formation (FDCA)</w:t>
      </w:r>
      <w:r w:rsidR="009B0144">
        <w:rPr>
          <w:color w:val="000000"/>
        </w:rPr>
        <w:t xml:space="preserve"> was evaluated</w:t>
      </w:r>
      <w:r w:rsidR="00E97051">
        <w:rPr>
          <w:color w:val="000000"/>
        </w:rPr>
        <w:t xml:space="preserve"> potentially more exergy efficient</w:t>
      </w:r>
      <w:r w:rsidR="00113789">
        <w:rPr>
          <w:color w:val="000000"/>
        </w:rPr>
        <w:t xml:space="preserve"> than PT</w:t>
      </w:r>
      <w:r w:rsidR="00E97051">
        <w:rPr>
          <w:color w:val="000000"/>
        </w:rPr>
        <w:t>A for PET</w:t>
      </w:r>
      <w:r w:rsidR="00113789">
        <w:rPr>
          <w:color w:val="000000"/>
        </w:rPr>
        <w:t xml:space="preserve"> formation</w:t>
      </w:r>
      <w:r w:rsidR="009B0144">
        <w:rPr>
          <w:color w:val="000000"/>
        </w:rPr>
        <w:t>, but experiences additional limitations u</w:t>
      </w:r>
      <w:r w:rsidR="00171B6A">
        <w:rPr>
          <w:color w:val="000000"/>
        </w:rPr>
        <w:t>pon</w:t>
      </w:r>
      <w:r w:rsidR="000051BC">
        <w:rPr>
          <w:color w:val="000000"/>
        </w:rPr>
        <w:t xml:space="preserve"> modelling</w:t>
      </w:r>
      <w:r w:rsidR="00D7343D">
        <w:rPr>
          <w:color w:val="000000"/>
        </w:rPr>
        <w:t xml:space="preserve"> </w:t>
      </w:r>
      <w:r w:rsidR="00171B6A">
        <w:rPr>
          <w:color w:val="000000"/>
        </w:rPr>
        <w:t>t</w:t>
      </w:r>
      <w:r w:rsidR="00D7343D">
        <w:rPr>
          <w:color w:val="000000"/>
        </w:rPr>
        <w:t xml:space="preserve">he current </w:t>
      </w:r>
      <w:r w:rsidR="00171B6A">
        <w:rPr>
          <w:color w:val="000000"/>
        </w:rPr>
        <w:t xml:space="preserve">production </w:t>
      </w:r>
      <w:r w:rsidR="00D7343D">
        <w:rPr>
          <w:color w:val="000000"/>
        </w:rPr>
        <w:t>practice</w:t>
      </w:r>
      <w:r w:rsidR="009B0144">
        <w:rPr>
          <w:color w:val="000000"/>
        </w:rPr>
        <w:t>.</w:t>
      </w:r>
    </w:p>
    <w:p w14:paraId="477862FD" w14:textId="62D4078E" w:rsidR="00D26303" w:rsidRDefault="00EA484D" w:rsidP="001C1493">
      <w:pPr>
        <w:pBdr>
          <w:top w:val="nil"/>
          <w:left w:val="nil"/>
          <w:bottom w:val="nil"/>
          <w:right w:val="nil"/>
          <w:between w:val="nil"/>
        </w:pBdr>
        <w:ind w:firstLine="360"/>
        <w:jc w:val="both"/>
        <w:rPr>
          <w:color w:val="000000"/>
        </w:rPr>
      </w:pPr>
      <w:r>
        <w:rPr>
          <w:color w:val="000000"/>
        </w:rPr>
        <w:t xml:space="preserve">Some technologies, even though mature, </w:t>
      </w:r>
      <w:r w:rsidR="007D7470">
        <w:rPr>
          <w:color w:val="000000"/>
        </w:rPr>
        <w:t xml:space="preserve">are </w:t>
      </w:r>
      <w:r w:rsidR="009F596F">
        <w:rPr>
          <w:color w:val="000000"/>
        </w:rPr>
        <w:t>less likely to be selected</w:t>
      </w:r>
      <w:r>
        <w:rPr>
          <w:color w:val="000000"/>
        </w:rPr>
        <w:t xml:space="preserve"> in the context of a </w:t>
      </w:r>
      <w:r w:rsidR="007D7470">
        <w:rPr>
          <w:color w:val="000000"/>
        </w:rPr>
        <w:t xml:space="preserve">future </w:t>
      </w:r>
      <w:r>
        <w:rPr>
          <w:color w:val="000000"/>
        </w:rPr>
        <w:t xml:space="preserve">bio-refinery due to </w:t>
      </w:r>
      <w:r w:rsidR="00170BF3">
        <w:rPr>
          <w:color w:val="000000"/>
        </w:rPr>
        <w:t xml:space="preserve">the </w:t>
      </w:r>
      <w:r w:rsidR="007D7470">
        <w:rPr>
          <w:color w:val="000000"/>
        </w:rPr>
        <w:t>high rate of waste formation, energy intensity or even direct CO</w:t>
      </w:r>
      <w:r w:rsidR="007D7470">
        <w:rPr>
          <w:color w:val="000000"/>
          <w:vertAlign w:val="subscript"/>
        </w:rPr>
        <w:t xml:space="preserve">2 </w:t>
      </w:r>
      <w:r w:rsidR="007D7470">
        <w:rPr>
          <w:color w:val="000000"/>
        </w:rPr>
        <w:t xml:space="preserve">emissions in the case of gasification. On the other hand, biobased oriented processing is characterized by </w:t>
      </w:r>
      <w:r>
        <w:rPr>
          <w:color w:val="000000"/>
        </w:rPr>
        <w:t>dilute stream</w:t>
      </w:r>
      <w:r w:rsidR="002A1EFE">
        <w:rPr>
          <w:color w:val="000000"/>
        </w:rPr>
        <w:t>s</w:t>
      </w:r>
      <w:r>
        <w:rPr>
          <w:color w:val="000000"/>
        </w:rPr>
        <w:t xml:space="preserve"> </w:t>
      </w:r>
      <w:r w:rsidR="007D7470">
        <w:rPr>
          <w:color w:val="000000"/>
        </w:rPr>
        <w:t>and high material requirements (catalysts</w:t>
      </w:r>
      <w:r w:rsidR="002A1EFE">
        <w:rPr>
          <w:color w:val="000000"/>
        </w:rPr>
        <w:t xml:space="preserve"> etc.</w:t>
      </w:r>
      <w:r w:rsidR="007D7470">
        <w:rPr>
          <w:color w:val="000000"/>
        </w:rPr>
        <w:t>)</w:t>
      </w:r>
      <w:r w:rsidR="00371847">
        <w:rPr>
          <w:color w:val="000000"/>
        </w:rPr>
        <w:t xml:space="preserve"> that can be</w:t>
      </w:r>
      <w:r w:rsidR="00170BF3">
        <w:rPr>
          <w:color w:val="000000"/>
        </w:rPr>
        <w:t xml:space="preserve"> more</w:t>
      </w:r>
      <w:r w:rsidR="00371847">
        <w:rPr>
          <w:color w:val="000000"/>
        </w:rPr>
        <w:t xml:space="preserve"> </w:t>
      </w:r>
      <w:r w:rsidR="00170BF3">
        <w:rPr>
          <w:color w:val="000000"/>
        </w:rPr>
        <w:t xml:space="preserve">easily </w:t>
      </w:r>
      <w:r w:rsidR="009F596F">
        <w:rPr>
          <w:color w:val="000000"/>
        </w:rPr>
        <w:t>improved</w:t>
      </w:r>
      <w:r>
        <w:rPr>
          <w:color w:val="000000"/>
        </w:rPr>
        <w:t>.</w:t>
      </w:r>
      <w:r w:rsidR="007D7470">
        <w:rPr>
          <w:color w:val="000000"/>
        </w:rPr>
        <w:t xml:space="preserve"> </w:t>
      </w:r>
      <w:r w:rsidR="002A1EFE">
        <w:rPr>
          <w:color w:val="000000"/>
        </w:rPr>
        <w:t xml:space="preserve">In order to optimize such </w:t>
      </w:r>
      <w:r w:rsidR="007D7470">
        <w:rPr>
          <w:color w:val="000000"/>
        </w:rPr>
        <w:t>processes</w:t>
      </w:r>
      <w:r w:rsidR="002A1EFE">
        <w:rPr>
          <w:color w:val="000000"/>
        </w:rPr>
        <w:t xml:space="preserve"> with substantial</w:t>
      </w:r>
      <w:r w:rsidR="00F66039">
        <w:rPr>
          <w:color w:val="000000"/>
        </w:rPr>
        <w:t xml:space="preserve"> yields of </w:t>
      </w:r>
      <w:r w:rsidR="00170BF3">
        <w:rPr>
          <w:color w:val="000000"/>
        </w:rPr>
        <w:t>high exergy content products</w:t>
      </w:r>
      <w:r w:rsidR="00F66039">
        <w:rPr>
          <w:color w:val="000000"/>
        </w:rPr>
        <w:t xml:space="preserve"> and</w:t>
      </w:r>
      <w:r w:rsidR="002A1EFE">
        <w:rPr>
          <w:color w:val="000000"/>
        </w:rPr>
        <w:t xml:space="preserve"> </w:t>
      </w:r>
      <w:r w:rsidR="00170BF3">
        <w:rPr>
          <w:color w:val="000000"/>
        </w:rPr>
        <w:t xml:space="preserve">superior </w:t>
      </w:r>
      <w:r w:rsidR="002A1EFE">
        <w:rPr>
          <w:color w:val="000000"/>
        </w:rPr>
        <w:t>degree of feedstock valorization in the form of useful products</w:t>
      </w:r>
      <w:r w:rsidR="00F66039">
        <w:rPr>
          <w:color w:val="000000"/>
        </w:rPr>
        <w:t xml:space="preserve">, </w:t>
      </w:r>
      <w:r w:rsidR="007D7470">
        <w:rPr>
          <w:color w:val="000000"/>
        </w:rPr>
        <w:t xml:space="preserve">process intensification </w:t>
      </w:r>
      <w:r w:rsidR="00F66039">
        <w:rPr>
          <w:color w:val="000000"/>
        </w:rPr>
        <w:t>needs to complement the scale-up</w:t>
      </w:r>
      <w:r w:rsidR="007D7470">
        <w:rPr>
          <w:color w:val="000000"/>
        </w:rPr>
        <w:t>.</w:t>
      </w:r>
      <w:r w:rsidR="00170BF3">
        <w:rPr>
          <w:color w:val="000000"/>
        </w:rPr>
        <w:br w:type="page"/>
      </w:r>
    </w:p>
    <w:p w14:paraId="51ED4840" w14:textId="0E77EF94" w:rsidR="00D26303" w:rsidRPr="00F66039" w:rsidRDefault="00EA484D" w:rsidP="00F66039">
      <w:pPr>
        <w:pStyle w:val="Els-1storder-head"/>
        <w:numPr>
          <w:ilvl w:val="0"/>
          <w:numId w:val="2"/>
        </w:numPr>
        <w:spacing w:after="120"/>
        <w:rPr>
          <w:lang w:val="en-GB"/>
        </w:rPr>
      </w:pPr>
      <w:r w:rsidRPr="00F66039">
        <w:rPr>
          <w:lang w:val="en-GB"/>
        </w:rPr>
        <w:lastRenderedPageBreak/>
        <w:t>Conclusions</w:t>
      </w:r>
      <w:r w:rsidR="00E811EF" w:rsidRPr="00F66039">
        <w:rPr>
          <w:lang w:val="en-GB"/>
        </w:rPr>
        <w:t xml:space="preserve"> </w:t>
      </w:r>
    </w:p>
    <w:p w14:paraId="7CF292AB" w14:textId="6123E24B" w:rsidR="00D26303" w:rsidRDefault="00EA484D" w:rsidP="0079017A">
      <w:pPr>
        <w:pBdr>
          <w:top w:val="nil"/>
          <w:left w:val="nil"/>
          <w:bottom w:val="nil"/>
          <w:right w:val="nil"/>
          <w:between w:val="nil"/>
        </w:pBdr>
        <w:jc w:val="both"/>
        <w:rPr>
          <w:color w:val="000000"/>
        </w:rPr>
      </w:pPr>
      <w:r>
        <w:rPr>
          <w:color w:val="000000"/>
        </w:rPr>
        <w:t xml:space="preserve">This work </w:t>
      </w:r>
      <w:r>
        <w:t>aimed</w:t>
      </w:r>
      <w:r>
        <w:rPr>
          <w:color w:val="000000"/>
        </w:rPr>
        <w:t xml:space="preserve"> </w:t>
      </w:r>
      <w:r w:rsidR="00170BF3">
        <w:rPr>
          <w:color w:val="000000"/>
        </w:rPr>
        <w:t>at</w:t>
      </w:r>
      <w:r>
        <w:rPr>
          <w:color w:val="000000"/>
        </w:rPr>
        <w:t xml:space="preserve"> portray</w:t>
      </w:r>
      <w:r w:rsidR="00170BF3">
        <w:rPr>
          <w:color w:val="000000"/>
        </w:rPr>
        <w:t>ing</w:t>
      </w:r>
      <w:r>
        <w:rPr>
          <w:color w:val="000000"/>
        </w:rPr>
        <w:t xml:space="preserve"> the role of each step in the comparative evaluation of emerging industrial solutions towards more sustainable packaging plastics. Rethinking bio-refining in terms of nature-inspired product</w:t>
      </w:r>
      <w:r w:rsidR="002A1EFE">
        <w:rPr>
          <w:color w:val="000000"/>
        </w:rPr>
        <w:t xml:space="preserve"> development</w:t>
      </w:r>
      <w:r>
        <w:rPr>
          <w:color w:val="000000"/>
        </w:rPr>
        <w:t xml:space="preserve"> instead of retrofitting biomass structure to conventional petroleum-derived structures comes as a key aspect when considering the use of biomass. Mass and energy performance assessed on three different levels (molecule, process and system) in this work justifies such thinking and provides solid proof </w:t>
      </w:r>
      <w:r w:rsidR="00170BF3">
        <w:rPr>
          <w:color w:val="000000"/>
        </w:rPr>
        <w:t>for</w:t>
      </w:r>
      <w:r>
        <w:rPr>
          <w:color w:val="000000"/>
        </w:rPr>
        <w:t xml:space="preserve"> pursuing chemically and energetically more feasible routes. Thermodynamic analysis indicates that preserving the native biomass structure in the end product results in the formation of molecules with increased functionalization and chemical exergy content. Detailed process modeling is required to assess the actual process mass and energy efficiencies and shows the difference in cost and emission drivers across processes. It also shows that by continuously optimizing new processes that are more compatible </w:t>
      </w:r>
      <w:r w:rsidR="001364D0">
        <w:rPr>
          <w:color w:val="000000"/>
        </w:rPr>
        <w:t>with</w:t>
      </w:r>
      <w:r>
        <w:rPr>
          <w:color w:val="000000"/>
        </w:rPr>
        <w:t xml:space="preserve"> the biomass structure (energetically and materially), one might become more competitive, whereas for the mature technologies used for the drop-in polymers, such </w:t>
      </w:r>
      <w:r>
        <w:t>as PET</w:t>
      </w:r>
      <w:r>
        <w:rPr>
          <w:color w:val="000000"/>
        </w:rPr>
        <w:t>, little room for improvement remains available.</w:t>
      </w:r>
      <w:r w:rsidR="00AF5EA5">
        <w:rPr>
          <w:color w:val="000000"/>
        </w:rPr>
        <w:t xml:space="preserve"> </w:t>
      </w:r>
    </w:p>
    <w:sdt>
      <w:sdtPr>
        <w:rPr>
          <w:b w:val="0"/>
          <w:sz w:val="20"/>
          <w:szCs w:val="20"/>
        </w:rPr>
        <w:id w:val="122514776"/>
        <w:docPartObj>
          <w:docPartGallery w:val="Bibliographies"/>
          <w:docPartUnique/>
        </w:docPartObj>
      </w:sdtPr>
      <w:sdtEndPr>
        <w:rPr>
          <w:color w:val="000000"/>
          <w:sz w:val="17"/>
          <w:szCs w:val="17"/>
        </w:rPr>
      </w:sdtEndPr>
      <w:sdtContent>
        <w:p w14:paraId="450C942E" w14:textId="0C751B5A" w:rsidR="0079017A" w:rsidRPr="001C1493" w:rsidRDefault="0079017A">
          <w:pPr>
            <w:pStyle w:val="Heading1"/>
            <w:rPr>
              <w:sz w:val="20"/>
              <w:szCs w:val="20"/>
              <w:lang w:eastAsia="en-US"/>
            </w:rPr>
          </w:pPr>
          <w:r w:rsidRPr="001C1493">
            <w:rPr>
              <w:sz w:val="20"/>
              <w:szCs w:val="20"/>
              <w:lang w:eastAsia="en-US"/>
            </w:rPr>
            <w:t>References</w:t>
          </w:r>
        </w:p>
        <w:sdt>
          <w:sdtPr>
            <w:rPr>
              <w:sz w:val="18"/>
              <w:szCs w:val="18"/>
            </w:rPr>
            <w:id w:val="-573587230"/>
            <w:bibliography/>
          </w:sdtPr>
          <w:sdtEndPr>
            <w:rPr>
              <w:color w:val="000000"/>
              <w:sz w:val="17"/>
              <w:szCs w:val="17"/>
            </w:rPr>
          </w:sdtEndPr>
          <w:sdtContent>
            <w:p w14:paraId="45BADB3E" w14:textId="77777777" w:rsidR="001C1493" w:rsidRPr="001C1493" w:rsidRDefault="0079017A" w:rsidP="001C1493">
              <w:pPr>
                <w:pStyle w:val="Bibliography"/>
                <w:ind w:left="720" w:hanging="720"/>
                <w:jc w:val="both"/>
                <w:rPr>
                  <w:noProof/>
                  <w:sz w:val="17"/>
                  <w:szCs w:val="17"/>
                </w:rPr>
              </w:pPr>
              <w:r w:rsidRPr="001C1493">
                <w:rPr>
                  <w:noProof/>
                  <w:sz w:val="17"/>
                  <w:szCs w:val="17"/>
                  <w:lang w:eastAsia="en-US"/>
                </w:rPr>
                <w:fldChar w:fldCharType="begin"/>
              </w:r>
              <w:r w:rsidRPr="001C1493">
                <w:rPr>
                  <w:noProof/>
                  <w:sz w:val="17"/>
                  <w:szCs w:val="17"/>
                  <w:lang w:eastAsia="en-US"/>
                </w:rPr>
                <w:instrText xml:space="preserve"> BIBLIOGRAPHY </w:instrText>
              </w:r>
              <w:r w:rsidRPr="001C1493">
                <w:rPr>
                  <w:noProof/>
                  <w:sz w:val="17"/>
                  <w:szCs w:val="17"/>
                  <w:lang w:eastAsia="en-US"/>
                </w:rPr>
                <w:fldChar w:fldCharType="separate"/>
              </w:r>
              <w:r w:rsidR="001C1493" w:rsidRPr="001C1493">
                <w:rPr>
                  <w:noProof/>
                  <w:sz w:val="17"/>
                  <w:szCs w:val="17"/>
                </w:rPr>
                <w:t xml:space="preserve">Bachmann M., Zibunas C., Hartmann J. et al. "Towards circular plastics within planetary boundaries." </w:t>
              </w:r>
              <w:r w:rsidR="001C1493" w:rsidRPr="001C1493">
                <w:rPr>
                  <w:i/>
                  <w:iCs/>
                  <w:noProof/>
                  <w:sz w:val="17"/>
                  <w:szCs w:val="17"/>
                </w:rPr>
                <w:t>Nature Sustainability</w:t>
              </w:r>
              <w:r w:rsidR="001C1493" w:rsidRPr="001C1493">
                <w:rPr>
                  <w:noProof/>
                  <w:sz w:val="17"/>
                  <w:szCs w:val="17"/>
                </w:rPr>
                <w:t>, 2023: 599–610.</w:t>
              </w:r>
            </w:p>
            <w:p w14:paraId="2C79BD68" w14:textId="77777777" w:rsidR="001C1493" w:rsidRPr="001C1493" w:rsidRDefault="001C1493" w:rsidP="001C1493">
              <w:pPr>
                <w:pStyle w:val="Bibliography"/>
                <w:ind w:left="720" w:hanging="720"/>
                <w:jc w:val="both"/>
                <w:rPr>
                  <w:noProof/>
                  <w:sz w:val="17"/>
                  <w:szCs w:val="17"/>
                </w:rPr>
              </w:pPr>
              <w:r w:rsidRPr="001C1493">
                <w:rPr>
                  <w:noProof/>
                  <w:sz w:val="17"/>
                  <w:szCs w:val="17"/>
                </w:rPr>
                <w:t xml:space="preserve">Gabrielli P., Rosa L., Gazzani M., Meys R., Bardow A., Mazzotti M., Sansavini G. "Net-zero emissions chemical industry in a world of limited resources." </w:t>
              </w:r>
              <w:r w:rsidRPr="001C1493">
                <w:rPr>
                  <w:i/>
                  <w:iCs/>
                  <w:noProof/>
                  <w:sz w:val="17"/>
                  <w:szCs w:val="17"/>
                </w:rPr>
                <w:t>One Earth</w:t>
              </w:r>
              <w:r w:rsidRPr="001C1493">
                <w:rPr>
                  <w:noProof/>
                  <w:sz w:val="17"/>
                  <w:szCs w:val="17"/>
                </w:rPr>
                <w:t xml:space="preserve"> (One Earth), 2023: 2590-3322.</w:t>
              </w:r>
            </w:p>
            <w:p w14:paraId="5563F720" w14:textId="77777777" w:rsidR="001C1493" w:rsidRPr="001C1493" w:rsidRDefault="001C1493" w:rsidP="001C1493">
              <w:pPr>
                <w:pStyle w:val="Bibliography"/>
                <w:ind w:left="720" w:hanging="720"/>
                <w:jc w:val="both"/>
                <w:rPr>
                  <w:noProof/>
                  <w:sz w:val="17"/>
                  <w:szCs w:val="17"/>
                </w:rPr>
              </w:pPr>
              <w:r w:rsidRPr="001C1493">
                <w:rPr>
                  <w:noProof/>
                  <w:sz w:val="17"/>
                  <w:szCs w:val="17"/>
                </w:rPr>
                <w:t xml:space="preserve">Hannula, I., and E. Kurkela. </w:t>
              </w:r>
              <w:r w:rsidRPr="001C1493">
                <w:rPr>
                  <w:i/>
                  <w:iCs/>
                  <w:noProof/>
                  <w:sz w:val="17"/>
                  <w:szCs w:val="17"/>
                </w:rPr>
                <w:t>Liquid transportation fuels via large-scale fluidised-bed gasification of lignocellulosic biomass.</w:t>
              </w:r>
              <w:r w:rsidRPr="001C1493">
                <w:rPr>
                  <w:noProof/>
                  <w:sz w:val="17"/>
                  <w:szCs w:val="17"/>
                </w:rPr>
                <w:t xml:space="preserve"> VTT, 2013.</w:t>
              </w:r>
            </w:p>
            <w:p w14:paraId="770C773D" w14:textId="77777777" w:rsidR="001C1493" w:rsidRPr="001C1493" w:rsidRDefault="001C1493" w:rsidP="001C1493">
              <w:pPr>
                <w:pStyle w:val="Bibliography"/>
                <w:ind w:left="720" w:hanging="720"/>
                <w:jc w:val="both"/>
                <w:rPr>
                  <w:noProof/>
                  <w:sz w:val="17"/>
                  <w:szCs w:val="17"/>
                </w:rPr>
              </w:pPr>
              <w:r w:rsidRPr="001C1493">
                <w:rPr>
                  <w:noProof/>
                  <w:sz w:val="17"/>
                  <w:szCs w:val="17"/>
                </w:rPr>
                <w:t>Hirsch - Weil et al. Methods of Producing Alkylfurans. Patent US 10,618,880 B2. 2020.</w:t>
              </w:r>
            </w:p>
            <w:p w14:paraId="34475F97" w14:textId="77777777" w:rsidR="001C1493" w:rsidRPr="001C1493" w:rsidRDefault="001C1493" w:rsidP="001C1493">
              <w:pPr>
                <w:pStyle w:val="Bibliography"/>
                <w:ind w:left="720" w:hanging="720"/>
                <w:jc w:val="both"/>
                <w:rPr>
                  <w:noProof/>
                  <w:sz w:val="17"/>
                  <w:szCs w:val="17"/>
                </w:rPr>
              </w:pPr>
              <w:r w:rsidRPr="001C1493">
                <w:rPr>
                  <w:noProof/>
                  <w:sz w:val="17"/>
                  <w:szCs w:val="17"/>
                </w:rPr>
                <w:t xml:space="preserve">Iffland K., Carus M., Baltus D. W., de Bie F. "Definition, Calculation and Comparison of the “Biomass Utilization Efficiency (BUE)” of Various Bio-Based Chemicals, Polymers and Fuels." </w:t>
              </w:r>
              <w:r w:rsidRPr="001C1493">
                <w:rPr>
                  <w:i/>
                  <w:iCs/>
                  <w:noProof/>
                  <w:sz w:val="17"/>
                  <w:szCs w:val="17"/>
                </w:rPr>
                <w:t xml:space="preserve">Nova Paper 8 on bio-based economy </w:t>
              </w:r>
              <w:r w:rsidRPr="001C1493">
                <w:rPr>
                  <w:noProof/>
                  <w:sz w:val="17"/>
                  <w:szCs w:val="17"/>
                </w:rPr>
                <w:t>, 2015.</w:t>
              </w:r>
            </w:p>
            <w:p w14:paraId="312AE438" w14:textId="77777777" w:rsidR="001C1493" w:rsidRPr="001C1493" w:rsidRDefault="001C1493" w:rsidP="001C1493">
              <w:pPr>
                <w:pStyle w:val="Bibliography"/>
                <w:ind w:left="720" w:hanging="720"/>
                <w:jc w:val="both"/>
                <w:rPr>
                  <w:noProof/>
                  <w:sz w:val="17"/>
                  <w:szCs w:val="17"/>
                </w:rPr>
              </w:pPr>
              <w:r w:rsidRPr="001C1493">
                <w:rPr>
                  <w:noProof/>
                  <w:sz w:val="17"/>
                  <w:szCs w:val="17"/>
                </w:rPr>
                <w:t xml:space="preserve">Lange J.-P. et al. "Towards circular carbo-chemicals – the metamorphosis of petrochemicals." </w:t>
              </w:r>
              <w:r w:rsidRPr="001C1493">
                <w:rPr>
                  <w:i/>
                  <w:iCs/>
                  <w:noProof/>
                  <w:sz w:val="17"/>
                  <w:szCs w:val="17"/>
                </w:rPr>
                <w:t>Energy Environ. Sci.</w:t>
              </w:r>
              <w:r w:rsidRPr="001C1493">
                <w:rPr>
                  <w:noProof/>
                  <w:sz w:val="17"/>
                  <w:szCs w:val="17"/>
                </w:rPr>
                <w:t>, 2021: 4358-4376.</w:t>
              </w:r>
            </w:p>
            <w:p w14:paraId="5582134E" w14:textId="77777777" w:rsidR="001C1493" w:rsidRPr="001C1493" w:rsidRDefault="001C1493" w:rsidP="001C1493">
              <w:pPr>
                <w:pStyle w:val="Bibliography"/>
                <w:ind w:left="720" w:hanging="720"/>
                <w:jc w:val="both"/>
                <w:rPr>
                  <w:noProof/>
                  <w:sz w:val="17"/>
                  <w:szCs w:val="17"/>
                </w:rPr>
              </w:pPr>
              <w:r w:rsidRPr="001C1493">
                <w:rPr>
                  <w:noProof/>
                  <w:sz w:val="17"/>
                  <w:szCs w:val="17"/>
                </w:rPr>
                <w:t xml:space="preserve">Manker L. P., Jones M. J., Bertella S., Behaghel de Bueren J., Luterbacher J.S. "Current strategies for industrial plastic production from non-edible biomass." </w:t>
              </w:r>
              <w:r w:rsidRPr="001C1493">
                <w:rPr>
                  <w:i/>
                  <w:iCs/>
                  <w:noProof/>
                  <w:sz w:val="17"/>
                  <w:szCs w:val="17"/>
                </w:rPr>
                <w:t>Current Opinion in Green and Sustainable Chemistry</w:t>
              </w:r>
              <w:r w:rsidRPr="001C1493">
                <w:rPr>
                  <w:noProof/>
                  <w:sz w:val="17"/>
                  <w:szCs w:val="17"/>
                </w:rPr>
                <w:t>, 2023: 2452-2236.</w:t>
              </w:r>
            </w:p>
            <w:p w14:paraId="7A2B84CE" w14:textId="77777777" w:rsidR="001C1493" w:rsidRPr="001C1493" w:rsidRDefault="001C1493" w:rsidP="001C1493">
              <w:pPr>
                <w:pStyle w:val="Bibliography"/>
                <w:ind w:left="720" w:hanging="720"/>
                <w:jc w:val="both"/>
                <w:rPr>
                  <w:noProof/>
                  <w:sz w:val="17"/>
                  <w:szCs w:val="17"/>
                </w:rPr>
              </w:pPr>
              <w:r w:rsidRPr="001C1493">
                <w:rPr>
                  <w:noProof/>
                  <w:sz w:val="17"/>
                  <w:szCs w:val="17"/>
                </w:rPr>
                <w:t xml:space="preserve">Manker L.P., Dick G.R., Demongeot A. et al. "Sustainable polyesters via direct functionalization of lignocellulosic sugars." </w:t>
              </w:r>
              <w:r w:rsidRPr="001C1493">
                <w:rPr>
                  <w:i/>
                  <w:iCs/>
                  <w:noProof/>
                  <w:sz w:val="17"/>
                  <w:szCs w:val="17"/>
                </w:rPr>
                <w:t>Nature Chemistry</w:t>
              </w:r>
              <w:r w:rsidRPr="001C1493">
                <w:rPr>
                  <w:noProof/>
                  <w:sz w:val="17"/>
                  <w:szCs w:val="17"/>
                </w:rPr>
                <w:t>, 2022: 976–984.</w:t>
              </w:r>
            </w:p>
            <w:p w14:paraId="7292BB22" w14:textId="77777777" w:rsidR="001C1493" w:rsidRPr="001C1493" w:rsidRDefault="001C1493" w:rsidP="001C1493">
              <w:pPr>
                <w:pStyle w:val="Bibliography"/>
                <w:ind w:left="720" w:hanging="720"/>
                <w:jc w:val="both"/>
                <w:rPr>
                  <w:noProof/>
                  <w:sz w:val="17"/>
                  <w:szCs w:val="17"/>
                </w:rPr>
              </w:pPr>
              <w:r w:rsidRPr="001C1493">
                <w:rPr>
                  <w:noProof/>
                  <w:sz w:val="17"/>
                  <w:szCs w:val="17"/>
                </w:rPr>
                <w:t>Masuno et al. Methods of Producing Para-Xylene and Terephthalic Acid. Patent US 9.260,359 B2. 2016.</w:t>
              </w:r>
            </w:p>
            <w:p w14:paraId="02220190" w14:textId="77777777" w:rsidR="001C1493" w:rsidRPr="001C1493" w:rsidRDefault="001C1493" w:rsidP="001C1493">
              <w:pPr>
                <w:pStyle w:val="Bibliography"/>
                <w:ind w:left="720" w:hanging="720"/>
                <w:jc w:val="both"/>
                <w:rPr>
                  <w:noProof/>
                  <w:sz w:val="17"/>
                  <w:szCs w:val="17"/>
                </w:rPr>
              </w:pPr>
              <w:r w:rsidRPr="001C1493">
                <w:rPr>
                  <w:noProof/>
                  <w:sz w:val="17"/>
                  <w:szCs w:val="17"/>
                </w:rPr>
                <w:t xml:space="preserve">Meys R., Kätelhön A., Bachmann A., Winter B., Zibunas C., Suh S., Bardow A. "Achieving net-zero greenhouse gas emission plastics by a circular carbon economy." </w:t>
              </w:r>
              <w:r w:rsidRPr="001C1493">
                <w:rPr>
                  <w:i/>
                  <w:iCs/>
                  <w:noProof/>
                  <w:sz w:val="17"/>
                  <w:szCs w:val="17"/>
                </w:rPr>
                <w:t>Science</w:t>
              </w:r>
              <w:r w:rsidRPr="001C1493">
                <w:rPr>
                  <w:noProof/>
                  <w:sz w:val="17"/>
                  <w:szCs w:val="17"/>
                </w:rPr>
                <w:t>, 2021: 71-76.</w:t>
              </w:r>
            </w:p>
            <w:p w14:paraId="6DA2AEAD" w14:textId="77777777" w:rsidR="001C1493" w:rsidRPr="001C1493" w:rsidRDefault="001C1493" w:rsidP="001C1493">
              <w:pPr>
                <w:pStyle w:val="Bibliography"/>
                <w:ind w:left="720" w:hanging="720"/>
                <w:jc w:val="both"/>
                <w:rPr>
                  <w:noProof/>
                  <w:sz w:val="17"/>
                  <w:szCs w:val="17"/>
                </w:rPr>
              </w:pPr>
              <w:r w:rsidRPr="001C1493">
                <w:rPr>
                  <w:noProof/>
                  <w:sz w:val="17"/>
                  <w:szCs w:val="17"/>
                </w:rPr>
                <w:t xml:space="preserve">Müller L. J., Kätelhön A., Bachmann M., Zimmermann A., Sternberg A., Bardow A. "A Guideline for Life Cycle Assessment of Carbon Capture and Utilization." </w:t>
              </w:r>
              <w:r w:rsidRPr="001C1493">
                <w:rPr>
                  <w:i/>
                  <w:iCs/>
                  <w:noProof/>
                  <w:sz w:val="17"/>
                  <w:szCs w:val="17"/>
                </w:rPr>
                <w:t>Frontiers in Energy Research</w:t>
              </w:r>
              <w:r w:rsidRPr="001C1493">
                <w:rPr>
                  <w:noProof/>
                  <w:sz w:val="17"/>
                  <w:szCs w:val="17"/>
                </w:rPr>
                <w:t>, 2020.</w:t>
              </w:r>
            </w:p>
            <w:p w14:paraId="151419FD" w14:textId="77777777" w:rsidR="001C1493" w:rsidRPr="001C1493" w:rsidRDefault="001C1493" w:rsidP="001C1493">
              <w:pPr>
                <w:pStyle w:val="Bibliography"/>
                <w:ind w:left="720" w:hanging="720"/>
                <w:jc w:val="both"/>
                <w:rPr>
                  <w:noProof/>
                  <w:sz w:val="17"/>
                  <w:szCs w:val="17"/>
                </w:rPr>
              </w:pPr>
              <w:r w:rsidRPr="001C1493">
                <w:rPr>
                  <w:noProof/>
                  <w:sz w:val="17"/>
                  <w:szCs w:val="17"/>
                </w:rPr>
                <w:t>Muñoz De Diego et al. Method for the Preparation of 2.5-Furandicarboxylic Acid and Esteres Thereof. Patent US 8,519,167 B2. 2013.</w:t>
              </w:r>
            </w:p>
            <w:p w14:paraId="3F35C21F" w14:textId="77777777" w:rsidR="001C1493" w:rsidRPr="001C1493" w:rsidRDefault="001C1493" w:rsidP="001C1493">
              <w:pPr>
                <w:pStyle w:val="Bibliography"/>
                <w:ind w:left="720" w:hanging="720"/>
                <w:jc w:val="both"/>
                <w:rPr>
                  <w:noProof/>
                  <w:sz w:val="17"/>
                  <w:szCs w:val="17"/>
                </w:rPr>
              </w:pPr>
              <w:r w:rsidRPr="001C1493">
                <w:rPr>
                  <w:noProof/>
                  <w:sz w:val="17"/>
                  <w:szCs w:val="17"/>
                </w:rPr>
                <w:t>van Putten et al. Process For The Conversion of a Solid Lignocellulosic Material. Patent US 2021/0032217 A1. 2021.</w:t>
              </w:r>
            </w:p>
            <w:p w14:paraId="0C64F67B" w14:textId="77777777" w:rsidR="001C1493" w:rsidRPr="001C1493" w:rsidRDefault="001C1493" w:rsidP="001C1493">
              <w:pPr>
                <w:pStyle w:val="Bibliography"/>
                <w:ind w:left="720" w:hanging="720"/>
                <w:jc w:val="both"/>
                <w:rPr>
                  <w:noProof/>
                  <w:sz w:val="17"/>
                  <w:szCs w:val="17"/>
                </w:rPr>
              </w:pPr>
              <w:r w:rsidRPr="001C1493">
                <w:rPr>
                  <w:noProof/>
                  <w:sz w:val="17"/>
                  <w:szCs w:val="17"/>
                </w:rPr>
                <w:t xml:space="preserve">Weber J. M., Guo Z., Lapkin A. A. "Discovering Circular Process Solutions through Automated Reaction Network Optimization." </w:t>
              </w:r>
              <w:r w:rsidRPr="001C1493">
                <w:rPr>
                  <w:i/>
                  <w:iCs/>
                  <w:noProof/>
                  <w:sz w:val="17"/>
                  <w:szCs w:val="17"/>
                </w:rPr>
                <w:t>ACS Engineering Au</w:t>
              </w:r>
              <w:r w:rsidRPr="001C1493">
                <w:rPr>
                  <w:noProof/>
                  <w:sz w:val="17"/>
                  <w:szCs w:val="17"/>
                </w:rPr>
                <w:t>, 2022: 333–349.</w:t>
              </w:r>
            </w:p>
            <w:p w14:paraId="37655221" w14:textId="1EC430C8" w:rsidR="0079017A" w:rsidRPr="001C1493" w:rsidRDefault="0079017A" w:rsidP="001C1493">
              <w:pPr>
                <w:jc w:val="both"/>
                <w:rPr>
                  <w:color w:val="000000"/>
                  <w:sz w:val="17"/>
                  <w:szCs w:val="17"/>
                </w:rPr>
              </w:pPr>
              <w:r w:rsidRPr="001C1493">
                <w:rPr>
                  <w:noProof/>
                  <w:sz w:val="17"/>
                  <w:szCs w:val="17"/>
                  <w:lang w:eastAsia="en-US"/>
                </w:rPr>
                <w:fldChar w:fldCharType="end"/>
              </w:r>
            </w:p>
          </w:sdtContent>
        </w:sdt>
      </w:sdtContent>
    </w:sdt>
    <w:sectPr w:rsidR="0079017A" w:rsidRPr="001C1493">
      <w:headerReference w:type="even" r:id="rId15"/>
      <w:headerReference w:type="default" r:id="rId16"/>
      <w:footerReference w:type="even" r:id="rId17"/>
      <w:footerReference w:type="default" r:id="rId18"/>
      <w:headerReference w:type="first" r:id="rId19"/>
      <w:footerReference w:type="first" r:id="rId20"/>
      <w:pgSz w:w="11906" w:h="16838"/>
      <w:pgMar w:top="2377" w:right="2410" w:bottom="2892" w:left="2410" w:header="1701" w:footer="28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511C6" w14:textId="77777777" w:rsidR="006D53AB" w:rsidRDefault="006D53AB">
      <w:r>
        <w:separator/>
      </w:r>
    </w:p>
  </w:endnote>
  <w:endnote w:type="continuationSeparator" w:id="0">
    <w:p w14:paraId="273112E3" w14:textId="77777777" w:rsidR="006D53AB" w:rsidRDefault="006D5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haris SIL">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EEC2" w14:textId="77777777" w:rsidR="00D26303" w:rsidRDefault="00D26303">
    <w:pPr>
      <w:pBdr>
        <w:top w:val="nil"/>
        <w:left w:val="nil"/>
        <w:bottom w:val="nil"/>
        <w:right w:val="nil"/>
        <w:between w:val="nil"/>
      </w:pBdr>
      <w:tabs>
        <w:tab w:val="center" w:pos="3600"/>
        <w:tab w:val="right" w:pos="720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1F14" w14:textId="77777777" w:rsidR="00D26303" w:rsidRDefault="00D26303">
    <w:pPr>
      <w:pBdr>
        <w:top w:val="nil"/>
        <w:left w:val="nil"/>
        <w:bottom w:val="nil"/>
        <w:right w:val="nil"/>
        <w:between w:val="nil"/>
      </w:pBdr>
      <w:tabs>
        <w:tab w:val="center" w:pos="3600"/>
        <w:tab w:val="right" w:pos="720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7FB5" w14:textId="77777777" w:rsidR="00D26303" w:rsidRDefault="00D26303">
    <w:pPr>
      <w:pBdr>
        <w:top w:val="nil"/>
        <w:left w:val="nil"/>
        <w:bottom w:val="nil"/>
        <w:right w:val="nil"/>
        <w:between w:val="nil"/>
      </w:pBdr>
      <w:tabs>
        <w:tab w:val="center" w:pos="3600"/>
        <w:tab w:val="right" w:pos="720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D4494" w14:textId="77777777" w:rsidR="006D53AB" w:rsidRDefault="006D53AB">
      <w:r>
        <w:separator/>
      </w:r>
    </w:p>
  </w:footnote>
  <w:footnote w:type="continuationSeparator" w:id="0">
    <w:p w14:paraId="0B4FD592" w14:textId="77777777" w:rsidR="006D53AB" w:rsidRDefault="006D5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32D60" w14:textId="77777777" w:rsidR="00D26303" w:rsidRDefault="00EA484D">
    <w:pPr>
      <w:pBdr>
        <w:top w:val="nil"/>
        <w:left w:val="nil"/>
        <w:bottom w:val="nil"/>
        <w:right w:val="nil"/>
        <w:between w:val="nil"/>
      </w:pBdr>
      <w:tabs>
        <w:tab w:val="center" w:pos="3600"/>
        <w:tab w:val="right" w:pos="7200"/>
        <w:tab w:val="right" w:pos="7088"/>
      </w:tabs>
      <w:rPr>
        <w:color w:val="000000"/>
      </w:rPr>
    </w:pPr>
    <w:r>
      <w:rPr>
        <w:color w:val="000000"/>
      </w:rPr>
      <w:tab/>
    </w:r>
    <w:r>
      <w:rPr>
        <w: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8400F" w14:textId="77777777" w:rsidR="00D26303" w:rsidRDefault="00EA484D">
    <w:pPr>
      <w:pBdr>
        <w:top w:val="nil"/>
        <w:left w:val="nil"/>
        <w:bottom w:val="nil"/>
        <w:right w:val="nil"/>
        <w:between w:val="nil"/>
      </w:pBdr>
      <w:tabs>
        <w:tab w:val="center" w:pos="3600"/>
        <w:tab w:val="right" w:pos="7200"/>
        <w:tab w:val="right" w:pos="7088"/>
      </w:tabs>
      <w:jc w:val="right"/>
      <w:rPr>
        <w:color w:val="000000"/>
        <w:sz w:val="24"/>
        <w:szCs w:val="24"/>
      </w:rPr>
    </w:pPr>
    <w:r>
      <w:rPr>
        <w:i/>
        <w:color w:val="000000"/>
        <w:sz w:val="24"/>
        <w:szCs w:val="24"/>
      </w:rPr>
      <w:tab/>
    </w:r>
    <w:r>
      <w:rPr>
        <w:color w:val="000000"/>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33F4" w14:textId="77777777" w:rsidR="00D26303" w:rsidRDefault="00EA484D">
    <w:pPr>
      <w:pBdr>
        <w:top w:val="nil"/>
        <w:left w:val="nil"/>
        <w:bottom w:val="nil"/>
        <w:right w:val="nil"/>
        <w:between w:val="nil"/>
      </w:pBdr>
      <w:rPr>
        <w:color w:val="000000"/>
      </w:rPr>
    </w:pPr>
    <w:r>
      <w:rPr>
        <w:noProof/>
        <w:color w:val="000000"/>
      </w:rPr>
      <w:drawing>
        <wp:inline distT="0" distB="0" distL="0" distR="0" wp14:anchorId="6339EA5F" wp14:editId="3FE119DA">
          <wp:extent cx="4499610" cy="91694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499610" cy="916940"/>
                  </a:xfrm>
                  <a:prstGeom prst="rect">
                    <a:avLst/>
                  </a:prstGeom>
                  <a:ln/>
                </pic:spPr>
              </pic:pic>
            </a:graphicData>
          </a:graphic>
        </wp:inline>
      </w:drawing>
    </w:r>
    <w:r>
      <w:rPr>
        <w:color w:val="000000"/>
      </w:rPr>
      <w:t>Flavio Manenti, Gintaras V. Reklaitis (Eds.), Book of Abstract of the 34</w:t>
    </w:r>
    <w:r>
      <w:rPr>
        <w:color w:val="000000"/>
        <w:vertAlign w:val="superscript"/>
      </w:rPr>
      <w:t>th</w:t>
    </w:r>
    <w:r>
      <w:rPr>
        <w:color w:val="000000"/>
      </w:rPr>
      <w:t xml:space="preserve"> European Symposium on Computer Aided Process Engineering / 15</w:t>
    </w:r>
    <w:r>
      <w:rPr>
        <w:color w:val="000000"/>
        <w:vertAlign w:val="superscript"/>
      </w:rPr>
      <w:t>th</w:t>
    </w:r>
    <w:r>
      <w:rPr>
        <w:color w:val="000000"/>
      </w:rPr>
      <w:t xml:space="preserve"> International Symposium on Process Systems Engineerin</w:t>
    </w:r>
    <w:r>
      <w:rPr>
        <w:color w:val="000000"/>
        <w:u w:val="single"/>
      </w:rPr>
      <w:t>g</w:t>
    </w:r>
    <w:r>
      <w:rPr>
        <w:color w:val="000000"/>
      </w:rPr>
      <w:t xml:space="preserve"> (ESCAPE34/PSE24), June 2-6, 2024, Florence, Italy.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8217E"/>
    <w:multiLevelType w:val="multilevel"/>
    <w:tmpl w:val="B3242232"/>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 w15:restartNumberingAfterBreak="0">
    <w:nsid w:val="4AFF528A"/>
    <w:multiLevelType w:val="multilevel"/>
    <w:tmpl w:val="26BECA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4F010CB5"/>
    <w:multiLevelType w:val="multilevel"/>
    <w:tmpl w:val="63E25252"/>
    <w:lvl w:ilvl="0">
      <w:start w:val="1"/>
      <w:numFmt w:val="decimal"/>
      <w:lvlText w:val="Chapter %1"/>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3" w15:restartNumberingAfterBreak="0">
    <w:nsid w:val="78BA3E8A"/>
    <w:multiLevelType w:val="multilevel"/>
    <w:tmpl w:val="D0027CC6"/>
    <w:lvl w:ilvl="0">
      <w:start w:val="2"/>
      <w:numFmt w:val="decimal"/>
      <w:lvlText w:val="%1"/>
      <w:lvlJc w:val="left"/>
      <w:pPr>
        <w:ind w:left="360" w:hanging="360"/>
      </w:pPr>
      <w:rPr>
        <w:rFonts w:hint="default"/>
        <w:i/>
        <w:color w:val="000000"/>
      </w:rPr>
    </w:lvl>
    <w:lvl w:ilvl="1">
      <w:start w:val="2"/>
      <w:numFmt w:val="decimal"/>
      <w:lvlText w:val="%1.%2"/>
      <w:lvlJc w:val="left"/>
      <w:pPr>
        <w:ind w:left="360" w:hanging="360"/>
      </w:pPr>
      <w:rPr>
        <w:rFonts w:hint="default"/>
        <w:i/>
        <w:color w:val="000000"/>
      </w:rPr>
    </w:lvl>
    <w:lvl w:ilvl="2">
      <w:start w:val="1"/>
      <w:numFmt w:val="decimal"/>
      <w:lvlText w:val="%1.%2.%3"/>
      <w:lvlJc w:val="left"/>
      <w:pPr>
        <w:ind w:left="720" w:hanging="720"/>
      </w:pPr>
      <w:rPr>
        <w:rFonts w:hint="default"/>
        <w:i/>
        <w:color w:val="000000"/>
      </w:rPr>
    </w:lvl>
    <w:lvl w:ilvl="3">
      <w:start w:val="1"/>
      <w:numFmt w:val="decimal"/>
      <w:lvlText w:val="%1.%2.%3.%4"/>
      <w:lvlJc w:val="left"/>
      <w:pPr>
        <w:ind w:left="720" w:hanging="720"/>
      </w:pPr>
      <w:rPr>
        <w:rFonts w:hint="default"/>
        <w:i/>
        <w:color w:val="000000"/>
      </w:rPr>
    </w:lvl>
    <w:lvl w:ilvl="4">
      <w:start w:val="1"/>
      <w:numFmt w:val="decimal"/>
      <w:lvlText w:val="%1.%2.%3.%4.%5"/>
      <w:lvlJc w:val="left"/>
      <w:pPr>
        <w:ind w:left="720" w:hanging="720"/>
      </w:pPr>
      <w:rPr>
        <w:rFonts w:hint="default"/>
        <w:i/>
        <w:color w:val="000000"/>
      </w:rPr>
    </w:lvl>
    <w:lvl w:ilvl="5">
      <w:start w:val="1"/>
      <w:numFmt w:val="decimal"/>
      <w:lvlText w:val="%1.%2.%3.%4.%5.%6"/>
      <w:lvlJc w:val="left"/>
      <w:pPr>
        <w:ind w:left="1080" w:hanging="1080"/>
      </w:pPr>
      <w:rPr>
        <w:rFonts w:hint="default"/>
        <w:i/>
        <w:color w:val="000000"/>
      </w:rPr>
    </w:lvl>
    <w:lvl w:ilvl="6">
      <w:start w:val="1"/>
      <w:numFmt w:val="decimal"/>
      <w:lvlText w:val="%1.%2.%3.%4.%5.%6.%7"/>
      <w:lvlJc w:val="left"/>
      <w:pPr>
        <w:ind w:left="1080" w:hanging="1080"/>
      </w:pPr>
      <w:rPr>
        <w:rFonts w:hint="default"/>
        <w:i/>
        <w:color w:val="000000"/>
      </w:rPr>
    </w:lvl>
    <w:lvl w:ilvl="7">
      <w:start w:val="1"/>
      <w:numFmt w:val="decimal"/>
      <w:lvlText w:val="%1.%2.%3.%4.%5.%6.%7.%8"/>
      <w:lvlJc w:val="left"/>
      <w:pPr>
        <w:ind w:left="1440" w:hanging="1440"/>
      </w:pPr>
      <w:rPr>
        <w:rFonts w:hint="default"/>
        <w:i/>
        <w:color w:val="000000"/>
      </w:rPr>
    </w:lvl>
    <w:lvl w:ilvl="8">
      <w:start w:val="1"/>
      <w:numFmt w:val="decimal"/>
      <w:lvlText w:val="%1.%2.%3.%4.%5.%6.%7.%8.%9"/>
      <w:lvlJc w:val="left"/>
      <w:pPr>
        <w:ind w:left="1440" w:hanging="1440"/>
      </w:pPr>
      <w:rPr>
        <w:rFonts w:hint="default"/>
        <w:i/>
        <w:color w:val="00000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303"/>
    <w:rsid w:val="000051BC"/>
    <w:rsid w:val="00023CEB"/>
    <w:rsid w:val="0006767B"/>
    <w:rsid w:val="000A1442"/>
    <w:rsid w:val="000D3DC9"/>
    <w:rsid w:val="000D51FB"/>
    <w:rsid w:val="00113789"/>
    <w:rsid w:val="001364D0"/>
    <w:rsid w:val="001508E2"/>
    <w:rsid w:val="001657D8"/>
    <w:rsid w:val="00167D1B"/>
    <w:rsid w:val="001706C9"/>
    <w:rsid w:val="00170BF3"/>
    <w:rsid w:val="00171B6A"/>
    <w:rsid w:val="001C1493"/>
    <w:rsid w:val="001E75E3"/>
    <w:rsid w:val="002A1BC0"/>
    <w:rsid w:val="002A1EFE"/>
    <w:rsid w:val="002A2EE6"/>
    <w:rsid w:val="002B113B"/>
    <w:rsid w:val="002C31F8"/>
    <w:rsid w:val="003234BD"/>
    <w:rsid w:val="00371847"/>
    <w:rsid w:val="003B0378"/>
    <w:rsid w:val="003B205A"/>
    <w:rsid w:val="003D7938"/>
    <w:rsid w:val="00417318"/>
    <w:rsid w:val="00455D96"/>
    <w:rsid w:val="00464D5B"/>
    <w:rsid w:val="0047044F"/>
    <w:rsid w:val="00493254"/>
    <w:rsid w:val="004D49E3"/>
    <w:rsid w:val="00514D91"/>
    <w:rsid w:val="005257C4"/>
    <w:rsid w:val="00537BEA"/>
    <w:rsid w:val="005428B3"/>
    <w:rsid w:val="005A4E51"/>
    <w:rsid w:val="005B47C7"/>
    <w:rsid w:val="006A4AE3"/>
    <w:rsid w:val="006C2F66"/>
    <w:rsid w:val="006D53AB"/>
    <w:rsid w:val="007118F3"/>
    <w:rsid w:val="0077109A"/>
    <w:rsid w:val="007721DF"/>
    <w:rsid w:val="00773B77"/>
    <w:rsid w:val="0079017A"/>
    <w:rsid w:val="007D7470"/>
    <w:rsid w:val="007E4CB0"/>
    <w:rsid w:val="007E77CA"/>
    <w:rsid w:val="00835D4C"/>
    <w:rsid w:val="00863AAC"/>
    <w:rsid w:val="008A2006"/>
    <w:rsid w:val="00924543"/>
    <w:rsid w:val="00993A26"/>
    <w:rsid w:val="009941CE"/>
    <w:rsid w:val="009A19FD"/>
    <w:rsid w:val="009B0144"/>
    <w:rsid w:val="009B2941"/>
    <w:rsid w:val="009F596F"/>
    <w:rsid w:val="00A84A14"/>
    <w:rsid w:val="00AB551B"/>
    <w:rsid w:val="00AD5215"/>
    <w:rsid w:val="00AF5EA5"/>
    <w:rsid w:val="00B36996"/>
    <w:rsid w:val="00B46A46"/>
    <w:rsid w:val="00B52D37"/>
    <w:rsid w:val="00B5591A"/>
    <w:rsid w:val="00C514DF"/>
    <w:rsid w:val="00CC67E5"/>
    <w:rsid w:val="00CD06F5"/>
    <w:rsid w:val="00CE6490"/>
    <w:rsid w:val="00D26303"/>
    <w:rsid w:val="00D7343D"/>
    <w:rsid w:val="00D77D2D"/>
    <w:rsid w:val="00DA15CB"/>
    <w:rsid w:val="00DD2B48"/>
    <w:rsid w:val="00E574A4"/>
    <w:rsid w:val="00E811EF"/>
    <w:rsid w:val="00E82530"/>
    <w:rsid w:val="00E907D2"/>
    <w:rsid w:val="00E97051"/>
    <w:rsid w:val="00EA484D"/>
    <w:rsid w:val="00EB1741"/>
    <w:rsid w:val="00F07C0E"/>
    <w:rsid w:val="00F37B3C"/>
    <w:rsid w:val="00F66039"/>
    <w:rsid w:val="00F84009"/>
    <w:rsid w:val="00FC3DB6"/>
    <w:rsid w:val="00FC50AA"/>
    <w:rsid w:val="00FE47E2"/>
    <w:rsid w:val="00FF6A00"/>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1635A"/>
  <w15:docId w15:val="{8BACAD8F-8DD6-413C-9BDF-DE80E2FB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36996"/>
    <w:rPr>
      <w:b/>
      <w:bCs/>
    </w:rPr>
  </w:style>
  <w:style w:type="character" w:customStyle="1" w:styleId="CommentSubjectChar">
    <w:name w:val="Comment Subject Char"/>
    <w:basedOn w:val="CommentTextChar"/>
    <w:link w:val="CommentSubject"/>
    <w:uiPriority w:val="99"/>
    <w:semiHidden/>
    <w:rsid w:val="00B36996"/>
    <w:rPr>
      <w:b/>
      <w:bCs/>
    </w:rPr>
  </w:style>
  <w:style w:type="character" w:styleId="Hyperlink">
    <w:name w:val="Hyperlink"/>
    <w:basedOn w:val="DefaultParagraphFont"/>
    <w:unhideWhenUsed/>
    <w:rsid w:val="00B36996"/>
    <w:rPr>
      <w:color w:val="0000FF"/>
      <w:u w:val="single"/>
    </w:rPr>
  </w:style>
  <w:style w:type="paragraph" w:customStyle="1" w:styleId="Default">
    <w:name w:val="Default"/>
    <w:rsid w:val="00D77D2D"/>
    <w:pPr>
      <w:autoSpaceDE w:val="0"/>
      <w:autoSpaceDN w:val="0"/>
      <w:adjustRightInd w:val="0"/>
    </w:pPr>
    <w:rPr>
      <w:rFonts w:ascii="Charis SIL" w:hAnsi="Charis SIL" w:cs="Charis SIL"/>
      <w:color w:val="000000"/>
      <w:sz w:val="24"/>
      <w:szCs w:val="24"/>
      <w:lang w:val="en-CH"/>
    </w:rPr>
  </w:style>
  <w:style w:type="character" w:styleId="UnresolvedMention">
    <w:name w:val="Unresolved Mention"/>
    <w:basedOn w:val="DefaultParagraphFont"/>
    <w:uiPriority w:val="99"/>
    <w:semiHidden/>
    <w:unhideWhenUsed/>
    <w:rsid w:val="00E811EF"/>
    <w:rPr>
      <w:color w:val="605E5C"/>
      <w:shd w:val="clear" w:color="auto" w:fill="E1DFDD"/>
    </w:rPr>
  </w:style>
  <w:style w:type="paragraph" w:styleId="Caption">
    <w:name w:val="caption"/>
    <w:basedOn w:val="Normal"/>
    <w:next w:val="Normal"/>
    <w:uiPriority w:val="35"/>
    <w:unhideWhenUsed/>
    <w:qFormat/>
    <w:rsid w:val="00A84A14"/>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FC3DB6"/>
    <w:rPr>
      <w:color w:val="800080" w:themeColor="followedHyperlink"/>
      <w:u w:val="single"/>
    </w:rPr>
  </w:style>
  <w:style w:type="character" w:customStyle="1" w:styleId="Heading1Char">
    <w:name w:val="Heading 1 Char"/>
    <w:basedOn w:val="DefaultParagraphFont"/>
    <w:link w:val="Heading1"/>
    <w:uiPriority w:val="9"/>
    <w:rsid w:val="0079017A"/>
    <w:rPr>
      <w:b/>
      <w:sz w:val="48"/>
      <w:szCs w:val="48"/>
    </w:rPr>
  </w:style>
  <w:style w:type="paragraph" w:styleId="Bibliography">
    <w:name w:val="Bibliography"/>
    <w:basedOn w:val="Normal"/>
    <w:next w:val="Normal"/>
    <w:uiPriority w:val="37"/>
    <w:unhideWhenUsed/>
    <w:rsid w:val="0079017A"/>
  </w:style>
  <w:style w:type="paragraph" w:customStyle="1" w:styleId="Els-1storder-head">
    <w:name w:val="Els-1storder-head"/>
    <w:basedOn w:val="Normal"/>
    <w:next w:val="Normal"/>
    <w:rsid w:val="006A4AE3"/>
    <w:pPr>
      <w:keepNext/>
      <w:suppressAutoHyphens/>
      <w:spacing w:before="240" w:after="60" w:line="240" w:lineRule="exact"/>
      <w:jc w:val="both"/>
    </w:pPr>
    <w:rPr>
      <w:b/>
      <w:sz w:val="22"/>
      <w:lang w:eastAsia="en-US"/>
    </w:rPr>
  </w:style>
  <w:style w:type="paragraph" w:styleId="NoSpacing">
    <w:name w:val="No Spacing"/>
    <w:uiPriority w:val="1"/>
    <w:qFormat/>
    <w:rsid w:val="006A4AE3"/>
  </w:style>
  <w:style w:type="paragraph" w:customStyle="1" w:styleId="Els-2ndorder-head">
    <w:name w:val="Els-2ndorder-head"/>
    <w:basedOn w:val="Normal"/>
    <w:next w:val="Normal"/>
    <w:rsid w:val="00F66039"/>
    <w:pPr>
      <w:keepNext/>
      <w:suppressAutoHyphens/>
      <w:spacing w:before="80"/>
      <w:jc w:val="both"/>
    </w:pPr>
    <w:rPr>
      <w:i/>
      <w:lang w:eastAsia="en-US"/>
    </w:rPr>
  </w:style>
  <w:style w:type="paragraph" w:customStyle="1" w:styleId="Els-3rdorder-head">
    <w:name w:val="Els-3rdorder-head"/>
    <w:basedOn w:val="Normal"/>
    <w:next w:val="Normal"/>
    <w:rsid w:val="00F66039"/>
    <w:pPr>
      <w:keepNext/>
      <w:suppressAutoHyphens/>
      <w:spacing w:before="60"/>
      <w:jc w:val="both"/>
    </w:pPr>
    <w:rPr>
      <w:i/>
      <w:lang w:eastAsia="en-US"/>
    </w:rPr>
  </w:style>
  <w:style w:type="paragraph" w:customStyle="1" w:styleId="Els-Chapterno">
    <w:name w:val="Els-Chapter no"/>
    <w:rsid w:val="00F66039"/>
    <w:pPr>
      <w:spacing w:before="907" w:line="260" w:lineRule="exact"/>
    </w:pPr>
    <w:rPr>
      <w:sz w:val="24"/>
      <w:szCs w:val="24"/>
      <w:lang w:eastAsia="en-US"/>
    </w:rPr>
  </w:style>
  <w:style w:type="paragraph" w:styleId="ListParagraph">
    <w:name w:val="List Paragraph"/>
    <w:basedOn w:val="Normal"/>
    <w:uiPriority w:val="34"/>
    <w:qFormat/>
    <w:rsid w:val="00F66039"/>
    <w:pPr>
      <w:ind w:left="720"/>
      <w:contextualSpacing/>
    </w:pPr>
  </w:style>
  <w:style w:type="paragraph" w:customStyle="1" w:styleId="Els-Title">
    <w:name w:val="Els-Title"/>
    <w:next w:val="Normal"/>
    <w:rsid w:val="00E907D2"/>
    <w:pPr>
      <w:suppressAutoHyphens/>
      <w:spacing w:before="240" w:after="120" w:line="360" w:lineRule="exact"/>
    </w:pPr>
    <w:rPr>
      <w:b/>
      <w:sz w:val="32"/>
      <w:lang w:eastAsia="en-US"/>
    </w:rPr>
  </w:style>
  <w:style w:type="paragraph" w:customStyle="1" w:styleId="Els-Affiliation">
    <w:name w:val="Els-Affiliation"/>
    <w:rsid w:val="00E574A4"/>
    <w:pPr>
      <w:suppressAutoHyphens/>
      <w:spacing w:line="240" w:lineRule="exact"/>
    </w:pPr>
    <w:rPr>
      <w:i/>
      <w:noProof/>
      <w:lang w:val="en-GB" w:eastAsia="en-US"/>
    </w:rPr>
  </w:style>
  <w:style w:type="paragraph" w:customStyle="1" w:styleId="Els-Author">
    <w:name w:val="Els-Author"/>
    <w:next w:val="Els-Affiliation"/>
    <w:rsid w:val="00E574A4"/>
    <w:pPr>
      <w:keepNext/>
      <w:suppressAutoHyphens/>
      <w:spacing w:after="60" w:line="310" w:lineRule="exact"/>
    </w:pPr>
    <w:rPr>
      <w:noProof/>
      <w:sz w:val="22"/>
      <w:lang w:val="en-GB" w:eastAsia="en-US"/>
    </w:rPr>
  </w:style>
  <w:style w:type="paragraph" w:customStyle="1" w:styleId="Els-body-text">
    <w:name w:val="Els-body-text"/>
    <w:rsid w:val="002C31F8"/>
    <w:pPr>
      <w:jc w:val="both"/>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6468">
      <w:bodyDiv w:val="1"/>
      <w:marLeft w:val="0"/>
      <w:marRight w:val="0"/>
      <w:marTop w:val="0"/>
      <w:marBottom w:val="0"/>
      <w:divBdr>
        <w:top w:val="none" w:sz="0" w:space="0" w:color="auto"/>
        <w:left w:val="none" w:sz="0" w:space="0" w:color="auto"/>
        <w:bottom w:val="none" w:sz="0" w:space="0" w:color="auto"/>
        <w:right w:val="none" w:sz="0" w:space="0" w:color="auto"/>
      </w:divBdr>
    </w:div>
    <w:div w:id="20253783">
      <w:bodyDiv w:val="1"/>
      <w:marLeft w:val="0"/>
      <w:marRight w:val="0"/>
      <w:marTop w:val="0"/>
      <w:marBottom w:val="0"/>
      <w:divBdr>
        <w:top w:val="none" w:sz="0" w:space="0" w:color="auto"/>
        <w:left w:val="none" w:sz="0" w:space="0" w:color="auto"/>
        <w:bottom w:val="none" w:sz="0" w:space="0" w:color="auto"/>
        <w:right w:val="none" w:sz="0" w:space="0" w:color="auto"/>
      </w:divBdr>
    </w:div>
    <w:div w:id="49695970">
      <w:bodyDiv w:val="1"/>
      <w:marLeft w:val="0"/>
      <w:marRight w:val="0"/>
      <w:marTop w:val="0"/>
      <w:marBottom w:val="0"/>
      <w:divBdr>
        <w:top w:val="none" w:sz="0" w:space="0" w:color="auto"/>
        <w:left w:val="none" w:sz="0" w:space="0" w:color="auto"/>
        <w:bottom w:val="none" w:sz="0" w:space="0" w:color="auto"/>
        <w:right w:val="none" w:sz="0" w:space="0" w:color="auto"/>
      </w:divBdr>
    </w:div>
    <w:div w:id="76748985">
      <w:bodyDiv w:val="1"/>
      <w:marLeft w:val="0"/>
      <w:marRight w:val="0"/>
      <w:marTop w:val="0"/>
      <w:marBottom w:val="0"/>
      <w:divBdr>
        <w:top w:val="none" w:sz="0" w:space="0" w:color="auto"/>
        <w:left w:val="none" w:sz="0" w:space="0" w:color="auto"/>
        <w:bottom w:val="none" w:sz="0" w:space="0" w:color="auto"/>
        <w:right w:val="none" w:sz="0" w:space="0" w:color="auto"/>
      </w:divBdr>
    </w:div>
    <w:div w:id="82340613">
      <w:bodyDiv w:val="1"/>
      <w:marLeft w:val="0"/>
      <w:marRight w:val="0"/>
      <w:marTop w:val="0"/>
      <w:marBottom w:val="0"/>
      <w:divBdr>
        <w:top w:val="none" w:sz="0" w:space="0" w:color="auto"/>
        <w:left w:val="none" w:sz="0" w:space="0" w:color="auto"/>
        <w:bottom w:val="none" w:sz="0" w:space="0" w:color="auto"/>
        <w:right w:val="none" w:sz="0" w:space="0" w:color="auto"/>
      </w:divBdr>
    </w:div>
    <w:div w:id="84310462">
      <w:bodyDiv w:val="1"/>
      <w:marLeft w:val="0"/>
      <w:marRight w:val="0"/>
      <w:marTop w:val="0"/>
      <w:marBottom w:val="0"/>
      <w:divBdr>
        <w:top w:val="none" w:sz="0" w:space="0" w:color="auto"/>
        <w:left w:val="none" w:sz="0" w:space="0" w:color="auto"/>
        <w:bottom w:val="none" w:sz="0" w:space="0" w:color="auto"/>
        <w:right w:val="none" w:sz="0" w:space="0" w:color="auto"/>
      </w:divBdr>
    </w:div>
    <w:div w:id="89663995">
      <w:bodyDiv w:val="1"/>
      <w:marLeft w:val="0"/>
      <w:marRight w:val="0"/>
      <w:marTop w:val="0"/>
      <w:marBottom w:val="0"/>
      <w:divBdr>
        <w:top w:val="none" w:sz="0" w:space="0" w:color="auto"/>
        <w:left w:val="none" w:sz="0" w:space="0" w:color="auto"/>
        <w:bottom w:val="none" w:sz="0" w:space="0" w:color="auto"/>
        <w:right w:val="none" w:sz="0" w:space="0" w:color="auto"/>
      </w:divBdr>
    </w:div>
    <w:div w:id="100807730">
      <w:bodyDiv w:val="1"/>
      <w:marLeft w:val="0"/>
      <w:marRight w:val="0"/>
      <w:marTop w:val="0"/>
      <w:marBottom w:val="0"/>
      <w:divBdr>
        <w:top w:val="none" w:sz="0" w:space="0" w:color="auto"/>
        <w:left w:val="none" w:sz="0" w:space="0" w:color="auto"/>
        <w:bottom w:val="none" w:sz="0" w:space="0" w:color="auto"/>
        <w:right w:val="none" w:sz="0" w:space="0" w:color="auto"/>
      </w:divBdr>
    </w:div>
    <w:div w:id="115952168">
      <w:bodyDiv w:val="1"/>
      <w:marLeft w:val="0"/>
      <w:marRight w:val="0"/>
      <w:marTop w:val="0"/>
      <w:marBottom w:val="0"/>
      <w:divBdr>
        <w:top w:val="none" w:sz="0" w:space="0" w:color="auto"/>
        <w:left w:val="none" w:sz="0" w:space="0" w:color="auto"/>
        <w:bottom w:val="none" w:sz="0" w:space="0" w:color="auto"/>
        <w:right w:val="none" w:sz="0" w:space="0" w:color="auto"/>
      </w:divBdr>
    </w:div>
    <w:div w:id="116067783">
      <w:bodyDiv w:val="1"/>
      <w:marLeft w:val="0"/>
      <w:marRight w:val="0"/>
      <w:marTop w:val="0"/>
      <w:marBottom w:val="0"/>
      <w:divBdr>
        <w:top w:val="none" w:sz="0" w:space="0" w:color="auto"/>
        <w:left w:val="none" w:sz="0" w:space="0" w:color="auto"/>
        <w:bottom w:val="none" w:sz="0" w:space="0" w:color="auto"/>
        <w:right w:val="none" w:sz="0" w:space="0" w:color="auto"/>
      </w:divBdr>
    </w:div>
    <w:div w:id="156463325">
      <w:bodyDiv w:val="1"/>
      <w:marLeft w:val="0"/>
      <w:marRight w:val="0"/>
      <w:marTop w:val="0"/>
      <w:marBottom w:val="0"/>
      <w:divBdr>
        <w:top w:val="none" w:sz="0" w:space="0" w:color="auto"/>
        <w:left w:val="none" w:sz="0" w:space="0" w:color="auto"/>
        <w:bottom w:val="none" w:sz="0" w:space="0" w:color="auto"/>
        <w:right w:val="none" w:sz="0" w:space="0" w:color="auto"/>
      </w:divBdr>
    </w:div>
    <w:div w:id="161049320">
      <w:bodyDiv w:val="1"/>
      <w:marLeft w:val="0"/>
      <w:marRight w:val="0"/>
      <w:marTop w:val="0"/>
      <w:marBottom w:val="0"/>
      <w:divBdr>
        <w:top w:val="none" w:sz="0" w:space="0" w:color="auto"/>
        <w:left w:val="none" w:sz="0" w:space="0" w:color="auto"/>
        <w:bottom w:val="none" w:sz="0" w:space="0" w:color="auto"/>
        <w:right w:val="none" w:sz="0" w:space="0" w:color="auto"/>
      </w:divBdr>
    </w:div>
    <w:div w:id="178157623">
      <w:bodyDiv w:val="1"/>
      <w:marLeft w:val="0"/>
      <w:marRight w:val="0"/>
      <w:marTop w:val="0"/>
      <w:marBottom w:val="0"/>
      <w:divBdr>
        <w:top w:val="none" w:sz="0" w:space="0" w:color="auto"/>
        <w:left w:val="none" w:sz="0" w:space="0" w:color="auto"/>
        <w:bottom w:val="none" w:sz="0" w:space="0" w:color="auto"/>
        <w:right w:val="none" w:sz="0" w:space="0" w:color="auto"/>
      </w:divBdr>
    </w:div>
    <w:div w:id="184826459">
      <w:bodyDiv w:val="1"/>
      <w:marLeft w:val="0"/>
      <w:marRight w:val="0"/>
      <w:marTop w:val="0"/>
      <w:marBottom w:val="0"/>
      <w:divBdr>
        <w:top w:val="none" w:sz="0" w:space="0" w:color="auto"/>
        <w:left w:val="none" w:sz="0" w:space="0" w:color="auto"/>
        <w:bottom w:val="none" w:sz="0" w:space="0" w:color="auto"/>
        <w:right w:val="none" w:sz="0" w:space="0" w:color="auto"/>
      </w:divBdr>
    </w:div>
    <w:div w:id="202061039">
      <w:bodyDiv w:val="1"/>
      <w:marLeft w:val="0"/>
      <w:marRight w:val="0"/>
      <w:marTop w:val="0"/>
      <w:marBottom w:val="0"/>
      <w:divBdr>
        <w:top w:val="none" w:sz="0" w:space="0" w:color="auto"/>
        <w:left w:val="none" w:sz="0" w:space="0" w:color="auto"/>
        <w:bottom w:val="none" w:sz="0" w:space="0" w:color="auto"/>
        <w:right w:val="none" w:sz="0" w:space="0" w:color="auto"/>
      </w:divBdr>
    </w:div>
    <w:div w:id="208609901">
      <w:bodyDiv w:val="1"/>
      <w:marLeft w:val="0"/>
      <w:marRight w:val="0"/>
      <w:marTop w:val="0"/>
      <w:marBottom w:val="0"/>
      <w:divBdr>
        <w:top w:val="none" w:sz="0" w:space="0" w:color="auto"/>
        <w:left w:val="none" w:sz="0" w:space="0" w:color="auto"/>
        <w:bottom w:val="none" w:sz="0" w:space="0" w:color="auto"/>
        <w:right w:val="none" w:sz="0" w:space="0" w:color="auto"/>
      </w:divBdr>
    </w:div>
    <w:div w:id="217666171">
      <w:bodyDiv w:val="1"/>
      <w:marLeft w:val="0"/>
      <w:marRight w:val="0"/>
      <w:marTop w:val="0"/>
      <w:marBottom w:val="0"/>
      <w:divBdr>
        <w:top w:val="none" w:sz="0" w:space="0" w:color="auto"/>
        <w:left w:val="none" w:sz="0" w:space="0" w:color="auto"/>
        <w:bottom w:val="none" w:sz="0" w:space="0" w:color="auto"/>
        <w:right w:val="none" w:sz="0" w:space="0" w:color="auto"/>
      </w:divBdr>
    </w:div>
    <w:div w:id="220672619">
      <w:bodyDiv w:val="1"/>
      <w:marLeft w:val="0"/>
      <w:marRight w:val="0"/>
      <w:marTop w:val="0"/>
      <w:marBottom w:val="0"/>
      <w:divBdr>
        <w:top w:val="none" w:sz="0" w:space="0" w:color="auto"/>
        <w:left w:val="none" w:sz="0" w:space="0" w:color="auto"/>
        <w:bottom w:val="none" w:sz="0" w:space="0" w:color="auto"/>
        <w:right w:val="none" w:sz="0" w:space="0" w:color="auto"/>
      </w:divBdr>
    </w:div>
    <w:div w:id="242566609">
      <w:bodyDiv w:val="1"/>
      <w:marLeft w:val="0"/>
      <w:marRight w:val="0"/>
      <w:marTop w:val="0"/>
      <w:marBottom w:val="0"/>
      <w:divBdr>
        <w:top w:val="none" w:sz="0" w:space="0" w:color="auto"/>
        <w:left w:val="none" w:sz="0" w:space="0" w:color="auto"/>
        <w:bottom w:val="none" w:sz="0" w:space="0" w:color="auto"/>
        <w:right w:val="none" w:sz="0" w:space="0" w:color="auto"/>
      </w:divBdr>
    </w:div>
    <w:div w:id="261189438">
      <w:bodyDiv w:val="1"/>
      <w:marLeft w:val="0"/>
      <w:marRight w:val="0"/>
      <w:marTop w:val="0"/>
      <w:marBottom w:val="0"/>
      <w:divBdr>
        <w:top w:val="none" w:sz="0" w:space="0" w:color="auto"/>
        <w:left w:val="none" w:sz="0" w:space="0" w:color="auto"/>
        <w:bottom w:val="none" w:sz="0" w:space="0" w:color="auto"/>
        <w:right w:val="none" w:sz="0" w:space="0" w:color="auto"/>
      </w:divBdr>
    </w:div>
    <w:div w:id="262958779">
      <w:bodyDiv w:val="1"/>
      <w:marLeft w:val="0"/>
      <w:marRight w:val="0"/>
      <w:marTop w:val="0"/>
      <w:marBottom w:val="0"/>
      <w:divBdr>
        <w:top w:val="none" w:sz="0" w:space="0" w:color="auto"/>
        <w:left w:val="none" w:sz="0" w:space="0" w:color="auto"/>
        <w:bottom w:val="none" w:sz="0" w:space="0" w:color="auto"/>
        <w:right w:val="none" w:sz="0" w:space="0" w:color="auto"/>
      </w:divBdr>
    </w:div>
    <w:div w:id="288708215">
      <w:bodyDiv w:val="1"/>
      <w:marLeft w:val="0"/>
      <w:marRight w:val="0"/>
      <w:marTop w:val="0"/>
      <w:marBottom w:val="0"/>
      <w:divBdr>
        <w:top w:val="none" w:sz="0" w:space="0" w:color="auto"/>
        <w:left w:val="none" w:sz="0" w:space="0" w:color="auto"/>
        <w:bottom w:val="none" w:sz="0" w:space="0" w:color="auto"/>
        <w:right w:val="none" w:sz="0" w:space="0" w:color="auto"/>
      </w:divBdr>
    </w:div>
    <w:div w:id="299461808">
      <w:bodyDiv w:val="1"/>
      <w:marLeft w:val="0"/>
      <w:marRight w:val="0"/>
      <w:marTop w:val="0"/>
      <w:marBottom w:val="0"/>
      <w:divBdr>
        <w:top w:val="none" w:sz="0" w:space="0" w:color="auto"/>
        <w:left w:val="none" w:sz="0" w:space="0" w:color="auto"/>
        <w:bottom w:val="none" w:sz="0" w:space="0" w:color="auto"/>
        <w:right w:val="none" w:sz="0" w:space="0" w:color="auto"/>
      </w:divBdr>
    </w:div>
    <w:div w:id="300042780">
      <w:bodyDiv w:val="1"/>
      <w:marLeft w:val="0"/>
      <w:marRight w:val="0"/>
      <w:marTop w:val="0"/>
      <w:marBottom w:val="0"/>
      <w:divBdr>
        <w:top w:val="none" w:sz="0" w:space="0" w:color="auto"/>
        <w:left w:val="none" w:sz="0" w:space="0" w:color="auto"/>
        <w:bottom w:val="none" w:sz="0" w:space="0" w:color="auto"/>
        <w:right w:val="none" w:sz="0" w:space="0" w:color="auto"/>
      </w:divBdr>
    </w:div>
    <w:div w:id="309022725">
      <w:bodyDiv w:val="1"/>
      <w:marLeft w:val="0"/>
      <w:marRight w:val="0"/>
      <w:marTop w:val="0"/>
      <w:marBottom w:val="0"/>
      <w:divBdr>
        <w:top w:val="none" w:sz="0" w:space="0" w:color="auto"/>
        <w:left w:val="none" w:sz="0" w:space="0" w:color="auto"/>
        <w:bottom w:val="none" w:sz="0" w:space="0" w:color="auto"/>
        <w:right w:val="none" w:sz="0" w:space="0" w:color="auto"/>
      </w:divBdr>
    </w:div>
    <w:div w:id="314913158">
      <w:bodyDiv w:val="1"/>
      <w:marLeft w:val="0"/>
      <w:marRight w:val="0"/>
      <w:marTop w:val="0"/>
      <w:marBottom w:val="0"/>
      <w:divBdr>
        <w:top w:val="none" w:sz="0" w:space="0" w:color="auto"/>
        <w:left w:val="none" w:sz="0" w:space="0" w:color="auto"/>
        <w:bottom w:val="none" w:sz="0" w:space="0" w:color="auto"/>
        <w:right w:val="none" w:sz="0" w:space="0" w:color="auto"/>
      </w:divBdr>
    </w:div>
    <w:div w:id="321735206">
      <w:bodyDiv w:val="1"/>
      <w:marLeft w:val="0"/>
      <w:marRight w:val="0"/>
      <w:marTop w:val="0"/>
      <w:marBottom w:val="0"/>
      <w:divBdr>
        <w:top w:val="none" w:sz="0" w:space="0" w:color="auto"/>
        <w:left w:val="none" w:sz="0" w:space="0" w:color="auto"/>
        <w:bottom w:val="none" w:sz="0" w:space="0" w:color="auto"/>
        <w:right w:val="none" w:sz="0" w:space="0" w:color="auto"/>
      </w:divBdr>
    </w:div>
    <w:div w:id="329719247">
      <w:bodyDiv w:val="1"/>
      <w:marLeft w:val="0"/>
      <w:marRight w:val="0"/>
      <w:marTop w:val="0"/>
      <w:marBottom w:val="0"/>
      <w:divBdr>
        <w:top w:val="none" w:sz="0" w:space="0" w:color="auto"/>
        <w:left w:val="none" w:sz="0" w:space="0" w:color="auto"/>
        <w:bottom w:val="none" w:sz="0" w:space="0" w:color="auto"/>
        <w:right w:val="none" w:sz="0" w:space="0" w:color="auto"/>
      </w:divBdr>
    </w:div>
    <w:div w:id="337854469">
      <w:bodyDiv w:val="1"/>
      <w:marLeft w:val="0"/>
      <w:marRight w:val="0"/>
      <w:marTop w:val="0"/>
      <w:marBottom w:val="0"/>
      <w:divBdr>
        <w:top w:val="none" w:sz="0" w:space="0" w:color="auto"/>
        <w:left w:val="none" w:sz="0" w:space="0" w:color="auto"/>
        <w:bottom w:val="none" w:sz="0" w:space="0" w:color="auto"/>
        <w:right w:val="none" w:sz="0" w:space="0" w:color="auto"/>
      </w:divBdr>
    </w:div>
    <w:div w:id="338703540">
      <w:bodyDiv w:val="1"/>
      <w:marLeft w:val="0"/>
      <w:marRight w:val="0"/>
      <w:marTop w:val="0"/>
      <w:marBottom w:val="0"/>
      <w:divBdr>
        <w:top w:val="none" w:sz="0" w:space="0" w:color="auto"/>
        <w:left w:val="none" w:sz="0" w:space="0" w:color="auto"/>
        <w:bottom w:val="none" w:sz="0" w:space="0" w:color="auto"/>
        <w:right w:val="none" w:sz="0" w:space="0" w:color="auto"/>
      </w:divBdr>
    </w:div>
    <w:div w:id="347951839">
      <w:bodyDiv w:val="1"/>
      <w:marLeft w:val="0"/>
      <w:marRight w:val="0"/>
      <w:marTop w:val="0"/>
      <w:marBottom w:val="0"/>
      <w:divBdr>
        <w:top w:val="none" w:sz="0" w:space="0" w:color="auto"/>
        <w:left w:val="none" w:sz="0" w:space="0" w:color="auto"/>
        <w:bottom w:val="none" w:sz="0" w:space="0" w:color="auto"/>
        <w:right w:val="none" w:sz="0" w:space="0" w:color="auto"/>
      </w:divBdr>
    </w:div>
    <w:div w:id="362052646">
      <w:bodyDiv w:val="1"/>
      <w:marLeft w:val="0"/>
      <w:marRight w:val="0"/>
      <w:marTop w:val="0"/>
      <w:marBottom w:val="0"/>
      <w:divBdr>
        <w:top w:val="none" w:sz="0" w:space="0" w:color="auto"/>
        <w:left w:val="none" w:sz="0" w:space="0" w:color="auto"/>
        <w:bottom w:val="none" w:sz="0" w:space="0" w:color="auto"/>
        <w:right w:val="none" w:sz="0" w:space="0" w:color="auto"/>
      </w:divBdr>
    </w:div>
    <w:div w:id="372658726">
      <w:bodyDiv w:val="1"/>
      <w:marLeft w:val="0"/>
      <w:marRight w:val="0"/>
      <w:marTop w:val="0"/>
      <w:marBottom w:val="0"/>
      <w:divBdr>
        <w:top w:val="none" w:sz="0" w:space="0" w:color="auto"/>
        <w:left w:val="none" w:sz="0" w:space="0" w:color="auto"/>
        <w:bottom w:val="none" w:sz="0" w:space="0" w:color="auto"/>
        <w:right w:val="none" w:sz="0" w:space="0" w:color="auto"/>
      </w:divBdr>
    </w:div>
    <w:div w:id="374698172">
      <w:bodyDiv w:val="1"/>
      <w:marLeft w:val="0"/>
      <w:marRight w:val="0"/>
      <w:marTop w:val="0"/>
      <w:marBottom w:val="0"/>
      <w:divBdr>
        <w:top w:val="none" w:sz="0" w:space="0" w:color="auto"/>
        <w:left w:val="none" w:sz="0" w:space="0" w:color="auto"/>
        <w:bottom w:val="none" w:sz="0" w:space="0" w:color="auto"/>
        <w:right w:val="none" w:sz="0" w:space="0" w:color="auto"/>
      </w:divBdr>
    </w:div>
    <w:div w:id="378359329">
      <w:bodyDiv w:val="1"/>
      <w:marLeft w:val="0"/>
      <w:marRight w:val="0"/>
      <w:marTop w:val="0"/>
      <w:marBottom w:val="0"/>
      <w:divBdr>
        <w:top w:val="none" w:sz="0" w:space="0" w:color="auto"/>
        <w:left w:val="none" w:sz="0" w:space="0" w:color="auto"/>
        <w:bottom w:val="none" w:sz="0" w:space="0" w:color="auto"/>
        <w:right w:val="none" w:sz="0" w:space="0" w:color="auto"/>
      </w:divBdr>
    </w:div>
    <w:div w:id="394470001">
      <w:bodyDiv w:val="1"/>
      <w:marLeft w:val="0"/>
      <w:marRight w:val="0"/>
      <w:marTop w:val="0"/>
      <w:marBottom w:val="0"/>
      <w:divBdr>
        <w:top w:val="none" w:sz="0" w:space="0" w:color="auto"/>
        <w:left w:val="none" w:sz="0" w:space="0" w:color="auto"/>
        <w:bottom w:val="none" w:sz="0" w:space="0" w:color="auto"/>
        <w:right w:val="none" w:sz="0" w:space="0" w:color="auto"/>
      </w:divBdr>
    </w:div>
    <w:div w:id="404766356">
      <w:bodyDiv w:val="1"/>
      <w:marLeft w:val="0"/>
      <w:marRight w:val="0"/>
      <w:marTop w:val="0"/>
      <w:marBottom w:val="0"/>
      <w:divBdr>
        <w:top w:val="none" w:sz="0" w:space="0" w:color="auto"/>
        <w:left w:val="none" w:sz="0" w:space="0" w:color="auto"/>
        <w:bottom w:val="none" w:sz="0" w:space="0" w:color="auto"/>
        <w:right w:val="none" w:sz="0" w:space="0" w:color="auto"/>
      </w:divBdr>
    </w:div>
    <w:div w:id="424615470">
      <w:bodyDiv w:val="1"/>
      <w:marLeft w:val="0"/>
      <w:marRight w:val="0"/>
      <w:marTop w:val="0"/>
      <w:marBottom w:val="0"/>
      <w:divBdr>
        <w:top w:val="none" w:sz="0" w:space="0" w:color="auto"/>
        <w:left w:val="none" w:sz="0" w:space="0" w:color="auto"/>
        <w:bottom w:val="none" w:sz="0" w:space="0" w:color="auto"/>
        <w:right w:val="none" w:sz="0" w:space="0" w:color="auto"/>
      </w:divBdr>
    </w:div>
    <w:div w:id="439447815">
      <w:bodyDiv w:val="1"/>
      <w:marLeft w:val="0"/>
      <w:marRight w:val="0"/>
      <w:marTop w:val="0"/>
      <w:marBottom w:val="0"/>
      <w:divBdr>
        <w:top w:val="none" w:sz="0" w:space="0" w:color="auto"/>
        <w:left w:val="none" w:sz="0" w:space="0" w:color="auto"/>
        <w:bottom w:val="none" w:sz="0" w:space="0" w:color="auto"/>
        <w:right w:val="none" w:sz="0" w:space="0" w:color="auto"/>
      </w:divBdr>
    </w:div>
    <w:div w:id="442651892">
      <w:bodyDiv w:val="1"/>
      <w:marLeft w:val="0"/>
      <w:marRight w:val="0"/>
      <w:marTop w:val="0"/>
      <w:marBottom w:val="0"/>
      <w:divBdr>
        <w:top w:val="none" w:sz="0" w:space="0" w:color="auto"/>
        <w:left w:val="none" w:sz="0" w:space="0" w:color="auto"/>
        <w:bottom w:val="none" w:sz="0" w:space="0" w:color="auto"/>
        <w:right w:val="none" w:sz="0" w:space="0" w:color="auto"/>
      </w:divBdr>
    </w:div>
    <w:div w:id="457189338">
      <w:bodyDiv w:val="1"/>
      <w:marLeft w:val="0"/>
      <w:marRight w:val="0"/>
      <w:marTop w:val="0"/>
      <w:marBottom w:val="0"/>
      <w:divBdr>
        <w:top w:val="none" w:sz="0" w:space="0" w:color="auto"/>
        <w:left w:val="none" w:sz="0" w:space="0" w:color="auto"/>
        <w:bottom w:val="none" w:sz="0" w:space="0" w:color="auto"/>
        <w:right w:val="none" w:sz="0" w:space="0" w:color="auto"/>
      </w:divBdr>
    </w:div>
    <w:div w:id="462584220">
      <w:bodyDiv w:val="1"/>
      <w:marLeft w:val="0"/>
      <w:marRight w:val="0"/>
      <w:marTop w:val="0"/>
      <w:marBottom w:val="0"/>
      <w:divBdr>
        <w:top w:val="none" w:sz="0" w:space="0" w:color="auto"/>
        <w:left w:val="none" w:sz="0" w:space="0" w:color="auto"/>
        <w:bottom w:val="none" w:sz="0" w:space="0" w:color="auto"/>
        <w:right w:val="none" w:sz="0" w:space="0" w:color="auto"/>
      </w:divBdr>
    </w:div>
    <w:div w:id="470946801">
      <w:bodyDiv w:val="1"/>
      <w:marLeft w:val="0"/>
      <w:marRight w:val="0"/>
      <w:marTop w:val="0"/>
      <w:marBottom w:val="0"/>
      <w:divBdr>
        <w:top w:val="none" w:sz="0" w:space="0" w:color="auto"/>
        <w:left w:val="none" w:sz="0" w:space="0" w:color="auto"/>
        <w:bottom w:val="none" w:sz="0" w:space="0" w:color="auto"/>
        <w:right w:val="none" w:sz="0" w:space="0" w:color="auto"/>
      </w:divBdr>
    </w:div>
    <w:div w:id="487675542">
      <w:bodyDiv w:val="1"/>
      <w:marLeft w:val="0"/>
      <w:marRight w:val="0"/>
      <w:marTop w:val="0"/>
      <w:marBottom w:val="0"/>
      <w:divBdr>
        <w:top w:val="none" w:sz="0" w:space="0" w:color="auto"/>
        <w:left w:val="none" w:sz="0" w:space="0" w:color="auto"/>
        <w:bottom w:val="none" w:sz="0" w:space="0" w:color="auto"/>
        <w:right w:val="none" w:sz="0" w:space="0" w:color="auto"/>
      </w:divBdr>
    </w:div>
    <w:div w:id="490410523">
      <w:bodyDiv w:val="1"/>
      <w:marLeft w:val="0"/>
      <w:marRight w:val="0"/>
      <w:marTop w:val="0"/>
      <w:marBottom w:val="0"/>
      <w:divBdr>
        <w:top w:val="none" w:sz="0" w:space="0" w:color="auto"/>
        <w:left w:val="none" w:sz="0" w:space="0" w:color="auto"/>
        <w:bottom w:val="none" w:sz="0" w:space="0" w:color="auto"/>
        <w:right w:val="none" w:sz="0" w:space="0" w:color="auto"/>
      </w:divBdr>
    </w:div>
    <w:div w:id="494034716">
      <w:bodyDiv w:val="1"/>
      <w:marLeft w:val="0"/>
      <w:marRight w:val="0"/>
      <w:marTop w:val="0"/>
      <w:marBottom w:val="0"/>
      <w:divBdr>
        <w:top w:val="none" w:sz="0" w:space="0" w:color="auto"/>
        <w:left w:val="none" w:sz="0" w:space="0" w:color="auto"/>
        <w:bottom w:val="none" w:sz="0" w:space="0" w:color="auto"/>
        <w:right w:val="none" w:sz="0" w:space="0" w:color="auto"/>
      </w:divBdr>
    </w:div>
    <w:div w:id="496576815">
      <w:bodyDiv w:val="1"/>
      <w:marLeft w:val="0"/>
      <w:marRight w:val="0"/>
      <w:marTop w:val="0"/>
      <w:marBottom w:val="0"/>
      <w:divBdr>
        <w:top w:val="none" w:sz="0" w:space="0" w:color="auto"/>
        <w:left w:val="none" w:sz="0" w:space="0" w:color="auto"/>
        <w:bottom w:val="none" w:sz="0" w:space="0" w:color="auto"/>
        <w:right w:val="none" w:sz="0" w:space="0" w:color="auto"/>
      </w:divBdr>
    </w:div>
    <w:div w:id="497498258">
      <w:bodyDiv w:val="1"/>
      <w:marLeft w:val="0"/>
      <w:marRight w:val="0"/>
      <w:marTop w:val="0"/>
      <w:marBottom w:val="0"/>
      <w:divBdr>
        <w:top w:val="none" w:sz="0" w:space="0" w:color="auto"/>
        <w:left w:val="none" w:sz="0" w:space="0" w:color="auto"/>
        <w:bottom w:val="none" w:sz="0" w:space="0" w:color="auto"/>
        <w:right w:val="none" w:sz="0" w:space="0" w:color="auto"/>
      </w:divBdr>
    </w:div>
    <w:div w:id="499542701">
      <w:bodyDiv w:val="1"/>
      <w:marLeft w:val="0"/>
      <w:marRight w:val="0"/>
      <w:marTop w:val="0"/>
      <w:marBottom w:val="0"/>
      <w:divBdr>
        <w:top w:val="none" w:sz="0" w:space="0" w:color="auto"/>
        <w:left w:val="none" w:sz="0" w:space="0" w:color="auto"/>
        <w:bottom w:val="none" w:sz="0" w:space="0" w:color="auto"/>
        <w:right w:val="none" w:sz="0" w:space="0" w:color="auto"/>
      </w:divBdr>
    </w:div>
    <w:div w:id="502086199">
      <w:bodyDiv w:val="1"/>
      <w:marLeft w:val="0"/>
      <w:marRight w:val="0"/>
      <w:marTop w:val="0"/>
      <w:marBottom w:val="0"/>
      <w:divBdr>
        <w:top w:val="none" w:sz="0" w:space="0" w:color="auto"/>
        <w:left w:val="none" w:sz="0" w:space="0" w:color="auto"/>
        <w:bottom w:val="none" w:sz="0" w:space="0" w:color="auto"/>
        <w:right w:val="none" w:sz="0" w:space="0" w:color="auto"/>
      </w:divBdr>
    </w:div>
    <w:div w:id="517816769">
      <w:bodyDiv w:val="1"/>
      <w:marLeft w:val="0"/>
      <w:marRight w:val="0"/>
      <w:marTop w:val="0"/>
      <w:marBottom w:val="0"/>
      <w:divBdr>
        <w:top w:val="none" w:sz="0" w:space="0" w:color="auto"/>
        <w:left w:val="none" w:sz="0" w:space="0" w:color="auto"/>
        <w:bottom w:val="none" w:sz="0" w:space="0" w:color="auto"/>
        <w:right w:val="none" w:sz="0" w:space="0" w:color="auto"/>
      </w:divBdr>
    </w:div>
    <w:div w:id="531919386">
      <w:bodyDiv w:val="1"/>
      <w:marLeft w:val="0"/>
      <w:marRight w:val="0"/>
      <w:marTop w:val="0"/>
      <w:marBottom w:val="0"/>
      <w:divBdr>
        <w:top w:val="none" w:sz="0" w:space="0" w:color="auto"/>
        <w:left w:val="none" w:sz="0" w:space="0" w:color="auto"/>
        <w:bottom w:val="none" w:sz="0" w:space="0" w:color="auto"/>
        <w:right w:val="none" w:sz="0" w:space="0" w:color="auto"/>
      </w:divBdr>
    </w:div>
    <w:div w:id="545140490">
      <w:bodyDiv w:val="1"/>
      <w:marLeft w:val="0"/>
      <w:marRight w:val="0"/>
      <w:marTop w:val="0"/>
      <w:marBottom w:val="0"/>
      <w:divBdr>
        <w:top w:val="none" w:sz="0" w:space="0" w:color="auto"/>
        <w:left w:val="none" w:sz="0" w:space="0" w:color="auto"/>
        <w:bottom w:val="none" w:sz="0" w:space="0" w:color="auto"/>
        <w:right w:val="none" w:sz="0" w:space="0" w:color="auto"/>
      </w:divBdr>
    </w:div>
    <w:div w:id="550192136">
      <w:bodyDiv w:val="1"/>
      <w:marLeft w:val="0"/>
      <w:marRight w:val="0"/>
      <w:marTop w:val="0"/>
      <w:marBottom w:val="0"/>
      <w:divBdr>
        <w:top w:val="none" w:sz="0" w:space="0" w:color="auto"/>
        <w:left w:val="none" w:sz="0" w:space="0" w:color="auto"/>
        <w:bottom w:val="none" w:sz="0" w:space="0" w:color="auto"/>
        <w:right w:val="none" w:sz="0" w:space="0" w:color="auto"/>
      </w:divBdr>
    </w:div>
    <w:div w:id="582377100">
      <w:bodyDiv w:val="1"/>
      <w:marLeft w:val="0"/>
      <w:marRight w:val="0"/>
      <w:marTop w:val="0"/>
      <w:marBottom w:val="0"/>
      <w:divBdr>
        <w:top w:val="none" w:sz="0" w:space="0" w:color="auto"/>
        <w:left w:val="none" w:sz="0" w:space="0" w:color="auto"/>
        <w:bottom w:val="none" w:sz="0" w:space="0" w:color="auto"/>
        <w:right w:val="none" w:sz="0" w:space="0" w:color="auto"/>
      </w:divBdr>
    </w:div>
    <w:div w:id="584339640">
      <w:bodyDiv w:val="1"/>
      <w:marLeft w:val="0"/>
      <w:marRight w:val="0"/>
      <w:marTop w:val="0"/>
      <w:marBottom w:val="0"/>
      <w:divBdr>
        <w:top w:val="none" w:sz="0" w:space="0" w:color="auto"/>
        <w:left w:val="none" w:sz="0" w:space="0" w:color="auto"/>
        <w:bottom w:val="none" w:sz="0" w:space="0" w:color="auto"/>
        <w:right w:val="none" w:sz="0" w:space="0" w:color="auto"/>
      </w:divBdr>
    </w:div>
    <w:div w:id="584537164">
      <w:bodyDiv w:val="1"/>
      <w:marLeft w:val="0"/>
      <w:marRight w:val="0"/>
      <w:marTop w:val="0"/>
      <w:marBottom w:val="0"/>
      <w:divBdr>
        <w:top w:val="none" w:sz="0" w:space="0" w:color="auto"/>
        <w:left w:val="none" w:sz="0" w:space="0" w:color="auto"/>
        <w:bottom w:val="none" w:sz="0" w:space="0" w:color="auto"/>
        <w:right w:val="none" w:sz="0" w:space="0" w:color="auto"/>
      </w:divBdr>
    </w:div>
    <w:div w:id="588346637">
      <w:bodyDiv w:val="1"/>
      <w:marLeft w:val="0"/>
      <w:marRight w:val="0"/>
      <w:marTop w:val="0"/>
      <w:marBottom w:val="0"/>
      <w:divBdr>
        <w:top w:val="none" w:sz="0" w:space="0" w:color="auto"/>
        <w:left w:val="none" w:sz="0" w:space="0" w:color="auto"/>
        <w:bottom w:val="none" w:sz="0" w:space="0" w:color="auto"/>
        <w:right w:val="none" w:sz="0" w:space="0" w:color="auto"/>
      </w:divBdr>
    </w:div>
    <w:div w:id="588388340">
      <w:bodyDiv w:val="1"/>
      <w:marLeft w:val="0"/>
      <w:marRight w:val="0"/>
      <w:marTop w:val="0"/>
      <w:marBottom w:val="0"/>
      <w:divBdr>
        <w:top w:val="none" w:sz="0" w:space="0" w:color="auto"/>
        <w:left w:val="none" w:sz="0" w:space="0" w:color="auto"/>
        <w:bottom w:val="none" w:sz="0" w:space="0" w:color="auto"/>
        <w:right w:val="none" w:sz="0" w:space="0" w:color="auto"/>
      </w:divBdr>
    </w:div>
    <w:div w:id="592279096">
      <w:bodyDiv w:val="1"/>
      <w:marLeft w:val="0"/>
      <w:marRight w:val="0"/>
      <w:marTop w:val="0"/>
      <w:marBottom w:val="0"/>
      <w:divBdr>
        <w:top w:val="none" w:sz="0" w:space="0" w:color="auto"/>
        <w:left w:val="none" w:sz="0" w:space="0" w:color="auto"/>
        <w:bottom w:val="none" w:sz="0" w:space="0" w:color="auto"/>
        <w:right w:val="none" w:sz="0" w:space="0" w:color="auto"/>
      </w:divBdr>
    </w:div>
    <w:div w:id="621347104">
      <w:bodyDiv w:val="1"/>
      <w:marLeft w:val="0"/>
      <w:marRight w:val="0"/>
      <w:marTop w:val="0"/>
      <w:marBottom w:val="0"/>
      <w:divBdr>
        <w:top w:val="none" w:sz="0" w:space="0" w:color="auto"/>
        <w:left w:val="none" w:sz="0" w:space="0" w:color="auto"/>
        <w:bottom w:val="none" w:sz="0" w:space="0" w:color="auto"/>
        <w:right w:val="none" w:sz="0" w:space="0" w:color="auto"/>
      </w:divBdr>
    </w:div>
    <w:div w:id="627659786">
      <w:bodyDiv w:val="1"/>
      <w:marLeft w:val="0"/>
      <w:marRight w:val="0"/>
      <w:marTop w:val="0"/>
      <w:marBottom w:val="0"/>
      <w:divBdr>
        <w:top w:val="none" w:sz="0" w:space="0" w:color="auto"/>
        <w:left w:val="none" w:sz="0" w:space="0" w:color="auto"/>
        <w:bottom w:val="none" w:sz="0" w:space="0" w:color="auto"/>
        <w:right w:val="none" w:sz="0" w:space="0" w:color="auto"/>
      </w:divBdr>
    </w:div>
    <w:div w:id="639268230">
      <w:bodyDiv w:val="1"/>
      <w:marLeft w:val="0"/>
      <w:marRight w:val="0"/>
      <w:marTop w:val="0"/>
      <w:marBottom w:val="0"/>
      <w:divBdr>
        <w:top w:val="none" w:sz="0" w:space="0" w:color="auto"/>
        <w:left w:val="none" w:sz="0" w:space="0" w:color="auto"/>
        <w:bottom w:val="none" w:sz="0" w:space="0" w:color="auto"/>
        <w:right w:val="none" w:sz="0" w:space="0" w:color="auto"/>
      </w:divBdr>
    </w:div>
    <w:div w:id="658312693">
      <w:bodyDiv w:val="1"/>
      <w:marLeft w:val="0"/>
      <w:marRight w:val="0"/>
      <w:marTop w:val="0"/>
      <w:marBottom w:val="0"/>
      <w:divBdr>
        <w:top w:val="none" w:sz="0" w:space="0" w:color="auto"/>
        <w:left w:val="none" w:sz="0" w:space="0" w:color="auto"/>
        <w:bottom w:val="none" w:sz="0" w:space="0" w:color="auto"/>
        <w:right w:val="none" w:sz="0" w:space="0" w:color="auto"/>
      </w:divBdr>
    </w:div>
    <w:div w:id="662320556">
      <w:bodyDiv w:val="1"/>
      <w:marLeft w:val="0"/>
      <w:marRight w:val="0"/>
      <w:marTop w:val="0"/>
      <w:marBottom w:val="0"/>
      <w:divBdr>
        <w:top w:val="none" w:sz="0" w:space="0" w:color="auto"/>
        <w:left w:val="none" w:sz="0" w:space="0" w:color="auto"/>
        <w:bottom w:val="none" w:sz="0" w:space="0" w:color="auto"/>
        <w:right w:val="none" w:sz="0" w:space="0" w:color="auto"/>
      </w:divBdr>
    </w:div>
    <w:div w:id="665670378">
      <w:bodyDiv w:val="1"/>
      <w:marLeft w:val="0"/>
      <w:marRight w:val="0"/>
      <w:marTop w:val="0"/>
      <w:marBottom w:val="0"/>
      <w:divBdr>
        <w:top w:val="none" w:sz="0" w:space="0" w:color="auto"/>
        <w:left w:val="none" w:sz="0" w:space="0" w:color="auto"/>
        <w:bottom w:val="none" w:sz="0" w:space="0" w:color="auto"/>
        <w:right w:val="none" w:sz="0" w:space="0" w:color="auto"/>
      </w:divBdr>
    </w:div>
    <w:div w:id="670332572">
      <w:bodyDiv w:val="1"/>
      <w:marLeft w:val="0"/>
      <w:marRight w:val="0"/>
      <w:marTop w:val="0"/>
      <w:marBottom w:val="0"/>
      <w:divBdr>
        <w:top w:val="none" w:sz="0" w:space="0" w:color="auto"/>
        <w:left w:val="none" w:sz="0" w:space="0" w:color="auto"/>
        <w:bottom w:val="none" w:sz="0" w:space="0" w:color="auto"/>
        <w:right w:val="none" w:sz="0" w:space="0" w:color="auto"/>
      </w:divBdr>
    </w:div>
    <w:div w:id="671418188">
      <w:bodyDiv w:val="1"/>
      <w:marLeft w:val="0"/>
      <w:marRight w:val="0"/>
      <w:marTop w:val="0"/>
      <w:marBottom w:val="0"/>
      <w:divBdr>
        <w:top w:val="none" w:sz="0" w:space="0" w:color="auto"/>
        <w:left w:val="none" w:sz="0" w:space="0" w:color="auto"/>
        <w:bottom w:val="none" w:sz="0" w:space="0" w:color="auto"/>
        <w:right w:val="none" w:sz="0" w:space="0" w:color="auto"/>
      </w:divBdr>
    </w:div>
    <w:div w:id="688987245">
      <w:bodyDiv w:val="1"/>
      <w:marLeft w:val="0"/>
      <w:marRight w:val="0"/>
      <w:marTop w:val="0"/>
      <w:marBottom w:val="0"/>
      <w:divBdr>
        <w:top w:val="none" w:sz="0" w:space="0" w:color="auto"/>
        <w:left w:val="none" w:sz="0" w:space="0" w:color="auto"/>
        <w:bottom w:val="none" w:sz="0" w:space="0" w:color="auto"/>
        <w:right w:val="none" w:sz="0" w:space="0" w:color="auto"/>
      </w:divBdr>
    </w:div>
    <w:div w:id="707489497">
      <w:bodyDiv w:val="1"/>
      <w:marLeft w:val="0"/>
      <w:marRight w:val="0"/>
      <w:marTop w:val="0"/>
      <w:marBottom w:val="0"/>
      <w:divBdr>
        <w:top w:val="none" w:sz="0" w:space="0" w:color="auto"/>
        <w:left w:val="none" w:sz="0" w:space="0" w:color="auto"/>
        <w:bottom w:val="none" w:sz="0" w:space="0" w:color="auto"/>
        <w:right w:val="none" w:sz="0" w:space="0" w:color="auto"/>
      </w:divBdr>
    </w:div>
    <w:div w:id="715475005">
      <w:bodyDiv w:val="1"/>
      <w:marLeft w:val="0"/>
      <w:marRight w:val="0"/>
      <w:marTop w:val="0"/>
      <w:marBottom w:val="0"/>
      <w:divBdr>
        <w:top w:val="none" w:sz="0" w:space="0" w:color="auto"/>
        <w:left w:val="none" w:sz="0" w:space="0" w:color="auto"/>
        <w:bottom w:val="none" w:sz="0" w:space="0" w:color="auto"/>
        <w:right w:val="none" w:sz="0" w:space="0" w:color="auto"/>
      </w:divBdr>
    </w:div>
    <w:div w:id="717824708">
      <w:bodyDiv w:val="1"/>
      <w:marLeft w:val="0"/>
      <w:marRight w:val="0"/>
      <w:marTop w:val="0"/>
      <w:marBottom w:val="0"/>
      <w:divBdr>
        <w:top w:val="none" w:sz="0" w:space="0" w:color="auto"/>
        <w:left w:val="none" w:sz="0" w:space="0" w:color="auto"/>
        <w:bottom w:val="none" w:sz="0" w:space="0" w:color="auto"/>
        <w:right w:val="none" w:sz="0" w:space="0" w:color="auto"/>
      </w:divBdr>
    </w:div>
    <w:div w:id="721249710">
      <w:bodyDiv w:val="1"/>
      <w:marLeft w:val="0"/>
      <w:marRight w:val="0"/>
      <w:marTop w:val="0"/>
      <w:marBottom w:val="0"/>
      <w:divBdr>
        <w:top w:val="none" w:sz="0" w:space="0" w:color="auto"/>
        <w:left w:val="none" w:sz="0" w:space="0" w:color="auto"/>
        <w:bottom w:val="none" w:sz="0" w:space="0" w:color="auto"/>
        <w:right w:val="none" w:sz="0" w:space="0" w:color="auto"/>
      </w:divBdr>
    </w:div>
    <w:div w:id="730932123">
      <w:bodyDiv w:val="1"/>
      <w:marLeft w:val="0"/>
      <w:marRight w:val="0"/>
      <w:marTop w:val="0"/>
      <w:marBottom w:val="0"/>
      <w:divBdr>
        <w:top w:val="none" w:sz="0" w:space="0" w:color="auto"/>
        <w:left w:val="none" w:sz="0" w:space="0" w:color="auto"/>
        <w:bottom w:val="none" w:sz="0" w:space="0" w:color="auto"/>
        <w:right w:val="none" w:sz="0" w:space="0" w:color="auto"/>
      </w:divBdr>
    </w:div>
    <w:div w:id="745341824">
      <w:bodyDiv w:val="1"/>
      <w:marLeft w:val="0"/>
      <w:marRight w:val="0"/>
      <w:marTop w:val="0"/>
      <w:marBottom w:val="0"/>
      <w:divBdr>
        <w:top w:val="none" w:sz="0" w:space="0" w:color="auto"/>
        <w:left w:val="none" w:sz="0" w:space="0" w:color="auto"/>
        <w:bottom w:val="none" w:sz="0" w:space="0" w:color="auto"/>
        <w:right w:val="none" w:sz="0" w:space="0" w:color="auto"/>
      </w:divBdr>
    </w:div>
    <w:div w:id="748162745">
      <w:bodyDiv w:val="1"/>
      <w:marLeft w:val="0"/>
      <w:marRight w:val="0"/>
      <w:marTop w:val="0"/>
      <w:marBottom w:val="0"/>
      <w:divBdr>
        <w:top w:val="none" w:sz="0" w:space="0" w:color="auto"/>
        <w:left w:val="none" w:sz="0" w:space="0" w:color="auto"/>
        <w:bottom w:val="none" w:sz="0" w:space="0" w:color="auto"/>
        <w:right w:val="none" w:sz="0" w:space="0" w:color="auto"/>
      </w:divBdr>
    </w:div>
    <w:div w:id="766122494">
      <w:bodyDiv w:val="1"/>
      <w:marLeft w:val="0"/>
      <w:marRight w:val="0"/>
      <w:marTop w:val="0"/>
      <w:marBottom w:val="0"/>
      <w:divBdr>
        <w:top w:val="none" w:sz="0" w:space="0" w:color="auto"/>
        <w:left w:val="none" w:sz="0" w:space="0" w:color="auto"/>
        <w:bottom w:val="none" w:sz="0" w:space="0" w:color="auto"/>
        <w:right w:val="none" w:sz="0" w:space="0" w:color="auto"/>
      </w:divBdr>
    </w:div>
    <w:div w:id="775947238">
      <w:bodyDiv w:val="1"/>
      <w:marLeft w:val="0"/>
      <w:marRight w:val="0"/>
      <w:marTop w:val="0"/>
      <w:marBottom w:val="0"/>
      <w:divBdr>
        <w:top w:val="none" w:sz="0" w:space="0" w:color="auto"/>
        <w:left w:val="none" w:sz="0" w:space="0" w:color="auto"/>
        <w:bottom w:val="none" w:sz="0" w:space="0" w:color="auto"/>
        <w:right w:val="none" w:sz="0" w:space="0" w:color="auto"/>
      </w:divBdr>
    </w:div>
    <w:div w:id="780226788">
      <w:bodyDiv w:val="1"/>
      <w:marLeft w:val="0"/>
      <w:marRight w:val="0"/>
      <w:marTop w:val="0"/>
      <w:marBottom w:val="0"/>
      <w:divBdr>
        <w:top w:val="none" w:sz="0" w:space="0" w:color="auto"/>
        <w:left w:val="none" w:sz="0" w:space="0" w:color="auto"/>
        <w:bottom w:val="none" w:sz="0" w:space="0" w:color="auto"/>
        <w:right w:val="none" w:sz="0" w:space="0" w:color="auto"/>
      </w:divBdr>
    </w:div>
    <w:div w:id="782579223">
      <w:bodyDiv w:val="1"/>
      <w:marLeft w:val="0"/>
      <w:marRight w:val="0"/>
      <w:marTop w:val="0"/>
      <w:marBottom w:val="0"/>
      <w:divBdr>
        <w:top w:val="none" w:sz="0" w:space="0" w:color="auto"/>
        <w:left w:val="none" w:sz="0" w:space="0" w:color="auto"/>
        <w:bottom w:val="none" w:sz="0" w:space="0" w:color="auto"/>
        <w:right w:val="none" w:sz="0" w:space="0" w:color="auto"/>
      </w:divBdr>
    </w:div>
    <w:div w:id="790779746">
      <w:bodyDiv w:val="1"/>
      <w:marLeft w:val="0"/>
      <w:marRight w:val="0"/>
      <w:marTop w:val="0"/>
      <w:marBottom w:val="0"/>
      <w:divBdr>
        <w:top w:val="none" w:sz="0" w:space="0" w:color="auto"/>
        <w:left w:val="none" w:sz="0" w:space="0" w:color="auto"/>
        <w:bottom w:val="none" w:sz="0" w:space="0" w:color="auto"/>
        <w:right w:val="none" w:sz="0" w:space="0" w:color="auto"/>
      </w:divBdr>
    </w:div>
    <w:div w:id="791636540">
      <w:bodyDiv w:val="1"/>
      <w:marLeft w:val="0"/>
      <w:marRight w:val="0"/>
      <w:marTop w:val="0"/>
      <w:marBottom w:val="0"/>
      <w:divBdr>
        <w:top w:val="none" w:sz="0" w:space="0" w:color="auto"/>
        <w:left w:val="none" w:sz="0" w:space="0" w:color="auto"/>
        <w:bottom w:val="none" w:sz="0" w:space="0" w:color="auto"/>
        <w:right w:val="none" w:sz="0" w:space="0" w:color="auto"/>
      </w:divBdr>
    </w:div>
    <w:div w:id="793059074">
      <w:bodyDiv w:val="1"/>
      <w:marLeft w:val="0"/>
      <w:marRight w:val="0"/>
      <w:marTop w:val="0"/>
      <w:marBottom w:val="0"/>
      <w:divBdr>
        <w:top w:val="none" w:sz="0" w:space="0" w:color="auto"/>
        <w:left w:val="none" w:sz="0" w:space="0" w:color="auto"/>
        <w:bottom w:val="none" w:sz="0" w:space="0" w:color="auto"/>
        <w:right w:val="none" w:sz="0" w:space="0" w:color="auto"/>
      </w:divBdr>
    </w:div>
    <w:div w:id="793060495">
      <w:bodyDiv w:val="1"/>
      <w:marLeft w:val="0"/>
      <w:marRight w:val="0"/>
      <w:marTop w:val="0"/>
      <w:marBottom w:val="0"/>
      <w:divBdr>
        <w:top w:val="none" w:sz="0" w:space="0" w:color="auto"/>
        <w:left w:val="none" w:sz="0" w:space="0" w:color="auto"/>
        <w:bottom w:val="none" w:sz="0" w:space="0" w:color="auto"/>
        <w:right w:val="none" w:sz="0" w:space="0" w:color="auto"/>
      </w:divBdr>
    </w:div>
    <w:div w:id="793214673">
      <w:bodyDiv w:val="1"/>
      <w:marLeft w:val="0"/>
      <w:marRight w:val="0"/>
      <w:marTop w:val="0"/>
      <w:marBottom w:val="0"/>
      <w:divBdr>
        <w:top w:val="none" w:sz="0" w:space="0" w:color="auto"/>
        <w:left w:val="none" w:sz="0" w:space="0" w:color="auto"/>
        <w:bottom w:val="none" w:sz="0" w:space="0" w:color="auto"/>
        <w:right w:val="none" w:sz="0" w:space="0" w:color="auto"/>
      </w:divBdr>
    </w:div>
    <w:div w:id="800463026">
      <w:bodyDiv w:val="1"/>
      <w:marLeft w:val="0"/>
      <w:marRight w:val="0"/>
      <w:marTop w:val="0"/>
      <w:marBottom w:val="0"/>
      <w:divBdr>
        <w:top w:val="none" w:sz="0" w:space="0" w:color="auto"/>
        <w:left w:val="none" w:sz="0" w:space="0" w:color="auto"/>
        <w:bottom w:val="none" w:sz="0" w:space="0" w:color="auto"/>
        <w:right w:val="none" w:sz="0" w:space="0" w:color="auto"/>
      </w:divBdr>
    </w:div>
    <w:div w:id="814182835">
      <w:bodyDiv w:val="1"/>
      <w:marLeft w:val="0"/>
      <w:marRight w:val="0"/>
      <w:marTop w:val="0"/>
      <w:marBottom w:val="0"/>
      <w:divBdr>
        <w:top w:val="none" w:sz="0" w:space="0" w:color="auto"/>
        <w:left w:val="none" w:sz="0" w:space="0" w:color="auto"/>
        <w:bottom w:val="none" w:sz="0" w:space="0" w:color="auto"/>
        <w:right w:val="none" w:sz="0" w:space="0" w:color="auto"/>
      </w:divBdr>
    </w:div>
    <w:div w:id="815269158">
      <w:bodyDiv w:val="1"/>
      <w:marLeft w:val="0"/>
      <w:marRight w:val="0"/>
      <w:marTop w:val="0"/>
      <w:marBottom w:val="0"/>
      <w:divBdr>
        <w:top w:val="none" w:sz="0" w:space="0" w:color="auto"/>
        <w:left w:val="none" w:sz="0" w:space="0" w:color="auto"/>
        <w:bottom w:val="none" w:sz="0" w:space="0" w:color="auto"/>
        <w:right w:val="none" w:sz="0" w:space="0" w:color="auto"/>
      </w:divBdr>
    </w:div>
    <w:div w:id="819004229">
      <w:bodyDiv w:val="1"/>
      <w:marLeft w:val="0"/>
      <w:marRight w:val="0"/>
      <w:marTop w:val="0"/>
      <w:marBottom w:val="0"/>
      <w:divBdr>
        <w:top w:val="none" w:sz="0" w:space="0" w:color="auto"/>
        <w:left w:val="none" w:sz="0" w:space="0" w:color="auto"/>
        <w:bottom w:val="none" w:sz="0" w:space="0" w:color="auto"/>
        <w:right w:val="none" w:sz="0" w:space="0" w:color="auto"/>
      </w:divBdr>
    </w:div>
    <w:div w:id="834877673">
      <w:bodyDiv w:val="1"/>
      <w:marLeft w:val="0"/>
      <w:marRight w:val="0"/>
      <w:marTop w:val="0"/>
      <w:marBottom w:val="0"/>
      <w:divBdr>
        <w:top w:val="none" w:sz="0" w:space="0" w:color="auto"/>
        <w:left w:val="none" w:sz="0" w:space="0" w:color="auto"/>
        <w:bottom w:val="none" w:sz="0" w:space="0" w:color="auto"/>
        <w:right w:val="none" w:sz="0" w:space="0" w:color="auto"/>
      </w:divBdr>
    </w:div>
    <w:div w:id="836925425">
      <w:bodyDiv w:val="1"/>
      <w:marLeft w:val="0"/>
      <w:marRight w:val="0"/>
      <w:marTop w:val="0"/>
      <w:marBottom w:val="0"/>
      <w:divBdr>
        <w:top w:val="none" w:sz="0" w:space="0" w:color="auto"/>
        <w:left w:val="none" w:sz="0" w:space="0" w:color="auto"/>
        <w:bottom w:val="none" w:sz="0" w:space="0" w:color="auto"/>
        <w:right w:val="none" w:sz="0" w:space="0" w:color="auto"/>
      </w:divBdr>
    </w:div>
    <w:div w:id="837696823">
      <w:bodyDiv w:val="1"/>
      <w:marLeft w:val="0"/>
      <w:marRight w:val="0"/>
      <w:marTop w:val="0"/>
      <w:marBottom w:val="0"/>
      <w:divBdr>
        <w:top w:val="none" w:sz="0" w:space="0" w:color="auto"/>
        <w:left w:val="none" w:sz="0" w:space="0" w:color="auto"/>
        <w:bottom w:val="none" w:sz="0" w:space="0" w:color="auto"/>
        <w:right w:val="none" w:sz="0" w:space="0" w:color="auto"/>
      </w:divBdr>
    </w:div>
    <w:div w:id="841773753">
      <w:bodyDiv w:val="1"/>
      <w:marLeft w:val="0"/>
      <w:marRight w:val="0"/>
      <w:marTop w:val="0"/>
      <w:marBottom w:val="0"/>
      <w:divBdr>
        <w:top w:val="none" w:sz="0" w:space="0" w:color="auto"/>
        <w:left w:val="none" w:sz="0" w:space="0" w:color="auto"/>
        <w:bottom w:val="none" w:sz="0" w:space="0" w:color="auto"/>
        <w:right w:val="none" w:sz="0" w:space="0" w:color="auto"/>
      </w:divBdr>
    </w:div>
    <w:div w:id="847528421">
      <w:bodyDiv w:val="1"/>
      <w:marLeft w:val="0"/>
      <w:marRight w:val="0"/>
      <w:marTop w:val="0"/>
      <w:marBottom w:val="0"/>
      <w:divBdr>
        <w:top w:val="none" w:sz="0" w:space="0" w:color="auto"/>
        <w:left w:val="none" w:sz="0" w:space="0" w:color="auto"/>
        <w:bottom w:val="none" w:sz="0" w:space="0" w:color="auto"/>
        <w:right w:val="none" w:sz="0" w:space="0" w:color="auto"/>
      </w:divBdr>
    </w:div>
    <w:div w:id="856313720">
      <w:bodyDiv w:val="1"/>
      <w:marLeft w:val="0"/>
      <w:marRight w:val="0"/>
      <w:marTop w:val="0"/>
      <w:marBottom w:val="0"/>
      <w:divBdr>
        <w:top w:val="none" w:sz="0" w:space="0" w:color="auto"/>
        <w:left w:val="none" w:sz="0" w:space="0" w:color="auto"/>
        <w:bottom w:val="none" w:sz="0" w:space="0" w:color="auto"/>
        <w:right w:val="none" w:sz="0" w:space="0" w:color="auto"/>
      </w:divBdr>
    </w:div>
    <w:div w:id="857162426">
      <w:bodyDiv w:val="1"/>
      <w:marLeft w:val="0"/>
      <w:marRight w:val="0"/>
      <w:marTop w:val="0"/>
      <w:marBottom w:val="0"/>
      <w:divBdr>
        <w:top w:val="none" w:sz="0" w:space="0" w:color="auto"/>
        <w:left w:val="none" w:sz="0" w:space="0" w:color="auto"/>
        <w:bottom w:val="none" w:sz="0" w:space="0" w:color="auto"/>
        <w:right w:val="none" w:sz="0" w:space="0" w:color="auto"/>
      </w:divBdr>
    </w:div>
    <w:div w:id="872885275">
      <w:bodyDiv w:val="1"/>
      <w:marLeft w:val="0"/>
      <w:marRight w:val="0"/>
      <w:marTop w:val="0"/>
      <w:marBottom w:val="0"/>
      <w:divBdr>
        <w:top w:val="none" w:sz="0" w:space="0" w:color="auto"/>
        <w:left w:val="none" w:sz="0" w:space="0" w:color="auto"/>
        <w:bottom w:val="none" w:sz="0" w:space="0" w:color="auto"/>
        <w:right w:val="none" w:sz="0" w:space="0" w:color="auto"/>
      </w:divBdr>
    </w:div>
    <w:div w:id="889146828">
      <w:bodyDiv w:val="1"/>
      <w:marLeft w:val="0"/>
      <w:marRight w:val="0"/>
      <w:marTop w:val="0"/>
      <w:marBottom w:val="0"/>
      <w:divBdr>
        <w:top w:val="none" w:sz="0" w:space="0" w:color="auto"/>
        <w:left w:val="none" w:sz="0" w:space="0" w:color="auto"/>
        <w:bottom w:val="none" w:sz="0" w:space="0" w:color="auto"/>
        <w:right w:val="none" w:sz="0" w:space="0" w:color="auto"/>
      </w:divBdr>
    </w:div>
    <w:div w:id="892082869">
      <w:bodyDiv w:val="1"/>
      <w:marLeft w:val="0"/>
      <w:marRight w:val="0"/>
      <w:marTop w:val="0"/>
      <w:marBottom w:val="0"/>
      <w:divBdr>
        <w:top w:val="none" w:sz="0" w:space="0" w:color="auto"/>
        <w:left w:val="none" w:sz="0" w:space="0" w:color="auto"/>
        <w:bottom w:val="none" w:sz="0" w:space="0" w:color="auto"/>
        <w:right w:val="none" w:sz="0" w:space="0" w:color="auto"/>
      </w:divBdr>
    </w:div>
    <w:div w:id="939215663">
      <w:bodyDiv w:val="1"/>
      <w:marLeft w:val="0"/>
      <w:marRight w:val="0"/>
      <w:marTop w:val="0"/>
      <w:marBottom w:val="0"/>
      <w:divBdr>
        <w:top w:val="none" w:sz="0" w:space="0" w:color="auto"/>
        <w:left w:val="none" w:sz="0" w:space="0" w:color="auto"/>
        <w:bottom w:val="none" w:sz="0" w:space="0" w:color="auto"/>
        <w:right w:val="none" w:sz="0" w:space="0" w:color="auto"/>
      </w:divBdr>
    </w:div>
    <w:div w:id="941691723">
      <w:bodyDiv w:val="1"/>
      <w:marLeft w:val="0"/>
      <w:marRight w:val="0"/>
      <w:marTop w:val="0"/>
      <w:marBottom w:val="0"/>
      <w:divBdr>
        <w:top w:val="none" w:sz="0" w:space="0" w:color="auto"/>
        <w:left w:val="none" w:sz="0" w:space="0" w:color="auto"/>
        <w:bottom w:val="none" w:sz="0" w:space="0" w:color="auto"/>
        <w:right w:val="none" w:sz="0" w:space="0" w:color="auto"/>
      </w:divBdr>
    </w:div>
    <w:div w:id="978847094">
      <w:bodyDiv w:val="1"/>
      <w:marLeft w:val="0"/>
      <w:marRight w:val="0"/>
      <w:marTop w:val="0"/>
      <w:marBottom w:val="0"/>
      <w:divBdr>
        <w:top w:val="none" w:sz="0" w:space="0" w:color="auto"/>
        <w:left w:val="none" w:sz="0" w:space="0" w:color="auto"/>
        <w:bottom w:val="none" w:sz="0" w:space="0" w:color="auto"/>
        <w:right w:val="none" w:sz="0" w:space="0" w:color="auto"/>
      </w:divBdr>
    </w:div>
    <w:div w:id="984359412">
      <w:bodyDiv w:val="1"/>
      <w:marLeft w:val="0"/>
      <w:marRight w:val="0"/>
      <w:marTop w:val="0"/>
      <w:marBottom w:val="0"/>
      <w:divBdr>
        <w:top w:val="none" w:sz="0" w:space="0" w:color="auto"/>
        <w:left w:val="none" w:sz="0" w:space="0" w:color="auto"/>
        <w:bottom w:val="none" w:sz="0" w:space="0" w:color="auto"/>
        <w:right w:val="none" w:sz="0" w:space="0" w:color="auto"/>
      </w:divBdr>
    </w:div>
    <w:div w:id="993725960">
      <w:bodyDiv w:val="1"/>
      <w:marLeft w:val="0"/>
      <w:marRight w:val="0"/>
      <w:marTop w:val="0"/>
      <w:marBottom w:val="0"/>
      <w:divBdr>
        <w:top w:val="none" w:sz="0" w:space="0" w:color="auto"/>
        <w:left w:val="none" w:sz="0" w:space="0" w:color="auto"/>
        <w:bottom w:val="none" w:sz="0" w:space="0" w:color="auto"/>
        <w:right w:val="none" w:sz="0" w:space="0" w:color="auto"/>
      </w:divBdr>
    </w:div>
    <w:div w:id="1017466356">
      <w:bodyDiv w:val="1"/>
      <w:marLeft w:val="0"/>
      <w:marRight w:val="0"/>
      <w:marTop w:val="0"/>
      <w:marBottom w:val="0"/>
      <w:divBdr>
        <w:top w:val="none" w:sz="0" w:space="0" w:color="auto"/>
        <w:left w:val="none" w:sz="0" w:space="0" w:color="auto"/>
        <w:bottom w:val="none" w:sz="0" w:space="0" w:color="auto"/>
        <w:right w:val="none" w:sz="0" w:space="0" w:color="auto"/>
      </w:divBdr>
    </w:div>
    <w:div w:id="1032196405">
      <w:bodyDiv w:val="1"/>
      <w:marLeft w:val="0"/>
      <w:marRight w:val="0"/>
      <w:marTop w:val="0"/>
      <w:marBottom w:val="0"/>
      <w:divBdr>
        <w:top w:val="none" w:sz="0" w:space="0" w:color="auto"/>
        <w:left w:val="none" w:sz="0" w:space="0" w:color="auto"/>
        <w:bottom w:val="none" w:sz="0" w:space="0" w:color="auto"/>
        <w:right w:val="none" w:sz="0" w:space="0" w:color="auto"/>
      </w:divBdr>
    </w:div>
    <w:div w:id="1039357398">
      <w:bodyDiv w:val="1"/>
      <w:marLeft w:val="0"/>
      <w:marRight w:val="0"/>
      <w:marTop w:val="0"/>
      <w:marBottom w:val="0"/>
      <w:divBdr>
        <w:top w:val="none" w:sz="0" w:space="0" w:color="auto"/>
        <w:left w:val="none" w:sz="0" w:space="0" w:color="auto"/>
        <w:bottom w:val="none" w:sz="0" w:space="0" w:color="auto"/>
        <w:right w:val="none" w:sz="0" w:space="0" w:color="auto"/>
      </w:divBdr>
    </w:div>
    <w:div w:id="1044476541">
      <w:bodyDiv w:val="1"/>
      <w:marLeft w:val="0"/>
      <w:marRight w:val="0"/>
      <w:marTop w:val="0"/>
      <w:marBottom w:val="0"/>
      <w:divBdr>
        <w:top w:val="none" w:sz="0" w:space="0" w:color="auto"/>
        <w:left w:val="none" w:sz="0" w:space="0" w:color="auto"/>
        <w:bottom w:val="none" w:sz="0" w:space="0" w:color="auto"/>
        <w:right w:val="none" w:sz="0" w:space="0" w:color="auto"/>
      </w:divBdr>
    </w:div>
    <w:div w:id="1050542696">
      <w:bodyDiv w:val="1"/>
      <w:marLeft w:val="0"/>
      <w:marRight w:val="0"/>
      <w:marTop w:val="0"/>
      <w:marBottom w:val="0"/>
      <w:divBdr>
        <w:top w:val="none" w:sz="0" w:space="0" w:color="auto"/>
        <w:left w:val="none" w:sz="0" w:space="0" w:color="auto"/>
        <w:bottom w:val="none" w:sz="0" w:space="0" w:color="auto"/>
        <w:right w:val="none" w:sz="0" w:space="0" w:color="auto"/>
      </w:divBdr>
    </w:div>
    <w:div w:id="1054504587">
      <w:bodyDiv w:val="1"/>
      <w:marLeft w:val="0"/>
      <w:marRight w:val="0"/>
      <w:marTop w:val="0"/>
      <w:marBottom w:val="0"/>
      <w:divBdr>
        <w:top w:val="none" w:sz="0" w:space="0" w:color="auto"/>
        <w:left w:val="none" w:sz="0" w:space="0" w:color="auto"/>
        <w:bottom w:val="none" w:sz="0" w:space="0" w:color="auto"/>
        <w:right w:val="none" w:sz="0" w:space="0" w:color="auto"/>
      </w:divBdr>
    </w:div>
    <w:div w:id="1066806676">
      <w:bodyDiv w:val="1"/>
      <w:marLeft w:val="0"/>
      <w:marRight w:val="0"/>
      <w:marTop w:val="0"/>
      <w:marBottom w:val="0"/>
      <w:divBdr>
        <w:top w:val="none" w:sz="0" w:space="0" w:color="auto"/>
        <w:left w:val="none" w:sz="0" w:space="0" w:color="auto"/>
        <w:bottom w:val="none" w:sz="0" w:space="0" w:color="auto"/>
        <w:right w:val="none" w:sz="0" w:space="0" w:color="auto"/>
      </w:divBdr>
    </w:div>
    <w:div w:id="1069040439">
      <w:bodyDiv w:val="1"/>
      <w:marLeft w:val="0"/>
      <w:marRight w:val="0"/>
      <w:marTop w:val="0"/>
      <w:marBottom w:val="0"/>
      <w:divBdr>
        <w:top w:val="none" w:sz="0" w:space="0" w:color="auto"/>
        <w:left w:val="none" w:sz="0" w:space="0" w:color="auto"/>
        <w:bottom w:val="none" w:sz="0" w:space="0" w:color="auto"/>
        <w:right w:val="none" w:sz="0" w:space="0" w:color="auto"/>
      </w:divBdr>
    </w:div>
    <w:div w:id="1074476173">
      <w:bodyDiv w:val="1"/>
      <w:marLeft w:val="0"/>
      <w:marRight w:val="0"/>
      <w:marTop w:val="0"/>
      <w:marBottom w:val="0"/>
      <w:divBdr>
        <w:top w:val="none" w:sz="0" w:space="0" w:color="auto"/>
        <w:left w:val="none" w:sz="0" w:space="0" w:color="auto"/>
        <w:bottom w:val="none" w:sz="0" w:space="0" w:color="auto"/>
        <w:right w:val="none" w:sz="0" w:space="0" w:color="auto"/>
      </w:divBdr>
    </w:div>
    <w:div w:id="1084690327">
      <w:bodyDiv w:val="1"/>
      <w:marLeft w:val="0"/>
      <w:marRight w:val="0"/>
      <w:marTop w:val="0"/>
      <w:marBottom w:val="0"/>
      <w:divBdr>
        <w:top w:val="none" w:sz="0" w:space="0" w:color="auto"/>
        <w:left w:val="none" w:sz="0" w:space="0" w:color="auto"/>
        <w:bottom w:val="none" w:sz="0" w:space="0" w:color="auto"/>
        <w:right w:val="none" w:sz="0" w:space="0" w:color="auto"/>
      </w:divBdr>
    </w:div>
    <w:div w:id="1094286128">
      <w:bodyDiv w:val="1"/>
      <w:marLeft w:val="0"/>
      <w:marRight w:val="0"/>
      <w:marTop w:val="0"/>
      <w:marBottom w:val="0"/>
      <w:divBdr>
        <w:top w:val="none" w:sz="0" w:space="0" w:color="auto"/>
        <w:left w:val="none" w:sz="0" w:space="0" w:color="auto"/>
        <w:bottom w:val="none" w:sz="0" w:space="0" w:color="auto"/>
        <w:right w:val="none" w:sz="0" w:space="0" w:color="auto"/>
      </w:divBdr>
    </w:div>
    <w:div w:id="1097869961">
      <w:bodyDiv w:val="1"/>
      <w:marLeft w:val="0"/>
      <w:marRight w:val="0"/>
      <w:marTop w:val="0"/>
      <w:marBottom w:val="0"/>
      <w:divBdr>
        <w:top w:val="none" w:sz="0" w:space="0" w:color="auto"/>
        <w:left w:val="none" w:sz="0" w:space="0" w:color="auto"/>
        <w:bottom w:val="none" w:sz="0" w:space="0" w:color="auto"/>
        <w:right w:val="none" w:sz="0" w:space="0" w:color="auto"/>
      </w:divBdr>
    </w:div>
    <w:div w:id="1148277409">
      <w:bodyDiv w:val="1"/>
      <w:marLeft w:val="0"/>
      <w:marRight w:val="0"/>
      <w:marTop w:val="0"/>
      <w:marBottom w:val="0"/>
      <w:divBdr>
        <w:top w:val="none" w:sz="0" w:space="0" w:color="auto"/>
        <w:left w:val="none" w:sz="0" w:space="0" w:color="auto"/>
        <w:bottom w:val="none" w:sz="0" w:space="0" w:color="auto"/>
        <w:right w:val="none" w:sz="0" w:space="0" w:color="auto"/>
      </w:divBdr>
    </w:div>
    <w:div w:id="1154299872">
      <w:bodyDiv w:val="1"/>
      <w:marLeft w:val="0"/>
      <w:marRight w:val="0"/>
      <w:marTop w:val="0"/>
      <w:marBottom w:val="0"/>
      <w:divBdr>
        <w:top w:val="none" w:sz="0" w:space="0" w:color="auto"/>
        <w:left w:val="none" w:sz="0" w:space="0" w:color="auto"/>
        <w:bottom w:val="none" w:sz="0" w:space="0" w:color="auto"/>
        <w:right w:val="none" w:sz="0" w:space="0" w:color="auto"/>
      </w:divBdr>
    </w:div>
    <w:div w:id="1157376978">
      <w:bodyDiv w:val="1"/>
      <w:marLeft w:val="0"/>
      <w:marRight w:val="0"/>
      <w:marTop w:val="0"/>
      <w:marBottom w:val="0"/>
      <w:divBdr>
        <w:top w:val="none" w:sz="0" w:space="0" w:color="auto"/>
        <w:left w:val="none" w:sz="0" w:space="0" w:color="auto"/>
        <w:bottom w:val="none" w:sz="0" w:space="0" w:color="auto"/>
        <w:right w:val="none" w:sz="0" w:space="0" w:color="auto"/>
      </w:divBdr>
    </w:div>
    <w:div w:id="1170364447">
      <w:bodyDiv w:val="1"/>
      <w:marLeft w:val="0"/>
      <w:marRight w:val="0"/>
      <w:marTop w:val="0"/>
      <w:marBottom w:val="0"/>
      <w:divBdr>
        <w:top w:val="none" w:sz="0" w:space="0" w:color="auto"/>
        <w:left w:val="none" w:sz="0" w:space="0" w:color="auto"/>
        <w:bottom w:val="none" w:sz="0" w:space="0" w:color="auto"/>
        <w:right w:val="none" w:sz="0" w:space="0" w:color="auto"/>
      </w:divBdr>
    </w:div>
    <w:div w:id="1173375656">
      <w:bodyDiv w:val="1"/>
      <w:marLeft w:val="0"/>
      <w:marRight w:val="0"/>
      <w:marTop w:val="0"/>
      <w:marBottom w:val="0"/>
      <w:divBdr>
        <w:top w:val="none" w:sz="0" w:space="0" w:color="auto"/>
        <w:left w:val="none" w:sz="0" w:space="0" w:color="auto"/>
        <w:bottom w:val="none" w:sz="0" w:space="0" w:color="auto"/>
        <w:right w:val="none" w:sz="0" w:space="0" w:color="auto"/>
      </w:divBdr>
    </w:div>
    <w:div w:id="1193886141">
      <w:bodyDiv w:val="1"/>
      <w:marLeft w:val="0"/>
      <w:marRight w:val="0"/>
      <w:marTop w:val="0"/>
      <w:marBottom w:val="0"/>
      <w:divBdr>
        <w:top w:val="none" w:sz="0" w:space="0" w:color="auto"/>
        <w:left w:val="none" w:sz="0" w:space="0" w:color="auto"/>
        <w:bottom w:val="none" w:sz="0" w:space="0" w:color="auto"/>
        <w:right w:val="none" w:sz="0" w:space="0" w:color="auto"/>
      </w:divBdr>
    </w:div>
    <w:div w:id="1217468440">
      <w:bodyDiv w:val="1"/>
      <w:marLeft w:val="0"/>
      <w:marRight w:val="0"/>
      <w:marTop w:val="0"/>
      <w:marBottom w:val="0"/>
      <w:divBdr>
        <w:top w:val="none" w:sz="0" w:space="0" w:color="auto"/>
        <w:left w:val="none" w:sz="0" w:space="0" w:color="auto"/>
        <w:bottom w:val="none" w:sz="0" w:space="0" w:color="auto"/>
        <w:right w:val="none" w:sz="0" w:space="0" w:color="auto"/>
      </w:divBdr>
    </w:div>
    <w:div w:id="1224877841">
      <w:bodyDiv w:val="1"/>
      <w:marLeft w:val="0"/>
      <w:marRight w:val="0"/>
      <w:marTop w:val="0"/>
      <w:marBottom w:val="0"/>
      <w:divBdr>
        <w:top w:val="none" w:sz="0" w:space="0" w:color="auto"/>
        <w:left w:val="none" w:sz="0" w:space="0" w:color="auto"/>
        <w:bottom w:val="none" w:sz="0" w:space="0" w:color="auto"/>
        <w:right w:val="none" w:sz="0" w:space="0" w:color="auto"/>
      </w:divBdr>
    </w:div>
    <w:div w:id="1229657513">
      <w:bodyDiv w:val="1"/>
      <w:marLeft w:val="0"/>
      <w:marRight w:val="0"/>
      <w:marTop w:val="0"/>
      <w:marBottom w:val="0"/>
      <w:divBdr>
        <w:top w:val="none" w:sz="0" w:space="0" w:color="auto"/>
        <w:left w:val="none" w:sz="0" w:space="0" w:color="auto"/>
        <w:bottom w:val="none" w:sz="0" w:space="0" w:color="auto"/>
        <w:right w:val="none" w:sz="0" w:space="0" w:color="auto"/>
      </w:divBdr>
    </w:div>
    <w:div w:id="1241671445">
      <w:bodyDiv w:val="1"/>
      <w:marLeft w:val="0"/>
      <w:marRight w:val="0"/>
      <w:marTop w:val="0"/>
      <w:marBottom w:val="0"/>
      <w:divBdr>
        <w:top w:val="none" w:sz="0" w:space="0" w:color="auto"/>
        <w:left w:val="none" w:sz="0" w:space="0" w:color="auto"/>
        <w:bottom w:val="none" w:sz="0" w:space="0" w:color="auto"/>
        <w:right w:val="none" w:sz="0" w:space="0" w:color="auto"/>
      </w:divBdr>
    </w:div>
    <w:div w:id="1248995751">
      <w:bodyDiv w:val="1"/>
      <w:marLeft w:val="0"/>
      <w:marRight w:val="0"/>
      <w:marTop w:val="0"/>
      <w:marBottom w:val="0"/>
      <w:divBdr>
        <w:top w:val="none" w:sz="0" w:space="0" w:color="auto"/>
        <w:left w:val="none" w:sz="0" w:space="0" w:color="auto"/>
        <w:bottom w:val="none" w:sz="0" w:space="0" w:color="auto"/>
        <w:right w:val="none" w:sz="0" w:space="0" w:color="auto"/>
      </w:divBdr>
    </w:div>
    <w:div w:id="1251082662">
      <w:bodyDiv w:val="1"/>
      <w:marLeft w:val="0"/>
      <w:marRight w:val="0"/>
      <w:marTop w:val="0"/>
      <w:marBottom w:val="0"/>
      <w:divBdr>
        <w:top w:val="none" w:sz="0" w:space="0" w:color="auto"/>
        <w:left w:val="none" w:sz="0" w:space="0" w:color="auto"/>
        <w:bottom w:val="none" w:sz="0" w:space="0" w:color="auto"/>
        <w:right w:val="none" w:sz="0" w:space="0" w:color="auto"/>
      </w:divBdr>
    </w:div>
    <w:div w:id="1276446052">
      <w:bodyDiv w:val="1"/>
      <w:marLeft w:val="0"/>
      <w:marRight w:val="0"/>
      <w:marTop w:val="0"/>
      <w:marBottom w:val="0"/>
      <w:divBdr>
        <w:top w:val="none" w:sz="0" w:space="0" w:color="auto"/>
        <w:left w:val="none" w:sz="0" w:space="0" w:color="auto"/>
        <w:bottom w:val="none" w:sz="0" w:space="0" w:color="auto"/>
        <w:right w:val="none" w:sz="0" w:space="0" w:color="auto"/>
      </w:divBdr>
    </w:div>
    <w:div w:id="1279140842">
      <w:bodyDiv w:val="1"/>
      <w:marLeft w:val="0"/>
      <w:marRight w:val="0"/>
      <w:marTop w:val="0"/>
      <w:marBottom w:val="0"/>
      <w:divBdr>
        <w:top w:val="none" w:sz="0" w:space="0" w:color="auto"/>
        <w:left w:val="none" w:sz="0" w:space="0" w:color="auto"/>
        <w:bottom w:val="none" w:sz="0" w:space="0" w:color="auto"/>
        <w:right w:val="none" w:sz="0" w:space="0" w:color="auto"/>
      </w:divBdr>
    </w:div>
    <w:div w:id="1295142091">
      <w:bodyDiv w:val="1"/>
      <w:marLeft w:val="0"/>
      <w:marRight w:val="0"/>
      <w:marTop w:val="0"/>
      <w:marBottom w:val="0"/>
      <w:divBdr>
        <w:top w:val="none" w:sz="0" w:space="0" w:color="auto"/>
        <w:left w:val="none" w:sz="0" w:space="0" w:color="auto"/>
        <w:bottom w:val="none" w:sz="0" w:space="0" w:color="auto"/>
        <w:right w:val="none" w:sz="0" w:space="0" w:color="auto"/>
      </w:divBdr>
    </w:div>
    <w:div w:id="1298998680">
      <w:bodyDiv w:val="1"/>
      <w:marLeft w:val="0"/>
      <w:marRight w:val="0"/>
      <w:marTop w:val="0"/>
      <w:marBottom w:val="0"/>
      <w:divBdr>
        <w:top w:val="none" w:sz="0" w:space="0" w:color="auto"/>
        <w:left w:val="none" w:sz="0" w:space="0" w:color="auto"/>
        <w:bottom w:val="none" w:sz="0" w:space="0" w:color="auto"/>
        <w:right w:val="none" w:sz="0" w:space="0" w:color="auto"/>
      </w:divBdr>
    </w:div>
    <w:div w:id="1299335874">
      <w:bodyDiv w:val="1"/>
      <w:marLeft w:val="0"/>
      <w:marRight w:val="0"/>
      <w:marTop w:val="0"/>
      <w:marBottom w:val="0"/>
      <w:divBdr>
        <w:top w:val="none" w:sz="0" w:space="0" w:color="auto"/>
        <w:left w:val="none" w:sz="0" w:space="0" w:color="auto"/>
        <w:bottom w:val="none" w:sz="0" w:space="0" w:color="auto"/>
        <w:right w:val="none" w:sz="0" w:space="0" w:color="auto"/>
      </w:divBdr>
    </w:div>
    <w:div w:id="1328939869">
      <w:bodyDiv w:val="1"/>
      <w:marLeft w:val="0"/>
      <w:marRight w:val="0"/>
      <w:marTop w:val="0"/>
      <w:marBottom w:val="0"/>
      <w:divBdr>
        <w:top w:val="none" w:sz="0" w:space="0" w:color="auto"/>
        <w:left w:val="none" w:sz="0" w:space="0" w:color="auto"/>
        <w:bottom w:val="none" w:sz="0" w:space="0" w:color="auto"/>
        <w:right w:val="none" w:sz="0" w:space="0" w:color="auto"/>
      </w:divBdr>
    </w:div>
    <w:div w:id="1334333638">
      <w:bodyDiv w:val="1"/>
      <w:marLeft w:val="0"/>
      <w:marRight w:val="0"/>
      <w:marTop w:val="0"/>
      <w:marBottom w:val="0"/>
      <w:divBdr>
        <w:top w:val="none" w:sz="0" w:space="0" w:color="auto"/>
        <w:left w:val="none" w:sz="0" w:space="0" w:color="auto"/>
        <w:bottom w:val="none" w:sz="0" w:space="0" w:color="auto"/>
        <w:right w:val="none" w:sz="0" w:space="0" w:color="auto"/>
      </w:divBdr>
    </w:div>
    <w:div w:id="1345128318">
      <w:bodyDiv w:val="1"/>
      <w:marLeft w:val="0"/>
      <w:marRight w:val="0"/>
      <w:marTop w:val="0"/>
      <w:marBottom w:val="0"/>
      <w:divBdr>
        <w:top w:val="none" w:sz="0" w:space="0" w:color="auto"/>
        <w:left w:val="none" w:sz="0" w:space="0" w:color="auto"/>
        <w:bottom w:val="none" w:sz="0" w:space="0" w:color="auto"/>
        <w:right w:val="none" w:sz="0" w:space="0" w:color="auto"/>
      </w:divBdr>
    </w:div>
    <w:div w:id="1350597663">
      <w:bodyDiv w:val="1"/>
      <w:marLeft w:val="0"/>
      <w:marRight w:val="0"/>
      <w:marTop w:val="0"/>
      <w:marBottom w:val="0"/>
      <w:divBdr>
        <w:top w:val="none" w:sz="0" w:space="0" w:color="auto"/>
        <w:left w:val="none" w:sz="0" w:space="0" w:color="auto"/>
        <w:bottom w:val="none" w:sz="0" w:space="0" w:color="auto"/>
        <w:right w:val="none" w:sz="0" w:space="0" w:color="auto"/>
      </w:divBdr>
    </w:div>
    <w:div w:id="1372459580">
      <w:bodyDiv w:val="1"/>
      <w:marLeft w:val="0"/>
      <w:marRight w:val="0"/>
      <w:marTop w:val="0"/>
      <w:marBottom w:val="0"/>
      <w:divBdr>
        <w:top w:val="none" w:sz="0" w:space="0" w:color="auto"/>
        <w:left w:val="none" w:sz="0" w:space="0" w:color="auto"/>
        <w:bottom w:val="none" w:sz="0" w:space="0" w:color="auto"/>
        <w:right w:val="none" w:sz="0" w:space="0" w:color="auto"/>
      </w:divBdr>
    </w:div>
    <w:div w:id="1389377315">
      <w:bodyDiv w:val="1"/>
      <w:marLeft w:val="0"/>
      <w:marRight w:val="0"/>
      <w:marTop w:val="0"/>
      <w:marBottom w:val="0"/>
      <w:divBdr>
        <w:top w:val="none" w:sz="0" w:space="0" w:color="auto"/>
        <w:left w:val="none" w:sz="0" w:space="0" w:color="auto"/>
        <w:bottom w:val="none" w:sz="0" w:space="0" w:color="auto"/>
        <w:right w:val="none" w:sz="0" w:space="0" w:color="auto"/>
      </w:divBdr>
    </w:div>
    <w:div w:id="1389526228">
      <w:bodyDiv w:val="1"/>
      <w:marLeft w:val="0"/>
      <w:marRight w:val="0"/>
      <w:marTop w:val="0"/>
      <w:marBottom w:val="0"/>
      <w:divBdr>
        <w:top w:val="none" w:sz="0" w:space="0" w:color="auto"/>
        <w:left w:val="none" w:sz="0" w:space="0" w:color="auto"/>
        <w:bottom w:val="none" w:sz="0" w:space="0" w:color="auto"/>
        <w:right w:val="none" w:sz="0" w:space="0" w:color="auto"/>
      </w:divBdr>
    </w:div>
    <w:div w:id="1444299151">
      <w:bodyDiv w:val="1"/>
      <w:marLeft w:val="0"/>
      <w:marRight w:val="0"/>
      <w:marTop w:val="0"/>
      <w:marBottom w:val="0"/>
      <w:divBdr>
        <w:top w:val="none" w:sz="0" w:space="0" w:color="auto"/>
        <w:left w:val="none" w:sz="0" w:space="0" w:color="auto"/>
        <w:bottom w:val="none" w:sz="0" w:space="0" w:color="auto"/>
        <w:right w:val="none" w:sz="0" w:space="0" w:color="auto"/>
      </w:divBdr>
    </w:div>
    <w:div w:id="1449467782">
      <w:bodyDiv w:val="1"/>
      <w:marLeft w:val="0"/>
      <w:marRight w:val="0"/>
      <w:marTop w:val="0"/>
      <w:marBottom w:val="0"/>
      <w:divBdr>
        <w:top w:val="none" w:sz="0" w:space="0" w:color="auto"/>
        <w:left w:val="none" w:sz="0" w:space="0" w:color="auto"/>
        <w:bottom w:val="none" w:sz="0" w:space="0" w:color="auto"/>
        <w:right w:val="none" w:sz="0" w:space="0" w:color="auto"/>
      </w:divBdr>
    </w:div>
    <w:div w:id="1479299488">
      <w:bodyDiv w:val="1"/>
      <w:marLeft w:val="0"/>
      <w:marRight w:val="0"/>
      <w:marTop w:val="0"/>
      <w:marBottom w:val="0"/>
      <w:divBdr>
        <w:top w:val="none" w:sz="0" w:space="0" w:color="auto"/>
        <w:left w:val="none" w:sz="0" w:space="0" w:color="auto"/>
        <w:bottom w:val="none" w:sz="0" w:space="0" w:color="auto"/>
        <w:right w:val="none" w:sz="0" w:space="0" w:color="auto"/>
      </w:divBdr>
    </w:div>
    <w:div w:id="1482037062">
      <w:bodyDiv w:val="1"/>
      <w:marLeft w:val="0"/>
      <w:marRight w:val="0"/>
      <w:marTop w:val="0"/>
      <w:marBottom w:val="0"/>
      <w:divBdr>
        <w:top w:val="none" w:sz="0" w:space="0" w:color="auto"/>
        <w:left w:val="none" w:sz="0" w:space="0" w:color="auto"/>
        <w:bottom w:val="none" w:sz="0" w:space="0" w:color="auto"/>
        <w:right w:val="none" w:sz="0" w:space="0" w:color="auto"/>
      </w:divBdr>
    </w:div>
    <w:div w:id="1486121408">
      <w:bodyDiv w:val="1"/>
      <w:marLeft w:val="0"/>
      <w:marRight w:val="0"/>
      <w:marTop w:val="0"/>
      <w:marBottom w:val="0"/>
      <w:divBdr>
        <w:top w:val="none" w:sz="0" w:space="0" w:color="auto"/>
        <w:left w:val="none" w:sz="0" w:space="0" w:color="auto"/>
        <w:bottom w:val="none" w:sz="0" w:space="0" w:color="auto"/>
        <w:right w:val="none" w:sz="0" w:space="0" w:color="auto"/>
      </w:divBdr>
    </w:div>
    <w:div w:id="1531643860">
      <w:bodyDiv w:val="1"/>
      <w:marLeft w:val="0"/>
      <w:marRight w:val="0"/>
      <w:marTop w:val="0"/>
      <w:marBottom w:val="0"/>
      <w:divBdr>
        <w:top w:val="none" w:sz="0" w:space="0" w:color="auto"/>
        <w:left w:val="none" w:sz="0" w:space="0" w:color="auto"/>
        <w:bottom w:val="none" w:sz="0" w:space="0" w:color="auto"/>
        <w:right w:val="none" w:sz="0" w:space="0" w:color="auto"/>
      </w:divBdr>
    </w:div>
    <w:div w:id="1551067936">
      <w:bodyDiv w:val="1"/>
      <w:marLeft w:val="0"/>
      <w:marRight w:val="0"/>
      <w:marTop w:val="0"/>
      <w:marBottom w:val="0"/>
      <w:divBdr>
        <w:top w:val="none" w:sz="0" w:space="0" w:color="auto"/>
        <w:left w:val="none" w:sz="0" w:space="0" w:color="auto"/>
        <w:bottom w:val="none" w:sz="0" w:space="0" w:color="auto"/>
        <w:right w:val="none" w:sz="0" w:space="0" w:color="auto"/>
      </w:divBdr>
    </w:div>
    <w:div w:id="1574199113">
      <w:bodyDiv w:val="1"/>
      <w:marLeft w:val="0"/>
      <w:marRight w:val="0"/>
      <w:marTop w:val="0"/>
      <w:marBottom w:val="0"/>
      <w:divBdr>
        <w:top w:val="none" w:sz="0" w:space="0" w:color="auto"/>
        <w:left w:val="none" w:sz="0" w:space="0" w:color="auto"/>
        <w:bottom w:val="none" w:sz="0" w:space="0" w:color="auto"/>
        <w:right w:val="none" w:sz="0" w:space="0" w:color="auto"/>
      </w:divBdr>
    </w:div>
    <w:div w:id="1580604020">
      <w:bodyDiv w:val="1"/>
      <w:marLeft w:val="0"/>
      <w:marRight w:val="0"/>
      <w:marTop w:val="0"/>
      <w:marBottom w:val="0"/>
      <w:divBdr>
        <w:top w:val="none" w:sz="0" w:space="0" w:color="auto"/>
        <w:left w:val="none" w:sz="0" w:space="0" w:color="auto"/>
        <w:bottom w:val="none" w:sz="0" w:space="0" w:color="auto"/>
        <w:right w:val="none" w:sz="0" w:space="0" w:color="auto"/>
      </w:divBdr>
    </w:div>
    <w:div w:id="1612786870">
      <w:bodyDiv w:val="1"/>
      <w:marLeft w:val="0"/>
      <w:marRight w:val="0"/>
      <w:marTop w:val="0"/>
      <w:marBottom w:val="0"/>
      <w:divBdr>
        <w:top w:val="none" w:sz="0" w:space="0" w:color="auto"/>
        <w:left w:val="none" w:sz="0" w:space="0" w:color="auto"/>
        <w:bottom w:val="none" w:sz="0" w:space="0" w:color="auto"/>
        <w:right w:val="none" w:sz="0" w:space="0" w:color="auto"/>
      </w:divBdr>
    </w:div>
    <w:div w:id="1647002700">
      <w:bodyDiv w:val="1"/>
      <w:marLeft w:val="0"/>
      <w:marRight w:val="0"/>
      <w:marTop w:val="0"/>
      <w:marBottom w:val="0"/>
      <w:divBdr>
        <w:top w:val="none" w:sz="0" w:space="0" w:color="auto"/>
        <w:left w:val="none" w:sz="0" w:space="0" w:color="auto"/>
        <w:bottom w:val="none" w:sz="0" w:space="0" w:color="auto"/>
        <w:right w:val="none" w:sz="0" w:space="0" w:color="auto"/>
      </w:divBdr>
    </w:div>
    <w:div w:id="1654791500">
      <w:bodyDiv w:val="1"/>
      <w:marLeft w:val="0"/>
      <w:marRight w:val="0"/>
      <w:marTop w:val="0"/>
      <w:marBottom w:val="0"/>
      <w:divBdr>
        <w:top w:val="none" w:sz="0" w:space="0" w:color="auto"/>
        <w:left w:val="none" w:sz="0" w:space="0" w:color="auto"/>
        <w:bottom w:val="none" w:sz="0" w:space="0" w:color="auto"/>
        <w:right w:val="none" w:sz="0" w:space="0" w:color="auto"/>
      </w:divBdr>
    </w:div>
    <w:div w:id="1671906532">
      <w:bodyDiv w:val="1"/>
      <w:marLeft w:val="0"/>
      <w:marRight w:val="0"/>
      <w:marTop w:val="0"/>
      <w:marBottom w:val="0"/>
      <w:divBdr>
        <w:top w:val="none" w:sz="0" w:space="0" w:color="auto"/>
        <w:left w:val="none" w:sz="0" w:space="0" w:color="auto"/>
        <w:bottom w:val="none" w:sz="0" w:space="0" w:color="auto"/>
        <w:right w:val="none" w:sz="0" w:space="0" w:color="auto"/>
      </w:divBdr>
    </w:div>
    <w:div w:id="1681738494">
      <w:bodyDiv w:val="1"/>
      <w:marLeft w:val="0"/>
      <w:marRight w:val="0"/>
      <w:marTop w:val="0"/>
      <w:marBottom w:val="0"/>
      <w:divBdr>
        <w:top w:val="none" w:sz="0" w:space="0" w:color="auto"/>
        <w:left w:val="none" w:sz="0" w:space="0" w:color="auto"/>
        <w:bottom w:val="none" w:sz="0" w:space="0" w:color="auto"/>
        <w:right w:val="none" w:sz="0" w:space="0" w:color="auto"/>
      </w:divBdr>
    </w:div>
    <w:div w:id="1683359025">
      <w:bodyDiv w:val="1"/>
      <w:marLeft w:val="0"/>
      <w:marRight w:val="0"/>
      <w:marTop w:val="0"/>
      <w:marBottom w:val="0"/>
      <w:divBdr>
        <w:top w:val="none" w:sz="0" w:space="0" w:color="auto"/>
        <w:left w:val="none" w:sz="0" w:space="0" w:color="auto"/>
        <w:bottom w:val="none" w:sz="0" w:space="0" w:color="auto"/>
        <w:right w:val="none" w:sz="0" w:space="0" w:color="auto"/>
      </w:divBdr>
    </w:div>
    <w:div w:id="1688143680">
      <w:bodyDiv w:val="1"/>
      <w:marLeft w:val="0"/>
      <w:marRight w:val="0"/>
      <w:marTop w:val="0"/>
      <w:marBottom w:val="0"/>
      <w:divBdr>
        <w:top w:val="none" w:sz="0" w:space="0" w:color="auto"/>
        <w:left w:val="none" w:sz="0" w:space="0" w:color="auto"/>
        <w:bottom w:val="none" w:sz="0" w:space="0" w:color="auto"/>
        <w:right w:val="none" w:sz="0" w:space="0" w:color="auto"/>
      </w:divBdr>
    </w:div>
    <w:div w:id="1707682602">
      <w:bodyDiv w:val="1"/>
      <w:marLeft w:val="0"/>
      <w:marRight w:val="0"/>
      <w:marTop w:val="0"/>
      <w:marBottom w:val="0"/>
      <w:divBdr>
        <w:top w:val="none" w:sz="0" w:space="0" w:color="auto"/>
        <w:left w:val="none" w:sz="0" w:space="0" w:color="auto"/>
        <w:bottom w:val="none" w:sz="0" w:space="0" w:color="auto"/>
        <w:right w:val="none" w:sz="0" w:space="0" w:color="auto"/>
      </w:divBdr>
    </w:div>
    <w:div w:id="1723824962">
      <w:bodyDiv w:val="1"/>
      <w:marLeft w:val="0"/>
      <w:marRight w:val="0"/>
      <w:marTop w:val="0"/>
      <w:marBottom w:val="0"/>
      <w:divBdr>
        <w:top w:val="none" w:sz="0" w:space="0" w:color="auto"/>
        <w:left w:val="none" w:sz="0" w:space="0" w:color="auto"/>
        <w:bottom w:val="none" w:sz="0" w:space="0" w:color="auto"/>
        <w:right w:val="none" w:sz="0" w:space="0" w:color="auto"/>
      </w:divBdr>
    </w:div>
    <w:div w:id="1726639077">
      <w:bodyDiv w:val="1"/>
      <w:marLeft w:val="0"/>
      <w:marRight w:val="0"/>
      <w:marTop w:val="0"/>
      <w:marBottom w:val="0"/>
      <w:divBdr>
        <w:top w:val="none" w:sz="0" w:space="0" w:color="auto"/>
        <w:left w:val="none" w:sz="0" w:space="0" w:color="auto"/>
        <w:bottom w:val="none" w:sz="0" w:space="0" w:color="auto"/>
        <w:right w:val="none" w:sz="0" w:space="0" w:color="auto"/>
      </w:divBdr>
    </w:div>
    <w:div w:id="1755544592">
      <w:bodyDiv w:val="1"/>
      <w:marLeft w:val="0"/>
      <w:marRight w:val="0"/>
      <w:marTop w:val="0"/>
      <w:marBottom w:val="0"/>
      <w:divBdr>
        <w:top w:val="none" w:sz="0" w:space="0" w:color="auto"/>
        <w:left w:val="none" w:sz="0" w:space="0" w:color="auto"/>
        <w:bottom w:val="none" w:sz="0" w:space="0" w:color="auto"/>
        <w:right w:val="none" w:sz="0" w:space="0" w:color="auto"/>
      </w:divBdr>
    </w:div>
    <w:div w:id="1763067337">
      <w:bodyDiv w:val="1"/>
      <w:marLeft w:val="0"/>
      <w:marRight w:val="0"/>
      <w:marTop w:val="0"/>
      <w:marBottom w:val="0"/>
      <w:divBdr>
        <w:top w:val="none" w:sz="0" w:space="0" w:color="auto"/>
        <w:left w:val="none" w:sz="0" w:space="0" w:color="auto"/>
        <w:bottom w:val="none" w:sz="0" w:space="0" w:color="auto"/>
        <w:right w:val="none" w:sz="0" w:space="0" w:color="auto"/>
      </w:divBdr>
    </w:div>
    <w:div w:id="1769735726">
      <w:bodyDiv w:val="1"/>
      <w:marLeft w:val="0"/>
      <w:marRight w:val="0"/>
      <w:marTop w:val="0"/>
      <w:marBottom w:val="0"/>
      <w:divBdr>
        <w:top w:val="none" w:sz="0" w:space="0" w:color="auto"/>
        <w:left w:val="none" w:sz="0" w:space="0" w:color="auto"/>
        <w:bottom w:val="none" w:sz="0" w:space="0" w:color="auto"/>
        <w:right w:val="none" w:sz="0" w:space="0" w:color="auto"/>
      </w:divBdr>
    </w:div>
    <w:div w:id="1770732885">
      <w:bodyDiv w:val="1"/>
      <w:marLeft w:val="0"/>
      <w:marRight w:val="0"/>
      <w:marTop w:val="0"/>
      <w:marBottom w:val="0"/>
      <w:divBdr>
        <w:top w:val="none" w:sz="0" w:space="0" w:color="auto"/>
        <w:left w:val="none" w:sz="0" w:space="0" w:color="auto"/>
        <w:bottom w:val="none" w:sz="0" w:space="0" w:color="auto"/>
        <w:right w:val="none" w:sz="0" w:space="0" w:color="auto"/>
      </w:divBdr>
    </w:div>
    <w:div w:id="1792167319">
      <w:bodyDiv w:val="1"/>
      <w:marLeft w:val="0"/>
      <w:marRight w:val="0"/>
      <w:marTop w:val="0"/>
      <w:marBottom w:val="0"/>
      <w:divBdr>
        <w:top w:val="none" w:sz="0" w:space="0" w:color="auto"/>
        <w:left w:val="none" w:sz="0" w:space="0" w:color="auto"/>
        <w:bottom w:val="none" w:sz="0" w:space="0" w:color="auto"/>
        <w:right w:val="none" w:sz="0" w:space="0" w:color="auto"/>
      </w:divBdr>
    </w:div>
    <w:div w:id="1802531978">
      <w:bodyDiv w:val="1"/>
      <w:marLeft w:val="0"/>
      <w:marRight w:val="0"/>
      <w:marTop w:val="0"/>
      <w:marBottom w:val="0"/>
      <w:divBdr>
        <w:top w:val="none" w:sz="0" w:space="0" w:color="auto"/>
        <w:left w:val="none" w:sz="0" w:space="0" w:color="auto"/>
        <w:bottom w:val="none" w:sz="0" w:space="0" w:color="auto"/>
        <w:right w:val="none" w:sz="0" w:space="0" w:color="auto"/>
      </w:divBdr>
    </w:div>
    <w:div w:id="1833259530">
      <w:bodyDiv w:val="1"/>
      <w:marLeft w:val="0"/>
      <w:marRight w:val="0"/>
      <w:marTop w:val="0"/>
      <w:marBottom w:val="0"/>
      <w:divBdr>
        <w:top w:val="none" w:sz="0" w:space="0" w:color="auto"/>
        <w:left w:val="none" w:sz="0" w:space="0" w:color="auto"/>
        <w:bottom w:val="none" w:sz="0" w:space="0" w:color="auto"/>
        <w:right w:val="none" w:sz="0" w:space="0" w:color="auto"/>
      </w:divBdr>
    </w:div>
    <w:div w:id="1837988570">
      <w:bodyDiv w:val="1"/>
      <w:marLeft w:val="0"/>
      <w:marRight w:val="0"/>
      <w:marTop w:val="0"/>
      <w:marBottom w:val="0"/>
      <w:divBdr>
        <w:top w:val="none" w:sz="0" w:space="0" w:color="auto"/>
        <w:left w:val="none" w:sz="0" w:space="0" w:color="auto"/>
        <w:bottom w:val="none" w:sz="0" w:space="0" w:color="auto"/>
        <w:right w:val="none" w:sz="0" w:space="0" w:color="auto"/>
      </w:divBdr>
    </w:div>
    <w:div w:id="1846631975">
      <w:bodyDiv w:val="1"/>
      <w:marLeft w:val="0"/>
      <w:marRight w:val="0"/>
      <w:marTop w:val="0"/>
      <w:marBottom w:val="0"/>
      <w:divBdr>
        <w:top w:val="none" w:sz="0" w:space="0" w:color="auto"/>
        <w:left w:val="none" w:sz="0" w:space="0" w:color="auto"/>
        <w:bottom w:val="none" w:sz="0" w:space="0" w:color="auto"/>
        <w:right w:val="none" w:sz="0" w:space="0" w:color="auto"/>
      </w:divBdr>
    </w:div>
    <w:div w:id="1855728957">
      <w:bodyDiv w:val="1"/>
      <w:marLeft w:val="0"/>
      <w:marRight w:val="0"/>
      <w:marTop w:val="0"/>
      <w:marBottom w:val="0"/>
      <w:divBdr>
        <w:top w:val="none" w:sz="0" w:space="0" w:color="auto"/>
        <w:left w:val="none" w:sz="0" w:space="0" w:color="auto"/>
        <w:bottom w:val="none" w:sz="0" w:space="0" w:color="auto"/>
        <w:right w:val="none" w:sz="0" w:space="0" w:color="auto"/>
      </w:divBdr>
    </w:div>
    <w:div w:id="1863014198">
      <w:bodyDiv w:val="1"/>
      <w:marLeft w:val="0"/>
      <w:marRight w:val="0"/>
      <w:marTop w:val="0"/>
      <w:marBottom w:val="0"/>
      <w:divBdr>
        <w:top w:val="none" w:sz="0" w:space="0" w:color="auto"/>
        <w:left w:val="none" w:sz="0" w:space="0" w:color="auto"/>
        <w:bottom w:val="none" w:sz="0" w:space="0" w:color="auto"/>
        <w:right w:val="none" w:sz="0" w:space="0" w:color="auto"/>
      </w:divBdr>
    </w:div>
    <w:div w:id="1870993777">
      <w:bodyDiv w:val="1"/>
      <w:marLeft w:val="0"/>
      <w:marRight w:val="0"/>
      <w:marTop w:val="0"/>
      <w:marBottom w:val="0"/>
      <w:divBdr>
        <w:top w:val="none" w:sz="0" w:space="0" w:color="auto"/>
        <w:left w:val="none" w:sz="0" w:space="0" w:color="auto"/>
        <w:bottom w:val="none" w:sz="0" w:space="0" w:color="auto"/>
        <w:right w:val="none" w:sz="0" w:space="0" w:color="auto"/>
      </w:divBdr>
    </w:div>
    <w:div w:id="1906914060">
      <w:bodyDiv w:val="1"/>
      <w:marLeft w:val="0"/>
      <w:marRight w:val="0"/>
      <w:marTop w:val="0"/>
      <w:marBottom w:val="0"/>
      <w:divBdr>
        <w:top w:val="none" w:sz="0" w:space="0" w:color="auto"/>
        <w:left w:val="none" w:sz="0" w:space="0" w:color="auto"/>
        <w:bottom w:val="none" w:sz="0" w:space="0" w:color="auto"/>
        <w:right w:val="none" w:sz="0" w:space="0" w:color="auto"/>
      </w:divBdr>
    </w:div>
    <w:div w:id="1907912721">
      <w:bodyDiv w:val="1"/>
      <w:marLeft w:val="0"/>
      <w:marRight w:val="0"/>
      <w:marTop w:val="0"/>
      <w:marBottom w:val="0"/>
      <w:divBdr>
        <w:top w:val="none" w:sz="0" w:space="0" w:color="auto"/>
        <w:left w:val="none" w:sz="0" w:space="0" w:color="auto"/>
        <w:bottom w:val="none" w:sz="0" w:space="0" w:color="auto"/>
        <w:right w:val="none" w:sz="0" w:space="0" w:color="auto"/>
      </w:divBdr>
    </w:div>
    <w:div w:id="1909337797">
      <w:bodyDiv w:val="1"/>
      <w:marLeft w:val="0"/>
      <w:marRight w:val="0"/>
      <w:marTop w:val="0"/>
      <w:marBottom w:val="0"/>
      <w:divBdr>
        <w:top w:val="none" w:sz="0" w:space="0" w:color="auto"/>
        <w:left w:val="none" w:sz="0" w:space="0" w:color="auto"/>
        <w:bottom w:val="none" w:sz="0" w:space="0" w:color="auto"/>
        <w:right w:val="none" w:sz="0" w:space="0" w:color="auto"/>
      </w:divBdr>
    </w:div>
    <w:div w:id="1943996514">
      <w:bodyDiv w:val="1"/>
      <w:marLeft w:val="0"/>
      <w:marRight w:val="0"/>
      <w:marTop w:val="0"/>
      <w:marBottom w:val="0"/>
      <w:divBdr>
        <w:top w:val="none" w:sz="0" w:space="0" w:color="auto"/>
        <w:left w:val="none" w:sz="0" w:space="0" w:color="auto"/>
        <w:bottom w:val="none" w:sz="0" w:space="0" w:color="auto"/>
        <w:right w:val="none" w:sz="0" w:space="0" w:color="auto"/>
      </w:divBdr>
    </w:div>
    <w:div w:id="1945264125">
      <w:bodyDiv w:val="1"/>
      <w:marLeft w:val="0"/>
      <w:marRight w:val="0"/>
      <w:marTop w:val="0"/>
      <w:marBottom w:val="0"/>
      <w:divBdr>
        <w:top w:val="none" w:sz="0" w:space="0" w:color="auto"/>
        <w:left w:val="none" w:sz="0" w:space="0" w:color="auto"/>
        <w:bottom w:val="none" w:sz="0" w:space="0" w:color="auto"/>
        <w:right w:val="none" w:sz="0" w:space="0" w:color="auto"/>
      </w:divBdr>
    </w:div>
    <w:div w:id="1960066782">
      <w:bodyDiv w:val="1"/>
      <w:marLeft w:val="0"/>
      <w:marRight w:val="0"/>
      <w:marTop w:val="0"/>
      <w:marBottom w:val="0"/>
      <w:divBdr>
        <w:top w:val="none" w:sz="0" w:space="0" w:color="auto"/>
        <w:left w:val="none" w:sz="0" w:space="0" w:color="auto"/>
        <w:bottom w:val="none" w:sz="0" w:space="0" w:color="auto"/>
        <w:right w:val="none" w:sz="0" w:space="0" w:color="auto"/>
      </w:divBdr>
    </w:div>
    <w:div w:id="1983273487">
      <w:bodyDiv w:val="1"/>
      <w:marLeft w:val="0"/>
      <w:marRight w:val="0"/>
      <w:marTop w:val="0"/>
      <w:marBottom w:val="0"/>
      <w:divBdr>
        <w:top w:val="none" w:sz="0" w:space="0" w:color="auto"/>
        <w:left w:val="none" w:sz="0" w:space="0" w:color="auto"/>
        <w:bottom w:val="none" w:sz="0" w:space="0" w:color="auto"/>
        <w:right w:val="none" w:sz="0" w:space="0" w:color="auto"/>
      </w:divBdr>
    </w:div>
    <w:div w:id="2000234178">
      <w:bodyDiv w:val="1"/>
      <w:marLeft w:val="0"/>
      <w:marRight w:val="0"/>
      <w:marTop w:val="0"/>
      <w:marBottom w:val="0"/>
      <w:divBdr>
        <w:top w:val="none" w:sz="0" w:space="0" w:color="auto"/>
        <w:left w:val="none" w:sz="0" w:space="0" w:color="auto"/>
        <w:bottom w:val="none" w:sz="0" w:space="0" w:color="auto"/>
        <w:right w:val="none" w:sz="0" w:space="0" w:color="auto"/>
      </w:divBdr>
    </w:div>
    <w:div w:id="2003436203">
      <w:bodyDiv w:val="1"/>
      <w:marLeft w:val="0"/>
      <w:marRight w:val="0"/>
      <w:marTop w:val="0"/>
      <w:marBottom w:val="0"/>
      <w:divBdr>
        <w:top w:val="none" w:sz="0" w:space="0" w:color="auto"/>
        <w:left w:val="none" w:sz="0" w:space="0" w:color="auto"/>
        <w:bottom w:val="none" w:sz="0" w:space="0" w:color="auto"/>
        <w:right w:val="none" w:sz="0" w:space="0" w:color="auto"/>
      </w:divBdr>
    </w:div>
    <w:div w:id="2014532917">
      <w:bodyDiv w:val="1"/>
      <w:marLeft w:val="0"/>
      <w:marRight w:val="0"/>
      <w:marTop w:val="0"/>
      <w:marBottom w:val="0"/>
      <w:divBdr>
        <w:top w:val="none" w:sz="0" w:space="0" w:color="auto"/>
        <w:left w:val="none" w:sz="0" w:space="0" w:color="auto"/>
        <w:bottom w:val="none" w:sz="0" w:space="0" w:color="auto"/>
        <w:right w:val="none" w:sz="0" w:space="0" w:color="auto"/>
      </w:divBdr>
    </w:div>
    <w:div w:id="2019497410">
      <w:bodyDiv w:val="1"/>
      <w:marLeft w:val="0"/>
      <w:marRight w:val="0"/>
      <w:marTop w:val="0"/>
      <w:marBottom w:val="0"/>
      <w:divBdr>
        <w:top w:val="none" w:sz="0" w:space="0" w:color="auto"/>
        <w:left w:val="none" w:sz="0" w:space="0" w:color="auto"/>
        <w:bottom w:val="none" w:sz="0" w:space="0" w:color="auto"/>
        <w:right w:val="none" w:sz="0" w:space="0" w:color="auto"/>
      </w:divBdr>
    </w:div>
    <w:div w:id="2030596795">
      <w:bodyDiv w:val="1"/>
      <w:marLeft w:val="0"/>
      <w:marRight w:val="0"/>
      <w:marTop w:val="0"/>
      <w:marBottom w:val="0"/>
      <w:divBdr>
        <w:top w:val="none" w:sz="0" w:space="0" w:color="auto"/>
        <w:left w:val="none" w:sz="0" w:space="0" w:color="auto"/>
        <w:bottom w:val="none" w:sz="0" w:space="0" w:color="auto"/>
        <w:right w:val="none" w:sz="0" w:space="0" w:color="auto"/>
      </w:divBdr>
    </w:div>
    <w:div w:id="2034720036">
      <w:bodyDiv w:val="1"/>
      <w:marLeft w:val="0"/>
      <w:marRight w:val="0"/>
      <w:marTop w:val="0"/>
      <w:marBottom w:val="0"/>
      <w:divBdr>
        <w:top w:val="none" w:sz="0" w:space="0" w:color="auto"/>
        <w:left w:val="none" w:sz="0" w:space="0" w:color="auto"/>
        <w:bottom w:val="none" w:sz="0" w:space="0" w:color="auto"/>
        <w:right w:val="none" w:sz="0" w:space="0" w:color="auto"/>
      </w:divBdr>
    </w:div>
    <w:div w:id="2036151017">
      <w:bodyDiv w:val="1"/>
      <w:marLeft w:val="0"/>
      <w:marRight w:val="0"/>
      <w:marTop w:val="0"/>
      <w:marBottom w:val="0"/>
      <w:divBdr>
        <w:top w:val="none" w:sz="0" w:space="0" w:color="auto"/>
        <w:left w:val="none" w:sz="0" w:space="0" w:color="auto"/>
        <w:bottom w:val="none" w:sz="0" w:space="0" w:color="auto"/>
        <w:right w:val="none" w:sz="0" w:space="0" w:color="auto"/>
      </w:divBdr>
    </w:div>
    <w:div w:id="2058583406">
      <w:bodyDiv w:val="1"/>
      <w:marLeft w:val="0"/>
      <w:marRight w:val="0"/>
      <w:marTop w:val="0"/>
      <w:marBottom w:val="0"/>
      <w:divBdr>
        <w:top w:val="none" w:sz="0" w:space="0" w:color="auto"/>
        <w:left w:val="none" w:sz="0" w:space="0" w:color="auto"/>
        <w:bottom w:val="none" w:sz="0" w:space="0" w:color="auto"/>
        <w:right w:val="none" w:sz="0" w:space="0" w:color="auto"/>
      </w:divBdr>
    </w:div>
    <w:div w:id="2065912512">
      <w:bodyDiv w:val="1"/>
      <w:marLeft w:val="0"/>
      <w:marRight w:val="0"/>
      <w:marTop w:val="0"/>
      <w:marBottom w:val="0"/>
      <w:divBdr>
        <w:top w:val="none" w:sz="0" w:space="0" w:color="auto"/>
        <w:left w:val="none" w:sz="0" w:space="0" w:color="auto"/>
        <w:bottom w:val="none" w:sz="0" w:space="0" w:color="auto"/>
        <w:right w:val="none" w:sz="0" w:space="0" w:color="auto"/>
      </w:divBdr>
    </w:div>
    <w:div w:id="2067333220">
      <w:bodyDiv w:val="1"/>
      <w:marLeft w:val="0"/>
      <w:marRight w:val="0"/>
      <w:marTop w:val="0"/>
      <w:marBottom w:val="0"/>
      <w:divBdr>
        <w:top w:val="none" w:sz="0" w:space="0" w:color="auto"/>
        <w:left w:val="none" w:sz="0" w:space="0" w:color="auto"/>
        <w:bottom w:val="none" w:sz="0" w:space="0" w:color="auto"/>
        <w:right w:val="none" w:sz="0" w:space="0" w:color="auto"/>
      </w:divBdr>
    </w:div>
    <w:div w:id="2074621636">
      <w:bodyDiv w:val="1"/>
      <w:marLeft w:val="0"/>
      <w:marRight w:val="0"/>
      <w:marTop w:val="0"/>
      <w:marBottom w:val="0"/>
      <w:divBdr>
        <w:top w:val="none" w:sz="0" w:space="0" w:color="auto"/>
        <w:left w:val="none" w:sz="0" w:space="0" w:color="auto"/>
        <w:bottom w:val="none" w:sz="0" w:space="0" w:color="auto"/>
        <w:right w:val="none" w:sz="0" w:space="0" w:color="auto"/>
      </w:divBdr>
    </w:div>
    <w:div w:id="2083016247">
      <w:bodyDiv w:val="1"/>
      <w:marLeft w:val="0"/>
      <w:marRight w:val="0"/>
      <w:marTop w:val="0"/>
      <w:marBottom w:val="0"/>
      <w:divBdr>
        <w:top w:val="none" w:sz="0" w:space="0" w:color="auto"/>
        <w:left w:val="none" w:sz="0" w:space="0" w:color="auto"/>
        <w:bottom w:val="none" w:sz="0" w:space="0" w:color="auto"/>
        <w:right w:val="none" w:sz="0" w:space="0" w:color="auto"/>
      </w:divBdr>
    </w:div>
    <w:div w:id="2096129393">
      <w:bodyDiv w:val="1"/>
      <w:marLeft w:val="0"/>
      <w:marRight w:val="0"/>
      <w:marTop w:val="0"/>
      <w:marBottom w:val="0"/>
      <w:divBdr>
        <w:top w:val="none" w:sz="0" w:space="0" w:color="auto"/>
        <w:left w:val="none" w:sz="0" w:space="0" w:color="auto"/>
        <w:bottom w:val="none" w:sz="0" w:space="0" w:color="auto"/>
        <w:right w:val="none" w:sz="0" w:space="0" w:color="auto"/>
      </w:divBdr>
    </w:div>
    <w:div w:id="2100252447">
      <w:bodyDiv w:val="1"/>
      <w:marLeft w:val="0"/>
      <w:marRight w:val="0"/>
      <w:marTop w:val="0"/>
      <w:marBottom w:val="0"/>
      <w:divBdr>
        <w:top w:val="none" w:sz="0" w:space="0" w:color="auto"/>
        <w:left w:val="none" w:sz="0" w:space="0" w:color="auto"/>
        <w:bottom w:val="none" w:sz="0" w:space="0" w:color="auto"/>
        <w:right w:val="none" w:sz="0" w:space="0" w:color="auto"/>
      </w:divBdr>
    </w:div>
    <w:div w:id="2110347249">
      <w:bodyDiv w:val="1"/>
      <w:marLeft w:val="0"/>
      <w:marRight w:val="0"/>
      <w:marTop w:val="0"/>
      <w:marBottom w:val="0"/>
      <w:divBdr>
        <w:top w:val="none" w:sz="0" w:space="0" w:color="auto"/>
        <w:left w:val="none" w:sz="0" w:space="0" w:color="auto"/>
        <w:bottom w:val="none" w:sz="0" w:space="0" w:color="auto"/>
        <w:right w:val="none" w:sz="0" w:space="0" w:color="auto"/>
      </w:divBdr>
    </w:div>
    <w:div w:id="2112313341">
      <w:bodyDiv w:val="1"/>
      <w:marLeft w:val="0"/>
      <w:marRight w:val="0"/>
      <w:marTop w:val="0"/>
      <w:marBottom w:val="0"/>
      <w:divBdr>
        <w:top w:val="none" w:sz="0" w:space="0" w:color="auto"/>
        <w:left w:val="none" w:sz="0" w:space="0" w:color="auto"/>
        <w:bottom w:val="none" w:sz="0" w:space="0" w:color="auto"/>
        <w:right w:val="none" w:sz="0" w:space="0" w:color="auto"/>
      </w:divBdr>
    </w:div>
    <w:div w:id="2117599293">
      <w:bodyDiv w:val="1"/>
      <w:marLeft w:val="0"/>
      <w:marRight w:val="0"/>
      <w:marTop w:val="0"/>
      <w:marBottom w:val="0"/>
      <w:divBdr>
        <w:top w:val="none" w:sz="0" w:space="0" w:color="auto"/>
        <w:left w:val="none" w:sz="0" w:space="0" w:color="auto"/>
        <w:bottom w:val="none" w:sz="0" w:space="0" w:color="auto"/>
        <w:right w:val="none" w:sz="0" w:space="0" w:color="auto"/>
      </w:divBdr>
    </w:div>
    <w:div w:id="2121293906">
      <w:bodyDiv w:val="1"/>
      <w:marLeft w:val="0"/>
      <w:marRight w:val="0"/>
      <w:marTop w:val="0"/>
      <w:marBottom w:val="0"/>
      <w:divBdr>
        <w:top w:val="none" w:sz="0" w:space="0" w:color="auto"/>
        <w:left w:val="none" w:sz="0" w:space="0" w:color="auto"/>
        <w:bottom w:val="none" w:sz="0" w:space="0" w:color="auto"/>
        <w:right w:val="none" w:sz="0" w:space="0" w:color="auto"/>
      </w:divBdr>
    </w:div>
    <w:div w:id="2126725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e.jones@epfl.ch"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b:Source xmlns:b="http://schemas.openxmlformats.org/officeDocument/2006/bibliography">
    <b:Tag>Web22</b:Tag>
    <b:SourceType>JournalArticle</b:SourceType>
    <b:Guid>{2863EB46-8CDB-4158-8EEF-52D8BD891E71}</b:Guid>
    <b:Author>
      <b:Author>
        <b:NameList>
          <b:Person>
            <b:Last>Weber J. M.</b:Last>
            <b:First>Guo</b:First>
            <b:Middle>Z., Lapkin A. A.</b:Middle>
          </b:Person>
        </b:NameList>
      </b:Author>
    </b:Author>
    <b:Title>Discovering Circular Process Solutions through Automated Reaction Network Optimization</b:Title>
    <b:JournalName>ACS Engineering Au</b:JournalName>
    <b:Year>2022</b:Year>
    <b:Pages>333–349</b:Pages>
    <b:RefOrder>6</b:RefOrder>
  </b:Source>
  <b:Source xmlns:b="http://schemas.openxmlformats.org/officeDocument/2006/bibliography">
    <b:Tag>Mül20</b:Tag>
    <b:SourceType>JournalArticle</b:SourceType>
    <b:Guid>{5C4ECB2B-A621-44AC-8240-B8BD4C87D087}</b:Guid>
    <b:Author>
      <b:Author>
        <b:NameList>
          <b:Person>
            <b:Last>Müller L. J.</b:Last>
            <b:First>Kätelhön</b:First>
            <b:Middle>A., Bachmann M., Zimmermann A., Sternberg A., Bardow A.</b:Middle>
          </b:Person>
        </b:NameList>
      </b:Author>
    </b:Author>
    <b:Title>A Guideline for Life Cycle Assessment of Carbon Capture and Utilization</b:Title>
    <b:JournalName>Frontiers in Energy Research</b:JournalName>
    <b:Year>2020</b:Year>
    <b:RefOrder>7</b:RefOrder>
  </b:Source>
  <b:Source xmlns:b="http://schemas.openxmlformats.org/officeDocument/2006/bibliography">
    <b:Tag>Mey21</b:Tag>
    <b:SourceType>JournalArticle</b:SourceType>
    <b:Guid>{0261BEB0-56CB-4A64-AE41-FE41FE9BE9B8}</b:Guid>
    <b:Author>
      <b:Author>
        <b:NameList>
          <b:Person>
            <b:Last>Meys R.</b:Last>
            <b:First>Kätelhön</b:First>
            <b:Middle>A., Bachmann A., Winter B., Zibunas C., Suh S., Bardow A.</b:Middle>
          </b:Person>
        </b:NameList>
      </b:Author>
    </b:Author>
    <b:Title>Achieving net-zero greenhouse gas emission plastics by a circular carbon economy</b:Title>
    <b:JournalName>Science</b:JournalName>
    <b:Year>2021</b:Year>
    <b:Pages>71-76</b:Pages>
    <b:RefOrder>8</b:RefOrder>
  </b:Source>
  <b:Source xmlns:b="http://schemas.openxmlformats.org/officeDocument/2006/bibliography">
    <b:Tag>Man22</b:Tag>
    <b:SourceType>JournalArticle</b:SourceType>
    <b:Guid>{D9F8B0EC-B5BA-4B37-AE1B-21C27204CB8A}</b:Guid>
    <b:Author>
      <b:Author>
        <b:NameList>
          <b:Person>
            <b:Last>Manker L.P.</b:Last>
            <b:First>Dick</b:First>
            <b:Middle>G.R., Demongeot A. et al.</b:Middle>
          </b:Person>
        </b:NameList>
      </b:Author>
    </b:Author>
    <b:Title>Sustainable polyesters via direct functionalization of lignocellulosic sugars</b:Title>
    <b:JournalName>Nature Chemistry</b:JournalName>
    <b:Year>2022</b:Year>
    <b:Pages>976–984</b:Pages>
    <b:RefOrder>9</b:RefOrder>
  </b:Source>
  <b:Source xmlns:b="http://schemas.openxmlformats.org/officeDocument/2006/bibliography">
    <b:Tag>LPM23</b:Tag>
    <b:SourceType>JournalArticle</b:SourceType>
    <b:Guid>{F147AEC9-93C6-4D22-98A4-40E1EC6881AE}</b:Guid>
    <b:Author>
      <b:Author>
        <b:NameList>
          <b:Person>
            <b:Last>Manker L. P.</b:Last>
            <b:First>Jones</b:First>
            <b:Middle>M. J., Bertella S., Behaghel de Bueren J., Luterbacher J.S.</b:Middle>
          </b:Person>
        </b:NameList>
      </b:Author>
    </b:Author>
    <b:Title>Current strategies for industrial plastic production from non-edible biomass</b:Title>
    <b:JournalName>Current Opinion in Green and Sustainable Chemistry</b:JournalName>
    <b:Year>2023</b:Year>
    <b:Pages>2452-2236</b:Pages>
    <b:RefOrder>10</b:RefOrder>
  </b:Source>
  <b:Source xmlns:b="http://schemas.openxmlformats.org/officeDocument/2006/bibliography">
    <b:Tag>Iff</b:Tag>
    <b:SourceType>JournalArticle</b:SourceType>
    <b:Guid>{777C310B-80A0-4249-9CD2-ADA78A76ECD1}</b:Guid>
    <b:Author>
      <b:Author>
        <b:NameList>
          <b:Person>
            <b:Last>Iffland K.</b:Last>
            <b:First>Carus</b:First>
            <b:Middle>M., Baltus D. W., de Bie F.</b:Middle>
          </b:Person>
        </b:NameList>
      </b:Author>
    </b:Author>
    <b:Title>Definition, Calculation and Comparison of the “Biomass Utilization Efficiency (BUE)” of Various Bio-Based Chemicals, Polymers and Fuels</b:Title>
    <b:JournalName>Nova Paper 8 on bio-based economy </b:JournalName>
    <b:Year>2015</b:Year>
    <b:RefOrder>11</b:RefOrder>
  </b:Source>
  <b:Source xmlns:b="http://schemas.openxmlformats.org/officeDocument/2006/bibliography">
    <b:Tag>Gab23</b:Tag>
    <b:SourceType>JournalArticle</b:SourceType>
    <b:Guid>{481254A4-6490-4F07-8902-C20DEE9611BA}</b:Guid>
    <b:Author>
      <b:Author>
        <b:NameList>
          <b:Person>
            <b:Last>Gabrielli P.</b:Last>
            <b:First>Rosa</b:First>
            <b:Middle>L., Gazzani M., Meys R., Bardow A., Mazzotti M., Sansavini G.</b:Middle>
          </b:Person>
        </b:NameList>
      </b:Author>
    </b:Author>
    <b:Title>Net-zero emissions chemical industry in a world of limited resources</b:Title>
    <b:Year>2023</b:Year>
    <b:Publisher>One Earth</b:Publisher>
    <b:JournalName>One Earth</b:JournalName>
    <b:Pages>2590-3322</b:Pages>
    <b:RefOrder>12</b:RefOrder>
  </b:Source>
  <b:Source xmlns:b="http://schemas.openxmlformats.org/officeDocument/2006/bibliography">
    <b:Tag>Bac23</b:Tag>
    <b:SourceType>JournalArticle</b:SourceType>
    <b:Guid>{678588E6-EFA1-4A8B-9539-208B6703748A}</b:Guid>
    <b:Author>
      <b:Author>
        <b:NameList>
          <b:Person>
            <b:Last>Bachmann M.</b:Last>
            <b:First>Zibunas</b:First>
            <b:Middle>C., Hartmann J. et al.</b:Middle>
          </b:Person>
        </b:NameList>
      </b:Author>
    </b:Author>
    <b:Title>Towards circular plastics within planetary boundaries</b:Title>
    <b:JournalName>Nature Sustainability</b:JournalName>
    <b:Year>2023</b:Year>
    <b:Pages>599–610</b:Pages>
    <b:RefOrder>13</b:RefOrder>
  </b:Source>
  <b:Source xmlns:b="http://schemas.openxmlformats.org/officeDocument/2006/bibliography">
    <b:Tag>Lan21</b:Tag>
    <b:SourceType>JournalArticle</b:SourceType>
    <b:Guid>{23B59259-A5EB-452D-8E25-AC5E30A3CF55}</b:Guid>
    <b:Author>
      <b:Author>
        <b:NameList>
          <b:Person>
            <b:Last>Lange J.-P. et al.</b:Last>
          </b:Person>
        </b:NameList>
      </b:Author>
    </b:Author>
    <b:Title>Towards circular carbo-chemicals – the metamorphosis of petrochemicals</b:Title>
    <b:JournalName>Energy Environ. Sci.</b:JournalName>
    <b:Year>2021</b:Year>
    <b:Pages>4358-4376</b:Pages>
    <b:RefOrder>14</b:RefOrder>
  </b:Source>
  <b:Source>
    <b:Tag>van21</b:Tag>
    <b:SourceType>Patent</b:SourceType>
    <b:Guid>{5E10834C-CCDE-4293-B511-90A4843D180D}</b:Guid>
    <b:Author>
      <b:Author>
        <b:NameList>
          <b:Person>
            <b:Last>al.</b:Last>
            <b:First>van</b:First>
            <b:Middle>Putten et.</b:Middle>
          </b:Person>
        </b:NameList>
      </b:Author>
      <b:Inventor>
        <b:NameList>
          <b:Person>
            <b:Last>van Putten et al.</b:Last>
          </b:Person>
        </b:NameList>
      </b:Inventor>
    </b:Author>
    <b:Title>Process For The Conversion of a Solid Lignocellulosic Material</b:Title>
    <b:Year>2021</b:Year>
    <b:PatentNumber>US 2021/0032217 A1</b:PatentNumber>
    <b:RefOrder>1</b:RefOrder>
  </b:Source>
  <b:Source>
    <b:Tag>Hir20</b:Tag>
    <b:SourceType>Patent</b:SourceType>
    <b:Guid>{59E60BB2-FF14-477A-B07D-AC80033BF41C}</b:Guid>
    <b:Author>
      <b:Inventor>
        <b:NameList>
          <b:Person>
            <b:Last>Hirsch - Weil et al.</b:Last>
          </b:Person>
        </b:NameList>
      </b:Inventor>
    </b:Author>
    <b:Title>Methods of Producing Alkylfurans</b:Title>
    <b:Year>2020</b:Year>
    <b:PatentNumber>US 10,618,880 B2</b:PatentNumber>
    <b:RefOrder>3</b:RefOrder>
  </b:Source>
  <b:Source>
    <b:Tag>Mas16</b:Tag>
    <b:SourceType>Patent</b:SourceType>
    <b:Guid>{D5BB5DF7-CDD5-45BF-A4CC-6C05AEBF81AE}</b:Guid>
    <b:Author>
      <b:Inventor>
        <b:NameList>
          <b:Person>
            <b:Last>Masuno et al.</b:Last>
          </b:Person>
        </b:NameList>
      </b:Inventor>
    </b:Author>
    <b:Title>Methods of Producing Para-Xylene and Terephthalic Acid</b:Title>
    <b:Year>2016</b:Year>
    <b:PatentNumber>US 9.260,359 B2</b:PatentNumber>
    <b:RefOrder>4</b:RefOrder>
  </b:Source>
  <b:Source>
    <b:Tag>Muñ13</b:Tag>
    <b:SourceType>Patent</b:SourceType>
    <b:Guid>{9692BBB1-5D44-40B7-B1DE-B2D055D24ACC}</b:Guid>
    <b:Author>
      <b:Inventor>
        <b:NameList>
          <b:Person>
            <b:Last>Muñoz De Diego et al.</b:Last>
          </b:Person>
        </b:NameList>
      </b:Inventor>
    </b:Author>
    <b:Title>Method for the Preparation of 2.5-Furandicarboxylic Acid and Esteres Thereof</b:Title>
    <b:Year>2013</b:Year>
    <b:PatentNumber>US 8,519,167 B2</b:PatentNumber>
    <b:RefOrder>2</b:RefOrder>
  </b:Source>
  <b:Source>
    <b:Tag>Han13</b:Tag>
    <b:SourceType>Report</b:SourceType>
    <b:Guid>{B07E849A-9762-4D32-8712-F0BE2AAA5DE7}</b:Guid>
    <b:Title>Liquid transportation fuels via large-scale fluidised-bed gasification of lignocellulosic biomass</b:Title>
    <b:Year>2013</b:Year>
    <b:Author>
      <b:Author>
        <b:NameList>
          <b:Person>
            <b:Last>Hannula</b:Last>
            <b:First>I.</b:First>
          </b:Person>
          <b:Person>
            <b:Last>Kurkela</b:Last>
            <b:First>E.</b:First>
          </b:Person>
        </b:NameList>
      </b:Author>
    </b:Author>
    <b:Publisher>VTT</b:Publisher>
    <b:RefOrder>5</b:RefOrder>
  </b:Source>
</b:Sources>
</file>

<file path=customXml/itemProps1.xml><?xml version="1.0" encoding="utf-8"?>
<ds:datastoreItem xmlns:ds="http://schemas.openxmlformats.org/officeDocument/2006/customXml" ds:itemID="{87D6AB72-464C-4110-BF7F-C7352B560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1175</TotalTime>
  <Pages>1</Pages>
  <Words>2364</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EPFL - Ecole Polytechnique Federale de Lausanne</Company>
  <LinksUpToDate>false</LinksUpToDate>
  <CharactersWithSpaces>15808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Lukic</dc:creator>
  <cp:lastModifiedBy>Jana Lukic</cp:lastModifiedBy>
  <cp:revision>17</cp:revision>
  <cp:lastPrinted>2023-11-30T10:44:00Z</cp:lastPrinted>
  <dcterms:created xsi:type="dcterms:W3CDTF">2023-11-29T13:46:00Z</dcterms:created>
  <dcterms:modified xsi:type="dcterms:W3CDTF">2023-11-30T10:44:00Z</dcterms:modified>
</cp:coreProperties>
</file>