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920A" w14:textId="58DC6792" w:rsidR="00A95CFA" w:rsidRDefault="00A95CFA" w:rsidP="00410FFF">
      <w:pPr>
        <w:pStyle w:val="Els-Author"/>
        <w:spacing w:before="240"/>
        <w:jc w:val="both"/>
        <w:rPr>
          <w:b/>
          <w:bCs/>
          <w:noProof w:val="0"/>
          <w:color w:val="000000" w:themeColor="text1"/>
          <w:sz w:val="32"/>
        </w:rPr>
      </w:pPr>
      <w:r w:rsidRPr="00A95CFA">
        <w:rPr>
          <w:b/>
          <w:bCs/>
          <w:noProof w:val="0"/>
          <w:color w:val="000000" w:themeColor="text1"/>
          <w:sz w:val="32"/>
        </w:rPr>
        <w:t xml:space="preserve">Analysis of the preferred ethylene production route from carbon dioxide at a supply chain level: </w:t>
      </w:r>
      <w:r w:rsidR="00B26098">
        <w:rPr>
          <w:b/>
          <w:bCs/>
          <w:noProof w:val="0"/>
          <w:color w:val="000000" w:themeColor="text1"/>
          <w:sz w:val="32"/>
        </w:rPr>
        <w:t>results</w:t>
      </w:r>
      <w:r w:rsidR="00B26098" w:rsidRPr="00A95CFA">
        <w:rPr>
          <w:b/>
          <w:bCs/>
          <w:noProof w:val="0"/>
          <w:color w:val="000000" w:themeColor="text1"/>
          <w:sz w:val="32"/>
        </w:rPr>
        <w:t xml:space="preserve"> </w:t>
      </w:r>
      <w:r w:rsidRPr="00A95CFA">
        <w:rPr>
          <w:b/>
          <w:bCs/>
          <w:noProof w:val="0"/>
          <w:color w:val="000000" w:themeColor="text1"/>
          <w:sz w:val="32"/>
        </w:rPr>
        <w:t xml:space="preserve">of mathematical modelling for a Teesside case study </w:t>
      </w:r>
    </w:p>
    <w:p w14:paraId="539E2842" w14:textId="7DB02EF6" w:rsidR="00F31F57" w:rsidRPr="005C7625" w:rsidRDefault="00167CB5" w:rsidP="00F31F57">
      <w:pPr>
        <w:pStyle w:val="Els-Author"/>
        <w:rPr>
          <w:lang w:val="it-IT"/>
        </w:rPr>
      </w:pPr>
      <w:r w:rsidRPr="005C7625">
        <w:rPr>
          <w:lang w:val="it-IT"/>
        </w:rPr>
        <w:t>Grazia Leonzio,</w:t>
      </w:r>
      <w:r w:rsidRPr="005C7625">
        <w:rPr>
          <w:vertAlign w:val="superscript"/>
          <w:lang w:val="it-IT"/>
        </w:rPr>
        <w:t>a</w:t>
      </w:r>
      <w:r w:rsidR="00F31F57" w:rsidRPr="005C7625">
        <w:rPr>
          <w:vertAlign w:val="superscript"/>
          <w:lang w:val="it-IT"/>
        </w:rPr>
        <w:t>,b</w:t>
      </w:r>
      <w:r w:rsidR="009868BE" w:rsidRPr="005C7625">
        <w:rPr>
          <w:vertAlign w:val="superscript"/>
          <w:lang w:val="it-IT"/>
        </w:rPr>
        <w:t>*</w:t>
      </w:r>
      <w:r w:rsidR="00F31F57" w:rsidRPr="005C7625">
        <w:rPr>
          <w:lang w:val="it-IT"/>
        </w:rPr>
        <w:t xml:space="preserve"> </w:t>
      </w:r>
      <w:r w:rsidRPr="005C7625">
        <w:rPr>
          <w:lang w:val="it-IT"/>
        </w:rPr>
        <w:t>Nilay Shah</w:t>
      </w:r>
      <w:r w:rsidRPr="005C7625">
        <w:rPr>
          <w:vertAlign w:val="superscript"/>
          <w:lang w:val="it-IT"/>
        </w:rPr>
        <w:t>b</w:t>
      </w:r>
    </w:p>
    <w:p w14:paraId="28C88FD4" w14:textId="3D684C89" w:rsidR="00F31F57" w:rsidRPr="00F31F57" w:rsidRDefault="00F31F57" w:rsidP="00F31F57">
      <w:pPr>
        <w:pStyle w:val="Els-Affiliation"/>
      </w:pPr>
      <w:r w:rsidRPr="005C7625">
        <w:rPr>
          <w:lang w:val="it-IT"/>
        </w:rPr>
        <w:t xml:space="preserve"> </w:t>
      </w:r>
      <w:r w:rsidRPr="00F31F57">
        <w:rPr>
          <w:vertAlign w:val="superscript"/>
        </w:rPr>
        <w:t>a</w:t>
      </w:r>
      <w:r w:rsidRPr="00F31F57">
        <w:t>Sargent Centre for Process Systems Engineering, Department of Chemical</w:t>
      </w:r>
      <w:r>
        <w:t xml:space="preserve"> </w:t>
      </w:r>
      <w:r w:rsidRPr="00F31F57">
        <w:t xml:space="preserve">Engineering, Imperial College London, London SW7 2AZ, UK </w:t>
      </w:r>
    </w:p>
    <w:p w14:paraId="4DCFD0E1" w14:textId="11607B56" w:rsidR="00F31F57" w:rsidRPr="00F31F57" w:rsidRDefault="00F31F57" w:rsidP="00F31F57">
      <w:pPr>
        <w:pStyle w:val="Els-Affiliation"/>
      </w:pPr>
      <w:r w:rsidRPr="00F31F57">
        <w:t xml:space="preserve"> </w:t>
      </w:r>
      <w:r w:rsidRPr="00F31F57">
        <w:rPr>
          <w:vertAlign w:val="superscript"/>
        </w:rPr>
        <w:t>b</w:t>
      </w:r>
      <w:r w:rsidRPr="00F31F57">
        <w:t>Department of Mechanical, Chemical and Materials Engineering, University of Cagliari, via Marengo 2, 09123 Cagliari, Italy</w:t>
      </w:r>
    </w:p>
    <w:p w14:paraId="144DE683" w14:textId="6E1A6BBB" w:rsidR="008D2649" w:rsidRPr="00A94774" w:rsidRDefault="009868BE" w:rsidP="008D2649">
      <w:pPr>
        <w:pStyle w:val="Els-Affiliation"/>
        <w:spacing w:after="120"/>
      </w:pPr>
      <w:r>
        <w:t>*</w:t>
      </w:r>
      <w:r w:rsidR="00F31F57">
        <w:t>grazia.leonzio@unica.it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3DEEF35E" w14:textId="1A7E431A" w:rsidR="00253A44" w:rsidRDefault="00CA0F41" w:rsidP="00AB3CC8">
      <w:pPr>
        <w:pStyle w:val="Els-body-text"/>
        <w:spacing w:after="120"/>
        <w:rPr>
          <w:lang w:val="en-GB"/>
        </w:rPr>
      </w:pPr>
      <w:r>
        <w:rPr>
          <w:lang w:val="en-GB"/>
        </w:rPr>
        <w:t>Currently</w:t>
      </w:r>
      <w:r w:rsidR="00AB6DD0">
        <w:rPr>
          <w:lang w:val="en-GB"/>
        </w:rPr>
        <w:t>,</w:t>
      </w:r>
      <w:r>
        <w:rPr>
          <w:lang w:val="en-GB"/>
        </w:rPr>
        <w:t xml:space="preserve"> new routes for producing chemical building blocks are required with the aim to </w:t>
      </w:r>
      <w:r w:rsidR="00B26098">
        <w:rPr>
          <w:lang w:val="en-GB"/>
        </w:rPr>
        <w:t xml:space="preserve">support </w:t>
      </w:r>
      <w:r>
        <w:rPr>
          <w:lang w:val="en-GB"/>
        </w:rPr>
        <w:t>the energy and feedstock transition.</w:t>
      </w:r>
      <w:r w:rsidR="0004073B">
        <w:rPr>
          <w:lang w:val="en-GB"/>
        </w:rPr>
        <w:t xml:space="preserve"> </w:t>
      </w:r>
      <w:r>
        <w:rPr>
          <w:lang w:val="en-GB"/>
        </w:rPr>
        <w:t xml:space="preserve">Considering </w:t>
      </w:r>
      <w:r w:rsidR="00EF198C">
        <w:rPr>
          <w:lang w:val="en-GB"/>
        </w:rPr>
        <w:t xml:space="preserve">both </w:t>
      </w:r>
      <w:r>
        <w:rPr>
          <w:lang w:val="en-GB"/>
        </w:rPr>
        <w:t>global demand and production capacity, e</w:t>
      </w:r>
      <w:r w:rsidRPr="00CA0F41">
        <w:rPr>
          <w:lang w:val="en-GB"/>
        </w:rPr>
        <w:t>thylene is the most important organic chemical</w:t>
      </w:r>
      <w:r>
        <w:rPr>
          <w:lang w:val="en-GB"/>
        </w:rPr>
        <w:t xml:space="preserve"> and for this reason </w:t>
      </w:r>
      <w:r w:rsidR="00EF198C">
        <w:rPr>
          <w:lang w:val="en-GB"/>
        </w:rPr>
        <w:t>alternative</w:t>
      </w:r>
      <w:r>
        <w:rPr>
          <w:lang w:val="en-GB"/>
        </w:rPr>
        <w:t xml:space="preserve"> production routes </w:t>
      </w:r>
      <w:r w:rsidR="00253A44">
        <w:rPr>
          <w:lang w:val="en-GB"/>
        </w:rPr>
        <w:t xml:space="preserve">(based on carbon dioxide and water) </w:t>
      </w:r>
      <w:r>
        <w:rPr>
          <w:lang w:val="en-GB"/>
        </w:rPr>
        <w:t xml:space="preserve">have been investigated </w:t>
      </w:r>
      <w:r w:rsidR="00EF198C">
        <w:rPr>
          <w:lang w:val="en-GB"/>
        </w:rPr>
        <w:t xml:space="preserve">and screened in terms of costs and emissions </w:t>
      </w:r>
      <w:r>
        <w:rPr>
          <w:lang w:val="en-GB"/>
        </w:rPr>
        <w:t xml:space="preserve">in </w:t>
      </w:r>
      <w:r w:rsidR="00FA670D">
        <w:rPr>
          <w:lang w:val="en-GB"/>
        </w:rPr>
        <w:t xml:space="preserve">one </w:t>
      </w:r>
      <w:r w:rsidR="00AB6DD0">
        <w:rPr>
          <w:lang w:val="en-GB"/>
        </w:rPr>
        <w:t xml:space="preserve">of </w:t>
      </w:r>
      <w:r>
        <w:rPr>
          <w:lang w:val="en-GB"/>
        </w:rPr>
        <w:t>our previous work</w:t>
      </w:r>
      <w:r w:rsidR="00DB7D22">
        <w:rPr>
          <w:lang w:val="en-GB"/>
        </w:rPr>
        <w:t>s</w:t>
      </w:r>
      <w:r w:rsidRPr="00CA0F41">
        <w:rPr>
          <w:lang w:val="en-GB"/>
        </w:rPr>
        <w:t>.</w:t>
      </w:r>
      <w:r w:rsidR="00463A96">
        <w:rPr>
          <w:lang w:val="en-GB"/>
        </w:rPr>
        <w:t xml:space="preserve"> </w:t>
      </w:r>
      <w:r w:rsidR="00EF198C">
        <w:rPr>
          <w:lang w:val="en-GB"/>
        </w:rPr>
        <w:t xml:space="preserve">In this research, the best </w:t>
      </w:r>
      <w:r w:rsidR="00FA670D">
        <w:rPr>
          <w:lang w:val="en-GB"/>
        </w:rPr>
        <w:t xml:space="preserve">alternative </w:t>
      </w:r>
      <w:r w:rsidR="00EF198C">
        <w:rPr>
          <w:lang w:val="en-GB"/>
        </w:rPr>
        <w:t xml:space="preserve">ethylene production technology is suggested at a supply chain level for the Teesside cluster </w:t>
      </w:r>
      <w:r w:rsidR="00B26098">
        <w:rPr>
          <w:lang w:val="en-GB"/>
        </w:rPr>
        <w:t xml:space="preserve">(UK) </w:t>
      </w:r>
      <w:r w:rsidR="00EF198C">
        <w:rPr>
          <w:lang w:val="en-GB"/>
        </w:rPr>
        <w:t xml:space="preserve">through the development of two different mathematical models for the supply chain. </w:t>
      </w:r>
      <w:r w:rsidR="00253A44">
        <w:rPr>
          <w:lang w:val="en-GB"/>
        </w:rPr>
        <w:t>Results show that the best ethylene production route is based on methanol-to-olefin plant where methanol is produced by syngas obtained from carbon dioxide-water co-electrolysis. Through a global sensitivity analysis based on a surrogate model, it is found that the carbon dioxide utilization cost has the highest impact on</w:t>
      </w:r>
      <w:r w:rsidR="00463A96">
        <w:rPr>
          <w:lang w:val="en-GB"/>
        </w:rPr>
        <w:t xml:space="preserve"> the</w:t>
      </w:r>
      <w:r w:rsidR="00253A44">
        <w:rPr>
          <w:lang w:val="en-GB"/>
        </w:rPr>
        <w:t xml:space="preserve"> </w:t>
      </w:r>
      <w:r w:rsidR="00FA670D">
        <w:rPr>
          <w:lang w:val="en-GB"/>
        </w:rPr>
        <w:t xml:space="preserve">supply chain </w:t>
      </w:r>
      <w:r w:rsidR="00253A44">
        <w:rPr>
          <w:lang w:val="en-GB"/>
        </w:rPr>
        <w:t xml:space="preserve">total cost. The optimization of the electrolytic cell could help </w:t>
      </w:r>
      <w:r w:rsidR="0072328D">
        <w:rPr>
          <w:lang w:val="en-GB"/>
        </w:rPr>
        <w:t>with</w:t>
      </w:r>
      <w:r w:rsidR="00253A44">
        <w:rPr>
          <w:lang w:val="en-GB"/>
        </w:rPr>
        <w:t xml:space="preserve"> cost</w:t>
      </w:r>
      <w:r w:rsidR="00FA670D">
        <w:rPr>
          <w:lang w:val="en-GB"/>
        </w:rPr>
        <w:t xml:space="preserve"> reduction</w:t>
      </w:r>
      <w:r w:rsidR="00253A44">
        <w:rPr>
          <w:lang w:val="en-GB"/>
        </w:rPr>
        <w:t xml:space="preserve">. </w:t>
      </w:r>
    </w:p>
    <w:p w14:paraId="144DE687" w14:textId="4B984592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CB6AE3">
        <w:rPr>
          <w:lang w:val="en-GB"/>
        </w:rPr>
        <w:t xml:space="preserve">carbon dioxide, ethylene, supply chain, mathematical modelling, global sensitivity analysis. </w:t>
      </w:r>
    </w:p>
    <w:p w14:paraId="144DE689" w14:textId="72954DE2" w:rsidR="008D2649" w:rsidRDefault="009868BE" w:rsidP="008D2649">
      <w:pPr>
        <w:pStyle w:val="Els-1storder-head"/>
      </w:pPr>
      <w:r>
        <w:t>Introduction</w:t>
      </w:r>
    </w:p>
    <w:p w14:paraId="623FA725" w14:textId="7A67AC12" w:rsidR="00327A73" w:rsidRDefault="00AB3CC8" w:rsidP="00097EAE">
      <w:pPr>
        <w:pStyle w:val="Els-body-text"/>
        <w:rPr>
          <w:lang w:val="en-GB"/>
        </w:rPr>
      </w:pPr>
      <w:r>
        <w:t xml:space="preserve">Nowadays there is a </w:t>
      </w:r>
      <w:r w:rsidRPr="00AB3CC8">
        <w:t>mismatch</w:t>
      </w:r>
      <w:r>
        <w:t xml:space="preserve"> between the amount of carbon dioxide (CO</w:t>
      </w:r>
      <w:r w:rsidRPr="00AB3CC8">
        <w:rPr>
          <w:vertAlign w:val="subscript"/>
        </w:rPr>
        <w:t>2</w:t>
      </w:r>
      <w:r>
        <w:t>) that is emitted and the amount that is used, forcing researchers and companies to suggest new and alternative CO</w:t>
      </w:r>
      <w:r w:rsidRPr="00AB3CC8">
        <w:rPr>
          <w:vertAlign w:val="subscript"/>
        </w:rPr>
        <w:t>2</w:t>
      </w:r>
      <w:r>
        <w:t xml:space="preserve"> conversion routes to bridge this gap. </w:t>
      </w:r>
      <w:r w:rsidR="00022D09">
        <w:t>Among different CO</w:t>
      </w:r>
      <w:r w:rsidR="00022D09" w:rsidRPr="00022D09">
        <w:rPr>
          <w:vertAlign w:val="subscript"/>
        </w:rPr>
        <w:t>2</w:t>
      </w:r>
      <w:r w:rsidR="00022D09">
        <w:t xml:space="preserve">-based products, </w:t>
      </w:r>
      <w:r w:rsidR="00022D09" w:rsidRPr="00022D09">
        <w:rPr>
          <w:lang w:val="en-GB"/>
        </w:rPr>
        <w:t xml:space="preserve">ethylene is desirable due to its large market and has high value </w:t>
      </w:r>
      <w:r w:rsidR="00B26098">
        <w:rPr>
          <w:lang w:val="en-GB"/>
        </w:rPr>
        <w:t>compared to other</w:t>
      </w:r>
      <w:r w:rsidR="008E5CE7">
        <w:rPr>
          <w:lang w:val="en-GB"/>
        </w:rPr>
        <w:t xml:space="preserve"> </w:t>
      </w:r>
      <w:r w:rsidR="00022D09" w:rsidRPr="00022D09">
        <w:rPr>
          <w:lang w:val="en-GB"/>
        </w:rPr>
        <w:t>reduction products.</w:t>
      </w:r>
      <w:r w:rsidR="00022D09">
        <w:rPr>
          <w:lang w:val="en-GB"/>
        </w:rPr>
        <w:t xml:space="preserve"> </w:t>
      </w:r>
      <w:r w:rsidR="00022D09" w:rsidRPr="00022D09">
        <w:rPr>
          <w:lang w:val="en-GB"/>
        </w:rPr>
        <w:t>For th</w:t>
      </w:r>
      <w:r w:rsidR="00D36996">
        <w:rPr>
          <w:lang w:val="en-GB"/>
        </w:rPr>
        <w:t>e</w:t>
      </w:r>
      <w:r w:rsidR="00022D09" w:rsidRPr="00022D09">
        <w:rPr>
          <w:lang w:val="en-GB"/>
        </w:rPr>
        <w:t>s</w:t>
      </w:r>
      <w:r w:rsidR="00D36996">
        <w:rPr>
          <w:lang w:val="en-GB"/>
        </w:rPr>
        <w:t>e</w:t>
      </w:r>
      <w:r w:rsidR="00022D09" w:rsidRPr="00022D09">
        <w:rPr>
          <w:lang w:val="en-GB"/>
        </w:rPr>
        <w:t xml:space="preserve"> reason</w:t>
      </w:r>
      <w:r w:rsidR="00D36996">
        <w:rPr>
          <w:lang w:val="en-GB"/>
        </w:rPr>
        <w:t>s</w:t>
      </w:r>
      <w:r w:rsidR="00022D09" w:rsidRPr="00022D09">
        <w:rPr>
          <w:lang w:val="en-GB"/>
        </w:rPr>
        <w:t xml:space="preserve">, new production </w:t>
      </w:r>
      <w:r w:rsidR="000B6BD7">
        <w:rPr>
          <w:lang w:val="en-GB"/>
        </w:rPr>
        <w:t>systems</w:t>
      </w:r>
      <w:r w:rsidR="00022D09" w:rsidRPr="00022D09">
        <w:rPr>
          <w:lang w:val="en-GB"/>
        </w:rPr>
        <w:t xml:space="preserve"> have been proposed and investigated in the literature</w:t>
      </w:r>
      <w:r w:rsidR="00241873">
        <w:rPr>
          <w:lang w:val="en-GB"/>
        </w:rPr>
        <w:t xml:space="preserve"> as in</w:t>
      </w:r>
      <w:r w:rsidR="00022D09">
        <w:rPr>
          <w:lang w:val="en-GB"/>
        </w:rPr>
        <w:t xml:space="preserve"> </w:t>
      </w:r>
      <w:r w:rsidR="00241873">
        <w:rPr>
          <w:lang w:val="en-GB"/>
        </w:rPr>
        <w:t xml:space="preserve">Ioannou et al. (2020) and </w:t>
      </w:r>
      <w:proofErr w:type="spellStart"/>
      <w:r w:rsidR="00241873" w:rsidRPr="00241873">
        <w:rPr>
          <w:lang w:val="en-GB"/>
        </w:rPr>
        <w:t>Berkelaar</w:t>
      </w:r>
      <w:proofErr w:type="spellEnd"/>
      <w:r w:rsidR="00241873">
        <w:rPr>
          <w:lang w:val="en-GB"/>
        </w:rPr>
        <w:t xml:space="preserve"> et al. (2022</w:t>
      </w:r>
      <w:r w:rsidR="00022D09">
        <w:rPr>
          <w:lang w:val="en-GB"/>
        </w:rPr>
        <w:t>)</w:t>
      </w:r>
      <w:r w:rsidR="00022D09" w:rsidRPr="00022D09">
        <w:rPr>
          <w:lang w:val="en-GB"/>
        </w:rPr>
        <w:t xml:space="preserve">. </w:t>
      </w:r>
      <w:r w:rsidR="00D36996">
        <w:rPr>
          <w:lang w:val="en-GB"/>
        </w:rPr>
        <w:t>On the other hand, i</w:t>
      </w:r>
      <w:r w:rsidR="00022D09" w:rsidRPr="00022D09">
        <w:rPr>
          <w:lang w:val="en-GB"/>
        </w:rPr>
        <w:t xml:space="preserve">n </w:t>
      </w:r>
      <w:r w:rsidR="00D36996">
        <w:rPr>
          <w:lang w:val="en-GB"/>
        </w:rPr>
        <w:t xml:space="preserve">one </w:t>
      </w:r>
      <w:r w:rsidR="008A7496">
        <w:rPr>
          <w:lang w:val="en-GB"/>
        </w:rPr>
        <w:t xml:space="preserve">of </w:t>
      </w:r>
      <w:r w:rsidR="00022D09" w:rsidRPr="00022D09">
        <w:rPr>
          <w:lang w:val="en-GB"/>
        </w:rPr>
        <w:t>our previous work</w:t>
      </w:r>
      <w:r w:rsidR="008A7496">
        <w:rPr>
          <w:lang w:val="en-GB"/>
        </w:rPr>
        <w:t>s</w:t>
      </w:r>
      <w:r w:rsidR="00022D09" w:rsidRPr="00022D09">
        <w:rPr>
          <w:lang w:val="en-GB"/>
        </w:rPr>
        <w:t xml:space="preserve"> we modelled and compared the cost and global warming potential of different ethylene production routes starting from CO</w:t>
      </w:r>
      <w:r w:rsidR="00022D09" w:rsidRPr="00022D09">
        <w:rPr>
          <w:vertAlign w:val="subscript"/>
          <w:lang w:val="en-GB"/>
        </w:rPr>
        <w:t>2</w:t>
      </w:r>
      <w:r w:rsidR="00022D09" w:rsidRPr="00022D09">
        <w:rPr>
          <w:lang w:val="en-GB"/>
        </w:rPr>
        <w:t xml:space="preserve"> and </w:t>
      </w:r>
      <w:r w:rsidR="00022D09">
        <w:rPr>
          <w:lang w:val="en-GB"/>
        </w:rPr>
        <w:t>water (</w:t>
      </w:r>
      <w:r w:rsidR="00022D09" w:rsidRPr="00022D09">
        <w:rPr>
          <w:lang w:val="en-GB"/>
        </w:rPr>
        <w:t>H</w:t>
      </w:r>
      <w:r w:rsidR="00022D09" w:rsidRPr="00022D09">
        <w:rPr>
          <w:vertAlign w:val="subscript"/>
          <w:lang w:val="en-GB"/>
        </w:rPr>
        <w:t>2</w:t>
      </w:r>
      <w:r w:rsidR="00022D09" w:rsidRPr="00022D09">
        <w:rPr>
          <w:lang w:val="en-GB"/>
        </w:rPr>
        <w:t>O</w:t>
      </w:r>
      <w:r w:rsidR="00022D09">
        <w:rPr>
          <w:lang w:val="en-GB"/>
        </w:rPr>
        <w:t>)</w:t>
      </w:r>
      <w:r w:rsidR="00022D09" w:rsidRPr="00022D09">
        <w:rPr>
          <w:lang w:val="en-GB"/>
        </w:rPr>
        <w:t xml:space="preserve"> (Leonzio et al., 2023). </w:t>
      </w:r>
      <w:r w:rsidR="00D36996">
        <w:rPr>
          <w:lang w:val="en-GB"/>
        </w:rPr>
        <w:t>Here, t</w:t>
      </w:r>
      <w:r w:rsidR="00497E8C">
        <w:rPr>
          <w:lang w:val="en-GB"/>
        </w:rPr>
        <w:t xml:space="preserve">he investigated technologies are the following: </w:t>
      </w:r>
      <w:r w:rsidR="00497E8C">
        <w:t xml:space="preserve">the </w:t>
      </w:r>
      <w:r w:rsidR="00497E8C" w:rsidRPr="006944DA">
        <w:t xml:space="preserve">electrochemical process (tandem and </w:t>
      </w:r>
      <w:r w:rsidR="00497E8C">
        <w:t>direct</w:t>
      </w:r>
      <w:r w:rsidR="00497E8C" w:rsidRPr="006944DA">
        <w:t xml:space="preserve"> CO</w:t>
      </w:r>
      <w:r w:rsidR="00497E8C" w:rsidRPr="006944DA">
        <w:rPr>
          <w:vertAlign w:val="subscript"/>
        </w:rPr>
        <w:t>2</w:t>
      </w:r>
      <w:r w:rsidR="00D36996">
        <w:t xml:space="preserve"> electrochemical reduction</w:t>
      </w:r>
      <w:r w:rsidR="00497E8C" w:rsidRPr="006944DA">
        <w:t xml:space="preserve"> to ethylene</w:t>
      </w:r>
      <w:r w:rsidR="00EC5A75">
        <w:t xml:space="preserve"> processes</w:t>
      </w:r>
      <w:r w:rsidR="00497E8C" w:rsidRPr="006944DA">
        <w:t xml:space="preserve">), </w:t>
      </w:r>
      <w:r w:rsidR="00497E8C">
        <w:t>methanol-to-olefin (</w:t>
      </w:r>
      <w:r w:rsidR="00497E8C" w:rsidRPr="006944DA">
        <w:t>MTO</w:t>
      </w:r>
      <w:r w:rsidR="00497E8C">
        <w:t>)</w:t>
      </w:r>
      <w:r w:rsidR="00497E8C" w:rsidRPr="006944DA">
        <w:t xml:space="preserve"> plant with methanol obtained from CO</w:t>
      </w:r>
      <w:r w:rsidR="00497E8C" w:rsidRPr="006944DA">
        <w:rPr>
          <w:vertAlign w:val="subscript"/>
        </w:rPr>
        <w:t>2</w:t>
      </w:r>
      <w:r w:rsidR="00497E8C" w:rsidRPr="006944DA">
        <w:t xml:space="preserve"> hydrogenation with blue and green hydrogen and from CO</w:t>
      </w:r>
      <w:r w:rsidR="00497E8C" w:rsidRPr="006944DA">
        <w:rPr>
          <w:vertAlign w:val="subscript"/>
        </w:rPr>
        <w:t>2</w:t>
      </w:r>
      <w:r w:rsidR="00D36996">
        <w:t xml:space="preserve"> electrochemical reduction</w:t>
      </w:r>
      <w:r w:rsidR="00497E8C" w:rsidRPr="006944DA">
        <w:t>, and</w:t>
      </w:r>
      <w:r w:rsidR="00497E8C">
        <w:t xml:space="preserve"> </w:t>
      </w:r>
      <w:r w:rsidR="00497E8C" w:rsidRPr="006944DA">
        <w:t xml:space="preserve">MTO </w:t>
      </w:r>
      <w:r w:rsidR="00497E8C">
        <w:t>process</w:t>
      </w:r>
      <w:r w:rsidR="00497E8C" w:rsidRPr="006944DA">
        <w:t xml:space="preserve"> with methanol obtained from syngas produced in a </w:t>
      </w:r>
      <w:r w:rsidR="00497E8C">
        <w:t>solid oxide electrolytic cell (</w:t>
      </w:r>
      <w:r w:rsidR="00497E8C" w:rsidRPr="006944DA">
        <w:t>SOEC</w:t>
      </w:r>
      <w:r w:rsidR="00497E8C">
        <w:t>)</w:t>
      </w:r>
      <w:r w:rsidR="00497E8C" w:rsidRPr="006944DA">
        <w:t xml:space="preserve"> for the CO</w:t>
      </w:r>
      <w:r w:rsidR="00497E8C" w:rsidRPr="006944DA">
        <w:rPr>
          <w:vertAlign w:val="subscript"/>
        </w:rPr>
        <w:t>2</w:t>
      </w:r>
      <w:r w:rsidR="00497E8C" w:rsidRPr="006944DA">
        <w:t>-H</w:t>
      </w:r>
      <w:r w:rsidR="00497E8C" w:rsidRPr="006944DA">
        <w:rPr>
          <w:vertAlign w:val="subscript"/>
        </w:rPr>
        <w:t>2</w:t>
      </w:r>
      <w:r w:rsidR="00497E8C" w:rsidRPr="006944DA">
        <w:t>O co-electrolysis.</w:t>
      </w:r>
      <w:r w:rsidR="00497E8C">
        <w:t xml:space="preserve"> </w:t>
      </w:r>
      <w:r w:rsidR="00022D09" w:rsidRPr="00022D09">
        <w:rPr>
          <w:lang w:val="en-GB"/>
        </w:rPr>
        <w:t>We found that the electrochemical tandem process is the most promising from an economic point of view while the MTO process using methanol produced by syngas from CO</w:t>
      </w:r>
      <w:r w:rsidR="00022D09" w:rsidRPr="00022D09">
        <w:rPr>
          <w:vertAlign w:val="subscript"/>
          <w:lang w:val="en-GB"/>
        </w:rPr>
        <w:t>2</w:t>
      </w:r>
      <w:r w:rsidR="00022D09" w:rsidRPr="00022D09">
        <w:rPr>
          <w:lang w:val="en-GB"/>
        </w:rPr>
        <w:t>-H</w:t>
      </w:r>
      <w:r w:rsidR="00022D09" w:rsidRPr="00022D09">
        <w:rPr>
          <w:vertAlign w:val="subscript"/>
          <w:lang w:val="en-GB"/>
        </w:rPr>
        <w:t>2</w:t>
      </w:r>
      <w:r w:rsidR="00022D09" w:rsidRPr="00022D09">
        <w:rPr>
          <w:lang w:val="en-GB"/>
        </w:rPr>
        <w:t>O co</w:t>
      </w:r>
      <w:r w:rsidR="005C7625">
        <w:rPr>
          <w:lang w:val="en-GB"/>
        </w:rPr>
        <w:t>-</w:t>
      </w:r>
      <w:r w:rsidR="00022D09" w:rsidRPr="00022D09">
        <w:rPr>
          <w:lang w:val="en-GB"/>
        </w:rPr>
        <w:lastRenderedPageBreak/>
        <w:t>electrolysis in a solid oxide electrolytic cell (SOEC) is the most preferred from an environmental point of view.</w:t>
      </w:r>
      <w:r w:rsidR="00497E8C">
        <w:rPr>
          <w:lang w:val="en-GB"/>
        </w:rPr>
        <w:t xml:space="preserve"> </w:t>
      </w:r>
    </w:p>
    <w:p w14:paraId="3FF9DF71" w14:textId="5E1C9E5B" w:rsidR="00497E8C" w:rsidRPr="00241873" w:rsidRDefault="00022D09" w:rsidP="00241873">
      <w:pPr>
        <w:pStyle w:val="Els-body-text"/>
        <w:spacing w:after="120"/>
        <w:rPr>
          <w:lang w:val="en-GB"/>
        </w:rPr>
      </w:pPr>
      <w:r w:rsidRPr="00022D09">
        <w:rPr>
          <w:lang w:val="en-GB"/>
        </w:rPr>
        <w:t>After this first screening,</w:t>
      </w:r>
      <w:r w:rsidR="00327A73">
        <w:rPr>
          <w:lang w:val="en-GB"/>
        </w:rPr>
        <w:t xml:space="preserve"> in this research,</w:t>
      </w:r>
      <w:r w:rsidRPr="00022D09">
        <w:rPr>
          <w:lang w:val="en-GB"/>
        </w:rPr>
        <w:t xml:space="preserve"> we aim to explore the best route for ethylene production </w:t>
      </w:r>
      <w:r w:rsidR="00710056">
        <w:rPr>
          <w:lang w:val="en-GB"/>
        </w:rPr>
        <w:t xml:space="preserve">(between the two suggested above) </w:t>
      </w:r>
      <w:r w:rsidRPr="00022D09">
        <w:rPr>
          <w:lang w:val="en-GB"/>
        </w:rPr>
        <w:t>at a supply chain level</w:t>
      </w:r>
      <w:r w:rsidR="00710056">
        <w:rPr>
          <w:lang w:val="en-GB"/>
        </w:rPr>
        <w:t xml:space="preserve">, by </w:t>
      </w:r>
      <w:r w:rsidR="00327A73">
        <w:rPr>
          <w:lang w:val="en-GB"/>
        </w:rPr>
        <w:t>develop</w:t>
      </w:r>
      <w:r w:rsidR="00710056">
        <w:rPr>
          <w:lang w:val="en-GB"/>
        </w:rPr>
        <w:t>ing</w:t>
      </w:r>
      <w:r w:rsidR="00327A73">
        <w:rPr>
          <w:lang w:val="en-GB"/>
        </w:rPr>
        <w:t xml:space="preserve"> two different mixed integer linear programming (MILP) model</w:t>
      </w:r>
      <w:r w:rsidR="00710056">
        <w:rPr>
          <w:lang w:val="en-GB"/>
        </w:rPr>
        <w:t>s for the supply chain located in the Teesside cluster (UK). T</w:t>
      </w:r>
      <w:r w:rsidR="00710056" w:rsidRPr="00710056">
        <w:rPr>
          <w:lang w:val="en-GB"/>
        </w:rPr>
        <w:t>wo different m</w:t>
      </w:r>
      <w:r w:rsidR="00710056">
        <w:rPr>
          <w:lang w:val="en-GB"/>
        </w:rPr>
        <w:t>odels</w:t>
      </w:r>
      <w:r w:rsidR="00710056" w:rsidRPr="00710056">
        <w:rPr>
          <w:lang w:val="en-GB"/>
        </w:rPr>
        <w:t xml:space="preserve"> </w:t>
      </w:r>
      <w:r w:rsidR="00710056">
        <w:rPr>
          <w:lang w:val="en-GB"/>
        </w:rPr>
        <w:t>are used</w:t>
      </w:r>
      <w:r w:rsidR="00710056" w:rsidRPr="00710056">
        <w:rPr>
          <w:lang w:val="en-GB"/>
        </w:rPr>
        <w:t xml:space="preserve"> to verify the independence of</w:t>
      </w:r>
      <w:r w:rsidR="00D36996">
        <w:rPr>
          <w:lang w:val="en-GB"/>
        </w:rPr>
        <w:t xml:space="preserve"> </w:t>
      </w:r>
      <w:r w:rsidR="00710056" w:rsidRPr="00710056">
        <w:rPr>
          <w:lang w:val="en-GB"/>
        </w:rPr>
        <w:t>result</w:t>
      </w:r>
      <w:r w:rsidR="00D36996">
        <w:rPr>
          <w:lang w:val="en-GB"/>
        </w:rPr>
        <w:t>s</w:t>
      </w:r>
      <w:r w:rsidR="00710056" w:rsidRPr="00710056">
        <w:rPr>
          <w:lang w:val="en-GB"/>
        </w:rPr>
        <w:t xml:space="preserve"> by the used method. </w:t>
      </w:r>
      <w:r w:rsidR="00710056">
        <w:rPr>
          <w:lang w:val="en-GB"/>
        </w:rPr>
        <w:t xml:space="preserve">Through the development of a surrogate model, a Global Sensitivity Analysis (GSA) is conducted to </w:t>
      </w:r>
      <w:r w:rsidR="00B26098">
        <w:rPr>
          <w:lang w:val="en-GB"/>
        </w:rPr>
        <w:t xml:space="preserve">determine </w:t>
      </w:r>
      <w:r w:rsidR="00710056">
        <w:rPr>
          <w:lang w:val="en-GB"/>
        </w:rPr>
        <w:t xml:space="preserve">the most significant factors for total cost and ethylene production cost. </w:t>
      </w:r>
    </w:p>
    <w:p w14:paraId="144DE699" w14:textId="06A3E4EA" w:rsidR="008D2649" w:rsidRDefault="009868BE" w:rsidP="008D2649">
      <w:pPr>
        <w:pStyle w:val="Els-1storder-head"/>
      </w:pPr>
      <w:r>
        <w:t>Methodology</w:t>
      </w:r>
    </w:p>
    <w:p w14:paraId="144DE69A" w14:textId="06CB9C8E" w:rsidR="008D2649" w:rsidRDefault="00FE6899" w:rsidP="008F26F1">
      <w:pPr>
        <w:pStyle w:val="Els-2ndorder-head"/>
        <w:spacing w:after="120"/>
      </w:pPr>
      <w:r>
        <w:t>Mathematical model of supply chain</w:t>
      </w:r>
    </w:p>
    <w:p w14:paraId="6142DE3B" w14:textId="6CB4A7F2" w:rsidR="002C3DA7" w:rsidRPr="00342536" w:rsidRDefault="002C3DA7" w:rsidP="008D2649">
      <w:pPr>
        <w:pStyle w:val="Els-body-text"/>
        <w:rPr>
          <w:lang w:val="en-GB"/>
        </w:rPr>
      </w:pPr>
      <w:r>
        <w:t xml:space="preserve">In the considered supply chain, </w:t>
      </w:r>
      <w:r w:rsidRPr="002C3DA7">
        <w:rPr>
          <w:lang w:val="en-GB"/>
        </w:rPr>
        <w:t>CO</w:t>
      </w:r>
      <w:r w:rsidRPr="002C3DA7">
        <w:rPr>
          <w:vertAlign w:val="subscript"/>
          <w:lang w:val="en-GB"/>
        </w:rPr>
        <w:t>2</w:t>
      </w:r>
      <w:r w:rsidRPr="002C3DA7">
        <w:rPr>
          <w:lang w:val="en-GB"/>
        </w:rPr>
        <w:t xml:space="preserve"> is captured</w:t>
      </w:r>
      <w:r>
        <w:rPr>
          <w:lang w:val="en-GB"/>
        </w:rPr>
        <w:t xml:space="preserve"> from flue gas</w:t>
      </w:r>
      <w:r w:rsidRPr="002C3DA7">
        <w:rPr>
          <w:lang w:val="en-GB"/>
        </w:rPr>
        <w:t>, transported via pipeline and stored/used for ethylene production through the two routes suggested in our previous work</w:t>
      </w:r>
      <w:r>
        <w:rPr>
          <w:lang w:val="en-GB"/>
        </w:rPr>
        <w:t xml:space="preserve"> (Leonzio et al., 2023)</w:t>
      </w:r>
      <w:r w:rsidRPr="002C3DA7">
        <w:rPr>
          <w:lang w:val="en-GB"/>
        </w:rPr>
        <w:t>.</w:t>
      </w:r>
      <w:r>
        <w:rPr>
          <w:lang w:val="en-GB"/>
        </w:rPr>
        <w:t xml:space="preserve"> </w:t>
      </w:r>
      <w:r w:rsidR="00BF1E84">
        <w:rPr>
          <w:lang w:val="en-GB"/>
        </w:rPr>
        <w:t>Therefore, a</w:t>
      </w:r>
      <w:r>
        <w:rPr>
          <w:lang w:val="en-GB"/>
        </w:rPr>
        <w:t xml:space="preserve"> carbon capture, utilization and storage (CCUS) supply chain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proposed</w:t>
      </w:r>
      <w:r w:rsidR="00BF1E84">
        <w:rPr>
          <w:lang w:val="en-GB"/>
        </w:rPr>
        <w:t xml:space="preserve"> here</w:t>
      </w:r>
      <w:r>
        <w:rPr>
          <w:lang w:val="en-GB"/>
        </w:rPr>
        <w:t xml:space="preserve">. </w:t>
      </w:r>
      <w:r w:rsidR="000B57AF">
        <w:rPr>
          <w:lang w:val="en-GB"/>
        </w:rPr>
        <w:t>In particular, t</w:t>
      </w:r>
      <w:r w:rsidR="00ED1599">
        <w:rPr>
          <w:lang w:val="en-GB"/>
        </w:rPr>
        <w:t xml:space="preserve">he framework is located in the </w:t>
      </w:r>
      <w:r w:rsidR="008A7496">
        <w:rPr>
          <w:lang w:val="en-GB"/>
        </w:rPr>
        <w:t>Teesside</w:t>
      </w:r>
      <w:r w:rsidR="00ED1599">
        <w:rPr>
          <w:lang w:val="en-GB"/>
        </w:rPr>
        <w:t xml:space="preserve"> cluster (UK) where the Endurance reservoir is the CO</w:t>
      </w:r>
      <w:r w:rsidR="00ED1599" w:rsidRPr="00ED1599">
        <w:rPr>
          <w:vertAlign w:val="subscript"/>
          <w:lang w:val="en-GB"/>
        </w:rPr>
        <w:t>2</w:t>
      </w:r>
      <w:r w:rsidR="00ED1599">
        <w:rPr>
          <w:lang w:val="en-GB"/>
        </w:rPr>
        <w:t xml:space="preserve"> storage site </w:t>
      </w:r>
      <w:r w:rsidR="00340D1A">
        <w:rPr>
          <w:lang w:val="en-GB"/>
        </w:rPr>
        <w:t>with a supposed storage capacity of 20 MtCO</w:t>
      </w:r>
      <w:r w:rsidR="00340D1A" w:rsidRPr="00340D1A">
        <w:rPr>
          <w:vertAlign w:val="subscript"/>
          <w:lang w:val="en-GB"/>
        </w:rPr>
        <w:t>2</w:t>
      </w:r>
      <w:r w:rsidR="00EC5A75">
        <w:rPr>
          <w:lang w:val="en-GB"/>
        </w:rPr>
        <w:t xml:space="preserve">. </w:t>
      </w:r>
      <w:r w:rsidR="00340D1A">
        <w:rPr>
          <w:lang w:val="en-GB"/>
        </w:rPr>
        <w:t>C</w:t>
      </w:r>
      <w:r w:rsidR="00ED1599">
        <w:rPr>
          <w:lang w:val="en-GB"/>
        </w:rPr>
        <w:t>ompanie</w:t>
      </w:r>
      <w:r w:rsidR="000B57AF">
        <w:rPr>
          <w:lang w:val="en-GB"/>
        </w:rPr>
        <w:t>s</w:t>
      </w:r>
      <w:r w:rsidR="00ED1599">
        <w:rPr>
          <w:lang w:val="en-GB"/>
        </w:rPr>
        <w:t xml:space="preserve"> like Sabic, </w:t>
      </w:r>
      <w:proofErr w:type="spellStart"/>
      <w:r w:rsidR="00ED1599">
        <w:rPr>
          <w:lang w:val="en-GB"/>
        </w:rPr>
        <w:t>Ineos</w:t>
      </w:r>
      <w:proofErr w:type="spellEnd"/>
      <w:r w:rsidR="00ED1599">
        <w:rPr>
          <w:lang w:val="en-GB"/>
        </w:rPr>
        <w:t xml:space="preserve">, CF Fertiliser, </w:t>
      </w:r>
      <w:proofErr w:type="spellStart"/>
      <w:r w:rsidR="00ED1599">
        <w:rPr>
          <w:lang w:val="en-GB"/>
        </w:rPr>
        <w:t>Tioxide</w:t>
      </w:r>
      <w:proofErr w:type="spellEnd"/>
      <w:r w:rsidR="00ED1599">
        <w:rPr>
          <w:lang w:val="en-GB"/>
        </w:rPr>
        <w:t xml:space="preserve"> Europe</w:t>
      </w:r>
      <w:r w:rsidR="008A7496">
        <w:rPr>
          <w:lang w:val="en-GB"/>
        </w:rPr>
        <w:t xml:space="preserve"> and</w:t>
      </w:r>
      <w:r w:rsidR="00ED1599">
        <w:rPr>
          <w:lang w:val="en-GB"/>
        </w:rPr>
        <w:t xml:space="preserve"> BOC</w:t>
      </w:r>
      <w:r w:rsidR="008A7496">
        <w:rPr>
          <w:lang w:val="en-GB"/>
        </w:rPr>
        <w:t xml:space="preserve"> </w:t>
      </w:r>
      <w:r w:rsidR="00ED1599">
        <w:rPr>
          <w:lang w:val="en-GB"/>
        </w:rPr>
        <w:t>Lind</w:t>
      </w:r>
      <w:r w:rsidR="008A7496">
        <w:rPr>
          <w:lang w:val="en-GB"/>
        </w:rPr>
        <w:t>e</w:t>
      </w:r>
      <w:r w:rsidR="00ED1599">
        <w:rPr>
          <w:lang w:val="en-GB"/>
        </w:rPr>
        <w:t xml:space="preserve"> are the CO</w:t>
      </w:r>
      <w:r w:rsidR="00ED1599" w:rsidRPr="00ED1599">
        <w:rPr>
          <w:vertAlign w:val="subscript"/>
          <w:lang w:val="en-GB"/>
        </w:rPr>
        <w:t>2</w:t>
      </w:r>
      <w:r w:rsidR="00ED1599">
        <w:rPr>
          <w:lang w:val="en-GB"/>
        </w:rPr>
        <w:t xml:space="preserve"> source sites</w:t>
      </w:r>
      <w:r w:rsidR="00DF3F2B">
        <w:rPr>
          <w:lang w:val="en-GB"/>
        </w:rPr>
        <w:t>,</w:t>
      </w:r>
      <w:r w:rsidR="00ED1599">
        <w:rPr>
          <w:lang w:val="en-GB"/>
        </w:rPr>
        <w:t xml:space="preserve"> </w:t>
      </w:r>
      <w:r w:rsidR="000B57AF">
        <w:rPr>
          <w:lang w:val="en-GB"/>
        </w:rPr>
        <w:t xml:space="preserve">while </w:t>
      </w:r>
      <w:r w:rsidR="00DF3F2B">
        <w:rPr>
          <w:lang w:val="en-GB"/>
        </w:rPr>
        <w:t xml:space="preserve">the </w:t>
      </w:r>
      <w:r w:rsidR="000B57AF">
        <w:rPr>
          <w:lang w:val="en-GB"/>
        </w:rPr>
        <w:t>CO</w:t>
      </w:r>
      <w:r w:rsidR="000B57AF" w:rsidRPr="000B57AF">
        <w:rPr>
          <w:vertAlign w:val="subscript"/>
          <w:lang w:val="en-GB"/>
        </w:rPr>
        <w:t>2</w:t>
      </w:r>
      <w:r w:rsidR="000B57AF">
        <w:rPr>
          <w:lang w:val="en-GB"/>
        </w:rPr>
        <w:t xml:space="preserve"> conversion </w:t>
      </w:r>
      <w:r w:rsidR="00DF3F2B">
        <w:rPr>
          <w:lang w:val="en-GB"/>
        </w:rPr>
        <w:t xml:space="preserve">site </w:t>
      </w:r>
      <w:r w:rsidR="000B57AF">
        <w:rPr>
          <w:lang w:val="en-GB"/>
        </w:rPr>
        <w:t xml:space="preserve">is </w:t>
      </w:r>
      <w:r w:rsidR="00340D1A">
        <w:rPr>
          <w:lang w:val="en-GB"/>
        </w:rPr>
        <w:t>set</w:t>
      </w:r>
      <w:r w:rsidR="000B57AF">
        <w:rPr>
          <w:lang w:val="en-GB"/>
        </w:rPr>
        <w:t xml:space="preserve"> in </w:t>
      </w:r>
      <w:r w:rsidR="00340D1A">
        <w:rPr>
          <w:lang w:val="en-GB"/>
        </w:rPr>
        <w:t xml:space="preserve">the </w:t>
      </w:r>
      <w:r w:rsidR="000B57AF">
        <w:rPr>
          <w:lang w:val="en-GB"/>
        </w:rPr>
        <w:t>Sabic plant (Geels, 2022).</w:t>
      </w:r>
      <w:r w:rsidR="00340D1A">
        <w:rPr>
          <w:lang w:val="en-GB"/>
        </w:rPr>
        <w:t xml:space="preserve"> Capture technologies like absorption with </w:t>
      </w:r>
      <w:r w:rsidR="00340D1A" w:rsidRPr="00340D1A">
        <w:rPr>
          <w:lang w:val="en-GB"/>
        </w:rPr>
        <w:t>mono</w:t>
      </w:r>
      <w:r w:rsidR="00340D1A">
        <w:rPr>
          <w:lang w:val="en-GB"/>
        </w:rPr>
        <w:t>-</w:t>
      </w:r>
      <w:r w:rsidR="00340D1A" w:rsidRPr="00340D1A">
        <w:rPr>
          <w:lang w:val="en-GB"/>
        </w:rPr>
        <w:t>ethanolamine</w:t>
      </w:r>
      <w:r w:rsidR="00340D1A">
        <w:rPr>
          <w:lang w:val="en-GB"/>
        </w:rPr>
        <w:t xml:space="preserve">, pressure and vacuum swing adsorption, membrane </w:t>
      </w:r>
      <w:proofErr w:type="gramStart"/>
      <w:r w:rsidR="00340D1A">
        <w:rPr>
          <w:lang w:val="en-GB"/>
        </w:rPr>
        <w:t>are</w:t>
      </w:r>
      <w:proofErr w:type="gramEnd"/>
      <w:r w:rsidR="00340D1A">
        <w:rPr>
          <w:lang w:val="en-GB"/>
        </w:rPr>
        <w:t xml:space="preserve"> taken into account. </w:t>
      </w:r>
      <w:r w:rsidR="005B4C4A">
        <w:rPr>
          <w:lang w:val="en-GB"/>
        </w:rPr>
        <w:t>In that designed cluster, total CO</w:t>
      </w:r>
      <w:r w:rsidR="005B4C4A" w:rsidRPr="005B4C4A">
        <w:rPr>
          <w:vertAlign w:val="subscript"/>
          <w:lang w:val="en-GB"/>
        </w:rPr>
        <w:t>2</w:t>
      </w:r>
      <w:r w:rsidR="005B4C4A">
        <w:rPr>
          <w:lang w:val="en-GB"/>
        </w:rPr>
        <w:t xml:space="preserve"> emissions </w:t>
      </w:r>
      <w:r w:rsidR="00BF1E84">
        <w:rPr>
          <w:lang w:val="en-GB"/>
        </w:rPr>
        <w:t>were</w:t>
      </w:r>
      <w:r w:rsidR="005B4C4A">
        <w:rPr>
          <w:lang w:val="en-GB"/>
        </w:rPr>
        <w:t xml:space="preserve"> 351.5 Mt</w:t>
      </w:r>
      <w:r w:rsidR="001F66CE">
        <w:rPr>
          <w:lang w:val="en-GB"/>
        </w:rPr>
        <w:t>CO</w:t>
      </w:r>
      <w:r w:rsidR="001F66CE" w:rsidRPr="001F66CE">
        <w:rPr>
          <w:vertAlign w:val="subscript"/>
          <w:lang w:val="en-GB"/>
        </w:rPr>
        <w:t>2</w:t>
      </w:r>
      <w:r w:rsidR="005B4C4A">
        <w:rPr>
          <w:lang w:val="en-GB"/>
        </w:rPr>
        <w:t xml:space="preserve"> in 2019 and must be reduced by 54.8</w:t>
      </w:r>
      <w:r w:rsidR="001F66CE">
        <w:rPr>
          <w:lang w:val="en-GB"/>
        </w:rPr>
        <w:t xml:space="preserve"> </w:t>
      </w:r>
      <w:r w:rsidR="005B4C4A">
        <w:rPr>
          <w:lang w:val="en-GB"/>
        </w:rPr>
        <w:t xml:space="preserve">% to achieve the target fixed for the future </w:t>
      </w:r>
      <w:r w:rsidR="00DF3F2B">
        <w:rPr>
          <w:lang w:val="en-GB"/>
        </w:rPr>
        <w:t>(</w:t>
      </w:r>
      <w:r w:rsidR="005B4C4A">
        <w:rPr>
          <w:lang w:val="en-GB"/>
        </w:rPr>
        <w:t>2050</w:t>
      </w:r>
      <w:r w:rsidR="00DF3F2B">
        <w:rPr>
          <w:lang w:val="en-GB"/>
        </w:rPr>
        <w:t>)</w:t>
      </w:r>
      <w:r w:rsidR="00DC7D83">
        <w:rPr>
          <w:lang w:val="en-GB"/>
        </w:rPr>
        <w:t xml:space="preserve"> (Geels, 2022)</w:t>
      </w:r>
      <w:r w:rsidR="0083414F">
        <w:rPr>
          <w:lang w:val="en-GB"/>
        </w:rPr>
        <w:t>.</w:t>
      </w:r>
      <w:r w:rsidR="005B4C4A">
        <w:rPr>
          <w:lang w:val="en-GB"/>
        </w:rPr>
        <w:t xml:space="preserve"> </w:t>
      </w:r>
    </w:p>
    <w:p w14:paraId="2C3D8594" w14:textId="69EF699D" w:rsidR="00BC38AB" w:rsidRDefault="00104A63" w:rsidP="008D2649">
      <w:pPr>
        <w:pStyle w:val="Els-body-text"/>
      </w:pPr>
      <w:r>
        <w:t xml:space="preserve">Two MILP models </w:t>
      </w:r>
      <w:r w:rsidR="00DF3F2B">
        <w:t>are</w:t>
      </w:r>
      <w:r>
        <w:t xml:space="preserve"> developed to optimize the framework: one is based on a node structure as reported </w:t>
      </w:r>
      <w:r w:rsidR="008A7496">
        <w:t>by</w:t>
      </w:r>
      <w:r>
        <w:t xml:space="preserve"> Elahi et al. (2014) while the other one is no</w:t>
      </w:r>
      <w:r w:rsidR="00A04929">
        <w:t>n</w:t>
      </w:r>
      <w:r w:rsidR="00391D95">
        <w:t>-</w:t>
      </w:r>
      <w:r>
        <w:t>node</w:t>
      </w:r>
      <w:r w:rsidR="00391D95">
        <w:t xml:space="preserve"> </w:t>
      </w:r>
      <w:r>
        <w:t xml:space="preserve">based as proposed </w:t>
      </w:r>
      <w:r w:rsidR="008A7496">
        <w:t>by</w:t>
      </w:r>
      <w:r>
        <w:t xml:space="preserve"> Leonzio et al. (2019). </w:t>
      </w:r>
      <w:r w:rsidR="00BC38AB">
        <w:t>In both models, CO</w:t>
      </w:r>
      <w:r w:rsidR="00BC38AB" w:rsidRPr="005C7625">
        <w:rPr>
          <w:vertAlign w:val="subscript"/>
        </w:rPr>
        <w:t>2</w:t>
      </w:r>
      <w:r w:rsidR="00BC38AB">
        <w:t xml:space="preserve"> is flowing from sources to storage/utilization s</w:t>
      </w:r>
      <w:r w:rsidR="003065D4">
        <w:t>ites</w:t>
      </w:r>
      <w:r w:rsidR="00BC38AB">
        <w:t xml:space="preserve"> but in the first case a material balance is added as a constraint for each node. </w:t>
      </w:r>
    </w:p>
    <w:p w14:paraId="0CB26FE9" w14:textId="28FDD0BC" w:rsidR="002C3DA7" w:rsidRDefault="002C3DA7" w:rsidP="008D2649">
      <w:pPr>
        <w:pStyle w:val="Els-body-text"/>
      </w:pPr>
      <w:r w:rsidRPr="002C3DA7">
        <w:rPr>
          <w:lang w:val="en-GB"/>
        </w:rPr>
        <w:t xml:space="preserve">The optimal </w:t>
      </w:r>
      <w:r>
        <w:rPr>
          <w:lang w:val="en-GB"/>
        </w:rPr>
        <w:t>topology</w:t>
      </w:r>
      <w:r w:rsidRPr="002C3DA7">
        <w:rPr>
          <w:lang w:val="en-GB"/>
        </w:rPr>
        <w:t xml:space="preserve"> is provided by the minimization of the total cost</w:t>
      </w:r>
      <w:r w:rsidR="00104A63">
        <w:rPr>
          <w:lang w:val="en-GB"/>
        </w:rPr>
        <w:t xml:space="preserve"> (e.g. the sum of CO</w:t>
      </w:r>
      <w:r w:rsidR="00104A63" w:rsidRPr="00104A63">
        <w:rPr>
          <w:vertAlign w:val="subscript"/>
          <w:lang w:val="en-GB"/>
        </w:rPr>
        <w:t>2</w:t>
      </w:r>
      <w:r w:rsidR="00104A63">
        <w:rPr>
          <w:lang w:val="en-GB"/>
        </w:rPr>
        <w:t xml:space="preserve"> capture and compression, CO</w:t>
      </w:r>
      <w:r w:rsidR="00104A63" w:rsidRPr="00104A63">
        <w:rPr>
          <w:vertAlign w:val="subscript"/>
          <w:lang w:val="en-GB"/>
        </w:rPr>
        <w:t>2</w:t>
      </w:r>
      <w:r w:rsidR="00104A63">
        <w:rPr>
          <w:lang w:val="en-GB"/>
        </w:rPr>
        <w:t xml:space="preserve"> transportation, CO</w:t>
      </w:r>
      <w:r w:rsidR="00104A63" w:rsidRPr="00104A63">
        <w:rPr>
          <w:vertAlign w:val="subscript"/>
          <w:lang w:val="en-GB"/>
        </w:rPr>
        <w:t>2</w:t>
      </w:r>
      <w:r w:rsidR="00104A63">
        <w:rPr>
          <w:lang w:val="en-GB"/>
        </w:rPr>
        <w:t xml:space="preserve"> storage</w:t>
      </w:r>
      <w:r w:rsidR="008A7496">
        <w:rPr>
          <w:lang w:val="en-GB"/>
        </w:rPr>
        <w:t xml:space="preserve"> and </w:t>
      </w:r>
      <w:r w:rsidR="00104A63">
        <w:rPr>
          <w:lang w:val="en-GB"/>
        </w:rPr>
        <w:t>CO</w:t>
      </w:r>
      <w:r w:rsidR="00104A63" w:rsidRPr="00104A63">
        <w:rPr>
          <w:vertAlign w:val="subscript"/>
          <w:lang w:val="en-GB"/>
        </w:rPr>
        <w:t>2</w:t>
      </w:r>
      <w:r w:rsidR="00104A63">
        <w:rPr>
          <w:lang w:val="en-GB"/>
        </w:rPr>
        <w:t xml:space="preserve"> utilization</w:t>
      </w:r>
      <w:r w:rsidR="00DC7D83">
        <w:rPr>
          <w:lang w:val="en-GB"/>
        </w:rPr>
        <w:t xml:space="preserve"> costs</w:t>
      </w:r>
      <w:r w:rsidR="00104A63">
        <w:rPr>
          <w:lang w:val="en-GB"/>
        </w:rPr>
        <w:t>)</w:t>
      </w:r>
      <w:r w:rsidR="00782368">
        <w:rPr>
          <w:lang w:val="en-GB"/>
        </w:rPr>
        <w:t xml:space="preserve"> solved by using</w:t>
      </w:r>
      <w:r w:rsidR="00D53A68">
        <w:rPr>
          <w:lang w:val="en-GB"/>
        </w:rPr>
        <w:t xml:space="preserve"> the</w:t>
      </w:r>
      <w:r w:rsidR="00782368">
        <w:rPr>
          <w:lang w:val="en-GB"/>
        </w:rPr>
        <w:t xml:space="preserve"> AIMMS software</w:t>
      </w:r>
      <w:r w:rsidR="00D53A68">
        <w:rPr>
          <w:lang w:val="en-GB"/>
        </w:rPr>
        <w:t xml:space="preserve"> tool</w:t>
      </w:r>
      <w:r w:rsidR="004D4847">
        <w:rPr>
          <w:lang w:val="en-GB"/>
        </w:rPr>
        <w:t xml:space="preserve"> with </w:t>
      </w:r>
      <w:r w:rsidR="004D4847" w:rsidRPr="004D4847">
        <w:rPr>
          <w:lang w:val="en-GB"/>
        </w:rPr>
        <w:t xml:space="preserve">CPLEX 12.7.1 </w:t>
      </w:r>
      <w:r w:rsidR="004D4847">
        <w:rPr>
          <w:lang w:val="en-GB"/>
        </w:rPr>
        <w:t>as</w:t>
      </w:r>
      <w:r w:rsidR="004D4847" w:rsidRPr="004D4847">
        <w:rPr>
          <w:lang w:val="en-GB"/>
        </w:rPr>
        <w:t xml:space="preserve"> the solver</w:t>
      </w:r>
      <w:r w:rsidRPr="002C3DA7">
        <w:rPr>
          <w:lang w:val="en-GB"/>
        </w:rPr>
        <w:t>.</w:t>
      </w:r>
    </w:p>
    <w:p w14:paraId="6FD29559" w14:textId="5DDB4ECB" w:rsidR="00FE6899" w:rsidRDefault="00FE6899" w:rsidP="00C52604">
      <w:pPr>
        <w:pStyle w:val="Els-2ndorder-head"/>
        <w:spacing w:after="120"/>
      </w:pPr>
      <w:r>
        <w:t>Surrogate model</w:t>
      </w:r>
    </w:p>
    <w:p w14:paraId="75CEE3E0" w14:textId="053A4568" w:rsidR="008F26F1" w:rsidRDefault="00C52604" w:rsidP="00842BA7">
      <w:pPr>
        <w:pStyle w:val="Els-body-text"/>
        <w:spacing w:after="120"/>
      </w:pPr>
      <w:r>
        <w:t>A</w:t>
      </w:r>
      <w:r w:rsidR="00842BA7">
        <w:t xml:space="preserve"> </w:t>
      </w:r>
      <w:r>
        <w:t>surrogate model</w:t>
      </w:r>
      <w:r w:rsidR="00842BA7">
        <w:t xml:space="preserve"> </w:t>
      </w:r>
      <w:r w:rsidR="002408F9">
        <w:t xml:space="preserve">method </w:t>
      </w:r>
      <w:r w:rsidR="00842BA7">
        <w:t>used in the literature</w:t>
      </w:r>
      <w:r>
        <w:t xml:space="preserve"> is the</w:t>
      </w:r>
      <w:r w:rsidRPr="00C52604">
        <w:t xml:space="preserve"> random sampling-high dimensional model representations (RS-HDMR)</w:t>
      </w:r>
      <w:r>
        <w:t xml:space="preserve"> (Lambert et al., 2016)</w:t>
      </w:r>
      <w:r w:rsidR="002408F9">
        <w:t xml:space="preserve">, </w:t>
      </w:r>
      <w:r w:rsidR="00A04929">
        <w:t>which</w:t>
      </w:r>
      <w:r w:rsidR="002408F9">
        <w:t xml:space="preserve"> </w:t>
      </w:r>
      <w:r w:rsidR="00FE51D5">
        <w:t xml:space="preserve">is </w:t>
      </w:r>
      <w:r w:rsidR="002408F9">
        <w:t xml:space="preserve">implemented </w:t>
      </w:r>
      <w:r w:rsidR="005307DC">
        <w:t xml:space="preserve">here </w:t>
      </w:r>
      <w:r w:rsidR="002408F9">
        <w:t xml:space="preserve">to express the </w:t>
      </w:r>
      <w:r w:rsidR="005307DC">
        <w:t xml:space="preserve">supply chain </w:t>
      </w:r>
      <w:r w:rsidR="002408F9">
        <w:t xml:space="preserve">total cost and </w:t>
      </w:r>
      <w:r w:rsidR="005307DC">
        <w:t xml:space="preserve">ethylene </w:t>
      </w:r>
      <w:r w:rsidR="002408F9">
        <w:t>production cost as a function of CO</w:t>
      </w:r>
      <w:r w:rsidR="002408F9" w:rsidRPr="00612A59">
        <w:rPr>
          <w:vertAlign w:val="subscript"/>
        </w:rPr>
        <w:t>2</w:t>
      </w:r>
      <w:r w:rsidR="002408F9">
        <w:t xml:space="preserve"> capture </w:t>
      </w:r>
      <w:r w:rsidR="005307DC">
        <w:t xml:space="preserve">and compression </w:t>
      </w:r>
      <w:r w:rsidR="002408F9">
        <w:t>cost, CO</w:t>
      </w:r>
      <w:r w:rsidR="002408F9" w:rsidRPr="00612A59">
        <w:rPr>
          <w:vertAlign w:val="subscript"/>
        </w:rPr>
        <w:t>2</w:t>
      </w:r>
      <w:r w:rsidR="002408F9">
        <w:t xml:space="preserve"> transportation cost, CO</w:t>
      </w:r>
      <w:r w:rsidR="002408F9" w:rsidRPr="00612A59">
        <w:rPr>
          <w:vertAlign w:val="subscript"/>
        </w:rPr>
        <w:t>2</w:t>
      </w:r>
      <w:r w:rsidR="002408F9">
        <w:t xml:space="preserve"> storage cost and CO</w:t>
      </w:r>
      <w:r w:rsidR="002408F9" w:rsidRPr="00612A59">
        <w:rPr>
          <w:vertAlign w:val="subscript"/>
        </w:rPr>
        <w:t>2</w:t>
      </w:r>
      <w:r w:rsidR="002408F9">
        <w:t xml:space="preserve"> utilization cost. The following equation</w:t>
      </w:r>
      <w:r w:rsidR="000B4316">
        <w:t xml:space="preserve"> (with 1 as the maximum grade for parameters β and α)</w:t>
      </w:r>
      <w:r w:rsidR="002408F9">
        <w:t xml:space="preserve"> is considered to be regressed (see Eq. 1):</w:t>
      </w:r>
    </w:p>
    <w:p w14:paraId="6E09DA0D" w14:textId="77777777" w:rsidR="007C4863" w:rsidRDefault="007C4863" w:rsidP="008D2649">
      <w:pPr>
        <w:pStyle w:val="Els-body-text"/>
      </w:pPr>
    </w:p>
    <w:p w14:paraId="3CD76CF9" w14:textId="271BF95C" w:rsidR="007C4863" w:rsidRPr="00C707AB" w:rsidRDefault="007C4863" w:rsidP="001F66CE">
      <w:pPr>
        <w:spacing w:after="1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=fo+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cc</m:t>
              </m:r>
            </m:sup>
          </m:sSub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cc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ct</m:t>
              </m:r>
            </m:sup>
          </m:sSub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cs</m:t>
              </m:r>
            </m:sup>
          </m:sSub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cu</m:t>
              </m:r>
            </m:sup>
          </m:sSub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</m:oMath>
      </m:oMathPara>
    </w:p>
    <w:p w14:paraId="33CD23BB" w14:textId="26856430" w:rsidR="001F66CE" w:rsidRPr="001F66CE" w:rsidRDefault="007C4863" w:rsidP="001F66CE">
      <w:pPr>
        <w:spacing w:after="1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1,1</m:t>
              </m:r>
            </m:sub>
            <m:sup>
              <m:r>
                <w:rPr>
                  <w:rFonts w:ascii="Cambria Math" w:hAnsi="Cambria Math"/>
                </w:rPr>
                <m:t>cc,ct</m:t>
              </m:r>
            </m:sup>
          </m:sSub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cc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∙φ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1,1</m:t>
              </m:r>
            </m:sub>
            <m:sup>
              <m:r>
                <w:rPr>
                  <w:rFonts w:ascii="Cambria Math" w:hAnsi="Cambria Math"/>
                </w:rPr>
                <m:t>cc,cs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∙φ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cc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1,1</m:t>
              </m:r>
            </m:sub>
            <m:sup>
              <m:r>
                <w:rPr>
                  <w:rFonts w:ascii="Cambria Math" w:hAnsi="Cambria Math"/>
                </w:rPr>
                <m:t>cc,cu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∙φ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cc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∙φ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+ </m:t>
          </m:r>
        </m:oMath>
      </m:oMathPara>
    </w:p>
    <w:p w14:paraId="2F7C501E" w14:textId="7ACE0B2C" w:rsidR="007C4863" w:rsidRPr="00FF5F7D" w:rsidRDefault="007C4863" w:rsidP="007C486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1,1</m:t>
              </m:r>
            </m:sub>
            <m:sup>
              <m:r>
                <w:rPr>
                  <w:rFonts w:ascii="Cambria Math" w:hAnsi="Cambria Math"/>
                </w:rPr>
                <m:t>ct,cs</m:t>
              </m:r>
            </m:sup>
          </m:sSub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∙φ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1,1</m:t>
              </m:r>
            </m:sub>
            <m:sup>
              <m:r>
                <w:rPr>
                  <w:rFonts w:ascii="Cambria Math" w:hAnsi="Cambria Math"/>
                </w:rPr>
                <m:t>ct,cu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∙φ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</w:rPr>
                <m:t>β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1,1</m:t>
              </m:r>
            </m:sub>
            <m:sup>
              <m:r>
                <w:rPr>
                  <w:rFonts w:ascii="Cambria Math" w:hAnsi="Cambria Math"/>
                  <w:color w:val="000000" w:themeColor="text1"/>
                </w:rPr>
                <m:t>cs,cu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∙φ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∙φ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(1)</m:t>
          </m:r>
        </m:oMath>
      </m:oMathPara>
    </w:p>
    <w:p w14:paraId="3CBA6E20" w14:textId="77777777" w:rsidR="007C4863" w:rsidRDefault="007C4863" w:rsidP="007C4863"/>
    <w:p w14:paraId="4F1A6990" w14:textId="3C28ECD6" w:rsidR="007C4863" w:rsidRDefault="002408F9" w:rsidP="0098312E">
      <w:pPr>
        <w:jc w:val="both"/>
      </w:pPr>
      <w:r>
        <w:t xml:space="preserve">with </w:t>
      </w:r>
      <w:r w:rsidRPr="002408F9">
        <w:rPr>
          <w:i/>
          <w:iCs/>
        </w:rPr>
        <w:t>F(x)</w:t>
      </w:r>
      <w:r>
        <w:t xml:space="preserve"> the </w:t>
      </w:r>
      <w:r w:rsidR="005307DC">
        <w:t xml:space="preserve">supply chain </w:t>
      </w:r>
      <w:r>
        <w:t xml:space="preserve">total cost/ethylene production cost, </w:t>
      </w:r>
      <w:proofErr w:type="spellStart"/>
      <w:r w:rsidRPr="002408F9">
        <w:rPr>
          <w:i/>
          <w:iCs/>
        </w:rPr>
        <w:t>fo</w:t>
      </w:r>
      <w:proofErr w:type="spellEnd"/>
      <w:r>
        <w:t xml:space="preserve"> a constant</w:t>
      </w:r>
      <w:r w:rsidR="000B4316">
        <w:t xml:space="preserve"> to be evaluated</w:t>
      </w:r>
      <w:r>
        <w:t xml:space="preserve">, </w:t>
      </w:r>
      <w:proofErr w:type="spellStart"/>
      <w:r w:rsidRPr="000B4316">
        <w:rPr>
          <w:i/>
          <w:iCs/>
        </w:rPr>
        <w:t>x</w:t>
      </w:r>
      <w:r w:rsidRPr="000B4316">
        <w:rPr>
          <w:i/>
          <w:iCs/>
          <w:vertAlign w:val="subscript"/>
        </w:rPr>
        <w:t>cc</w:t>
      </w:r>
      <w:proofErr w:type="spellEnd"/>
      <w:r>
        <w:t xml:space="preserve">, </w:t>
      </w:r>
      <w:proofErr w:type="spellStart"/>
      <w:r w:rsidRPr="000B4316">
        <w:rPr>
          <w:i/>
          <w:iCs/>
        </w:rPr>
        <w:t>x</w:t>
      </w:r>
      <w:r w:rsidRPr="000B4316">
        <w:rPr>
          <w:i/>
          <w:iCs/>
          <w:vertAlign w:val="subscript"/>
        </w:rPr>
        <w:t>ct</w:t>
      </w:r>
      <w:proofErr w:type="spellEnd"/>
      <w:r>
        <w:t xml:space="preserve">, </w:t>
      </w:r>
      <w:proofErr w:type="spellStart"/>
      <w:r w:rsidRPr="000B4316">
        <w:rPr>
          <w:i/>
          <w:iCs/>
        </w:rPr>
        <w:t>x</w:t>
      </w:r>
      <w:r w:rsidRPr="000B4316">
        <w:rPr>
          <w:i/>
          <w:iCs/>
          <w:vertAlign w:val="subscript"/>
        </w:rPr>
        <w:t>cs</w:t>
      </w:r>
      <w:proofErr w:type="spellEnd"/>
      <w:r>
        <w:t xml:space="preserve"> </w:t>
      </w:r>
      <w:proofErr w:type="spellStart"/>
      <w:r w:rsidRPr="000B4316">
        <w:rPr>
          <w:i/>
          <w:iCs/>
        </w:rPr>
        <w:t>x</w:t>
      </w:r>
      <w:r w:rsidRPr="000B4316">
        <w:rPr>
          <w:i/>
          <w:iCs/>
          <w:vertAlign w:val="subscript"/>
        </w:rPr>
        <w:t>cu</w:t>
      </w:r>
      <w:proofErr w:type="spellEnd"/>
      <w:r>
        <w:t xml:space="preserve"> the </w:t>
      </w:r>
      <w:r w:rsidR="000B4316">
        <w:t>uncertain variable</w:t>
      </w:r>
      <w:r w:rsidR="005307DC">
        <w:t>s</w:t>
      </w:r>
      <w:r w:rsidR="000B4316">
        <w:t xml:space="preserve"> respectively </w:t>
      </w:r>
      <w:r w:rsidR="005307DC">
        <w:t>for</w:t>
      </w:r>
      <w:r w:rsidR="000B4316">
        <w:t xml:space="preserve"> CO</w:t>
      </w:r>
      <w:r w:rsidR="000B4316" w:rsidRPr="000B4316">
        <w:rPr>
          <w:vertAlign w:val="subscript"/>
        </w:rPr>
        <w:t>2</w:t>
      </w:r>
      <w:r w:rsidR="000B4316">
        <w:t xml:space="preserve"> capture </w:t>
      </w:r>
      <w:r w:rsidR="005307DC">
        <w:t xml:space="preserve">and compression </w:t>
      </w:r>
      <w:r w:rsidR="000B4316">
        <w:t>cost</w:t>
      </w:r>
      <w:r w:rsidR="0098312E">
        <w:t xml:space="preserve"> (cc)</w:t>
      </w:r>
      <w:r w:rsidR="000B4316">
        <w:t>, CO</w:t>
      </w:r>
      <w:r w:rsidR="000B4316" w:rsidRPr="00612A59">
        <w:rPr>
          <w:vertAlign w:val="subscript"/>
        </w:rPr>
        <w:t>2</w:t>
      </w:r>
      <w:r w:rsidR="000B4316">
        <w:t xml:space="preserve"> transportation cost</w:t>
      </w:r>
      <w:r w:rsidR="0098312E">
        <w:t xml:space="preserve"> (</w:t>
      </w:r>
      <w:proofErr w:type="spellStart"/>
      <w:r w:rsidR="0098312E">
        <w:t>ct</w:t>
      </w:r>
      <w:proofErr w:type="spellEnd"/>
      <w:r w:rsidR="0098312E">
        <w:t>)</w:t>
      </w:r>
      <w:r w:rsidR="000B4316">
        <w:t>, CO</w:t>
      </w:r>
      <w:r w:rsidR="000B4316" w:rsidRPr="00612A59">
        <w:rPr>
          <w:vertAlign w:val="subscript"/>
        </w:rPr>
        <w:t>2</w:t>
      </w:r>
      <w:r w:rsidR="000B4316">
        <w:t xml:space="preserve"> storage cost</w:t>
      </w:r>
      <w:r w:rsidR="0098312E">
        <w:t xml:space="preserve"> (cs)</w:t>
      </w:r>
      <w:r w:rsidR="000B4316">
        <w:t xml:space="preserve"> and CO</w:t>
      </w:r>
      <w:r w:rsidR="000B4316" w:rsidRPr="00612A59">
        <w:rPr>
          <w:vertAlign w:val="subscript"/>
        </w:rPr>
        <w:t>2</w:t>
      </w:r>
      <w:r w:rsidR="000B4316">
        <w:t xml:space="preserve"> </w:t>
      </w:r>
      <w:r w:rsidR="000B4316">
        <w:lastRenderedPageBreak/>
        <w:t>utilization cost</w:t>
      </w:r>
      <w:r w:rsidR="0098312E">
        <w:t xml:space="preserve"> (cu)</w:t>
      </w:r>
      <w:r w:rsidR="000B4316">
        <w:t xml:space="preserve">, </w:t>
      </w:r>
      <w:r w:rsidR="0098312E">
        <w:t>α and β parameters</w:t>
      </w:r>
      <w:r w:rsidR="005307DC">
        <w:t xml:space="preserve"> to be found </w:t>
      </w:r>
      <w:r w:rsidR="0098312E">
        <w:t>and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="0098312E">
        <w:t xml:space="preserve"> the </w:t>
      </w:r>
      <w:r w:rsidR="007C4863" w:rsidRPr="00F631EB">
        <w:t>Legendre orthogonal polynomial</w:t>
      </w:r>
      <w:r w:rsidR="0098312E">
        <w:t>, as in Eq. (2) (Lambert et al., 2016):</w:t>
      </w:r>
    </w:p>
    <w:p w14:paraId="72B2F4DD" w14:textId="77777777" w:rsidR="007C4863" w:rsidRPr="00F631EB" w:rsidRDefault="007C4863" w:rsidP="007C4863"/>
    <w:p w14:paraId="43508AE9" w14:textId="721B5CAB" w:rsidR="007C4863" w:rsidRPr="00FF5F7D" w:rsidRDefault="00000000" w:rsidP="0083414F">
      <w:pPr>
        <w:spacing w:after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3∙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 xml:space="preserve">              (2)</m:t>
          </m:r>
        </m:oMath>
      </m:oMathPara>
    </w:p>
    <w:p w14:paraId="10BF6590" w14:textId="4B4B6C98" w:rsidR="007C4863" w:rsidRDefault="001475CF" w:rsidP="008D2649">
      <w:pPr>
        <w:pStyle w:val="Els-body-text"/>
      </w:pPr>
      <w:r>
        <w:t>w</w:t>
      </w:r>
      <w:r w:rsidR="0098312E">
        <w:t xml:space="preserve">ith </w:t>
      </w:r>
      <w:proofErr w:type="spellStart"/>
      <w:r w:rsidR="0098312E">
        <w:t>i</w:t>
      </w:r>
      <w:proofErr w:type="spellEnd"/>
      <w:r w:rsidR="0098312E">
        <w:t xml:space="preserve"> </w:t>
      </w:r>
      <w:proofErr w:type="gramStart"/>
      <w:r w:rsidR="00A04929">
        <w:t xml:space="preserve">the </w:t>
      </w:r>
      <w:r w:rsidR="0098312E">
        <w:t>each</w:t>
      </w:r>
      <w:proofErr w:type="gramEnd"/>
      <w:r w:rsidR="0098312E">
        <w:t xml:space="preserve"> factor. </w:t>
      </w:r>
      <w:r w:rsidR="008E3299">
        <w:t xml:space="preserve">In order to determine the value of each parameter, Sobol sampling </w:t>
      </w:r>
      <w:r w:rsidR="000C0F6A">
        <w:t>(to generate 40 sampled points (</w:t>
      </w:r>
      <w:proofErr w:type="spellStart"/>
      <w:r w:rsidR="000C0F6A" w:rsidRPr="000C0F6A">
        <w:t>Kleijnen</w:t>
      </w:r>
      <w:proofErr w:type="spellEnd"/>
      <w:r w:rsidR="000C0F6A">
        <w:t xml:space="preserve">, 2017)) </w:t>
      </w:r>
      <w:r w:rsidR="008E3299">
        <w:t xml:space="preserve">is used for each factor </w:t>
      </w:r>
      <w:r w:rsidR="00D53A68">
        <w:t xml:space="preserve">which is varied </w:t>
      </w:r>
      <w:r w:rsidR="008E3299">
        <w:t>between +/- 20 % of the base value</w:t>
      </w:r>
      <w:r w:rsidR="00E97BA4">
        <w:t xml:space="preserve"> according to a triangular probability distribution</w:t>
      </w:r>
      <w:r w:rsidR="008E3299">
        <w:t xml:space="preserve">. For each input, </w:t>
      </w:r>
      <w:r w:rsidR="00A04929">
        <w:t xml:space="preserve">the </w:t>
      </w:r>
      <w:r w:rsidR="008E3299">
        <w:t xml:space="preserve">total cost and ethylene production cost are found through </w:t>
      </w:r>
      <w:r w:rsidR="007C6B25">
        <w:t xml:space="preserve">the supply chain </w:t>
      </w:r>
      <w:r w:rsidR="008E3299">
        <w:t>optimization. The generated inputs and founded outputs are used to find the value</w:t>
      </w:r>
      <w:r w:rsidR="007C6B25">
        <w:t>s</w:t>
      </w:r>
      <w:r w:rsidR="008E3299">
        <w:t xml:space="preserve"> of parameters </w:t>
      </w:r>
      <w:r w:rsidR="007C6B25">
        <w:t>through</w:t>
      </w:r>
      <w:r w:rsidR="008E3299">
        <w:t xml:space="preserve"> the software </w:t>
      </w:r>
      <w:proofErr w:type="spellStart"/>
      <w:r w:rsidR="008E3299">
        <w:t>SobolGSA</w:t>
      </w:r>
      <w:proofErr w:type="spellEnd"/>
      <w:r w:rsidR="008E3299">
        <w:t xml:space="preserve">. </w:t>
      </w:r>
    </w:p>
    <w:p w14:paraId="4135BE89" w14:textId="2FFD958D" w:rsidR="00FE6899" w:rsidRDefault="00FE6899" w:rsidP="00FE6899">
      <w:pPr>
        <w:pStyle w:val="Els-2ndorder-head"/>
      </w:pPr>
      <w:r>
        <w:t>Global sensitivity analysis</w:t>
      </w:r>
    </w:p>
    <w:p w14:paraId="398FB606" w14:textId="59F742F0" w:rsidR="008F26F1" w:rsidRDefault="008F26F1" w:rsidP="00C11ECB">
      <w:pPr>
        <w:pStyle w:val="Els-body-text"/>
        <w:spacing w:after="120"/>
      </w:pPr>
      <w:r>
        <w:t xml:space="preserve">A GSA is carried out to quantify the overall uncertainty in a key performance indicator (KPI) by varying simultaneously all factors inside their </w:t>
      </w:r>
      <w:r w:rsidRPr="008F26F1">
        <w:t>uncertainty range</w:t>
      </w:r>
      <w:r>
        <w:t xml:space="preserve">. In this work, the </w:t>
      </w:r>
      <w:r w:rsidR="00310FD7">
        <w:t xml:space="preserve">supply chain </w:t>
      </w:r>
      <w:r>
        <w:t xml:space="preserve">total cost </w:t>
      </w:r>
      <w:r w:rsidR="00612A59">
        <w:t xml:space="preserve">and </w:t>
      </w:r>
      <w:r w:rsidR="00310FD7">
        <w:t xml:space="preserve">ethylene </w:t>
      </w:r>
      <w:r w:rsidR="00612A59">
        <w:t>production cost are the KPIs, while the CO</w:t>
      </w:r>
      <w:r w:rsidR="00612A59" w:rsidRPr="00612A59">
        <w:rPr>
          <w:vertAlign w:val="subscript"/>
        </w:rPr>
        <w:t>2</w:t>
      </w:r>
      <w:r w:rsidR="00612A59">
        <w:t xml:space="preserve"> capture </w:t>
      </w:r>
      <w:r w:rsidR="00310FD7">
        <w:t xml:space="preserve">and compression </w:t>
      </w:r>
      <w:r w:rsidR="00612A59">
        <w:t>cost, CO</w:t>
      </w:r>
      <w:r w:rsidR="00612A59" w:rsidRPr="00612A59">
        <w:rPr>
          <w:vertAlign w:val="subscript"/>
        </w:rPr>
        <w:t>2</w:t>
      </w:r>
      <w:r w:rsidR="00612A59">
        <w:t xml:space="preserve"> transportation cost, CO</w:t>
      </w:r>
      <w:r w:rsidR="00612A59" w:rsidRPr="00612A59">
        <w:rPr>
          <w:vertAlign w:val="subscript"/>
        </w:rPr>
        <w:t>2</w:t>
      </w:r>
      <w:r w:rsidR="00612A59">
        <w:t xml:space="preserve"> storage cost and CO</w:t>
      </w:r>
      <w:r w:rsidR="00612A59" w:rsidRPr="00612A59">
        <w:rPr>
          <w:vertAlign w:val="subscript"/>
        </w:rPr>
        <w:t>2</w:t>
      </w:r>
      <w:r w:rsidR="00612A59">
        <w:t xml:space="preserve"> utilization cost are the</w:t>
      </w:r>
      <w:r w:rsidR="00A942EC">
        <w:t xml:space="preserve"> considered</w:t>
      </w:r>
      <w:r w:rsidR="00612A59">
        <w:t xml:space="preserve"> factors</w:t>
      </w:r>
      <w:r w:rsidR="00375B4A">
        <w:t>.</w:t>
      </w:r>
      <w:r w:rsidR="00A942EC">
        <w:t xml:space="preserve"> KPIs are evaluated through the developed surrogate models while each factor is taken into account through the respective </w:t>
      </w:r>
      <w:r w:rsidR="00A942EC" w:rsidRPr="00A942EC">
        <w:t>Legendre orthogonal polynomial</w:t>
      </w:r>
      <w:r w:rsidR="00A942EC">
        <w:t xml:space="preserve"> function for which 1</w:t>
      </w:r>
      <w:r w:rsidR="001F66CE">
        <w:t>,</w:t>
      </w:r>
      <w:r w:rsidR="00A942EC">
        <w:t xml:space="preserve">000 Sobol samples are considered for the uncertainty </w:t>
      </w:r>
      <w:r w:rsidR="00612A59">
        <w:t>according to a triangular probability distribution (a range between +/- 20</w:t>
      </w:r>
      <w:r w:rsidR="001F66CE">
        <w:t xml:space="preserve"> </w:t>
      </w:r>
      <w:r w:rsidR="00612A59">
        <w:t>% of the basic value is assumed for each factor)</w:t>
      </w:r>
      <w:r w:rsidR="00A942EC">
        <w:t xml:space="preserve"> (Sobol, 2001)</w:t>
      </w:r>
      <w:r w:rsidR="00612A59">
        <w:t xml:space="preserve">. </w:t>
      </w:r>
      <w:r>
        <w:t>The GSA is</w:t>
      </w:r>
      <w:r w:rsidR="00612A59">
        <w:t xml:space="preserve"> developed by</w:t>
      </w:r>
      <w:r>
        <w:t xml:space="preserve"> using the software </w:t>
      </w:r>
      <w:r w:rsidR="00D53A68">
        <w:t xml:space="preserve">tool </w:t>
      </w:r>
      <w:proofErr w:type="spellStart"/>
      <w:r>
        <w:t>SobolGSA</w:t>
      </w:r>
      <w:proofErr w:type="spellEnd"/>
      <w:r>
        <w:t xml:space="preserve">, </w:t>
      </w:r>
      <w:r w:rsidR="00A942EC">
        <w:t>estimating</w:t>
      </w:r>
      <w:r>
        <w:t xml:space="preserve"> total-order Sobol sensitivity indices</w:t>
      </w:r>
      <w:r w:rsidR="00BE6E7B">
        <w:t>.</w:t>
      </w:r>
    </w:p>
    <w:p w14:paraId="144DE6A1" w14:textId="1B2647F8" w:rsidR="008D2649" w:rsidRDefault="009868BE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 and discussions</w:t>
      </w:r>
    </w:p>
    <w:p w14:paraId="0A174EF0" w14:textId="56341334" w:rsidR="00E97BA4" w:rsidRDefault="006B4261" w:rsidP="00E97BA4">
      <w:pPr>
        <w:pStyle w:val="Els-2ndorder-head"/>
        <w:spacing w:after="120"/>
      </w:pPr>
      <w:r>
        <w:t>Results</w:t>
      </w:r>
      <w:r w:rsidR="00E97BA4">
        <w:t xml:space="preserve"> of supply chain</w:t>
      </w:r>
      <w:r>
        <w:t xml:space="preserve"> optimization</w:t>
      </w:r>
    </w:p>
    <w:p w14:paraId="71443C98" w14:textId="76411DF4" w:rsidR="008858FE" w:rsidRDefault="00A80755" w:rsidP="005C7625">
      <w:pPr>
        <w:pStyle w:val="Els-body-text"/>
        <w:spacing w:after="240"/>
      </w:pPr>
      <w:r>
        <w:t>The optimization</w:t>
      </w:r>
      <w:r w:rsidR="00AD6621" w:rsidRPr="00342536">
        <w:t xml:space="preserve"> </w:t>
      </w:r>
      <w:r w:rsidR="00D53A68">
        <w:t xml:space="preserve">results </w:t>
      </w:r>
      <w:r w:rsidR="00AD6621" w:rsidRPr="00342536">
        <w:t xml:space="preserve">show that, for both </w:t>
      </w:r>
      <w:r>
        <w:t xml:space="preserve">mathematical </w:t>
      </w:r>
      <w:r w:rsidR="00AD6621" w:rsidRPr="00342536">
        <w:t xml:space="preserve">models, the best </w:t>
      </w:r>
      <w:r w:rsidR="00395667">
        <w:t xml:space="preserve">production </w:t>
      </w:r>
      <w:r w:rsidR="00AD6621" w:rsidRPr="00342536">
        <w:t>route is</w:t>
      </w:r>
      <w:r w:rsidR="00395667">
        <w:t xml:space="preserve"> </w:t>
      </w:r>
      <w:r w:rsidR="00AD6621" w:rsidRPr="00342536">
        <w:t>based on the MTO plant with methanol from syngas because this is the only one selected for ethylene production. The supply chain cost is 5.9 $/</w:t>
      </w:r>
      <w:proofErr w:type="spellStart"/>
      <w:r w:rsidR="00AD6621" w:rsidRPr="00342536">
        <w:t>kg</w:t>
      </w:r>
      <w:r w:rsidR="00AD6621" w:rsidRPr="00EE79CC">
        <w:rPr>
          <w:vertAlign w:val="subscript"/>
        </w:rPr>
        <w:t>Ethylene</w:t>
      </w:r>
      <w:proofErr w:type="spellEnd"/>
      <w:r w:rsidR="00AD6621" w:rsidRPr="00342536">
        <w:t xml:space="preserve"> and 5.7 $/</w:t>
      </w:r>
      <w:proofErr w:type="spellStart"/>
      <w:r w:rsidR="00AD6621" w:rsidRPr="00342536">
        <w:t>kg</w:t>
      </w:r>
      <w:r w:rsidR="00AD6621" w:rsidRPr="00EE79CC">
        <w:rPr>
          <w:vertAlign w:val="subscript"/>
        </w:rPr>
        <w:t>Ethylene</w:t>
      </w:r>
      <w:proofErr w:type="spellEnd"/>
      <w:r w:rsidR="00AD6621" w:rsidRPr="00342536">
        <w:t xml:space="preserve"> for the model</w:t>
      </w:r>
      <w:r w:rsidR="00D53A68">
        <w:t>s</w:t>
      </w:r>
      <w:r w:rsidR="00AD6621" w:rsidRPr="00342536">
        <w:t xml:space="preserve"> based on Leonzio et al. (2019) and </w:t>
      </w:r>
      <w:r w:rsidR="00D53A68">
        <w:t>Elahi</w:t>
      </w:r>
      <w:r w:rsidR="00D53A68" w:rsidRPr="00342536">
        <w:t xml:space="preserve"> </w:t>
      </w:r>
      <w:r w:rsidR="00AD6621" w:rsidRPr="00342536">
        <w:t>et al. (2014) respectively.</w:t>
      </w:r>
      <w:r>
        <w:t xml:space="preserve"> A sensitivity analysis is conducted changing the CO</w:t>
      </w:r>
      <w:r w:rsidRPr="00097EAE">
        <w:rPr>
          <w:vertAlign w:val="subscript"/>
        </w:rPr>
        <w:t>2</w:t>
      </w:r>
      <w:r>
        <w:t xml:space="preserve"> reduction rate and evaluating </w:t>
      </w:r>
      <w:r w:rsidR="00097EAE">
        <w:t>costs as in Figure 1: in both models, at a higher amount of captured CO</w:t>
      </w:r>
      <w:r w:rsidR="00097EAE" w:rsidRPr="00097EAE">
        <w:rPr>
          <w:vertAlign w:val="subscript"/>
        </w:rPr>
        <w:t>2</w:t>
      </w:r>
      <w:r w:rsidR="008104FE">
        <w:t>,</w:t>
      </w:r>
      <w:r w:rsidR="00097EAE">
        <w:t xml:space="preserve"> the </w:t>
      </w:r>
      <w:r w:rsidR="0041271E">
        <w:t xml:space="preserve">percentage of </w:t>
      </w:r>
      <w:r w:rsidR="00097EAE">
        <w:t>CO</w:t>
      </w:r>
      <w:r w:rsidR="00097EAE" w:rsidRPr="00097EAE">
        <w:rPr>
          <w:vertAlign w:val="subscript"/>
        </w:rPr>
        <w:t>2</w:t>
      </w:r>
      <w:r w:rsidR="00097EAE">
        <w:t xml:space="preserve"> utilization </w:t>
      </w:r>
      <w:r w:rsidR="0041271E">
        <w:t xml:space="preserve">cost on the total cost </w:t>
      </w:r>
      <w:r w:rsidR="00097EAE">
        <w:t>increas</w:t>
      </w:r>
      <w:r w:rsidR="00BE602E">
        <w:t>es</w:t>
      </w:r>
      <w:r w:rsidR="00097EAE">
        <w:t xml:space="preserve"> because </w:t>
      </w:r>
      <w:r w:rsidR="0041271E">
        <w:t>at a fixed storage capacity more CO</w:t>
      </w:r>
      <w:r w:rsidR="0041271E" w:rsidRPr="00A60C28">
        <w:rPr>
          <w:vertAlign w:val="subscript"/>
        </w:rPr>
        <w:t>2</w:t>
      </w:r>
      <w:r w:rsidR="0041271E">
        <w:t xml:space="preserve"> must be converted to achieve a higher reduction target. </w:t>
      </w:r>
    </w:p>
    <w:p w14:paraId="726C8977" w14:textId="3EB7F86D" w:rsidR="00230E42" w:rsidRDefault="00230E42" w:rsidP="00EE79CC">
      <w:pPr>
        <w:pStyle w:val="Els-body-text"/>
        <w:keepNext/>
        <w:jc w:val="center"/>
      </w:pPr>
      <w:r>
        <w:rPr>
          <w:noProof/>
        </w:rPr>
        <w:drawing>
          <wp:inline distT="0" distB="0" distL="0" distR="0" wp14:anchorId="32C23262" wp14:editId="7E421252">
            <wp:extent cx="4499610" cy="1693545"/>
            <wp:effectExtent l="0" t="0" r="0" b="1905"/>
            <wp:docPr id="3682152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152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99FC3" w14:textId="3B271DBD" w:rsidR="00830687" w:rsidRPr="005C7625" w:rsidRDefault="00EE79CC" w:rsidP="005C7625">
      <w:pPr>
        <w:pStyle w:val="Didascalia"/>
        <w:jc w:val="both"/>
        <w:rPr>
          <w:sz w:val="20"/>
        </w:rPr>
      </w:pPr>
      <w:r w:rsidRPr="00EE79CC">
        <w:rPr>
          <w:sz w:val="20"/>
        </w:rPr>
        <w:t xml:space="preserve">Figure </w:t>
      </w:r>
      <w:r w:rsidRPr="00EE79CC">
        <w:rPr>
          <w:sz w:val="20"/>
        </w:rPr>
        <w:fldChar w:fldCharType="begin"/>
      </w:r>
      <w:r w:rsidRPr="00EE79CC">
        <w:rPr>
          <w:sz w:val="20"/>
        </w:rPr>
        <w:instrText xml:space="preserve"> SEQ Figure \* ARABIC </w:instrText>
      </w:r>
      <w:r w:rsidRPr="00EE79CC">
        <w:rPr>
          <w:sz w:val="20"/>
        </w:rPr>
        <w:fldChar w:fldCharType="separate"/>
      </w:r>
      <w:r w:rsidR="00552ACC">
        <w:rPr>
          <w:noProof/>
          <w:sz w:val="20"/>
        </w:rPr>
        <w:t>1</w:t>
      </w:r>
      <w:r w:rsidRPr="00EE79CC">
        <w:rPr>
          <w:sz w:val="20"/>
        </w:rPr>
        <w:fldChar w:fldCharType="end"/>
      </w:r>
      <w:r w:rsidRPr="00EE79CC">
        <w:rPr>
          <w:sz w:val="20"/>
        </w:rPr>
        <w:t xml:space="preserve"> Cost analysis of </w:t>
      </w:r>
      <w:r>
        <w:rPr>
          <w:sz w:val="20"/>
        </w:rPr>
        <w:t xml:space="preserve">the </w:t>
      </w:r>
      <w:r w:rsidRPr="00EE79CC">
        <w:rPr>
          <w:sz w:val="20"/>
        </w:rPr>
        <w:t>CCUS supply chain in both models at different CO</w:t>
      </w:r>
      <w:r w:rsidRPr="00EE79CC">
        <w:rPr>
          <w:sz w:val="20"/>
          <w:vertAlign w:val="subscript"/>
        </w:rPr>
        <w:t>2</w:t>
      </w:r>
      <w:r w:rsidRPr="00EE79CC">
        <w:rPr>
          <w:sz w:val="20"/>
        </w:rPr>
        <w:t xml:space="preserve"> reduction rate</w:t>
      </w:r>
      <w:r w:rsidR="00395667">
        <w:rPr>
          <w:sz w:val="20"/>
        </w:rPr>
        <w:t>s</w:t>
      </w:r>
    </w:p>
    <w:p w14:paraId="46A23CCA" w14:textId="570DB922" w:rsidR="00CA6BC2" w:rsidRDefault="006B4261" w:rsidP="00A40081">
      <w:pPr>
        <w:pStyle w:val="Els-2ndorder-head"/>
        <w:spacing w:after="120"/>
      </w:pPr>
      <w:r>
        <w:lastRenderedPageBreak/>
        <w:t>Results of s</w:t>
      </w:r>
      <w:r w:rsidR="00A40081">
        <w:t>urrogate model</w:t>
      </w:r>
    </w:p>
    <w:p w14:paraId="69112F91" w14:textId="52408D3D" w:rsidR="0052135A" w:rsidRDefault="0052135A" w:rsidP="007E5B22">
      <w:pPr>
        <w:pStyle w:val="Els-body-text"/>
        <w:spacing w:after="240"/>
      </w:pPr>
      <w:r>
        <w:t xml:space="preserve">Through the software </w:t>
      </w:r>
      <w:proofErr w:type="spellStart"/>
      <w:r>
        <w:t>SobolGSA</w:t>
      </w:r>
      <w:proofErr w:type="spellEnd"/>
      <w:r>
        <w:t xml:space="preserve"> and according to the </w:t>
      </w:r>
      <w:bookmarkStart w:id="0" w:name="_Hlk149830151"/>
      <w:r w:rsidRPr="00C52604">
        <w:t>RS-HDMR</w:t>
      </w:r>
      <w:r>
        <w:t xml:space="preserve"> method</w:t>
      </w:r>
      <w:bookmarkEnd w:id="0"/>
      <w:r>
        <w:t xml:space="preserve">, </w:t>
      </w:r>
      <w:r w:rsidR="001F48C3">
        <w:t xml:space="preserve">the </w:t>
      </w:r>
      <w:r>
        <w:t xml:space="preserve">values of parameters for the surrogate models related to </w:t>
      </w:r>
      <w:r w:rsidR="001F48C3">
        <w:t>supply chain</w:t>
      </w:r>
      <w:r>
        <w:t xml:space="preserve"> total cost and ethylene production cost </w:t>
      </w:r>
      <w:proofErr w:type="gramStart"/>
      <w:r>
        <w:t>are</w:t>
      </w:r>
      <w:proofErr w:type="gramEnd"/>
      <w:r>
        <w:t xml:space="preserve"> figured out as reported in Table 1. Data are shown </w:t>
      </w:r>
      <w:r w:rsidR="001F48C3">
        <w:t xml:space="preserve">here </w:t>
      </w:r>
      <w:r>
        <w:t xml:space="preserve">for both </w:t>
      </w:r>
      <w:r w:rsidR="001F48C3">
        <w:t xml:space="preserve">supply chain </w:t>
      </w:r>
      <w:r>
        <w:t xml:space="preserve">model structures. </w:t>
      </w:r>
    </w:p>
    <w:p w14:paraId="4E273FA7" w14:textId="586DD908" w:rsidR="00685C15" w:rsidRPr="00E22B42" w:rsidRDefault="00685C15" w:rsidP="009B135E">
      <w:pPr>
        <w:pStyle w:val="Didascalia"/>
        <w:keepNext/>
        <w:jc w:val="both"/>
        <w:rPr>
          <w:i/>
          <w:iCs/>
          <w:color w:val="000000" w:themeColor="text1"/>
          <w:sz w:val="20"/>
          <w:lang w:val="en-GB"/>
        </w:rPr>
      </w:pPr>
      <w:r w:rsidRPr="00E22B42">
        <w:rPr>
          <w:color w:val="000000" w:themeColor="text1"/>
          <w:sz w:val="20"/>
          <w:lang w:val="en-GB"/>
        </w:rPr>
        <w:t xml:space="preserve">Table </w:t>
      </w:r>
      <w:r w:rsidRPr="00E22B42">
        <w:rPr>
          <w:i/>
          <w:iCs/>
          <w:color w:val="000000" w:themeColor="text1"/>
          <w:sz w:val="20"/>
        </w:rPr>
        <w:fldChar w:fldCharType="begin"/>
      </w:r>
      <w:r w:rsidRPr="00E22B42">
        <w:rPr>
          <w:color w:val="000000" w:themeColor="text1"/>
          <w:sz w:val="20"/>
          <w:lang w:val="en-GB"/>
        </w:rPr>
        <w:instrText xml:space="preserve"> SEQ Tabella \* ARABIC </w:instrText>
      </w:r>
      <w:r w:rsidRPr="00E22B42">
        <w:rPr>
          <w:i/>
          <w:iCs/>
          <w:color w:val="000000" w:themeColor="text1"/>
          <w:sz w:val="20"/>
        </w:rPr>
        <w:fldChar w:fldCharType="separate"/>
      </w:r>
      <w:r w:rsidRPr="00E22B42">
        <w:rPr>
          <w:noProof/>
          <w:color w:val="000000" w:themeColor="text1"/>
          <w:sz w:val="20"/>
          <w:lang w:val="en-GB"/>
        </w:rPr>
        <w:t>1</w:t>
      </w:r>
      <w:r w:rsidRPr="00E22B42">
        <w:rPr>
          <w:i/>
          <w:iCs/>
          <w:color w:val="000000" w:themeColor="text1"/>
          <w:sz w:val="20"/>
        </w:rPr>
        <w:fldChar w:fldCharType="end"/>
      </w:r>
      <w:r w:rsidRPr="00E22B42">
        <w:rPr>
          <w:color w:val="000000" w:themeColor="text1"/>
          <w:sz w:val="20"/>
          <w:lang w:val="en-GB"/>
        </w:rPr>
        <w:t xml:space="preserve"> Values of parameters for </w:t>
      </w:r>
      <w:r w:rsidR="00C75363">
        <w:rPr>
          <w:color w:val="000000" w:themeColor="text1"/>
          <w:sz w:val="20"/>
          <w:lang w:val="en-GB"/>
        </w:rPr>
        <w:t xml:space="preserve">CCUS </w:t>
      </w:r>
      <w:r w:rsidRPr="00E22B42">
        <w:rPr>
          <w:color w:val="000000" w:themeColor="text1"/>
          <w:sz w:val="20"/>
          <w:lang w:val="en-GB"/>
        </w:rPr>
        <w:t xml:space="preserve">supply chain </w:t>
      </w:r>
      <w:r w:rsidR="003D50EE" w:rsidRPr="00E22B42">
        <w:rPr>
          <w:color w:val="000000" w:themeColor="text1"/>
          <w:sz w:val="20"/>
          <w:lang w:val="en-GB"/>
        </w:rPr>
        <w:t>surrogate model</w:t>
      </w:r>
      <w:r w:rsidR="003D50EE">
        <w:rPr>
          <w:color w:val="000000" w:themeColor="text1"/>
          <w:sz w:val="20"/>
          <w:lang w:val="en-GB"/>
        </w:rPr>
        <w:t>s</w:t>
      </w:r>
    </w:p>
    <w:tbl>
      <w:tblPr>
        <w:tblW w:w="6946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140"/>
        <w:gridCol w:w="1821"/>
        <w:gridCol w:w="1140"/>
        <w:gridCol w:w="1872"/>
      </w:tblGrid>
      <w:tr w:rsidR="003D50EE" w:rsidRPr="00E22B42" w14:paraId="4CAC4008" w14:textId="77777777" w:rsidTr="0049538B">
        <w:trPr>
          <w:trHeight w:val="215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C1D650" w14:textId="7846E56C" w:rsidR="003D50EE" w:rsidRPr="00E22B42" w:rsidRDefault="003D50EE" w:rsidP="00685C15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Parameter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A36F" w14:textId="2FE73EA3" w:rsidR="003D50EE" w:rsidRPr="00E22B42" w:rsidRDefault="003D50EE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No</w:t>
            </w:r>
            <w:r w:rsidR="00391D95">
              <w:rPr>
                <w:color w:val="000000"/>
                <w:lang w:eastAsia="it-IT"/>
              </w:rPr>
              <w:t>n-</w:t>
            </w:r>
            <w:proofErr w:type="gramStart"/>
            <w:r w:rsidRPr="00E22B42">
              <w:rPr>
                <w:color w:val="000000"/>
                <w:lang w:eastAsia="it-IT"/>
              </w:rPr>
              <w:t>node</w:t>
            </w:r>
            <w:r w:rsidR="00391D95">
              <w:rPr>
                <w:color w:val="000000"/>
                <w:lang w:eastAsia="it-IT"/>
              </w:rPr>
              <w:t xml:space="preserve"> </w:t>
            </w:r>
            <w:r w:rsidRPr="00E22B42">
              <w:rPr>
                <w:color w:val="000000"/>
                <w:lang w:eastAsia="it-IT"/>
              </w:rPr>
              <w:t>based</w:t>
            </w:r>
            <w:proofErr w:type="gramEnd"/>
            <w:r w:rsidRPr="00E22B42">
              <w:rPr>
                <w:color w:val="000000"/>
                <w:lang w:eastAsia="it-IT"/>
              </w:rPr>
              <w:t xml:space="preserve"> structure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5DA80" w14:textId="13E74CE3" w:rsidR="003D50EE" w:rsidRPr="00E22B42" w:rsidRDefault="003D50EE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Node</w:t>
            </w:r>
            <w:r w:rsidR="00391D95">
              <w:rPr>
                <w:color w:val="000000"/>
                <w:lang w:eastAsia="it-IT"/>
              </w:rPr>
              <w:t xml:space="preserve"> </w:t>
            </w:r>
            <w:r w:rsidRPr="00E22B42">
              <w:rPr>
                <w:color w:val="000000"/>
                <w:lang w:eastAsia="it-IT"/>
              </w:rPr>
              <w:t>based structure</w:t>
            </w:r>
          </w:p>
        </w:tc>
      </w:tr>
      <w:tr w:rsidR="0084351C" w:rsidRPr="00E22B42" w14:paraId="4567767B" w14:textId="77777777" w:rsidTr="0049538B">
        <w:trPr>
          <w:trHeight w:val="215"/>
          <w:jc w:val="center"/>
        </w:trPr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6374" w14:textId="45C02B38" w:rsidR="003D50EE" w:rsidRPr="00E22B42" w:rsidRDefault="003D50EE" w:rsidP="00685C15">
            <w:pPr>
              <w:jc w:val="center"/>
              <w:rPr>
                <w:lang w:eastAsia="it-IT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3FF6" w14:textId="77777777" w:rsidR="003D50EE" w:rsidRDefault="003D50EE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 xml:space="preserve">Total cost </w:t>
            </w:r>
          </w:p>
          <w:p w14:paraId="26F105E0" w14:textId="11277857" w:rsidR="003D50EE" w:rsidRPr="00E22B42" w:rsidRDefault="003D50EE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(</w:t>
            </w:r>
            <w:r w:rsidR="00B07EB7">
              <w:rPr>
                <w:color w:val="000000"/>
                <w:lang w:eastAsia="it-IT"/>
              </w:rPr>
              <w:t>k</w:t>
            </w:r>
            <w:r w:rsidRPr="00E22B42">
              <w:rPr>
                <w:color w:val="000000"/>
                <w:lang w:eastAsia="it-IT"/>
              </w:rPr>
              <w:t>$/y)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26B7" w14:textId="0C29467A" w:rsidR="003D50EE" w:rsidRPr="00E22B42" w:rsidRDefault="003D50EE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Ethylene production cost ($/</w:t>
            </w:r>
            <w:proofErr w:type="spellStart"/>
            <w:r w:rsidRPr="00E22B42">
              <w:rPr>
                <w:color w:val="000000"/>
                <w:lang w:eastAsia="it-IT"/>
              </w:rPr>
              <w:t>t</w:t>
            </w:r>
            <w:r w:rsidRPr="00A80755">
              <w:rPr>
                <w:color w:val="000000"/>
                <w:vertAlign w:val="subscript"/>
                <w:lang w:eastAsia="it-IT"/>
              </w:rPr>
              <w:t>Ethylene</w:t>
            </w:r>
            <w:proofErr w:type="spellEnd"/>
            <w:r w:rsidRPr="00E22B42">
              <w:rPr>
                <w:color w:val="000000"/>
                <w:lang w:eastAsia="it-IT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46715" w14:textId="77777777" w:rsidR="003D50EE" w:rsidRDefault="003D50EE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 xml:space="preserve">Total cost </w:t>
            </w:r>
          </w:p>
          <w:p w14:paraId="1A88E0C5" w14:textId="59F30665" w:rsidR="003D50EE" w:rsidRPr="00E22B42" w:rsidRDefault="003D50EE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(</w:t>
            </w:r>
            <w:r w:rsidR="00B467DD">
              <w:rPr>
                <w:color w:val="000000"/>
                <w:lang w:eastAsia="it-IT"/>
              </w:rPr>
              <w:t>k</w:t>
            </w:r>
            <w:r w:rsidRPr="00E22B42">
              <w:rPr>
                <w:color w:val="000000"/>
                <w:lang w:eastAsia="it-IT"/>
              </w:rPr>
              <w:t>$/y)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3B871" w14:textId="4DF5EC94" w:rsidR="003D50EE" w:rsidRPr="00E22B42" w:rsidRDefault="003D50EE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Ethylene production cost ($/</w:t>
            </w:r>
            <w:proofErr w:type="spellStart"/>
            <w:r w:rsidRPr="00E22B42">
              <w:rPr>
                <w:color w:val="000000"/>
                <w:lang w:eastAsia="it-IT"/>
              </w:rPr>
              <w:t>t</w:t>
            </w:r>
            <w:r w:rsidRPr="00A80755">
              <w:rPr>
                <w:color w:val="000000"/>
                <w:vertAlign w:val="subscript"/>
                <w:lang w:eastAsia="it-IT"/>
              </w:rPr>
              <w:t>Ethylene</w:t>
            </w:r>
            <w:proofErr w:type="spellEnd"/>
            <w:r w:rsidRPr="00E22B42">
              <w:rPr>
                <w:color w:val="000000"/>
                <w:lang w:eastAsia="it-IT"/>
              </w:rPr>
              <w:t>)</w:t>
            </w:r>
          </w:p>
        </w:tc>
      </w:tr>
      <w:tr w:rsidR="0084351C" w:rsidRPr="00E22B42" w14:paraId="4C3E2717" w14:textId="77777777" w:rsidTr="0049538B">
        <w:trPr>
          <w:trHeight w:val="215"/>
          <w:jc w:val="center"/>
        </w:trPr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25B3" w14:textId="1654D41E" w:rsidR="00685C15" w:rsidRPr="00E22B42" w:rsidRDefault="00C75363" w:rsidP="00685C15">
            <w:pPr>
              <w:rPr>
                <w:color w:val="000000"/>
                <w:lang w:eastAsia="it-IT"/>
              </w:rPr>
            </w:pPr>
            <m:oMathPara>
              <m:oMath>
                <m:r>
                  <w:rPr>
                    <w:rFonts w:ascii="Cambria Math" w:hAnsi="Cambria Math"/>
                  </w:rPr>
                  <m:t>fo</m:t>
                </m:r>
              </m:oMath>
            </m:oMathPara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15C7" w14:textId="4F56AAC5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430</w:t>
            </w:r>
            <w:r w:rsidR="00B467DD">
              <w:rPr>
                <w:color w:val="000000"/>
                <w:lang w:eastAsia="it-IT"/>
              </w:rPr>
              <w:t>,</w:t>
            </w:r>
            <w:r>
              <w:rPr>
                <w:color w:val="000000"/>
                <w:lang w:eastAsia="it-IT"/>
              </w:rPr>
              <w:t>338</w:t>
            </w: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D4A" w14:textId="69CAE854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6</w:t>
            </w:r>
            <w:r w:rsidR="00C75363">
              <w:rPr>
                <w:color w:val="000000"/>
                <w:lang w:eastAsia="it-IT"/>
              </w:rPr>
              <w:t>,</w:t>
            </w:r>
            <w:r w:rsidRPr="00E22B42">
              <w:rPr>
                <w:color w:val="000000"/>
                <w:lang w:eastAsia="it-IT"/>
              </w:rPr>
              <w:t>019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E39FD" w14:textId="129DD66A" w:rsidR="00685C15" w:rsidRPr="00E22B42" w:rsidRDefault="00C75363" w:rsidP="00685C15">
            <w:pPr>
              <w:jc w:val="center"/>
              <w:rPr>
                <w:color w:val="000000"/>
                <w:lang w:eastAsia="it-IT"/>
              </w:rPr>
            </w:pPr>
            <w:r w:rsidRPr="00C75363">
              <w:rPr>
                <w:color w:val="000000"/>
                <w:lang w:eastAsia="it-IT"/>
              </w:rPr>
              <w:t>333</w:t>
            </w:r>
            <w:r>
              <w:rPr>
                <w:color w:val="000000"/>
                <w:lang w:eastAsia="it-IT"/>
              </w:rPr>
              <w:t>,</w:t>
            </w:r>
            <w:r w:rsidRPr="00C75363">
              <w:rPr>
                <w:color w:val="000000"/>
                <w:lang w:eastAsia="it-IT"/>
              </w:rPr>
              <w:t>754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65536B09" w14:textId="6E901264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5</w:t>
            </w:r>
            <w:r w:rsidR="00C75363">
              <w:rPr>
                <w:color w:val="000000"/>
                <w:lang w:eastAsia="it-IT"/>
              </w:rPr>
              <w:t>,</w:t>
            </w:r>
            <w:r w:rsidRPr="00E22B42">
              <w:rPr>
                <w:color w:val="000000"/>
                <w:lang w:eastAsia="it-IT"/>
              </w:rPr>
              <w:t>778</w:t>
            </w:r>
          </w:p>
        </w:tc>
      </w:tr>
      <w:tr w:rsidR="0084351C" w:rsidRPr="00E22B42" w14:paraId="63D7B83A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76E69A3" w14:textId="6EB88DF0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cc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D7423F" w14:textId="4AE21484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</w:t>
            </w:r>
            <w:r w:rsidR="00B467DD">
              <w:rPr>
                <w:color w:val="000000"/>
                <w:lang w:eastAsia="it-IT"/>
              </w:rPr>
              <w:t>,</w:t>
            </w:r>
            <w:r>
              <w:rPr>
                <w:color w:val="000000"/>
                <w:lang w:eastAsia="it-IT"/>
              </w:rPr>
              <w:t>303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EEC" w14:textId="50864904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60.18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09B5EAE1" w14:textId="4DA412F9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4</w:t>
            </w:r>
            <w:r w:rsidR="00C75363">
              <w:rPr>
                <w:color w:val="000000"/>
                <w:lang w:eastAsia="it-IT"/>
              </w:rPr>
              <w:t>,</w:t>
            </w:r>
            <w:r w:rsidRPr="00E22B42">
              <w:rPr>
                <w:color w:val="000000"/>
                <w:lang w:eastAsia="it-IT"/>
              </w:rPr>
              <w:t>928</w:t>
            </w:r>
          </w:p>
        </w:tc>
        <w:tc>
          <w:tcPr>
            <w:tcW w:w="1872" w:type="dxa"/>
            <w:vAlign w:val="center"/>
          </w:tcPr>
          <w:p w14:paraId="230076BB" w14:textId="2AF59905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85.32</w:t>
            </w:r>
          </w:p>
        </w:tc>
      </w:tr>
      <w:tr w:rsidR="0084351C" w:rsidRPr="00E22B42" w14:paraId="01F3E528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C3702B" w14:textId="3D9059B4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ct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B31F6E" w14:textId="5E39FAB2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  <w:r w:rsidR="00B467DD">
              <w:rPr>
                <w:color w:val="000000"/>
                <w:lang w:eastAsia="it-IT"/>
              </w:rPr>
              <w:t>,</w:t>
            </w:r>
            <w:r>
              <w:rPr>
                <w:color w:val="000000"/>
                <w:lang w:eastAsia="it-IT"/>
              </w:rPr>
              <w:t>963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7177" w14:textId="438099FC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55.43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212A60B" w14:textId="165810EC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47</w:t>
            </w:r>
            <w:r w:rsidR="00B467DD">
              <w:rPr>
                <w:color w:val="000000"/>
                <w:lang w:eastAsia="it-IT"/>
              </w:rPr>
              <w:t>9</w:t>
            </w:r>
          </w:p>
        </w:tc>
        <w:tc>
          <w:tcPr>
            <w:tcW w:w="1872" w:type="dxa"/>
            <w:vAlign w:val="center"/>
          </w:tcPr>
          <w:p w14:paraId="1078B63C" w14:textId="58CFAB47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8.29</w:t>
            </w:r>
          </w:p>
        </w:tc>
      </w:tr>
      <w:tr w:rsidR="0084351C" w:rsidRPr="00E22B42" w14:paraId="01F93495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AADC58" w14:textId="1E6F2879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cs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D3C0EA" w14:textId="3A93DC9D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-152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A2B" w14:textId="155451D5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-2.12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7F6D74E9" w14:textId="43189B4C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16</w:t>
            </w:r>
            <w:r w:rsidR="00B467DD">
              <w:rPr>
                <w:color w:val="000000"/>
                <w:lang w:eastAsia="it-IT"/>
              </w:rPr>
              <w:t>1</w:t>
            </w:r>
          </w:p>
        </w:tc>
        <w:tc>
          <w:tcPr>
            <w:tcW w:w="1872" w:type="dxa"/>
            <w:vAlign w:val="center"/>
          </w:tcPr>
          <w:p w14:paraId="252B1CB6" w14:textId="0317F64F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2.78</w:t>
            </w:r>
          </w:p>
        </w:tc>
      </w:tr>
      <w:tr w:rsidR="0084351C" w:rsidRPr="00E22B42" w14:paraId="7EABEB44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62F006" w14:textId="269035D5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cu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9F0359" w14:textId="71536A55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23</w:t>
            </w:r>
            <w:r w:rsidR="00B467DD">
              <w:rPr>
                <w:color w:val="000000"/>
                <w:lang w:eastAsia="it-IT"/>
              </w:rPr>
              <w:t>,</w:t>
            </w:r>
            <w:r>
              <w:rPr>
                <w:color w:val="000000"/>
                <w:lang w:eastAsia="it-IT"/>
              </w:rPr>
              <w:t>049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7720" w14:textId="28B57333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322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AF6E1F6" w14:textId="3608BA4E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18</w:t>
            </w:r>
            <w:r w:rsidR="00C75363">
              <w:rPr>
                <w:color w:val="000000"/>
                <w:lang w:eastAsia="it-IT"/>
              </w:rPr>
              <w:t>,</w:t>
            </w:r>
            <w:r w:rsidRPr="00E22B42">
              <w:rPr>
                <w:color w:val="000000"/>
                <w:lang w:eastAsia="it-IT"/>
              </w:rPr>
              <w:t>6</w:t>
            </w:r>
            <w:r w:rsidR="00B467DD">
              <w:rPr>
                <w:color w:val="000000"/>
                <w:lang w:eastAsia="it-IT"/>
              </w:rPr>
              <w:t>70</w:t>
            </w:r>
          </w:p>
        </w:tc>
        <w:tc>
          <w:tcPr>
            <w:tcW w:w="1872" w:type="dxa"/>
            <w:vAlign w:val="center"/>
          </w:tcPr>
          <w:p w14:paraId="1C478451" w14:textId="7C6F7444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323</w:t>
            </w:r>
          </w:p>
        </w:tc>
      </w:tr>
      <w:tr w:rsidR="0084351C" w:rsidRPr="00E22B42" w14:paraId="5DBE7A44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6D99B9" w14:textId="2C5FC1CE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cc,ct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F182A" w14:textId="6622E295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t>411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C173" w14:textId="13721737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5.75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2D90297A" w14:textId="372F3D70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331</w:t>
            </w:r>
          </w:p>
        </w:tc>
        <w:tc>
          <w:tcPr>
            <w:tcW w:w="1872" w:type="dxa"/>
            <w:vAlign w:val="center"/>
          </w:tcPr>
          <w:p w14:paraId="0E93F8DA" w14:textId="00C39B92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5.73</w:t>
            </w:r>
          </w:p>
        </w:tc>
      </w:tr>
      <w:tr w:rsidR="0084351C" w:rsidRPr="00E22B42" w14:paraId="6264B6A8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F656FF2" w14:textId="69519B5F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cc,cs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8490AD" w14:textId="42FE5DDC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t>276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F6C4" w14:textId="5D969905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3.85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543DA6B4" w14:textId="0D993E41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290</w:t>
            </w:r>
          </w:p>
        </w:tc>
        <w:tc>
          <w:tcPr>
            <w:tcW w:w="1872" w:type="dxa"/>
            <w:vAlign w:val="center"/>
          </w:tcPr>
          <w:p w14:paraId="5C3117A3" w14:textId="3F2899B5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5.02</w:t>
            </w:r>
          </w:p>
        </w:tc>
      </w:tr>
      <w:tr w:rsidR="0084351C" w:rsidRPr="00E22B42" w14:paraId="1BE2A617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CC04131" w14:textId="0BC818C2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cc,cu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91DFCD" w14:textId="7B1B8386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t>618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7DA3" w14:textId="14A7CC09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8.64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2937989A" w14:textId="58B8BBD7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50</w:t>
            </w:r>
            <w:r w:rsidR="00B467DD">
              <w:rPr>
                <w:color w:val="000000"/>
                <w:lang w:eastAsia="it-IT"/>
              </w:rPr>
              <w:t>7</w:t>
            </w:r>
          </w:p>
        </w:tc>
        <w:tc>
          <w:tcPr>
            <w:tcW w:w="1872" w:type="dxa"/>
            <w:vAlign w:val="center"/>
          </w:tcPr>
          <w:p w14:paraId="54E6233C" w14:textId="1A0D27AD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8.77</w:t>
            </w:r>
          </w:p>
        </w:tc>
      </w:tr>
      <w:tr w:rsidR="0084351C" w:rsidRPr="00E22B42" w14:paraId="622BC066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0A8C68" w14:textId="0A97EE88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ct,cs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B959A1" w14:textId="28233FC2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t>1</w:t>
            </w:r>
            <w:r w:rsidR="00B467DD">
              <w:t>,</w:t>
            </w:r>
            <w:r>
              <w:t>255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6C41" w14:textId="11FDA762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17.55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1435A958" w14:textId="3A5BD6A6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8</w:t>
            </w:r>
            <w:r w:rsidR="00B467DD">
              <w:rPr>
                <w:color w:val="000000"/>
                <w:lang w:eastAsia="it-IT"/>
              </w:rPr>
              <w:t>60</w:t>
            </w:r>
          </w:p>
        </w:tc>
        <w:tc>
          <w:tcPr>
            <w:tcW w:w="1872" w:type="dxa"/>
            <w:vAlign w:val="center"/>
          </w:tcPr>
          <w:p w14:paraId="69AE637E" w14:textId="7B1371E0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14.88</w:t>
            </w:r>
          </w:p>
        </w:tc>
      </w:tr>
      <w:tr w:rsidR="0084351C" w:rsidRPr="00E22B42" w14:paraId="21B22626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380EAE9" w14:textId="00AF651E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ct,cu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C0CF07" w14:textId="5BB7F7A0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-243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05F9" w14:textId="2A5A3130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-3.39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789917C4" w14:textId="7D39E4A4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-33</w:t>
            </w:r>
            <w:r w:rsidR="00B467DD">
              <w:rPr>
                <w:color w:val="000000"/>
                <w:lang w:eastAsia="it-IT"/>
              </w:rPr>
              <w:t>7</w:t>
            </w:r>
          </w:p>
        </w:tc>
        <w:tc>
          <w:tcPr>
            <w:tcW w:w="1872" w:type="dxa"/>
            <w:vAlign w:val="center"/>
          </w:tcPr>
          <w:p w14:paraId="2431B324" w14:textId="00211569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-5.83</w:t>
            </w:r>
          </w:p>
        </w:tc>
      </w:tr>
      <w:tr w:rsidR="0084351C" w:rsidRPr="00E22B42" w14:paraId="0BC66A94" w14:textId="77777777" w:rsidTr="0049538B">
        <w:trPr>
          <w:trHeight w:val="215"/>
          <w:jc w:val="center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6E50E0" w14:textId="79739537" w:rsidR="00685C15" w:rsidRPr="00E22B42" w:rsidRDefault="00000000" w:rsidP="00685C15">
            <w:pPr>
              <w:rPr>
                <w:color w:val="000000"/>
                <w:lang w:eastAsia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1,1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cs,cu</m:t>
                    </m:r>
                  </m:sup>
                </m:sSubSup>
              </m:oMath>
            </m:oMathPara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218FC0" w14:textId="4AC961FA" w:rsidR="00685C15" w:rsidRPr="00E22B42" w:rsidRDefault="00B07EB7" w:rsidP="00685C15">
            <w:pPr>
              <w:jc w:val="center"/>
              <w:rPr>
                <w:color w:val="000000"/>
                <w:lang w:eastAsia="it-IT"/>
              </w:rPr>
            </w:pPr>
            <w:r>
              <w:t>-598</w:t>
            </w:r>
          </w:p>
        </w:tc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5B37" w14:textId="625B3FEA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-8.36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1D7C3C1A" w14:textId="6C2D0CD6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-317</w:t>
            </w:r>
          </w:p>
        </w:tc>
        <w:tc>
          <w:tcPr>
            <w:tcW w:w="1872" w:type="dxa"/>
            <w:vAlign w:val="center"/>
          </w:tcPr>
          <w:p w14:paraId="421A734F" w14:textId="6D7CB9AA" w:rsidR="00685C15" w:rsidRPr="00E22B42" w:rsidRDefault="00685C15" w:rsidP="00685C15">
            <w:pPr>
              <w:jc w:val="center"/>
              <w:rPr>
                <w:color w:val="000000"/>
                <w:lang w:eastAsia="it-IT"/>
              </w:rPr>
            </w:pPr>
            <w:r w:rsidRPr="00E22B42">
              <w:rPr>
                <w:color w:val="000000"/>
                <w:lang w:eastAsia="it-IT"/>
              </w:rPr>
              <w:t>-5.49</w:t>
            </w:r>
          </w:p>
        </w:tc>
      </w:tr>
    </w:tbl>
    <w:p w14:paraId="3E599B24" w14:textId="77777777" w:rsidR="0052135A" w:rsidRDefault="0052135A" w:rsidP="00A40081">
      <w:pPr>
        <w:pStyle w:val="Els-body-text"/>
      </w:pPr>
    </w:p>
    <w:p w14:paraId="40D7ACED" w14:textId="34F08328" w:rsidR="00A40081" w:rsidRDefault="006B4261" w:rsidP="00A40081">
      <w:pPr>
        <w:pStyle w:val="Els-2ndorder-head"/>
        <w:spacing w:after="120"/>
      </w:pPr>
      <w:r>
        <w:t>Results of g</w:t>
      </w:r>
      <w:r w:rsidR="00A40081">
        <w:t>lobal sensitivity analysis</w:t>
      </w:r>
    </w:p>
    <w:p w14:paraId="16E726AD" w14:textId="7C0CE35D" w:rsidR="00A40081" w:rsidRPr="007E5B22" w:rsidRDefault="00D5274F" w:rsidP="007E5B22">
      <w:pPr>
        <w:spacing w:after="240"/>
        <w:jc w:val="both"/>
        <w:rPr>
          <w:lang w:val="en-US"/>
        </w:rPr>
      </w:pPr>
      <w:r>
        <w:t xml:space="preserve">Values of </w:t>
      </w:r>
      <w:r w:rsidR="00F070FA">
        <w:t>t</w:t>
      </w:r>
      <w:r w:rsidR="007E32C4">
        <w:t>otal</w:t>
      </w:r>
      <w:r w:rsidR="00F070FA">
        <w:t xml:space="preserve">-order </w:t>
      </w:r>
      <w:r>
        <w:t xml:space="preserve">Sobol sensitivity </w:t>
      </w:r>
      <w:r w:rsidR="00F070FA">
        <w:t>indices</w:t>
      </w:r>
      <w:r>
        <w:t xml:space="preserve"> for each factor are reported in Table 2</w:t>
      </w:r>
      <w:r w:rsidR="00F070FA">
        <w:t>. A</w:t>
      </w:r>
      <w:r w:rsidR="00F070FA">
        <w:rPr>
          <w:lang w:val="en-US"/>
        </w:rPr>
        <w:t xml:space="preserve"> </w:t>
      </w:r>
      <w:r w:rsidR="007E32C4">
        <w:rPr>
          <w:lang w:val="en-US"/>
        </w:rPr>
        <w:t>value higher than 0.05 makes the input significant (Zhang et al., 2015)</w:t>
      </w:r>
      <w:r w:rsidR="00F070FA">
        <w:rPr>
          <w:lang w:val="en-US"/>
        </w:rPr>
        <w:t xml:space="preserve">: </w:t>
      </w:r>
      <w:r w:rsidR="00371165">
        <w:rPr>
          <w:lang w:val="en-US"/>
        </w:rPr>
        <w:t xml:space="preserve">only </w:t>
      </w:r>
      <w:r w:rsidR="007E32C4">
        <w:rPr>
          <w:lang w:val="en-US"/>
        </w:rPr>
        <w:t>the CO</w:t>
      </w:r>
      <w:r w:rsidR="007E32C4" w:rsidRPr="00342536">
        <w:rPr>
          <w:vertAlign w:val="subscript"/>
          <w:lang w:val="en-US"/>
        </w:rPr>
        <w:t>2</w:t>
      </w:r>
      <w:r w:rsidR="007E32C4">
        <w:rPr>
          <w:lang w:val="en-US"/>
        </w:rPr>
        <w:t xml:space="preserve"> utilization cost is significant </w:t>
      </w:r>
      <w:r w:rsidR="00371165">
        <w:rPr>
          <w:lang w:val="en-US"/>
        </w:rPr>
        <w:t>for total</w:t>
      </w:r>
      <w:r w:rsidR="00F070FA">
        <w:rPr>
          <w:lang w:val="en-US"/>
        </w:rPr>
        <w:t xml:space="preserve"> </w:t>
      </w:r>
      <w:r w:rsidR="00371165">
        <w:rPr>
          <w:lang w:val="en-US"/>
        </w:rPr>
        <w:t>and production cost</w:t>
      </w:r>
      <w:r w:rsidR="00F070FA">
        <w:rPr>
          <w:lang w:val="en-US"/>
        </w:rPr>
        <w:t xml:space="preserve"> in both supply chain models</w:t>
      </w:r>
      <w:r w:rsidR="007E32C4">
        <w:rPr>
          <w:lang w:val="en-US"/>
        </w:rPr>
        <w:t>.</w:t>
      </w:r>
    </w:p>
    <w:p w14:paraId="111401DE" w14:textId="4004EECC" w:rsidR="001850F0" w:rsidRPr="001850F0" w:rsidRDefault="001850F0" w:rsidP="0084351C">
      <w:pPr>
        <w:pStyle w:val="Didascalia"/>
        <w:keepNext/>
        <w:jc w:val="both"/>
        <w:rPr>
          <w:i/>
          <w:iCs/>
          <w:color w:val="000000" w:themeColor="text1"/>
          <w:sz w:val="20"/>
          <w:lang w:val="en-GB"/>
        </w:rPr>
      </w:pPr>
      <w:r w:rsidRPr="001850F0">
        <w:rPr>
          <w:color w:val="000000" w:themeColor="text1"/>
          <w:sz w:val="20"/>
          <w:lang w:val="en-GB"/>
        </w:rPr>
        <w:t xml:space="preserve">Table </w:t>
      </w:r>
      <w:r w:rsidR="00B87CC2">
        <w:rPr>
          <w:color w:val="000000" w:themeColor="text1"/>
          <w:sz w:val="20"/>
          <w:lang w:val="en-GB"/>
        </w:rPr>
        <w:t>2</w:t>
      </w:r>
      <w:r w:rsidRPr="001850F0">
        <w:rPr>
          <w:color w:val="000000" w:themeColor="text1"/>
          <w:sz w:val="20"/>
          <w:lang w:val="en-GB"/>
        </w:rPr>
        <w:t xml:space="preserve"> </w:t>
      </w:r>
      <w:r w:rsidR="007E32C4">
        <w:rPr>
          <w:color w:val="000000" w:themeColor="text1"/>
          <w:sz w:val="20"/>
          <w:lang w:val="en-GB"/>
        </w:rPr>
        <w:t>Total</w:t>
      </w:r>
      <w:r w:rsidR="00F070FA">
        <w:rPr>
          <w:color w:val="000000" w:themeColor="text1"/>
          <w:sz w:val="20"/>
          <w:lang w:val="en-GB"/>
        </w:rPr>
        <w:t xml:space="preserve">-order </w:t>
      </w:r>
      <w:r w:rsidRPr="001850F0">
        <w:rPr>
          <w:color w:val="000000" w:themeColor="text1"/>
          <w:sz w:val="20"/>
          <w:lang w:val="en-GB"/>
        </w:rPr>
        <w:t>Sobol sensitivity ind</w:t>
      </w:r>
      <w:r w:rsidR="00F070FA">
        <w:rPr>
          <w:color w:val="000000" w:themeColor="text1"/>
          <w:sz w:val="20"/>
          <w:lang w:val="en-GB"/>
        </w:rPr>
        <w:t>ex</w:t>
      </w:r>
      <w:r w:rsidRPr="001850F0">
        <w:rPr>
          <w:color w:val="000000" w:themeColor="text1"/>
          <w:sz w:val="20"/>
          <w:lang w:val="en-GB"/>
        </w:rPr>
        <w:t xml:space="preserve"> for total cost/ethylene production cost for the supply chain </w:t>
      </w:r>
      <w:r w:rsidR="007E32C4">
        <w:rPr>
          <w:color w:val="000000" w:themeColor="text1"/>
          <w:sz w:val="20"/>
          <w:lang w:val="en-GB"/>
        </w:rPr>
        <w:t xml:space="preserve">and for each factor </w:t>
      </w:r>
      <w:r w:rsidRPr="001850F0">
        <w:rPr>
          <w:color w:val="000000" w:themeColor="text1"/>
          <w:sz w:val="20"/>
          <w:lang w:val="en-GB"/>
        </w:rPr>
        <w:t>(1=</w:t>
      </w:r>
      <w:r w:rsidRPr="001850F0">
        <w:rPr>
          <w:sz w:val="20"/>
        </w:rPr>
        <w:t>CO</w:t>
      </w:r>
      <w:r w:rsidRPr="001850F0">
        <w:rPr>
          <w:sz w:val="20"/>
          <w:vertAlign w:val="subscript"/>
        </w:rPr>
        <w:t>2</w:t>
      </w:r>
      <w:r w:rsidRPr="001850F0">
        <w:rPr>
          <w:sz w:val="20"/>
        </w:rPr>
        <w:t xml:space="preserve"> capture </w:t>
      </w:r>
      <w:r w:rsidR="00F070FA">
        <w:rPr>
          <w:sz w:val="20"/>
        </w:rPr>
        <w:t xml:space="preserve">and compression </w:t>
      </w:r>
      <w:r w:rsidRPr="001850F0">
        <w:rPr>
          <w:sz w:val="20"/>
        </w:rPr>
        <w:t>cost</w:t>
      </w:r>
      <w:r>
        <w:rPr>
          <w:sz w:val="20"/>
        </w:rPr>
        <w:t xml:space="preserve"> factor</w:t>
      </w:r>
      <w:r w:rsidRPr="001850F0">
        <w:rPr>
          <w:sz w:val="20"/>
        </w:rPr>
        <w:t>; 2=CO</w:t>
      </w:r>
      <w:r w:rsidRPr="001850F0">
        <w:rPr>
          <w:sz w:val="20"/>
          <w:vertAlign w:val="subscript"/>
        </w:rPr>
        <w:t>2</w:t>
      </w:r>
      <w:r w:rsidRPr="001850F0">
        <w:rPr>
          <w:sz w:val="20"/>
        </w:rPr>
        <w:t xml:space="preserve"> transportation cost</w:t>
      </w:r>
      <w:r>
        <w:rPr>
          <w:sz w:val="20"/>
        </w:rPr>
        <w:t xml:space="preserve"> factor</w:t>
      </w:r>
      <w:r w:rsidRPr="001850F0">
        <w:rPr>
          <w:sz w:val="20"/>
        </w:rPr>
        <w:t>; 3=CO</w:t>
      </w:r>
      <w:r w:rsidRPr="001850F0">
        <w:rPr>
          <w:sz w:val="20"/>
          <w:vertAlign w:val="subscript"/>
        </w:rPr>
        <w:t>2</w:t>
      </w:r>
      <w:r w:rsidRPr="001850F0">
        <w:rPr>
          <w:sz w:val="20"/>
        </w:rPr>
        <w:t xml:space="preserve"> storage cost</w:t>
      </w:r>
      <w:r>
        <w:rPr>
          <w:sz w:val="20"/>
        </w:rPr>
        <w:t xml:space="preserve"> factor</w:t>
      </w:r>
      <w:r w:rsidRPr="001850F0">
        <w:rPr>
          <w:sz w:val="20"/>
        </w:rPr>
        <w:t>; 4=CO</w:t>
      </w:r>
      <w:r w:rsidRPr="001850F0">
        <w:rPr>
          <w:sz w:val="20"/>
          <w:vertAlign w:val="subscript"/>
        </w:rPr>
        <w:t>2</w:t>
      </w:r>
      <w:r w:rsidRPr="001850F0">
        <w:rPr>
          <w:sz w:val="20"/>
        </w:rPr>
        <w:t xml:space="preserve"> utilization cost</w:t>
      </w:r>
      <w:r>
        <w:rPr>
          <w:sz w:val="20"/>
        </w:rPr>
        <w:t xml:space="preserve"> factor</w:t>
      </w:r>
      <w:r w:rsidRPr="001850F0">
        <w:rPr>
          <w:sz w:val="20"/>
        </w:rPr>
        <w:t>)</w:t>
      </w:r>
    </w:p>
    <w:tbl>
      <w:tblPr>
        <w:tblW w:w="6191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252"/>
        <w:gridCol w:w="2111"/>
      </w:tblGrid>
      <w:tr w:rsidR="001850F0" w:rsidRPr="001850F0" w14:paraId="5CB74C23" w14:textId="77777777" w:rsidTr="0084351C">
        <w:trPr>
          <w:trHeight w:val="254"/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85D97" w14:textId="77777777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Sensitivity index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B4FAF" w14:textId="14CBD480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No</w:t>
            </w:r>
            <w:r w:rsidR="00391D95">
              <w:rPr>
                <w:color w:val="000000"/>
                <w:lang w:eastAsia="it-IT"/>
              </w:rPr>
              <w:t>n-</w:t>
            </w:r>
            <w:proofErr w:type="gramStart"/>
            <w:r w:rsidRPr="001850F0">
              <w:rPr>
                <w:color w:val="000000"/>
                <w:lang w:eastAsia="it-IT"/>
              </w:rPr>
              <w:t>node</w:t>
            </w:r>
            <w:r w:rsidR="00391D95">
              <w:rPr>
                <w:color w:val="000000"/>
                <w:lang w:eastAsia="it-IT"/>
              </w:rPr>
              <w:t xml:space="preserve"> </w:t>
            </w:r>
            <w:r w:rsidRPr="001850F0">
              <w:rPr>
                <w:color w:val="000000"/>
                <w:lang w:eastAsia="it-IT"/>
              </w:rPr>
              <w:t>based</w:t>
            </w:r>
            <w:proofErr w:type="gramEnd"/>
            <w:r w:rsidRPr="001850F0">
              <w:rPr>
                <w:color w:val="000000"/>
                <w:lang w:eastAsia="it-IT"/>
              </w:rPr>
              <w:t xml:space="preserve"> structure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CC0A5" w14:textId="301312F4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Node</w:t>
            </w:r>
            <w:r w:rsidR="00391D95">
              <w:rPr>
                <w:color w:val="000000"/>
                <w:lang w:eastAsia="it-IT"/>
              </w:rPr>
              <w:t xml:space="preserve"> </w:t>
            </w:r>
            <w:r w:rsidRPr="001850F0">
              <w:rPr>
                <w:color w:val="000000"/>
                <w:lang w:eastAsia="it-IT"/>
              </w:rPr>
              <w:t>based structure</w:t>
            </w:r>
          </w:p>
        </w:tc>
      </w:tr>
      <w:tr w:rsidR="001850F0" w:rsidRPr="001850F0" w14:paraId="0DA23D4A" w14:textId="77777777" w:rsidTr="0084351C">
        <w:trPr>
          <w:trHeight w:val="254"/>
          <w:jc w:val="center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BE84" w14:textId="2A79532C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proofErr w:type="gramStart"/>
            <w:r w:rsidRPr="001850F0">
              <w:rPr>
                <w:color w:val="000000"/>
                <w:lang w:eastAsia="it-IT"/>
              </w:rPr>
              <w:t>S</w:t>
            </w:r>
            <w:r w:rsidR="007E32C4">
              <w:rPr>
                <w:color w:val="000000"/>
                <w:lang w:eastAsia="it-IT"/>
              </w:rPr>
              <w:t>tot</w:t>
            </w:r>
            <w:r>
              <w:rPr>
                <w:color w:val="000000"/>
                <w:lang w:eastAsia="it-IT"/>
              </w:rPr>
              <w:t>[</w:t>
            </w:r>
            <w:proofErr w:type="gramEnd"/>
            <w:r w:rsidRPr="001850F0">
              <w:rPr>
                <w:color w:val="000000"/>
                <w:lang w:eastAsia="it-IT"/>
              </w:rPr>
              <w:t>1</w:t>
            </w:r>
            <w:r>
              <w:rPr>
                <w:color w:val="000000"/>
                <w:lang w:eastAsia="it-IT"/>
              </w:rPr>
              <w:t>]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CC0E" w14:textId="77777777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0.0075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7CA629E5" w14:textId="257065B7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0.024</w:t>
            </w:r>
            <w:r w:rsidR="0000771C">
              <w:rPr>
                <w:color w:val="000000"/>
                <w:lang w:eastAsia="it-IT"/>
              </w:rPr>
              <w:t>0</w:t>
            </w:r>
          </w:p>
        </w:tc>
      </w:tr>
      <w:tr w:rsidR="001850F0" w:rsidRPr="001850F0" w14:paraId="61DF1061" w14:textId="77777777" w:rsidTr="0084351C">
        <w:trPr>
          <w:trHeight w:val="254"/>
          <w:jc w:val="center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416068B" w14:textId="06738E1A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proofErr w:type="gramStart"/>
            <w:r w:rsidRPr="001850F0">
              <w:rPr>
                <w:color w:val="000000"/>
                <w:lang w:eastAsia="it-IT"/>
              </w:rPr>
              <w:t>S</w:t>
            </w:r>
            <w:r w:rsidR="007E32C4">
              <w:rPr>
                <w:color w:val="000000"/>
                <w:lang w:eastAsia="it-IT"/>
              </w:rPr>
              <w:t>tot</w:t>
            </w:r>
            <w:r>
              <w:rPr>
                <w:color w:val="000000"/>
                <w:lang w:eastAsia="it-IT"/>
              </w:rPr>
              <w:t>[</w:t>
            </w:r>
            <w:proofErr w:type="gramEnd"/>
            <w:r w:rsidRPr="001850F0">
              <w:rPr>
                <w:color w:val="000000"/>
                <w:lang w:eastAsia="it-IT"/>
              </w:rPr>
              <w:t>2</w:t>
            </w:r>
            <w:r>
              <w:rPr>
                <w:color w:val="000000"/>
                <w:lang w:eastAsia="it-IT"/>
              </w:rPr>
              <w:t>]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14:paraId="7C05C0FC" w14:textId="77777777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0.0043</w:t>
            </w:r>
          </w:p>
        </w:tc>
        <w:tc>
          <w:tcPr>
            <w:tcW w:w="2111" w:type="dxa"/>
            <w:vAlign w:val="center"/>
          </w:tcPr>
          <w:p w14:paraId="03C9701F" w14:textId="77777777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0.0029</w:t>
            </w:r>
          </w:p>
        </w:tc>
      </w:tr>
      <w:tr w:rsidR="001850F0" w:rsidRPr="001850F0" w14:paraId="16244BCA" w14:textId="77777777" w:rsidTr="0084351C">
        <w:trPr>
          <w:trHeight w:val="254"/>
          <w:jc w:val="center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5843F24" w14:textId="5E006C54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proofErr w:type="gramStart"/>
            <w:r w:rsidRPr="001850F0">
              <w:rPr>
                <w:color w:val="000000"/>
                <w:lang w:eastAsia="it-IT"/>
              </w:rPr>
              <w:t>S</w:t>
            </w:r>
            <w:r w:rsidR="007E32C4">
              <w:rPr>
                <w:color w:val="000000"/>
                <w:lang w:eastAsia="it-IT"/>
              </w:rPr>
              <w:t>tot</w:t>
            </w:r>
            <w:r>
              <w:rPr>
                <w:color w:val="000000"/>
                <w:lang w:eastAsia="it-IT"/>
              </w:rPr>
              <w:t>[</w:t>
            </w:r>
            <w:proofErr w:type="gramEnd"/>
            <w:r w:rsidRPr="001850F0">
              <w:rPr>
                <w:color w:val="000000"/>
                <w:lang w:eastAsia="it-IT"/>
              </w:rPr>
              <w:t>3</w:t>
            </w:r>
            <w:r>
              <w:rPr>
                <w:color w:val="000000"/>
                <w:lang w:eastAsia="it-IT"/>
              </w:rPr>
              <w:t>]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14:paraId="7D77231D" w14:textId="77777777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0.0059</w:t>
            </w:r>
          </w:p>
        </w:tc>
        <w:tc>
          <w:tcPr>
            <w:tcW w:w="2111" w:type="dxa"/>
            <w:vAlign w:val="center"/>
          </w:tcPr>
          <w:p w14:paraId="5E8B03F9" w14:textId="77777777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0.0047</w:t>
            </w:r>
          </w:p>
        </w:tc>
      </w:tr>
      <w:tr w:rsidR="001850F0" w:rsidRPr="001850F0" w14:paraId="59A8F967" w14:textId="77777777" w:rsidTr="0084351C">
        <w:trPr>
          <w:trHeight w:val="254"/>
          <w:jc w:val="center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097C402E" w14:textId="7F7CD861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proofErr w:type="gramStart"/>
            <w:r w:rsidRPr="001850F0">
              <w:rPr>
                <w:color w:val="000000"/>
                <w:lang w:eastAsia="it-IT"/>
              </w:rPr>
              <w:t>S</w:t>
            </w:r>
            <w:r w:rsidR="007E32C4">
              <w:rPr>
                <w:color w:val="000000"/>
                <w:lang w:eastAsia="it-IT"/>
              </w:rPr>
              <w:t>tot</w:t>
            </w:r>
            <w:r>
              <w:rPr>
                <w:color w:val="000000"/>
                <w:lang w:eastAsia="it-IT"/>
              </w:rPr>
              <w:t>[</w:t>
            </w:r>
            <w:proofErr w:type="gramEnd"/>
            <w:r w:rsidRPr="001850F0">
              <w:rPr>
                <w:color w:val="000000"/>
                <w:lang w:eastAsia="it-IT"/>
              </w:rPr>
              <w:t>4</w:t>
            </w:r>
            <w:r>
              <w:rPr>
                <w:color w:val="000000"/>
                <w:lang w:eastAsia="it-IT"/>
              </w:rPr>
              <w:t>]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14:paraId="7EB6D63C" w14:textId="77777777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0.9827</w:t>
            </w:r>
          </w:p>
        </w:tc>
        <w:tc>
          <w:tcPr>
            <w:tcW w:w="2111" w:type="dxa"/>
            <w:vAlign w:val="center"/>
          </w:tcPr>
          <w:p w14:paraId="4745BE79" w14:textId="77777777" w:rsidR="001850F0" w:rsidRPr="001850F0" w:rsidRDefault="001850F0" w:rsidP="001850F0">
            <w:pPr>
              <w:jc w:val="center"/>
              <w:rPr>
                <w:color w:val="000000"/>
                <w:lang w:eastAsia="it-IT"/>
              </w:rPr>
            </w:pPr>
            <w:r w:rsidRPr="001850F0">
              <w:rPr>
                <w:color w:val="000000"/>
                <w:lang w:eastAsia="it-IT"/>
              </w:rPr>
              <w:t>0.9688</w:t>
            </w:r>
          </w:p>
        </w:tc>
      </w:tr>
    </w:tbl>
    <w:p w14:paraId="03DDF456" w14:textId="77777777" w:rsidR="0083414F" w:rsidRDefault="0083414F" w:rsidP="0083414F">
      <w:pPr>
        <w:spacing w:after="60"/>
        <w:jc w:val="both"/>
        <w:rPr>
          <w:lang w:val="en-US"/>
        </w:rPr>
      </w:pPr>
    </w:p>
    <w:p w14:paraId="03BBC202" w14:textId="084268DE" w:rsidR="0000771C" w:rsidRDefault="00371165" w:rsidP="0000771C">
      <w:pPr>
        <w:jc w:val="both"/>
      </w:pPr>
      <w:r>
        <w:rPr>
          <w:lang w:val="en-US"/>
        </w:rPr>
        <w:t>According to this result, a sensitivity analysis is conducted keeping constant other cost factors and changing only the significant CO</w:t>
      </w:r>
      <w:r w:rsidRPr="00371165">
        <w:rPr>
          <w:vertAlign w:val="subscript"/>
          <w:lang w:val="en-US"/>
        </w:rPr>
        <w:t>2</w:t>
      </w:r>
      <w:r>
        <w:rPr>
          <w:lang w:val="en-US"/>
        </w:rPr>
        <w:t xml:space="preserve"> utilization cost factor in a range +/- 53 % of the base value</w:t>
      </w:r>
      <w:r w:rsidR="000A40DC">
        <w:rPr>
          <w:lang w:val="en-US"/>
        </w:rPr>
        <w:t xml:space="preserve"> by using the developed surrogate models</w:t>
      </w:r>
      <w:r>
        <w:rPr>
          <w:lang w:val="en-US"/>
        </w:rPr>
        <w:t xml:space="preserve">. The analysis is carried out for both models </w:t>
      </w:r>
      <w:r w:rsidR="000A40DC">
        <w:rPr>
          <w:lang w:val="en-US"/>
        </w:rPr>
        <w:t>to</w:t>
      </w:r>
      <w:r>
        <w:rPr>
          <w:lang w:val="en-US"/>
        </w:rPr>
        <w:t xml:space="preserve"> evaluat</w:t>
      </w:r>
      <w:r w:rsidR="000A40DC">
        <w:rPr>
          <w:lang w:val="en-US"/>
        </w:rPr>
        <w:t xml:space="preserve">e </w:t>
      </w:r>
      <w:r>
        <w:rPr>
          <w:lang w:val="en-US"/>
        </w:rPr>
        <w:t>the specific cost ($/tCO</w:t>
      </w:r>
      <w:r w:rsidRPr="00371165">
        <w:rPr>
          <w:vertAlign w:val="subscript"/>
          <w:lang w:val="en-US"/>
        </w:rPr>
        <w:t>2</w:t>
      </w:r>
      <w:r>
        <w:rPr>
          <w:lang w:val="en-US"/>
        </w:rPr>
        <w:t xml:space="preserve"> avoided) with and without a carbon credit for the used CO</w:t>
      </w:r>
      <w:r w:rsidRPr="00371165">
        <w:rPr>
          <w:vertAlign w:val="subscript"/>
          <w:lang w:val="en-US"/>
        </w:rPr>
        <w:t>2</w:t>
      </w:r>
      <w:r>
        <w:rPr>
          <w:lang w:val="en-US"/>
        </w:rPr>
        <w:t xml:space="preserve">, as reported in Figure 2. </w:t>
      </w:r>
      <w:r w:rsidR="00C73995" w:rsidRPr="00762F65">
        <w:t xml:space="preserve">According to the IPCC report, </w:t>
      </w:r>
      <w:r w:rsidR="00C73995">
        <w:t xml:space="preserve">only </w:t>
      </w:r>
      <w:r w:rsidR="00C73995" w:rsidRPr="00762F65">
        <w:t>technologies with CO</w:t>
      </w:r>
      <w:r w:rsidR="00C73995" w:rsidRPr="00371165">
        <w:rPr>
          <w:vertAlign w:val="subscript"/>
        </w:rPr>
        <w:t>2</w:t>
      </w:r>
      <w:r w:rsidR="00C73995" w:rsidRPr="00762F65">
        <w:t xml:space="preserve"> abatement costs lower than 220 $/tCO</w:t>
      </w:r>
      <w:r w:rsidR="00C73995" w:rsidRPr="00371165">
        <w:rPr>
          <w:vertAlign w:val="subscript"/>
        </w:rPr>
        <w:t>2</w:t>
      </w:r>
      <w:r w:rsidR="00C73995">
        <w:rPr>
          <w:vertAlign w:val="subscript"/>
        </w:rPr>
        <w:t xml:space="preserve"> </w:t>
      </w:r>
      <w:r w:rsidR="00C73995">
        <w:t>avoided</w:t>
      </w:r>
      <w:r w:rsidR="00C73995" w:rsidRPr="00762F65">
        <w:t xml:space="preserve"> could be implemented by 2030</w:t>
      </w:r>
      <w:r w:rsidR="00C73995">
        <w:t xml:space="preserve"> (</w:t>
      </w:r>
      <w:proofErr w:type="spellStart"/>
      <w:r w:rsidR="00C73995">
        <w:t>Ostovari</w:t>
      </w:r>
      <w:proofErr w:type="spellEnd"/>
      <w:r w:rsidR="00C73995">
        <w:t xml:space="preserve"> et al., 2023). </w:t>
      </w:r>
      <w:r w:rsidR="00A2253C">
        <w:t>Results show that at the base case,</w:t>
      </w:r>
      <w:r w:rsidR="001046BC">
        <w:t xml:space="preserve"> without carbon credit,</w:t>
      </w:r>
      <w:r w:rsidR="00A2253C">
        <w:t xml:space="preserve"> only the no</w:t>
      </w:r>
      <w:r w:rsidR="00A04929">
        <w:t>n-</w:t>
      </w:r>
      <w:proofErr w:type="gramStart"/>
      <w:r w:rsidR="00A2253C">
        <w:t>node</w:t>
      </w:r>
      <w:r w:rsidR="00A04929">
        <w:t xml:space="preserve"> </w:t>
      </w:r>
      <w:r w:rsidR="00A2253C">
        <w:t>based</w:t>
      </w:r>
      <w:proofErr w:type="gramEnd"/>
      <w:r w:rsidR="00A2253C">
        <w:t xml:space="preserve"> model causes a supply chain total cost (228 $/tCO</w:t>
      </w:r>
      <w:r w:rsidR="00A2253C" w:rsidRPr="000A40DC">
        <w:rPr>
          <w:vertAlign w:val="subscript"/>
        </w:rPr>
        <w:t>2</w:t>
      </w:r>
      <w:r w:rsidR="00A2253C">
        <w:t xml:space="preserve"> </w:t>
      </w:r>
      <w:r w:rsidR="00A2253C">
        <w:lastRenderedPageBreak/>
        <w:t>avoided) higher than that suggested by IPCC. On the other hand, the supply chain based on node modelling has a cost of 182 $/tCO</w:t>
      </w:r>
      <w:r w:rsidR="00A2253C" w:rsidRPr="000A40DC">
        <w:rPr>
          <w:vertAlign w:val="subscript"/>
        </w:rPr>
        <w:t>2</w:t>
      </w:r>
      <w:r w:rsidR="00A2253C">
        <w:t xml:space="preserve"> avoided. </w:t>
      </w:r>
    </w:p>
    <w:p w14:paraId="0DDCAB22" w14:textId="77777777" w:rsidR="00A2253C" w:rsidRPr="0000771C" w:rsidRDefault="00A2253C" w:rsidP="0000771C">
      <w:pPr>
        <w:jc w:val="both"/>
        <w:rPr>
          <w:lang w:val="en-US"/>
        </w:rPr>
      </w:pPr>
    </w:p>
    <w:p w14:paraId="63194E9E" w14:textId="516E6119" w:rsidR="00552ACC" w:rsidRDefault="00D4387C" w:rsidP="00552ACC">
      <w:pPr>
        <w:keepNext/>
        <w:spacing w:line="276" w:lineRule="auto"/>
        <w:jc w:val="both"/>
      </w:pPr>
      <w:r>
        <w:rPr>
          <w:noProof/>
        </w:rPr>
        <w:drawing>
          <wp:inline distT="0" distB="0" distL="0" distR="0" wp14:anchorId="128FD300" wp14:editId="78C2C9BC">
            <wp:extent cx="4499610" cy="1844675"/>
            <wp:effectExtent l="0" t="0" r="0" b="3175"/>
            <wp:docPr id="4127346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3467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DAC07" w14:textId="77777777" w:rsidR="0083414F" w:rsidRDefault="00552ACC" w:rsidP="00552ACC">
      <w:pPr>
        <w:pStyle w:val="Didascalia"/>
        <w:jc w:val="both"/>
        <w:rPr>
          <w:sz w:val="20"/>
        </w:rPr>
      </w:pPr>
      <w:r w:rsidRPr="00371165">
        <w:rPr>
          <w:sz w:val="20"/>
        </w:rPr>
        <w:t xml:space="preserve">Figure </w:t>
      </w:r>
      <w:r w:rsidRPr="00371165">
        <w:rPr>
          <w:sz w:val="20"/>
        </w:rPr>
        <w:fldChar w:fldCharType="begin"/>
      </w:r>
      <w:r w:rsidRPr="00371165">
        <w:rPr>
          <w:sz w:val="20"/>
        </w:rPr>
        <w:instrText xml:space="preserve"> SEQ Figure \* ARABIC </w:instrText>
      </w:r>
      <w:r w:rsidRPr="00371165">
        <w:rPr>
          <w:sz w:val="20"/>
        </w:rPr>
        <w:fldChar w:fldCharType="separate"/>
      </w:r>
      <w:r w:rsidRPr="00371165">
        <w:rPr>
          <w:noProof/>
          <w:sz w:val="20"/>
        </w:rPr>
        <w:t>2</w:t>
      </w:r>
      <w:r w:rsidRPr="00371165">
        <w:rPr>
          <w:sz w:val="20"/>
        </w:rPr>
        <w:fldChar w:fldCharType="end"/>
      </w:r>
      <w:r w:rsidRPr="00371165">
        <w:rPr>
          <w:sz w:val="20"/>
        </w:rPr>
        <w:t xml:space="preserve"> Total cost of CCUS supply chain changing the CO</w:t>
      </w:r>
      <w:r w:rsidRPr="00371165">
        <w:rPr>
          <w:sz w:val="20"/>
          <w:vertAlign w:val="subscript"/>
        </w:rPr>
        <w:t>2</w:t>
      </w:r>
      <w:r w:rsidRPr="00371165">
        <w:rPr>
          <w:sz w:val="20"/>
        </w:rPr>
        <w:t xml:space="preserve"> utilization cost </w:t>
      </w:r>
      <w:r w:rsidR="00371165" w:rsidRPr="00371165">
        <w:rPr>
          <w:sz w:val="20"/>
        </w:rPr>
        <w:t xml:space="preserve">factor </w:t>
      </w:r>
      <w:r w:rsidRPr="00371165">
        <w:rPr>
          <w:sz w:val="20"/>
        </w:rPr>
        <w:t>compared to the base case in both models</w:t>
      </w:r>
      <w:r w:rsidR="00A80755" w:rsidRPr="00371165">
        <w:rPr>
          <w:sz w:val="20"/>
        </w:rPr>
        <w:t xml:space="preserve"> and the IPCC limit</w:t>
      </w:r>
    </w:p>
    <w:p w14:paraId="5A2ABB58" w14:textId="6D6FA22E" w:rsidR="00552ACC" w:rsidRPr="00371165" w:rsidRDefault="00A80755" w:rsidP="0083414F">
      <w:pPr>
        <w:pStyle w:val="Didascalia"/>
        <w:spacing w:after="0"/>
        <w:jc w:val="both"/>
        <w:rPr>
          <w:sz w:val="20"/>
        </w:rPr>
      </w:pPr>
      <w:r w:rsidRPr="00371165">
        <w:rPr>
          <w:sz w:val="20"/>
        </w:rPr>
        <w:t xml:space="preserve"> </w:t>
      </w:r>
    </w:p>
    <w:p w14:paraId="3843D298" w14:textId="1849CD0C" w:rsidR="00C43B68" w:rsidRDefault="00C43B68" w:rsidP="000A40DC">
      <w:pPr>
        <w:jc w:val="both"/>
      </w:pPr>
      <w:r>
        <w:t>In the first case, a reduction of CO</w:t>
      </w:r>
      <w:r w:rsidRPr="000A40DC">
        <w:rPr>
          <w:vertAlign w:val="subscript"/>
        </w:rPr>
        <w:t>2</w:t>
      </w:r>
      <w:r>
        <w:t xml:space="preserve"> utilization cost of about 20</w:t>
      </w:r>
      <w:r w:rsidR="000A40DC">
        <w:t xml:space="preserve"> </w:t>
      </w:r>
      <w:r>
        <w:t>% allows a total cost below the suggested limit. When a credit (45 $/tCO</w:t>
      </w:r>
      <w:r w:rsidRPr="000A40DC">
        <w:rPr>
          <w:vertAlign w:val="subscript"/>
        </w:rPr>
        <w:t>2</w:t>
      </w:r>
      <w:r w:rsidR="000A40DC">
        <w:rPr>
          <w:vertAlign w:val="subscript"/>
        </w:rPr>
        <w:t xml:space="preserve"> </w:t>
      </w:r>
      <w:r w:rsidR="000A40DC">
        <w:t>(</w:t>
      </w:r>
      <w:r w:rsidR="00B672B4">
        <w:t>Carbon Credit, 2023</w:t>
      </w:r>
      <w:r w:rsidR="000A40DC">
        <w:t>)</w:t>
      </w:r>
      <w:r>
        <w:t>) for only CO</w:t>
      </w:r>
      <w:r w:rsidRPr="000A40DC">
        <w:rPr>
          <w:vertAlign w:val="subscript"/>
        </w:rPr>
        <w:t>2</w:t>
      </w:r>
      <w:r>
        <w:t xml:space="preserve"> utilization is provided, both mathematical models </w:t>
      </w:r>
      <w:r w:rsidR="001814D5">
        <w:t xml:space="preserve">at the base case </w:t>
      </w:r>
      <w:r>
        <w:t xml:space="preserve">ensure a total cost lower than that of the </w:t>
      </w:r>
      <w:r w:rsidR="001046BC">
        <w:t>IP</w:t>
      </w:r>
      <w:r w:rsidR="00302AD8">
        <w:t>C</w:t>
      </w:r>
      <w:r w:rsidR="001046BC">
        <w:t xml:space="preserve">C </w:t>
      </w:r>
      <w:r>
        <w:t xml:space="preserve">limit. In addition to </w:t>
      </w:r>
      <w:r w:rsidR="007E5B22">
        <w:t xml:space="preserve">the </w:t>
      </w:r>
      <w:r>
        <w:t>economic incentives, it is important to reduce the ethylene production cost</w:t>
      </w:r>
      <w:r w:rsidR="007E5B22">
        <w:t xml:space="preserve"> so that,</w:t>
      </w:r>
      <w:r w:rsidR="001814D5">
        <w:t xml:space="preserve"> s</w:t>
      </w:r>
      <w:r>
        <w:t xml:space="preserve">ome suggestions are provided. It is </w:t>
      </w:r>
      <w:r w:rsidR="007E5B22">
        <w:t>needed</w:t>
      </w:r>
      <w:r>
        <w:t xml:space="preserve"> to decrease the methanol production cost through the reduction of syngas </w:t>
      </w:r>
      <w:r w:rsidR="001814D5">
        <w:t xml:space="preserve">production </w:t>
      </w:r>
      <w:r>
        <w:t xml:space="preserve">cost </w:t>
      </w:r>
      <w:r w:rsidR="001814D5">
        <w:t>obtained</w:t>
      </w:r>
      <w:r>
        <w:t xml:space="preserve"> by the SOEC.</w:t>
      </w:r>
      <w:r w:rsidR="000A40DC">
        <w:t xml:space="preserve"> </w:t>
      </w:r>
      <w:r>
        <w:t xml:space="preserve">The highest influence of operating cost on methanol production through this route is reported by Adnan and </w:t>
      </w:r>
      <w:proofErr w:type="spellStart"/>
      <w:r>
        <w:t>Kribia</w:t>
      </w:r>
      <w:proofErr w:type="spellEnd"/>
      <w:r>
        <w:t xml:space="preserve"> (2020), while the high cost of syngas production through a SOEC is suggested by </w:t>
      </w:r>
      <w:proofErr w:type="spellStart"/>
      <w:r>
        <w:t>Redissi</w:t>
      </w:r>
      <w:proofErr w:type="spellEnd"/>
      <w:r>
        <w:t xml:space="preserve"> and </w:t>
      </w:r>
      <w:proofErr w:type="spellStart"/>
      <w:r w:rsidRPr="00073D91">
        <w:t>Bouallou</w:t>
      </w:r>
      <w:proofErr w:type="spellEnd"/>
      <w:r>
        <w:t xml:space="preserve"> (2013). In </w:t>
      </w:r>
      <w:r w:rsidR="001814D5">
        <w:t xml:space="preserve">a </w:t>
      </w:r>
      <w:r>
        <w:t>SOEC, operating costs have a great influence on total cost</w:t>
      </w:r>
      <w:r w:rsidR="008524C7">
        <w:t xml:space="preserve"> and</w:t>
      </w:r>
      <w:r>
        <w:t xml:space="preserve"> the highest impact is due to the electricity cost </w:t>
      </w:r>
      <w:r w:rsidR="008524C7">
        <w:t>(</w:t>
      </w:r>
      <w:r w:rsidRPr="00073D91">
        <w:t>Freire Ordonez</w:t>
      </w:r>
      <w:r>
        <w:t xml:space="preserve"> et al.</w:t>
      </w:r>
      <w:r w:rsidR="008524C7">
        <w:t xml:space="preserve">, </w:t>
      </w:r>
      <w:r>
        <w:t>2021). For these reasons, further studies on SOEC</w:t>
      </w:r>
      <w:r w:rsidR="001B31DC">
        <w:t>s</w:t>
      </w:r>
      <w:r>
        <w:t xml:space="preserve"> should be conducted in order to improve Faradaic efficiency and current density and minimize </w:t>
      </w:r>
      <w:r w:rsidRPr="00363D29">
        <w:t>the current leakage</w:t>
      </w:r>
      <w:r>
        <w:t xml:space="preserve"> so that a lower power for syngas production will be needed.</w:t>
      </w:r>
      <w:r w:rsidR="00C73995">
        <w:t xml:space="preserve"> </w:t>
      </w:r>
      <w:r w:rsidRPr="00F85EC5">
        <w:t>Low-cost and large-scale commercialization of SOECs requires a consistent current density higher than 5 A</w:t>
      </w:r>
      <w:r>
        <w:t>/</w:t>
      </w:r>
      <w:r w:rsidRPr="00F85EC5">
        <w:t>cm, which is however hard to achieve, even for a high temperature electrolysis system</w:t>
      </w:r>
      <w:r>
        <w:t xml:space="preserve"> (Cao et al., 2022)</w:t>
      </w:r>
      <w:r w:rsidRPr="00F85EC5">
        <w:t>.</w:t>
      </w:r>
      <w:r>
        <w:t xml:space="preserve"> At this value of current density, a Faradaic efficiency of about 100% should be </w:t>
      </w:r>
      <w:r w:rsidR="001046BC">
        <w:t>ensured</w:t>
      </w:r>
      <w:r>
        <w:t xml:space="preserve"> so that the development of new catalysts </w:t>
      </w:r>
      <w:r w:rsidR="001B31DC">
        <w:t xml:space="preserve">and electrodes </w:t>
      </w:r>
      <w:r w:rsidR="00A04929">
        <w:t xml:space="preserve">that are </w:t>
      </w:r>
      <w:r>
        <w:t xml:space="preserve">able to ensure this value is suggested. In addition to the above </w:t>
      </w:r>
      <w:r w:rsidR="008524C7">
        <w:t>advice</w:t>
      </w:r>
      <w:r>
        <w:t xml:space="preserve">, lowering </w:t>
      </w:r>
      <w:r w:rsidR="00A04929">
        <w:t xml:space="preserve">the </w:t>
      </w:r>
      <w:r>
        <w:t xml:space="preserve">temperature </w:t>
      </w:r>
      <w:r w:rsidR="00A04929">
        <w:t>to</w:t>
      </w:r>
      <w:r>
        <w:t xml:space="preserve"> a range of 500-700 °C could help </w:t>
      </w:r>
      <w:r w:rsidR="00A04929">
        <w:t>in the</w:t>
      </w:r>
      <w:r>
        <w:t xml:space="preserve"> reduction of maintenance costs </w:t>
      </w:r>
      <w:r w:rsidR="00A04929">
        <w:t xml:space="preserve">by </w:t>
      </w:r>
      <w:r>
        <w:t xml:space="preserve">mitigating </w:t>
      </w:r>
      <w:r w:rsidRPr="00347D8D">
        <w:t>materials and maintenance issues</w:t>
      </w:r>
      <w:r>
        <w:t>. However,</w:t>
      </w:r>
      <w:r w:rsidRPr="006D0115">
        <w:t xml:space="preserve"> reducing the operating temperature decreases the electrocatalytic activity of electrode materials, </w:t>
      </w:r>
      <w:r w:rsidR="008524C7">
        <w:t>requiring</w:t>
      </w:r>
      <w:r>
        <w:t xml:space="preserve"> the</w:t>
      </w:r>
      <w:r w:rsidRPr="006D0115">
        <w:t xml:space="preserve"> develop</w:t>
      </w:r>
      <w:r w:rsidR="00A04929">
        <w:t>ment</w:t>
      </w:r>
      <w:r w:rsidRPr="006D0115">
        <w:t xml:space="preserve"> </w:t>
      </w:r>
      <w:r>
        <w:t xml:space="preserve">of </w:t>
      </w:r>
      <w:r w:rsidRPr="006D0115">
        <w:t>high</w:t>
      </w:r>
      <w:r w:rsidR="0084351C">
        <w:t>-</w:t>
      </w:r>
      <w:r w:rsidRPr="006D0115">
        <w:t>performance materials</w:t>
      </w:r>
      <w:r>
        <w:t xml:space="preserve">. </w:t>
      </w:r>
    </w:p>
    <w:p w14:paraId="144DE6A5" w14:textId="03ED2431" w:rsidR="008D2649" w:rsidRPr="00A94774" w:rsidRDefault="009868BE" w:rsidP="00BA751B">
      <w:pPr>
        <w:pStyle w:val="Els-1storder-head"/>
        <w:spacing w:after="0" w:line="240" w:lineRule="auto"/>
        <w:rPr>
          <w:lang w:val="en-GB"/>
        </w:rPr>
      </w:pPr>
      <w:r>
        <w:rPr>
          <w:lang w:val="en-GB"/>
        </w:rPr>
        <w:t>Conclusions</w:t>
      </w:r>
    </w:p>
    <w:p w14:paraId="5C1CB1CB" w14:textId="0C14B1A8" w:rsidR="00BA751B" w:rsidRPr="00BA751B" w:rsidRDefault="0004073B" w:rsidP="0084351C">
      <w:pPr>
        <w:pStyle w:val="Els-1storder-head"/>
        <w:numPr>
          <w:ilvl w:val="0"/>
          <w:numId w:val="0"/>
        </w:numPr>
        <w:spacing w:before="120" w:after="120" w:line="240" w:lineRule="auto"/>
        <w:rPr>
          <w:b w:val="0"/>
          <w:bCs/>
          <w:sz w:val="20"/>
          <w:lang w:val="en-GB"/>
        </w:rPr>
      </w:pPr>
      <w:r>
        <w:rPr>
          <w:b w:val="0"/>
          <w:bCs/>
          <w:sz w:val="20"/>
          <w:lang w:val="en-GB"/>
        </w:rPr>
        <w:t>Two different mathematical models (node and no</w:t>
      </w:r>
      <w:r w:rsidR="00A04929">
        <w:rPr>
          <w:b w:val="0"/>
          <w:bCs/>
          <w:sz w:val="20"/>
          <w:lang w:val="en-GB"/>
        </w:rPr>
        <w:t>n-</w:t>
      </w:r>
      <w:r>
        <w:rPr>
          <w:b w:val="0"/>
          <w:bCs/>
          <w:sz w:val="20"/>
          <w:lang w:val="en-GB"/>
        </w:rPr>
        <w:t xml:space="preserve">node based) are considered </w:t>
      </w:r>
      <w:r w:rsidR="008524C7">
        <w:rPr>
          <w:b w:val="0"/>
          <w:bCs/>
          <w:sz w:val="20"/>
          <w:lang w:val="en-GB"/>
        </w:rPr>
        <w:t xml:space="preserve">here </w:t>
      </w:r>
      <w:r>
        <w:rPr>
          <w:b w:val="0"/>
          <w:bCs/>
          <w:sz w:val="20"/>
          <w:lang w:val="en-GB"/>
        </w:rPr>
        <w:t>for a CCUS</w:t>
      </w:r>
      <w:r w:rsidR="008524C7">
        <w:rPr>
          <w:b w:val="0"/>
          <w:bCs/>
          <w:sz w:val="20"/>
          <w:lang w:val="en-GB"/>
        </w:rPr>
        <w:t xml:space="preserve"> supply chain </w:t>
      </w:r>
      <w:r>
        <w:rPr>
          <w:b w:val="0"/>
          <w:bCs/>
          <w:sz w:val="20"/>
          <w:lang w:val="en-GB"/>
        </w:rPr>
        <w:t xml:space="preserve">producing ethylene. Different models are used in order to provide the independence of results from the model formulation. It is found that the best ethylene production </w:t>
      </w:r>
      <w:r w:rsidR="001119D3">
        <w:rPr>
          <w:b w:val="0"/>
          <w:bCs/>
          <w:sz w:val="20"/>
          <w:lang w:val="en-GB"/>
        </w:rPr>
        <w:t xml:space="preserve">route </w:t>
      </w:r>
      <w:r>
        <w:rPr>
          <w:b w:val="0"/>
          <w:bCs/>
          <w:sz w:val="20"/>
          <w:lang w:val="en-GB"/>
        </w:rPr>
        <w:t>is based on the MTO plant</w:t>
      </w:r>
      <w:r w:rsidR="00BA751B">
        <w:rPr>
          <w:b w:val="0"/>
          <w:bCs/>
          <w:sz w:val="20"/>
          <w:lang w:val="en-GB"/>
        </w:rPr>
        <w:t xml:space="preserve">, ensuring a cost of </w:t>
      </w:r>
      <w:r w:rsidR="00BA751B" w:rsidRPr="00BA751B">
        <w:rPr>
          <w:b w:val="0"/>
          <w:bCs/>
          <w:sz w:val="20"/>
          <w:lang w:val="en-GB"/>
        </w:rPr>
        <w:t>5.9 $/</w:t>
      </w:r>
      <w:proofErr w:type="spellStart"/>
      <w:r w:rsidR="00BA751B" w:rsidRPr="00BA751B">
        <w:rPr>
          <w:b w:val="0"/>
          <w:bCs/>
          <w:sz w:val="20"/>
          <w:lang w:val="en-GB"/>
        </w:rPr>
        <w:t>kg</w:t>
      </w:r>
      <w:r w:rsidR="00BA751B" w:rsidRPr="00BA751B">
        <w:rPr>
          <w:b w:val="0"/>
          <w:bCs/>
          <w:sz w:val="20"/>
          <w:vertAlign w:val="subscript"/>
          <w:lang w:val="en-GB"/>
        </w:rPr>
        <w:t>Ethylene</w:t>
      </w:r>
      <w:proofErr w:type="spellEnd"/>
      <w:r w:rsidR="00BA751B" w:rsidRPr="00BA751B">
        <w:rPr>
          <w:b w:val="0"/>
          <w:bCs/>
          <w:sz w:val="20"/>
          <w:lang w:val="en-GB"/>
        </w:rPr>
        <w:t xml:space="preserve"> and 5.7 $/</w:t>
      </w:r>
      <w:proofErr w:type="spellStart"/>
      <w:r w:rsidR="00BA751B" w:rsidRPr="00BA751B">
        <w:rPr>
          <w:b w:val="0"/>
          <w:bCs/>
          <w:sz w:val="20"/>
          <w:lang w:val="en-GB"/>
        </w:rPr>
        <w:t>kg</w:t>
      </w:r>
      <w:r w:rsidR="00BA751B" w:rsidRPr="00BA751B">
        <w:rPr>
          <w:b w:val="0"/>
          <w:bCs/>
          <w:sz w:val="20"/>
          <w:vertAlign w:val="subscript"/>
          <w:lang w:val="en-GB"/>
        </w:rPr>
        <w:t>Ethylene</w:t>
      </w:r>
      <w:proofErr w:type="spellEnd"/>
      <w:r w:rsidR="00BA751B">
        <w:rPr>
          <w:b w:val="0"/>
          <w:bCs/>
          <w:sz w:val="20"/>
          <w:vertAlign w:val="subscript"/>
          <w:lang w:val="en-GB"/>
        </w:rPr>
        <w:t xml:space="preserve"> </w:t>
      </w:r>
      <w:r w:rsidR="00BA751B">
        <w:rPr>
          <w:b w:val="0"/>
          <w:bCs/>
          <w:sz w:val="20"/>
          <w:lang w:val="en-GB"/>
        </w:rPr>
        <w:t>respectively for the no</w:t>
      </w:r>
      <w:r w:rsidR="00A04929">
        <w:rPr>
          <w:b w:val="0"/>
          <w:bCs/>
          <w:sz w:val="20"/>
          <w:lang w:val="en-GB"/>
        </w:rPr>
        <w:t>n-</w:t>
      </w:r>
      <w:r w:rsidR="00BA751B">
        <w:rPr>
          <w:b w:val="0"/>
          <w:bCs/>
          <w:sz w:val="20"/>
          <w:lang w:val="en-GB"/>
        </w:rPr>
        <w:t xml:space="preserve">node based and </w:t>
      </w:r>
      <w:proofErr w:type="gramStart"/>
      <w:r w:rsidR="00BA751B">
        <w:rPr>
          <w:b w:val="0"/>
          <w:bCs/>
          <w:sz w:val="20"/>
          <w:lang w:val="en-GB"/>
        </w:rPr>
        <w:t>node based</w:t>
      </w:r>
      <w:proofErr w:type="gramEnd"/>
      <w:r w:rsidR="00BA751B">
        <w:rPr>
          <w:b w:val="0"/>
          <w:bCs/>
          <w:sz w:val="20"/>
          <w:lang w:val="en-GB"/>
        </w:rPr>
        <w:t xml:space="preserve"> model</w:t>
      </w:r>
      <w:r w:rsidR="008524C7">
        <w:rPr>
          <w:b w:val="0"/>
          <w:bCs/>
          <w:sz w:val="20"/>
          <w:lang w:val="en-GB"/>
        </w:rPr>
        <w:t>s</w:t>
      </w:r>
      <w:r w:rsidR="00BA751B">
        <w:rPr>
          <w:b w:val="0"/>
          <w:bCs/>
          <w:sz w:val="20"/>
          <w:lang w:val="en-GB"/>
        </w:rPr>
        <w:t>. A surrogate model</w:t>
      </w:r>
      <w:r w:rsidR="005C7625">
        <w:rPr>
          <w:b w:val="0"/>
          <w:bCs/>
          <w:sz w:val="20"/>
          <w:lang w:val="en-GB"/>
        </w:rPr>
        <w:t xml:space="preserve"> </w:t>
      </w:r>
      <w:r w:rsidR="00BA751B">
        <w:rPr>
          <w:b w:val="0"/>
          <w:bCs/>
          <w:sz w:val="20"/>
          <w:lang w:val="en-GB"/>
        </w:rPr>
        <w:lastRenderedPageBreak/>
        <w:t xml:space="preserve">is built with the </w:t>
      </w:r>
      <w:r w:rsidR="00BA751B" w:rsidRPr="00BA751B">
        <w:rPr>
          <w:b w:val="0"/>
          <w:bCs/>
          <w:sz w:val="20"/>
          <w:lang w:val="en-GB"/>
        </w:rPr>
        <w:t>RS-HDMR method</w:t>
      </w:r>
      <w:r w:rsidR="00BA751B">
        <w:rPr>
          <w:b w:val="0"/>
          <w:bCs/>
          <w:sz w:val="20"/>
          <w:lang w:val="en-GB"/>
        </w:rPr>
        <w:t xml:space="preserve"> to find through a GSA that</w:t>
      </w:r>
      <w:r w:rsidR="008524C7">
        <w:rPr>
          <w:b w:val="0"/>
          <w:bCs/>
          <w:sz w:val="20"/>
          <w:lang w:val="en-GB"/>
        </w:rPr>
        <w:t>,</w:t>
      </w:r>
      <w:r w:rsidR="00BA751B">
        <w:rPr>
          <w:b w:val="0"/>
          <w:bCs/>
          <w:sz w:val="20"/>
          <w:lang w:val="en-GB"/>
        </w:rPr>
        <w:t xml:space="preserve"> the most significant factor for cost is the CO</w:t>
      </w:r>
      <w:r w:rsidR="00BA751B" w:rsidRPr="0085482B">
        <w:rPr>
          <w:b w:val="0"/>
          <w:bCs/>
          <w:sz w:val="20"/>
          <w:vertAlign w:val="subscript"/>
          <w:lang w:val="en-GB"/>
        </w:rPr>
        <w:t>2</w:t>
      </w:r>
      <w:r w:rsidR="00BA751B">
        <w:rPr>
          <w:b w:val="0"/>
          <w:bCs/>
          <w:sz w:val="20"/>
          <w:lang w:val="en-GB"/>
        </w:rPr>
        <w:t xml:space="preserve"> utilization cost. In order to have the supply chain cost lower than the limit fixed by IPCC</w:t>
      </w:r>
      <w:r w:rsidR="0085482B">
        <w:rPr>
          <w:b w:val="0"/>
          <w:bCs/>
          <w:sz w:val="20"/>
          <w:lang w:val="en-GB"/>
        </w:rPr>
        <w:t>,</w:t>
      </w:r>
      <w:r w:rsidR="00BA751B">
        <w:rPr>
          <w:b w:val="0"/>
          <w:bCs/>
          <w:sz w:val="20"/>
          <w:lang w:val="en-GB"/>
        </w:rPr>
        <w:t xml:space="preserve"> more research and optimization should be conducted for the SOEC by improving current density and Faradaic efficiency. </w:t>
      </w:r>
    </w:p>
    <w:p w14:paraId="4F0ABE90" w14:textId="6362E7F3" w:rsidR="0004073B" w:rsidRDefault="0004073B" w:rsidP="008D2649">
      <w:pPr>
        <w:pStyle w:val="Els-body-text"/>
        <w:spacing w:after="120"/>
        <w:rPr>
          <w:sz w:val="18"/>
          <w:szCs w:val="18"/>
        </w:rPr>
      </w:pPr>
      <w:r w:rsidRPr="0004073B">
        <w:rPr>
          <w:b/>
          <w:bCs/>
          <w:lang w:val="en-GB"/>
        </w:rPr>
        <w:t>Acknowledgments:</w:t>
      </w:r>
      <w:r>
        <w:rPr>
          <w:b/>
          <w:bCs/>
          <w:lang w:val="en-GB"/>
        </w:rPr>
        <w:t xml:space="preserve"> </w:t>
      </w:r>
      <w:r w:rsidR="00BA751B" w:rsidRPr="00BA751B">
        <w:rPr>
          <w:sz w:val="18"/>
          <w:szCs w:val="18"/>
          <w:lang w:val="en-GB"/>
        </w:rPr>
        <w:t xml:space="preserve">Funding by the mobility of young researcher grant of Cagliari University and Imperial College London are </w:t>
      </w:r>
      <w:r w:rsidR="00BA751B" w:rsidRPr="00BA751B">
        <w:rPr>
          <w:sz w:val="18"/>
          <w:szCs w:val="18"/>
        </w:rPr>
        <w:t>gratefully acknowledged.</w:t>
      </w:r>
    </w:p>
    <w:p w14:paraId="609B01CB" w14:textId="12900F6B" w:rsidR="00241873" w:rsidRPr="00FE51D5" w:rsidRDefault="008D2649" w:rsidP="000C5AD2">
      <w:pPr>
        <w:pStyle w:val="Els-reference-head"/>
      </w:pPr>
      <w:r>
        <w:t>References</w:t>
      </w:r>
    </w:p>
    <w:p w14:paraId="7A1E9482" w14:textId="25C12C03" w:rsidR="00B672B4" w:rsidRPr="000C5AD2" w:rsidRDefault="00B672B4" w:rsidP="007C3E41">
      <w:pPr>
        <w:spacing w:after="60"/>
        <w:jc w:val="both"/>
        <w:rPr>
          <w:sz w:val="18"/>
          <w:szCs w:val="18"/>
        </w:rPr>
      </w:pPr>
      <w:r w:rsidRPr="00317D85">
        <w:rPr>
          <w:sz w:val="18"/>
          <w:szCs w:val="18"/>
        </w:rPr>
        <w:t xml:space="preserve">M.A. Adnan, M.G. Kibria, 2020. </w:t>
      </w:r>
      <w:r w:rsidR="00410FFF" w:rsidRPr="00410FFF">
        <w:rPr>
          <w:sz w:val="18"/>
          <w:szCs w:val="18"/>
        </w:rPr>
        <w:t>Comparative techno-economic and life-cycle assessment of power-to-methanol synthesis pathways</w:t>
      </w:r>
      <w:r w:rsidR="00410FFF">
        <w:rPr>
          <w:sz w:val="18"/>
          <w:szCs w:val="18"/>
        </w:rPr>
        <w:t xml:space="preserve">, </w:t>
      </w:r>
      <w:r w:rsidRPr="000C5AD2">
        <w:rPr>
          <w:sz w:val="18"/>
          <w:szCs w:val="18"/>
        </w:rPr>
        <w:t>Appl</w:t>
      </w:r>
      <w:r w:rsidR="00410FFF">
        <w:rPr>
          <w:sz w:val="18"/>
          <w:szCs w:val="18"/>
        </w:rPr>
        <w:t>.</w:t>
      </w:r>
      <w:r w:rsidRPr="000C5AD2">
        <w:rPr>
          <w:sz w:val="18"/>
          <w:szCs w:val="18"/>
        </w:rPr>
        <w:t xml:space="preserve"> Energy 278, 115614</w:t>
      </w:r>
    </w:p>
    <w:p w14:paraId="02B3D7C1" w14:textId="19AF6E13" w:rsidR="00241873" w:rsidRPr="000C5AD2" w:rsidRDefault="00241873" w:rsidP="0083414F">
      <w:pPr>
        <w:pStyle w:val="Els-referenceno-number"/>
        <w:jc w:val="both"/>
        <w:rPr>
          <w:szCs w:val="18"/>
        </w:rPr>
      </w:pPr>
      <w:r w:rsidRPr="000C5AD2">
        <w:rPr>
          <w:szCs w:val="18"/>
        </w:rPr>
        <w:t>L. Berkelaar, J. van der Linde, J. Peper, A. Rajhans, D. Tiemessen, L. van der Ham, H. van den</w:t>
      </w:r>
    </w:p>
    <w:p w14:paraId="4041CE0C" w14:textId="77777777" w:rsidR="0083414F" w:rsidRDefault="00241873" w:rsidP="0083414F">
      <w:pPr>
        <w:pStyle w:val="Els-referenceno-number"/>
        <w:ind w:left="238" w:hanging="238"/>
        <w:jc w:val="both"/>
        <w:rPr>
          <w:szCs w:val="18"/>
        </w:rPr>
      </w:pPr>
      <w:r w:rsidRPr="000C5AD2">
        <w:rPr>
          <w:szCs w:val="18"/>
        </w:rPr>
        <w:t xml:space="preserve">Berg, 2022, </w:t>
      </w:r>
      <w:r w:rsidR="00410FFF" w:rsidRPr="00410FFF">
        <w:rPr>
          <w:szCs w:val="18"/>
        </w:rPr>
        <w:t>Electrochemical conversion of carbon dioxide to ethylene: Plant design, evaluation an</w:t>
      </w:r>
      <w:r w:rsidR="0083414F">
        <w:rPr>
          <w:szCs w:val="18"/>
        </w:rPr>
        <w:t xml:space="preserve">d </w:t>
      </w:r>
    </w:p>
    <w:p w14:paraId="32784147" w14:textId="07F795FD" w:rsidR="00B672B4" w:rsidRPr="000C5AD2" w:rsidRDefault="00410FFF" w:rsidP="0083414F">
      <w:pPr>
        <w:pStyle w:val="Els-referenceno-number"/>
        <w:spacing w:after="60"/>
        <w:ind w:left="238" w:hanging="238"/>
        <w:jc w:val="both"/>
        <w:rPr>
          <w:szCs w:val="18"/>
        </w:rPr>
      </w:pPr>
      <w:r w:rsidRPr="00410FFF">
        <w:rPr>
          <w:szCs w:val="18"/>
        </w:rPr>
        <w:t>prospects for the future</w:t>
      </w:r>
      <w:r>
        <w:rPr>
          <w:szCs w:val="18"/>
        </w:rPr>
        <w:t xml:space="preserve">, </w:t>
      </w:r>
      <w:r w:rsidRPr="00410FFF">
        <w:rPr>
          <w:szCs w:val="18"/>
        </w:rPr>
        <w:t>Chem. Eng. Res. Des.</w:t>
      </w:r>
      <w:r w:rsidR="00241873" w:rsidRPr="000C5AD2">
        <w:rPr>
          <w:szCs w:val="18"/>
        </w:rPr>
        <w:t>, 182, 194–206</w:t>
      </w:r>
    </w:p>
    <w:p w14:paraId="6CFE1400" w14:textId="7CCBA485" w:rsidR="00AD3802" w:rsidRPr="000C5AD2" w:rsidRDefault="00B672B4" w:rsidP="007C3E41">
      <w:pPr>
        <w:pStyle w:val="Els-referenceno-number"/>
        <w:spacing w:after="60"/>
        <w:ind w:left="238" w:hanging="238"/>
        <w:jc w:val="both"/>
        <w:rPr>
          <w:szCs w:val="18"/>
        </w:rPr>
      </w:pPr>
      <w:r w:rsidRPr="000C5AD2">
        <w:rPr>
          <w:szCs w:val="18"/>
        </w:rPr>
        <w:t xml:space="preserve">Carbon credit, 2023. Available at: </w:t>
      </w:r>
      <w:hyperlink r:id="rId10" w:history="1">
        <w:r w:rsidR="00AD3802" w:rsidRPr="000C5AD2">
          <w:rPr>
            <w:rStyle w:val="Collegamentoipertestuale"/>
            <w:szCs w:val="18"/>
          </w:rPr>
          <w:t>https://carboncredits.com/carbon-prices-today/</w:t>
        </w:r>
      </w:hyperlink>
    </w:p>
    <w:p w14:paraId="56ACC168" w14:textId="77777777" w:rsidR="0083414F" w:rsidRDefault="00AD3802" w:rsidP="0083414F">
      <w:pPr>
        <w:pStyle w:val="Els-referenceno-number"/>
        <w:ind w:left="238" w:hanging="238"/>
        <w:jc w:val="both"/>
        <w:rPr>
          <w:szCs w:val="18"/>
        </w:rPr>
      </w:pPr>
      <w:r w:rsidRPr="000C5AD2">
        <w:rPr>
          <w:szCs w:val="18"/>
        </w:rPr>
        <w:t xml:space="preserve">J. Cao, Y. Li, Y. Zheng, S. Wang, W. Zhang, X. Qin, G. Geng, B. Yu, 2022, </w:t>
      </w:r>
      <w:r w:rsidR="00410FFF" w:rsidRPr="00410FFF">
        <w:rPr>
          <w:szCs w:val="18"/>
        </w:rPr>
        <w:t>A Novel Solid Oxide</w:t>
      </w:r>
    </w:p>
    <w:p w14:paraId="56128AF1" w14:textId="77777777" w:rsidR="0083414F" w:rsidRDefault="00410FFF" w:rsidP="0083414F">
      <w:pPr>
        <w:pStyle w:val="Els-referenceno-number"/>
        <w:ind w:left="0" w:firstLine="0"/>
        <w:jc w:val="both"/>
        <w:rPr>
          <w:szCs w:val="18"/>
        </w:rPr>
      </w:pPr>
      <w:r w:rsidRPr="00410FFF">
        <w:rPr>
          <w:szCs w:val="18"/>
        </w:rPr>
        <w:t>Electrolysis Cell with Micro-/Nano Channel Anode for Electrolysis at Ultra-High Current Densit</w:t>
      </w:r>
      <w:r w:rsidR="0083414F">
        <w:rPr>
          <w:szCs w:val="18"/>
        </w:rPr>
        <w:t xml:space="preserve">y </w:t>
      </w:r>
    </w:p>
    <w:p w14:paraId="56F81AE2" w14:textId="25F228C3" w:rsidR="00ED1599" w:rsidRPr="000C5AD2" w:rsidRDefault="0083414F" w:rsidP="0083414F">
      <w:pPr>
        <w:pStyle w:val="Els-referenceno-number"/>
        <w:spacing w:after="60"/>
        <w:ind w:left="238" w:hanging="238"/>
        <w:jc w:val="both"/>
        <w:rPr>
          <w:szCs w:val="18"/>
        </w:rPr>
      </w:pPr>
      <w:r>
        <w:rPr>
          <w:szCs w:val="18"/>
        </w:rPr>
        <w:t>p</w:t>
      </w:r>
      <w:r w:rsidR="00410FFF" w:rsidRPr="00410FFF">
        <w:rPr>
          <w:szCs w:val="18"/>
        </w:rPr>
        <w:t>over 5 Acm</w:t>
      </w:r>
      <w:r w:rsidR="00410FFF" w:rsidRPr="00410FFF">
        <w:rPr>
          <w:szCs w:val="18"/>
          <w:vertAlign w:val="superscript"/>
        </w:rPr>
        <w:t>−2</w:t>
      </w:r>
      <w:r w:rsidR="00410FFF">
        <w:rPr>
          <w:szCs w:val="18"/>
        </w:rPr>
        <w:t xml:space="preserve">, </w:t>
      </w:r>
      <w:r w:rsidR="00AD3802" w:rsidRPr="000C5AD2">
        <w:rPr>
          <w:szCs w:val="18"/>
        </w:rPr>
        <w:t>Adv. Energy Mater. 12, 2200899</w:t>
      </w:r>
    </w:p>
    <w:p w14:paraId="7E78D3E6" w14:textId="2BA6AF05" w:rsidR="00B672B4" w:rsidRPr="000C5AD2" w:rsidRDefault="00B672B4" w:rsidP="007C3E41">
      <w:pPr>
        <w:spacing w:after="60"/>
        <w:jc w:val="both"/>
        <w:rPr>
          <w:sz w:val="18"/>
          <w:szCs w:val="18"/>
        </w:rPr>
      </w:pPr>
      <w:r w:rsidRPr="000C5AD2">
        <w:rPr>
          <w:sz w:val="18"/>
          <w:szCs w:val="18"/>
        </w:rPr>
        <w:t>D. Freire Ordonez, N. Shah, G. Guillen-</w:t>
      </w:r>
      <w:proofErr w:type="spellStart"/>
      <w:r w:rsidRPr="000C5AD2">
        <w:rPr>
          <w:sz w:val="18"/>
          <w:szCs w:val="18"/>
        </w:rPr>
        <w:t>Gosalbez</w:t>
      </w:r>
      <w:proofErr w:type="spellEnd"/>
      <w:r w:rsidRPr="000C5AD2">
        <w:rPr>
          <w:sz w:val="18"/>
          <w:szCs w:val="18"/>
        </w:rPr>
        <w:t xml:space="preserve">, 2021, </w:t>
      </w:r>
      <w:r w:rsidR="00410FFF" w:rsidRPr="00410FFF">
        <w:rPr>
          <w:sz w:val="18"/>
          <w:szCs w:val="18"/>
        </w:rPr>
        <w:t xml:space="preserve">Economic and full environmental assessment of </w:t>
      </w:r>
      <w:proofErr w:type="spellStart"/>
      <w:r w:rsidR="00410FFF" w:rsidRPr="00410FFF">
        <w:rPr>
          <w:sz w:val="18"/>
          <w:szCs w:val="18"/>
        </w:rPr>
        <w:t>electrofuels</w:t>
      </w:r>
      <w:proofErr w:type="spellEnd"/>
      <w:r w:rsidR="00410FFF" w:rsidRPr="00410FFF">
        <w:rPr>
          <w:sz w:val="18"/>
          <w:szCs w:val="18"/>
        </w:rPr>
        <w:t xml:space="preserve"> via electrolysis and co-electrolysis considering externalities</w:t>
      </w:r>
      <w:r w:rsidR="00410FFF">
        <w:rPr>
          <w:sz w:val="18"/>
          <w:szCs w:val="18"/>
        </w:rPr>
        <w:t xml:space="preserve">, </w:t>
      </w:r>
      <w:r w:rsidRPr="000C5AD2">
        <w:rPr>
          <w:sz w:val="18"/>
          <w:szCs w:val="18"/>
        </w:rPr>
        <w:t>Appl</w:t>
      </w:r>
      <w:r w:rsidR="00410FFF">
        <w:rPr>
          <w:sz w:val="18"/>
          <w:szCs w:val="18"/>
        </w:rPr>
        <w:t>.</w:t>
      </w:r>
      <w:r w:rsidRPr="000C5AD2">
        <w:rPr>
          <w:sz w:val="18"/>
          <w:szCs w:val="18"/>
        </w:rPr>
        <w:t xml:space="preserve"> Energy 286, 116488</w:t>
      </w:r>
    </w:p>
    <w:p w14:paraId="30A9BC3F" w14:textId="2BB6492E" w:rsidR="002C3DA7" w:rsidRPr="000C5AD2" w:rsidRDefault="002C3DA7" w:rsidP="007C3E41">
      <w:pPr>
        <w:pStyle w:val="Els-referenceno-number"/>
        <w:spacing w:after="60"/>
        <w:ind w:left="0" w:firstLine="0"/>
        <w:jc w:val="both"/>
        <w:rPr>
          <w:szCs w:val="18"/>
        </w:rPr>
      </w:pPr>
      <w:r w:rsidRPr="005C7625">
        <w:rPr>
          <w:szCs w:val="18"/>
          <w:lang w:val="it-IT"/>
        </w:rPr>
        <w:t>N. Elahi, N. Shah, A. Korre, S. Durucan, 2014.</w:t>
      </w:r>
      <w:r w:rsidR="00410FFF" w:rsidRPr="005C7625">
        <w:rPr>
          <w:szCs w:val="18"/>
          <w:lang w:val="it-IT"/>
        </w:rPr>
        <w:t xml:space="preserve"> </w:t>
      </w:r>
      <w:r w:rsidR="00410FFF" w:rsidRPr="00410FFF">
        <w:rPr>
          <w:szCs w:val="18"/>
        </w:rPr>
        <w:t>Multi-period Least Cost Optimisation Model of an Integrated Carbon Dioxide Capture Transportation and Storage Infrastructure in the UK,</w:t>
      </w:r>
      <w:r w:rsidRPr="00410FFF">
        <w:rPr>
          <w:szCs w:val="18"/>
        </w:rPr>
        <w:t xml:space="preserve"> </w:t>
      </w:r>
      <w:r w:rsidRPr="000C5AD2">
        <w:rPr>
          <w:szCs w:val="18"/>
        </w:rPr>
        <w:t>Energy Procedia 63, 2655–2662</w:t>
      </w:r>
    </w:p>
    <w:p w14:paraId="7D98A82D" w14:textId="635750A1" w:rsidR="00ED1599" w:rsidRPr="000C5AD2" w:rsidRDefault="00ED1599" w:rsidP="007C3E41">
      <w:pPr>
        <w:pStyle w:val="Els-referenceno-number"/>
        <w:spacing w:after="60"/>
        <w:ind w:left="0" w:firstLine="0"/>
        <w:jc w:val="both"/>
        <w:rPr>
          <w:szCs w:val="18"/>
        </w:rPr>
      </w:pPr>
      <w:r w:rsidRPr="000C5AD2">
        <w:rPr>
          <w:szCs w:val="18"/>
        </w:rPr>
        <w:t xml:space="preserve">F.W. Geels, 2022, </w:t>
      </w:r>
      <w:r w:rsidR="00410FFF" w:rsidRPr="00410FFF">
        <w:rPr>
          <w:szCs w:val="18"/>
        </w:rPr>
        <w:t>Conflicts between economic and low-carbon reorientation processes: Insights from a contextual analysis of evolving company strategies in the United Kingdom petrochemical industry (1970–2021)</w:t>
      </w:r>
      <w:r w:rsidR="00410FFF">
        <w:rPr>
          <w:szCs w:val="18"/>
        </w:rPr>
        <w:t xml:space="preserve">, </w:t>
      </w:r>
      <w:r w:rsidRPr="000C5AD2">
        <w:rPr>
          <w:szCs w:val="18"/>
        </w:rPr>
        <w:t>Energy Res</w:t>
      </w:r>
      <w:r w:rsidR="006A546A">
        <w:rPr>
          <w:szCs w:val="18"/>
        </w:rPr>
        <w:t xml:space="preserve">. </w:t>
      </w:r>
      <w:r w:rsidRPr="000C5AD2">
        <w:rPr>
          <w:szCs w:val="18"/>
        </w:rPr>
        <w:t>Soc</w:t>
      </w:r>
      <w:r w:rsidR="006A546A">
        <w:rPr>
          <w:szCs w:val="18"/>
        </w:rPr>
        <w:t>.</w:t>
      </w:r>
      <w:r w:rsidRPr="000C5AD2">
        <w:rPr>
          <w:szCs w:val="18"/>
        </w:rPr>
        <w:t xml:space="preserve"> Sci</w:t>
      </w:r>
      <w:r w:rsidR="006A546A">
        <w:rPr>
          <w:szCs w:val="18"/>
        </w:rPr>
        <w:t>.</w:t>
      </w:r>
      <w:r w:rsidRPr="000C5AD2">
        <w:rPr>
          <w:szCs w:val="18"/>
        </w:rPr>
        <w:t xml:space="preserve"> 91, 102729</w:t>
      </w:r>
    </w:p>
    <w:p w14:paraId="08580A4E" w14:textId="2807E1F3" w:rsidR="00241873" w:rsidRPr="000C5AD2" w:rsidRDefault="00241873" w:rsidP="007C3E41">
      <w:pPr>
        <w:pStyle w:val="Els-referenceno-number"/>
        <w:ind w:left="0" w:firstLine="0"/>
        <w:jc w:val="both"/>
        <w:rPr>
          <w:szCs w:val="18"/>
        </w:rPr>
      </w:pPr>
      <w:r w:rsidRPr="000C5AD2">
        <w:rPr>
          <w:szCs w:val="18"/>
        </w:rPr>
        <w:t>I. Ioannou, S.C. D’Angelo, A.J. Martín, J. Pérez-Ramírez, G. Guillén-Gosálbez, 2020,</w:t>
      </w:r>
    </w:p>
    <w:p w14:paraId="207DF77F" w14:textId="77777777" w:rsidR="0083414F" w:rsidRDefault="006A546A" w:rsidP="0083414F">
      <w:pPr>
        <w:pStyle w:val="Els-referenceno-number"/>
        <w:jc w:val="both"/>
        <w:rPr>
          <w:szCs w:val="18"/>
        </w:rPr>
      </w:pPr>
      <w:r w:rsidRPr="006A546A">
        <w:rPr>
          <w:szCs w:val="18"/>
        </w:rPr>
        <w:t>Hybridization of Fossil- and CO2-Based Routes for Ethylene Production using Renewable</w:t>
      </w:r>
      <w:r w:rsidR="0083414F">
        <w:rPr>
          <w:szCs w:val="18"/>
        </w:rPr>
        <w:t xml:space="preserve"> </w:t>
      </w:r>
      <w:r w:rsidRPr="006A546A">
        <w:rPr>
          <w:szCs w:val="18"/>
        </w:rPr>
        <w:t>Energy</w:t>
      </w:r>
      <w:r>
        <w:rPr>
          <w:szCs w:val="18"/>
        </w:rPr>
        <w:t>,</w:t>
      </w:r>
    </w:p>
    <w:p w14:paraId="3905620E" w14:textId="53CAA738" w:rsidR="00022D09" w:rsidRPr="000C5AD2" w:rsidRDefault="00241873" w:rsidP="0083414F">
      <w:pPr>
        <w:pStyle w:val="Els-referenceno-number"/>
        <w:spacing w:after="60"/>
        <w:ind w:left="238" w:hanging="238"/>
        <w:jc w:val="both"/>
        <w:rPr>
          <w:szCs w:val="18"/>
        </w:rPr>
      </w:pPr>
      <w:r w:rsidRPr="000C5AD2">
        <w:rPr>
          <w:szCs w:val="18"/>
        </w:rPr>
        <w:t>ChemSusChem, 13, 6370–6380</w:t>
      </w:r>
    </w:p>
    <w:p w14:paraId="6F9C06C7" w14:textId="7C6F1BE2" w:rsidR="000C0F6A" w:rsidRPr="000C5AD2" w:rsidRDefault="000C0F6A" w:rsidP="007C3E41">
      <w:pPr>
        <w:pStyle w:val="Els-referenceno-number"/>
        <w:spacing w:after="60"/>
        <w:ind w:left="0" w:firstLine="0"/>
        <w:jc w:val="both"/>
        <w:rPr>
          <w:szCs w:val="18"/>
        </w:rPr>
      </w:pPr>
      <w:r w:rsidRPr="000C5AD2">
        <w:rPr>
          <w:szCs w:val="18"/>
        </w:rPr>
        <w:t xml:space="preserve">J.P.C. Kleijnen, 2017, </w:t>
      </w:r>
      <w:r w:rsidR="006A546A" w:rsidRPr="006A546A">
        <w:rPr>
          <w:szCs w:val="18"/>
        </w:rPr>
        <w:t>Regression and Kriging metamodels with their experimental designs in simulation: A review</w:t>
      </w:r>
      <w:r w:rsidR="006A546A">
        <w:rPr>
          <w:szCs w:val="18"/>
        </w:rPr>
        <w:t xml:space="preserve">, </w:t>
      </w:r>
      <w:r w:rsidRPr="000C5AD2">
        <w:rPr>
          <w:szCs w:val="18"/>
        </w:rPr>
        <w:t>Eur</w:t>
      </w:r>
      <w:r w:rsidR="006A546A">
        <w:rPr>
          <w:szCs w:val="18"/>
        </w:rPr>
        <w:t xml:space="preserve">. </w:t>
      </w:r>
      <w:r w:rsidRPr="000C5AD2">
        <w:rPr>
          <w:szCs w:val="18"/>
        </w:rPr>
        <w:t>J</w:t>
      </w:r>
      <w:r w:rsidR="006A546A">
        <w:rPr>
          <w:szCs w:val="18"/>
        </w:rPr>
        <w:t>.</w:t>
      </w:r>
      <w:r w:rsidRPr="000C5AD2">
        <w:rPr>
          <w:szCs w:val="18"/>
        </w:rPr>
        <w:t xml:space="preserve"> Oper</w:t>
      </w:r>
      <w:r w:rsidR="006A546A">
        <w:rPr>
          <w:szCs w:val="18"/>
        </w:rPr>
        <w:t>.</w:t>
      </w:r>
      <w:r w:rsidRPr="000C5AD2">
        <w:rPr>
          <w:szCs w:val="18"/>
        </w:rPr>
        <w:t xml:space="preserve"> Res</w:t>
      </w:r>
      <w:r w:rsidR="006A546A">
        <w:rPr>
          <w:szCs w:val="18"/>
        </w:rPr>
        <w:t>.</w:t>
      </w:r>
      <w:r w:rsidRPr="000C5AD2">
        <w:rPr>
          <w:szCs w:val="18"/>
        </w:rPr>
        <w:t xml:space="preserve">, 256, 1, 1, 1-16. </w:t>
      </w:r>
    </w:p>
    <w:p w14:paraId="21CDD147" w14:textId="7755F63F" w:rsidR="00C52604" w:rsidRPr="000C5AD2" w:rsidRDefault="00C52604" w:rsidP="007C3E41">
      <w:pPr>
        <w:pStyle w:val="Els-referenceno-number"/>
        <w:spacing w:after="60"/>
        <w:ind w:left="0" w:firstLine="0"/>
        <w:jc w:val="both"/>
        <w:rPr>
          <w:szCs w:val="18"/>
        </w:rPr>
      </w:pPr>
      <w:r w:rsidRPr="000C5AD2">
        <w:rPr>
          <w:szCs w:val="18"/>
        </w:rPr>
        <w:t>R.S.C. Lamberta,</w:t>
      </w:r>
      <w:r w:rsidRPr="000C5AD2">
        <w:rPr>
          <w:rFonts w:ascii="Cambria Math" w:hAnsi="Cambria Math" w:cs="Cambria Math"/>
          <w:szCs w:val="18"/>
        </w:rPr>
        <w:t xml:space="preserve"> </w:t>
      </w:r>
      <w:r w:rsidRPr="000C5AD2">
        <w:rPr>
          <w:szCs w:val="18"/>
        </w:rPr>
        <w:t xml:space="preserve">F. Lemke, S.S. Kucherenko, S. Song, N. Shah, 2016, </w:t>
      </w:r>
      <w:r w:rsidR="006A546A" w:rsidRPr="006A546A">
        <w:rPr>
          <w:szCs w:val="18"/>
        </w:rPr>
        <w:t>Global sensitivity analysis using sparse high dimensional model representations generated by the group method of data handling</w:t>
      </w:r>
      <w:r w:rsidR="006A546A">
        <w:rPr>
          <w:szCs w:val="18"/>
        </w:rPr>
        <w:t xml:space="preserve">, </w:t>
      </w:r>
      <w:r w:rsidRPr="000C5AD2">
        <w:rPr>
          <w:szCs w:val="18"/>
        </w:rPr>
        <w:t>Mat</w:t>
      </w:r>
      <w:r w:rsidR="006A546A">
        <w:rPr>
          <w:szCs w:val="18"/>
        </w:rPr>
        <w:t>.</w:t>
      </w:r>
      <w:r w:rsidRPr="000C5AD2">
        <w:rPr>
          <w:szCs w:val="18"/>
        </w:rPr>
        <w:t xml:space="preserve"> Comp</w:t>
      </w:r>
      <w:r w:rsidR="006A546A">
        <w:rPr>
          <w:szCs w:val="18"/>
        </w:rPr>
        <w:t>.</w:t>
      </w:r>
      <w:r w:rsidRPr="000C5AD2">
        <w:rPr>
          <w:szCs w:val="18"/>
        </w:rPr>
        <w:t xml:space="preserve"> Simul</w:t>
      </w:r>
      <w:r w:rsidR="006A546A">
        <w:rPr>
          <w:szCs w:val="18"/>
        </w:rPr>
        <w:t>.,</w:t>
      </w:r>
      <w:r w:rsidRPr="000C5AD2">
        <w:rPr>
          <w:szCs w:val="18"/>
        </w:rPr>
        <w:t xml:space="preserve"> 128, 42–54</w:t>
      </w:r>
    </w:p>
    <w:p w14:paraId="111CF54F" w14:textId="71BD6059" w:rsidR="00241873" w:rsidRPr="002850DF" w:rsidRDefault="00241873" w:rsidP="007C3E41">
      <w:pPr>
        <w:pStyle w:val="Els-referenceno-number"/>
        <w:spacing w:after="60"/>
        <w:ind w:left="0" w:firstLine="0"/>
        <w:jc w:val="both"/>
        <w:rPr>
          <w:szCs w:val="18"/>
          <w:lang w:val="it-IT"/>
        </w:rPr>
      </w:pPr>
      <w:r w:rsidRPr="000C5AD2">
        <w:rPr>
          <w:szCs w:val="18"/>
        </w:rPr>
        <w:t xml:space="preserve">G. Leonzio, B. Chachuat, N. Shah, 2023, </w:t>
      </w:r>
      <w:r w:rsidR="006A546A" w:rsidRPr="006A546A">
        <w:rPr>
          <w:szCs w:val="18"/>
        </w:rPr>
        <w:t>Towards ethylene production from carbon dioxide: Economic and global warming potential assessment</w:t>
      </w:r>
      <w:r w:rsidR="006A546A">
        <w:rPr>
          <w:szCs w:val="18"/>
        </w:rPr>
        <w:t xml:space="preserve">, </w:t>
      </w:r>
      <w:r w:rsidRPr="000C5AD2">
        <w:rPr>
          <w:szCs w:val="18"/>
        </w:rPr>
        <w:t>Sustain</w:t>
      </w:r>
      <w:r w:rsidR="006A546A">
        <w:rPr>
          <w:szCs w:val="18"/>
        </w:rPr>
        <w:t>.</w:t>
      </w:r>
      <w:r w:rsidRPr="000C5AD2">
        <w:rPr>
          <w:szCs w:val="18"/>
        </w:rPr>
        <w:t xml:space="preserve"> </w:t>
      </w:r>
      <w:r w:rsidRPr="002850DF">
        <w:rPr>
          <w:szCs w:val="18"/>
          <w:lang w:val="it-IT"/>
        </w:rPr>
        <w:t>Prod</w:t>
      </w:r>
      <w:r w:rsidR="006A546A" w:rsidRPr="002850DF">
        <w:rPr>
          <w:szCs w:val="18"/>
          <w:lang w:val="it-IT"/>
        </w:rPr>
        <w:t>.</w:t>
      </w:r>
      <w:r w:rsidRPr="002850DF">
        <w:rPr>
          <w:szCs w:val="18"/>
          <w:lang w:val="it-IT"/>
        </w:rPr>
        <w:t xml:space="preserve"> Consum. </w:t>
      </w:r>
      <w:r w:rsidR="00233EBB" w:rsidRPr="002850DF">
        <w:rPr>
          <w:szCs w:val="18"/>
          <w:lang w:val="it-IT"/>
        </w:rPr>
        <w:t>DOI:10.1016/j.spc.2023.10.015</w:t>
      </w:r>
      <w:r w:rsidRPr="002850DF">
        <w:rPr>
          <w:szCs w:val="18"/>
          <w:lang w:val="it-IT"/>
        </w:rPr>
        <w:t xml:space="preserve"> </w:t>
      </w:r>
    </w:p>
    <w:p w14:paraId="54950A65" w14:textId="74296A7E" w:rsidR="00B672B4" w:rsidRPr="000C5AD2" w:rsidRDefault="002C3DA7" w:rsidP="007C3E41">
      <w:pPr>
        <w:pStyle w:val="Els-referenceno-number"/>
        <w:spacing w:after="60"/>
        <w:ind w:left="0" w:firstLine="0"/>
        <w:jc w:val="both"/>
        <w:rPr>
          <w:szCs w:val="18"/>
        </w:rPr>
      </w:pPr>
      <w:r w:rsidRPr="006A546A">
        <w:rPr>
          <w:szCs w:val="18"/>
          <w:lang w:val="it-IT"/>
        </w:rPr>
        <w:t xml:space="preserve">G. Leonzio, F.U. Foscolo, E. Zondervan, 2019. </w:t>
      </w:r>
      <w:r w:rsidR="006A546A" w:rsidRPr="006A546A">
        <w:rPr>
          <w:szCs w:val="18"/>
        </w:rPr>
        <w:t>Sustainable utilization and storage of carbon dioxide: Analysis and design of an innovative supply chain</w:t>
      </w:r>
      <w:r w:rsidR="006A546A">
        <w:rPr>
          <w:szCs w:val="18"/>
        </w:rPr>
        <w:t xml:space="preserve">, </w:t>
      </w:r>
      <w:r w:rsidRPr="000C5AD2">
        <w:rPr>
          <w:szCs w:val="18"/>
        </w:rPr>
        <w:t>Comput</w:t>
      </w:r>
      <w:r w:rsidR="006A546A">
        <w:rPr>
          <w:szCs w:val="18"/>
        </w:rPr>
        <w:t xml:space="preserve">. </w:t>
      </w:r>
      <w:r w:rsidRPr="000C5AD2">
        <w:rPr>
          <w:szCs w:val="18"/>
        </w:rPr>
        <w:t>Chem</w:t>
      </w:r>
      <w:r w:rsidR="006A546A">
        <w:rPr>
          <w:szCs w:val="18"/>
        </w:rPr>
        <w:t>.</w:t>
      </w:r>
      <w:r w:rsidRPr="000C5AD2">
        <w:rPr>
          <w:szCs w:val="18"/>
        </w:rPr>
        <w:t xml:space="preserve"> Eng</w:t>
      </w:r>
      <w:r w:rsidR="006A546A">
        <w:rPr>
          <w:szCs w:val="18"/>
        </w:rPr>
        <w:t>.</w:t>
      </w:r>
      <w:r w:rsidRPr="000C5AD2">
        <w:rPr>
          <w:szCs w:val="18"/>
        </w:rPr>
        <w:t>, 131, 106569</w:t>
      </w:r>
    </w:p>
    <w:p w14:paraId="54D3F42B" w14:textId="2928A33B" w:rsidR="000B6048" w:rsidRPr="000C5AD2" w:rsidRDefault="000B6048" w:rsidP="007C3E41">
      <w:pPr>
        <w:spacing w:after="60"/>
        <w:jc w:val="both"/>
        <w:rPr>
          <w:sz w:val="18"/>
          <w:szCs w:val="18"/>
        </w:rPr>
      </w:pPr>
      <w:r w:rsidRPr="000C5AD2">
        <w:rPr>
          <w:sz w:val="18"/>
          <w:szCs w:val="18"/>
        </w:rPr>
        <w:t xml:space="preserve">H. </w:t>
      </w:r>
      <w:proofErr w:type="spellStart"/>
      <w:r w:rsidRPr="000C5AD2">
        <w:rPr>
          <w:sz w:val="18"/>
          <w:szCs w:val="18"/>
        </w:rPr>
        <w:t>Ostovari</w:t>
      </w:r>
      <w:proofErr w:type="spellEnd"/>
      <w:r w:rsidRPr="000C5AD2">
        <w:rPr>
          <w:sz w:val="18"/>
          <w:szCs w:val="18"/>
        </w:rPr>
        <w:t xml:space="preserve">, L. </w:t>
      </w:r>
      <w:proofErr w:type="spellStart"/>
      <w:r w:rsidRPr="000C5AD2">
        <w:rPr>
          <w:sz w:val="18"/>
          <w:szCs w:val="18"/>
        </w:rPr>
        <w:t>Kuhrmann</w:t>
      </w:r>
      <w:proofErr w:type="spellEnd"/>
      <w:r w:rsidRPr="000C5AD2">
        <w:rPr>
          <w:sz w:val="18"/>
          <w:szCs w:val="18"/>
        </w:rPr>
        <w:t xml:space="preserve">, F. Mayer, H. Minten, A. </w:t>
      </w:r>
      <w:proofErr w:type="spellStart"/>
      <w:r w:rsidRPr="000C5AD2">
        <w:rPr>
          <w:sz w:val="18"/>
          <w:szCs w:val="18"/>
        </w:rPr>
        <w:t>Bardow</w:t>
      </w:r>
      <w:proofErr w:type="spellEnd"/>
      <w:r w:rsidRPr="000C5AD2">
        <w:rPr>
          <w:sz w:val="18"/>
          <w:szCs w:val="18"/>
        </w:rPr>
        <w:t>. 2023.</w:t>
      </w:r>
      <w:r w:rsidR="00B672B4" w:rsidRPr="000C5AD2">
        <w:rPr>
          <w:sz w:val="18"/>
          <w:szCs w:val="18"/>
        </w:rPr>
        <w:t xml:space="preserve"> </w:t>
      </w:r>
      <w:r w:rsidR="006A546A" w:rsidRPr="006A546A">
        <w:rPr>
          <w:sz w:val="18"/>
          <w:szCs w:val="18"/>
        </w:rPr>
        <w:t>Towards a European supply chain for CO2 capture, utilization, and storage by mineralization: Insights from cost-optimal design</w:t>
      </w:r>
      <w:r w:rsidR="006A546A">
        <w:rPr>
          <w:sz w:val="18"/>
          <w:szCs w:val="18"/>
        </w:rPr>
        <w:t xml:space="preserve">, </w:t>
      </w:r>
      <w:r w:rsidRPr="000C5AD2">
        <w:rPr>
          <w:sz w:val="18"/>
          <w:szCs w:val="18"/>
        </w:rPr>
        <w:t>J</w:t>
      </w:r>
      <w:r w:rsidR="006A546A">
        <w:rPr>
          <w:sz w:val="18"/>
          <w:szCs w:val="18"/>
        </w:rPr>
        <w:t xml:space="preserve">. </w:t>
      </w:r>
      <w:r w:rsidRPr="000C5AD2">
        <w:rPr>
          <w:sz w:val="18"/>
          <w:szCs w:val="18"/>
        </w:rPr>
        <w:t>CO</w:t>
      </w:r>
      <w:r w:rsidRPr="006A546A">
        <w:rPr>
          <w:sz w:val="18"/>
          <w:szCs w:val="18"/>
          <w:vertAlign w:val="subscript"/>
        </w:rPr>
        <w:t>2</w:t>
      </w:r>
      <w:r w:rsidRPr="000C5AD2">
        <w:rPr>
          <w:sz w:val="18"/>
          <w:szCs w:val="18"/>
        </w:rPr>
        <w:t xml:space="preserve"> Util</w:t>
      </w:r>
      <w:r w:rsidR="006A546A">
        <w:rPr>
          <w:sz w:val="18"/>
          <w:szCs w:val="18"/>
        </w:rPr>
        <w:t>.</w:t>
      </w:r>
      <w:r w:rsidRPr="000C5AD2">
        <w:rPr>
          <w:sz w:val="18"/>
          <w:szCs w:val="18"/>
        </w:rPr>
        <w:t xml:space="preserve"> 72</w:t>
      </w:r>
      <w:r w:rsidR="00B672B4" w:rsidRPr="000C5AD2">
        <w:rPr>
          <w:sz w:val="18"/>
          <w:szCs w:val="18"/>
        </w:rPr>
        <w:t xml:space="preserve">, </w:t>
      </w:r>
      <w:r w:rsidRPr="000C5AD2">
        <w:rPr>
          <w:sz w:val="18"/>
          <w:szCs w:val="18"/>
        </w:rPr>
        <w:t>102496</w:t>
      </w:r>
    </w:p>
    <w:p w14:paraId="553380EE" w14:textId="4A3CC78E" w:rsidR="00B672B4" w:rsidRPr="000C5AD2" w:rsidRDefault="00B672B4" w:rsidP="007C3E41">
      <w:pPr>
        <w:spacing w:after="60"/>
        <w:jc w:val="both"/>
        <w:rPr>
          <w:sz w:val="18"/>
          <w:szCs w:val="18"/>
        </w:rPr>
      </w:pPr>
      <w:r w:rsidRPr="000C5AD2">
        <w:rPr>
          <w:sz w:val="18"/>
          <w:szCs w:val="18"/>
        </w:rPr>
        <w:t xml:space="preserve">Y. </w:t>
      </w:r>
      <w:proofErr w:type="spellStart"/>
      <w:r w:rsidRPr="000C5AD2">
        <w:rPr>
          <w:sz w:val="18"/>
          <w:szCs w:val="18"/>
        </w:rPr>
        <w:t>Redissi</w:t>
      </w:r>
      <w:proofErr w:type="spellEnd"/>
      <w:r w:rsidRPr="000C5AD2">
        <w:rPr>
          <w:sz w:val="18"/>
          <w:szCs w:val="18"/>
        </w:rPr>
        <w:t xml:space="preserve">, C. </w:t>
      </w:r>
      <w:proofErr w:type="spellStart"/>
      <w:r w:rsidRPr="000C5AD2">
        <w:rPr>
          <w:sz w:val="18"/>
          <w:szCs w:val="18"/>
        </w:rPr>
        <w:t>Bouallou</w:t>
      </w:r>
      <w:proofErr w:type="spellEnd"/>
      <w:r w:rsidRPr="000C5AD2">
        <w:rPr>
          <w:sz w:val="18"/>
          <w:szCs w:val="18"/>
        </w:rPr>
        <w:t xml:space="preserve">, 2013, </w:t>
      </w:r>
      <w:proofErr w:type="spellStart"/>
      <w:r w:rsidR="006A546A" w:rsidRPr="006A546A">
        <w:rPr>
          <w:sz w:val="18"/>
          <w:szCs w:val="18"/>
        </w:rPr>
        <w:t>Valorization</w:t>
      </w:r>
      <w:proofErr w:type="spellEnd"/>
      <w:r w:rsidR="006A546A" w:rsidRPr="006A546A">
        <w:rPr>
          <w:sz w:val="18"/>
          <w:szCs w:val="18"/>
        </w:rPr>
        <w:t xml:space="preserve"> of Carbon Dioxide by Co-Electrolysis of CO2/H2O at High Temperature for Syngas Production</w:t>
      </w:r>
      <w:r w:rsidR="006A546A">
        <w:rPr>
          <w:sz w:val="18"/>
          <w:szCs w:val="18"/>
        </w:rPr>
        <w:t xml:space="preserve">, </w:t>
      </w:r>
      <w:r w:rsidRPr="000C5AD2">
        <w:rPr>
          <w:sz w:val="18"/>
          <w:szCs w:val="18"/>
        </w:rPr>
        <w:t>Energy Procedia 37, 6667 – 6678</w:t>
      </w:r>
    </w:p>
    <w:p w14:paraId="77147197" w14:textId="72793966" w:rsidR="00497E8C" w:rsidRPr="000C5AD2" w:rsidRDefault="00375B4A" w:rsidP="008524C7">
      <w:pPr>
        <w:pStyle w:val="Els-body-text"/>
        <w:spacing w:after="60"/>
        <w:rPr>
          <w:bCs/>
          <w:color w:val="000000" w:themeColor="text1"/>
          <w:sz w:val="18"/>
          <w:szCs w:val="18"/>
        </w:rPr>
      </w:pPr>
      <w:r w:rsidRPr="000C5AD2">
        <w:rPr>
          <w:bCs/>
          <w:color w:val="000000" w:themeColor="text1"/>
          <w:sz w:val="18"/>
          <w:szCs w:val="18"/>
        </w:rPr>
        <w:t xml:space="preserve">I.M. Sobol, 2001, </w:t>
      </w:r>
      <w:r w:rsidR="007C3E41" w:rsidRPr="007C3E41">
        <w:rPr>
          <w:bCs/>
          <w:color w:val="000000" w:themeColor="text1"/>
          <w:sz w:val="18"/>
          <w:szCs w:val="18"/>
        </w:rPr>
        <w:t>Global sensitivity indices for nonlinear mathematical</w:t>
      </w:r>
      <w:r w:rsidR="0083414F">
        <w:rPr>
          <w:bCs/>
          <w:color w:val="000000" w:themeColor="text1"/>
          <w:sz w:val="18"/>
          <w:szCs w:val="18"/>
        </w:rPr>
        <w:t xml:space="preserve"> </w:t>
      </w:r>
      <w:r w:rsidR="007C3E41" w:rsidRPr="007C3E41">
        <w:rPr>
          <w:bCs/>
          <w:color w:val="000000" w:themeColor="text1"/>
          <w:sz w:val="18"/>
          <w:szCs w:val="18"/>
        </w:rPr>
        <w:t>models and their Monte Carlo estimates</w:t>
      </w:r>
      <w:r w:rsidR="007C3E41">
        <w:rPr>
          <w:bCs/>
          <w:color w:val="000000" w:themeColor="text1"/>
          <w:sz w:val="18"/>
          <w:szCs w:val="18"/>
        </w:rPr>
        <w:t xml:space="preserve">, </w:t>
      </w:r>
      <w:r w:rsidRPr="000C5AD2">
        <w:rPr>
          <w:bCs/>
          <w:color w:val="000000" w:themeColor="text1"/>
          <w:sz w:val="18"/>
          <w:szCs w:val="18"/>
        </w:rPr>
        <w:t>Mathematics &amp; Computers in Simulation 55, 271-280</w:t>
      </w:r>
    </w:p>
    <w:p w14:paraId="7B2FE697" w14:textId="6D36AAB6" w:rsidR="00463A96" w:rsidRPr="00463A96" w:rsidRDefault="007E32C4" w:rsidP="001C7A3E">
      <w:pPr>
        <w:jc w:val="both"/>
      </w:pPr>
      <w:r w:rsidRPr="000C5AD2">
        <w:rPr>
          <w:sz w:val="18"/>
          <w:szCs w:val="18"/>
          <w:lang w:val="en-US"/>
        </w:rPr>
        <w:t>X.Y. Zhang, M.N. Trame, L.J. Lesko, S. Schmidt, 2015.</w:t>
      </w:r>
      <w:r w:rsidR="00371165" w:rsidRPr="000C5AD2">
        <w:rPr>
          <w:sz w:val="18"/>
          <w:szCs w:val="18"/>
          <w:lang w:val="en-US"/>
        </w:rPr>
        <w:t xml:space="preserve"> </w:t>
      </w:r>
      <w:r w:rsidR="007C3E41" w:rsidRPr="007C3E41">
        <w:rPr>
          <w:sz w:val="18"/>
          <w:szCs w:val="18"/>
          <w:lang w:val="en-US"/>
        </w:rPr>
        <w:t>Sobol Sensitivity Analysis: A Tool to Guide the Development and Evaluation of Systems Pharmacology Models</w:t>
      </w:r>
      <w:r w:rsidR="007C3E41">
        <w:rPr>
          <w:sz w:val="18"/>
          <w:szCs w:val="18"/>
          <w:lang w:val="en-US"/>
        </w:rPr>
        <w:t xml:space="preserve">, </w:t>
      </w:r>
      <w:r w:rsidRPr="000C5AD2">
        <w:rPr>
          <w:sz w:val="18"/>
          <w:szCs w:val="18"/>
          <w:lang w:val="en-US"/>
        </w:rPr>
        <w:t>CPT: pharmacometrics &amp; systems pharmacology, 4</w:t>
      </w:r>
      <w:r w:rsidR="001C563A">
        <w:rPr>
          <w:sz w:val="18"/>
          <w:szCs w:val="18"/>
          <w:lang w:val="en-US"/>
        </w:rPr>
        <w:t>,</w:t>
      </w:r>
      <w:r w:rsidR="00371165" w:rsidRPr="000C5AD2">
        <w:rPr>
          <w:sz w:val="18"/>
          <w:szCs w:val="18"/>
          <w:lang w:val="en-US"/>
        </w:rPr>
        <w:t xml:space="preserve"> </w:t>
      </w:r>
      <w:r w:rsidRPr="000C5AD2">
        <w:rPr>
          <w:sz w:val="18"/>
          <w:szCs w:val="18"/>
          <w:lang w:val="en-US"/>
        </w:rPr>
        <w:t xml:space="preserve">(2), 69–79. </w:t>
      </w:r>
    </w:p>
    <w:sectPr w:rsidR="00463A96" w:rsidRPr="00463A96" w:rsidSect="008B0184">
      <w:headerReference w:type="even" r:id="rId11"/>
      <w:headerReference w:type="default" r:id="rId12"/>
      <w:headerReference w:type="first" r:id="rId1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B1A6" w14:textId="77777777" w:rsidR="00FD6ED9" w:rsidRDefault="00FD6ED9">
      <w:r>
        <w:separator/>
      </w:r>
    </w:p>
  </w:endnote>
  <w:endnote w:type="continuationSeparator" w:id="0">
    <w:p w14:paraId="2D269245" w14:textId="77777777" w:rsidR="00FD6ED9" w:rsidRDefault="00FD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7563" w14:textId="77777777" w:rsidR="00FD6ED9" w:rsidRDefault="00FD6ED9">
      <w:r>
        <w:separator/>
      </w:r>
    </w:p>
  </w:footnote>
  <w:footnote w:type="continuationSeparator" w:id="0">
    <w:p w14:paraId="1DE347F0" w14:textId="77777777" w:rsidR="00FD6ED9" w:rsidRDefault="00FD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90A29AB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 w:rsidR="00022D09">
      <w:rPr>
        <w:rStyle w:val="Numeropagina"/>
        <w:i/>
      </w:rPr>
      <w:t>G. Leonzio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342A907" w:rsidR="00DD3D9E" w:rsidRDefault="008610B7" w:rsidP="008610B7">
    <w:pPr>
      <w:pStyle w:val="Intestazione"/>
      <w:tabs>
        <w:tab w:val="clear" w:pos="7200"/>
        <w:tab w:val="right" w:pos="7088"/>
      </w:tabs>
      <w:rPr>
        <w:sz w:val="24"/>
      </w:rPr>
    </w:pPr>
    <w:r w:rsidRPr="008610B7">
      <w:rPr>
        <w:i/>
      </w:rPr>
      <w:t>Analysis of the preferred ethylene production route from carbon dioxide at a supply chain level: effects of the mathematical modelling for a Teesside case study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77D1CA2"/>
    <w:multiLevelType w:val="hybridMultilevel"/>
    <w:tmpl w:val="DDBC33AA"/>
    <w:lvl w:ilvl="0" w:tplc="A072D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3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5"/>
  </w:num>
  <w:num w:numId="11" w16cid:durableId="1896693444">
    <w:abstractNumId w:val="14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  <w:num w:numId="19" w16cid:durableId="1341930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771C"/>
    <w:rsid w:val="00022D09"/>
    <w:rsid w:val="0004073B"/>
    <w:rsid w:val="0009793B"/>
    <w:rsid w:val="00097EAE"/>
    <w:rsid w:val="000A40DC"/>
    <w:rsid w:val="000B4316"/>
    <w:rsid w:val="000B57AF"/>
    <w:rsid w:val="000B6048"/>
    <w:rsid w:val="000B6BD7"/>
    <w:rsid w:val="000C0F6A"/>
    <w:rsid w:val="000C5AD2"/>
    <w:rsid w:val="000D3D9B"/>
    <w:rsid w:val="000F644F"/>
    <w:rsid w:val="001046BC"/>
    <w:rsid w:val="00104A63"/>
    <w:rsid w:val="001119D3"/>
    <w:rsid w:val="001475CF"/>
    <w:rsid w:val="0016032F"/>
    <w:rsid w:val="00167CB5"/>
    <w:rsid w:val="001814D5"/>
    <w:rsid w:val="001850F0"/>
    <w:rsid w:val="001879F6"/>
    <w:rsid w:val="001B31DC"/>
    <w:rsid w:val="001C0148"/>
    <w:rsid w:val="001C1811"/>
    <w:rsid w:val="001C563A"/>
    <w:rsid w:val="001C757E"/>
    <w:rsid w:val="001C7A3E"/>
    <w:rsid w:val="001E2202"/>
    <w:rsid w:val="001F48C3"/>
    <w:rsid w:val="001F66CE"/>
    <w:rsid w:val="0020390F"/>
    <w:rsid w:val="00230E42"/>
    <w:rsid w:val="00233EBB"/>
    <w:rsid w:val="002408F9"/>
    <w:rsid w:val="00241873"/>
    <w:rsid w:val="00253A44"/>
    <w:rsid w:val="00264926"/>
    <w:rsid w:val="00267899"/>
    <w:rsid w:val="00270B33"/>
    <w:rsid w:val="002850DF"/>
    <w:rsid w:val="002C3DA7"/>
    <w:rsid w:val="002C6F18"/>
    <w:rsid w:val="002C71A4"/>
    <w:rsid w:val="00302AD8"/>
    <w:rsid w:val="00305DA2"/>
    <w:rsid w:val="003065D4"/>
    <w:rsid w:val="00310FD7"/>
    <w:rsid w:val="00316997"/>
    <w:rsid w:val="00317D85"/>
    <w:rsid w:val="00327A73"/>
    <w:rsid w:val="00340D1A"/>
    <w:rsid w:val="00342536"/>
    <w:rsid w:val="003653A4"/>
    <w:rsid w:val="00371165"/>
    <w:rsid w:val="00375B4A"/>
    <w:rsid w:val="00391D95"/>
    <w:rsid w:val="00395667"/>
    <w:rsid w:val="0039798A"/>
    <w:rsid w:val="003C5397"/>
    <w:rsid w:val="003D1582"/>
    <w:rsid w:val="003D40C9"/>
    <w:rsid w:val="003D50EE"/>
    <w:rsid w:val="003D7E4C"/>
    <w:rsid w:val="003E41C2"/>
    <w:rsid w:val="00410FFF"/>
    <w:rsid w:val="0041271E"/>
    <w:rsid w:val="00463A96"/>
    <w:rsid w:val="0049538B"/>
    <w:rsid w:val="0049772C"/>
    <w:rsid w:val="00497E8C"/>
    <w:rsid w:val="004A3A80"/>
    <w:rsid w:val="004D4847"/>
    <w:rsid w:val="004E7852"/>
    <w:rsid w:val="0052135A"/>
    <w:rsid w:val="005307DC"/>
    <w:rsid w:val="00552ACC"/>
    <w:rsid w:val="00552EEB"/>
    <w:rsid w:val="005B4C4A"/>
    <w:rsid w:val="005C192C"/>
    <w:rsid w:val="005C7625"/>
    <w:rsid w:val="006053B9"/>
    <w:rsid w:val="00612A59"/>
    <w:rsid w:val="00685C15"/>
    <w:rsid w:val="006A302E"/>
    <w:rsid w:val="006A546A"/>
    <w:rsid w:val="006A69BF"/>
    <w:rsid w:val="006B14C0"/>
    <w:rsid w:val="006B4261"/>
    <w:rsid w:val="006F1054"/>
    <w:rsid w:val="00710056"/>
    <w:rsid w:val="00711DF4"/>
    <w:rsid w:val="00716CC0"/>
    <w:rsid w:val="0072328D"/>
    <w:rsid w:val="00734090"/>
    <w:rsid w:val="00746379"/>
    <w:rsid w:val="00782368"/>
    <w:rsid w:val="007B54CA"/>
    <w:rsid w:val="007C3E41"/>
    <w:rsid w:val="007C4863"/>
    <w:rsid w:val="007C6B25"/>
    <w:rsid w:val="007D70A1"/>
    <w:rsid w:val="007E32C4"/>
    <w:rsid w:val="007E5B22"/>
    <w:rsid w:val="008104FE"/>
    <w:rsid w:val="008132E8"/>
    <w:rsid w:val="00823407"/>
    <w:rsid w:val="00830687"/>
    <w:rsid w:val="0083414F"/>
    <w:rsid w:val="00842BA7"/>
    <w:rsid w:val="0084351C"/>
    <w:rsid w:val="008524C7"/>
    <w:rsid w:val="0085482B"/>
    <w:rsid w:val="008610B7"/>
    <w:rsid w:val="0088554A"/>
    <w:rsid w:val="008858FE"/>
    <w:rsid w:val="008A047B"/>
    <w:rsid w:val="008A7496"/>
    <w:rsid w:val="008B0184"/>
    <w:rsid w:val="008C5D02"/>
    <w:rsid w:val="008D17A4"/>
    <w:rsid w:val="008D2649"/>
    <w:rsid w:val="008D42E5"/>
    <w:rsid w:val="008E3299"/>
    <w:rsid w:val="008E59EF"/>
    <w:rsid w:val="008E5CE7"/>
    <w:rsid w:val="008F26F1"/>
    <w:rsid w:val="008F751B"/>
    <w:rsid w:val="0090568D"/>
    <w:rsid w:val="009125C9"/>
    <w:rsid w:val="00913879"/>
    <w:rsid w:val="00917661"/>
    <w:rsid w:val="00970E5D"/>
    <w:rsid w:val="0097701C"/>
    <w:rsid w:val="00980A65"/>
    <w:rsid w:val="0098312E"/>
    <w:rsid w:val="009868BE"/>
    <w:rsid w:val="009B135E"/>
    <w:rsid w:val="00A04929"/>
    <w:rsid w:val="00A2253C"/>
    <w:rsid w:val="00A25E70"/>
    <w:rsid w:val="00A33765"/>
    <w:rsid w:val="00A357FD"/>
    <w:rsid w:val="00A40081"/>
    <w:rsid w:val="00A60C28"/>
    <w:rsid w:val="00A63269"/>
    <w:rsid w:val="00A80755"/>
    <w:rsid w:val="00A92377"/>
    <w:rsid w:val="00A942EC"/>
    <w:rsid w:val="00A95CFA"/>
    <w:rsid w:val="00AB29ED"/>
    <w:rsid w:val="00AB3CC8"/>
    <w:rsid w:val="00AB5E74"/>
    <w:rsid w:val="00AB6DD0"/>
    <w:rsid w:val="00AD34F8"/>
    <w:rsid w:val="00AD3802"/>
    <w:rsid w:val="00AD6621"/>
    <w:rsid w:val="00AE4BD8"/>
    <w:rsid w:val="00B07EB7"/>
    <w:rsid w:val="00B26098"/>
    <w:rsid w:val="00B4388F"/>
    <w:rsid w:val="00B467DD"/>
    <w:rsid w:val="00B63237"/>
    <w:rsid w:val="00B672B4"/>
    <w:rsid w:val="00B87CC2"/>
    <w:rsid w:val="00BA751B"/>
    <w:rsid w:val="00BC38AB"/>
    <w:rsid w:val="00BE602E"/>
    <w:rsid w:val="00BE6E7B"/>
    <w:rsid w:val="00BF1E84"/>
    <w:rsid w:val="00C11ECB"/>
    <w:rsid w:val="00C43B68"/>
    <w:rsid w:val="00C52604"/>
    <w:rsid w:val="00C73995"/>
    <w:rsid w:val="00C75363"/>
    <w:rsid w:val="00C75447"/>
    <w:rsid w:val="00C862C7"/>
    <w:rsid w:val="00C960DC"/>
    <w:rsid w:val="00CA0F41"/>
    <w:rsid w:val="00CA265E"/>
    <w:rsid w:val="00CA6BC2"/>
    <w:rsid w:val="00CB6AE3"/>
    <w:rsid w:val="00CF6471"/>
    <w:rsid w:val="00D02C75"/>
    <w:rsid w:val="00D05143"/>
    <w:rsid w:val="00D10E22"/>
    <w:rsid w:val="00D13D2C"/>
    <w:rsid w:val="00D35C7E"/>
    <w:rsid w:val="00D36996"/>
    <w:rsid w:val="00D4387C"/>
    <w:rsid w:val="00D5274F"/>
    <w:rsid w:val="00D53A68"/>
    <w:rsid w:val="00D76DD8"/>
    <w:rsid w:val="00D81F93"/>
    <w:rsid w:val="00DB7D22"/>
    <w:rsid w:val="00DC2F94"/>
    <w:rsid w:val="00DC7D83"/>
    <w:rsid w:val="00DD3D9E"/>
    <w:rsid w:val="00DD7908"/>
    <w:rsid w:val="00DF3F2B"/>
    <w:rsid w:val="00E020D2"/>
    <w:rsid w:val="00E82297"/>
    <w:rsid w:val="00E97BA4"/>
    <w:rsid w:val="00EC5A75"/>
    <w:rsid w:val="00ED1599"/>
    <w:rsid w:val="00EE79CC"/>
    <w:rsid w:val="00EF198C"/>
    <w:rsid w:val="00EF39FD"/>
    <w:rsid w:val="00F06842"/>
    <w:rsid w:val="00F070FA"/>
    <w:rsid w:val="00F107FD"/>
    <w:rsid w:val="00F31F57"/>
    <w:rsid w:val="00F61547"/>
    <w:rsid w:val="00F636C7"/>
    <w:rsid w:val="00FA670D"/>
    <w:rsid w:val="00FB64A8"/>
    <w:rsid w:val="00FD6ED9"/>
    <w:rsid w:val="00FE51D5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C0F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C0F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qFormat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qFormat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1E84"/>
    <w:rPr>
      <w:color w:val="605E5C"/>
      <w:shd w:val="clear" w:color="auto" w:fill="E1DFDD"/>
    </w:rPr>
  </w:style>
  <w:style w:type="character" w:customStyle="1" w:styleId="anchor-text">
    <w:name w:val="anchor-text"/>
    <w:basedOn w:val="Carpredefinitoparagrafo"/>
    <w:rsid w:val="007C4863"/>
  </w:style>
  <w:style w:type="character" w:customStyle="1" w:styleId="Titolo1Carattere">
    <w:name w:val="Titolo 1 Carattere"/>
    <w:basedOn w:val="Carpredefinitoparagrafo"/>
    <w:link w:val="Titolo1"/>
    <w:rsid w:val="000C0F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C0F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AD6621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B2609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rboncredits.com/carbon-prices-toda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5</TotalTime>
  <Pages>6</Pages>
  <Words>2636</Words>
  <Characters>15031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GRAZIA</cp:lastModifiedBy>
  <cp:revision>2</cp:revision>
  <cp:lastPrinted>2004-12-17T09:20:00Z</cp:lastPrinted>
  <dcterms:created xsi:type="dcterms:W3CDTF">2024-01-06T20:22:00Z</dcterms:created>
  <dcterms:modified xsi:type="dcterms:W3CDTF">2024-01-06T20:22:00Z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