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1BF2BB64" w:rsidR="00DD3D9E" w:rsidRPr="00BA5ECF" w:rsidRDefault="00AD5212">
      <w:pPr>
        <w:pStyle w:val="Els-Title"/>
        <w:rPr>
          <w:color w:val="000000" w:themeColor="text1"/>
        </w:rPr>
      </w:pPr>
      <w:bookmarkStart w:id="0" w:name="_GoBack"/>
      <w:bookmarkEnd w:id="0"/>
      <w:r w:rsidRPr="00BA5ECF">
        <w:rPr>
          <w:color w:val="000000" w:themeColor="text1"/>
        </w:rPr>
        <w:t>CFD-based investigation of the efficiency enhancement due to microstructure reorientation in structured packing</w:t>
      </w:r>
    </w:p>
    <w:p w14:paraId="144DE680" w14:textId="075C6785" w:rsidR="00DD3D9E" w:rsidRPr="00BA5ECF" w:rsidRDefault="00AD5212">
      <w:pPr>
        <w:pStyle w:val="Els-Author"/>
        <w:rPr>
          <w:vertAlign w:val="superscript"/>
          <w:lang w:val="de-DE"/>
        </w:rPr>
      </w:pPr>
      <w:r w:rsidRPr="00BA5ECF">
        <w:rPr>
          <w:lang w:val="de-DE"/>
        </w:rPr>
        <w:t>Christopher Dechert</w:t>
      </w:r>
      <w:r w:rsidRPr="00BA5ECF">
        <w:rPr>
          <w:vertAlign w:val="superscript"/>
          <w:lang w:val="de-DE"/>
        </w:rPr>
        <w:t>a</w:t>
      </w:r>
      <w:r w:rsidR="00620E83" w:rsidRPr="00BA5ECF">
        <w:rPr>
          <w:lang w:val="de-DE"/>
        </w:rPr>
        <w:t>*</w:t>
      </w:r>
      <w:r w:rsidR="007104B9" w:rsidRPr="00BA5ECF">
        <w:rPr>
          <w:lang w:val="de-DE"/>
        </w:rPr>
        <w:t xml:space="preserve">, </w:t>
      </w:r>
      <w:r w:rsidRPr="00BA5ECF">
        <w:rPr>
          <w:lang w:val="de-DE"/>
        </w:rPr>
        <w:t>Iris M</w:t>
      </w:r>
      <w:r w:rsidR="00A8622A" w:rsidRPr="00BA5ECF">
        <w:rPr>
          <w:lang w:val="de-DE"/>
        </w:rPr>
        <w:t>.</w:t>
      </w:r>
      <w:r w:rsidRPr="00BA5ECF">
        <w:rPr>
          <w:lang w:val="de-DE"/>
        </w:rPr>
        <w:t xml:space="preserve"> Baumhögger</w:t>
      </w:r>
      <w:r w:rsidRPr="00BA5ECF">
        <w:rPr>
          <w:vertAlign w:val="superscript"/>
          <w:lang w:val="de-DE"/>
        </w:rPr>
        <w:t>a</w:t>
      </w:r>
      <w:r w:rsidR="007104B9" w:rsidRPr="00BA5ECF">
        <w:rPr>
          <w:lang w:val="de-DE"/>
        </w:rPr>
        <w:t xml:space="preserve">, </w:t>
      </w:r>
      <w:r w:rsidRPr="00BA5ECF">
        <w:rPr>
          <w:lang w:val="de-DE"/>
        </w:rPr>
        <w:t xml:space="preserve">Eugeny </w:t>
      </w:r>
      <w:r w:rsidR="00A8622A" w:rsidRPr="00BA5ECF">
        <w:rPr>
          <w:lang w:val="de-DE"/>
        </w:rPr>
        <w:t xml:space="preserve">Y. Kenig </w:t>
      </w:r>
      <w:r w:rsidR="00A8622A" w:rsidRPr="00BA5ECF">
        <w:rPr>
          <w:vertAlign w:val="superscript"/>
          <w:lang w:val="de-DE"/>
        </w:rPr>
        <w:t>a</w:t>
      </w:r>
    </w:p>
    <w:p w14:paraId="144DE682" w14:textId="6A9D6011" w:rsidR="00DD3D9E" w:rsidRPr="00BA5ECF" w:rsidRDefault="00A8622A">
      <w:pPr>
        <w:pStyle w:val="Els-Affiliation"/>
        <w:rPr>
          <w:lang w:val="de-DE"/>
        </w:rPr>
      </w:pPr>
      <w:r w:rsidRPr="00BA5ECF">
        <w:rPr>
          <w:vertAlign w:val="superscript"/>
          <w:lang w:val="en-US"/>
        </w:rPr>
        <w:t>a</w:t>
      </w:r>
      <w:r w:rsidRPr="00BA5ECF">
        <w:t xml:space="preserve"> </w:t>
      </w:r>
      <w:r w:rsidR="003B3DED" w:rsidRPr="00BA5ECF">
        <w:t xml:space="preserve">Chair of Fluid Process Engineering, </w:t>
      </w:r>
      <w:r w:rsidRPr="00BA5ECF">
        <w:t xml:space="preserve">Paderborn University. </w:t>
      </w:r>
      <w:r w:rsidR="005A47E4" w:rsidRPr="00BA5ECF">
        <w:rPr>
          <w:lang w:val="de-DE"/>
        </w:rPr>
        <w:t>Pohlweg 55</w:t>
      </w:r>
      <w:r w:rsidRPr="00BA5ECF">
        <w:rPr>
          <w:lang w:val="de-DE"/>
        </w:rPr>
        <w:t xml:space="preserve">, </w:t>
      </w:r>
      <w:r w:rsidR="00830505" w:rsidRPr="00BA5ECF">
        <w:rPr>
          <w:lang w:val="de-DE"/>
        </w:rPr>
        <w:t>D-</w:t>
      </w:r>
      <w:r w:rsidRPr="00BA5ECF">
        <w:rPr>
          <w:lang w:val="de-DE"/>
        </w:rPr>
        <w:t>33098 Paderborn, Germany</w:t>
      </w:r>
    </w:p>
    <w:p w14:paraId="144DE683" w14:textId="2B0DE931" w:rsidR="008D2649" w:rsidRPr="00BA5ECF" w:rsidRDefault="00AD5212" w:rsidP="008D2649">
      <w:pPr>
        <w:pStyle w:val="Els-Affiliation"/>
        <w:spacing w:after="120"/>
        <w:rPr>
          <w:lang w:val="de-DE"/>
        </w:rPr>
      </w:pPr>
      <w:r w:rsidRPr="00BA5ECF">
        <w:rPr>
          <w:lang w:val="de-DE"/>
        </w:rPr>
        <w:t>christopher.dechert@upb.de</w:t>
      </w:r>
    </w:p>
    <w:p w14:paraId="144DE684" w14:textId="77777777" w:rsidR="008D2649" w:rsidRPr="00BA5ECF" w:rsidRDefault="008D2649" w:rsidP="00D05047">
      <w:pPr>
        <w:pStyle w:val="Els-Abstract"/>
      </w:pPr>
      <w:r w:rsidRPr="00BA5ECF">
        <w:t>Abstract</w:t>
      </w:r>
    </w:p>
    <w:p w14:paraId="0EC7EC36" w14:textId="44C63C3F" w:rsidR="00183F28" w:rsidRDefault="00183F28" w:rsidP="008D2649">
      <w:pPr>
        <w:pStyle w:val="Els-body-text"/>
        <w:spacing w:after="120"/>
        <w:rPr>
          <w:lang w:val="en-GB"/>
        </w:rPr>
      </w:pPr>
      <w:r>
        <w:rPr>
          <w:lang w:val="en-GB"/>
        </w:rPr>
        <w:t xml:space="preserve">Wetting quality is one of the deciding factors for the efficiency of separation columns. </w:t>
      </w:r>
      <w:r w:rsidRPr="00BA5ECF">
        <w:rPr>
          <w:lang w:val="en-GB"/>
        </w:rPr>
        <w:t xml:space="preserve">In this work the computational fluid dynamics (CFD) technique is applied to examine the </w:t>
      </w:r>
      <w:r w:rsidRPr="00B07820">
        <w:rPr>
          <w:lang w:val="en-GB"/>
        </w:rPr>
        <w:t>impact of liquid-phase physical properties and surface structuring on wetting in structured packings. The</w:t>
      </w:r>
      <w:r w:rsidRPr="00BA5ECF">
        <w:rPr>
          <w:lang w:val="en-GB"/>
        </w:rPr>
        <w:t xml:space="preserve"> simulation results demonstrate a substantial impact of both factors on the interfacial area. </w:t>
      </w:r>
      <w:r>
        <w:rPr>
          <w:lang w:val="en-GB"/>
        </w:rPr>
        <w:t>U</w:t>
      </w:r>
      <w:r w:rsidRPr="00BA5ECF">
        <w:rPr>
          <w:lang w:val="en-GB"/>
        </w:rPr>
        <w:t>nder certain conditions,</w:t>
      </w:r>
      <w:r w:rsidRPr="00BA5ECF" w:rsidDel="00D05047">
        <w:rPr>
          <w:lang w:val="en-GB"/>
        </w:rPr>
        <w:t xml:space="preserve"> </w:t>
      </w:r>
      <w:r w:rsidRPr="00BA5ECF">
        <w:rPr>
          <w:lang w:val="en-GB"/>
        </w:rPr>
        <w:t>a smooth packing surface can perform better than a microstructured surface</w:t>
      </w:r>
      <w:r>
        <w:rPr>
          <w:lang w:val="en-GB"/>
        </w:rPr>
        <w:t>. T</w:t>
      </w:r>
      <w:r w:rsidRPr="00183F28">
        <w:rPr>
          <w:lang w:val="en-GB"/>
        </w:rPr>
        <w:t>he orientation of the microstructure has a strong impact on its performance</w:t>
      </w:r>
      <w:r>
        <w:rPr>
          <w:lang w:val="en-GB"/>
        </w:rPr>
        <w:t xml:space="preserve">. Furthermore, </w:t>
      </w:r>
      <w:r w:rsidRPr="00BA5ECF">
        <w:rPr>
          <w:lang w:val="en-GB"/>
        </w:rPr>
        <w:t xml:space="preserve">the average liquid flow angle is not solely dependent on the packing macrostructure. </w:t>
      </w:r>
    </w:p>
    <w:p w14:paraId="144DE687" w14:textId="7CB2C32C" w:rsidR="008D2649" w:rsidRPr="00BA5ECF" w:rsidRDefault="008D2649" w:rsidP="008D2649">
      <w:pPr>
        <w:pStyle w:val="Els-body-text"/>
        <w:spacing w:after="120"/>
        <w:rPr>
          <w:lang w:val="en-GB"/>
        </w:rPr>
      </w:pPr>
      <w:r w:rsidRPr="00BA5ECF">
        <w:rPr>
          <w:b/>
          <w:bCs/>
          <w:lang w:val="en-GB"/>
        </w:rPr>
        <w:t>Keywords</w:t>
      </w:r>
      <w:r w:rsidRPr="00BA5ECF">
        <w:rPr>
          <w:lang w:val="en-GB"/>
        </w:rPr>
        <w:t xml:space="preserve">: </w:t>
      </w:r>
      <w:r w:rsidR="005949E3" w:rsidRPr="00BA5ECF">
        <w:rPr>
          <w:lang w:val="en-GB"/>
        </w:rPr>
        <w:t>structured packings</w:t>
      </w:r>
      <w:r w:rsidR="00A97539" w:rsidRPr="00BA5ECF">
        <w:rPr>
          <w:lang w:val="en-GB"/>
        </w:rPr>
        <w:t xml:space="preserve">, </w:t>
      </w:r>
      <w:r w:rsidR="005949E3" w:rsidRPr="00BA5ECF">
        <w:rPr>
          <w:lang w:val="en-GB"/>
        </w:rPr>
        <w:t>m</w:t>
      </w:r>
      <w:r w:rsidR="00A97539" w:rsidRPr="00BA5ECF">
        <w:rPr>
          <w:lang w:val="en-GB"/>
        </w:rPr>
        <w:t xml:space="preserve">icrostructure, </w:t>
      </w:r>
      <w:r w:rsidR="005949E3" w:rsidRPr="00BA5ECF">
        <w:rPr>
          <w:lang w:val="en-GB"/>
        </w:rPr>
        <w:t>w</w:t>
      </w:r>
      <w:r w:rsidR="00830505" w:rsidRPr="00BA5ECF">
        <w:rPr>
          <w:lang w:val="en-GB"/>
        </w:rPr>
        <w:t xml:space="preserve">etting, </w:t>
      </w:r>
      <w:r w:rsidR="005949E3" w:rsidRPr="00BA5ECF">
        <w:rPr>
          <w:lang w:val="en-GB"/>
        </w:rPr>
        <w:t>CFD</w:t>
      </w:r>
      <w:r w:rsidRPr="00BA5ECF">
        <w:rPr>
          <w:lang w:val="en-GB"/>
        </w:rPr>
        <w:t>.</w:t>
      </w:r>
    </w:p>
    <w:p w14:paraId="144DE689" w14:textId="231FBDCA" w:rsidR="008D2649" w:rsidRPr="00BA5ECF" w:rsidRDefault="00620E83" w:rsidP="008D2649">
      <w:pPr>
        <w:pStyle w:val="Els-1storder-head"/>
      </w:pPr>
      <w:r w:rsidRPr="00BA5ECF">
        <w:t>Introduction</w:t>
      </w:r>
    </w:p>
    <w:p w14:paraId="4DF5DCDB" w14:textId="179AE3BD" w:rsidR="00620E83" w:rsidRPr="00BA5ECF" w:rsidRDefault="009B3422" w:rsidP="008D2649">
      <w:pPr>
        <w:pStyle w:val="Els-body-text"/>
      </w:pPr>
      <w:r w:rsidRPr="00BA5ECF">
        <w:t xml:space="preserve">Structured packings are </w:t>
      </w:r>
      <w:r w:rsidR="00F53C57" w:rsidRPr="00BA5ECF">
        <w:t xml:space="preserve">column internals </w:t>
      </w:r>
      <w:r w:rsidRPr="00BA5ECF">
        <w:t xml:space="preserve">widely used in gas-liquid separation </w:t>
      </w:r>
      <w:r w:rsidR="00F53C57" w:rsidRPr="00BA5ECF">
        <w:t>oper</w:t>
      </w:r>
      <w:r w:rsidR="0047105C" w:rsidRPr="00BA5ECF">
        <w:t>a</w:t>
      </w:r>
      <w:r w:rsidR="00F53C57" w:rsidRPr="00BA5ECF">
        <w:t>tions</w:t>
      </w:r>
      <w:r w:rsidRPr="00BA5ECF">
        <w:t xml:space="preserve">. </w:t>
      </w:r>
      <w:r w:rsidR="006E63E7" w:rsidRPr="00BA5ECF">
        <w:t xml:space="preserve">Their specific geometry largely determines the fluid flow and hence the overall performance </w:t>
      </w:r>
      <w:r w:rsidR="007E09E0" w:rsidRPr="00BA5ECF">
        <w:t>of separation columns</w:t>
      </w:r>
      <w:r w:rsidR="006E63E7" w:rsidRPr="00BA5ECF">
        <w:t xml:space="preserve">. This is why it has been a focus of numerous studies toward </w:t>
      </w:r>
      <w:r w:rsidR="007E09E0" w:rsidRPr="00BA5ECF">
        <w:t>enhance</w:t>
      </w:r>
      <w:r w:rsidRPr="00BA5ECF">
        <w:t>d</w:t>
      </w:r>
      <w:r w:rsidR="007E09E0" w:rsidRPr="00BA5ECF">
        <w:t xml:space="preserve"> mass transfer and reduced </w:t>
      </w:r>
      <w:r w:rsidR="00563F4F" w:rsidRPr="00BA5ECF">
        <w:t>pressure drop.</w:t>
      </w:r>
      <w:r w:rsidR="005014D6" w:rsidRPr="00BA5ECF">
        <w:t xml:space="preserve"> Computational fluid dynamics </w:t>
      </w:r>
      <w:r w:rsidR="00DA6752" w:rsidRPr="00BA5ECF">
        <w:t xml:space="preserve">(CFD) </w:t>
      </w:r>
      <w:r w:rsidR="005014D6" w:rsidRPr="00BA5ECF">
        <w:t xml:space="preserve">is </w:t>
      </w:r>
      <w:r w:rsidR="00DA6752" w:rsidRPr="00BA5ECF">
        <w:t xml:space="preserve">an </w:t>
      </w:r>
      <w:r w:rsidR="005014D6" w:rsidRPr="00BA5ECF">
        <w:t xml:space="preserve">ideal </w:t>
      </w:r>
      <w:r w:rsidR="00DA6752" w:rsidRPr="00BA5ECF">
        <w:t xml:space="preserve">tool to </w:t>
      </w:r>
      <w:r w:rsidR="005014D6" w:rsidRPr="00BA5ECF">
        <w:t>investigat</w:t>
      </w:r>
      <w:r w:rsidR="00DA6752" w:rsidRPr="00BA5ECF">
        <w:t>e</w:t>
      </w:r>
      <w:r w:rsidR="005014D6" w:rsidRPr="00BA5ECF">
        <w:t xml:space="preserve"> local flow phenomena within structured packings</w:t>
      </w:r>
      <w:r w:rsidR="00DA6752" w:rsidRPr="00BA5ECF">
        <w:t xml:space="preserve">. However, </w:t>
      </w:r>
      <w:r w:rsidR="005014D6" w:rsidRPr="00BA5ECF">
        <w:t>simulat</w:t>
      </w:r>
      <w:r w:rsidR="000C3115" w:rsidRPr="00BA5ECF">
        <w:t>i</w:t>
      </w:r>
      <w:r w:rsidR="00DA6752" w:rsidRPr="00BA5ECF">
        <w:t>ons</w:t>
      </w:r>
      <w:r w:rsidR="005014D6" w:rsidRPr="00BA5ECF">
        <w:t xml:space="preserve"> </w:t>
      </w:r>
      <w:r w:rsidR="00DA6752" w:rsidRPr="00BA5ECF">
        <w:t xml:space="preserve">of </w:t>
      </w:r>
      <w:r w:rsidR="005014D6" w:rsidRPr="00BA5ECF">
        <w:t xml:space="preserve">a </w:t>
      </w:r>
      <w:r w:rsidR="000C3115" w:rsidRPr="00BA5ECF">
        <w:t>complete</w:t>
      </w:r>
      <w:r w:rsidR="005014D6" w:rsidRPr="00BA5ECF">
        <w:t xml:space="preserve"> </w:t>
      </w:r>
      <w:r w:rsidR="00DA6752" w:rsidRPr="00BA5ECF">
        <w:t xml:space="preserve">column or even a </w:t>
      </w:r>
      <w:r w:rsidR="005014D6" w:rsidRPr="00BA5ECF">
        <w:t xml:space="preserve">packing stack </w:t>
      </w:r>
      <w:r w:rsidR="00DA6752" w:rsidRPr="00BA5ECF">
        <w:t xml:space="preserve">remain </w:t>
      </w:r>
      <w:r w:rsidR="005014D6" w:rsidRPr="00BA5ECF">
        <w:t>numerical</w:t>
      </w:r>
      <w:r w:rsidR="00DA6752" w:rsidRPr="00BA5ECF">
        <w:t>ly</w:t>
      </w:r>
      <w:r w:rsidR="005014D6" w:rsidRPr="00BA5ECF">
        <w:t xml:space="preserve"> </w:t>
      </w:r>
      <w:r w:rsidR="00DA6752" w:rsidRPr="00BA5ECF">
        <w:t>un</w:t>
      </w:r>
      <w:r w:rsidR="005014D6" w:rsidRPr="00BA5ECF">
        <w:t>feasible.</w:t>
      </w:r>
      <w:r w:rsidR="00563F4F" w:rsidRPr="00BA5ECF">
        <w:t xml:space="preserve"> Petre et al. (2003) were among the first to </w:t>
      </w:r>
      <w:r w:rsidR="007E09E0" w:rsidRPr="00BA5ECF">
        <w:t xml:space="preserve">suggest </w:t>
      </w:r>
      <w:r w:rsidR="00563F4F" w:rsidRPr="00BA5ECF">
        <w:t xml:space="preserve">a </w:t>
      </w:r>
      <w:r w:rsidR="00DA6752" w:rsidRPr="00BA5ECF">
        <w:t xml:space="preserve">small </w:t>
      </w:r>
      <w:r w:rsidR="00563F4F" w:rsidRPr="00BA5ECF">
        <w:t>representative elementary unit (REU) of the packing geometry</w:t>
      </w:r>
      <w:r w:rsidR="007E09E0" w:rsidRPr="00BA5ECF">
        <w:t xml:space="preserve"> that allowed application of </w:t>
      </w:r>
      <w:r w:rsidR="005014D6" w:rsidRPr="00BA5ECF">
        <w:t>CFD</w:t>
      </w:r>
      <w:r w:rsidR="003F681E" w:rsidRPr="00BA5ECF">
        <w:t xml:space="preserve"> for the investigation of local flow phenomena</w:t>
      </w:r>
      <w:r w:rsidR="00563F4F" w:rsidRPr="00BA5ECF">
        <w:t xml:space="preserve">. This </w:t>
      </w:r>
      <w:r w:rsidR="00C40B8D" w:rsidRPr="00BA5ECF">
        <w:t xml:space="preserve">idea was later used </w:t>
      </w:r>
      <w:r w:rsidR="00563F4F" w:rsidRPr="00BA5ECF">
        <w:t xml:space="preserve">by </w:t>
      </w:r>
      <w:r w:rsidR="00C40B8D" w:rsidRPr="00BA5ECF">
        <w:t xml:space="preserve">several groups </w:t>
      </w:r>
      <w:r w:rsidR="00563F4F" w:rsidRPr="00BA5ECF">
        <w:t xml:space="preserve">to </w:t>
      </w:r>
      <w:r w:rsidR="00C40B8D" w:rsidRPr="00BA5ECF">
        <w:t xml:space="preserve">simulate </w:t>
      </w:r>
      <w:r w:rsidR="00563F4F" w:rsidRPr="00BA5ECF">
        <w:t>two-phase flow dynamics</w:t>
      </w:r>
      <w:r w:rsidR="00C40B8D" w:rsidRPr="00BA5ECF">
        <w:t xml:space="preserve"> (e.g., </w:t>
      </w:r>
      <w:r w:rsidR="00563F4F" w:rsidRPr="00BA5ECF">
        <w:t>Olenberg and Kenig</w:t>
      </w:r>
      <w:r w:rsidR="003F681E" w:rsidRPr="00BA5ECF">
        <w:t>,</w:t>
      </w:r>
      <w:r w:rsidR="00563F4F" w:rsidRPr="00BA5ECF">
        <w:t xml:space="preserve"> 2017</w:t>
      </w:r>
      <w:r w:rsidR="003F681E" w:rsidRPr="00BA5ECF">
        <w:t>;</w:t>
      </w:r>
      <w:r w:rsidR="00C40B8D" w:rsidRPr="00BA5ECF">
        <w:t xml:space="preserve"> </w:t>
      </w:r>
      <w:r w:rsidR="00563F4F" w:rsidRPr="00BA5ECF">
        <w:t>Hill et al.</w:t>
      </w:r>
      <w:r w:rsidR="003F681E" w:rsidRPr="00BA5ECF">
        <w:t>,</w:t>
      </w:r>
      <w:r w:rsidR="00563F4F" w:rsidRPr="00BA5ECF">
        <w:t xml:space="preserve"> 2019</w:t>
      </w:r>
      <w:r w:rsidR="00C40B8D" w:rsidRPr="00BA5ECF">
        <w:t>)</w:t>
      </w:r>
      <w:r w:rsidR="00563F4F" w:rsidRPr="00BA5ECF">
        <w:t>. The</w:t>
      </w:r>
      <w:r w:rsidR="00C40B8D" w:rsidRPr="00BA5ECF">
        <w:t xml:space="preserve"> re</w:t>
      </w:r>
      <w:r w:rsidRPr="00BA5ECF">
        <w:t>s</w:t>
      </w:r>
      <w:r w:rsidR="00C40B8D" w:rsidRPr="00BA5ECF">
        <w:t>ult</w:t>
      </w:r>
      <w:r w:rsidRPr="00BA5ECF">
        <w:t>s</w:t>
      </w:r>
      <w:r w:rsidR="00C40B8D" w:rsidRPr="00BA5ECF">
        <w:t xml:space="preserve"> of these studies revealed </w:t>
      </w:r>
      <w:r w:rsidR="00563F4F" w:rsidRPr="00BA5ECF">
        <w:t xml:space="preserve">that the wetted area of structured packing is </w:t>
      </w:r>
      <w:r w:rsidR="00C40B8D" w:rsidRPr="00BA5ECF">
        <w:t xml:space="preserve">often </w:t>
      </w:r>
      <w:r w:rsidR="00563F4F" w:rsidRPr="00BA5ECF">
        <w:t xml:space="preserve">lower than the surface area of the packing material and that the </w:t>
      </w:r>
      <w:r w:rsidR="003F681E" w:rsidRPr="00BA5ECF">
        <w:t xml:space="preserve">gas-liquid </w:t>
      </w:r>
      <w:r w:rsidR="00563F4F" w:rsidRPr="00BA5ECF">
        <w:t xml:space="preserve">interfacial area strongly </w:t>
      </w:r>
      <w:r w:rsidR="00C40B8D" w:rsidRPr="00BA5ECF">
        <w:t xml:space="preserve">depends </w:t>
      </w:r>
      <w:r w:rsidR="00563F4F" w:rsidRPr="00BA5ECF">
        <w:t xml:space="preserve">on the liquid load and contact angle. </w:t>
      </w:r>
      <w:r w:rsidR="00C40B8D" w:rsidRPr="00BA5ECF">
        <w:t xml:space="preserve">Up to now, </w:t>
      </w:r>
      <w:r w:rsidR="00563F4F" w:rsidRPr="00BA5ECF">
        <w:t>REUs with smooth surfaces</w:t>
      </w:r>
      <w:r w:rsidR="00C40B8D" w:rsidRPr="00BA5ECF">
        <w:t xml:space="preserve"> have been analyzed</w:t>
      </w:r>
      <w:r w:rsidR="00563F4F" w:rsidRPr="00BA5ECF">
        <w:t xml:space="preserve">, </w:t>
      </w:r>
      <w:r w:rsidR="00C40B8D" w:rsidRPr="00BA5ECF">
        <w:t xml:space="preserve">while </w:t>
      </w:r>
      <w:r w:rsidR="00563F4F" w:rsidRPr="00BA5ECF">
        <w:t>surface structur</w:t>
      </w:r>
      <w:r w:rsidR="00C40B8D" w:rsidRPr="00BA5ECF">
        <w:t>ing (used in real packings)</w:t>
      </w:r>
      <w:r w:rsidR="00563F4F" w:rsidRPr="00BA5ECF">
        <w:t xml:space="preserve"> </w:t>
      </w:r>
      <w:r w:rsidR="00C40B8D" w:rsidRPr="00BA5ECF">
        <w:t>ha</w:t>
      </w:r>
      <w:r w:rsidR="00274C1D" w:rsidRPr="00BA5ECF">
        <w:t>s</w:t>
      </w:r>
      <w:r w:rsidR="00C40B8D" w:rsidRPr="00BA5ECF">
        <w:t xml:space="preserve"> </w:t>
      </w:r>
      <w:r w:rsidR="00563F4F" w:rsidRPr="00BA5ECF">
        <w:t xml:space="preserve">only </w:t>
      </w:r>
      <w:r w:rsidR="00C40B8D" w:rsidRPr="00BA5ECF">
        <w:t xml:space="preserve">been </w:t>
      </w:r>
      <w:r w:rsidR="00563F4F" w:rsidRPr="00BA5ECF">
        <w:t xml:space="preserve">accounted for by modifying contact angles (Bertling et al., </w:t>
      </w:r>
      <w:r w:rsidR="00C370C3" w:rsidRPr="00BA5ECF">
        <w:t>2023</w:t>
      </w:r>
      <w:r w:rsidR="00563F4F" w:rsidRPr="00BA5ECF">
        <w:t>).</w:t>
      </w:r>
      <w:r w:rsidR="0092785F" w:rsidRPr="00BA5ECF">
        <w:t xml:space="preserve"> </w:t>
      </w:r>
      <w:r w:rsidR="00563F4F" w:rsidRPr="00BA5ECF">
        <w:t>Our recent stud</w:t>
      </w:r>
      <w:r w:rsidR="00274C1D" w:rsidRPr="00BA5ECF">
        <w:t>y</w:t>
      </w:r>
      <w:r w:rsidR="00563F4F" w:rsidRPr="00BA5ECF">
        <w:t xml:space="preserve"> </w:t>
      </w:r>
      <w:r w:rsidR="00274C1D" w:rsidRPr="00BA5ECF">
        <w:t xml:space="preserve">(Dechert </w:t>
      </w:r>
      <w:r w:rsidR="00D31178" w:rsidRPr="00BA5ECF">
        <w:t xml:space="preserve">and </w:t>
      </w:r>
      <w:r w:rsidR="00274C1D" w:rsidRPr="00BA5ECF">
        <w:t>Kenig, 2022) revealed</w:t>
      </w:r>
      <w:r w:rsidR="00563F4F" w:rsidRPr="00BA5ECF">
        <w:t xml:space="preserve"> that </w:t>
      </w:r>
      <w:r w:rsidR="00274C1D" w:rsidRPr="00BA5ECF">
        <w:t xml:space="preserve">this way </w:t>
      </w:r>
      <w:r w:rsidR="00563F4F" w:rsidRPr="00BA5ECF">
        <w:t xml:space="preserve">cannot </w:t>
      </w:r>
      <w:r w:rsidR="00274C1D" w:rsidRPr="00BA5ECF">
        <w:t xml:space="preserve">guarantee </w:t>
      </w:r>
      <w:r w:rsidR="00563F4F" w:rsidRPr="00BA5ECF">
        <w:t>sufficient</w:t>
      </w:r>
      <w:r w:rsidR="00274C1D" w:rsidRPr="00BA5ECF">
        <w:t xml:space="preserve"> accuracy in </w:t>
      </w:r>
      <w:r w:rsidR="00563F4F" w:rsidRPr="00BA5ECF">
        <w:t>represent</w:t>
      </w:r>
      <w:r w:rsidR="00274C1D" w:rsidRPr="00BA5ECF">
        <w:t>ing</w:t>
      </w:r>
      <w:r w:rsidR="00563F4F" w:rsidRPr="00BA5ECF">
        <w:t xml:space="preserve"> the microstructure</w:t>
      </w:r>
      <w:r w:rsidR="00274C1D" w:rsidRPr="00BA5ECF">
        <w:t xml:space="preserve"> impact </w:t>
      </w:r>
      <w:r w:rsidR="00563F4F" w:rsidRPr="00BA5ECF">
        <w:t xml:space="preserve">on liquid flow. </w:t>
      </w:r>
      <w:r w:rsidR="005B7397" w:rsidRPr="00BA5ECF">
        <w:t xml:space="preserve">For this reason, in the present study, </w:t>
      </w:r>
      <w:r w:rsidR="00563F4F" w:rsidRPr="00BA5ECF">
        <w:t xml:space="preserve">REUs </w:t>
      </w:r>
      <w:r w:rsidR="00FA7368" w:rsidRPr="00BA5ECF">
        <w:t xml:space="preserve">of single packing sheets </w:t>
      </w:r>
      <w:r w:rsidR="00425756" w:rsidRPr="00BA5ECF">
        <w:t xml:space="preserve">with explicitly </w:t>
      </w:r>
      <w:r w:rsidR="00563F4F" w:rsidRPr="00BA5ECF">
        <w:t>geometrically represented microstructures</w:t>
      </w:r>
      <w:r w:rsidR="00425756" w:rsidRPr="00BA5ECF">
        <w:t xml:space="preserve"> are investigated</w:t>
      </w:r>
      <w:r w:rsidR="00563F4F" w:rsidRPr="00BA5ECF">
        <w:t xml:space="preserve"> to determine the influence of microstructures on liquid flow. </w:t>
      </w:r>
      <w:r w:rsidR="00425756" w:rsidRPr="00BA5ECF">
        <w:t xml:space="preserve">Different </w:t>
      </w:r>
      <w:r w:rsidR="00563F4F" w:rsidRPr="00BA5ECF">
        <w:t>properties</w:t>
      </w:r>
      <w:r w:rsidR="00425756" w:rsidRPr="00BA5ECF">
        <w:t xml:space="preserve"> of the liquid phase, e.g.,</w:t>
      </w:r>
      <w:r w:rsidR="00563F4F" w:rsidRPr="00BA5ECF">
        <w:t xml:space="preserve"> liquid load, density, viscosity, surface tension</w:t>
      </w:r>
      <w:r w:rsidR="001F3EEC" w:rsidRPr="00BA5ECF">
        <w:t>,</w:t>
      </w:r>
      <w:r w:rsidR="00563F4F" w:rsidRPr="00BA5ECF">
        <w:t xml:space="preserve"> and contact angle </w:t>
      </w:r>
      <w:r w:rsidR="00425756" w:rsidRPr="00BA5ECF">
        <w:t xml:space="preserve">are varied </w:t>
      </w:r>
      <w:r w:rsidR="00563F4F" w:rsidRPr="00BA5ECF">
        <w:t>independently</w:t>
      </w:r>
      <w:r w:rsidR="00425756" w:rsidRPr="00BA5ECF">
        <w:t xml:space="preserve"> and the </w:t>
      </w:r>
      <w:r w:rsidR="00563F4F" w:rsidRPr="00BA5ECF">
        <w:t>influence on the gas</w:t>
      </w:r>
      <w:r w:rsidR="003F681E" w:rsidRPr="00BA5ECF">
        <w:t>-</w:t>
      </w:r>
      <w:r w:rsidR="00563F4F" w:rsidRPr="00BA5ECF">
        <w:t>liquid interfacial area, liquid flow</w:t>
      </w:r>
      <w:r w:rsidR="00274C1D" w:rsidRPr="00BA5ECF">
        <w:t xml:space="preserve"> morphology</w:t>
      </w:r>
      <w:r w:rsidR="00563F4F" w:rsidRPr="00BA5ECF">
        <w:t xml:space="preserve">, liquid holdup, and effective flow angle </w:t>
      </w:r>
      <w:r w:rsidR="00425756" w:rsidRPr="00BA5ECF">
        <w:t xml:space="preserve">in </w:t>
      </w:r>
      <w:r w:rsidR="00563F4F" w:rsidRPr="00BA5ECF">
        <w:t xml:space="preserve">the packing </w:t>
      </w:r>
      <w:r w:rsidR="00425756" w:rsidRPr="00BA5ECF">
        <w:t>is</w:t>
      </w:r>
      <w:r w:rsidR="00563F4F" w:rsidRPr="00BA5ECF">
        <w:t xml:space="preserve"> analyzed. </w:t>
      </w:r>
      <w:r w:rsidR="00425756" w:rsidRPr="00BA5ECF">
        <w:t xml:space="preserve">The results </w:t>
      </w:r>
      <w:r w:rsidR="00563F4F" w:rsidRPr="00BA5ECF">
        <w:t xml:space="preserve">provide a comprehensive view </w:t>
      </w:r>
      <w:r w:rsidR="00425756" w:rsidRPr="00BA5ECF">
        <w:t xml:space="preserve">on the </w:t>
      </w:r>
      <w:r w:rsidR="00563F4F" w:rsidRPr="00BA5ECF">
        <w:t xml:space="preserve">wetting </w:t>
      </w:r>
      <w:r w:rsidR="00425756" w:rsidRPr="00BA5ECF">
        <w:t xml:space="preserve">in structured packings </w:t>
      </w:r>
      <w:r w:rsidR="00425756" w:rsidRPr="000038F5">
        <w:t>as well as an evaluation</w:t>
      </w:r>
      <w:r w:rsidR="000038F5" w:rsidRPr="000038F5">
        <w:t xml:space="preserve"> </w:t>
      </w:r>
      <w:r w:rsidR="00425756" w:rsidRPr="000038F5">
        <w:t>of the impact of different</w:t>
      </w:r>
      <w:r w:rsidR="00425756" w:rsidRPr="00BA5ECF">
        <w:t xml:space="preserve"> flow parameters</w:t>
      </w:r>
      <w:r w:rsidR="00563F4F" w:rsidRPr="00BA5ECF">
        <w:t>.</w:t>
      </w:r>
    </w:p>
    <w:p w14:paraId="464ADE0F" w14:textId="3ECE804B" w:rsidR="00620E83" w:rsidRPr="00BA5ECF" w:rsidRDefault="00620E83" w:rsidP="00620E83">
      <w:pPr>
        <w:pStyle w:val="Els-1storder-head"/>
      </w:pPr>
      <w:bookmarkStart w:id="1" w:name="_Ref149307877"/>
      <w:r w:rsidRPr="00BA5ECF">
        <w:lastRenderedPageBreak/>
        <w:t>Microstructure</w:t>
      </w:r>
      <w:bookmarkEnd w:id="1"/>
    </w:p>
    <w:p w14:paraId="21CCBBBC" w14:textId="0E50C843" w:rsidR="00620E83" w:rsidRPr="00BA5ECF" w:rsidRDefault="00912ECE" w:rsidP="00C67339">
      <w:pPr>
        <w:pStyle w:val="Els-body-text"/>
        <w:spacing w:after="100"/>
      </w:pPr>
      <w:r w:rsidRPr="00BA5ECF">
        <w:t>This investigation is based on the</w:t>
      </w:r>
      <w:r w:rsidR="001D11D7" w:rsidRPr="00BA5ECF">
        <w:t xml:space="preserve"> structured packing Mellapak 250Y. </w:t>
      </w:r>
      <w:r w:rsidR="00C67A65" w:rsidRPr="00BA5ECF">
        <w:t xml:space="preserve">Fabricated </w:t>
      </w:r>
      <w:r w:rsidR="001D11D7" w:rsidRPr="00BA5ECF">
        <w:t xml:space="preserve">by Sulzer Chemtech, this packing is available </w:t>
      </w:r>
      <w:r w:rsidR="00C67A65" w:rsidRPr="00BA5ECF">
        <w:t xml:space="preserve">with different surface structuring, namely, </w:t>
      </w:r>
      <w:r w:rsidR="001D11D7" w:rsidRPr="00BA5ECF">
        <w:t>without microstructures, with wavy microstructures</w:t>
      </w:r>
      <w:r w:rsidR="004B5037" w:rsidRPr="00BA5ECF">
        <w:t>,</w:t>
      </w:r>
      <w:r w:rsidR="001D11D7" w:rsidRPr="00BA5ECF">
        <w:t xml:space="preserve"> and with hilly microstructures.</w:t>
      </w:r>
      <w:r w:rsidR="00870A11" w:rsidRPr="00BA5ECF">
        <w:t xml:space="preserve"> </w:t>
      </w:r>
      <w:r w:rsidR="00E7194C" w:rsidRPr="00BA5ECF">
        <w:t>In this work</w:t>
      </w:r>
      <w:r w:rsidR="004B755B" w:rsidRPr="00BA5ECF">
        <w:t>,</w:t>
      </w:r>
      <w:r w:rsidR="00E7194C" w:rsidRPr="00BA5ECF">
        <w:t xml:space="preserve"> only the smooth and wavy surface structures were investigated. Our</w:t>
      </w:r>
      <w:r w:rsidR="00870A11" w:rsidRPr="00BA5ECF">
        <w:t xml:space="preserve"> </w:t>
      </w:r>
      <w:r w:rsidR="00C65F4B" w:rsidRPr="00BA5ECF">
        <w:t>a</w:t>
      </w:r>
      <w:r w:rsidR="001D11D7" w:rsidRPr="00BA5ECF">
        <w:t>nal</w:t>
      </w:r>
      <w:r w:rsidR="00870A11" w:rsidRPr="00BA5ECF">
        <w:t>ysis of</w:t>
      </w:r>
      <w:r w:rsidR="001D11D7" w:rsidRPr="00BA5ECF">
        <w:t xml:space="preserve"> the shape of the </w:t>
      </w:r>
      <w:r w:rsidR="00004481" w:rsidRPr="00BA5ECF">
        <w:t>wavy</w:t>
      </w:r>
      <w:r w:rsidR="001D11D7" w:rsidRPr="00BA5ECF">
        <w:t xml:space="preserve"> microstructure</w:t>
      </w:r>
      <w:r w:rsidR="00004481" w:rsidRPr="00BA5ECF">
        <w:t xml:space="preserve"> (l-grooved)</w:t>
      </w:r>
      <w:r w:rsidR="001D11D7" w:rsidRPr="00BA5ECF">
        <w:t xml:space="preserve"> </w:t>
      </w:r>
      <w:r w:rsidR="00870A11" w:rsidRPr="00BA5ECF">
        <w:t xml:space="preserve">was performed </w:t>
      </w:r>
      <w:r w:rsidR="001D11D7" w:rsidRPr="00BA5ECF">
        <w:t>using optical</w:t>
      </w:r>
      <w:r w:rsidR="00274C1D" w:rsidRPr="00BA5ECF">
        <w:t xml:space="preserve"> and laser</w:t>
      </w:r>
      <w:r w:rsidR="001D11D7" w:rsidRPr="00BA5ECF">
        <w:t xml:space="preserve"> microscopes. </w:t>
      </w:r>
      <w:r w:rsidR="00C03511" w:rsidRPr="00BA5ECF">
        <w:t>From t</w:t>
      </w:r>
      <w:r w:rsidR="001D11D7" w:rsidRPr="00BA5ECF">
        <w:t xml:space="preserve">he image </w:t>
      </w:r>
      <w:r w:rsidR="00C03511" w:rsidRPr="00BA5ECF">
        <w:t xml:space="preserve">obtained with </w:t>
      </w:r>
      <w:r w:rsidR="001D11D7" w:rsidRPr="00BA5ECF">
        <w:t>the optical microscope (</w:t>
      </w:r>
      <w:r w:rsidR="001D11D7" w:rsidRPr="00BA5ECF">
        <w:fldChar w:fldCharType="begin"/>
      </w:r>
      <w:r w:rsidR="001D11D7" w:rsidRPr="00BA5ECF">
        <w:instrText xml:space="preserve"> REF _Ref149035120 \h </w:instrText>
      </w:r>
      <w:r w:rsidR="00BA5ECF">
        <w:instrText xml:space="preserve"> \* MERGEFORMAT </w:instrText>
      </w:r>
      <w:r w:rsidR="001D11D7" w:rsidRPr="00BA5ECF">
        <w:fldChar w:fldCharType="separate"/>
      </w:r>
      <w:r w:rsidR="001071BB" w:rsidRPr="00BA5ECF">
        <w:t xml:space="preserve">Figure </w:t>
      </w:r>
      <w:r w:rsidR="001071BB">
        <w:rPr>
          <w:noProof/>
        </w:rPr>
        <w:t>1</w:t>
      </w:r>
      <w:r w:rsidR="001D11D7" w:rsidRPr="00BA5ECF">
        <w:fldChar w:fldCharType="end"/>
      </w:r>
      <w:r w:rsidR="001D11D7" w:rsidRPr="00BA5ECF">
        <w:t>)</w:t>
      </w:r>
      <w:r w:rsidR="00C03511" w:rsidRPr="00BA5ECF">
        <w:t>,</w:t>
      </w:r>
      <w:r w:rsidR="001D11D7" w:rsidRPr="00BA5ECF">
        <w:t xml:space="preserve"> the </w:t>
      </w:r>
      <w:r w:rsidR="00C03511" w:rsidRPr="00BA5ECF">
        <w:t xml:space="preserve">dimensions of the </w:t>
      </w:r>
      <w:r w:rsidR="001D11D7" w:rsidRPr="00BA5ECF">
        <w:t xml:space="preserve">wavy shape </w:t>
      </w:r>
      <w:r w:rsidR="00C03511" w:rsidRPr="00BA5ECF">
        <w:t xml:space="preserve">of the microstructure were estimated, namely, </w:t>
      </w:r>
      <w:r w:rsidR="001D11D7" w:rsidRPr="00BA5ECF">
        <w:t>a height of approximately 0</w:t>
      </w:r>
      <w:r w:rsidR="00A45F3B" w:rsidRPr="00BA5ECF">
        <w:t>.</w:t>
      </w:r>
      <w:r w:rsidR="00C65F4B" w:rsidRPr="00BA5ECF">
        <w:t>000</w:t>
      </w:r>
      <w:r w:rsidR="001D11D7" w:rsidRPr="00BA5ECF">
        <w:t>2</w:t>
      </w:r>
      <w:r w:rsidR="00C65F4B" w:rsidRPr="00BA5ECF">
        <w:t> </w:t>
      </w:r>
      <w:r w:rsidR="001D11D7" w:rsidRPr="00BA5ECF">
        <w:t xml:space="preserve">m and a wavelength of </w:t>
      </w:r>
      <w:r w:rsidR="00C65F4B" w:rsidRPr="00BA5ECF">
        <w:t>0.001</w:t>
      </w:r>
      <w:r w:rsidR="001D11D7" w:rsidRPr="00BA5ECF">
        <w:t>5</w:t>
      </w:r>
      <w:r w:rsidR="00C65F4B" w:rsidRPr="00BA5ECF">
        <w:t> </w:t>
      </w:r>
      <w:r w:rsidR="001D11D7" w:rsidRPr="00BA5ECF">
        <w:t xml:space="preserve">m. The </w:t>
      </w:r>
      <w:r w:rsidR="00870A11" w:rsidRPr="00BA5ECF">
        <w:t>structure was represented w</w:t>
      </w:r>
      <w:r w:rsidR="001D11D7" w:rsidRPr="00BA5ECF">
        <w:t>ith a sinusoidal shape</w:t>
      </w:r>
      <w:r w:rsidR="00E7194C" w:rsidRPr="00BA5ECF">
        <w:t xml:space="preserve"> for CAD modeling.</w:t>
      </w:r>
      <w:r w:rsidR="001D11D7" w:rsidRPr="00BA5ECF">
        <w:t xml:space="preserve"> </w:t>
      </w:r>
    </w:p>
    <w:p w14:paraId="539E2647" w14:textId="23F7949D" w:rsidR="001D11D7" w:rsidRPr="00BA5ECF" w:rsidRDefault="001D11D7" w:rsidP="001D11D7">
      <w:pPr>
        <w:pStyle w:val="Els-body-text"/>
        <w:jc w:val="left"/>
      </w:pPr>
      <w:r w:rsidRPr="00BA5ECF">
        <w:rPr>
          <w:noProof/>
        </w:rPr>
        <w:drawing>
          <wp:inline distT="0" distB="0" distL="0" distR="0" wp14:anchorId="7952048E" wp14:editId="2764B977">
            <wp:extent cx="2093588" cy="696702"/>
            <wp:effectExtent l="0" t="0" r="254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llen.png"/>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t="44207"/>
                    <a:stretch/>
                  </pic:blipFill>
                  <pic:spPr bwMode="auto">
                    <a:xfrm>
                      <a:off x="0" y="0"/>
                      <a:ext cx="2117459" cy="704646"/>
                    </a:xfrm>
                    <a:prstGeom prst="rect">
                      <a:avLst/>
                    </a:prstGeom>
                    <a:ln>
                      <a:noFill/>
                    </a:ln>
                    <a:extLst>
                      <a:ext uri="{53640926-AAD7-44D8-BBD7-CCE9431645EC}">
                        <a14:shadowObscured xmlns:a14="http://schemas.microsoft.com/office/drawing/2010/main"/>
                      </a:ext>
                    </a:extLst>
                  </pic:spPr>
                </pic:pic>
              </a:graphicData>
            </a:graphic>
          </wp:inline>
        </w:drawing>
      </w:r>
      <w:r w:rsidRPr="00BA5ECF">
        <w:rPr>
          <w:noProof/>
        </w:rPr>
        <w:drawing>
          <wp:inline distT="0" distB="0" distL="0" distR="0" wp14:anchorId="6C0D1E21" wp14:editId="630157A6">
            <wp:extent cx="2185200" cy="698400"/>
            <wp:effectExtent l="0" t="0" r="5715"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20R_100_wellig.jpg"/>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6031" t="36544" b="23239"/>
                    <a:stretch/>
                  </pic:blipFill>
                  <pic:spPr bwMode="auto">
                    <a:xfrm flipH="1">
                      <a:off x="0" y="0"/>
                      <a:ext cx="2185200" cy="698400"/>
                    </a:xfrm>
                    <a:prstGeom prst="rect">
                      <a:avLst/>
                    </a:prstGeom>
                    <a:ln>
                      <a:noFill/>
                    </a:ln>
                    <a:extLst>
                      <a:ext uri="{53640926-AAD7-44D8-BBD7-CCE9431645EC}">
                        <a14:shadowObscured xmlns:a14="http://schemas.microsoft.com/office/drawing/2010/main"/>
                      </a:ext>
                    </a:extLst>
                  </pic:spPr>
                </pic:pic>
              </a:graphicData>
            </a:graphic>
          </wp:inline>
        </w:drawing>
      </w:r>
    </w:p>
    <w:p w14:paraId="360A4E45" w14:textId="4619A90A" w:rsidR="001D11D7" w:rsidRPr="00BA5ECF" w:rsidRDefault="001D11D7" w:rsidP="001D11D7">
      <w:pPr>
        <w:pStyle w:val="Didascalia"/>
      </w:pPr>
      <w:bookmarkStart w:id="2" w:name="_Ref149035120"/>
      <w:r w:rsidRPr="00BA5ECF">
        <w:t xml:space="preserve">Figure </w:t>
      </w:r>
      <w:r w:rsidRPr="00BA5ECF">
        <w:fldChar w:fldCharType="begin"/>
      </w:r>
      <w:r w:rsidRPr="00BA5ECF">
        <w:instrText xml:space="preserve"> SEQ Figure \* ARABIC </w:instrText>
      </w:r>
      <w:r w:rsidRPr="00BA5ECF">
        <w:fldChar w:fldCharType="separate"/>
      </w:r>
      <w:r w:rsidR="001071BB">
        <w:rPr>
          <w:noProof/>
        </w:rPr>
        <w:t>1</w:t>
      </w:r>
      <w:r w:rsidRPr="00BA5ECF">
        <w:fldChar w:fldCharType="end"/>
      </w:r>
      <w:bookmarkEnd w:id="2"/>
      <w:r w:rsidRPr="00BA5ECF">
        <w:t>: Sulzer packing</w:t>
      </w:r>
      <w:r w:rsidR="00172839" w:rsidRPr="00BA5ECF">
        <w:t xml:space="preserve"> </w:t>
      </w:r>
      <w:r w:rsidRPr="00BA5ECF">
        <w:t>microstructure captured by an optical microscope. Left: top view, right: side view.</w:t>
      </w:r>
    </w:p>
    <w:p w14:paraId="3084679F" w14:textId="0FE5D84B" w:rsidR="00620E83" w:rsidRPr="00BA5ECF" w:rsidRDefault="00620E83" w:rsidP="00620E83">
      <w:pPr>
        <w:pStyle w:val="Els-1storder-head"/>
      </w:pPr>
      <w:r w:rsidRPr="00BA5ECF">
        <w:t>Modeling</w:t>
      </w:r>
    </w:p>
    <w:p w14:paraId="56FBA0C4" w14:textId="4CC94238" w:rsidR="00203234" w:rsidRPr="00BA5ECF" w:rsidRDefault="00203234" w:rsidP="00203234">
      <w:pPr>
        <w:pStyle w:val="Els-2ndorder-head"/>
      </w:pPr>
      <w:bookmarkStart w:id="3" w:name="_Ref149222694"/>
      <w:r w:rsidRPr="00BA5ECF">
        <w:t>Governing Equations</w:t>
      </w:r>
      <w:bookmarkEnd w:id="3"/>
    </w:p>
    <w:p w14:paraId="62881B4C" w14:textId="31ABC346" w:rsidR="00620E83" w:rsidRPr="00BA5ECF" w:rsidRDefault="001D11D7" w:rsidP="00620E83">
      <w:pPr>
        <w:pStyle w:val="Els-body-text"/>
      </w:pPr>
      <w:r w:rsidRPr="00BA5ECF">
        <w:t>This work focuses on the liquid wetting</w:t>
      </w:r>
      <w:r w:rsidR="00C03511" w:rsidRPr="00BA5ECF">
        <w:t xml:space="preserve"> and follows the approach of </w:t>
      </w:r>
      <w:r w:rsidRPr="00BA5ECF">
        <w:t xml:space="preserve">Olenberg </w:t>
      </w:r>
      <w:r w:rsidR="002E5988" w:rsidRPr="00BA5ECF">
        <w:t>and Kenig (</w:t>
      </w:r>
      <w:r w:rsidRPr="00BA5ECF">
        <w:t>20</w:t>
      </w:r>
      <w:r w:rsidR="002E5988" w:rsidRPr="00BA5ECF">
        <w:t>17)</w:t>
      </w:r>
      <w:r w:rsidR="00C03511" w:rsidRPr="00BA5ECF">
        <w:t xml:space="preserve"> in which</w:t>
      </w:r>
      <w:r w:rsidR="002E5988" w:rsidRPr="00BA5ECF">
        <w:t xml:space="preserve"> a q</w:t>
      </w:r>
      <w:r w:rsidRPr="00BA5ECF">
        <w:t xml:space="preserve">uasi-stagnant gas phase </w:t>
      </w:r>
      <w:r w:rsidR="00C03511" w:rsidRPr="00BA5ECF">
        <w:t xml:space="preserve">is </w:t>
      </w:r>
      <w:r w:rsidRPr="00BA5ECF">
        <w:t xml:space="preserve">assumed. </w:t>
      </w:r>
      <w:r w:rsidR="00C65F4B" w:rsidRPr="00BA5ECF">
        <w:t xml:space="preserve">The movement of </w:t>
      </w:r>
      <w:r w:rsidR="00C03511" w:rsidRPr="00BA5ECF">
        <w:t xml:space="preserve">the </w:t>
      </w:r>
      <w:r w:rsidR="00C65F4B" w:rsidRPr="00BA5ECF">
        <w:t xml:space="preserve">gas </w:t>
      </w:r>
      <w:r w:rsidR="00C03511" w:rsidRPr="00BA5ECF">
        <w:t xml:space="preserve">phase </w:t>
      </w:r>
      <w:r w:rsidR="00C65F4B" w:rsidRPr="00BA5ECF">
        <w:t xml:space="preserve">is </w:t>
      </w:r>
      <w:r w:rsidR="00C03511" w:rsidRPr="00BA5ECF">
        <w:t xml:space="preserve">thus </w:t>
      </w:r>
      <w:r w:rsidR="00C65F4B" w:rsidRPr="00BA5ECF">
        <w:t xml:space="preserve">solely influenced by its interaction with the liquid phase. </w:t>
      </w:r>
      <w:r w:rsidR="00C03511" w:rsidRPr="00BA5ECF">
        <w:t xml:space="preserve">Further </w:t>
      </w:r>
      <w:r w:rsidR="00C65F4B" w:rsidRPr="00BA5ECF">
        <w:t xml:space="preserve">assumptions </w:t>
      </w:r>
      <w:r w:rsidR="00C03511" w:rsidRPr="00BA5ECF">
        <w:t xml:space="preserve">include </w:t>
      </w:r>
      <w:r w:rsidR="00C65F4B" w:rsidRPr="00BA5ECF">
        <w:t xml:space="preserve">incompressible and isothermal flow with Newtonian behavior. The continuity and momentum equations </w:t>
      </w:r>
      <w:r w:rsidR="00C03511" w:rsidRPr="00BA5ECF">
        <w:t xml:space="preserve">describing the two-phase fluid system are </w:t>
      </w:r>
      <w:r w:rsidR="00C65F4B" w:rsidRPr="00BA5ECF">
        <w:t>as follows:</w:t>
      </w:r>
    </w:p>
    <w:tbl>
      <w:tblPr>
        <w:tblW w:w="7087" w:type="dxa"/>
        <w:tblLook w:val="04A0" w:firstRow="1" w:lastRow="0" w:firstColumn="1" w:lastColumn="0" w:noHBand="0" w:noVBand="1"/>
      </w:tblPr>
      <w:tblGrid>
        <w:gridCol w:w="6122"/>
        <w:gridCol w:w="965"/>
      </w:tblGrid>
      <w:tr w:rsidR="001D11D7" w:rsidRPr="00BA5ECF" w14:paraId="00708FBD" w14:textId="77777777" w:rsidTr="001D11D7">
        <w:trPr>
          <w:trHeight w:val="528"/>
        </w:trPr>
        <w:tc>
          <w:tcPr>
            <w:tcW w:w="6122" w:type="dxa"/>
            <w:shd w:val="clear" w:color="auto" w:fill="auto"/>
            <w:vAlign w:val="center"/>
          </w:tcPr>
          <w:p w14:paraId="6E0E37BB" w14:textId="28D2D900" w:rsidR="001D11D7" w:rsidRPr="00BA5ECF" w:rsidRDefault="001D11D7" w:rsidP="001D11D7">
            <w:pPr>
              <w:pStyle w:val="Els-body-text"/>
              <w:spacing w:before="120" w:after="120" w:line="264" w:lineRule="auto"/>
              <w:rPr>
                <w:lang w:val="en-GB"/>
              </w:rPr>
            </w:pPr>
            <m:oMathPara>
              <m:oMathParaPr>
                <m:jc m:val="left"/>
              </m:oMathParaPr>
              <m:oMath>
                <m:r>
                  <m:rPr>
                    <m:sty m:val="p"/>
                  </m:rPr>
                  <w:rPr>
                    <w:rFonts w:ascii="Cambria Math" w:hAnsi="Cambria Math"/>
                  </w:rPr>
                  <m:t>∇</m:t>
                </m:r>
                <m:r>
                  <w:rPr>
                    <w:rFonts w:ascii="Cambria Math" w:hAnsi="Cambria Math"/>
                  </w:rPr>
                  <m:t>∙</m:t>
                </m:r>
                <m:r>
                  <m:rPr>
                    <m:sty m:val="bi"/>
                  </m:rPr>
                  <w:rPr>
                    <w:rFonts w:ascii="Cambria Math" w:hAnsi="Cambria Math"/>
                  </w:rPr>
                  <m:t>u</m:t>
                </m:r>
                <m:r>
                  <w:rPr>
                    <w:rFonts w:ascii="Cambria Math" w:hAnsi="Cambria Math"/>
                  </w:rPr>
                  <m:t>=0</m:t>
                </m:r>
              </m:oMath>
            </m:oMathPara>
          </w:p>
        </w:tc>
        <w:tc>
          <w:tcPr>
            <w:tcW w:w="965" w:type="dxa"/>
            <w:shd w:val="clear" w:color="auto" w:fill="auto"/>
            <w:vAlign w:val="center"/>
          </w:tcPr>
          <w:p w14:paraId="327CFFDD" w14:textId="0BEA39AD" w:rsidR="001D11D7" w:rsidRPr="00BA5ECF" w:rsidRDefault="001D11D7" w:rsidP="001D11D7">
            <w:pPr>
              <w:pStyle w:val="Didascalia"/>
              <w:jc w:val="right"/>
              <w:rPr>
                <w:lang w:val="en-GB"/>
              </w:rPr>
            </w:pPr>
            <w:bookmarkStart w:id="4" w:name="_Ref151729868"/>
            <w:r w:rsidRPr="00BA5ECF">
              <w:t>(</w:t>
            </w:r>
            <w:r w:rsidRPr="00BA5ECF">
              <w:fldChar w:fldCharType="begin"/>
            </w:r>
            <w:r w:rsidRPr="00BA5ECF">
              <w:instrText xml:space="preserve"> SEQ ( \* ARABIC </w:instrText>
            </w:r>
            <w:r w:rsidRPr="00BA5ECF">
              <w:fldChar w:fldCharType="separate"/>
            </w:r>
            <w:r w:rsidR="001071BB">
              <w:rPr>
                <w:noProof/>
              </w:rPr>
              <w:t>1</w:t>
            </w:r>
            <w:r w:rsidRPr="00BA5ECF">
              <w:fldChar w:fldCharType="end"/>
            </w:r>
            <w:r w:rsidRPr="00BA5ECF">
              <w:t>)</w:t>
            </w:r>
            <w:bookmarkEnd w:id="4"/>
          </w:p>
        </w:tc>
      </w:tr>
      <w:tr w:rsidR="001D11D7" w:rsidRPr="00BA5ECF" w14:paraId="50EA7FB0" w14:textId="77777777" w:rsidTr="001D11D7">
        <w:tc>
          <w:tcPr>
            <w:tcW w:w="6122" w:type="dxa"/>
            <w:shd w:val="clear" w:color="auto" w:fill="auto"/>
            <w:vAlign w:val="center"/>
          </w:tcPr>
          <w:p w14:paraId="33D6199F" w14:textId="60D0DCC2" w:rsidR="001D11D7" w:rsidRPr="00BA5ECF" w:rsidRDefault="001D11D7" w:rsidP="001D11D7">
            <w:pPr>
              <w:pStyle w:val="Els-body-text"/>
              <w:spacing w:before="120" w:after="120" w:line="264" w:lineRule="auto"/>
              <w:rPr>
                <w:lang w:val="en-GB"/>
              </w:rPr>
            </w:pPr>
            <m:oMathPara>
              <m:oMathParaPr>
                <m:jc m:val="left"/>
              </m:oMathParaPr>
              <m:oMath>
                <m:r>
                  <w:rPr>
                    <w:rFonts w:ascii="Cambria Math" w:hAnsi="Cambria Math"/>
                  </w:rPr>
                  <m:t>ρ</m:t>
                </m:r>
                <m:f>
                  <m:fPr>
                    <m:ctrlPr>
                      <w:rPr>
                        <w:rFonts w:ascii="Cambria Math" w:hAnsi="Cambria Math"/>
                        <w:i/>
                      </w:rPr>
                    </m:ctrlPr>
                  </m:fPr>
                  <m:num>
                    <m:r>
                      <w:rPr>
                        <w:rFonts w:ascii="Cambria Math" w:hAnsi="Cambria Math"/>
                      </w:rPr>
                      <m:t>∂</m:t>
                    </m:r>
                    <m:r>
                      <m:rPr>
                        <m:sty m:val="bi"/>
                      </m:rPr>
                      <w:rPr>
                        <w:rFonts w:ascii="Cambria Math" w:hAnsi="Cambria Math"/>
                      </w:rPr>
                      <m:t>u</m:t>
                    </m:r>
                  </m:num>
                  <m:den>
                    <m:r>
                      <w:rPr>
                        <w:rFonts w:ascii="Cambria Math" w:hAnsi="Cambria Math"/>
                      </w:rPr>
                      <m:t>∂t</m:t>
                    </m:r>
                  </m:den>
                </m:f>
                <m:r>
                  <w:rPr>
                    <w:rFonts w:ascii="Cambria Math" w:hAnsi="Cambria Math"/>
                  </w:rPr>
                  <m:t>+ρ</m:t>
                </m:r>
                <m:r>
                  <m:rPr>
                    <m:sty m:val="p"/>
                  </m:rPr>
                  <w:rPr>
                    <w:rFonts w:ascii="Cambria Math" w:hAnsi="Cambria Math"/>
                  </w:rPr>
                  <m:t>∇</m:t>
                </m:r>
                <m:r>
                  <w:rPr>
                    <w:rFonts w:ascii="Cambria Math" w:hAnsi="Cambria Math"/>
                  </w:rPr>
                  <m:t>∙</m:t>
                </m:r>
                <m:d>
                  <m:dPr>
                    <m:ctrlPr>
                      <w:rPr>
                        <w:rFonts w:ascii="Cambria Math" w:hAnsi="Cambria Math"/>
                        <w:i/>
                      </w:rPr>
                    </m:ctrlPr>
                  </m:dPr>
                  <m:e>
                    <m:r>
                      <m:rPr>
                        <m:sty m:val="bi"/>
                      </m:rPr>
                      <w:rPr>
                        <w:rFonts w:ascii="Cambria Math" w:hAnsi="Cambria Math"/>
                      </w:rPr>
                      <m:t>uu</m:t>
                    </m:r>
                  </m:e>
                </m:d>
                <m:r>
                  <w:rPr>
                    <w:rFonts w:ascii="Cambria Math" w:hAnsi="Cambria Math"/>
                  </w:rPr>
                  <m:t>=-</m:t>
                </m:r>
                <m:r>
                  <m:rPr>
                    <m:sty m:val="p"/>
                  </m:rPr>
                  <w:rPr>
                    <w:rFonts w:ascii="Cambria Math" w:hAnsi="Cambria Math"/>
                  </w:rPr>
                  <m:t>∇</m:t>
                </m:r>
                <m:r>
                  <w:rPr>
                    <w:rFonts w:ascii="Cambria Math" w:hAnsi="Cambria Math"/>
                  </w:rPr>
                  <m:t>p+ρ</m:t>
                </m:r>
                <m:r>
                  <m:rPr>
                    <m:sty m:val="bi"/>
                  </m:rPr>
                  <w:rPr>
                    <w:rFonts w:ascii="Cambria Math" w:hAnsi="Cambria Math"/>
                  </w:rPr>
                  <m:t>g</m:t>
                </m:r>
                <m:r>
                  <w:rPr>
                    <w:rFonts w:ascii="Cambria Math" w:hAnsi="Cambria Math"/>
                  </w:rPr>
                  <m:t>+η</m:t>
                </m:r>
                <m:sSup>
                  <m:sSupPr>
                    <m:ctrlPr>
                      <w:rPr>
                        <w:rFonts w:ascii="Cambria Math" w:hAnsi="Cambria Math"/>
                        <w:i/>
                      </w:rPr>
                    </m:ctrlPr>
                  </m:sSupPr>
                  <m:e>
                    <m:r>
                      <m:rPr>
                        <m:sty m:val="p"/>
                      </m:rPr>
                      <w:rPr>
                        <w:rFonts w:ascii="Cambria Math" w:hAnsi="Cambria Math"/>
                      </w:rPr>
                      <m:t>∇</m:t>
                    </m:r>
                  </m:e>
                  <m:sup>
                    <m:r>
                      <w:rPr>
                        <w:rFonts w:ascii="Cambria Math" w:hAnsi="Cambria Math"/>
                      </w:rPr>
                      <m:t>2</m:t>
                    </m:r>
                  </m:sup>
                </m:sSup>
                <m:r>
                  <m:rPr>
                    <m:sty m:val="bi"/>
                  </m:rPr>
                  <w:rPr>
                    <w:rFonts w:ascii="Cambria Math" w:hAnsi="Cambria Math"/>
                  </w:rPr>
                  <m:t>u</m:t>
                </m:r>
                <m:r>
                  <w:rPr>
                    <w:rFonts w:ascii="Cambria Math" w:hAnsi="Cambria Math"/>
                  </w:rPr>
                  <m:t>+</m:t>
                </m:r>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σ</m:t>
                    </m:r>
                  </m:sub>
                </m:sSub>
              </m:oMath>
            </m:oMathPara>
          </w:p>
        </w:tc>
        <w:tc>
          <w:tcPr>
            <w:tcW w:w="965" w:type="dxa"/>
            <w:shd w:val="clear" w:color="auto" w:fill="auto"/>
            <w:vAlign w:val="center"/>
          </w:tcPr>
          <w:p w14:paraId="37A1B005" w14:textId="1FDFB7DA" w:rsidR="001D11D7" w:rsidRPr="00BA5ECF" w:rsidRDefault="001D11D7" w:rsidP="001D11D7">
            <w:pPr>
              <w:pStyle w:val="Didascalia"/>
              <w:jc w:val="right"/>
            </w:pPr>
            <w:bookmarkStart w:id="5" w:name="_Ref151729843"/>
            <w:bookmarkStart w:id="6" w:name="_Ref149208662"/>
            <w:r w:rsidRPr="00BA5ECF">
              <w:t>(</w:t>
            </w:r>
            <w:r w:rsidRPr="00BA5ECF">
              <w:fldChar w:fldCharType="begin"/>
            </w:r>
            <w:r w:rsidRPr="00BA5ECF">
              <w:instrText xml:space="preserve"> SEQ ( \* ARABIC </w:instrText>
            </w:r>
            <w:r w:rsidRPr="00BA5ECF">
              <w:fldChar w:fldCharType="separate"/>
            </w:r>
            <w:r w:rsidR="001071BB">
              <w:rPr>
                <w:noProof/>
              </w:rPr>
              <w:t>2</w:t>
            </w:r>
            <w:r w:rsidRPr="00BA5ECF">
              <w:fldChar w:fldCharType="end"/>
            </w:r>
            <w:bookmarkEnd w:id="5"/>
            <w:r w:rsidRPr="00BA5ECF">
              <w:t>)</w:t>
            </w:r>
            <w:bookmarkEnd w:id="6"/>
          </w:p>
        </w:tc>
      </w:tr>
    </w:tbl>
    <w:p w14:paraId="1F0E40F8" w14:textId="204375F6" w:rsidR="00A97539" w:rsidRPr="00BA5ECF" w:rsidRDefault="001D11D7" w:rsidP="00620E83">
      <w:pPr>
        <w:pStyle w:val="Els-body-text"/>
      </w:pPr>
      <w:r w:rsidRPr="00BA5ECF">
        <w:t xml:space="preserve">where </w:t>
      </w:r>
      <w:r w:rsidRPr="00BA5ECF">
        <w:rPr>
          <w:i/>
        </w:rPr>
        <w:t>ρ</w:t>
      </w:r>
      <w:r w:rsidRPr="00BA5ECF">
        <w:t xml:space="preserve"> is density, </w:t>
      </w:r>
      <w:r w:rsidRPr="00BA5ECF">
        <w:rPr>
          <w:i/>
        </w:rPr>
        <w:t>t</w:t>
      </w:r>
      <w:r w:rsidRPr="00BA5ECF">
        <w:t xml:space="preserve"> is time, </w:t>
      </w:r>
      <w:r w:rsidRPr="00BA5ECF">
        <w:rPr>
          <w:b/>
          <w:i/>
        </w:rPr>
        <w:t>u</w:t>
      </w:r>
      <w:r w:rsidRPr="00BA5ECF">
        <w:t xml:space="preserve"> is velocity vector, </w:t>
      </w:r>
      <w:r w:rsidRPr="00BA5ECF">
        <w:rPr>
          <w:i/>
        </w:rPr>
        <w:t>p</w:t>
      </w:r>
      <w:r w:rsidRPr="00BA5ECF">
        <w:t xml:space="preserve"> is pressure, </w:t>
      </w:r>
      <w:r w:rsidRPr="00BA5ECF">
        <w:rPr>
          <w:b/>
          <w:i/>
        </w:rPr>
        <w:t>g</w:t>
      </w:r>
      <w:r w:rsidRPr="00BA5ECF">
        <w:t xml:space="preserve"> is gravity, </w:t>
      </w:r>
      <w:r w:rsidRPr="00BA5ECF">
        <w:rPr>
          <w:i/>
        </w:rPr>
        <w:t>η</w:t>
      </w:r>
      <w:r w:rsidRPr="00BA5ECF">
        <w:t xml:space="preserve"> is dynamic viscosity and </w:t>
      </w:r>
      <w:r w:rsidRPr="00BA5ECF">
        <w:rPr>
          <w:b/>
          <w:i/>
        </w:rPr>
        <w:t>f</w:t>
      </w:r>
      <w:r w:rsidRPr="00BA5ECF">
        <w:rPr>
          <w:b/>
          <w:i/>
          <w:vertAlign w:val="subscript"/>
        </w:rPr>
        <w:t>σ</w:t>
      </w:r>
      <w:r w:rsidRPr="00BA5ECF">
        <w:t xml:space="preserve"> is a source term, which acts as a volume force and accounts for the surface tension effects at the free phase interface</w:t>
      </w:r>
      <w:r w:rsidR="00FA7368" w:rsidRPr="00BA5ECF">
        <w:t xml:space="preserve"> (Brackbill et al.</w:t>
      </w:r>
      <w:r w:rsidR="00D31178" w:rsidRPr="00BA5ECF">
        <w:t>,</w:t>
      </w:r>
      <w:r w:rsidR="00FA7368" w:rsidRPr="00BA5ECF">
        <w:t xml:space="preserve"> 1992)</w:t>
      </w:r>
      <w:r w:rsidRPr="00BA5ECF">
        <w:t xml:space="preserve">. </w:t>
      </w:r>
      <w:r w:rsidR="002826C4" w:rsidRPr="00BA5ECF">
        <w:t>Th</w:t>
      </w:r>
      <w:r w:rsidRPr="00BA5ECF">
        <w:t xml:space="preserve">e volume-of-fluid method (VOF) proposed by Hirt and Nichols (1981) was selected to resolve the free surface movement. </w:t>
      </w:r>
      <w:r w:rsidR="005F6363" w:rsidRPr="00BA5ECF">
        <w:t>In the original VOF formulation</w:t>
      </w:r>
      <w:r w:rsidR="004B5037" w:rsidRPr="00BA5ECF">
        <w:t>,</w:t>
      </w:r>
      <w:r w:rsidR="005F6363" w:rsidRPr="00BA5ECF">
        <w:t xml:space="preserve"> t</w:t>
      </w:r>
      <w:r w:rsidRPr="00BA5ECF">
        <w:t xml:space="preserve">he interface </w:t>
      </w:r>
      <w:r w:rsidR="00EF6889" w:rsidRPr="00BA5ECF">
        <w:t>is resolved with</w:t>
      </w:r>
      <w:r w:rsidRPr="00BA5ECF">
        <w:t xml:space="preserve"> a finite thickness</w:t>
      </w:r>
      <w:r w:rsidR="002826C4" w:rsidRPr="00BA5ECF">
        <w:t xml:space="preserve"> and </w:t>
      </w:r>
      <w:r w:rsidR="00C03511" w:rsidRPr="00BA5ECF">
        <w:t xml:space="preserve">its </w:t>
      </w:r>
      <w:r w:rsidR="002826C4" w:rsidRPr="00BA5ECF">
        <w:t>exact location is not known. This</w:t>
      </w:r>
      <w:r w:rsidR="005F6363" w:rsidRPr="00BA5ECF">
        <w:t xml:space="preserve"> leads to </w:t>
      </w:r>
      <w:r w:rsidR="00E7194C" w:rsidRPr="00BA5ECF">
        <w:t>inaccurate calculations of</w:t>
      </w:r>
      <w:r w:rsidR="005F6363" w:rsidRPr="00BA5ECF">
        <w:t xml:space="preserve"> </w:t>
      </w:r>
      <w:r w:rsidR="00E7194C" w:rsidRPr="00BA5ECF">
        <w:t xml:space="preserve">interfacial </w:t>
      </w:r>
      <w:r w:rsidR="005F6363" w:rsidRPr="00BA5ECF">
        <w:t>normal vector</w:t>
      </w:r>
      <w:r w:rsidR="00E7194C" w:rsidRPr="00BA5ECF">
        <w:t>s</w:t>
      </w:r>
      <w:r w:rsidR="005F6363" w:rsidRPr="00BA5ECF">
        <w:t xml:space="preserve"> and </w:t>
      </w:r>
      <w:r w:rsidR="00E7194C" w:rsidRPr="00BA5ECF">
        <w:t>inter</w:t>
      </w:r>
      <w:r w:rsidR="005F6363" w:rsidRPr="00BA5ECF">
        <w:t>fac</w:t>
      </w:r>
      <w:r w:rsidR="00F3105A" w:rsidRPr="00BA5ECF">
        <w:t>ial</w:t>
      </w:r>
      <w:r w:rsidR="005F6363" w:rsidRPr="00BA5ECF">
        <w:t xml:space="preserve"> flu</w:t>
      </w:r>
      <w:r w:rsidR="00E7194C" w:rsidRPr="00BA5ECF">
        <w:t>xes</w:t>
      </w:r>
      <w:r w:rsidRPr="00BA5ECF">
        <w:t xml:space="preserve">. </w:t>
      </w:r>
      <w:r w:rsidR="002826C4" w:rsidRPr="00BA5ECF">
        <w:t xml:space="preserve">To determine the exact location and to increase the accuracy of the </w:t>
      </w:r>
      <w:r w:rsidR="00752688" w:rsidRPr="00BA5ECF">
        <w:t xml:space="preserve">simulations, </w:t>
      </w:r>
      <w:r w:rsidR="002826C4" w:rsidRPr="00BA5ECF">
        <w:t>the</w:t>
      </w:r>
      <w:r w:rsidRPr="00BA5ECF">
        <w:t xml:space="preserve"> piece-wise linear interface calculation (PLIC) method originally proposed by Youngs (1982) was</w:t>
      </w:r>
      <w:r w:rsidR="002826C4" w:rsidRPr="00BA5ECF">
        <w:t xml:space="preserve"> </w:t>
      </w:r>
      <w:r w:rsidR="00752688" w:rsidRPr="00BA5ECF">
        <w:t>applied</w:t>
      </w:r>
      <w:r w:rsidR="005F6363" w:rsidRPr="00BA5ECF">
        <w:t>.</w:t>
      </w:r>
      <w:r w:rsidR="00CC5A2B" w:rsidRPr="00BA5ECF">
        <w:t xml:space="preserve"> </w:t>
      </w:r>
      <w:r w:rsidR="00D31178" w:rsidRPr="00BA5ECF">
        <w:t xml:space="preserve">To govern turbulence within </w:t>
      </w:r>
      <w:r w:rsidR="00D31178" w:rsidRPr="007173D8">
        <w:t xml:space="preserve">the </w:t>
      </w:r>
      <w:r w:rsidR="008A2214" w:rsidRPr="007173D8">
        <w:t>Reynolds-averaged Navier-Stokes (</w:t>
      </w:r>
      <w:r w:rsidR="00D31178" w:rsidRPr="007173D8">
        <w:t>RANS</w:t>
      </w:r>
      <w:r w:rsidR="008A2214" w:rsidRPr="007173D8">
        <w:t>)</w:t>
      </w:r>
      <w:r w:rsidR="00D31178" w:rsidRPr="007173D8">
        <w:t xml:space="preserve"> </w:t>
      </w:r>
      <w:r w:rsidR="009528AF" w:rsidRPr="007173D8">
        <w:t>modeling</w:t>
      </w:r>
      <w:r w:rsidR="00D31178" w:rsidRPr="00BA5ECF">
        <w:t>,</w:t>
      </w:r>
      <w:r w:rsidR="009528AF" w:rsidRPr="00BA5ECF">
        <w:t xml:space="preserve"> the Reynolds stress term is </w:t>
      </w:r>
      <w:r w:rsidR="00D31178" w:rsidRPr="00BA5ECF">
        <w:t xml:space="preserve">implemented in </w:t>
      </w:r>
      <w:r w:rsidR="009528AF" w:rsidRPr="00BA5ECF">
        <w:t xml:space="preserve">Equation </w:t>
      </w:r>
      <w:r w:rsidR="009528AF" w:rsidRPr="00BA5ECF">
        <w:fldChar w:fldCharType="begin"/>
      </w:r>
      <w:r w:rsidR="009528AF" w:rsidRPr="00BA5ECF">
        <w:instrText xml:space="preserve"> REF _Ref149208662 \h  \* MERGEFORMAT </w:instrText>
      </w:r>
      <w:r w:rsidR="009528AF" w:rsidRPr="00BA5ECF">
        <w:fldChar w:fldCharType="separate"/>
      </w:r>
      <w:r w:rsidR="001071BB" w:rsidRPr="00BA5ECF">
        <w:t>(</w:t>
      </w:r>
      <w:r w:rsidR="001071BB">
        <w:rPr>
          <w:noProof/>
        </w:rPr>
        <w:t>2</w:t>
      </w:r>
      <w:r w:rsidR="001071BB" w:rsidRPr="00BA5ECF">
        <w:t>)</w:t>
      </w:r>
      <w:r w:rsidR="009528AF" w:rsidRPr="00BA5ECF">
        <w:fldChar w:fldCharType="end"/>
      </w:r>
      <w:r w:rsidR="00D31178" w:rsidRPr="00BA5ECF">
        <w:t xml:space="preserve"> and</w:t>
      </w:r>
      <w:r w:rsidR="00CC5A2B" w:rsidRPr="00BA5ECF">
        <w:t xml:space="preserve"> the k-omega SST model</w:t>
      </w:r>
      <w:r w:rsidR="00D31178" w:rsidRPr="00BA5ECF">
        <w:t xml:space="preserve"> is employed</w:t>
      </w:r>
      <w:r w:rsidR="00CC5A2B" w:rsidRPr="00BA5ECF">
        <w:t>.</w:t>
      </w:r>
      <w:r w:rsidR="009528AF" w:rsidRPr="00BA5ECF">
        <w:t xml:space="preserve"> </w:t>
      </w:r>
    </w:p>
    <w:p w14:paraId="4D31FA9B" w14:textId="1576EC92" w:rsidR="00A97539" w:rsidRPr="00BA5ECF" w:rsidRDefault="00A97539" w:rsidP="00620E83">
      <w:pPr>
        <w:pStyle w:val="Els-2ndorder-head"/>
      </w:pPr>
      <w:bookmarkStart w:id="7" w:name="_Ref149222838"/>
      <w:r w:rsidRPr="00BA5ECF">
        <w:t>Modification for Fully Periodic Flow</w:t>
      </w:r>
      <w:bookmarkEnd w:id="7"/>
      <w:r w:rsidRPr="00BA5ECF">
        <w:t xml:space="preserve"> </w:t>
      </w:r>
    </w:p>
    <w:p w14:paraId="33519B53" w14:textId="18A7C091" w:rsidR="00A97539" w:rsidRPr="00BA5ECF" w:rsidRDefault="00A97539" w:rsidP="00620E83">
      <w:pPr>
        <w:pStyle w:val="Els-body-text"/>
      </w:pPr>
      <w:r w:rsidRPr="00BA5ECF">
        <w:t>For a fully periodic simulation, all values and gradients at the</w:t>
      </w:r>
      <w:r w:rsidR="002826C4" w:rsidRPr="00BA5ECF">
        <w:t xml:space="preserve"> faces of the</w:t>
      </w:r>
      <w:r w:rsidRPr="00BA5ECF">
        <w:t xml:space="preserve"> periodic boundaries must have the same value. For the velocity</w:t>
      </w:r>
      <w:r w:rsidR="004B5037" w:rsidRPr="00BA5ECF">
        <w:t>,</w:t>
      </w:r>
      <w:r w:rsidRPr="00BA5ECF">
        <w:t xml:space="preserve"> this is </w:t>
      </w:r>
      <w:r w:rsidR="000F7C46" w:rsidRPr="00BA5ECF">
        <w:t xml:space="preserve">straightforward </w:t>
      </w:r>
      <w:r w:rsidRPr="00BA5ECF">
        <w:t xml:space="preserve">because the fluids are incompressible. </w:t>
      </w:r>
      <w:r w:rsidR="000F7C46" w:rsidRPr="00BA5ECF">
        <w:t xml:space="preserve">However, </w:t>
      </w:r>
      <w:r w:rsidRPr="00BA5ECF">
        <w:t xml:space="preserve">pressure is </w:t>
      </w:r>
      <w:r w:rsidR="000C5B16" w:rsidRPr="00BA5ECF">
        <w:t>not periodic</w:t>
      </w:r>
      <w:r w:rsidRPr="00BA5ECF">
        <w:t xml:space="preserve">. </w:t>
      </w:r>
      <w:r w:rsidR="000F7C46" w:rsidRPr="00BA5ECF">
        <w:t xml:space="preserve">It </w:t>
      </w:r>
      <w:r w:rsidRPr="00BA5ECF">
        <w:t xml:space="preserve">consists of two parts, the dynamic pressure </w:t>
      </w:r>
      <w:r w:rsidRPr="00BA5ECF">
        <w:rPr>
          <w:i/>
        </w:rPr>
        <w:t>p</w:t>
      </w:r>
      <w:r w:rsidRPr="00BA5ECF">
        <w:rPr>
          <w:i/>
          <w:vertAlign w:val="subscript"/>
        </w:rPr>
        <w:t>dyn</w:t>
      </w:r>
      <w:r w:rsidRPr="00BA5ECF">
        <w:t xml:space="preserve"> and the static pressure </w:t>
      </w:r>
      <w:r w:rsidRPr="00BA5ECF">
        <w:rPr>
          <w:i/>
        </w:rPr>
        <w:t>p</w:t>
      </w:r>
      <w:r w:rsidRPr="00BA5ECF">
        <w:rPr>
          <w:i/>
          <w:vertAlign w:val="subscript"/>
        </w:rPr>
        <w:t>stat</w:t>
      </w:r>
      <w:r w:rsidR="000F7C46" w:rsidRPr="00BA5ECF">
        <w:t>:</w:t>
      </w:r>
    </w:p>
    <w:tbl>
      <w:tblPr>
        <w:tblW w:w="7087" w:type="dxa"/>
        <w:tblLook w:val="04A0" w:firstRow="1" w:lastRow="0" w:firstColumn="1" w:lastColumn="0" w:noHBand="0" w:noVBand="1"/>
      </w:tblPr>
      <w:tblGrid>
        <w:gridCol w:w="6122"/>
        <w:gridCol w:w="965"/>
      </w:tblGrid>
      <w:tr w:rsidR="00170BF1" w:rsidRPr="00BA5ECF" w14:paraId="1567D423" w14:textId="77777777" w:rsidTr="00C352E3">
        <w:tc>
          <w:tcPr>
            <w:tcW w:w="6122" w:type="dxa"/>
            <w:shd w:val="clear" w:color="auto" w:fill="auto"/>
            <w:vAlign w:val="center"/>
          </w:tcPr>
          <w:p w14:paraId="7181F25E" w14:textId="05F52E92" w:rsidR="00A97539" w:rsidRPr="00BA5ECF" w:rsidRDefault="00A97539" w:rsidP="00C352E3">
            <w:pPr>
              <w:pStyle w:val="Els-body-text"/>
              <w:spacing w:before="120" w:after="120" w:line="264" w:lineRule="auto"/>
              <w:rPr>
                <w:lang w:val="en-GB"/>
              </w:rPr>
            </w:pPr>
            <m:oMathPara>
              <m:oMathParaPr>
                <m:jc m:val="left"/>
              </m:oMathParaPr>
              <m:oMath>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dyn</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m:t>
                    </m:r>
                  </m:sub>
                </m:sSub>
              </m:oMath>
            </m:oMathPara>
          </w:p>
        </w:tc>
        <w:tc>
          <w:tcPr>
            <w:tcW w:w="965" w:type="dxa"/>
            <w:shd w:val="clear" w:color="auto" w:fill="auto"/>
            <w:vAlign w:val="center"/>
          </w:tcPr>
          <w:p w14:paraId="213BFD0E" w14:textId="51337D69" w:rsidR="00A97539" w:rsidRPr="00BA5ECF" w:rsidRDefault="00A97539" w:rsidP="00C352E3">
            <w:pPr>
              <w:pStyle w:val="Didascalia"/>
              <w:jc w:val="right"/>
            </w:pPr>
            <w:bookmarkStart w:id="8" w:name="_Ref149208629"/>
            <w:r w:rsidRPr="00BA5ECF">
              <w:t>(</w:t>
            </w:r>
            <w:r w:rsidRPr="00BA5ECF">
              <w:fldChar w:fldCharType="begin"/>
            </w:r>
            <w:r w:rsidRPr="00BA5ECF">
              <w:instrText xml:space="preserve"> SEQ ( \* ARABIC </w:instrText>
            </w:r>
            <w:r w:rsidRPr="00BA5ECF">
              <w:fldChar w:fldCharType="separate"/>
            </w:r>
            <w:r w:rsidR="001071BB">
              <w:rPr>
                <w:noProof/>
              </w:rPr>
              <w:t>3</w:t>
            </w:r>
            <w:r w:rsidRPr="00BA5ECF">
              <w:fldChar w:fldCharType="end"/>
            </w:r>
            <w:r w:rsidRPr="00BA5ECF">
              <w:t>)</w:t>
            </w:r>
            <w:bookmarkEnd w:id="8"/>
          </w:p>
        </w:tc>
      </w:tr>
    </w:tbl>
    <w:p w14:paraId="367D9896" w14:textId="75153F6E" w:rsidR="00A97539" w:rsidRPr="00BA5ECF" w:rsidRDefault="005D008A" w:rsidP="00620E83">
      <w:pPr>
        <w:pStyle w:val="Els-body-text"/>
      </w:pPr>
      <w:r w:rsidRPr="00BA5ECF">
        <w:lastRenderedPageBreak/>
        <w:t>The dynamic pressure is</w:t>
      </w:r>
      <w:r w:rsidR="00CA199A" w:rsidRPr="00BA5ECF">
        <w:t xml:space="preserve">, again, periodic due to </w:t>
      </w:r>
      <w:r w:rsidRPr="00BA5ECF">
        <w:t>incompressib</w:t>
      </w:r>
      <w:r w:rsidR="00CA199A" w:rsidRPr="00BA5ECF">
        <w:t>ility</w:t>
      </w:r>
      <w:r w:rsidRPr="00BA5ECF">
        <w:t>. The static pressure is affected by the driving forces</w:t>
      </w:r>
      <w:r w:rsidR="000C5B16" w:rsidRPr="00BA5ECF">
        <w:t>, in this case</w:t>
      </w:r>
      <w:r w:rsidR="00CA199A" w:rsidRPr="00BA5ECF">
        <w:t>,</w:t>
      </w:r>
      <w:r w:rsidR="000C5B16" w:rsidRPr="00BA5ECF">
        <w:t xml:space="preserve"> gravity</w:t>
      </w:r>
      <w:r w:rsidRPr="00BA5ECF">
        <w:t xml:space="preserve">. </w:t>
      </w:r>
      <w:r w:rsidR="000C5B16" w:rsidRPr="00BA5ECF">
        <w:t xml:space="preserve">Therefore, the pressure is only periodic at </w:t>
      </w:r>
      <w:r w:rsidR="00CA199A" w:rsidRPr="00BA5ECF">
        <w:t xml:space="preserve">the </w:t>
      </w:r>
      <w:r w:rsidR="000C5B16" w:rsidRPr="00BA5ECF">
        <w:t xml:space="preserve">boundaries orthogonal to gravity. </w:t>
      </w:r>
      <w:r w:rsidRPr="00BA5ECF">
        <w:t xml:space="preserve">To achieve </w:t>
      </w:r>
      <w:r w:rsidR="00CC5A2B" w:rsidRPr="00BA5ECF">
        <w:t xml:space="preserve">a </w:t>
      </w:r>
      <w:r w:rsidRPr="00BA5ECF">
        <w:t>periodic pressure</w:t>
      </w:r>
      <w:r w:rsidR="000C5B16" w:rsidRPr="00BA5ECF">
        <w:t xml:space="preserve"> at </w:t>
      </w:r>
      <w:r w:rsidR="00CA199A" w:rsidRPr="00BA5ECF">
        <w:t xml:space="preserve">the other </w:t>
      </w:r>
      <w:r w:rsidR="000C5B16" w:rsidRPr="00BA5ECF">
        <w:t>boundaries</w:t>
      </w:r>
      <w:r w:rsidRPr="00BA5ECF">
        <w:t xml:space="preserve">, the </w:t>
      </w:r>
      <w:r w:rsidR="000C5B16" w:rsidRPr="00BA5ECF">
        <w:t xml:space="preserve">static </w:t>
      </w:r>
      <w:r w:rsidRPr="00BA5ECF">
        <w:t xml:space="preserve">pressure difference caused </w:t>
      </w:r>
      <w:r w:rsidR="000C5B16" w:rsidRPr="00BA5ECF">
        <w:t>by gravity</w:t>
      </w:r>
      <w:r w:rsidRPr="00BA5ECF">
        <w:t xml:space="preserve"> is excluded from the overall pressure field</w:t>
      </w:r>
      <w:r w:rsidR="00A036F9" w:rsidRPr="00BA5ECF">
        <w:t xml:space="preserve">. This </w:t>
      </w:r>
      <w:r w:rsidR="00CC5A2B" w:rsidRPr="00BA5ECF">
        <w:t>is</w:t>
      </w:r>
      <w:r w:rsidR="00A036F9" w:rsidRPr="00BA5ECF">
        <w:t xml:space="preserve"> realized by substituting </w:t>
      </w:r>
      <w:r w:rsidRPr="00BA5ECF">
        <w:t xml:space="preserve">Equation </w:t>
      </w:r>
      <w:r w:rsidRPr="00BA5ECF">
        <w:fldChar w:fldCharType="begin"/>
      </w:r>
      <w:r w:rsidRPr="00BA5ECF">
        <w:instrText xml:space="preserve"> REF _Ref149208629 \h </w:instrText>
      </w:r>
      <w:r w:rsidR="00BA5ECF">
        <w:instrText xml:space="preserve"> \* MERGEFORMAT </w:instrText>
      </w:r>
      <w:r w:rsidRPr="00BA5ECF">
        <w:fldChar w:fldCharType="separate"/>
      </w:r>
      <w:r w:rsidR="001071BB" w:rsidRPr="00BA5ECF">
        <w:t>(</w:t>
      </w:r>
      <w:r w:rsidR="001071BB">
        <w:rPr>
          <w:noProof/>
        </w:rPr>
        <w:t>3</w:t>
      </w:r>
      <w:r w:rsidR="001071BB" w:rsidRPr="00BA5ECF">
        <w:t>)</w:t>
      </w:r>
      <w:r w:rsidRPr="00BA5ECF">
        <w:fldChar w:fldCharType="end"/>
      </w:r>
      <w:r w:rsidRPr="00BA5ECF">
        <w:t xml:space="preserve"> </w:t>
      </w:r>
      <w:r w:rsidR="00A036F9" w:rsidRPr="00BA5ECF">
        <w:t xml:space="preserve">in </w:t>
      </w:r>
      <w:r w:rsidRPr="00BA5ECF">
        <w:t xml:space="preserve">Equation </w:t>
      </w:r>
      <w:r w:rsidRPr="00BA5ECF">
        <w:fldChar w:fldCharType="begin"/>
      </w:r>
      <w:r w:rsidRPr="00BA5ECF">
        <w:instrText xml:space="preserve"> REF _Ref149208662 \h </w:instrText>
      </w:r>
      <w:r w:rsidR="00BA5ECF">
        <w:instrText xml:space="preserve"> \* MERGEFORMAT </w:instrText>
      </w:r>
      <w:r w:rsidRPr="00BA5ECF">
        <w:fldChar w:fldCharType="separate"/>
      </w:r>
      <w:r w:rsidR="001071BB" w:rsidRPr="00BA5ECF">
        <w:t>(</w:t>
      </w:r>
      <w:r w:rsidR="001071BB">
        <w:rPr>
          <w:noProof/>
        </w:rPr>
        <w:t>2</w:t>
      </w:r>
      <w:r w:rsidR="001071BB" w:rsidRPr="00BA5ECF">
        <w:t>)</w:t>
      </w:r>
      <w:r w:rsidRPr="00BA5ECF">
        <w:fldChar w:fldCharType="end"/>
      </w:r>
      <w:r w:rsidR="00A036F9" w:rsidRPr="00BA5ECF">
        <w:t>:</w:t>
      </w:r>
    </w:p>
    <w:tbl>
      <w:tblPr>
        <w:tblW w:w="7087" w:type="dxa"/>
        <w:tblLook w:val="04A0" w:firstRow="1" w:lastRow="0" w:firstColumn="1" w:lastColumn="0" w:noHBand="0" w:noVBand="1"/>
      </w:tblPr>
      <w:tblGrid>
        <w:gridCol w:w="6122"/>
        <w:gridCol w:w="965"/>
      </w:tblGrid>
      <w:tr w:rsidR="00170BF1" w:rsidRPr="00BA5ECF" w14:paraId="5189CA6B" w14:textId="77777777" w:rsidTr="00C352E3">
        <w:tc>
          <w:tcPr>
            <w:tcW w:w="6122" w:type="dxa"/>
            <w:shd w:val="clear" w:color="auto" w:fill="auto"/>
            <w:vAlign w:val="center"/>
          </w:tcPr>
          <w:p w14:paraId="5F2B23BF" w14:textId="1CDF1526" w:rsidR="00A97539" w:rsidRPr="00BA5ECF" w:rsidRDefault="00A97539" w:rsidP="00C352E3">
            <w:pPr>
              <w:pStyle w:val="Els-body-text"/>
              <w:spacing w:before="120" w:after="120" w:line="264" w:lineRule="auto"/>
              <w:rPr>
                <w:lang w:val="en-GB"/>
              </w:rPr>
            </w:pPr>
            <m:oMathPara>
              <m:oMathParaPr>
                <m:jc m:val="left"/>
              </m:oMathParaPr>
              <m:oMath>
                <m:r>
                  <w:rPr>
                    <w:rFonts w:ascii="Cambria Math" w:hAnsi="Cambria Math"/>
                  </w:rPr>
                  <m:t>ρ</m:t>
                </m:r>
                <m:f>
                  <m:fPr>
                    <m:ctrlPr>
                      <w:rPr>
                        <w:rFonts w:ascii="Cambria Math" w:hAnsi="Cambria Math"/>
                        <w:i/>
                      </w:rPr>
                    </m:ctrlPr>
                  </m:fPr>
                  <m:num>
                    <m:r>
                      <w:rPr>
                        <w:rFonts w:ascii="Cambria Math" w:hAnsi="Cambria Math"/>
                      </w:rPr>
                      <m:t>∂</m:t>
                    </m:r>
                    <m:r>
                      <m:rPr>
                        <m:sty m:val="bi"/>
                      </m:rPr>
                      <w:rPr>
                        <w:rFonts w:ascii="Cambria Math" w:hAnsi="Cambria Math"/>
                      </w:rPr>
                      <m:t>u</m:t>
                    </m:r>
                  </m:num>
                  <m:den>
                    <m:r>
                      <w:rPr>
                        <w:rFonts w:ascii="Cambria Math" w:hAnsi="Cambria Math"/>
                      </w:rPr>
                      <m:t>∂t</m:t>
                    </m:r>
                  </m:den>
                </m:f>
                <m:r>
                  <w:rPr>
                    <w:rFonts w:ascii="Cambria Math" w:hAnsi="Cambria Math"/>
                  </w:rPr>
                  <m:t>+ρ</m:t>
                </m:r>
                <m:r>
                  <m:rPr>
                    <m:sty m:val="p"/>
                  </m:rPr>
                  <w:rPr>
                    <w:rFonts w:ascii="Cambria Math" w:hAnsi="Cambria Math"/>
                  </w:rPr>
                  <m:t>∇</m:t>
                </m:r>
                <m:r>
                  <w:rPr>
                    <w:rFonts w:ascii="Cambria Math" w:hAnsi="Cambria Math"/>
                  </w:rPr>
                  <m:t>∙</m:t>
                </m:r>
                <m:d>
                  <m:dPr>
                    <m:ctrlPr>
                      <w:rPr>
                        <w:rFonts w:ascii="Cambria Math" w:hAnsi="Cambria Math"/>
                        <w:i/>
                      </w:rPr>
                    </m:ctrlPr>
                  </m:dPr>
                  <m:e>
                    <m:r>
                      <m:rPr>
                        <m:sty m:val="bi"/>
                      </m:rPr>
                      <w:rPr>
                        <w:rFonts w:ascii="Cambria Math" w:hAnsi="Cambria Math"/>
                      </w:rPr>
                      <m:t>uu</m:t>
                    </m:r>
                  </m:e>
                </m:d>
                <m:r>
                  <w:rPr>
                    <w:rFonts w:ascii="Cambria Math" w:hAnsi="Cambria Math"/>
                  </w:rPr>
                  <m:t>=-</m:t>
                </m:r>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sub>
                </m:sSub>
                <m:r>
                  <w:rPr>
                    <w:rFonts w:ascii="Cambria Math" w:hAnsi="Cambria Math"/>
                  </w:rPr>
                  <m:t>+ρ</m:t>
                </m:r>
                <m:r>
                  <m:rPr>
                    <m:sty m:val="bi"/>
                  </m:rPr>
                  <w:rPr>
                    <w:rFonts w:ascii="Cambria Math" w:hAnsi="Cambria Math"/>
                  </w:rPr>
                  <m:t>g</m:t>
                </m:r>
                <m:r>
                  <w:rPr>
                    <w:rFonts w:ascii="Cambria Math" w:hAnsi="Cambria Math"/>
                  </w:rPr>
                  <m:t>+η</m:t>
                </m:r>
                <m:sSup>
                  <m:sSupPr>
                    <m:ctrlPr>
                      <w:rPr>
                        <w:rFonts w:ascii="Cambria Math" w:hAnsi="Cambria Math"/>
                        <w:i/>
                      </w:rPr>
                    </m:ctrlPr>
                  </m:sSupPr>
                  <m:e>
                    <m:r>
                      <m:rPr>
                        <m:sty m:val="p"/>
                      </m:rPr>
                      <w:rPr>
                        <w:rFonts w:ascii="Cambria Math" w:hAnsi="Cambria Math"/>
                      </w:rPr>
                      <m:t>∇</m:t>
                    </m:r>
                  </m:e>
                  <m:sup>
                    <m:r>
                      <w:rPr>
                        <w:rFonts w:ascii="Cambria Math" w:hAnsi="Cambria Math"/>
                      </w:rPr>
                      <m:t>2</m:t>
                    </m:r>
                  </m:sup>
                </m:sSup>
                <m:r>
                  <m:rPr>
                    <m:sty m:val="bi"/>
                  </m:rPr>
                  <w:rPr>
                    <w:rFonts w:ascii="Cambria Math" w:hAnsi="Cambria Math"/>
                  </w:rPr>
                  <m:t>u</m:t>
                </m:r>
                <m:r>
                  <w:rPr>
                    <w:rFonts w:ascii="Cambria Math" w:hAnsi="Cambria Math"/>
                  </w:rPr>
                  <m:t>+</m:t>
                </m:r>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σ</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stat</m:t>
                    </m:r>
                  </m:sub>
                </m:sSub>
              </m:oMath>
            </m:oMathPara>
          </w:p>
        </w:tc>
        <w:tc>
          <w:tcPr>
            <w:tcW w:w="965" w:type="dxa"/>
            <w:shd w:val="clear" w:color="auto" w:fill="auto"/>
            <w:vAlign w:val="center"/>
          </w:tcPr>
          <w:p w14:paraId="15073BB2" w14:textId="6C3A1DA0" w:rsidR="00A97539" w:rsidRPr="00BA5ECF" w:rsidRDefault="00A97539" w:rsidP="00C352E3">
            <w:pPr>
              <w:pStyle w:val="Didascalia"/>
              <w:jc w:val="right"/>
            </w:pPr>
            <w:r w:rsidRPr="00BA5ECF">
              <w:t>(</w:t>
            </w:r>
            <w:r w:rsidRPr="00BA5ECF">
              <w:fldChar w:fldCharType="begin"/>
            </w:r>
            <w:r w:rsidRPr="00BA5ECF">
              <w:instrText xml:space="preserve"> SEQ ( \* ARABIC </w:instrText>
            </w:r>
            <w:r w:rsidRPr="00BA5ECF">
              <w:fldChar w:fldCharType="separate"/>
            </w:r>
            <w:r w:rsidR="001071BB">
              <w:rPr>
                <w:noProof/>
              </w:rPr>
              <w:t>4</w:t>
            </w:r>
            <w:r w:rsidRPr="00BA5ECF">
              <w:fldChar w:fldCharType="end"/>
            </w:r>
            <w:r w:rsidRPr="00BA5ECF">
              <w:t>)</w:t>
            </w:r>
          </w:p>
        </w:tc>
      </w:tr>
    </w:tbl>
    <w:p w14:paraId="2F39E704" w14:textId="5292754B" w:rsidR="00A036F9" w:rsidRPr="00BA5ECF" w:rsidRDefault="0004635A" w:rsidP="00620E83">
      <w:pPr>
        <w:pStyle w:val="Els-body-text"/>
      </w:pPr>
      <w:r w:rsidRPr="00BA5ECF">
        <w:t>For a stagnant gas</w:t>
      </w:r>
      <w:r w:rsidR="00B6217B" w:rsidRPr="00BA5ECF">
        <w:t xml:space="preserve"> </w:t>
      </w:r>
      <w:r w:rsidRPr="00BA5ECF">
        <w:t>phase</w:t>
      </w:r>
      <w:r w:rsidR="00B6217B" w:rsidRPr="00BA5ECF">
        <w:t>,</w:t>
      </w:r>
      <w:r w:rsidRPr="00BA5ECF">
        <w:t xml:space="preserve"> </w:t>
      </w:r>
      <w:r w:rsidRPr="00BA5ECF">
        <w:rPr>
          <w:b/>
          <w:i/>
        </w:rPr>
        <w:t>f</w:t>
      </w:r>
      <w:r w:rsidRPr="00BA5ECF">
        <w:rPr>
          <w:b/>
          <w:i/>
          <w:vertAlign w:val="subscript"/>
        </w:rPr>
        <w:t>stat</w:t>
      </w:r>
      <w:r w:rsidRPr="00BA5ECF">
        <w:t xml:space="preserve"> reads as follows: </w:t>
      </w:r>
    </w:p>
    <w:tbl>
      <w:tblPr>
        <w:tblW w:w="7087" w:type="dxa"/>
        <w:tblLook w:val="04A0" w:firstRow="1" w:lastRow="0" w:firstColumn="1" w:lastColumn="0" w:noHBand="0" w:noVBand="1"/>
      </w:tblPr>
      <w:tblGrid>
        <w:gridCol w:w="6122"/>
        <w:gridCol w:w="965"/>
      </w:tblGrid>
      <w:tr w:rsidR="00A036F9" w:rsidRPr="00BA5ECF" w14:paraId="0D9A4326" w14:textId="77777777" w:rsidTr="00C352E3">
        <w:tc>
          <w:tcPr>
            <w:tcW w:w="6122" w:type="dxa"/>
            <w:shd w:val="clear" w:color="auto" w:fill="auto"/>
            <w:vAlign w:val="center"/>
          </w:tcPr>
          <w:p w14:paraId="07343D00" w14:textId="77777777" w:rsidR="00A036F9" w:rsidRPr="00BA5ECF" w:rsidRDefault="00741C19" w:rsidP="00C352E3">
            <w:pPr>
              <w:pStyle w:val="Els-body-text"/>
              <w:spacing w:before="120" w:after="120" w:line="264" w:lineRule="auto"/>
              <w:rPr>
                <w:lang w:val="en-GB"/>
              </w:rPr>
            </w:pPr>
            <m:oMathPara>
              <m:oMathParaPr>
                <m:jc m:val="left"/>
              </m:oMathParaPr>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stat</m:t>
                    </m:r>
                  </m:sub>
                </m:sSub>
                <m:r>
                  <w:rPr>
                    <w:rFonts w:ascii="Cambria Math" w:hAnsi="Cambria Math"/>
                  </w:rPr>
                  <m:t>=-</m:t>
                </m:r>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g</m:t>
                    </m:r>
                  </m:sub>
                </m:sSub>
                <m:r>
                  <w:rPr>
                    <w:rFonts w:ascii="Cambria Math" w:hAnsi="Cambria Math"/>
                  </w:rPr>
                  <m:t>·</m:t>
                </m:r>
                <m:r>
                  <m:rPr>
                    <m:sty m:val="bi"/>
                  </m:rPr>
                  <w:rPr>
                    <w:rFonts w:ascii="Cambria Math" w:hAnsi="Cambria Math"/>
                  </w:rPr>
                  <m:t>g</m:t>
                </m:r>
              </m:oMath>
            </m:oMathPara>
          </w:p>
        </w:tc>
        <w:tc>
          <w:tcPr>
            <w:tcW w:w="965" w:type="dxa"/>
            <w:shd w:val="clear" w:color="auto" w:fill="auto"/>
            <w:vAlign w:val="center"/>
          </w:tcPr>
          <w:p w14:paraId="7A14DE1F" w14:textId="3EEB4E74" w:rsidR="00A036F9" w:rsidRPr="00BA5ECF" w:rsidRDefault="00A036F9" w:rsidP="00C352E3">
            <w:pPr>
              <w:pStyle w:val="Didascalia"/>
              <w:jc w:val="right"/>
            </w:pPr>
            <w:r w:rsidRPr="00BA5ECF">
              <w:t>(</w:t>
            </w:r>
            <w:r w:rsidRPr="00BA5ECF">
              <w:fldChar w:fldCharType="begin"/>
            </w:r>
            <w:r w:rsidRPr="00BA5ECF">
              <w:instrText xml:space="preserve"> SEQ ( \* ARABIC </w:instrText>
            </w:r>
            <w:r w:rsidRPr="00BA5ECF">
              <w:fldChar w:fldCharType="separate"/>
            </w:r>
            <w:r w:rsidR="001071BB">
              <w:rPr>
                <w:noProof/>
              </w:rPr>
              <w:t>5</w:t>
            </w:r>
            <w:r w:rsidRPr="00BA5ECF">
              <w:fldChar w:fldCharType="end"/>
            </w:r>
            <w:r w:rsidRPr="00BA5ECF">
              <w:t>)</w:t>
            </w:r>
          </w:p>
        </w:tc>
      </w:tr>
    </w:tbl>
    <w:p w14:paraId="04512606" w14:textId="35A8F7A2" w:rsidR="00203234" w:rsidRPr="00BA5ECF" w:rsidRDefault="00203234" w:rsidP="00203234">
      <w:pPr>
        <w:pStyle w:val="Els-2ndorder-head"/>
      </w:pPr>
      <w:r w:rsidRPr="00BA5ECF">
        <w:t>Computational Domain and Boundary Conditions</w:t>
      </w:r>
    </w:p>
    <w:p w14:paraId="382C71D9" w14:textId="7740B0CE" w:rsidR="00203234" w:rsidRPr="00BA5ECF" w:rsidRDefault="00A97539" w:rsidP="00203234">
      <w:pPr>
        <w:pStyle w:val="Els-body-text"/>
      </w:pPr>
      <w:r w:rsidRPr="00BA5ECF">
        <w:t>In this work</w:t>
      </w:r>
      <w:r w:rsidR="004B5037" w:rsidRPr="00BA5ECF">
        <w:t>,</w:t>
      </w:r>
      <w:r w:rsidRPr="00BA5ECF">
        <w:t xml:space="preserve"> the liquid flow over single packing sheets of a Mellapak 250Y </w:t>
      </w:r>
      <w:r w:rsidR="00CA199A" w:rsidRPr="00BA5ECF">
        <w:t xml:space="preserve">packing </w:t>
      </w:r>
      <w:r w:rsidRPr="00BA5ECF">
        <w:t xml:space="preserve">was investigated. The </w:t>
      </w:r>
      <w:r w:rsidR="007E5426" w:rsidRPr="00BA5ECF">
        <w:t>REU</w:t>
      </w:r>
      <w:r w:rsidRPr="00BA5ECF">
        <w:t xml:space="preserve"> was designed </w:t>
      </w:r>
      <w:r w:rsidR="004B5037" w:rsidRPr="00BA5ECF">
        <w:t>following</w:t>
      </w:r>
      <w:r w:rsidRPr="00BA5ECF">
        <w:t xml:space="preserve"> Olenberg </w:t>
      </w:r>
      <w:r w:rsidR="003623D7" w:rsidRPr="00BA5ECF">
        <w:t xml:space="preserve">and Kenig </w:t>
      </w:r>
      <w:r w:rsidRPr="00BA5ECF">
        <w:t>(20</w:t>
      </w:r>
      <w:r w:rsidR="003623D7" w:rsidRPr="00BA5ECF">
        <w:t>17</w:t>
      </w:r>
      <w:r w:rsidRPr="00BA5ECF">
        <w:t xml:space="preserve">). </w:t>
      </w:r>
      <w:r w:rsidR="008A2214" w:rsidRPr="00BA5ECF">
        <w:t xml:space="preserve">The </w:t>
      </w:r>
      <w:r w:rsidR="008A2214" w:rsidRPr="007173D8">
        <w:t>computational domain (</w:t>
      </w:r>
      <w:r w:rsidR="008A2214" w:rsidRPr="007173D8">
        <w:fldChar w:fldCharType="begin"/>
      </w:r>
      <w:r w:rsidR="008A2214" w:rsidRPr="007173D8">
        <w:instrText xml:space="preserve"> REF _Ref149220750 \h  \* MERGEFORMAT </w:instrText>
      </w:r>
      <w:r w:rsidR="008A2214" w:rsidRPr="007173D8">
        <w:fldChar w:fldCharType="separate"/>
      </w:r>
      <w:r w:rsidR="001071BB" w:rsidRPr="00BA5ECF">
        <w:t xml:space="preserve">Figure </w:t>
      </w:r>
      <w:r w:rsidR="001071BB">
        <w:rPr>
          <w:noProof/>
        </w:rPr>
        <w:t>2</w:t>
      </w:r>
      <w:r w:rsidR="008A2214" w:rsidRPr="007173D8">
        <w:fldChar w:fldCharType="end"/>
      </w:r>
      <w:r w:rsidR="008A2214" w:rsidRPr="007173D8">
        <w:t>) has a quadratic shape with side lengths of 0.032 m and a height of 0.004 m.</w:t>
      </w:r>
    </w:p>
    <w:p w14:paraId="0ED8E582" w14:textId="72732831" w:rsidR="00A97539" w:rsidRPr="00BA5ECF" w:rsidRDefault="00EA5229" w:rsidP="00203234">
      <w:pPr>
        <w:pStyle w:val="Els-body-text"/>
      </w:pPr>
      <w:r w:rsidRPr="00BA5ECF">
        <w:rPr>
          <w:noProof/>
        </w:rPr>
        <w:drawing>
          <wp:anchor distT="0" distB="0" distL="114300" distR="114300" simplePos="0" relativeHeight="251658240" behindDoc="0" locked="0" layoutInCell="1" allowOverlap="1" wp14:anchorId="40F62759" wp14:editId="3661DA52">
            <wp:simplePos x="0" y="0"/>
            <wp:positionH relativeFrom="margin">
              <wp:posOffset>2213610</wp:posOffset>
            </wp:positionH>
            <wp:positionV relativeFrom="paragraph">
              <wp:posOffset>106680</wp:posOffset>
            </wp:positionV>
            <wp:extent cx="2224405" cy="1183005"/>
            <wp:effectExtent l="0" t="0" r="4445" b="0"/>
            <wp:wrapNone/>
            <wp:docPr id="20930445" name="Grafik 2" descr="Ein Bild, das Design, Hebel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0445" name="Grafik 2" descr="Ein Bild, das Design, Hebel enthält.&#10;&#10;Automatisch generierte Beschreibung mit mittlerer Zuverlässigkei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24405" cy="1183005"/>
                    </a:xfrm>
                    <a:prstGeom prst="rect">
                      <a:avLst/>
                    </a:prstGeom>
                  </pic:spPr>
                </pic:pic>
              </a:graphicData>
            </a:graphic>
            <wp14:sizeRelH relativeFrom="page">
              <wp14:pctWidth>0</wp14:pctWidth>
            </wp14:sizeRelH>
            <wp14:sizeRelV relativeFrom="page">
              <wp14:pctHeight>0</wp14:pctHeight>
            </wp14:sizeRelV>
          </wp:anchor>
        </w:drawing>
      </w:r>
      <w:r w:rsidR="00BB6870">
        <w:rPr>
          <w:noProof/>
        </w:rPr>
        <w:drawing>
          <wp:inline distT="0" distB="0" distL="0" distR="0" wp14:anchorId="46D9D9A2" wp14:editId="5C59BA53">
            <wp:extent cx="1766562" cy="14097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main_3.png"/>
                    <pic:cNvPicPr/>
                  </pic:nvPicPr>
                  <pic:blipFill rotWithShape="1">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t="3125"/>
                    <a:stretch/>
                  </pic:blipFill>
                  <pic:spPr bwMode="auto">
                    <a:xfrm>
                      <a:off x="0" y="0"/>
                      <a:ext cx="1778850" cy="1419506"/>
                    </a:xfrm>
                    <a:prstGeom prst="rect">
                      <a:avLst/>
                    </a:prstGeom>
                    <a:ln>
                      <a:noFill/>
                    </a:ln>
                    <a:extLst>
                      <a:ext uri="{53640926-AAD7-44D8-BBD7-CCE9431645EC}">
                        <a14:shadowObscured xmlns:a14="http://schemas.microsoft.com/office/drawing/2010/main"/>
                      </a:ext>
                    </a:extLst>
                  </pic:spPr>
                </pic:pic>
              </a:graphicData>
            </a:graphic>
          </wp:inline>
        </w:drawing>
      </w:r>
    </w:p>
    <w:p w14:paraId="18BFA738" w14:textId="037775A3" w:rsidR="00A97539" w:rsidRPr="00BA5ECF" w:rsidRDefault="00A97539" w:rsidP="00A97539">
      <w:pPr>
        <w:pStyle w:val="Didascalia"/>
      </w:pPr>
      <w:bookmarkStart w:id="9" w:name="_Ref149220750"/>
      <w:r w:rsidRPr="00BA5ECF">
        <w:t xml:space="preserve">Figure </w:t>
      </w:r>
      <w:r w:rsidRPr="00BA5ECF">
        <w:fldChar w:fldCharType="begin"/>
      </w:r>
      <w:r w:rsidRPr="00BA5ECF">
        <w:instrText xml:space="preserve"> SEQ Figure \* ARABIC </w:instrText>
      </w:r>
      <w:r w:rsidRPr="00BA5ECF">
        <w:fldChar w:fldCharType="separate"/>
      </w:r>
      <w:r w:rsidR="001071BB">
        <w:rPr>
          <w:noProof/>
        </w:rPr>
        <w:t>2</w:t>
      </w:r>
      <w:r w:rsidRPr="00BA5ECF">
        <w:fldChar w:fldCharType="end"/>
      </w:r>
      <w:bookmarkEnd w:id="9"/>
      <w:r w:rsidRPr="00BA5ECF">
        <w:t>: Computational domain for the flow over the packing sheet. Left: complete region with numbered boundaries</w:t>
      </w:r>
      <w:r w:rsidR="00332C52" w:rsidRPr="00BA5ECF">
        <w:t>,</w:t>
      </w:r>
      <w:r w:rsidRPr="00BA5ECF">
        <w:t xml:space="preserve"> right: liquid film for the idealized liquid inlet</w:t>
      </w:r>
      <w:r w:rsidR="00004481" w:rsidRPr="00BA5ECF">
        <w:t xml:space="preserve"> (boundary number 1)</w:t>
      </w:r>
    </w:p>
    <w:p w14:paraId="531D4252" w14:textId="3E21FF6A" w:rsidR="00A97539" w:rsidRPr="00BA5ECF" w:rsidRDefault="00A97539" w:rsidP="00A97539">
      <w:pPr>
        <w:pStyle w:val="Els-body-text"/>
      </w:pPr>
      <w:r w:rsidRPr="00BA5ECF">
        <w:t xml:space="preserve">Two different </w:t>
      </w:r>
      <w:r w:rsidR="00CC76DC" w:rsidRPr="00BA5ECF">
        <w:t xml:space="preserve">flow </w:t>
      </w:r>
      <w:r w:rsidRPr="00BA5ECF">
        <w:t xml:space="preserve">conditions </w:t>
      </w:r>
      <w:r w:rsidR="00E812A1" w:rsidRPr="00BA5ECF">
        <w:t xml:space="preserve">were </w:t>
      </w:r>
      <w:r w:rsidRPr="00BA5ECF">
        <w:t>investigated in this work. The first one is the idealized inlet condition</w:t>
      </w:r>
      <w:r w:rsidR="00E812A1" w:rsidRPr="008A2214">
        <w:t>, i.e., a</w:t>
      </w:r>
      <w:r w:rsidRPr="008A2214">
        <w:t xml:space="preserve"> liquid film covering the packing at the inlet </w:t>
      </w:r>
      <w:r w:rsidR="00E812A1" w:rsidRPr="008A2214">
        <w:t xml:space="preserve">and having </w:t>
      </w:r>
      <w:r w:rsidR="00FA7368" w:rsidRPr="008A2214">
        <w:t xml:space="preserve">a </w:t>
      </w:r>
      <w:r w:rsidRPr="008A2214">
        <w:t xml:space="preserve">constant velocity and </w:t>
      </w:r>
      <w:r w:rsidR="0041277E" w:rsidRPr="008A2214">
        <w:t xml:space="preserve">a constant </w:t>
      </w:r>
      <w:r w:rsidRPr="008A2214">
        <w:t>film thickness</w:t>
      </w:r>
      <w:r w:rsidR="00A70B23" w:rsidRPr="008A2214">
        <w:t>. This</w:t>
      </w:r>
      <w:r w:rsidRPr="008A2214">
        <w:t xml:space="preserve"> </w:t>
      </w:r>
      <w:r w:rsidR="007A4655" w:rsidRPr="008A2214">
        <w:t xml:space="preserve">corresponds to </w:t>
      </w:r>
      <w:r w:rsidR="00165D78" w:rsidRPr="008A2214">
        <w:t>an</w:t>
      </w:r>
      <w:r w:rsidRPr="008A2214">
        <w:t xml:space="preserve"> ide</w:t>
      </w:r>
      <w:r w:rsidR="00165D78" w:rsidRPr="008A2214">
        <w:t>al</w:t>
      </w:r>
      <w:r w:rsidR="007173D8">
        <w:t xml:space="preserve"> liquid-phase </w:t>
      </w:r>
      <w:r w:rsidR="00165D78" w:rsidRPr="008A2214">
        <w:t>distribution. T</w:t>
      </w:r>
      <w:r w:rsidRPr="008A2214">
        <w:t xml:space="preserve">he second </w:t>
      </w:r>
      <w:r w:rsidR="00CC76DC" w:rsidRPr="008A2214">
        <w:t xml:space="preserve">flow </w:t>
      </w:r>
      <w:r w:rsidRPr="008A2214">
        <w:t xml:space="preserve">condition is the </w:t>
      </w:r>
      <w:r w:rsidR="007A4655" w:rsidRPr="008A2214">
        <w:t xml:space="preserve">fully </w:t>
      </w:r>
      <w:r w:rsidRPr="008A2214">
        <w:t xml:space="preserve">periodic flow, representing the liquid distribution for a </w:t>
      </w:r>
      <w:r w:rsidR="008A2214" w:rsidRPr="004F206E">
        <w:t>perfectly</w:t>
      </w:r>
      <w:r w:rsidR="004F206E">
        <w:t xml:space="preserve"> </w:t>
      </w:r>
      <w:r w:rsidRPr="008A2214">
        <w:t xml:space="preserve">developed flow inside a packing </w:t>
      </w:r>
      <w:r w:rsidR="008D0638" w:rsidRPr="004F206E">
        <w:t>element.</w:t>
      </w:r>
      <w:r w:rsidRPr="004F206E">
        <w:t xml:space="preserve"> </w:t>
      </w:r>
      <w:r w:rsidR="00E87594" w:rsidRPr="004F206E">
        <w:t xml:space="preserve">For the ideal flow condition, the boundary conditions including volume fraction </w:t>
      </w:r>
      <w:r w:rsidR="00E87594" w:rsidRPr="004F206E">
        <w:rPr>
          <w:i/>
        </w:rPr>
        <w:t>α</w:t>
      </w:r>
      <w:r w:rsidR="00E87594" w:rsidRPr="004F206E">
        <w:t xml:space="preserve"> and contact angle </w:t>
      </w:r>
      <w:r w:rsidR="00E87594" w:rsidRPr="004F206E">
        <w:rPr>
          <w:i/>
        </w:rPr>
        <w:t>θ</w:t>
      </w:r>
      <w:r w:rsidR="00E87594" w:rsidRPr="004F206E">
        <w:t xml:space="preserve"> are given in Table 1. </w:t>
      </w:r>
      <w:r w:rsidR="008A2214" w:rsidRPr="004F206E">
        <w:t xml:space="preserve">For the fully periodic flow, boundaries number 1 and 2 are periodically coupled, the other boundaries remain </w:t>
      </w:r>
      <w:r w:rsidR="00E87594" w:rsidRPr="004F206E">
        <w:t>unchanged</w:t>
      </w:r>
      <w:r w:rsidR="008A2214" w:rsidRPr="004F206E">
        <w:t xml:space="preserve">. The velocity </w:t>
      </w:r>
      <w:r w:rsidR="008A2214" w:rsidRPr="004F206E">
        <w:rPr>
          <w:b/>
          <w:i/>
        </w:rPr>
        <w:t>u</w:t>
      </w:r>
      <w:r w:rsidR="008A2214" w:rsidRPr="004F206E">
        <w:t xml:space="preserve"> and</w:t>
      </w:r>
      <w:r w:rsidR="008A2214" w:rsidRPr="008A2214">
        <w:t xml:space="preserve"> the film thickness </w:t>
      </w:r>
      <w:r w:rsidR="008A2214" w:rsidRPr="0077162D">
        <w:rPr>
          <w:i/>
        </w:rPr>
        <w:t>δ</w:t>
      </w:r>
      <w:r w:rsidR="008A2214" w:rsidRPr="008A2214">
        <w:t xml:space="preserve"> of the liquid at the idealized inlet are determined using </w:t>
      </w:r>
      <w:r w:rsidR="008A2214" w:rsidRPr="0077162D">
        <w:t>Nusselt</w:t>
      </w:r>
      <w:r w:rsidR="008A2214" w:rsidRPr="008A2214">
        <w:t xml:space="preserve"> film theory (Nusselt, 1916) and hence depend on the liquid load. As initial condition for the idealized inlet, the whole domain is filled with stagnant gas (</w:t>
      </w:r>
      <w:r w:rsidR="008A2214" w:rsidRPr="0077162D">
        <w:rPr>
          <w:b/>
          <w:i/>
        </w:rPr>
        <w:t>u</w:t>
      </w:r>
      <w:r w:rsidR="008A2214" w:rsidRPr="008A2214">
        <w:t xml:space="preserve">=0, </w:t>
      </w:r>
      <w:r w:rsidR="008A2214" w:rsidRPr="0077162D">
        <w:rPr>
          <w:i/>
        </w:rPr>
        <w:t>α</w:t>
      </w:r>
      <w:r w:rsidR="008A2214" w:rsidRPr="008A2214">
        <w:t>=0). Since there is no real inlet in case of fully periodic flow, the liquid load is set using a corresponding amount of liquid in the packing foldings.</w:t>
      </w:r>
    </w:p>
    <w:p w14:paraId="38A1A52E" w14:textId="6540A1D4" w:rsidR="008A2214" w:rsidRPr="008A2214" w:rsidRDefault="00A97539" w:rsidP="008A2214">
      <w:pPr>
        <w:pStyle w:val="Didascalia"/>
      </w:pPr>
      <w:bookmarkStart w:id="10" w:name="_Ref150611526"/>
      <w:r w:rsidRPr="00BA5ECF">
        <w:t xml:space="preserve">Table </w:t>
      </w:r>
      <w:r w:rsidRPr="00BA5ECF">
        <w:fldChar w:fldCharType="begin"/>
      </w:r>
      <w:r w:rsidRPr="00BA5ECF">
        <w:instrText xml:space="preserve"> SEQ Table \* ARABIC </w:instrText>
      </w:r>
      <w:r w:rsidRPr="00BA5ECF">
        <w:fldChar w:fldCharType="separate"/>
      </w:r>
      <w:r w:rsidR="001071BB">
        <w:rPr>
          <w:noProof/>
        </w:rPr>
        <w:t>1</w:t>
      </w:r>
      <w:r w:rsidRPr="00BA5ECF">
        <w:fldChar w:fldCharType="end"/>
      </w:r>
      <w:bookmarkEnd w:id="10"/>
      <w:r w:rsidRPr="00BA5ECF">
        <w:t xml:space="preserve">: Boundary conditions </w:t>
      </w:r>
      <w:r w:rsidR="00EF6889" w:rsidRPr="00BA5ECF">
        <w:t>of</w:t>
      </w:r>
      <w:r w:rsidRPr="00BA5ECF">
        <w:t xml:space="preserve"> the ideal</w:t>
      </w:r>
      <w:r w:rsidR="00EF6889" w:rsidRPr="00BA5ECF">
        <w:t>ized</w:t>
      </w:r>
      <w:r w:rsidRPr="00BA5ECF">
        <w:t xml:space="preserve"> inlet (numbe</w:t>
      </w:r>
      <w:r w:rsidR="00F81D72" w:rsidRPr="00BA5ECF">
        <w:t>rs</w:t>
      </w:r>
      <w:r w:rsidRPr="00BA5ECF">
        <w:t xml:space="preserve"> </w:t>
      </w:r>
      <w:r w:rsidR="007A4655" w:rsidRPr="00BA5ECF">
        <w:t>according to</w:t>
      </w:r>
      <w:r w:rsidR="00FA7368" w:rsidRPr="00BA5ECF">
        <w:t xml:space="preserve"> </w:t>
      </w:r>
      <w:r w:rsidRPr="00BA5ECF">
        <w:fldChar w:fldCharType="begin"/>
      </w:r>
      <w:r w:rsidRPr="00BA5ECF">
        <w:instrText xml:space="preserve"> REF _Ref149220750 \h </w:instrText>
      </w:r>
      <w:r w:rsidR="00BA5ECF">
        <w:instrText xml:space="preserve"> \* MERGEFORMAT </w:instrText>
      </w:r>
      <w:r w:rsidRPr="00BA5ECF">
        <w:fldChar w:fldCharType="separate"/>
      </w:r>
      <w:r w:rsidR="001071BB" w:rsidRPr="00BA5ECF">
        <w:t xml:space="preserve">Figure </w:t>
      </w:r>
      <w:r w:rsidR="001071BB">
        <w:rPr>
          <w:noProof/>
        </w:rPr>
        <w:t>2</w:t>
      </w:r>
      <w:r w:rsidRPr="00BA5ECF">
        <w:fldChar w:fldCharType="end"/>
      </w:r>
    </w:p>
    <w:tbl>
      <w:tblPr>
        <w:tblStyle w:val="Grigliatabella"/>
        <w:tblW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696"/>
        <w:gridCol w:w="2982"/>
        <w:gridCol w:w="2405"/>
      </w:tblGrid>
      <w:tr w:rsidR="00BF2571" w:rsidRPr="00BA5ECF" w14:paraId="30004259" w14:textId="77777777" w:rsidTr="00033C0D">
        <w:tc>
          <w:tcPr>
            <w:tcW w:w="1696" w:type="dxa"/>
            <w:tcBorders>
              <w:top w:val="single" w:sz="4" w:space="0" w:color="auto"/>
              <w:bottom w:val="single" w:sz="4" w:space="0" w:color="auto"/>
            </w:tcBorders>
          </w:tcPr>
          <w:p w14:paraId="27923A9B" w14:textId="2F3CC63D" w:rsidR="00A97539" w:rsidRPr="00BA5ECF" w:rsidRDefault="00A97539" w:rsidP="00A97539">
            <w:pPr>
              <w:pStyle w:val="Els-body-text"/>
              <w:jc w:val="center"/>
            </w:pPr>
            <w:r w:rsidRPr="00BA5ECF">
              <w:t>boundary number</w:t>
            </w:r>
          </w:p>
        </w:tc>
        <w:tc>
          <w:tcPr>
            <w:tcW w:w="2982" w:type="dxa"/>
            <w:tcBorders>
              <w:top w:val="single" w:sz="4" w:space="0" w:color="auto"/>
              <w:bottom w:val="single" w:sz="4" w:space="0" w:color="auto"/>
            </w:tcBorders>
          </w:tcPr>
          <w:p w14:paraId="2FDF0A0D" w14:textId="4E8B7716" w:rsidR="00A97539" w:rsidRPr="00BA5ECF" w:rsidRDefault="00A97539" w:rsidP="00A97539">
            <w:pPr>
              <w:pStyle w:val="Els-body-text"/>
              <w:jc w:val="center"/>
            </w:pPr>
            <w:r w:rsidRPr="00BA5ECF">
              <w:t>physical meaning</w:t>
            </w:r>
          </w:p>
        </w:tc>
        <w:tc>
          <w:tcPr>
            <w:tcW w:w="2405" w:type="dxa"/>
            <w:tcBorders>
              <w:top w:val="single" w:sz="4" w:space="0" w:color="auto"/>
              <w:bottom w:val="single" w:sz="4" w:space="0" w:color="auto"/>
            </w:tcBorders>
          </w:tcPr>
          <w:p w14:paraId="1A9161FA" w14:textId="6F3C3A91" w:rsidR="00A97539" w:rsidRPr="00BA5ECF" w:rsidRDefault="00A97539" w:rsidP="00A97539">
            <w:pPr>
              <w:pStyle w:val="Els-body-text"/>
              <w:jc w:val="center"/>
            </w:pPr>
            <w:r w:rsidRPr="00BA5ECF">
              <w:t>mathematical formulation</w:t>
            </w:r>
          </w:p>
        </w:tc>
      </w:tr>
      <w:tr w:rsidR="00BF2571" w:rsidRPr="00BA5ECF" w14:paraId="22FF0B03" w14:textId="77777777" w:rsidTr="00033C0D">
        <w:tc>
          <w:tcPr>
            <w:tcW w:w="1696" w:type="dxa"/>
            <w:tcBorders>
              <w:top w:val="single" w:sz="4" w:space="0" w:color="auto"/>
            </w:tcBorders>
          </w:tcPr>
          <w:p w14:paraId="14FE2C46" w14:textId="7C189C44" w:rsidR="00A97539" w:rsidRPr="00BA5ECF" w:rsidRDefault="00A97539" w:rsidP="00A97539">
            <w:pPr>
              <w:pStyle w:val="Els-body-text"/>
              <w:jc w:val="center"/>
            </w:pPr>
            <w:r w:rsidRPr="00BA5ECF">
              <w:t>1</w:t>
            </w:r>
          </w:p>
        </w:tc>
        <w:tc>
          <w:tcPr>
            <w:tcW w:w="2982" w:type="dxa"/>
            <w:tcBorders>
              <w:top w:val="single" w:sz="4" w:space="0" w:color="auto"/>
            </w:tcBorders>
          </w:tcPr>
          <w:p w14:paraId="75F52808" w14:textId="7C511AD3" w:rsidR="00A97539" w:rsidRPr="00BA5ECF" w:rsidRDefault="00A97539" w:rsidP="00A97539">
            <w:pPr>
              <w:pStyle w:val="Els-body-text"/>
              <w:jc w:val="center"/>
            </w:pPr>
            <w:r w:rsidRPr="00BA5ECF">
              <w:t>inlet</w:t>
            </w:r>
          </w:p>
        </w:tc>
        <w:tc>
          <w:tcPr>
            <w:tcW w:w="2405" w:type="dxa"/>
            <w:tcBorders>
              <w:top w:val="single" w:sz="4" w:space="0" w:color="auto"/>
            </w:tcBorders>
          </w:tcPr>
          <w:p w14:paraId="590DBA5C" w14:textId="165507B4" w:rsidR="00A97539" w:rsidRPr="00BA5ECF" w:rsidRDefault="00A97539" w:rsidP="00A97539">
            <w:pPr>
              <w:pStyle w:val="Els-body-text"/>
              <w:jc w:val="center"/>
            </w:pPr>
            <w:r w:rsidRPr="00BA5ECF">
              <w:rPr>
                <w:b/>
                <w:i/>
              </w:rPr>
              <w:t>u</w:t>
            </w:r>
            <w:r w:rsidRPr="00BA5ECF">
              <w:t>=f(</w:t>
            </w:r>
            <w:r w:rsidRPr="00BA5ECF">
              <w:rPr>
                <w:i/>
              </w:rPr>
              <w:t>y</w:t>
            </w:r>
            <w:r w:rsidRPr="00BA5ECF">
              <w:t xml:space="preserve">), </w:t>
            </w:r>
            <w:r w:rsidRPr="00BA5ECF">
              <w:rPr>
                <w:rFonts w:ascii="Cambria Math" w:eastAsia="Cambria Math" w:hAnsi="Cambria Math" w:cs="Cambria Math"/>
              </w:rPr>
              <w:t>∇</w:t>
            </w:r>
            <w:r w:rsidRPr="00BA5ECF">
              <w:rPr>
                <w:rFonts w:eastAsia="Cambria Math"/>
                <w:i/>
              </w:rPr>
              <w:t>p</w:t>
            </w:r>
            <w:r w:rsidRPr="00BA5ECF">
              <w:rPr>
                <w:rFonts w:eastAsia="Cambria Math"/>
              </w:rPr>
              <w:t xml:space="preserve">=0, </w:t>
            </w:r>
            <w:r w:rsidRPr="00BA5ECF">
              <w:rPr>
                <w:i/>
              </w:rPr>
              <w:t>α</w:t>
            </w:r>
            <w:r w:rsidRPr="00BA5ECF">
              <w:t>=f(</w:t>
            </w:r>
            <w:r w:rsidRPr="00BA5ECF">
              <w:rPr>
                <w:i/>
              </w:rPr>
              <w:t>y</w:t>
            </w:r>
            <w:r w:rsidRPr="00BA5ECF">
              <w:t>)</w:t>
            </w:r>
          </w:p>
        </w:tc>
      </w:tr>
      <w:tr w:rsidR="00BF2571" w:rsidRPr="00BA5ECF" w14:paraId="1DE63A8B" w14:textId="77777777" w:rsidTr="00033C0D">
        <w:tc>
          <w:tcPr>
            <w:tcW w:w="1696" w:type="dxa"/>
          </w:tcPr>
          <w:p w14:paraId="2D563B12" w14:textId="572FE9B8" w:rsidR="00A97539" w:rsidRPr="00BA5ECF" w:rsidRDefault="00A97539" w:rsidP="00A97539">
            <w:pPr>
              <w:pStyle w:val="Els-body-text"/>
              <w:jc w:val="center"/>
            </w:pPr>
            <w:r w:rsidRPr="00BA5ECF">
              <w:t>2</w:t>
            </w:r>
          </w:p>
        </w:tc>
        <w:tc>
          <w:tcPr>
            <w:tcW w:w="2982" w:type="dxa"/>
          </w:tcPr>
          <w:p w14:paraId="6024F83B" w14:textId="306CA97D" w:rsidR="00A97539" w:rsidRPr="00BA5ECF" w:rsidRDefault="00A97539" w:rsidP="00A97539">
            <w:pPr>
              <w:pStyle w:val="Els-body-text"/>
              <w:jc w:val="center"/>
            </w:pPr>
            <w:r w:rsidRPr="00BA5ECF">
              <w:rPr>
                <w:rFonts w:ascii="Cambria Math" w:eastAsia="Cambria Math" w:hAnsi="Cambria Math" w:cs="Cambria Math"/>
              </w:rPr>
              <w:t>outlet</w:t>
            </w:r>
          </w:p>
        </w:tc>
        <w:tc>
          <w:tcPr>
            <w:tcW w:w="2405" w:type="dxa"/>
          </w:tcPr>
          <w:p w14:paraId="0553CF59" w14:textId="681DA281" w:rsidR="00A97539" w:rsidRPr="00BA5ECF" w:rsidRDefault="00A97539" w:rsidP="00A97539">
            <w:pPr>
              <w:pStyle w:val="Els-body-text"/>
              <w:jc w:val="center"/>
            </w:pPr>
            <w:r w:rsidRPr="00BA5ECF">
              <w:rPr>
                <w:rFonts w:ascii="Cambria Math" w:eastAsia="Cambria Math" w:hAnsi="Cambria Math" w:cs="Cambria Math"/>
              </w:rPr>
              <w:t>∇</w:t>
            </w:r>
            <w:r w:rsidRPr="00BA5ECF">
              <w:rPr>
                <w:rFonts w:eastAsia="Cambria Math"/>
                <w:b/>
                <w:i/>
              </w:rPr>
              <w:t>u</w:t>
            </w:r>
            <w:r w:rsidRPr="00BA5ECF">
              <w:rPr>
                <w:rFonts w:eastAsia="Cambria Math"/>
              </w:rPr>
              <w:t xml:space="preserve">=0, </w:t>
            </w:r>
            <w:r w:rsidRPr="00BA5ECF">
              <w:rPr>
                <w:rFonts w:ascii="Cambria Math" w:eastAsia="Cambria Math" w:hAnsi="Cambria Math" w:cs="Cambria Math"/>
              </w:rPr>
              <w:t>∇</w:t>
            </w:r>
            <w:r w:rsidRPr="00BA5ECF">
              <w:rPr>
                <w:rFonts w:eastAsia="Cambria Math"/>
                <w:i/>
              </w:rPr>
              <w:t>p</w:t>
            </w:r>
            <w:r w:rsidRPr="00BA5ECF">
              <w:rPr>
                <w:rFonts w:eastAsia="Cambria Math"/>
              </w:rPr>
              <w:t xml:space="preserve">=0, </w:t>
            </w:r>
            <w:r w:rsidRPr="00BA5ECF">
              <w:rPr>
                <w:rFonts w:ascii="Cambria Math" w:eastAsia="Cambria Math" w:hAnsi="Cambria Math" w:cs="Cambria Math"/>
              </w:rPr>
              <w:t>∇</w:t>
            </w:r>
            <w:r w:rsidRPr="00BA5ECF">
              <w:rPr>
                <w:rFonts w:eastAsia="Cambria Math"/>
                <w:i/>
              </w:rPr>
              <w:t>α</w:t>
            </w:r>
            <w:r w:rsidRPr="00BA5ECF">
              <w:rPr>
                <w:rFonts w:eastAsia="Cambria Math"/>
              </w:rPr>
              <w:t>=0</w:t>
            </w:r>
          </w:p>
        </w:tc>
      </w:tr>
      <w:tr w:rsidR="00BF2571" w:rsidRPr="00BA5ECF" w14:paraId="06C05EAD" w14:textId="77777777" w:rsidTr="00033C0D">
        <w:tc>
          <w:tcPr>
            <w:tcW w:w="1696" w:type="dxa"/>
          </w:tcPr>
          <w:p w14:paraId="2460AF7A" w14:textId="64260BFD" w:rsidR="00A97539" w:rsidRPr="00BA5ECF" w:rsidRDefault="00A97539" w:rsidP="00A97539">
            <w:pPr>
              <w:pStyle w:val="Els-body-text"/>
              <w:jc w:val="center"/>
            </w:pPr>
            <w:r w:rsidRPr="00BA5ECF">
              <w:t>3</w:t>
            </w:r>
          </w:p>
        </w:tc>
        <w:tc>
          <w:tcPr>
            <w:tcW w:w="2982" w:type="dxa"/>
          </w:tcPr>
          <w:p w14:paraId="2C38B204" w14:textId="5307FF50" w:rsidR="00A97539" w:rsidRPr="00BA5ECF" w:rsidRDefault="00A97539" w:rsidP="00A97539">
            <w:pPr>
              <w:pStyle w:val="Els-body-text"/>
              <w:jc w:val="center"/>
            </w:pPr>
            <w:r w:rsidRPr="00BA5ECF">
              <w:t xml:space="preserve">bottom </w:t>
            </w:r>
            <w:r w:rsidR="004B5037" w:rsidRPr="00BA5ECF">
              <w:t>wall/packing</w:t>
            </w:r>
            <w:r w:rsidRPr="00BA5ECF">
              <w:t xml:space="preserve"> sheet</w:t>
            </w:r>
          </w:p>
        </w:tc>
        <w:tc>
          <w:tcPr>
            <w:tcW w:w="2405" w:type="dxa"/>
          </w:tcPr>
          <w:p w14:paraId="1611FD00" w14:textId="3B202C57" w:rsidR="00A97539" w:rsidRPr="00BA5ECF" w:rsidRDefault="00A97539" w:rsidP="00A97539">
            <w:pPr>
              <w:pStyle w:val="Els-body-text"/>
              <w:jc w:val="center"/>
            </w:pPr>
            <w:r w:rsidRPr="00BA5ECF">
              <w:rPr>
                <w:b/>
                <w:i/>
              </w:rPr>
              <w:t>u</w:t>
            </w:r>
            <w:r w:rsidRPr="00BA5ECF">
              <w:t xml:space="preserve">=0, </w:t>
            </w:r>
            <w:r w:rsidRPr="00BA5ECF">
              <w:rPr>
                <w:rFonts w:ascii="Cambria Math" w:eastAsia="Cambria Math" w:hAnsi="Cambria Math" w:cs="Cambria Math"/>
              </w:rPr>
              <w:t>∇</w:t>
            </w:r>
            <w:r w:rsidRPr="00BA5ECF">
              <w:rPr>
                <w:rFonts w:eastAsia="Cambria Math"/>
                <w:i/>
              </w:rPr>
              <w:t>p</w:t>
            </w:r>
            <w:r w:rsidRPr="00BA5ECF">
              <w:rPr>
                <w:rFonts w:eastAsia="Cambria Math"/>
              </w:rPr>
              <w:t xml:space="preserve">=0, </w:t>
            </w:r>
            <w:r w:rsidRPr="00BA5ECF">
              <w:rPr>
                <w:i/>
              </w:rPr>
              <w:t>α</w:t>
            </w:r>
            <w:r w:rsidRPr="00BA5ECF">
              <w:t>=f(</w:t>
            </w:r>
            <w:r w:rsidRPr="00BA5ECF">
              <w:rPr>
                <w:i/>
              </w:rPr>
              <w:t>θ</w:t>
            </w:r>
            <w:r w:rsidRPr="00BA5ECF">
              <w:t>)</w:t>
            </w:r>
          </w:p>
        </w:tc>
      </w:tr>
      <w:tr w:rsidR="00BF2571" w:rsidRPr="00BA5ECF" w14:paraId="44C6E965" w14:textId="77777777" w:rsidTr="00033C0D">
        <w:tc>
          <w:tcPr>
            <w:tcW w:w="1696" w:type="dxa"/>
          </w:tcPr>
          <w:p w14:paraId="1CFCCDE5" w14:textId="22A6C214" w:rsidR="00A97539" w:rsidRPr="00BA5ECF" w:rsidRDefault="00A97539" w:rsidP="00A97539">
            <w:pPr>
              <w:pStyle w:val="Els-body-text"/>
              <w:jc w:val="center"/>
            </w:pPr>
            <w:r w:rsidRPr="00BA5ECF">
              <w:t>4</w:t>
            </w:r>
          </w:p>
        </w:tc>
        <w:tc>
          <w:tcPr>
            <w:tcW w:w="2982" w:type="dxa"/>
          </w:tcPr>
          <w:p w14:paraId="297382C4" w14:textId="05D8A73D" w:rsidR="00A97539" w:rsidRPr="00BA5ECF" w:rsidRDefault="00A97539" w:rsidP="00A97539">
            <w:pPr>
              <w:pStyle w:val="Els-body-text"/>
              <w:jc w:val="center"/>
            </w:pPr>
            <w:r w:rsidRPr="00BA5ECF">
              <w:t>gas phase</w:t>
            </w:r>
          </w:p>
        </w:tc>
        <w:tc>
          <w:tcPr>
            <w:tcW w:w="2405" w:type="dxa"/>
          </w:tcPr>
          <w:p w14:paraId="4F6C5200" w14:textId="488651A9" w:rsidR="00A97539" w:rsidRPr="00BA5ECF" w:rsidRDefault="00A97539" w:rsidP="00A97539">
            <w:pPr>
              <w:pStyle w:val="Els-body-text"/>
              <w:jc w:val="center"/>
            </w:pPr>
            <w:r w:rsidRPr="00BA5ECF">
              <w:rPr>
                <w:rFonts w:ascii="Cambria Math" w:eastAsia="Cambria Math" w:hAnsi="Cambria Math" w:cs="Cambria Math"/>
              </w:rPr>
              <w:t>∇</w:t>
            </w:r>
            <w:r w:rsidRPr="00BA5ECF">
              <w:rPr>
                <w:rFonts w:eastAsia="Cambria Math"/>
                <w:b/>
                <w:i/>
              </w:rPr>
              <w:t>u</w:t>
            </w:r>
            <w:r w:rsidRPr="00BA5ECF">
              <w:rPr>
                <w:rFonts w:eastAsia="Cambria Math"/>
              </w:rPr>
              <w:t xml:space="preserve">=0, </w:t>
            </w:r>
            <w:r w:rsidRPr="00BA5ECF">
              <w:rPr>
                <w:rFonts w:eastAsia="Cambria Math"/>
                <w:i/>
              </w:rPr>
              <w:t>p</w:t>
            </w:r>
            <w:r w:rsidRPr="00BA5ECF">
              <w:rPr>
                <w:rFonts w:eastAsia="Cambria Math"/>
              </w:rPr>
              <w:t xml:space="preserve">=0, </w:t>
            </w:r>
            <w:r w:rsidRPr="00BA5ECF">
              <w:rPr>
                <w:rFonts w:ascii="Cambria Math" w:eastAsia="Cambria Math" w:hAnsi="Cambria Math" w:cs="Cambria Math"/>
              </w:rPr>
              <w:t>∇</w:t>
            </w:r>
            <w:r w:rsidRPr="00BA5ECF">
              <w:rPr>
                <w:rFonts w:eastAsia="Cambria Math"/>
                <w:i/>
              </w:rPr>
              <w:t>α</w:t>
            </w:r>
            <w:r w:rsidRPr="00BA5ECF">
              <w:rPr>
                <w:rFonts w:eastAsia="Cambria Math"/>
              </w:rPr>
              <w:t>=0</w:t>
            </w:r>
          </w:p>
        </w:tc>
      </w:tr>
      <w:tr w:rsidR="00BF2571" w:rsidRPr="00BA5ECF" w14:paraId="4176CB64" w14:textId="77777777" w:rsidTr="00033C0D">
        <w:tc>
          <w:tcPr>
            <w:tcW w:w="1696" w:type="dxa"/>
            <w:tcBorders>
              <w:bottom w:val="single" w:sz="4" w:space="0" w:color="auto"/>
            </w:tcBorders>
          </w:tcPr>
          <w:p w14:paraId="1DF4A5F4" w14:textId="72703295" w:rsidR="00A97539" w:rsidRPr="00BA5ECF" w:rsidRDefault="00A97539" w:rsidP="00A97539">
            <w:pPr>
              <w:pStyle w:val="Els-body-text"/>
              <w:jc w:val="center"/>
            </w:pPr>
            <w:r w:rsidRPr="00BA5ECF">
              <w:t>5</w:t>
            </w:r>
          </w:p>
        </w:tc>
        <w:tc>
          <w:tcPr>
            <w:tcW w:w="2982" w:type="dxa"/>
            <w:tcBorders>
              <w:bottom w:val="single" w:sz="4" w:space="0" w:color="auto"/>
            </w:tcBorders>
          </w:tcPr>
          <w:p w14:paraId="4D8F4873" w14:textId="2FF1FAC7" w:rsidR="00A97539" w:rsidRPr="00BA5ECF" w:rsidRDefault="00A97539" w:rsidP="00A97539">
            <w:pPr>
              <w:pStyle w:val="Els-body-text"/>
              <w:jc w:val="center"/>
            </w:pPr>
            <w:r w:rsidRPr="00BA5ECF">
              <w:t xml:space="preserve">sides </w:t>
            </w:r>
            <w:r w:rsidR="007A4655" w:rsidRPr="00BA5ECF">
              <w:t xml:space="preserve">open </w:t>
            </w:r>
            <w:r w:rsidRPr="00BA5ECF">
              <w:t xml:space="preserve">to </w:t>
            </w:r>
            <w:r w:rsidR="007E2CB9" w:rsidRPr="00BA5ECF">
              <w:t>neighbor</w:t>
            </w:r>
            <w:r w:rsidRPr="00BA5ECF">
              <w:t xml:space="preserve"> </w:t>
            </w:r>
            <w:r w:rsidR="00CC5A2B" w:rsidRPr="00BA5ECF">
              <w:t>REU</w:t>
            </w:r>
            <w:r w:rsidR="00B92590" w:rsidRPr="00BA5ECF">
              <w:t>s</w:t>
            </w:r>
          </w:p>
        </w:tc>
        <w:tc>
          <w:tcPr>
            <w:tcW w:w="2405" w:type="dxa"/>
            <w:tcBorders>
              <w:bottom w:val="single" w:sz="4" w:space="0" w:color="auto"/>
            </w:tcBorders>
          </w:tcPr>
          <w:p w14:paraId="0CDB3035" w14:textId="4DA94319" w:rsidR="00A97539" w:rsidRPr="00BA5ECF" w:rsidRDefault="00A97539" w:rsidP="00A97539">
            <w:pPr>
              <w:pStyle w:val="Els-body-text"/>
              <w:jc w:val="center"/>
            </w:pPr>
            <w:r w:rsidRPr="00BA5ECF">
              <w:t>periodic</w:t>
            </w:r>
          </w:p>
        </w:tc>
      </w:tr>
    </w:tbl>
    <w:p w14:paraId="2E30C5E3" w14:textId="3B91365C" w:rsidR="00203234" w:rsidRPr="00BA5ECF" w:rsidRDefault="00203234" w:rsidP="00203234">
      <w:pPr>
        <w:pStyle w:val="Els-2ndorder-head"/>
      </w:pPr>
      <w:r w:rsidRPr="00BA5ECF">
        <w:lastRenderedPageBreak/>
        <w:t>Implementation</w:t>
      </w:r>
    </w:p>
    <w:p w14:paraId="0BA673DB" w14:textId="3F5895A0" w:rsidR="00620E83" w:rsidRPr="00BA5ECF" w:rsidRDefault="00D5002D" w:rsidP="008D2649">
      <w:pPr>
        <w:pStyle w:val="Els-body-text"/>
      </w:pPr>
      <w:r w:rsidRPr="00BA5ECF">
        <w:t>For the solution of the model equations, t</w:t>
      </w:r>
      <w:r w:rsidR="00A97539" w:rsidRPr="00BA5ECF">
        <w:t xml:space="preserve">he interFoam solver from the </w:t>
      </w:r>
      <w:r w:rsidR="004B5037" w:rsidRPr="00BA5ECF">
        <w:t>open-source</w:t>
      </w:r>
      <w:r w:rsidR="00A97539" w:rsidRPr="00BA5ECF">
        <w:t xml:space="preserve"> software package OpenFOAM</w:t>
      </w:r>
      <w:r w:rsidR="00B1259C" w:rsidRPr="00BA5ECF">
        <w:t> </w:t>
      </w:r>
      <w:r w:rsidR="00A97539" w:rsidRPr="00BA5ECF">
        <w:t xml:space="preserve">10 was </w:t>
      </w:r>
      <w:r w:rsidR="00FA4965" w:rsidRPr="00BA5ECF">
        <w:t>utilized</w:t>
      </w:r>
      <w:r w:rsidR="00A97539" w:rsidRPr="00BA5ECF">
        <w:t>. Th</w:t>
      </w:r>
      <w:r w:rsidRPr="00BA5ECF">
        <w:t>is</w:t>
      </w:r>
      <w:r w:rsidR="00A97539" w:rsidRPr="00BA5ECF">
        <w:t xml:space="preserve"> tool is based on the finite volume discretization. The equations and methods </w:t>
      </w:r>
      <w:r w:rsidR="005F01EB" w:rsidRPr="00BA5ECF">
        <w:t xml:space="preserve">presented </w:t>
      </w:r>
      <w:r w:rsidR="00A97539" w:rsidRPr="00BA5ECF">
        <w:t xml:space="preserve">in </w:t>
      </w:r>
      <w:r w:rsidR="00004508" w:rsidRPr="00BA5ECF">
        <w:t xml:space="preserve">Section </w:t>
      </w:r>
      <w:r w:rsidR="00A97539" w:rsidRPr="00BA5ECF">
        <w:fldChar w:fldCharType="begin"/>
      </w:r>
      <w:r w:rsidR="00A97539" w:rsidRPr="00BA5ECF">
        <w:instrText xml:space="preserve"> REF _Ref149222694 \r \h </w:instrText>
      </w:r>
      <w:r w:rsidR="00FA4965" w:rsidRPr="00BA5ECF">
        <w:instrText xml:space="preserve"> \* MERGEFORMAT </w:instrText>
      </w:r>
      <w:r w:rsidR="00A97539" w:rsidRPr="00BA5ECF">
        <w:fldChar w:fldCharType="separate"/>
      </w:r>
      <w:r w:rsidR="001071BB">
        <w:t>3.1</w:t>
      </w:r>
      <w:r w:rsidR="00A97539" w:rsidRPr="00BA5ECF">
        <w:fldChar w:fldCharType="end"/>
      </w:r>
      <w:r w:rsidR="00A97539" w:rsidRPr="00BA5ECF">
        <w:t xml:space="preserve"> a</w:t>
      </w:r>
      <w:r w:rsidR="00FA4965" w:rsidRPr="00BA5ECF">
        <w:t>s well as</w:t>
      </w:r>
      <w:r w:rsidR="00A97539" w:rsidRPr="00BA5ECF">
        <w:t xml:space="preserve"> the k-omega SST turbulence model </w:t>
      </w:r>
      <w:r w:rsidR="00004508" w:rsidRPr="00BA5ECF">
        <w:t>are part</w:t>
      </w:r>
      <w:r w:rsidR="0041277E" w:rsidRPr="00BA5ECF">
        <w:t>s</w:t>
      </w:r>
      <w:r w:rsidR="00004508" w:rsidRPr="00BA5ECF">
        <w:t xml:space="preserve"> of the </w:t>
      </w:r>
      <w:r w:rsidR="00A97539" w:rsidRPr="00BA5ECF">
        <w:t>software package</w:t>
      </w:r>
      <w:r w:rsidR="00004508" w:rsidRPr="00BA5ECF">
        <w:t xml:space="preserve"> used</w:t>
      </w:r>
      <w:r w:rsidR="00A97539" w:rsidRPr="00BA5ECF">
        <w:t xml:space="preserve">. </w:t>
      </w:r>
      <w:r w:rsidR="00004508" w:rsidRPr="00BA5ECF">
        <w:t xml:space="preserve">We </w:t>
      </w:r>
      <w:r w:rsidR="005F01EB" w:rsidRPr="00BA5ECF">
        <w:t xml:space="preserve">extended the package by </w:t>
      </w:r>
      <w:r w:rsidR="00004508" w:rsidRPr="00BA5ECF">
        <w:t>implement</w:t>
      </w:r>
      <w:r w:rsidR="005F01EB" w:rsidRPr="00BA5ECF">
        <w:t>ing</w:t>
      </w:r>
      <w:r w:rsidR="00004508" w:rsidRPr="00BA5ECF">
        <w:t xml:space="preserve"> t</w:t>
      </w:r>
      <w:r w:rsidR="00A97539" w:rsidRPr="00BA5ECF">
        <w:t xml:space="preserve">he </w:t>
      </w:r>
      <w:r w:rsidRPr="00BA5ECF">
        <w:t xml:space="preserve">pressure </w:t>
      </w:r>
      <w:r w:rsidR="00A97539" w:rsidRPr="00BA5ECF">
        <w:t xml:space="preserve">adjustment described in </w:t>
      </w:r>
      <w:r w:rsidRPr="00BA5ECF">
        <w:t xml:space="preserve">Section </w:t>
      </w:r>
      <w:r w:rsidR="00A97539" w:rsidRPr="00BA5ECF">
        <w:fldChar w:fldCharType="begin"/>
      </w:r>
      <w:r w:rsidR="00A97539" w:rsidRPr="00BA5ECF">
        <w:instrText xml:space="preserve"> REF _Ref149222838 \r \h </w:instrText>
      </w:r>
      <w:r w:rsidR="00BA5ECF">
        <w:instrText xml:space="preserve"> \* MERGEFORMAT </w:instrText>
      </w:r>
      <w:r w:rsidR="00A97539" w:rsidRPr="00BA5ECF">
        <w:fldChar w:fldCharType="separate"/>
      </w:r>
      <w:r w:rsidR="001071BB">
        <w:t>3.2</w:t>
      </w:r>
      <w:r w:rsidR="00A97539" w:rsidRPr="00BA5ECF">
        <w:fldChar w:fldCharType="end"/>
      </w:r>
      <w:r w:rsidR="00165D78" w:rsidRPr="00BA5ECF">
        <w:t>.</w:t>
      </w:r>
      <w:r w:rsidR="00A97539" w:rsidRPr="00BA5ECF">
        <w:t xml:space="preserve"> </w:t>
      </w:r>
      <w:r w:rsidR="00064061" w:rsidRPr="00BA5ECF">
        <w:t>Furthermore, a</w:t>
      </w:r>
      <w:r w:rsidR="00A97539" w:rsidRPr="00BA5ECF">
        <w:t xml:space="preserve"> calculation method </w:t>
      </w:r>
      <w:r w:rsidR="00FA4965" w:rsidRPr="00BA5ECF">
        <w:t>to determine</w:t>
      </w:r>
      <w:r w:rsidR="00A97539" w:rsidRPr="00BA5ECF">
        <w:t xml:space="preserve"> the size of the interfacial area based on the PLIC method and a method to </w:t>
      </w:r>
      <w:r w:rsidR="005F01EB" w:rsidRPr="00BA5ECF">
        <w:t xml:space="preserve">evaluate </w:t>
      </w:r>
      <w:r w:rsidR="00A97539" w:rsidRPr="00BA5ECF">
        <w:t xml:space="preserve">the </w:t>
      </w:r>
      <w:r w:rsidR="0005432E" w:rsidRPr="00BA5ECF">
        <w:t>average</w:t>
      </w:r>
      <w:r w:rsidR="00A97539" w:rsidRPr="00BA5ECF">
        <w:t xml:space="preserve"> liquid flow angle w</w:t>
      </w:r>
      <w:r w:rsidR="00FA4965" w:rsidRPr="00BA5ECF">
        <w:t>ere</w:t>
      </w:r>
      <w:r w:rsidR="00A97539" w:rsidRPr="00BA5ECF">
        <w:t xml:space="preserve"> implemented. </w:t>
      </w:r>
      <w:r w:rsidR="005F01EB" w:rsidRPr="00BA5ECF">
        <w:t xml:space="preserve">In </w:t>
      </w:r>
      <w:r w:rsidR="00A97539" w:rsidRPr="00BA5ECF">
        <w:t>all simul</w:t>
      </w:r>
      <w:r w:rsidR="005B50F7" w:rsidRPr="00BA5ECF">
        <w:t>a</w:t>
      </w:r>
      <w:r w:rsidR="00A97539" w:rsidRPr="00BA5ECF">
        <w:t>tions</w:t>
      </w:r>
      <w:r w:rsidR="004B5037" w:rsidRPr="00BA5ECF">
        <w:t>,</w:t>
      </w:r>
      <w:r w:rsidR="00A97539" w:rsidRPr="00BA5ECF">
        <w:t xml:space="preserve"> the time step was adjusted automatically, </w:t>
      </w:r>
      <w:r w:rsidR="004B5037" w:rsidRPr="00BA5ECF">
        <w:t>to</w:t>
      </w:r>
      <w:r w:rsidR="00A97539" w:rsidRPr="00BA5ECF">
        <w:t xml:space="preserve"> </w:t>
      </w:r>
      <w:r w:rsidR="00FA4965" w:rsidRPr="00BA5ECF">
        <w:t>maintain</w:t>
      </w:r>
      <w:r w:rsidR="00A97539" w:rsidRPr="00BA5ECF">
        <w:t xml:space="preserve"> the Courant number </w:t>
      </w:r>
      <w:r w:rsidR="00FA4965" w:rsidRPr="00BA5ECF">
        <w:t xml:space="preserve">below </w:t>
      </w:r>
      <w:r w:rsidR="00A97539" w:rsidRPr="00BA5ECF">
        <w:t xml:space="preserve">1 and </w:t>
      </w:r>
      <w:r w:rsidR="00CC72AB" w:rsidRPr="00BA5ECF">
        <w:t xml:space="preserve">its value near the interface </w:t>
      </w:r>
      <w:r w:rsidR="00FA4965" w:rsidRPr="00BA5ECF">
        <w:t>below</w:t>
      </w:r>
      <w:r w:rsidR="00A97539" w:rsidRPr="00BA5ECF">
        <w:t xml:space="preserve"> 0</w:t>
      </w:r>
      <w:r w:rsidR="00A45F3B" w:rsidRPr="00BA5ECF">
        <w:t>.</w:t>
      </w:r>
      <w:r w:rsidR="00A97539" w:rsidRPr="00BA5ECF">
        <w:t xml:space="preserve">5. </w:t>
      </w:r>
    </w:p>
    <w:p w14:paraId="08793C36" w14:textId="291FE7D8" w:rsidR="00620E83" w:rsidRPr="00BA5ECF" w:rsidRDefault="00620E83" w:rsidP="00620E83">
      <w:pPr>
        <w:pStyle w:val="Els-1storder-head"/>
      </w:pPr>
      <w:bookmarkStart w:id="11" w:name="_Ref150773734"/>
      <w:r w:rsidRPr="00BA5ECF">
        <w:t>Model Validation</w:t>
      </w:r>
      <w:bookmarkEnd w:id="11"/>
    </w:p>
    <w:p w14:paraId="2DE566AC" w14:textId="7D54448F" w:rsidR="00A97539" w:rsidRPr="00BA5ECF" w:rsidRDefault="00064061" w:rsidP="00A97539">
      <w:pPr>
        <w:pStyle w:val="Els-body-text"/>
      </w:pPr>
      <w:r w:rsidRPr="00BA5ECF">
        <w:t>For the validation of o</w:t>
      </w:r>
      <w:r w:rsidR="00A97539" w:rsidRPr="00BA5ECF">
        <w:t xml:space="preserve">ur </w:t>
      </w:r>
      <w:r w:rsidR="004B5037" w:rsidRPr="00BA5ECF">
        <w:t>setup</w:t>
      </w:r>
      <w:r w:rsidRPr="00BA5ECF">
        <w:t xml:space="preserve">, </w:t>
      </w:r>
      <w:r w:rsidR="00165D78" w:rsidRPr="00BA5ECF">
        <w:t>th</w:t>
      </w:r>
      <w:r w:rsidR="00A97539" w:rsidRPr="00BA5ECF">
        <w:t xml:space="preserve">e </w:t>
      </w:r>
      <w:r w:rsidRPr="00BA5ECF">
        <w:t xml:space="preserve">results </w:t>
      </w:r>
      <w:r w:rsidR="00883062" w:rsidRPr="00BA5ECF">
        <w:t>obtained by</w:t>
      </w:r>
      <w:r w:rsidR="00A97539" w:rsidRPr="00BA5ECF">
        <w:t xml:space="preserve"> Olenberg</w:t>
      </w:r>
      <w:r w:rsidR="00C62C72" w:rsidRPr="00BA5ECF">
        <w:t xml:space="preserve"> and Kenig</w:t>
      </w:r>
      <w:r w:rsidR="00A97539" w:rsidRPr="00BA5ECF">
        <w:t xml:space="preserve"> (20</w:t>
      </w:r>
      <w:r w:rsidR="00C62C72" w:rsidRPr="00BA5ECF">
        <w:t>17</w:t>
      </w:r>
      <w:r w:rsidR="00A97539" w:rsidRPr="00BA5ECF">
        <w:t xml:space="preserve">) </w:t>
      </w:r>
      <w:r w:rsidRPr="00BA5ECF">
        <w:t xml:space="preserve">with </w:t>
      </w:r>
      <w:r w:rsidR="00A97539" w:rsidRPr="00BA5ECF">
        <w:t>the commercial software tool STAR-CCM+</w:t>
      </w:r>
      <w:r w:rsidRPr="00BA5ECF">
        <w:t xml:space="preserve"> were used</w:t>
      </w:r>
      <w:r w:rsidR="00A97539" w:rsidRPr="00BA5ECF">
        <w:t xml:space="preserve">. </w:t>
      </w:r>
      <w:r w:rsidRPr="00BA5ECF">
        <w:t xml:space="preserve">They studied the Montz B1-250 packing, with dimensions similar to those of Mellapak 250Y, and varied </w:t>
      </w:r>
      <w:r w:rsidR="00A97539" w:rsidRPr="00BA5ECF">
        <w:t xml:space="preserve">the contact angle </w:t>
      </w:r>
      <w:r w:rsidRPr="00BA5ECF">
        <w:t xml:space="preserve">between </w:t>
      </w:r>
      <w:r w:rsidR="00A97539" w:rsidRPr="00BA5ECF">
        <w:t>10</w:t>
      </w:r>
      <w:r w:rsidR="00C352E3" w:rsidRPr="00BA5ECF">
        <w:t xml:space="preserve"> </w:t>
      </w:r>
      <w:r w:rsidR="00A97539" w:rsidRPr="00BA5ECF">
        <w:t xml:space="preserve">and 70° and </w:t>
      </w:r>
      <w:r w:rsidRPr="00BA5ECF">
        <w:t xml:space="preserve">liquid load between </w:t>
      </w:r>
      <w:r w:rsidR="00A97539" w:rsidRPr="00BA5ECF">
        <w:t>10 and 90 m³/(m²·h)</w:t>
      </w:r>
      <w:r w:rsidR="00883062" w:rsidRPr="00BA5ECF">
        <w:t xml:space="preserve">. </w:t>
      </w:r>
      <w:r w:rsidRPr="00BA5ECF">
        <w:t xml:space="preserve">The system studied </w:t>
      </w:r>
      <w:r w:rsidR="009B6705" w:rsidRPr="00BA5ECF">
        <w:t xml:space="preserve">consisted of </w:t>
      </w:r>
      <w:r w:rsidRPr="00BA5ECF">
        <w:t xml:space="preserve">water and air with constant </w:t>
      </w:r>
      <w:r w:rsidR="00A97539" w:rsidRPr="00BA5ECF">
        <w:t xml:space="preserve">fluid </w:t>
      </w:r>
      <w:r w:rsidR="00FE741F" w:rsidRPr="00BA5ECF">
        <w:t>characteristics</w:t>
      </w:r>
      <w:r w:rsidR="00A97539" w:rsidRPr="00BA5ECF">
        <w:t xml:space="preserve"> </w:t>
      </w:r>
      <w:r w:rsidRPr="00BA5ECF">
        <w:t xml:space="preserve">estimated </w:t>
      </w:r>
      <w:r w:rsidR="00A97539" w:rsidRPr="00BA5ECF">
        <w:t>at 25</w:t>
      </w:r>
      <w:r w:rsidR="00AB1B5B" w:rsidRPr="00BA5ECF">
        <w:t> </w:t>
      </w:r>
      <w:r w:rsidR="00A97539" w:rsidRPr="00BA5ECF">
        <w:t xml:space="preserve">°C. </w:t>
      </w:r>
      <w:r w:rsidR="00801FD3" w:rsidRPr="00BA5ECF">
        <w:t xml:space="preserve">Our simulation results revealed a </w:t>
      </w:r>
      <w:r w:rsidR="00801FD3" w:rsidRPr="0074393C">
        <w:t>good</w:t>
      </w:r>
      <w:r w:rsidR="00BB6870" w:rsidRPr="0074393C">
        <w:t xml:space="preserve"> optical</w:t>
      </w:r>
      <w:r w:rsidR="00801FD3" w:rsidRPr="0074393C">
        <w:t xml:space="preserve"> agreement</w:t>
      </w:r>
      <w:r w:rsidR="00801FD3" w:rsidRPr="00BA5ECF">
        <w:t xml:space="preserve"> with </w:t>
      </w:r>
      <w:r w:rsidR="00FE741F" w:rsidRPr="00BA5ECF">
        <w:t xml:space="preserve">those </w:t>
      </w:r>
      <w:r w:rsidR="00801FD3" w:rsidRPr="00BA5ECF">
        <w:t xml:space="preserve">of </w:t>
      </w:r>
      <w:r w:rsidR="00A97539" w:rsidRPr="00BA5ECF">
        <w:t xml:space="preserve">Olenberg </w:t>
      </w:r>
      <w:r w:rsidR="00C62C72" w:rsidRPr="00BA5ECF">
        <w:t xml:space="preserve">and Kenig </w:t>
      </w:r>
      <w:r w:rsidR="00A97539" w:rsidRPr="00BA5ECF">
        <w:t>(20</w:t>
      </w:r>
      <w:r w:rsidR="00C62C72" w:rsidRPr="00BA5ECF">
        <w:t>17</w:t>
      </w:r>
      <w:r w:rsidR="00A97539" w:rsidRPr="00BA5ECF">
        <w:t xml:space="preserve">) </w:t>
      </w:r>
      <w:r w:rsidR="00FE741F" w:rsidRPr="00BA5ECF">
        <w:t>in terms of</w:t>
      </w:r>
      <w:r w:rsidR="00791B7B" w:rsidRPr="00BA5ECF">
        <w:t xml:space="preserve"> </w:t>
      </w:r>
      <w:r w:rsidR="009B6705" w:rsidRPr="00BA5ECF">
        <w:t xml:space="preserve">the </w:t>
      </w:r>
      <w:r w:rsidR="00791B7B" w:rsidRPr="00BA5ECF">
        <w:t>liquid</w:t>
      </w:r>
      <w:r w:rsidR="00B4199F" w:rsidRPr="00BA5ECF">
        <w:t xml:space="preserve"> flow</w:t>
      </w:r>
      <w:r w:rsidR="00791B7B" w:rsidRPr="00BA5ECF">
        <w:t xml:space="preserve"> morphology</w:t>
      </w:r>
      <w:r w:rsidR="00A97539" w:rsidRPr="00BA5ECF">
        <w:t xml:space="preserve">, </w:t>
      </w:r>
      <w:r w:rsidR="00791B7B" w:rsidRPr="00BA5ECF">
        <w:t>number of rivulets</w:t>
      </w:r>
      <w:r w:rsidR="00A97539" w:rsidRPr="00BA5ECF">
        <w:t xml:space="preserve"> and film thickness</w:t>
      </w:r>
      <w:r w:rsidR="00B97F64">
        <w:t>.</w:t>
      </w:r>
      <w:r w:rsidR="00B97F64" w:rsidRPr="00B97F64">
        <w:t xml:space="preserve"> The average difference between the values of the resulting interfacial area was 10 %. The deviations are mostly encountered for small contact angles and high liquid loads, e.g., complete wetting in our simulations vs. incomplete wetting by Olenberg and Kenig (2017).</w:t>
      </w:r>
      <w:r w:rsidR="00B97F64">
        <w:t xml:space="preserve"> </w:t>
      </w:r>
      <w:r w:rsidR="007E2CB9" w:rsidRPr="00BA5ECF">
        <w:t>Therefore, the model presented in our work can be judged as validated.</w:t>
      </w:r>
    </w:p>
    <w:p w14:paraId="7034890F" w14:textId="1B3427CC" w:rsidR="00620E83" w:rsidRPr="00BA5ECF" w:rsidRDefault="00620E83" w:rsidP="00620E83">
      <w:pPr>
        <w:pStyle w:val="Els-1storder-head"/>
      </w:pPr>
      <w:bookmarkStart w:id="12" w:name="_Ref149223125"/>
      <w:r w:rsidRPr="00BA5ECF">
        <w:t>Parametric Studies</w:t>
      </w:r>
      <w:bookmarkEnd w:id="12"/>
    </w:p>
    <w:p w14:paraId="2560C479" w14:textId="5617C8CB" w:rsidR="00203234" w:rsidRDefault="00203234" w:rsidP="00203234">
      <w:pPr>
        <w:pStyle w:val="Els-2ndorder-head"/>
      </w:pPr>
      <w:bookmarkStart w:id="13" w:name="_Ref149308027"/>
      <w:r w:rsidRPr="00BA5ECF">
        <w:t xml:space="preserve">Influence of liquid </w:t>
      </w:r>
      <w:r w:rsidR="00AB1B5B" w:rsidRPr="00BA5ECF">
        <w:t>load</w:t>
      </w:r>
      <w:r w:rsidRPr="00BA5ECF">
        <w:t xml:space="preserve"> and contact angle</w:t>
      </w:r>
      <w:bookmarkEnd w:id="13"/>
    </w:p>
    <w:p w14:paraId="7B3C4E9F" w14:textId="41E27098" w:rsidR="008A2214" w:rsidRDefault="008A2214" w:rsidP="008A2214">
      <w:pPr>
        <w:pStyle w:val="Els-body-text"/>
      </w:pPr>
      <w:r w:rsidRPr="008A2214">
        <w:t>Bertling et al. (2023) found out that inlet effects in a Mellapak 250Y packing are negligible after the flow length of just one REU. Comparing the height of one REU of 0.03182 m to the height of one packing element, which is typically between 0.2 and 0.3</w:t>
      </w:r>
      <w:r>
        <w:t> </w:t>
      </w:r>
      <w:r w:rsidRPr="008A2214">
        <w:t xml:space="preserve">m (Kister, 1992), it is evident that the fully periodic flow is more appropriate for describing the flow dynamics within structured packings then the idealized inlet. Therefore, for the parametric studies, the fully periodic flow was chosen. </w:t>
      </w:r>
      <w:r w:rsidRPr="00D221BA">
        <w:t xml:space="preserve">The liquid morphologies shown in </w:t>
      </w:r>
      <w:r w:rsidR="00F61205">
        <w:fldChar w:fldCharType="begin"/>
      </w:r>
      <w:r w:rsidR="00F61205">
        <w:instrText xml:space="preserve"> REF _Ref157001409 \h </w:instrText>
      </w:r>
      <w:r w:rsidR="00F61205">
        <w:fldChar w:fldCharType="separate"/>
      </w:r>
      <w:r w:rsidR="001071BB" w:rsidRPr="00BA5ECF">
        <w:t xml:space="preserve">Figure </w:t>
      </w:r>
      <w:r w:rsidR="001071BB">
        <w:rPr>
          <w:noProof/>
        </w:rPr>
        <w:t>3</w:t>
      </w:r>
      <w:r w:rsidR="00F61205">
        <w:fldChar w:fldCharType="end"/>
      </w:r>
      <w:r w:rsidR="00F61205">
        <w:t xml:space="preserve">, </w:t>
      </w:r>
      <w:r w:rsidRPr="008A2214">
        <w:t xml:space="preserve">were obtained by performing the parametric study within the limits given in Section </w:t>
      </w:r>
      <w:r>
        <w:fldChar w:fldCharType="begin"/>
      </w:r>
      <w:r>
        <w:instrText xml:space="preserve"> REF _Ref150773734 \r \h </w:instrText>
      </w:r>
      <w:r>
        <w:fldChar w:fldCharType="separate"/>
      </w:r>
      <w:r w:rsidR="001071BB">
        <w:t>4</w:t>
      </w:r>
      <w:r>
        <w:fldChar w:fldCharType="end"/>
      </w:r>
      <w:r w:rsidRPr="008A2214">
        <w:t xml:space="preserve"> using the REU with fully periodic flow. </w:t>
      </w:r>
    </w:p>
    <w:p w14:paraId="14FA194B" w14:textId="6D674E26" w:rsidR="008A2214" w:rsidRPr="00BA5ECF" w:rsidRDefault="00E42C71" w:rsidP="008A2214">
      <w:pPr>
        <w:pStyle w:val="Didascalia"/>
      </w:pPr>
      <w:r>
        <w:rPr>
          <w:noProof/>
        </w:rPr>
        <w:drawing>
          <wp:inline distT="0" distB="0" distL="0" distR="0" wp14:anchorId="2F2DE9E3" wp14:editId="1C2F258E">
            <wp:extent cx="2330314" cy="19858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gebnistabelle_periodic_black_white_biggernumbers2.png"/>
                    <pic:cNvPicPr/>
                  </pic:nvPicPr>
                  <pic:blipFill rotWithShape="1">
                    <a:blip r:embed="rId15" cstate="print">
                      <a:extLst>
                        <a:ext uri="{28A0092B-C50C-407E-A947-70E740481C1C}">
                          <a14:useLocalDpi xmlns:a14="http://schemas.microsoft.com/office/drawing/2010/main" val="0"/>
                        </a:ext>
                      </a:extLst>
                    </a:blip>
                    <a:srcRect t="520" r="2118" b="12583"/>
                    <a:stretch/>
                  </pic:blipFill>
                  <pic:spPr bwMode="auto">
                    <a:xfrm>
                      <a:off x="0" y="0"/>
                      <a:ext cx="2356168" cy="2007907"/>
                    </a:xfrm>
                    <a:prstGeom prst="rect">
                      <a:avLst/>
                    </a:prstGeom>
                    <a:ln>
                      <a:noFill/>
                    </a:ln>
                    <a:extLst>
                      <a:ext uri="{53640926-AAD7-44D8-BBD7-CCE9431645EC}">
                        <a14:shadowObscured xmlns:a14="http://schemas.microsoft.com/office/drawing/2010/main"/>
                      </a:ext>
                    </a:extLst>
                  </pic:spPr>
                </pic:pic>
              </a:graphicData>
            </a:graphic>
          </wp:inline>
        </w:drawing>
      </w:r>
    </w:p>
    <w:p w14:paraId="59A9154E" w14:textId="02FAEDDE" w:rsidR="008A2214" w:rsidRPr="00BA5ECF" w:rsidRDefault="008A2214" w:rsidP="008A2214">
      <w:pPr>
        <w:pStyle w:val="Didascalia"/>
      </w:pPr>
      <w:bookmarkStart w:id="14" w:name="_Ref157001409"/>
      <w:bookmarkStart w:id="15" w:name="_Ref157001405"/>
      <w:r w:rsidRPr="00BA5ECF">
        <w:t xml:space="preserve">Figure </w:t>
      </w:r>
      <w:r w:rsidRPr="00BA5ECF">
        <w:fldChar w:fldCharType="begin"/>
      </w:r>
      <w:r w:rsidRPr="00BA5ECF">
        <w:instrText xml:space="preserve"> SEQ Figure \* ARABIC </w:instrText>
      </w:r>
      <w:r w:rsidRPr="00BA5ECF">
        <w:fldChar w:fldCharType="separate"/>
      </w:r>
      <w:r w:rsidR="001071BB">
        <w:rPr>
          <w:noProof/>
        </w:rPr>
        <w:t>3</w:t>
      </w:r>
      <w:r w:rsidRPr="00BA5ECF">
        <w:fldChar w:fldCharType="end"/>
      </w:r>
      <w:bookmarkEnd w:id="14"/>
      <w:r w:rsidRPr="00BA5ECF">
        <w:t>: Liquid flow morphologies for the fully periodic flow</w:t>
      </w:r>
      <w:bookmarkEnd w:id="15"/>
    </w:p>
    <w:p w14:paraId="697F033D" w14:textId="48134EB1" w:rsidR="008A2214" w:rsidRPr="008A2214" w:rsidRDefault="008A2214" w:rsidP="00220F88">
      <w:pPr>
        <w:pStyle w:val="Els-body-text"/>
      </w:pPr>
      <w:r w:rsidRPr="008A2214">
        <w:lastRenderedPageBreak/>
        <w:t xml:space="preserve">The study discriminates three distinct flow regimes below the loading point. At low liquid loads and contact angles, the liquid strictly follows the macrostructure of the packing sheet. The average liquid flow angle aligns with the corrugation angle of the packing. Increasing either the liquid load or the contact angle results in thicker films and some liquid spilling over the macrostructure, shifting the liquid flow angle towards the vertical. For contact angles or liquid loads exceeding certain threshold values, some liquid drains off the packing surface. In this arrangement, the drained liquid trickles out of the computational domain (out of the boundary number 4, </w:t>
      </w:r>
      <w:r>
        <w:fldChar w:fldCharType="begin"/>
      </w:r>
      <w:r>
        <w:instrText xml:space="preserve"> REF _Ref149220750 \h </w:instrText>
      </w:r>
      <w:r>
        <w:fldChar w:fldCharType="separate"/>
      </w:r>
      <w:r w:rsidR="001071BB" w:rsidRPr="00BA5ECF">
        <w:t xml:space="preserve">Figure </w:t>
      </w:r>
      <w:r w:rsidR="001071BB">
        <w:rPr>
          <w:noProof/>
        </w:rPr>
        <w:t>2</w:t>
      </w:r>
      <w:r>
        <w:fldChar w:fldCharType="end"/>
      </w:r>
      <w:r w:rsidRPr="008A2214">
        <w:t>), making the intended liquid load unattainable. This drainage point was reached at higher flow rates of the 70 ° contact angle.</w:t>
      </w:r>
    </w:p>
    <w:p w14:paraId="5348FBCF" w14:textId="5632CDA7" w:rsidR="00203234" w:rsidRPr="00BA5ECF" w:rsidRDefault="00203234" w:rsidP="00203234">
      <w:pPr>
        <w:pStyle w:val="Els-2ndorder-head"/>
      </w:pPr>
      <w:r w:rsidRPr="00BA5ECF">
        <w:t>Variation of density, viscosity</w:t>
      </w:r>
      <w:r w:rsidR="004B5037" w:rsidRPr="00BA5ECF">
        <w:t>,</w:t>
      </w:r>
      <w:r w:rsidRPr="00BA5ECF">
        <w:t xml:space="preserve"> and surface tension</w:t>
      </w:r>
    </w:p>
    <w:p w14:paraId="256F30DD" w14:textId="0ECEFE5D" w:rsidR="00F81D72" w:rsidRPr="00BA5ECF" w:rsidRDefault="008927B3" w:rsidP="00203234">
      <w:pPr>
        <w:pStyle w:val="Els-body-text"/>
      </w:pPr>
      <w:r w:rsidRPr="00BA5ECF">
        <w:t>Along with liquid load and contact angle, p</w:t>
      </w:r>
      <w:r w:rsidR="004E47E0" w:rsidRPr="00BA5ECF">
        <w:t xml:space="preserve">hysical properties of the liquid phase </w:t>
      </w:r>
      <w:r w:rsidRPr="00BA5ECF">
        <w:t>m</w:t>
      </w:r>
      <w:r w:rsidR="00C352E3" w:rsidRPr="00BA5ECF">
        <w:t>a</w:t>
      </w:r>
      <w:r w:rsidRPr="00BA5ECF">
        <w:t xml:space="preserve">y </w:t>
      </w:r>
      <w:r w:rsidR="004E47E0" w:rsidRPr="00BA5ECF">
        <w:t xml:space="preserve">also </w:t>
      </w:r>
      <w:r w:rsidR="009B14CA" w:rsidRPr="00BA5ECF">
        <w:t>significantly</w:t>
      </w:r>
      <w:r w:rsidR="004E47E0" w:rsidRPr="00BA5ECF">
        <w:t xml:space="preserve"> affect wetting </w:t>
      </w:r>
      <w:r w:rsidR="009B14CA" w:rsidRPr="00BA5ECF">
        <w:t>behavior</w:t>
      </w:r>
      <w:r w:rsidR="004E47E0" w:rsidRPr="00BA5ECF">
        <w:t xml:space="preserve">. </w:t>
      </w:r>
      <w:r w:rsidR="00DF6C2B" w:rsidRPr="00BA5ECF">
        <w:t xml:space="preserve">We varied these properties individually within the limits determined according to </w:t>
      </w:r>
      <w:r w:rsidR="004E47E0" w:rsidRPr="00BA5ECF">
        <w:t xml:space="preserve">the typical </w:t>
      </w:r>
      <w:r w:rsidR="00DF6C2B" w:rsidRPr="00BA5ECF">
        <w:t xml:space="preserve">values </w:t>
      </w:r>
      <w:r w:rsidR="004E47E0" w:rsidRPr="00BA5ECF">
        <w:t xml:space="preserve">encountered in separation </w:t>
      </w:r>
      <w:r w:rsidR="00DF6C2B" w:rsidRPr="00BA5ECF">
        <w:t>processes</w:t>
      </w:r>
      <w:r w:rsidR="004E47E0" w:rsidRPr="00BA5ECF">
        <w:t xml:space="preserve">. </w:t>
      </w:r>
      <w:r w:rsidR="00DF6C2B" w:rsidRPr="00BA5ECF">
        <w:t>D</w:t>
      </w:r>
      <w:r w:rsidR="00004481" w:rsidRPr="00BA5ECF">
        <w:t xml:space="preserve">ensity </w:t>
      </w:r>
      <w:r w:rsidR="00DF6C2B" w:rsidRPr="00BA5ECF">
        <w:t xml:space="preserve">was </w:t>
      </w:r>
      <w:r w:rsidR="00004481" w:rsidRPr="00BA5ECF">
        <w:t>varied between 500 and 2000 kg/m³, viscosity between 1</w:t>
      </w:r>
      <w:r w:rsidR="004D5816" w:rsidRPr="00BA5ECF">
        <w:t>·10</w:t>
      </w:r>
      <w:r w:rsidR="004D5816" w:rsidRPr="00BA5ECF">
        <w:rPr>
          <w:vertAlign w:val="superscript"/>
        </w:rPr>
        <w:t>-</w:t>
      </w:r>
      <w:r w:rsidR="00C352E3" w:rsidRPr="00BA5ECF">
        <w:rPr>
          <w:vertAlign w:val="superscript"/>
        </w:rPr>
        <w:t>4</w:t>
      </w:r>
      <w:r w:rsidR="00004481" w:rsidRPr="00BA5ECF">
        <w:t xml:space="preserve"> and 1</w:t>
      </w:r>
      <w:r w:rsidR="00C352E3" w:rsidRPr="00BA5ECF">
        <w:t xml:space="preserve"> </w:t>
      </w:r>
      <w:proofErr w:type="spellStart"/>
      <w:r w:rsidR="00004481" w:rsidRPr="004F206E">
        <w:t>Pa</w:t>
      </w:r>
      <w:r w:rsidR="008A2214" w:rsidRPr="004F206E">
        <w:t>·</w:t>
      </w:r>
      <w:r w:rsidR="00004481" w:rsidRPr="004F206E">
        <w:t>s</w:t>
      </w:r>
      <w:proofErr w:type="spellEnd"/>
      <w:r w:rsidR="004B5037" w:rsidRPr="004F206E">
        <w:t>,</w:t>
      </w:r>
      <w:r w:rsidR="00004481" w:rsidRPr="00BA5ECF">
        <w:t xml:space="preserve"> and surface tension </w:t>
      </w:r>
      <w:r w:rsidR="00DF6C2B" w:rsidRPr="00BA5ECF">
        <w:t xml:space="preserve">was varied </w:t>
      </w:r>
      <w:r w:rsidR="00004481" w:rsidRPr="00BA5ECF">
        <w:t>between 0</w:t>
      </w:r>
      <w:r w:rsidR="00A45F3B" w:rsidRPr="00BA5ECF">
        <w:t>.</w:t>
      </w:r>
      <w:r w:rsidR="00004481" w:rsidRPr="00BA5ECF">
        <w:t>015 and 0</w:t>
      </w:r>
      <w:r w:rsidR="00A45F3B" w:rsidRPr="00BA5ECF">
        <w:t>.</w:t>
      </w:r>
      <w:r w:rsidR="00004481" w:rsidRPr="00BA5ECF">
        <w:t xml:space="preserve">072 N/m. </w:t>
      </w:r>
      <w:r w:rsidR="00DF6C2B" w:rsidRPr="00BA5ECF">
        <w:t xml:space="preserve">With increasing density, decreasing viscosity or decreasing surface tension, </w:t>
      </w:r>
      <w:r w:rsidR="004E47E0" w:rsidRPr="00BA5ECF">
        <w:t>the liquid flow pattern</w:t>
      </w:r>
      <w:r w:rsidR="00DF6C2B" w:rsidRPr="00BA5ECF">
        <w:t xml:space="preserve"> more and more deviates </w:t>
      </w:r>
      <w:r w:rsidR="004E47E0" w:rsidRPr="00BA5ECF">
        <w:t xml:space="preserve">from </w:t>
      </w:r>
      <w:r w:rsidR="00DF6C2B" w:rsidRPr="00BA5ECF">
        <w:t xml:space="preserve">the path dictated by </w:t>
      </w:r>
      <w:r w:rsidR="004E47E0" w:rsidRPr="00BA5ECF">
        <w:t>the packing macrostructure to</w:t>
      </w:r>
      <w:r w:rsidR="00DF6C2B" w:rsidRPr="00BA5ECF">
        <w:t>ward</w:t>
      </w:r>
      <w:r w:rsidR="004E47E0" w:rsidRPr="00BA5ECF">
        <w:t xml:space="preserve"> overflow and drainage.</w:t>
      </w:r>
      <w:r w:rsidR="009B14CA" w:rsidRPr="00BA5ECF">
        <w:t xml:space="preserve"> Similarly, these </w:t>
      </w:r>
      <w:r w:rsidR="000C13E9" w:rsidRPr="00BA5ECF">
        <w:t xml:space="preserve">trends </w:t>
      </w:r>
      <w:r w:rsidR="00066C9C" w:rsidRPr="00BA5ECF">
        <w:t>in</w:t>
      </w:r>
      <w:r w:rsidR="009B14CA" w:rsidRPr="00BA5ECF">
        <w:t xml:space="preserve"> physical properties result in a higher average liquid flow angle, reduced liquid hold-up and an increase in interfacial area. Varying density, viscosity, and surface tension within the </w:t>
      </w:r>
      <w:r w:rsidR="00DF6C2B" w:rsidRPr="00BA5ECF">
        <w:t xml:space="preserve">limits </w:t>
      </w:r>
      <w:r w:rsidR="009B14CA" w:rsidRPr="00BA5ECF">
        <w:t xml:space="preserve">mentioned </w:t>
      </w:r>
      <w:r w:rsidR="00DF6C2B" w:rsidRPr="00BA5ECF">
        <w:t>above changes the flow patte</w:t>
      </w:r>
      <w:r w:rsidR="00C352E3" w:rsidRPr="00BA5ECF">
        <w:t>r</w:t>
      </w:r>
      <w:r w:rsidR="00DF6C2B" w:rsidRPr="00BA5ECF">
        <w:t xml:space="preserve">n significantly, from </w:t>
      </w:r>
      <w:r w:rsidR="002D4449" w:rsidRPr="00BA5ECF">
        <w:t>strictly following the macrostructure</w:t>
      </w:r>
      <w:r w:rsidR="009B14CA" w:rsidRPr="00BA5ECF">
        <w:t xml:space="preserve"> </w:t>
      </w:r>
      <w:r w:rsidR="00DF6C2B" w:rsidRPr="00BA5ECF">
        <w:t xml:space="preserve">to </w:t>
      </w:r>
      <w:r w:rsidR="009B14CA" w:rsidRPr="00BA5ECF">
        <w:t xml:space="preserve">liquid drainage. </w:t>
      </w:r>
      <w:r w:rsidR="0090440B" w:rsidRPr="00BA5ECF">
        <w:t>Such l</w:t>
      </w:r>
      <w:r w:rsidR="009528AF" w:rsidRPr="00BA5ECF">
        <w:t xml:space="preserve">arge </w:t>
      </w:r>
      <w:r w:rsidR="0090440B" w:rsidRPr="00BA5ECF">
        <w:t xml:space="preserve">physical system property variations can result from significant </w:t>
      </w:r>
      <w:r w:rsidR="009528AF" w:rsidRPr="00BA5ECF">
        <w:t>concentration change</w:t>
      </w:r>
      <w:r w:rsidR="0090440B" w:rsidRPr="00BA5ECF">
        <w:t>s</w:t>
      </w:r>
      <w:r w:rsidR="009528AF" w:rsidRPr="00BA5ECF">
        <w:t xml:space="preserve"> </w:t>
      </w:r>
      <w:r w:rsidR="0090440B" w:rsidRPr="00BA5ECF">
        <w:t xml:space="preserve">over the column height </w:t>
      </w:r>
      <w:r w:rsidR="005D1A11" w:rsidRPr="00BA5ECF">
        <w:t>(</w:t>
      </w:r>
      <w:r w:rsidR="0090440B" w:rsidRPr="00BA5ECF">
        <w:t xml:space="preserve">typical </w:t>
      </w:r>
      <w:r w:rsidR="009528AF" w:rsidRPr="00BA5ECF">
        <w:t xml:space="preserve">in </w:t>
      </w:r>
      <w:r w:rsidR="005D1A11" w:rsidRPr="00BA5ECF">
        <w:t xml:space="preserve">e.g. </w:t>
      </w:r>
      <w:r w:rsidR="009528AF" w:rsidRPr="00BA5ECF">
        <w:t>distillation processes</w:t>
      </w:r>
      <w:r w:rsidR="005D1A11" w:rsidRPr="00BA5ECF">
        <w:t>)</w:t>
      </w:r>
      <w:r w:rsidR="008A53AF" w:rsidRPr="00BA5ECF">
        <w:t xml:space="preserve">. Taking </w:t>
      </w:r>
      <w:r w:rsidR="005D1A11" w:rsidRPr="00BA5ECF">
        <w:t xml:space="preserve">this effect </w:t>
      </w:r>
      <w:r w:rsidR="008A53AF" w:rsidRPr="00BA5ECF">
        <w:t xml:space="preserve">into account </w:t>
      </w:r>
      <w:r w:rsidR="005D1A11" w:rsidRPr="00BA5ECF">
        <w:t xml:space="preserve">can thus be beneficial </w:t>
      </w:r>
      <w:r w:rsidR="008A53AF" w:rsidRPr="00BA5ECF">
        <w:t xml:space="preserve">for the choice of packing </w:t>
      </w:r>
      <w:r w:rsidR="005D1A11" w:rsidRPr="00BA5ECF">
        <w:t xml:space="preserve">enhancing the column </w:t>
      </w:r>
      <w:r w:rsidR="008A53AF" w:rsidRPr="00BA5ECF">
        <w:t>efficiency.</w:t>
      </w:r>
    </w:p>
    <w:p w14:paraId="0F65358B" w14:textId="67109856" w:rsidR="00203234" w:rsidRDefault="00203234" w:rsidP="00203234">
      <w:pPr>
        <w:pStyle w:val="Els-2ndorder-head"/>
      </w:pPr>
      <w:r w:rsidRPr="00BA5ECF">
        <w:t>Surface Structuring</w:t>
      </w:r>
    </w:p>
    <w:p w14:paraId="4022CB7A" w14:textId="705F7C15" w:rsidR="005D008A" w:rsidRDefault="008A2214" w:rsidP="00A70B23">
      <w:pPr>
        <w:pStyle w:val="Els-body-text"/>
      </w:pPr>
      <w:r w:rsidRPr="00BA5ECF">
        <w:t xml:space="preserve">The l-grooved microstructure described in Section </w:t>
      </w:r>
      <w:r w:rsidRPr="00BA5ECF">
        <w:fldChar w:fldCharType="begin"/>
      </w:r>
      <w:r w:rsidRPr="00BA5ECF">
        <w:instrText xml:space="preserve"> REF _Ref149307877 \r \h </w:instrText>
      </w:r>
      <w:r>
        <w:instrText xml:space="preserve"> \* MERGEFORMAT </w:instrText>
      </w:r>
      <w:r w:rsidRPr="00BA5ECF">
        <w:fldChar w:fldCharType="separate"/>
      </w:r>
      <w:r w:rsidR="001071BB">
        <w:t>2</w:t>
      </w:r>
      <w:r w:rsidRPr="00BA5ECF">
        <w:fldChar w:fldCharType="end"/>
      </w:r>
      <w:r w:rsidRPr="00BA5ECF">
        <w:t xml:space="preserve"> is horizontally oriented in Sulzer packings (se</w:t>
      </w:r>
      <w:r w:rsidR="00D221BA">
        <w:t xml:space="preserve">e </w:t>
      </w:r>
      <w:r w:rsidR="00D221BA">
        <w:fldChar w:fldCharType="begin"/>
      </w:r>
      <w:r w:rsidR="00D221BA">
        <w:instrText xml:space="preserve"> REF _Ref157001443 \h </w:instrText>
      </w:r>
      <w:r w:rsidR="00D221BA">
        <w:fldChar w:fldCharType="separate"/>
      </w:r>
      <w:r w:rsidR="001071BB" w:rsidRPr="00BA5ECF">
        <w:t xml:space="preserve">Figure </w:t>
      </w:r>
      <w:r w:rsidR="001071BB">
        <w:rPr>
          <w:noProof/>
        </w:rPr>
        <w:t>4</w:t>
      </w:r>
      <w:r w:rsidR="00D221BA">
        <w:fldChar w:fldCharType="end"/>
      </w:r>
      <w:r w:rsidRPr="00BA5ECF">
        <w:t>). For a comparison, the microstructure was rotated by 90 ° to investigate the effect of its orientation on liquid wetting</w:t>
      </w:r>
      <w:r>
        <w:t xml:space="preserve">. </w:t>
      </w:r>
      <w:r w:rsidR="009B14CA" w:rsidRPr="00BA5ECF">
        <w:t>The</w:t>
      </w:r>
      <w:r w:rsidR="00004481" w:rsidRPr="00BA5ECF">
        <w:t xml:space="preserve"> parametric study </w:t>
      </w:r>
      <w:r w:rsidR="00C234E4" w:rsidRPr="00BA5ECF">
        <w:t>shown</w:t>
      </w:r>
      <w:r w:rsidR="004D5816" w:rsidRPr="00BA5ECF">
        <w:t xml:space="preserve"> in</w:t>
      </w:r>
      <w:r w:rsidR="00004481" w:rsidRPr="00BA5ECF">
        <w:t xml:space="preserve"> </w:t>
      </w:r>
      <w:r w:rsidR="00755DC3" w:rsidRPr="00BA5ECF">
        <w:t xml:space="preserve">Section </w:t>
      </w:r>
      <w:r w:rsidR="00004481" w:rsidRPr="00BA5ECF">
        <w:fldChar w:fldCharType="begin"/>
      </w:r>
      <w:r w:rsidR="00004481" w:rsidRPr="00BA5ECF">
        <w:instrText xml:space="preserve"> REF _Ref149308027 \r \h </w:instrText>
      </w:r>
      <w:r w:rsidR="00BA5ECF">
        <w:instrText xml:space="preserve"> \* MERGEFORMAT </w:instrText>
      </w:r>
      <w:r w:rsidR="00004481" w:rsidRPr="00BA5ECF">
        <w:fldChar w:fldCharType="separate"/>
      </w:r>
      <w:r w:rsidR="001071BB">
        <w:t>5.1</w:t>
      </w:r>
      <w:r w:rsidR="00004481" w:rsidRPr="00BA5ECF">
        <w:fldChar w:fldCharType="end"/>
      </w:r>
      <w:r w:rsidR="00004481" w:rsidRPr="00BA5ECF">
        <w:t xml:space="preserve"> </w:t>
      </w:r>
      <w:r w:rsidR="00C234E4" w:rsidRPr="00BA5ECF">
        <w:t xml:space="preserve">was now performed for </w:t>
      </w:r>
      <w:r w:rsidR="00004481" w:rsidRPr="00BA5ECF">
        <w:t>the l-grooved and the rotated l-grooved microstructure</w:t>
      </w:r>
      <w:r w:rsidR="009B14CA" w:rsidRPr="00BA5ECF">
        <w:t>s</w:t>
      </w:r>
      <w:r w:rsidR="00004481" w:rsidRPr="00BA5ECF">
        <w:t xml:space="preserve">. </w:t>
      </w:r>
      <w:r w:rsidR="006F4912" w:rsidRPr="00BA5ECF">
        <w:fldChar w:fldCharType="begin"/>
      </w:r>
      <w:r w:rsidR="006F4912" w:rsidRPr="00BA5ECF">
        <w:instrText xml:space="preserve"> REF _Ref150771490 \h </w:instrText>
      </w:r>
      <w:r w:rsidR="00BA5ECF">
        <w:instrText xml:space="preserve"> \* MERGEFORMAT </w:instrText>
      </w:r>
      <w:r w:rsidR="006F4912" w:rsidRPr="00BA5ECF">
        <w:fldChar w:fldCharType="separate"/>
      </w:r>
      <w:r w:rsidR="001071BB" w:rsidRPr="00BA5ECF">
        <w:t xml:space="preserve">Figure </w:t>
      </w:r>
      <w:r w:rsidR="001071BB">
        <w:rPr>
          <w:noProof/>
        </w:rPr>
        <w:t>5</w:t>
      </w:r>
      <w:r w:rsidR="006F4912" w:rsidRPr="00BA5ECF">
        <w:fldChar w:fldCharType="end"/>
      </w:r>
      <w:r w:rsidR="009B14CA" w:rsidRPr="00BA5ECF">
        <w:t xml:space="preserve"> </w:t>
      </w:r>
      <w:r w:rsidR="00920419" w:rsidRPr="00BA5ECF">
        <w:t xml:space="preserve">demonstrates </w:t>
      </w:r>
      <w:r w:rsidR="009B14CA" w:rsidRPr="00BA5ECF">
        <w:t>that the preferred</w:t>
      </w:r>
      <w:r w:rsidR="005F6363" w:rsidRPr="00BA5ECF">
        <w:t xml:space="preserve"> surface structure </w:t>
      </w:r>
      <w:r w:rsidR="009B14CA" w:rsidRPr="00BA5ECF">
        <w:t>for achieving</w:t>
      </w:r>
      <w:r w:rsidR="005F6363" w:rsidRPr="00BA5ECF">
        <w:t xml:space="preserve"> the highest interfacial area depend</w:t>
      </w:r>
      <w:r w:rsidR="005D3C1E" w:rsidRPr="00BA5ECF">
        <w:t>s</w:t>
      </w:r>
      <w:r w:rsidR="005F6363" w:rsidRPr="00BA5ECF">
        <w:t xml:space="preserve"> on the liquid </w:t>
      </w:r>
      <w:r w:rsidR="00AB1B5B" w:rsidRPr="00BA5ECF">
        <w:t>load</w:t>
      </w:r>
      <w:r w:rsidR="005F6363" w:rsidRPr="00BA5ECF">
        <w:t xml:space="preserve">. </w:t>
      </w:r>
      <w:r w:rsidR="009B14CA" w:rsidRPr="00BA5ECF">
        <w:t>At low</w:t>
      </w:r>
      <w:r w:rsidR="00BB7708" w:rsidRPr="00BA5ECF">
        <w:t xml:space="preserve"> liquid </w:t>
      </w:r>
      <w:r w:rsidR="00AB1B5B" w:rsidRPr="00BA5ECF">
        <w:t>load</w:t>
      </w:r>
      <w:r w:rsidR="00BB7708" w:rsidRPr="00BA5ECF">
        <w:t xml:space="preserve">s, </w:t>
      </w:r>
      <w:r w:rsidR="009B14CA" w:rsidRPr="00BA5ECF">
        <w:t xml:space="preserve">the rotated l-grooved microstructure </w:t>
      </w:r>
      <w:r w:rsidR="005D3C1E" w:rsidRPr="00BA5ECF">
        <w:t xml:space="preserve">resulted in </w:t>
      </w:r>
      <w:r w:rsidR="00BB7708" w:rsidRPr="00BA5ECF">
        <w:t>the highest interfacial area, but</w:t>
      </w:r>
      <w:r w:rsidR="009B14CA" w:rsidRPr="00BA5ECF">
        <w:t xml:space="preserve"> reached</w:t>
      </w:r>
      <w:r w:rsidR="00BB7708" w:rsidRPr="00BA5ECF">
        <w:t xml:space="preserve"> the drainage point </w:t>
      </w:r>
      <w:r w:rsidR="009B14CA" w:rsidRPr="00BA5ECF">
        <w:t xml:space="preserve">at </w:t>
      </w:r>
      <w:r w:rsidR="00604AFD" w:rsidRPr="008A2214">
        <w:t>nearly</w:t>
      </w:r>
      <w:r w:rsidR="00BB7708" w:rsidRPr="008A2214">
        <w:t xml:space="preserve"> 40</w:t>
      </w:r>
      <w:r w:rsidR="00B1259C" w:rsidRPr="008A2214">
        <w:t> </w:t>
      </w:r>
      <w:r w:rsidR="00BB7708" w:rsidRPr="008A2214">
        <w:t xml:space="preserve">m³/(m²·h). </w:t>
      </w:r>
      <w:r w:rsidRPr="0077162D">
        <w:t>Thus, i</w:t>
      </w:r>
      <w:r w:rsidR="00755DC3" w:rsidRPr="008A2214">
        <w:t>n contrast</w:t>
      </w:r>
      <w:r w:rsidR="00755DC3" w:rsidRPr="00BA5ECF">
        <w:t xml:space="preserve"> to a smooth surface, </w:t>
      </w:r>
      <w:r w:rsidR="009B14CA" w:rsidRPr="00BA5ECF">
        <w:t>this microstructure destabilizes</w:t>
      </w:r>
      <w:r w:rsidR="005F6363" w:rsidRPr="00BA5ECF">
        <w:t xml:space="preserve"> liquid flow.</w:t>
      </w:r>
      <w:bookmarkStart w:id="16" w:name="_Ref149308583"/>
      <w:r w:rsidR="00A70B23" w:rsidRPr="00BA5ECF">
        <w:t xml:space="preserve"> </w:t>
      </w:r>
      <w:r w:rsidR="00D30C35" w:rsidRPr="00BA5ECF">
        <w:t>O</w:t>
      </w:r>
      <w:r w:rsidR="00C352E3" w:rsidRPr="00BA5ECF">
        <w:t>n</w:t>
      </w:r>
      <w:r w:rsidR="00D30C35" w:rsidRPr="00BA5ECF">
        <w:t xml:space="preserve"> the contrary</w:t>
      </w:r>
      <w:r w:rsidR="009B14CA" w:rsidRPr="00BA5ECF">
        <w:t>, t</w:t>
      </w:r>
      <w:r w:rsidR="00A70B23" w:rsidRPr="00BA5ECF">
        <w:t xml:space="preserve">he drainage point of the l-grooved microstructure </w:t>
      </w:r>
      <w:r w:rsidR="00035636" w:rsidRPr="00BA5ECF">
        <w:t xml:space="preserve">is </w:t>
      </w:r>
      <w:r w:rsidR="00D30C35" w:rsidRPr="00BA5ECF">
        <w:t xml:space="preserve">reached </w:t>
      </w:r>
      <w:r w:rsidR="001D6CB9" w:rsidRPr="00BA5ECF">
        <w:t>at</w:t>
      </w:r>
      <w:r w:rsidR="00D30C35" w:rsidRPr="00BA5ECF">
        <w:t xml:space="preserve"> </w:t>
      </w:r>
      <w:r w:rsidR="00A70B23" w:rsidRPr="00BA5ECF">
        <w:t xml:space="preserve">a liquid </w:t>
      </w:r>
      <w:r w:rsidR="00AB1B5B" w:rsidRPr="00BA5ECF">
        <w:t>load</w:t>
      </w:r>
      <w:r w:rsidR="00A70B23" w:rsidRPr="00BA5ECF">
        <w:t xml:space="preserve"> of 140</w:t>
      </w:r>
      <w:r w:rsidR="00B1259C" w:rsidRPr="00BA5ECF">
        <w:t> </w:t>
      </w:r>
      <w:r w:rsidR="00A70B23" w:rsidRPr="00BA5ECF">
        <w:t>m³/(m²·h)</w:t>
      </w:r>
      <w:r w:rsidR="009B14CA" w:rsidRPr="00BA5ECF">
        <w:t xml:space="preserve">, </w:t>
      </w:r>
      <w:r w:rsidR="00D30C35" w:rsidRPr="00BA5ECF">
        <w:t xml:space="preserve">what </w:t>
      </w:r>
      <w:r w:rsidR="009B14CA" w:rsidRPr="00BA5ECF">
        <w:t>indicat</w:t>
      </w:r>
      <w:r w:rsidR="00D30C35" w:rsidRPr="00BA5ECF">
        <w:t>es</w:t>
      </w:r>
      <w:r w:rsidR="009B14CA" w:rsidRPr="00BA5ECF">
        <w:t xml:space="preserve"> a stabilizing effect of this microstructure</w:t>
      </w:r>
      <w:r w:rsidR="00A70B23" w:rsidRPr="00BA5ECF">
        <w:t xml:space="preserve">. For intermediate </w:t>
      </w:r>
      <w:r w:rsidR="00AB1B5B" w:rsidRPr="00BA5ECF">
        <w:t>liquid load</w:t>
      </w:r>
      <w:r w:rsidR="00A70B23" w:rsidRPr="00BA5ECF">
        <w:t>s</w:t>
      </w:r>
      <w:r w:rsidR="009B14CA" w:rsidRPr="00BA5ECF">
        <w:t xml:space="preserve">, surface structuring </w:t>
      </w:r>
      <w:r w:rsidR="00D30C35" w:rsidRPr="00BA5ECF">
        <w:t xml:space="preserve">seems to have little reason, </w:t>
      </w:r>
      <w:r w:rsidR="009B14CA" w:rsidRPr="00BA5ECF">
        <w:t xml:space="preserve">as </w:t>
      </w:r>
      <w:r w:rsidR="003D4A95" w:rsidRPr="00BA5ECF">
        <w:t xml:space="preserve">the </w:t>
      </w:r>
      <w:r w:rsidR="00A70B23" w:rsidRPr="00BA5ECF">
        <w:t>wet pressure drop</w:t>
      </w:r>
      <w:r w:rsidR="003D4A95" w:rsidRPr="00BA5ECF">
        <w:t xml:space="preserve"> </w:t>
      </w:r>
      <w:r w:rsidR="002E60B1" w:rsidRPr="00BA5ECF">
        <w:t>is</w:t>
      </w:r>
      <w:r w:rsidR="003D4A95" w:rsidRPr="00BA5ECF">
        <w:t xml:space="preserve"> increased by draining liquid</w:t>
      </w:r>
      <w:r w:rsidR="00A70B23" w:rsidRPr="00BA5ECF">
        <w:t>.</w:t>
      </w:r>
    </w:p>
    <w:p w14:paraId="14DF0ECD" w14:textId="77777777" w:rsidR="008A2214" w:rsidRPr="00BA5ECF" w:rsidRDefault="008A2214" w:rsidP="008A2214">
      <w:pPr>
        <w:pStyle w:val="Els-body-text"/>
      </w:pPr>
      <w:r w:rsidRPr="00BA5ECF">
        <w:rPr>
          <w:noProof/>
        </w:rPr>
        <w:drawing>
          <wp:inline distT="0" distB="0" distL="0" distR="0" wp14:anchorId="6CDE49A1" wp14:editId="22B966B7">
            <wp:extent cx="1260000" cy="126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rizonta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r w:rsidRPr="00BA5ECF">
        <w:rPr>
          <w:noProof/>
        </w:rPr>
        <w:drawing>
          <wp:inline distT="0" distB="0" distL="0" distR="0" wp14:anchorId="06ED3331" wp14:editId="772006FF">
            <wp:extent cx="1263600" cy="1260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ertical.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63600" cy="1260000"/>
                    </a:xfrm>
                    <a:prstGeom prst="rect">
                      <a:avLst/>
                    </a:prstGeom>
                  </pic:spPr>
                </pic:pic>
              </a:graphicData>
            </a:graphic>
          </wp:inline>
        </w:drawing>
      </w:r>
    </w:p>
    <w:p w14:paraId="4C477848" w14:textId="200AB2FD" w:rsidR="008A2214" w:rsidRPr="00BA5ECF" w:rsidRDefault="008A2214" w:rsidP="008A2214">
      <w:pPr>
        <w:pStyle w:val="Didascalia"/>
      </w:pPr>
      <w:bookmarkStart w:id="17" w:name="_Ref157001443"/>
      <w:r w:rsidRPr="00BA5ECF">
        <w:t xml:space="preserve">Figure </w:t>
      </w:r>
      <w:r w:rsidRPr="00BA5ECF">
        <w:fldChar w:fldCharType="begin"/>
      </w:r>
      <w:r w:rsidRPr="00BA5ECF">
        <w:instrText xml:space="preserve"> SEQ Figure \* ARABIC </w:instrText>
      </w:r>
      <w:r w:rsidRPr="00BA5ECF">
        <w:fldChar w:fldCharType="separate"/>
      </w:r>
      <w:r w:rsidR="001071BB">
        <w:rPr>
          <w:noProof/>
        </w:rPr>
        <w:t>4</w:t>
      </w:r>
      <w:r w:rsidRPr="00BA5ECF">
        <w:fldChar w:fldCharType="end"/>
      </w:r>
      <w:bookmarkEnd w:id="17"/>
      <w:r w:rsidRPr="00BA5ECF">
        <w:t>: Top view of l-grooved microstructure. Left: horizontal orientation, right: 90 ° rotated</w:t>
      </w:r>
    </w:p>
    <w:p w14:paraId="57422621" w14:textId="77777777" w:rsidR="008A2214" w:rsidRPr="00BA5ECF" w:rsidRDefault="008A2214" w:rsidP="00A70B23">
      <w:pPr>
        <w:pStyle w:val="Els-body-text"/>
      </w:pPr>
    </w:p>
    <w:p w14:paraId="419631CE" w14:textId="1B2BCE9B" w:rsidR="006F4912" w:rsidRPr="00BA5ECF" w:rsidRDefault="002F600A" w:rsidP="002E5BCE">
      <w:pPr>
        <w:pStyle w:val="Didascalia"/>
        <w:spacing w:before="0" w:after="0"/>
        <w:rPr>
          <w:noProof/>
        </w:rPr>
      </w:pPr>
      <w:r w:rsidRPr="00BA5ECF">
        <w:rPr>
          <w:noProof/>
        </w:rPr>
        <w:lastRenderedPageBreak/>
        <w:drawing>
          <wp:inline distT="0" distB="0" distL="0" distR="0" wp14:anchorId="66CAFC79" wp14:editId="422EFB55">
            <wp:extent cx="4499610" cy="1704975"/>
            <wp:effectExtent l="0" t="0" r="0" b="0"/>
            <wp:docPr id="5" name="Diagramm 5">
              <a:extLst xmlns:a="http://schemas.openxmlformats.org/drawingml/2006/main">
                <a:ext uri="{FF2B5EF4-FFF2-40B4-BE49-F238E27FC236}">
                  <a16:creationId xmlns:a16="http://schemas.microsoft.com/office/drawing/2014/main" id="{F103A37F-F7EF-473A-A6AD-2F94650706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20F15C9" w14:textId="7AC55B6F" w:rsidR="00004481" w:rsidRPr="00BA5ECF" w:rsidRDefault="00004481" w:rsidP="004014F9">
      <w:pPr>
        <w:pStyle w:val="Didascalia"/>
        <w:spacing w:before="0"/>
      </w:pPr>
      <w:bookmarkStart w:id="18" w:name="_Ref150771490"/>
      <w:r w:rsidRPr="00BA5ECF">
        <w:t xml:space="preserve">Figure </w:t>
      </w:r>
      <w:r w:rsidRPr="00BA5ECF">
        <w:fldChar w:fldCharType="begin"/>
      </w:r>
      <w:r w:rsidRPr="00BA5ECF">
        <w:instrText xml:space="preserve"> SEQ Figure \* ARABIC </w:instrText>
      </w:r>
      <w:r w:rsidRPr="00BA5ECF">
        <w:fldChar w:fldCharType="separate"/>
      </w:r>
      <w:r w:rsidR="001071BB">
        <w:rPr>
          <w:noProof/>
        </w:rPr>
        <w:t>5</w:t>
      </w:r>
      <w:r w:rsidRPr="00BA5ECF">
        <w:fldChar w:fldCharType="end"/>
      </w:r>
      <w:bookmarkEnd w:id="16"/>
      <w:bookmarkEnd w:id="18"/>
      <w:r w:rsidRPr="00BA5ECF">
        <w:t xml:space="preserve">: </w:t>
      </w:r>
      <w:r w:rsidR="00755DC3" w:rsidRPr="00BA5ECF">
        <w:t>I</w:t>
      </w:r>
      <w:r w:rsidRPr="00BA5ECF">
        <w:t>nterfacia</w:t>
      </w:r>
      <w:r w:rsidR="00D746D7" w:rsidRPr="00BA5ECF">
        <w:t>l</w:t>
      </w:r>
      <w:r w:rsidRPr="00BA5ECF">
        <w:t xml:space="preserve"> area </w:t>
      </w:r>
      <w:r w:rsidR="00755DC3" w:rsidRPr="00BA5ECF">
        <w:t xml:space="preserve">vs. </w:t>
      </w:r>
      <w:r w:rsidRPr="00BA5ECF">
        <w:t xml:space="preserve">liquid </w:t>
      </w:r>
      <w:r w:rsidR="00AB1B5B" w:rsidRPr="00BA5ECF">
        <w:t>load</w:t>
      </w:r>
      <w:r w:rsidRPr="00BA5ECF">
        <w:t xml:space="preserve"> for a contact angle of 40° in </w:t>
      </w:r>
      <w:r w:rsidR="007E5426" w:rsidRPr="00BA5ECF">
        <w:t>REUs</w:t>
      </w:r>
      <w:r w:rsidRPr="00BA5ECF">
        <w:t xml:space="preserve"> with smooth, l-grooved</w:t>
      </w:r>
      <w:r w:rsidR="004B5037" w:rsidRPr="00BA5ECF">
        <w:t>,</w:t>
      </w:r>
      <w:r w:rsidRPr="00BA5ECF">
        <w:t xml:space="preserve"> and rotated l-grooved surface</w:t>
      </w:r>
    </w:p>
    <w:p w14:paraId="3AE78F75" w14:textId="5A536482" w:rsidR="00620E83" w:rsidRPr="00BA5ECF" w:rsidRDefault="00620E83" w:rsidP="00620E83">
      <w:pPr>
        <w:pStyle w:val="Els-1storder-head"/>
      </w:pPr>
      <w:r w:rsidRPr="00BA5ECF">
        <w:t>Conclusion</w:t>
      </w:r>
      <w:r w:rsidR="00D30C35" w:rsidRPr="00BA5ECF">
        <w:t>s</w:t>
      </w:r>
    </w:p>
    <w:p w14:paraId="2EE2EA92" w14:textId="24637C2F" w:rsidR="008C4584" w:rsidRPr="00BA5ECF" w:rsidRDefault="003F40E7" w:rsidP="008D2649">
      <w:pPr>
        <w:pStyle w:val="Els-body-text"/>
      </w:pPr>
      <w:r w:rsidRPr="00BA5ECF">
        <w:t>T</w:t>
      </w:r>
      <w:r w:rsidR="00D53E5A" w:rsidRPr="00BA5ECF">
        <w:t xml:space="preserve">he influence of </w:t>
      </w:r>
      <w:r w:rsidRPr="00BA5ECF">
        <w:t xml:space="preserve">liquid-phase physical properties and surface structuring on the wetting of single </w:t>
      </w:r>
      <w:r w:rsidR="005D3C1E" w:rsidRPr="00BA5ECF">
        <w:t xml:space="preserve">structured </w:t>
      </w:r>
      <w:r w:rsidRPr="00BA5ECF">
        <w:t xml:space="preserve">packing sheets was investigated using CFD methods. The </w:t>
      </w:r>
      <w:r w:rsidR="003C7A13" w:rsidRPr="00BA5ECF">
        <w:t xml:space="preserve">flow phenomena were analyzed based on a single </w:t>
      </w:r>
      <w:r w:rsidRPr="00BA5ECF">
        <w:t xml:space="preserve">REU. </w:t>
      </w:r>
      <w:r w:rsidR="008C4584" w:rsidRPr="00BA5ECF">
        <w:t xml:space="preserve">Three flow regimes below the loading point </w:t>
      </w:r>
      <w:r w:rsidRPr="00BA5ECF">
        <w:t xml:space="preserve">with different liquid morphologies </w:t>
      </w:r>
      <w:r w:rsidR="008C4584" w:rsidRPr="00BA5ECF">
        <w:t xml:space="preserve">were identified. </w:t>
      </w:r>
      <w:r w:rsidR="00144954" w:rsidRPr="00BA5ECF">
        <w:t>Each of the</w:t>
      </w:r>
      <w:r w:rsidR="007D6F36" w:rsidRPr="00BA5ECF">
        <w:t xml:space="preserve"> physical properties of the</w:t>
      </w:r>
      <w:r w:rsidR="00144954" w:rsidRPr="00BA5ECF">
        <w:t xml:space="preserve"> liquid-phase</w:t>
      </w:r>
      <w:r w:rsidR="007D6F36" w:rsidRPr="00BA5ECF">
        <w:t xml:space="preserve"> studied</w:t>
      </w:r>
      <w:r w:rsidR="00144954" w:rsidRPr="00BA5ECF">
        <w:t xml:space="preserve"> has an </w:t>
      </w:r>
      <w:r w:rsidR="003C7A13" w:rsidRPr="00BA5ECF">
        <w:t xml:space="preserve">impact </w:t>
      </w:r>
      <w:r w:rsidR="00144954" w:rsidRPr="00BA5ECF">
        <w:t xml:space="preserve">on the morphology. </w:t>
      </w:r>
      <w:r w:rsidR="007D6F36" w:rsidRPr="00BA5ECF">
        <w:t>Large</w:t>
      </w:r>
      <w:r w:rsidR="00144954" w:rsidRPr="00BA5ECF">
        <w:t xml:space="preserve"> </w:t>
      </w:r>
      <w:r w:rsidR="007E2CB9" w:rsidRPr="00BA5ECF">
        <w:t xml:space="preserve">variations </w:t>
      </w:r>
      <w:r w:rsidR="00144954" w:rsidRPr="00BA5ECF">
        <w:t xml:space="preserve">can even lead to a change in the flow regime. </w:t>
      </w:r>
      <w:r w:rsidR="008C4584" w:rsidRPr="00BA5ECF">
        <w:t xml:space="preserve">Surface structuring </w:t>
      </w:r>
      <w:r w:rsidR="003C7A13" w:rsidRPr="00BA5ECF">
        <w:t xml:space="preserve">also </w:t>
      </w:r>
      <w:r w:rsidR="008C4584" w:rsidRPr="00BA5ECF">
        <w:t xml:space="preserve">strongly influences the wetting conditions and </w:t>
      </w:r>
      <w:r w:rsidR="003C7A13" w:rsidRPr="00BA5ECF">
        <w:t xml:space="preserve">existence </w:t>
      </w:r>
      <w:r w:rsidR="008C4584" w:rsidRPr="00BA5ECF">
        <w:t>of the three flow reg</w:t>
      </w:r>
      <w:r w:rsidR="007818AE" w:rsidRPr="00BA5ECF">
        <w:t>ime</w:t>
      </w:r>
      <w:r w:rsidR="008C4584" w:rsidRPr="00BA5ECF">
        <w:t xml:space="preserve">s. </w:t>
      </w:r>
      <w:r w:rsidR="00D30C35" w:rsidRPr="00BA5ECF">
        <w:t>It was found that</w:t>
      </w:r>
      <w:r w:rsidR="008C4584" w:rsidRPr="00BA5ECF">
        <w:t xml:space="preserve"> the l-grooved microstructure shifts the drainage point toward higher liquid loads, potentially reducing </w:t>
      </w:r>
      <w:r w:rsidR="007D6F36" w:rsidRPr="00BA5ECF">
        <w:t xml:space="preserve">the </w:t>
      </w:r>
      <w:r w:rsidR="008C4584" w:rsidRPr="00BA5ECF">
        <w:t>pressure drop compared to smooth packing</w:t>
      </w:r>
      <w:r w:rsidR="003C7A13" w:rsidRPr="00BA5ECF">
        <w:t xml:space="preserve"> surface</w:t>
      </w:r>
      <w:r w:rsidR="008C4584" w:rsidRPr="00BA5ECF">
        <w:t xml:space="preserve">. </w:t>
      </w:r>
      <w:r w:rsidR="00D30C35" w:rsidRPr="00BA5ECF">
        <w:t>In contrast</w:t>
      </w:r>
      <w:r w:rsidR="008C4584" w:rsidRPr="00BA5ECF">
        <w:t xml:space="preserve">, reorienting the l-grooved microstructure </w:t>
      </w:r>
      <w:r w:rsidR="00D30C35" w:rsidRPr="00BA5ECF">
        <w:t xml:space="preserve">can </w:t>
      </w:r>
      <w:r w:rsidR="008C4584" w:rsidRPr="00BA5ECF">
        <w:t xml:space="preserve">enhance interfacial area under low liquid loads, but </w:t>
      </w:r>
      <w:r w:rsidR="007818AE" w:rsidRPr="00BA5ECF">
        <w:t xml:space="preserve">also </w:t>
      </w:r>
      <w:r w:rsidR="003C7A13" w:rsidRPr="00BA5ECF">
        <w:t xml:space="preserve">shifts </w:t>
      </w:r>
      <w:r w:rsidR="007D6F36" w:rsidRPr="00BA5ECF">
        <w:t>the drainage point</w:t>
      </w:r>
      <w:r w:rsidR="007818AE" w:rsidRPr="00BA5ECF">
        <w:t xml:space="preserve"> </w:t>
      </w:r>
      <w:r w:rsidR="003C7A13" w:rsidRPr="00BA5ECF">
        <w:t>to</w:t>
      </w:r>
      <w:r w:rsidR="007818AE" w:rsidRPr="00BA5ECF">
        <w:t xml:space="preserve"> low liquid loads</w:t>
      </w:r>
      <w:r w:rsidR="008C4584" w:rsidRPr="00BA5ECF">
        <w:t xml:space="preserve">. </w:t>
      </w:r>
      <w:r w:rsidR="00F66A6B" w:rsidRPr="00BA5ECF">
        <w:t>Under some conditions, smooth packing surface can perform even better than the microstructured surface.</w:t>
      </w:r>
      <w:r w:rsidR="007D6F36" w:rsidRPr="00BA5ECF">
        <w:t xml:space="preserve"> Th</w:t>
      </w:r>
      <w:r w:rsidR="003C7A13" w:rsidRPr="00BA5ECF">
        <w:t xml:space="preserve">e obtained results </w:t>
      </w:r>
      <w:r w:rsidR="00D6148C" w:rsidRPr="00BA5ECF">
        <w:t xml:space="preserve">demonstrate the strong influence of the </w:t>
      </w:r>
      <w:r w:rsidR="00E15E66" w:rsidRPr="00BA5ECF">
        <w:t xml:space="preserve">liquid phase </w:t>
      </w:r>
      <w:r w:rsidR="00D6148C" w:rsidRPr="00BA5ECF">
        <w:t>physical properties and the surface structuring on the wetting</w:t>
      </w:r>
      <w:r w:rsidR="00E15E66" w:rsidRPr="00BA5ECF">
        <w:t xml:space="preserve"> </w:t>
      </w:r>
      <w:r w:rsidR="00D6148C" w:rsidRPr="00BA5ECF">
        <w:t>in structured packing and consequently on the efficiency of the whole column.</w:t>
      </w:r>
      <w:r w:rsidR="008C4584" w:rsidRPr="00BA5ECF">
        <w:t xml:space="preserve"> </w:t>
      </w:r>
      <w:r w:rsidR="007E2CB9" w:rsidRPr="00BA5ECF">
        <w:t xml:space="preserve">Future work will be focused on the integration of these properties into the CFD-based development of </w:t>
      </w:r>
      <w:r w:rsidR="00920419" w:rsidRPr="00BA5ECF">
        <w:t xml:space="preserve">correlations for </w:t>
      </w:r>
      <w:r w:rsidR="007E2CB9" w:rsidRPr="00BA5ECF">
        <w:t>liquid hold-up and interfacial area.</w:t>
      </w:r>
    </w:p>
    <w:p w14:paraId="7535B895" w14:textId="77777777" w:rsidR="00620E83" w:rsidRPr="00BA5ECF" w:rsidRDefault="00620E83" w:rsidP="002E5BCE">
      <w:pPr>
        <w:pStyle w:val="Els-reference-head"/>
        <w:spacing w:before="200"/>
      </w:pPr>
      <w:r w:rsidRPr="00BA5ECF">
        <w:t>References</w:t>
      </w:r>
    </w:p>
    <w:p w14:paraId="7023E81C" w14:textId="0DA0D17C" w:rsidR="00830505" w:rsidRPr="00BA5ECF" w:rsidRDefault="00830505" w:rsidP="00830505">
      <w:pPr>
        <w:pStyle w:val="Reference"/>
        <w:rPr>
          <w:sz w:val="18"/>
        </w:rPr>
      </w:pPr>
      <w:r w:rsidRPr="00BA5ECF">
        <w:rPr>
          <w:sz w:val="18"/>
        </w:rPr>
        <w:t>R. Bertling et al., 2023, Simulation of liquid flow in structured packings using CFD-methods, Chemical Engineering Science, 269, 118405</w:t>
      </w:r>
    </w:p>
    <w:p w14:paraId="6D9140C2" w14:textId="179FEA2C" w:rsidR="00830505" w:rsidRPr="00BA5ECF" w:rsidRDefault="00830505" w:rsidP="00830505">
      <w:pPr>
        <w:pStyle w:val="Reference"/>
        <w:rPr>
          <w:sz w:val="18"/>
        </w:rPr>
      </w:pPr>
      <w:r w:rsidRPr="00BA5ECF">
        <w:rPr>
          <w:sz w:val="18"/>
        </w:rPr>
        <w:t xml:space="preserve">J. U. Brackbill et al., 1992, A </w:t>
      </w:r>
      <w:r w:rsidR="00F66A6B" w:rsidRPr="00BA5ECF">
        <w:rPr>
          <w:sz w:val="18"/>
        </w:rPr>
        <w:t>c</w:t>
      </w:r>
      <w:r w:rsidR="004B5037" w:rsidRPr="00BA5ECF">
        <w:rPr>
          <w:sz w:val="18"/>
        </w:rPr>
        <w:t>ontinuum</w:t>
      </w:r>
      <w:r w:rsidRPr="00BA5ECF">
        <w:rPr>
          <w:sz w:val="18"/>
        </w:rPr>
        <w:t xml:space="preserve"> </w:t>
      </w:r>
      <w:r w:rsidR="00F66A6B" w:rsidRPr="00BA5ECF">
        <w:rPr>
          <w:sz w:val="18"/>
        </w:rPr>
        <w:t>m</w:t>
      </w:r>
      <w:r w:rsidRPr="00BA5ECF">
        <w:rPr>
          <w:sz w:val="18"/>
        </w:rPr>
        <w:t xml:space="preserve">ethod for </w:t>
      </w:r>
      <w:r w:rsidR="000C3115" w:rsidRPr="00BA5ECF">
        <w:rPr>
          <w:sz w:val="18"/>
        </w:rPr>
        <w:t>m</w:t>
      </w:r>
      <w:r w:rsidRPr="00BA5ECF">
        <w:rPr>
          <w:sz w:val="18"/>
        </w:rPr>
        <w:t xml:space="preserve">odeling </w:t>
      </w:r>
      <w:r w:rsidR="000C3115" w:rsidRPr="00BA5ECF">
        <w:rPr>
          <w:sz w:val="18"/>
        </w:rPr>
        <w:t>s</w:t>
      </w:r>
      <w:r w:rsidRPr="00BA5ECF">
        <w:rPr>
          <w:sz w:val="18"/>
        </w:rPr>
        <w:t xml:space="preserve">urface </w:t>
      </w:r>
      <w:r w:rsidR="000C3115" w:rsidRPr="00BA5ECF">
        <w:rPr>
          <w:sz w:val="18"/>
        </w:rPr>
        <w:t>t</w:t>
      </w:r>
      <w:r w:rsidRPr="00BA5ECF">
        <w:rPr>
          <w:sz w:val="18"/>
        </w:rPr>
        <w:t>ension, Journal of Computational Physics</w:t>
      </w:r>
      <w:r w:rsidR="00920419" w:rsidRPr="00BA5ECF">
        <w:rPr>
          <w:sz w:val="18"/>
        </w:rPr>
        <w:t>,</w:t>
      </w:r>
      <w:r w:rsidRPr="00BA5ECF">
        <w:rPr>
          <w:sz w:val="18"/>
        </w:rPr>
        <w:t xml:space="preserve"> 100, 335-354</w:t>
      </w:r>
    </w:p>
    <w:p w14:paraId="196204FA" w14:textId="5FAA2DE2" w:rsidR="000C3115" w:rsidRPr="00BA5ECF" w:rsidRDefault="000C3115" w:rsidP="00830505">
      <w:pPr>
        <w:pStyle w:val="Reference"/>
        <w:rPr>
          <w:sz w:val="18"/>
          <w:lang w:val="de-DE"/>
        </w:rPr>
      </w:pPr>
      <w:r w:rsidRPr="00BA5ECF">
        <w:rPr>
          <w:sz w:val="18"/>
        </w:rPr>
        <w:t>C. Dechert, E. Y. Kenig, 2022, CFD-based investigation of the packing microstructure influence on droplet behavior and film flow</w:t>
      </w:r>
      <w:r w:rsidR="00996577" w:rsidRPr="00BA5ECF">
        <w:rPr>
          <w:sz w:val="18"/>
        </w:rPr>
        <w:t xml:space="preserve">, </w:t>
      </w:r>
      <w:r w:rsidR="005D3C1E" w:rsidRPr="00BA5ECF">
        <w:rPr>
          <w:sz w:val="18"/>
        </w:rPr>
        <w:t xml:space="preserve">Proc. </w:t>
      </w:r>
      <w:r w:rsidR="00996577" w:rsidRPr="00BA5ECF">
        <w:rPr>
          <w:sz w:val="18"/>
        </w:rPr>
        <w:t>12</w:t>
      </w:r>
      <w:r w:rsidR="005D3C1E" w:rsidRPr="00BA5ECF">
        <w:rPr>
          <w:sz w:val="18"/>
        </w:rPr>
        <w:t>th</w:t>
      </w:r>
      <w:r w:rsidR="00996577" w:rsidRPr="00BA5ECF">
        <w:rPr>
          <w:sz w:val="18"/>
        </w:rPr>
        <w:t xml:space="preserve"> </w:t>
      </w:r>
      <w:r w:rsidR="005D3C1E" w:rsidRPr="00BA5ECF">
        <w:rPr>
          <w:sz w:val="18"/>
        </w:rPr>
        <w:t xml:space="preserve">Conf. </w:t>
      </w:r>
      <w:proofErr w:type="spellStart"/>
      <w:r w:rsidR="00996577" w:rsidRPr="00BA5ECF">
        <w:rPr>
          <w:sz w:val="18"/>
          <w:lang w:val="de-DE"/>
        </w:rPr>
        <w:t>Distillation</w:t>
      </w:r>
      <w:proofErr w:type="spellEnd"/>
      <w:r w:rsidR="00A37BBB" w:rsidRPr="00BA5ECF">
        <w:rPr>
          <w:sz w:val="18"/>
          <w:lang w:val="de-DE"/>
        </w:rPr>
        <w:t xml:space="preserve"> &amp;</w:t>
      </w:r>
      <w:r w:rsidR="00996577" w:rsidRPr="00BA5ECF">
        <w:rPr>
          <w:sz w:val="18"/>
          <w:lang w:val="de-DE"/>
        </w:rPr>
        <w:t xml:space="preserve"> Absorption, Toulouse, 2022</w:t>
      </w:r>
    </w:p>
    <w:p w14:paraId="300C667E" w14:textId="4536B54F" w:rsidR="00830505" w:rsidRPr="00BA5ECF" w:rsidRDefault="00830505" w:rsidP="00830505">
      <w:pPr>
        <w:pStyle w:val="Reference"/>
        <w:rPr>
          <w:sz w:val="18"/>
          <w:lang w:val="de-DE"/>
        </w:rPr>
      </w:pPr>
      <w:r w:rsidRPr="00BA5ECF">
        <w:rPr>
          <w:sz w:val="18"/>
          <w:lang w:val="de-DE"/>
        </w:rPr>
        <w:t xml:space="preserve">S. Hill et. al., 2019, </w:t>
      </w:r>
      <w:r w:rsidR="00E16299" w:rsidRPr="00BA5ECF">
        <w:rPr>
          <w:sz w:val="18"/>
          <w:lang w:val="de-DE"/>
        </w:rPr>
        <w:t>Quantifizierung der Trenneffizienz einer strukturierten Packung mittels numerischer Simulation</w:t>
      </w:r>
      <w:r w:rsidRPr="00BA5ECF">
        <w:rPr>
          <w:sz w:val="18"/>
          <w:lang w:val="de-DE"/>
        </w:rPr>
        <w:t>, Chemie Ingenieur Technik, 91, 12, 1833-1841</w:t>
      </w:r>
    </w:p>
    <w:p w14:paraId="315E87EB" w14:textId="51C0FD9C" w:rsidR="00830505" w:rsidRPr="00BA5ECF" w:rsidRDefault="00830505" w:rsidP="00830505">
      <w:pPr>
        <w:pStyle w:val="Reference"/>
        <w:rPr>
          <w:sz w:val="18"/>
        </w:rPr>
      </w:pPr>
      <w:r w:rsidRPr="00BA5ECF">
        <w:rPr>
          <w:sz w:val="18"/>
        </w:rPr>
        <w:t xml:space="preserve">C. W. Hirt, B. D. Nichols, 1981, Volume of </w:t>
      </w:r>
      <w:r w:rsidR="00996577" w:rsidRPr="00BA5ECF">
        <w:rPr>
          <w:sz w:val="18"/>
        </w:rPr>
        <w:t>f</w:t>
      </w:r>
      <w:r w:rsidRPr="00BA5ECF">
        <w:rPr>
          <w:sz w:val="18"/>
        </w:rPr>
        <w:t xml:space="preserve">luid (VOF) </w:t>
      </w:r>
      <w:r w:rsidR="00996577" w:rsidRPr="00BA5ECF">
        <w:rPr>
          <w:sz w:val="18"/>
        </w:rPr>
        <w:t>m</w:t>
      </w:r>
      <w:r w:rsidRPr="00BA5ECF">
        <w:rPr>
          <w:sz w:val="18"/>
        </w:rPr>
        <w:t xml:space="preserve">ethod for the </w:t>
      </w:r>
      <w:r w:rsidR="00996577" w:rsidRPr="00BA5ECF">
        <w:rPr>
          <w:sz w:val="18"/>
        </w:rPr>
        <w:t>d</w:t>
      </w:r>
      <w:r w:rsidRPr="00BA5ECF">
        <w:rPr>
          <w:sz w:val="18"/>
        </w:rPr>
        <w:t xml:space="preserve">ynamics of </w:t>
      </w:r>
      <w:r w:rsidR="00996577" w:rsidRPr="00BA5ECF">
        <w:rPr>
          <w:sz w:val="18"/>
        </w:rPr>
        <w:t>f</w:t>
      </w:r>
      <w:r w:rsidRPr="00BA5ECF">
        <w:rPr>
          <w:sz w:val="18"/>
        </w:rPr>
        <w:t xml:space="preserve">ree </w:t>
      </w:r>
      <w:r w:rsidR="00996577" w:rsidRPr="00BA5ECF">
        <w:rPr>
          <w:sz w:val="18"/>
        </w:rPr>
        <w:t>b</w:t>
      </w:r>
      <w:r w:rsidRPr="00BA5ECF">
        <w:rPr>
          <w:sz w:val="18"/>
        </w:rPr>
        <w:t>oundaries, Journal of Computational Physics, 39, 201-225</w:t>
      </w:r>
    </w:p>
    <w:p w14:paraId="55246E71" w14:textId="730F9F94" w:rsidR="00830505" w:rsidRPr="00BA5ECF" w:rsidRDefault="00830505" w:rsidP="00830505">
      <w:pPr>
        <w:pStyle w:val="Reference"/>
        <w:rPr>
          <w:sz w:val="18"/>
        </w:rPr>
      </w:pPr>
      <w:r w:rsidRPr="00BA5ECF">
        <w:rPr>
          <w:sz w:val="18"/>
        </w:rPr>
        <w:t>H. Z. Kister, 1992, D</w:t>
      </w:r>
      <w:r w:rsidR="00B64BDD" w:rsidRPr="00BA5ECF">
        <w:rPr>
          <w:sz w:val="18"/>
        </w:rPr>
        <w:t>i</w:t>
      </w:r>
      <w:r w:rsidRPr="00BA5ECF">
        <w:rPr>
          <w:sz w:val="18"/>
        </w:rPr>
        <w:t xml:space="preserve">stillation Design, </w:t>
      </w:r>
      <w:r w:rsidR="000C3115" w:rsidRPr="00BA5ECF">
        <w:rPr>
          <w:sz w:val="18"/>
        </w:rPr>
        <w:t>Mc Graw Hill, Boston</w:t>
      </w:r>
    </w:p>
    <w:p w14:paraId="3224DB21" w14:textId="3B988F13" w:rsidR="00830505" w:rsidRPr="00BA5ECF" w:rsidRDefault="00830505" w:rsidP="00830505">
      <w:pPr>
        <w:rPr>
          <w:sz w:val="18"/>
          <w:lang w:val="de-DE"/>
        </w:rPr>
      </w:pPr>
      <w:r w:rsidRPr="00BA5ECF">
        <w:rPr>
          <w:sz w:val="18"/>
          <w:lang w:val="de-DE"/>
        </w:rPr>
        <w:t>W. Nusselt,1916, Die Oberflächenkondensation des Wasserdampfes, VDI-Zeitschr</w:t>
      </w:r>
      <w:r w:rsidR="00A37BBB" w:rsidRPr="00BA5ECF">
        <w:rPr>
          <w:sz w:val="18"/>
          <w:lang w:val="de-DE"/>
        </w:rPr>
        <w:t>.</w:t>
      </w:r>
      <w:r w:rsidRPr="00BA5ECF">
        <w:rPr>
          <w:sz w:val="18"/>
          <w:lang w:val="de-DE"/>
        </w:rPr>
        <w:t xml:space="preserve">, 60, </w:t>
      </w:r>
      <w:r w:rsidR="000C3115" w:rsidRPr="00BA5ECF">
        <w:rPr>
          <w:sz w:val="18"/>
          <w:lang w:val="de-DE"/>
        </w:rPr>
        <w:t>541-546</w:t>
      </w:r>
    </w:p>
    <w:p w14:paraId="26742D1C" w14:textId="1459E958" w:rsidR="00830505" w:rsidRPr="00BA5ECF" w:rsidRDefault="00830505" w:rsidP="00830505">
      <w:pPr>
        <w:pStyle w:val="Reference"/>
        <w:rPr>
          <w:sz w:val="18"/>
        </w:rPr>
      </w:pPr>
      <w:r w:rsidRPr="00BA5ECF">
        <w:rPr>
          <w:sz w:val="18"/>
        </w:rPr>
        <w:t>A. Olenberg</w:t>
      </w:r>
      <w:r w:rsidR="002E5BCE" w:rsidRPr="00BA5ECF">
        <w:rPr>
          <w:sz w:val="18"/>
        </w:rPr>
        <w:t>,</w:t>
      </w:r>
      <w:r w:rsidRPr="00BA5ECF">
        <w:rPr>
          <w:sz w:val="18"/>
        </w:rPr>
        <w:t xml:space="preserve"> E. Y. Kenig, 2017, Numerical </w:t>
      </w:r>
      <w:r w:rsidR="00996577" w:rsidRPr="00BA5ECF">
        <w:rPr>
          <w:sz w:val="18"/>
        </w:rPr>
        <w:t>s</w:t>
      </w:r>
      <w:r w:rsidRPr="00BA5ECF">
        <w:rPr>
          <w:sz w:val="18"/>
        </w:rPr>
        <w:t xml:space="preserve">imulation of </w:t>
      </w:r>
      <w:r w:rsidR="00996577" w:rsidRPr="00BA5ECF">
        <w:rPr>
          <w:sz w:val="18"/>
        </w:rPr>
        <w:t>t</w:t>
      </w:r>
      <w:r w:rsidRPr="00BA5ECF">
        <w:rPr>
          <w:sz w:val="18"/>
        </w:rPr>
        <w:t xml:space="preserve">wo-phase </w:t>
      </w:r>
      <w:r w:rsidR="00996577" w:rsidRPr="00BA5ECF">
        <w:rPr>
          <w:sz w:val="18"/>
        </w:rPr>
        <w:t>f</w:t>
      </w:r>
      <w:r w:rsidRPr="00BA5ECF">
        <w:rPr>
          <w:sz w:val="18"/>
        </w:rPr>
        <w:t xml:space="preserve">low in </w:t>
      </w:r>
      <w:r w:rsidR="00996577" w:rsidRPr="00BA5ECF">
        <w:rPr>
          <w:sz w:val="18"/>
        </w:rPr>
        <w:t>r</w:t>
      </w:r>
      <w:r w:rsidRPr="00BA5ECF">
        <w:rPr>
          <w:sz w:val="18"/>
        </w:rPr>
        <w:t xml:space="preserve">epresentative </w:t>
      </w:r>
      <w:r w:rsidR="00996577" w:rsidRPr="00BA5ECF">
        <w:rPr>
          <w:sz w:val="18"/>
        </w:rPr>
        <w:t>e</w:t>
      </w:r>
      <w:r w:rsidRPr="00BA5ECF">
        <w:rPr>
          <w:sz w:val="18"/>
        </w:rPr>
        <w:t xml:space="preserve">lements of </w:t>
      </w:r>
      <w:r w:rsidR="00996577" w:rsidRPr="00BA5ECF">
        <w:rPr>
          <w:sz w:val="18"/>
        </w:rPr>
        <w:t>s</w:t>
      </w:r>
      <w:r w:rsidRPr="00BA5ECF">
        <w:rPr>
          <w:sz w:val="18"/>
        </w:rPr>
        <w:t xml:space="preserve">tructured </w:t>
      </w:r>
      <w:r w:rsidR="00996577" w:rsidRPr="00BA5ECF">
        <w:rPr>
          <w:sz w:val="18"/>
        </w:rPr>
        <w:t>p</w:t>
      </w:r>
      <w:r w:rsidRPr="00BA5ECF">
        <w:rPr>
          <w:sz w:val="18"/>
        </w:rPr>
        <w:t>ackings, Computer Aided Chemical Engineering, 40, 2089-2094</w:t>
      </w:r>
    </w:p>
    <w:p w14:paraId="0DDA839F" w14:textId="4332808D" w:rsidR="00620E83" w:rsidRPr="00BA5ECF" w:rsidRDefault="00830505" w:rsidP="00620E83">
      <w:pPr>
        <w:rPr>
          <w:sz w:val="18"/>
          <w:lang w:val="en-US"/>
        </w:rPr>
      </w:pPr>
      <w:r w:rsidRPr="00BA5ECF">
        <w:rPr>
          <w:sz w:val="18"/>
          <w:lang w:val="en-US"/>
        </w:rPr>
        <w:t xml:space="preserve">C. F. </w:t>
      </w:r>
      <w:r w:rsidR="00620E83" w:rsidRPr="00BA5ECF">
        <w:rPr>
          <w:sz w:val="18"/>
          <w:lang w:val="en-US"/>
        </w:rPr>
        <w:t>Petre</w:t>
      </w:r>
      <w:r w:rsidRPr="00BA5ECF">
        <w:rPr>
          <w:sz w:val="18"/>
          <w:lang w:val="en-US"/>
        </w:rPr>
        <w:t xml:space="preserve"> </w:t>
      </w:r>
      <w:r w:rsidR="00620E83" w:rsidRPr="00BA5ECF">
        <w:rPr>
          <w:sz w:val="18"/>
          <w:lang w:val="en-US"/>
        </w:rPr>
        <w:t>et. al.</w:t>
      </w:r>
      <w:r w:rsidRPr="00BA5ECF">
        <w:rPr>
          <w:sz w:val="18"/>
          <w:lang w:val="en-US"/>
        </w:rPr>
        <w:t>, 2003</w:t>
      </w:r>
      <w:r w:rsidR="00620E83" w:rsidRPr="00BA5ECF">
        <w:rPr>
          <w:sz w:val="18"/>
          <w:lang w:val="en-US"/>
        </w:rPr>
        <w:t xml:space="preserve">, </w:t>
      </w:r>
      <w:r w:rsidRPr="00BA5ECF">
        <w:rPr>
          <w:sz w:val="18"/>
          <w:lang w:val="en-US"/>
        </w:rPr>
        <w:t xml:space="preserve">Pressure drop through structured packings: Breakdown into the contributing mechanisms by CFD modeling, </w:t>
      </w:r>
      <w:r w:rsidR="00620E83" w:rsidRPr="00BA5ECF">
        <w:rPr>
          <w:sz w:val="18"/>
          <w:lang w:val="en-US"/>
        </w:rPr>
        <w:t>Chemical Engineering Science</w:t>
      </w:r>
      <w:r w:rsidRPr="00BA5ECF">
        <w:rPr>
          <w:sz w:val="18"/>
          <w:lang w:val="en-US"/>
        </w:rPr>
        <w:t xml:space="preserve">, </w:t>
      </w:r>
      <w:r w:rsidR="00620E83" w:rsidRPr="00BA5ECF">
        <w:rPr>
          <w:sz w:val="18"/>
          <w:lang w:val="en-US"/>
        </w:rPr>
        <w:t>58, 163-177</w:t>
      </w:r>
    </w:p>
    <w:p w14:paraId="4639A35A" w14:textId="387A200C" w:rsidR="00620E83" w:rsidRPr="00830505" w:rsidRDefault="00830505" w:rsidP="00620E83">
      <w:pPr>
        <w:rPr>
          <w:sz w:val="18"/>
        </w:rPr>
      </w:pPr>
      <w:r w:rsidRPr="00BA5ECF">
        <w:rPr>
          <w:sz w:val="18"/>
        </w:rPr>
        <w:t xml:space="preserve">D. L. </w:t>
      </w:r>
      <w:r w:rsidR="001D11D7" w:rsidRPr="00BA5ECF">
        <w:rPr>
          <w:sz w:val="18"/>
        </w:rPr>
        <w:t>Youngs,</w:t>
      </w:r>
      <w:r w:rsidRPr="00BA5ECF">
        <w:rPr>
          <w:sz w:val="18"/>
        </w:rPr>
        <w:t xml:space="preserve"> 1982, Time-</w:t>
      </w:r>
      <w:r w:rsidR="00701E28" w:rsidRPr="00BA5ECF">
        <w:rPr>
          <w:sz w:val="18"/>
        </w:rPr>
        <w:t>Dependent Multi</w:t>
      </w:r>
      <w:r w:rsidRPr="00BA5ECF">
        <w:rPr>
          <w:sz w:val="18"/>
        </w:rPr>
        <w:t>-</w:t>
      </w:r>
      <w:r w:rsidR="000C3115" w:rsidRPr="00BA5ECF">
        <w:rPr>
          <w:sz w:val="18"/>
        </w:rPr>
        <w:t>m</w:t>
      </w:r>
      <w:r w:rsidRPr="00BA5ECF">
        <w:rPr>
          <w:sz w:val="18"/>
        </w:rPr>
        <w:t xml:space="preserve">aterial </w:t>
      </w:r>
      <w:r w:rsidR="00701E28" w:rsidRPr="00BA5ECF">
        <w:rPr>
          <w:sz w:val="18"/>
        </w:rPr>
        <w:t xml:space="preserve">Flow </w:t>
      </w:r>
      <w:r w:rsidR="00B1259C" w:rsidRPr="00BA5ECF">
        <w:rPr>
          <w:sz w:val="18"/>
        </w:rPr>
        <w:t>with</w:t>
      </w:r>
      <w:r w:rsidRPr="00BA5ECF">
        <w:rPr>
          <w:sz w:val="18"/>
        </w:rPr>
        <w:t xml:space="preserve"> </w:t>
      </w:r>
      <w:r w:rsidR="00701E28" w:rsidRPr="00BA5ECF">
        <w:rPr>
          <w:sz w:val="18"/>
        </w:rPr>
        <w:t>Large Fluid Distortion</w:t>
      </w:r>
      <w:r w:rsidRPr="00BA5ECF">
        <w:rPr>
          <w:sz w:val="18"/>
        </w:rPr>
        <w:t>,</w:t>
      </w:r>
      <w:r w:rsidR="001D11D7" w:rsidRPr="00BA5ECF">
        <w:rPr>
          <w:sz w:val="18"/>
        </w:rPr>
        <w:t xml:space="preserve"> </w:t>
      </w:r>
      <w:r w:rsidR="00701E28" w:rsidRPr="00BA5ECF">
        <w:rPr>
          <w:sz w:val="18"/>
        </w:rPr>
        <w:t xml:space="preserve">in </w:t>
      </w:r>
      <w:r w:rsidR="000C3115" w:rsidRPr="00BA5ECF">
        <w:rPr>
          <w:sz w:val="18"/>
        </w:rPr>
        <w:t>N</w:t>
      </w:r>
      <w:r w:rsidR="001D11D7" w:rsidRPr="00BA5ECF">
        <w:rPr>
          <w:sz w:val="18"/>
        </w:rPr>
        <w:t xml:space="preserve">umerical Methods for Fluid Dynamics, </w:t>
      </w:r>
      <w:r w:rsidR="008467B3" w:rsidRPr="00BA5ECF">
        <w:rPr>
          <w:sz w:val="18"/>
        </w:rPr>
        <w:t xml:space="preserve">Academic Press, </w:t>
      </w:r>
      <w:r w:rsidR="001D11D7" w:rsidRPr="00BA5ECF">
        <w:rPr>
          <w:sz w:val="18"/>
        </w:rPr>
        <w:t>273-285</w:t>
      </w:r>
    </w:p>
    <w:sectPr w:rsidR="00620E83" w:rsidRPr="00830505" w:rsidSect="008B0184">
      <w:headerReference w:type="even" r:id="rId19"/>
      <w:headerReference w:type="default" r:id="rId20"/>
      <w:headerReference w:type="first" r:id="rId2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F7C58" w14:textId="77777777" w:rsidR="00741C19" w:rsidRDefault="00741C19">
      <w:r>
        <w:separator/>
      </w:r>
    </w:p>
  </w:endnote>
  <w:endnote w:type="continuationSeparator" w:id="0">
    <w:p w14:paraId="417402AE" w14:textId="77777777" w:rsidR="00741C19" w:rsidRDefault="0074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BDE8C" w14:textId="77777777" w:rsidR="00741C19" w:rsidRDefault="00741C19">
      <w:r>
        <w:separator/>
      </w:r>
    </w:p>
  </w:footnote>
  <w:footnote w:type="continuationSeparator" w:id="0">
    <w:p w14:paraId="7AB29D7E" w14:textId="77777777" w:rsidR="00741C19" w:rsidRDefault="00741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2F9BD97E" w:rsidR="00C352E3" w:rsidRDefault="00C352E3">
    <w:pPr>
      <w:pStyle w:val="Intestazione"/>
      <w:tabs>
        <w:tab w:val="clear" w:pos="7200"/>
        <w:tab w:val="right" w:pos="7088"/>
      </w:tabs>
    </w:pPr>
    <w:r>
      <w:rPr>
        <w:rStyle w:val="Numeropagina"/>
      </w:rPr>
      <w:tab/>
    </w:r>
    <w:r>
      <w:rPr>
        <w:rStyle w:val="Numeropagina"/>
        <w:i/>
      </w:rPr>
      <w:tab/>
      <w:t>C. Dechert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6CFC041A" w:rsidR="00C352E3" w:rsidRDefault="00C352E3" w:rsidP="001D11D7">
    <w:pPr>
      <w:pStyle w:val="Intestazione"/>
      <w:tabs>
        <w:tab w:val="clear" w:pos="7200"/>
        <w:tab w:val="right" w:pos="7088"/>
      </w:tabs>
      <w:rPr>
        <w:sz w:val="24"/>
      </w:rPr>
    </w:pPr>
    <w:r w:rsidRPr="001D11D7">
      <w:rPr>
        <w:i/>
      </w:rPr>
      <w:t>CFD-based investigation of the efficiency enhancement due to microstructure reorientation in structured packing</w:t>
    </w: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C352E3" w:rsidRPr="003B50B5" w:rsidRDefault="00C352E3"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C352E3" w:rsidRDefault="00C352E3"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1A7BEA"/>
    <w:multiLevelType w:val="hybridMultilevel"/>
    <w:tmpl w:val="6E24B5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214CC0"/>
    <w:multiLevelType w:val="hybridMultilevel"/>
    <w:tmpl w:val="16725880"/>
    <w:lvl w:ilvl="0" w:tplc="7850FD70">
      <w:start w:val="1"/>
      <w:numFmt w:val="upperLetter"/>
      <w:lvlText w:val="%1."/>
      <w:lvlJc w:val="left"/>
      <w:pPr>
        <w:ind w:left="720" w:hanging="360"/>
      </w:pPr>
      <w:rPr>
        <w:rFonts w:ascii="Times New Roman" w:eastAsia="Times New Roman" w:hAnsi="Times New Roman"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82E2AD0"/>
    <w:multiLevelType w:val="hybridMultilevel"/>
    <w:tmpl w:val="FDB6D0D2"/>
    <w:lvl w:ilvl="0" w:tplc="AA8406CA">
      <w:start w:val="1"/>
      <w:numFmt w:val="upperLetter"/>
      <w:lvlText w:val="%1."/>
      <w:lvlJc w:val="left"/>
      <w:pPr>
        <w:ind w:left="720" w:hanging="360"/>
      </w:pPr>
      <w:rPr>
        <w:rFonts w:ascii="Times New Roman" w:eastAsia="Times New Roman" w:hAnsi="Times New Roman"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3"/>
  </w:num>
  <w:num w:numId="3">
    <w:abstractNumId w:val="13"/>
  </w:num>
  <w:num w:numId="4">
    <w:abstractNumId w:val="13"/>
  </w:num>
  <w:num w:numId="5">
    <w:abstractNumId w:val="0"/>
  </w:num>
  <w:num w:numId="6">
    <w:abstractNumId w:val="6"/>
  </w:num>
  <w:num w:numId="7">
    <w:abstractNumId w:val="15"/>
  </w:num>
  <w:num w:numId="8">
    <w:abstractNumId w:val="1"/>
  </w:num>
  <w:num w:numId="9">
    <w:abstractNumId w:val="12"/>
  </w:num>
  <w:num w:numId="10">
    <w:abstractNumId w:val="17"/>
  </w:num>
  <w:num w:numId="11">
    <w:abstractNumId w:val="16"/>
  </w:num>
  <w:num w:numId="12">
    <w:abstractNumId w:val="5"/>
  </w:num>
  <w:num w:numId="13">
    <w:abstractNumId w:val="9"/>
  </w:num>
  <w:num w:numId="14">
    <w:abstractNumId w:val="2"/>
  </w:num>
  <w:num w:numId="15">
    <w:abstractNumId w:val="7"/>
  </w:num>
  <w:num w:numId="16">
    <w:abstractNumId w:val="3"/>
  </w:num>
  <w:num w:numId="17">
    <w:abstractNumId w:val="4"/>
  </w:num>
  <w:num w:numId="18">
    <w:abstractNumId w:val="11"/>
  </w:num>
  <w:num w:numId="19">
    <w:abstractNumId w:val="10"/>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38F5"/>
    <w:rsid w:val="00004481"/>
    <w:rsid w:val="00004508"/>
    <w:rsid w:val="0001270A"/>
    <w:rsid w:val="0001445E"/>
    <w:rsid w:val="000148BE"/>
    <w:rsid w:val="00015396"/>
    <w:rsid w:val="000308E6"/>
    <w:rsid w:val="00033C0D"/>
    <w:rsid w:val="00035636"/>
    <w:rsid w:val="0004635A"/>
    <w:rsid w:val="0005432E"/>
    <w:rsid w:val="00064061"/>
    <w:rsid w:val="00066C9C"/>
    <w:rsid w:val="0009635A"/>
    <w:rsid w:val="00097061"/>
    <w:rsid w:val="000A6635"/>
    <w:rsid w:val="000A6B8C"/>
    <w:rsid w:val="000A745A"/>
    <w:rsid w:val="000B554F"/>
    <w:rsid w:val="000C13E9"/>
    <w:rsid w:val="000C2EF4"/>
    <w:rsid w:val="000C3115"/>
    <w:rsid w:val="000C5B16"/>
    <w:rsid w:val="000D2BA4"/>
    <w:rsid w:val="000D3D9B"/>
    <w:rsid w:val="000E4236"/>
    <w:rsid w:val="000E6443"/>
    <w:rsid w:val="000F6598"/>
    <w:rsid w:val="000F7C46"/>
    <w:rsid w:val="00106B01"/>
    <w:rsid w:val="001071BB"/>
    <w:rsid w:val="00112790"/>
    <w:rsid w:val="00115D19"/>
    <w:rsid w:val="00126705"/>
    <w:rsid w:val="00134B1D"/>
    <w:rsid w:val="00144954"/>
    <w:rsid w:val="00155087"/>
    <w:rsid w:val="00156020"/>
    <w:rsid w:val="0016032F"/>
    <w:rsid w:val="0016377E"/>
    <w:rsid w:val="00165D78"/>
    <w:rsid w:val="00170BF1"/>
    <w:rsid w:val="00172839"/>
    <w:rsid w:val="00183F28"/>
    <w:rsid w:val="001879F6"/>
    <w:rsid w:val="001B5C67"/>
    <w:rsid w:val="001B5FA5"/>
    <w:rsid w:val="001B6E3B"/>
    <w:rsid w:val="001C0148"/>
    <w:rsid w:val="001C757E"/>
    <w:rsid w:val="001D11D7"/>
    <w:rsid w:val="001D6CB9"/>
    <w:rsid w:val="001F0DAD"/>
    <w:rsid w:val="001F3AE9"/>
    <w:rsid w:val="001F3EEC"/>
    <w:rsid w:val="001F68BB"/>
    <w:rsid w:val="00202C6D"/>
    <w:rsid w:val="00203234"/>
    <w:rsid w:val="0020390F"/>
    <w:rsid w:val="00216A1C"/>
    <w:rsid w:val="00220F88"/>
    <w:rsid w:val="00224F15"/>
    <w:rsid w:val="0022678A"/>
    <w:rsid w:val="00237192"/>
    <w:rsid w:val="00252CE2"/>
    <w:rsid w:val="0025466A"/>
    <w:rsid w:val="00264926"/>
    <w:rsid w:val="00265E36"/>
    <w:rsid w:val="00271EBE"/>
    <w:rsid w:val="00274C1D"/>
    <w:rsid w:val="00276B5B"/>
    <w:rsid w:val="002826C4"/>
    <w:rsid w:val="00293B3D"/>
    <w:rsid w:val="00297D39"/>
    <w:rsid w:val="002A2B61"/>
    <w:rsid w:val="002A2DED"/>
    <w:rsid w:val="002A2F7F"/>
    <w:rsid w:val="002A47DA"/>
    <w:rsid w:val="002A6343"/>
    <w:rsid w:val="002C1101"/>
    <w:rsid w:val="002C7C86"/>
    <w:rsid w:val="002D1A3E"/>
    <w:rsid w:val="002D4449"/>
    <w:rsid w:val="002E0954"/>
    <w:rsid w:val="002E42B7"/>
    <w:rsid w:val="002E4CEF"/>
    <w:rsid w:val="002E4F28"/>
    <w:rsid w:val="002E5988"/>
    <w:rsid w:val="002E5BCE"/>
    <w:rsid w:val="002E60B1"/>
    <w:rsid w:val="002F2CE3"/>
    <w:rsid w:val="002F4EF0"/>
    <w:rsid w:val="002F55C6"/>
    <w:rsid w:val="002F600A"/>
    <w:rsid w:val="00313D23"/>
    <w:rsid w:val="00332C52"/>
    <w:rsid w:val="003343A3"/>
    <w:rsid w:val="0034465D"/>
    <w:rsid w:val="003457DA"/>
    <w:rsid w:val="00350891"/>
    <w:rsid w:val="003523D9"/>
    <w:rsid w:val="003623D7"/>
    <w:rsid w:val="003727EF"/>
    <w:rsid w:val="0038159D"/>
    <w:rsid w:val="003B3DED"/>
    <w:rsid w:val="003B5760"/>
    <w:rsid w:val="003C09CB"/>
    <w:rsid w:val="003C7A13"/>
    <w:rsid w:val="003D1582"/>
    <w:rsid w:val="003D19D4"/>
    <w:rsid w:val="003D4A95"/>
    <w:rsid w:val="003D7E4C"/>
    <w:rsid w:val="003E41C2"/>
    <w:rsid w:val="003E6416"/>
    <w:rsid w:val="003F40E7"/>
    <w:rsid w:val="003F636A"/>
    <w:rsid w:val="003F681E"/>
    <w:rsid w:val="004000CF"/>
    <w:rsid w:val="004014F9"/>
    <w:rsid w:val="00411812"/>
    <w:rsid w:val="0041277E"/>
    <w:rsid w:val="004232FF"/>
    <w:rsid w:val="00425756"/>
    <w:rsid w:val="00425863"/>
    <w:rsid w:val="004660B4"/>
    <w:rsid w:val="0047105C"/>
    <w:rsid w:val="004811FE"/>
    <w:rsid w:val="0049772C"/>
    <w:rsid w:val="004A184B"/>
    <w:rsid w:val="004B09A1"/>
    <w:rsid w:val="004B5037"/>
    <w:rsid w:val="004B755B"/>
    <w:rsid w:val="004C3803"/>
    <w:rsid w:val="004D5816"/>
    <w:rsid w:val="004E2E55"/>
    <w:rsid w:val="004E3DFA"/>
    <w:rsid w:val="004E47E0"/>
    <w:rsid w:val="004F0AE5"/>
    <w:rsid w:val="004F206E"/>
    <w:rsid w:val="004F4FB8"/>
    <w:rsid w:val="004F5185"/>
    <w:rsid w:val="005014D6"/>
    <w:rsid w:val="005116A2"/>
    <w:rsid w:val="00536315"/>
    <w:rsid w:val="00552EEB"/>
    <w:rsid w:val="00553993"/>
    <w:rsid w:val="00563F4F"/>
    <w:rsid w:val="005765DF"/>
    <w:rsid w:val="0058135E"/>
    <w:rsid w:val="00585091"/>
    <w:rsid w:val="005949E3"/>
    <w:rsid w:val="005A47E4"/>
    <w:rsid w:val="005B50F7"/>
    <w:rsid w:val="005B7397"/>
    <w:rsid w:val="005C2609"/>
    <w:rsid w:val="005C37BF"/>
    <w:rsid w:val="005C482A"/>
    <w:rsid w:val="005C4E17"/>
    <w:rsid w:val="005C6024"/>
    <w:rsid w:val="005D008A"/>
    <w:rsid w:val="005D1A11"/>
    <w:rsid w:val="005D3C1E"/>
    <w:rsid w:val="005F01EB"/>
    <w:rsid w:val="005F6363"/>
    <w:rsid w:val="00604AFD"/>
    <w:rsid w:val="00614069"/>
    <w:rsid w:val="00620E83"/>
    <w:rsid w:val="0062156C"/>
    <w:rsid w:val="0062368E"/>
    <w:rsid w:val="0064397E"/>
    <w:rsid w:val="0064786D"/>
    <w:rsid w:val="006520AC"/>
    <w:rsid w:val="00664134"/>
    <w:rsid w:val="0068184E"/>
    <w:rsid w:val="006A69BF"/>
    <w:rsid w:val="006A6F7A"/>
    <w:rsid w:val="006C4D9C"/>
    <w:rsid w:val="006E3E0C"/>
    <w:rsid w:val="006E63E7"/>
    <w:rsid w:val="006F4912"/>
    <w:rsid w:val="00701E28"/>
    <w:rsid w:val="007104B9"/>
    <w:rsid w:val="007107CC"/>
    <w:rsid w:val="00711DF4"/>
    <w:rsid w:val="007173D8"/>
    <w:rsid w:val="00721424"/>
    <w:rsid w:val="007368C3"/>
    <w:rsid w:val="00736BA0"/>
    <w:rsid w:val="0073709D"/>
    <w:rsid w:val="00741C19"/>
    <w:rsid w:val="0074393C"/>
    <w:rsid w:val="00747EF5"/>
    <w:rsid w:val="00752688"/>
    <w:rsid w:val="00755DC3"/>
    <w:rsid w:val="0077162D"/>
    <w:rsid w:val="007763A7"/>
    <w:rsid w:val="00776CF2"/>
    <w:rsid w:val="007818AE"/>
    <w:rsid w:val="00791B7B"/>
    <w:rsid w:val="007A0FB2"/>
    <w:rsid w:val="007A4655"/>
    <w:rsid w:val="007B573F"/>
    <w:rsid w:val="007C3378"/>
    <w:rsid w:val="007D6F36"/>
    <w:rsid w:val="007D70A1"/>
    <w:rsid w:val="007D7412"/>
    <w:rsid w:val="007E09E0"/>
    <w:rsid w:val="007E244D"/>
    <w:rsid w:val="007E2CB9"/>
    <w:rsid w:val="007E2DC7"/>
    <w:rsid w:val="007E5426"/>
    <w:rsid w:val="00801FD3"/>
    <w:rsid w:val="008130A7"/>
    <w:rsid w:val="008132E8"/>
    <w:rsid w:val="00816F93"/>
    <w:rsid w:val="00823407"/>
    <w:rsid w:val="00830505"/>
    <w:rsid w:val="00833A3F"/>
    <w:rsid w:val="00837B24"/>
    <w:rsid w:val="00844C8D"/>
    <w:rsid w:val="008467B3"/>
    <w:rsid w:val="00847B2F"/>
    <w:rsid w:val="008607EA"/>
    <w:rsid w:val="00860ABF"/>
    <w:rsid w:val="00870A11"/>
    <w:rsid w:val="00871AE0"/>
    <w:rsid w:val="00873D45"/>
    <w:rsid w:val="00875F81"/>
    <w:rsid w:val="00883062"/>
    <w:rsid w:val="00883598"/>
    <w:rsid w:val="008927B3"/>
    <w:rsid w:val="008A2214"/>
    <w:rsid w:val="008A4939"/>
    <w:rsid w:val="008A53AF"/>
    <w:rsid w:val="008B0184"/>
    <w:rsid w:val="008C4584"/>
    <w:rsid w:val="008C5D02"/>
    <w:rsid w:val="008D0638"/>
    <w:rsid w:val="008D2649"/>
    <w:rsid w:val="008D2759"/>
    <w:rsid w:val="00901B46"/>
    <w:rsid w:val="0090440B"/>
    <w:rsid w:val="0090568D"/>
    <w:rsid w:val="009125C9"/>
    <w:rsid w:val="00912ECE"/>
    <w:rsid w:val="00913879"/>
    <w:rsid w:val="00917661"/>
    <w:rsid w:val="00920419"/>
    <w:rsid w:val="0092785F"/>
    <w:rsid w:val="009347B3"/>
    <w:rsid w:val="00936C3B"/>
    <w:rsid w:val="0094124F"/>
    <w:rsid w:val="009528AF"/>
    <w:rsid w:val="00956694"/>
    <w:rsid w:val="00970E5D"/>
    <w:rsid w:val="0097701C"/>
    <w:rsid w:val="00980A65"/>
    <w:rsid w:val="009831F7"/>
    <w:rsid w:val="00996577"/>
    <w:rsid w:val="009A03D9"/>
    <w:rsid w:val="009A6715"/>
    <w:rsid w:val="009B14CA"/>
    <w:rsid w:val="009B3422"/>
    <w:rsid w:val="009B6705"/>
    <w:rsid w:val="009C1853"/>
    <w:rsid w:val="009D4E64"/>
    <w:rsid w:val="009F7724"/>
    <w:rsid w:val="00A036F9"/>
    <w:rsid w:val="00A11A67"/>
    <w:rsid w:val="00A23CB7"/>
    <w:rsid w:val="00A25E70"/>
    <w:rsid w:val="00A266AA"/>
    <w:rsid w:val="00A3116C"/>
    <w:rsid w:val="00A33765"/>
    <w:rsid w:val="00A37BBB"/>
    <w:rsid w:val="00A37CB4"/>
    <w:rsid w:val="00A45F3B"/>
    <w:rsid w:val="00A55D89"/>
    <w:rsid w:val="00A63269"/>
    <w:rsid w:val="00A67FAD"/>
    <w:rsid w:val="00A70B23"/>
    <w:rsid w:val="00A73250"/>
    <w:rsid w:val="00A74994"/>
    <w:rsid w:val="00A8193F"/>
    <w:rsid w:val="00A822B2"/>
    <w:rsid w:val="00A8622A"/>
    <w:rsid w:val="00A92377"/>
    <w:rsid w:val="00A97539"/>
    <w:rsid w:val="00AA26FE"/>
    <w:rsid w:val="00AB1B5B"/>
    <w:rsid w:val="00AB29ED"/>
    <w:rsid w:val="00AC5C50"/>
    <w:rsid w:val="00AD4B33"/>
    <w:rsid w:val="00AD5212"/>
    <w:rsid w:val="00AE4BD8"/>
    <w:rsid w:val="00B01236"/>
    <w:rsid w:val="00B02004"/>
    <w:rsid w:val="00B0639E"/>
    <w:rsid w:val="00B06A20"/>
    <w:rsid w:val="00B07820"/>
    <w:rsid w:val="00B10290"/>
    <w:rsid w:val="00B10BE9"/>
    <w:rsid w:val="00B1259C"/>
    <w:rsid w:val="00B4199F"/>
    <w:rsid w:val="00B4388F"/>
    <w:rsid w:val="00B50932"/>
    <w:rsid w:val="00B53448"/>
    <w:rsid w:val="00B60E51"/>
    <w:rsid w:val="00B6217B"/>
    <w:rsid w:val="00B63237"/>
    <w:rsid w:val="00B64BDD"/>
    <w:rsid w:val="00B75BCA"/>
    <w:rsid w:val="00B92590"/>
    <w:rsid w:val="00B92EA8"/>
    <w:rsid w:val="00B93868"/>
    <w:rsid w:val="00B97F64"/>
    <w:rsid w:val="00BA5ECF"/>
    <w:rsid w:val="00BA6C63"/>
    <w:rsid w:val="00BB000C"/>
    <w:rsid w:val="00BB5239"/>
    <w:rsid w:val="00BB6870"/>
    <w:rsid w:val="00BB7708"/>
    <w:rsid w:val="00BC4588"/>
    <w:rsid w:val="00BC6285"/>
    <w:rsid w:val="00BD3D23"/>
    <w:rsid w:val="00BD43E2"/>
    <w:rsid w:val="00BF0345"/>
    <w:rsid w:val="00BF2571"/>
    <w:rsid w:val="00BF69CE"/>
    <w:rsid w:val="00C0098E"/>
    <w:rsid w:val="00C03511"/>
    <w:rsid w:val="00C05308"/>
    <w:rsid w:val="00C234E4"/>
    <w:rsid w:val="00C352E3"/>
    <w:rsid w:val="00C370C3"/>
    <w:rsid w:val="00C37DA9"/>
    <w:rsid w:val="00C40B8D"/>
    <w:rsid w:val="00C56748"/>
    <w:rsid w:val="00C57855"/>
    <w:rsid w:val="00C62C72"/>
    <w:rsid w:val="00C65F4B"/>
    <w:rsid w:val="00C67339"/>
    <w:rsid w:val="00C67A65"/>
    <w:rsid w:val="00C843A6"/>
    <w:rsid w:val="00C93FB6"/>
    <w:rsid w:val="00C960DC"/>
    <w:rsid w:val="00CA199A"/>
    <w:rsid w:val="00CC5A2B"/>
    <w:rsid w:val="00CC72AB"/>
    <w:rsid w:val="00CC76DC"/>
    <w:rsid w:val="00CF08A0"/>
    <w:rsid w:val="00CF391E"/>
    <w:rsid w:val="00CF5F12"/>
    <w:rsid w:val="00CF6119"/>
    <w:rsid w:val="00D023BE"/>
    <w:rsid w:val="00D02C75"/>
    <w:rsid w:val="00D05047"/>
    <w:rsid w:val="00D10E22"/>
    <w:rsid w:val="00D13D2C"/>
    <w:rsid w:val="00D221BA"/>
    <w:rsid w:val="00D30C35"/>
    <w:rsid w:val="00D31178"/>
    <w:rsid w:val="00D359E9"/>
    <w:rsid w:val="00D407E2"/>
    <w:rsid w:val="00D43A11"/>
    <w:rsid w:val="00D5002D"/>
    <w:rsid w:val="00D53E5A"/>
    <w:rsid w:val="00D569C6"/>
    <w:rsid w:val="00D6148C"/>
    <w:rsid w:val="00D61CA7"/>
    <w:rsid w:val="00D63017"/>
    <w:rsid w:val="00D63179"/>
    <w:rsid w:val="00D6581A"/>
    <w:rsid w:val="00D746D7"/>
    <w:rsid w:val="00DA6752"/>
    <w:rsid w:val="00DC2F94"/>
    <w:rsid w:val="00DD3D9E"/>
    <w:rsid w:val="00DD7055"/>
    <w:rsid w:val="00DD7908"/>
    <w:rsid w:val="00DF6C2B"/>
    <w:rsid w:val="00E15E66"/>
    <w:rsid w:val="00E16299"/>
    <w:rsid w:val="00E16D7B"/>
    <w:rsid w:val="00E24B37"/>
    <w:rsid w:val="00E27013"/>
    <w:rsid w:val="00E32A0A"/>
    <w:rsid w:val="00E42C71"/>
    <w:rsid w:val="00E47824"/>
    <w:rsid w:val="00E529B2"/>
    <w:rsid w:val="00E6154C"/>
    <w:rsid w:val="00E7194C"/>
    <w:rsid w:val="00E812A1"/>
    <w:rsid w:val="00E82297"/>
    <w:rsid w:val="00E86D5B"/>
    <w:rsid w:val="00E87594"/>
    <w:rsid w:val="00EA2E3D"/>
    <w:rsid w:val="00EA4B31"/>
    <w:rsid w:val="00EA5229"/>
    <w:rsid w:val="00EB0DFC"/>
    <w:rsid w:val="00ED1F92"/>
    <w:rsid w:val="00EE0817"/>
    <w:rsid w:val="00EF39FD"/>
    <w:rsid w:val="00EF6889"/>
    <w:rsid w:val="00F02971"/>
    <w:rsid w:val="00F03A4A"/>
    <w:rsid w:val="00F03E1E"/>
    <w:rsid w:val="00F06842"/>
    <w:rsid w:val="00F107FD"/>
    <w:rsid w:val="00F3105A"/>
    <w:rsid w:val="00F4582B"/>
    <w:rsid w:val="00F529D4"/>
    <w:rsid w:val="00F53C57"/>
    <w:rsid w:val="00F56213"/>
    <w:rsid w:val="00F61205"/>
    <w:rsid w:val="00F66A6B"/>
    <w:rsid w:val="00F81D72"/>
    <w:rsid w:val="00F855BB"/>
    <w:rsid w:val="00FA2621"/>
    <w:rsid w:val="00FA4965"/>
    <w:rsid w:val="00FA5015"/>
    <w:rsid w:val="00FA55E9"/>
    <w:rsid w:val="00FA7368"/>
    <w:rsid w:val="00FB5E21"/>
    <w:rsid w:val="00FB64A8"/>
    <w:rsid w:val="00FE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D05047"/>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customStyle="1" w:styleId="Reference">
    <w:name w:val="Reference"/>
    <w:basedOn w:val="Normale"/>
    <w:rsid w:val="00620E83"/>
    <w:pPr>
      <w:jc w:val="both"/>
    </w:pPr>
    <w:rPr>
      <w:lang w:val="en-US"/>
    </w:rPr>
  </w:style>
  <w:style w:type="paragraph" w:styleId="Paragrafoelenco">
    <w:name w:val="List Paragraph"/>
    <w:basedOn w:val="Normale"/>
    <w:uiPriority w:val="34"/>
    <w:qFormat/>
    <w:rsid w:val="00620E83"/>
    <w:pPr>
      <w:ind w:left="720"/>
      <w:contextualSpacing/>
    </w:pPr>
  </w:style>
  <w:style w:type="character" w:styleId="Testosegnaposto">
    <w:name w:val="Placeholder Text"/>
    <w:basedOn w:val="Carpredefinitoparagrafo"/>
    <w:uiPriority w:val="99"/>
    <w:semiHidden/>
    <w:rsid w:val="001D11D7"/>
    <w:rPr>
      <w:color w:val="808080"/>
    </w:rPr>
  </w:style>
  <w:style w:type="table" w:styleId="Grigliatabella">
    <w:name w:val="Table Grid"/>
    <w:basedOn w:val="Tabellanormale"/>
    <w:rsid w:val="00A9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5949E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3.wdp"/><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s-cifs\upb\groups\fvt\data\Mitarbeiter\Dechert\DFG_Projekt\AP3\periodic_tests_mikr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v>smooth</c:v>
          </c:tx>
          <c:spPr>
            <a:ln w="25400" cap="rnd">
              <a:noFill/>
              <a:round/>
            </a:ln>
            <a:effectLst/>
          </c:spPr>
          <c:marker>
            <c:symbol val="diamond"/>
            <c:size val="5"/>
            <c:spPr>
              <a:solidFill>
                <a:schemeClr val="tx1"/>
              </a:solidFill>
              <a:ln w="9525">
                <a:solidFill>
                  <a:schemeClr val="tx1"/>
                </a:solidFill>
              </a:ln>
              <a:effectLst/>
            </c:spPr>
          </c:marker>
          <c:xVal>
            <c:numRef>
              <c:f>(auswertung!$L$28,auswertung!$L$31,auswertung!$L$34,auswertung!$L$38,auswertung!$L$46,auswertung!$L$47,auswertung!$L$43)</c:f>
              <c:numCache>
                <c:formatCode>General</c:formatCode>
                <c:ptCount val="7"/>
                <c:pt idx="0">
                  <c:v>10.10737820216643</c:v>
                </c:pt>
                <c:pt idx="1">
                  <c:v>25.391865290826019</c:v>
                </c:pt>
                <c:pt idx="2">
                  <c:v>36.095463832845631</c:v>
                </c:pt>
                <c:pt idx="3">
                  <c:v>50.155146362749633</c:v>
                </c:pt>
                <c:pt idx="4">
                  <c:v>80.044786693362084</c:v>
                </c:pt>
                <c:pt idx="5">
                  <c:v>87.080581138662112</c:v>
                </c:pt>
                <c:pt idx="6">
                  <c:v>67.316440103359199</c:v>
                </c:pt>
              </c:numCache>
            </c:numRef>
          </c:xVal>
          <c:yVal>
            <c:numRef>
              <c:f>(auswertung!$M$28,auswertung!$M$31,auswertung!$M$34,auswertung!$M$38,auswertung!$M$46,auswertung!$M$47,auswertung!$M$43)</c:f>
              <c:numCache>
                <c:formatCode>General</c:formatCode>
                <c:ptCount val="7"/>
                <c:pt idx="0">
                  <c:v>29.064720292461349</c:v>
                </c:pt>
                <c:pt idx="1">
                  <c:v>65.016402041897805</c:v>
                </c:pt>
                <c:pt idx="2">
                  <c:v>74.933204057567877</c:v>
                </c:pt>
                <c:pt idx="3">
                  <c:v>103.80536078795156</c:v>
                </c:pt>
                <c:pt idx="4">
                  <c:v>140.96231690262718</c:v>
                </c:pt>
                <c:pt idx="5">
                  <c:v>150.60703463680423</c:v>
                </c:pt>
                <c:pt idx="6">
                  <c:v>129.61628631715627</c:v>
                </c:pt>
              </c:numCache>
            </c:numRef>
          </c:yVal>
          <c:smooth val="0"/>
          <c:extLst>
            <c:ext xmlns:c16="http://schemas.microsoft.com/office/drawing/2014/chart" uri="{C3380CC4-5D6E-409C-BE32-E72D297353CC}">
              <c16:uniqueId val="{00000000-031D-42D2-9A69-C9786B329419}"/>
            </c:ext>
          </c:extLst>
        </c:ser>
        <c:ser>
          <c:idx val="1"/>
          <c:order val="1"/>
          <c:tx>
            <c:v>l-grooved</c:v>
          </c:tx>
          <c:spPr>
            <a:ln w="25400" cap="rnd">
              <a:noFill/>
              <a:round/>
            </a:ln>
            <a:effectLst/>
          </c:spPr>
          <c:marker>
            <c:symbol val="circle"/>
            <c:size val="5"/>
            <c:spPr>
              <a:solidFill>
                <a:schemeClr val="tx1"/>
              </a:solidFill>
              <a:ln w="9525">
                <a:solidFill>
                  <a:schemeClr val="tx1"/>
                </a:solidFill>
              </a:ln>
              <a:effectLst/>
            </c:spPr>
          </c:marker>
          <c:xVal>
            <c:numRef>
              <c:f>(auswertung!$L$29,auswertung!$L$32,auswertung!$L$35,auswertung!$L$37,auswertung!$L$39,auswertung!$L$41,auswertung!$L$44,auswertung!$L$50,auswertung!$L$51,auswertung!$L$52,auswertung!$L$53,auswertung!$L$54,auswertung!$L$55,auswertung!$L$48)</c:f>
              <c:numCache>
                <c:formatCode>General</c:formatCode>
                <c:ptCount val="14"/>
                <c:pt idx="0">
                  <c:v>8.6800206170747991</c:v>
                </c:pt>
                <c:pt idx="1">
                  <c:v>29.591365675856039</c:v>
                </c:pt>
                <c:pt idx="2">
                  <c:v>41.004441706453086</c:v>
                </c:pt>
                <c:pt idx="3">
                  <c:v>52.660442733199851</c:v>
                </c:pt>
                <c:pt idx="4">
                  <c:v>56.556779506134809</c:v>
                </c:pt>
                <c:pt idx="5">
                  <c:v>58.765915293392908</c:v>
                </c:pt>
                <c:pt idx="6">
                  <c:v>57.680149699676583</c:v>
                </c:pt>
                <c:pt idx="7">
                  <c:v>80.760963088454233</c:v>
                </c:pt>
                <c:pt idx="8">
                  <c:v>93.387420298783326</c:v>
                </c:pt>
                <c:pt idx="9">
                  <c:v>99.799607782740409</c:v>
                </c:pt>
                <c:pt idx="10">
                  <c:v>109.113147492171</c:v>
                </c:pt>
                <c:pt idx="11">
                  <c:v>123.48669849581606</c:v>
                </c:pt>
                <c:pt idx="12">
                  <c:v>135.23047795061353</c:v>
                </c:pt>
                <c:pt idx="13">
                  <c:v>69.008077416705163</c:v>
                </c:pt>
              </c:numCache>
            </c:numRef>
          </c:xVal>
          <c:yVal>
            <c:numRef>
              <c:f>(auswertung!$M$29,auswertung!$M$32,auswertung!$M$35,auswertung!$M$37,auswertung!$M$39,auswertung!$M$41,auswertung!$M$44,auswertung!$M$50,auswertung!$M$51,auswertung!$M$52,auswertung!$M$53,auswertung!$M$54,auswertung!$M$55,auswertung!$M$48)</c:f>
              <c:numCache>
                <c:formatCode>General</c:formatCode>
                <c:ptCount val="14"/>
                <c:pt idx="0">
                  <c:v>26.723488166860339</c:v>
                </c:pt>
                <c:pt idx="1">
                  <c:v>38.713377569436446</c:v>
                </c:pt>
                <c:pt idx="2">
                  <c:v>45.074161221355027</c:v>
                </c:pt>
                <c:pt idx="3">
                  <c:v>51.506327453937459</c:v>
                </c:pt>
                <c:pt idx="4">
                  <c:v>55.800659134418488</c:v>
                </c:pt>
                <c:pt idx="5">
                  <c:v>64.346896897919066</c:v>
                </c:pt>
                <c:pt idx="6">
                  <c:v>85.434056998143674</c:v>
                </c:pt>
                <c:pt idx="7">
                  <c:v>135.21387578992403</c:v>
                </c:pt>
                <c:pt idx="8">
                  <c:v>142.29063076756049</c:v>
                </c:pt>
                <c:pt idx="9">
                  <c:v>157.08491998912191</c:v>
                </c:pt>
                <c:pt idx="10">
                  <c:v>166.62197372706552</c:v>
                </c:pt>
                <c:pt idx="11">
                  <c:v>175.04876971249394</c:v>
                </c:pt>
                <c:pt idx="12">
                  <c:v>183.15435268420995</c:v>
                </c:pt>
                <c:pt idx="13">
                  <c:v>121.74959556535397</c:v>
                </c:pt>
              </c:numCache>
            </c:numRef>
          </c:yVal>
          <c:smooth val="0"/>
          <c:extLst>
            <c:ext xmlns:c16="http://schemas.microsoft.com/office/drawing/2014/chart" uri="{C3380CC4-5D6E-409C-BE32-E72D297353CC}">
              <c16:uniqueId val="{00000001-031D-42D2-9A69-C9786B329419}"/>
            </c:ext>
          </c:extLst>
        </c:ser>
        <c:ser>
          <c:idx val="2"/>
          <c:order val="2"/>
          <c:tx>
            <c:v>rotated l-grooved</c:v>
          </c:tx>
          <c:spPr>
            <a:ln w="25400" cap="rnd">
              <a:noFill/>
              <a:round/>
            </a:ln>
            <a:effectLst/>
          </c:spPr>
          <c:marker>
            <c:symbol val="square"/>
            <c:size val="5"/>
            <c:spPr>
              <a:solidFill>
                <a:schemeClr val="tx1"/>
              </a:solidFill>
              <a:ln w="9525">
                <a:solidFill>
                  <a:schemeClr val="tx1"/>
                </a:solidFill>
              </a:ln>
              <a:effectLst/>
            </c:spPr>
          </c:marker>
          <c:xVal>
            <c:numRef>
              <c:f>(auswertung!$L$30,auswertung!$L$33,auswertung!$L$36,auswertung!$L$40,auswertung!$L$42,auswertung!$L$45)</c:f>
              <c:numCache>
                <c:formatCode>General</c:formatCode>
                <c:ptCount val="6"/>
                <c:pt idx="0">
                  <c:v>7.9136938411622797</c:v>
                </c:pt>
                <c:pt idx="1">
                  <c:v>20.85933364135737</c:v>
                </c:pt>
                <c:pt idx="2">
                  <c:v>26.652809897838694</c:v>
                </c:pt>
                <c:pt idx="3">
                  <c:v>30.625097797628214</c:v>
                </c:pt>
                <c:pt idx="4">
                  <c:v>27.863709019970237</c:v>
                </c:pt>
                <c:pt idx="5">
                  <c:v>34.63264397556344</c:v>
                </c:pt>
              </c:numCache>
            </c:numRef>
          </c:xVal>
          <c:yVal>
            <c:numRef>
              <c:f>(auswertung!$M$30,auswertung!$M$33,auswertung!$M$36,auswertung!$M$40,auswertung!$M$42,auswertung!$M$45)</c:f>
              <c:numCache>
                <c:formatCode>General</c:formatCode>
                <c:ptCount val="6"/>
                <c:pt idx="0">
                  <c:v>28.458692845725775</c:v>
                </c:pt>
                <c:pt idx="1">
                  <c:v>65.251011758433478</c:v>
                </c:pt>
                <c:pt idx="2">
                  <c:v>75.959587707766516</c:v>
                </c:pt>
                <c:pt idx="3">
                  <c:v>104.00691166717367</c:v>
                </c:pt>
                <c:pt idx="4">
                  <c:v>114.89012813994459</c:v>
                </c:pt>
                <c:pt idx="5">
                  <c:v>125.28690190699672</c:v>
                </c:pt>
              </c:numCache>
            </c:numRef>
          </c:yVal>
          <c:smooth val="0"/>
          <c:extLst>
            <c:ext xmlns:c16="http://schemas.microsoft.com/office/drawing/2014/chart" uri="{C3380CC4-5D6E-409C-BE32-E72D297353CC}">
              <c16:uniqueId val="{00000002-031D-42D2-9A69-C9786B329419}"/>
            </c:ext>
          </c:extLst>
        </c:ser>
        <c:dLbls>
          <c:showLegendKey val="0"/>
          <c:showVal val="0"/>
          <c:showCatName val="0"/>
          <c:showSerName val="0"/>
          <c:showPercent val="0"/>
          <c:showBubbleSize val="0"/>
        </c:dLbls>
        <c:axId val="475545439"/>
        <c:axId val="501172095"/>
      </c:scatterChart>
      <c:valAx>
        <c:axId val="475545439"/>
        <c:scaling>
          <c:orientation val="minMax"/>
          <c:max val="140"/>
        </c:scaling>
        <c:delete val="0"/>
        <c:axPos val="b"/>
        <c:majorGridlines>
          <c:spPr>
            <a:ln w="9525" cap="flat" cmpd="sng" algn="ctr">
              <a:no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ts val="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000" b="0" i="0" baseline="0">
                    <a:effectLst/>
                  </a:rPr>
                  <a:t>liquid flow rate [m³/(m²·h)]</a:t>
                </a:r>
                <a:endParaRPr lang="en-US" sz="1000">
                  <a:effectLst/>
                </a:endParaRPr>
              </a:p>
            </c:rich>
          </c:tx>
          <c:layout>
            <c:manualLayout>
              <c:xMode val="edge"/>
              <c:yMode val="edge"/>
              <c:x val="0.39808650083007191"/>
              <c:y val="0.94198725159355101"/>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ts val="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it-IT"/>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01172095"/>
        <c:crosses val="autoZero"/>
        <c:crossBetween val="midCat"/>
      </c:valAx>
      <c:valAx>
        <c:axId val="501172095"/>
        <c:scaling>
          <c:orientation val="minMax"/>
        </c:scaling>
        <c:delete val="0"/>
        <c:axPos val="l"/>
        <c:majorGridlines>
          <c:spPr>
            <a:ln w="9525" cap="flat" cmpd="sng" algn="ctr">
              <a:noFill/>
              <a:round/>
            </a:ln>
            <a:effectLst/>
          </c:spPr>
        </c:majorGridlines>
        <c:minorGridlines>
          <c:spPr>
            <a:ln w="9525" cap="flat" cmpd="sng" algn="ctr">
              <a:noFill/>
              <a:round/>
            </a:ln>
            <a:effectLst/>
          </c:spPr>
        </c:minorGridlines>
        <c:title>
          <c:tx>
            <c:rich>
              <a:bodyPr rot="-5400000" spcFirstLastPara="1" vertOverflow="ellipsis" vert="horz" wrap="square" anchor="t" anchorCtr="0"/>
              <a:lstStyle/>
              <a:p>
                <a:pPr>
                  <a:defRPr sz="1000" b="0" i="0" u="none" strike="noStrike" kern="1200" baseline="0">
                    <a:solidFill>
                      <a:schemeClr val="tx1">
                        <a:lumMod val="65000"/>
                        <a:lumOff val="35000"/>
                      </a:schemeClr>
                    </a:solidFill>
                    <a:latin typeface="+mn-lt"/>
                    <a:ea typeface="+mn-ea"/>
                    <a:cs typeface="+mn-cs"/>
                  </a:defRPr>
                </a:pPr>
                <a:r>
                  <a:rPr lang="en-US" sz="1000" b="0" i="0" baseline="0">
                    <a:effectLst/>
                  </a:rPr>
                  <a:t>interfacial area [m²/m³]</a:t>
                </a:r>
                <a:endParaRPr lang="en-US" sz="1000">
                  <a:effectLst/>
                </a:endParaRPr>
              </a:p>
            </c:rich>
          </c:tx>
          <c:layout>
            <c:manualLayout>
              <c:xMode val="edge"/>
              <c:yMode val="edge"/>
              <c:x val="2.2579734688117414E-2"/>
              <c:y val="6.216247359323987E-2"/>
            </c:manualLayout>
          </c:layout>
          <c:overlay val="0"/>
          <c:spPr>
            <a:noFill/>
            <a:ln>
              <a:noFill/>
            </a:ln>
            <a:effectLst/>
          </c:spPr>
          <c:txPr>
            <a:bodyPr rot="-5400000" spcFirstLastPara="1" vertOverflow="ellipsis" vert="horz" wrap="square" anchor="t" anchorCtr="0"/>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75545439"/>
        <c:crosses val="autoZero"/>
        <c:crossBetween val="midCat"/>
      </c:valAx>
      <c:spPr>
        <a:noFill/>
        <a:ln>
          <a:noFill/>
        </a:ln>
        <a:effectLst/>
      </c:spPr>
    </c:plotArea>
    <c:legend>
      <c:legendPos val="r"/>
      <c:layout>
        <c:manualLayout>
          <c:xMode val="edge"/>
          <c:yMode val="edge"/>
          <c:x val="0.7591957969690708"/>
          <c:y val="0.22774937818636545"/>
          <c:w val="0.22669186885085596"/>
          <c:h val="0.39784168432776945"/>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extLst/>
  </c:chart>
  <c:spPr>
    <a:solidFill>
      <a:schemeClr val="bg1"/>
    </a:solidFill>
    <a:ln w="9525" cap="flat" cmpd="sng" algn="ctr">
      <a:noFill/>
      <a:round/>
    </a:ln>
    <a:effectLst/>
  </c:spPr>
  <c:txPr>
    <a:bodyPr/>
    <a:lstStyle/>
    <a:p>
      <a:pPr>
        <a:defRPr/>
      </a:pPr>
      <a:endParaRPr lang="it-I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F0205-E28C-4267-8105-BF7A71CE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2674</Words>
  <Characters>15246</Characters>
  <Application>Microsoft Office Word</Application>
  <DocSecurity>0</DocSecurity>
  <Lines>127</Lines>
  <Paragraphs>35</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2024-01-24T14:16:00Z</cp:lastPrinted>
  <dcterms:created xsi:type="dcterms:W3CDTF">2024-01-25T11:08:00Z</dcterms:created>
  <dcterms:modified xsi:type="dcterms:W3CDTF">2024-01-25T11:08:00Z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