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9894FE3" w:rsidR="00DD3D9E" w:rsidRPr="004612ED" w:rsidRDefault="004612ED" w:rsidP="004612ED">
      <w:pPr>
        <w:jc w:val="both"/>
        <w:rPr>
          <w:b/>
          <w:bCs/>
          <w:sz w:val="32"/>
          <w:szCs w:val="32"/>
        </w:rPr>
      </w:pPr>
      <w:r w:rsidRPr="004612ED">
        <w:rPr>
          <w:b/>
          <w:bCs/>
          <w:sz w:val="28"/>
          <w:szCs w:val="28"/>
        </w:rPr>
        <w:t>Economic Feasibility of Thermochemical Conversion for Woody Biomass-Derived Liquid Fuels in Spain</w:t>
      </w:r>
    </w:p>
    <w:p w14:paraId="144DE680" w14:textId="0B541C62" w:rsidR="00DD3D9E" w:rsidRPr="004612ED" w:rsidRDefault="004612ED">
      <w:pPr>
        <w:pStyle w:val="Els-Author"/>
        <w:rPr>
          <w:sz w:val="20"/>
          <w:lang w:val="es-ES"/>
        </w:rPr>
      </w:pPr>
      <w:r w:rsidRPr="004612ED">
        <w:rPr>
          <w:sz w:val="20"/>
          <w:lang w:val="es-ES"/>
        </w:rPr>
        <w:t>Usman Khan Jadoon</w:t>
      </w:r>
      <w:r w:rsidRPr="004612ED">
        <w:rPr>
          <w:sz w:val="20"/>
          <w:vertAlign w:val="superscript"/>
          <w:lang w:val="es-ES"/>
        </w:rPr>
        <w:t>a,*</w:t>
      </w:r>
      <w:r w:rsidRPr="004612ED">
        <w:rPr>
          <w:sz w:val="20"/>
          <w:lang w:val="es-ES"/>
        </w:rPr>
        <w:t>, Ismael Diaz</w:t>
      </w:r>
      <w:r w:rsidRPr="004612ED">
        <w:rPr>
          <w:sz w:val="20"/>
          <w:vertAlign w:val="superscript"/>
          <w:lang w:val="es-ES"/>
        </w:rPr>
        <w:t>a</w:t>
      </w:r>
      <w:r w:rsidR="0050632B">
        <w:rPr>
          <w:sz w:val="20"/>
          <w:lang w:val="es-ES"/>
        </w:rPr>
        <w:t xml:space="preserve">, </w:t>
      </w:r>
      <w:r w:rsidR="0050632B" w:rsidRPr="004612ED">
        <w:rPr>
          <w:sz w:val="20"/>
          <w:lang w:val="es-ES"/>
        </w:rPr>
        <w:t xml:space="preserve">Manuel </w:t>
      </w:r>
      <w:r w:rsidR="0050632B" w:rsidRPr="004612ED">
        <w:rPr>
          <w:rStyle w:val="fontstyle01"/>
          <w:rFonts w:ascii="Times New Roman" w:hAnsi="Times New Roman"/>
          <w:sz w:val="20"/>
          <w:szCs w:val="20"/>
          <w:lang w:val="es-ES"/>
        </w:rPr>
        <w:t>Rodriguez</w:t>
      </w:r>
      <w:r w:rsidR="0050632B" w:rsidRPr="004612ED">
        <w:rPr>
          <w:sz w:val="20"/>
          <w:vertAlign w:val="superscript"/>
          <w:lang w:val="es-ES"/>
        </w:rPr>
        <w:t>a</w:t>
      </w:r>
    </w:p>
    <w:p w14:paraId="732769B4" w14:textId="17B3C2EA" w:rsidR="004612ED" w:rsidRPr="004612ED" w:rsidRDefault="004612ED" w:rsidP="004612ED">
      <w:pPr>
        <w:jc w:val="both"/>
        <w:rPr>
          <w:color w:val="000000"/>
          <w:lang w:val="es-ES" w:eastAsia="en-GB"/>
        </w:rPr>
      </w:pPr>
      <w:proofErr w:type="spellStart"/>
      <w:r w:rsidRPr="004612ED">
        <w:rPr>
          <w:vertAlign w:val="superscript"/>
          <w:lang w:val="es-ES"/>
        </w:rPr>
        <w:t>a</w:t>
      </w:r>
      <w:r w:rsidRPr="004612ED">
        <w:rPr>
          <w:color w:val="000000"/>
          <w:lang w:val="es-ES" w:eastAsia="en-GB"/>
        </w:rPr>
        <w:t>Departamento</w:t>
      </w:r>
      <w:proofErr w:type="spellEnd"/>
      <w:r w:rsidRPr="004612ED">
        <w:rPr>
          <w:color w:val="000000"/>
          <w:lang w:val="es-ES" w:eastAsia="en-GB"/>
        </w:rPr>
        <w:t xml:space="preserve"> de Ingeniería Química Industrial Y del Medioambiente, Escuela Superior de Ingenieros Industriales, Universidad Politécnica de Madrid, C/ José Gutiérrez Abascal 2, 28006 Madrid, </w:t>
      </w:r>
      <w:proofErr w:type="spellStart"/>
      <w:r w:rsidRPr="004612ED">
        <w:rPr>
          <w:color w:val="000000"/>
          <w:lang w:val="es-ES" w:eastAsia="en-GB"/>
        </w:rPr>
        <w:t>Spain</w:t>
      </w:r>
      <w:proofErr w:type="spellEnd"/>
      <w:r w:rsidRPr="004612ED">
        <w:rPr>
          <w:lang w:val="es-ES" w:eastAsia="en-GB"/>
        </w:rPr>
        <w:t xml:space="preserve"> </w:t>
      </w:r>
    </w:p>
    <w:p w14:paraId="144DE683" w14:textId="6933A0FD" w:rsidR="008D2649" w:rsidRPr="00A94774" w:rsidRDefault="004612ED" w:rsidP="008D2649">
      <w:pPr>
        <w:pStyle w:val="Els-Affiliation"/>
        <w:spacing w:after="120"/>
      </w:pPr>
      <w:r>
        <w:t>*uk.jadoon@upm.es</w:t>
      </w:r>
    </w:p>
    <w:p w14:paraId="144DE684" w14:textId="77777777" w:rsidR="008D2649" w:rsidRDefault="008D2649" w:rsidP="008D2649">
      <w:pPr>
        <w:pStyle w:val="Els-Abstract"/>
      </w:pPr>
      <w:r>
        <w:t>Abstract</w:t>
      </w:r>
    </w:p>
    <w:p w14:paraId="5576C78C" w14:textId="79F2F11E" w:rsidR="009079EB" w:rsidRPr="0001163E" w:rsidRDefault="0001163E" w:rsidP="00D94439">
      <w:pPr>
        <w:pStyle w:val="Els-body-text"/>
      </w:pPr>
      <w:r w:rsidRPr="0001163E">
        <w:rPr>
          <w:lang w:val="en-GB"/>
        </w:rPr>
        <w:t xml:space="preserve">The global shift to renewable biomass resources is crucial for sustainable industrial growth and reducing greenhouse gas emissions. Aligned with the European Green Deal and the Paris Agreement, Spain targets ambitious climate and renewable energy goals for 2030. This study focuses on thermochemical conversion processes, evaluating economic implications within the Spanish context. Using a network optimization framework, we assess technologies like biomass gasification, Fischer–Tropsch synthesis, and methanol-to-gasoline for converting </w:t>
      </w:r>
      <w:r>
        <w:rPr>
          <w:lang w:val="en-GB"/>
        </w:rPr>
        <w:t>woody biomass</w:t>
      </w:r>
      <w:r w:rsidRPr="0001163E">
        <w:rPr>
          <w:lang w:val="en-GB"/>
        </w:rPr>
        <w:t xml:space="preserve"> into profitable liquid fuels. Economic viability is </w:t>
      </w:r>
      <w:r w:rsidR="00716FF4" w:rsidRPr="0001163E">
        <w:rPr>
          <w:lang w:val="en-GB"/>
        </w:rPr>
        <w:t>apparent</w:t>
      </w:r>
      <w:r w:rsidRPr="0001163E">
        <w:rPr>
          <w:lang w:val="en-GB"/>
        </w:rPr>
        <w:t>, with a minimum selling price of 1.506</w:t>
      </w:r>
      <w:r w:rsidR="00B90FAD">
        <w:rPr>
          <w:lang w:val="en-GB"/>
        </w:rPr>
        <w:t xml:space="preserve"> </w:t>
      </w:r>
      <w:r w:rsidR="00B90FAD" w:rsidRPr="0001163E">
        <w:rPr>
          <w:lang w:val="en-GB"/>
        </w:rPr>
        <w:t>$</w:t>
      </w:r>
      <w:r w:rsidRPr="0001163E">
        <w:rPr>
          <w:lang w:val="en-GB"/>
        </w:rPr>
        <w:t>/kg for gasoline and 1.863</w:t>
      </w:r>
      <w:r w:rsidR="00B90FAD">
        <w:rPr>
          <w:lang w:val="en-GB"/>
        </w:rPr>
        <w:t xml:space="preserve"> </w:t>
      </w:r>
      <w:r w:rsidR="00B90FAD" w:rsidRPr="0001163E">
        <w:rPr>
          <w:lang w:val="en-GB"/>
        </w:rPr>
        <w:t>$</w:t>
      </w:r>
      <w:r w:rsidRPr="0001163E">
        <w:rPr>
          <w:lang w:val="en-GB"/>
        </w:rPr>
        <w:t>/kg for ethanol, below current market rates. Gasoline and ethanol meet market demands, emphasizing their profitability. Further research is needed for cost-effective production of other liquid fuels.</w:t>
      </w:r>
    </w:p>
    <w:p w14:paraId="144DE687" w14:textId="244DBDCB" w:rsidR="008D2649" w:rsidRDefault="008D2649" w:rsidP="00D94439">
      <w:pPr>
        <w:pStyle w:val="Els-body-text"/>
        <w:rPr>
          <w:lang w:val="en-GB"/>
        </w:rPr>
      </w:pPr>
      <w:r>
        <w:rPr>
          <w:b/>
          <w:bCs/>
          <w:lang w:val="en-GB"/>
        </w:rPr>
        <w:t>Keywords</w:t>
      </w:r>
      <w:r>
        <w:rPr>
          <w:lang w:val="en-GB"/>
        </w:rPr>
        <w:t xml:space="preserve">: </w:t>
      </w:r>
      <w:r w:rsidR="004612ED" w:rsidRPr="004612ED">
        <w:rPr>
          <w:lang w:val="en-GB"/>
        </w:rPr>
        <w:t>biomass gasification, economic feasibility, gasification pathways, renewable liquid fuels, linear optimization</w:t>
      </w:r>
      <w:r>
        <w:rPr>
          <w:lang w:val="en-GB"/>
        </w:rPr>
        <w:t>.</w:t>
      </w:r>
    </w:p>
    <w:p w14:paraId="70A6C02F" w14:textId="265DE9DA" w:rsidR="00CC4DE6" w:rsidRPr="00CC4DE6" w:rsidRDefault="00CC4DE6" w:rsidP="00CC4DE6">
      <w:pPr>
        <w:pStyle w:val="Els-1storder-head"/>
      </w:pPr>
      <w:r>
        <w:t>Introduction</w:t>
      </w:r>
    </w:p>
    <w:p w14:paraId="17CFCC8D" w14:textId="0624C890" w:rsidR="00D4247C" w:rsidRDefault="0002162B" w:rsidP="0070080A">
      <w:pPr>
        <w:pStyle w:val="Els-Chapterno"/>
        <w:numPr>
          <w:ilvl w:val="0"/>
          <w:numId w:val="0"/>
        </w:numPr>
        <w:spacing w:before="0" w:line="240" w:lineRule="auto"/>
        <w:jc w:val="both"/>
        <w:rPr>
          <w:sz w:val="20"/>
          <w:szCs w:val="20"/>
        </w:rPr>
      </w:pPr>
      <w:r w:rsidRPr="0002162B">
        <w:rPr>
          <w:sz w:val="20"/>
          <w:szCs w:val="20"/>
          <w:lang w:val="en-GB"/>
        </w:rPr>
        <w:t>Shifting society from petroleum to renewable biomass resources is crucial for a sustainable industrial society and energy independence, aligning with global agreements like the Paris Agreement</w:t>
      </w:r>
      <w:r w:rsidR="002C227A">
        <w:rPr>
          <w:sz w:val="20"/>
          <w:szCs w:val="20"/>
          <w:lang w:val="en-GB"/>
        </w:rPr>
        <w:t xml:space="preserve"> and </w:t>
      </w:r>
      <w:r w:rsidR="002C227A" w:rsidRPr="00D15D53">
        <w:rPr>
          <w:sz w:val="20"/>
          <w:szCs w:val="20"/>
        </w:rPr>
        <w:t>European Green Deal</w:t>
      </w:r>
      <w:r w:rsidR="002C227A">
        <w:rPr>
          <w:sz w:val="20"/>
          <w:szCs w:val="20"/>
        </w:rPr>
        <w:t xml:space="preserve"> </w:t>
      </w:r>
      <w:r w:rsidR="002C227A">
        <w:rPr>
          <w:sz w:val="20"/>
          <w:szCs w:val="20"/>
        </w:rPr>
        <w:fldChar w:fldCharType="begin"/>
      </w:r>
      <w:r w:rsidR="00D94439">
        <w:rPr>
          <w:sz w:val="20"/>
          <w:szCs w:val="20"/>
        </w:rPr>
        <w:instrText xml:space="preserve"> ADDIN EN.CITE &lt;EndNote&gt;&lt;Cite&gt;&lt;Author&gt;Commission&lt;/Author&gt;&lt;Year&gt;2019&lt;/Year&gt;&lt;RecNum&gt;1961&lt;/RecNum&gt;&lt;DisplayText&gt;(Commission, 2019)&lt;/DisplayText&gt;&lt;record&gt;&lt;rec-number&gt;1961&lt;/rec-number&gt;&lt;foreign-keys&gt;&lt;key app="EN" db-id="5wxzzztei5drfretswrvswe8sfpvzzptpvvd" timestamp="1700661699"&gt;1961&lt;/key&gt;&lt;/foreign-keys&gt;&lt;ref-type name="Web Page"&gt;12&lt;/ref-type&gt;&lt;contributors&gt;&lt;authors&gt;&lt;author&gt;European Commission&lt;/author&gt;&lt;/authors&gt;&lt;/contributors&gt;&lt;titles&gt;&lt;title&gt;The European Green Deal - Striving to be the first climate-neutral continent&lt;/title&gt;&lt;/titles&gt;&lt;number&gt;22/11/2023&lt;/number&gt;&lt;dates&gt;&lt;year&gt;2019&lt;/year&gt;&lt;/dates&gt;&lt;publisher&gt;European Commission&lt;/publisher&gt;&lt;urls&gt;&lt;related-urls&gt;&lt;url&gt;https://commission.europa.eu/strategy-and-policy/priorities-2019-2024/european-green-deal_enhttps://commission.europa.eu/strategy-and-policy/priorities-2019-2024/european-green-deal_en&lt;/url&gt;&lt;/related-urls&gt;&lt;/urls&gt;&lt;/record&gt;&lt;/Cite&gt;&lt;/EndNote&gt;</w:instrText>
      </w:r>
      <w:r w:rsidR="002C227A">
        <w:rPr>
          <w:sz w:val="20"/>
          <w:szCs w:val="20"/>
        </w:rPr>
        <w:fldChar w:fldCharType="separate"/>
      </w:r>
      <w:r w:rsidR="00D94439">
        <w:rPr>
          <w:noProof/>
          <w:sz w:val="20"/>
          <w:szCs w:val="20"/>
        </w:rPr>
        <w:t>(Commission, 2019)</w:t>
      </w:r>
      <w:r w:rsidR="002C227A">
        <w:rPr>
          <w:sz w:val="20"/>
          <w:szCs w:val="20"/>
        </w:rPr>
        <w:fldChar w:fldCharType="end"/>
      </w:r>
      <w:r w:rsidR="00984CEB" w:rsidRPr="00D15D53">
        <w:rPr>
          <w:sz w:val="20"/>
          <w:szCs w:val="20"/>
        </w:rPr>
        <w:t>. Spain, within the framework of the European Green Deal, has set ambitious climate and energy targets for 2030, including a renewable energy target of at</w:t>
      </w:r>
      <w:r w:rsidR="009C5C5F">
        <w:rPr>
          <w:sz w:val="20"/>
          <w:szCs w:val="20"/>
        </w:rPr>
        <w:t xml:space="preserve"> </w:t>
      </w:r>
      <w:r w:rsidR="00984CEB" w:rsidRPr="00D15D53">
        <w:rPr>
          <w:sz w:val="20"/>
          <w:szCs w:val="20"/>
        </w:rPr>
        <w:t xml:space="preserve">least 42% of the final gross energy consumption </w:t>
      </w:r>
      <w:r w:rsidR="00984CEB" w:rsidRPr="00D15D53">
        <w:rPr>
          <w:sz w:val="20"/>
          <w:szCs w:val="20"/>
        </w:rPr>
        <w:fldChar w:fldCharType="begin"/>
      </w:r>
      <w:r w:rsidR="00D94439">
        <w:rPr>
          <w:sz w:val="20"/>
          <w:szCs w:val="20"/>
        </w:rPr>
        <w:instrText xml:space="preserve"> ADDIN EN.CITE &lt;EndNote&gt;&lt;Cite&gt;&lt;Author&gt;Carpio Martínez&lt;/Author&gt;&lt;Year&gt;2018&lt;/Year&gt;&lt;RecNum&gt;1886&lt;/RecNum&gt;&lt;DisplayText&gt;(Carpio Martínez, 2018)&lt;/DisplayText&gt;&lt;record&gt;&lt;rec-number&gt;1886&lt;/rec-number&gt;&lt;foreign-keys&gt;&lt;key app="EN" db-id="5wxzzztei5drfretswrvswe8sfpvzzptpvvd" timestamp="1684316863"&gt;1886&lt;/key&gt;&lt;/foreign-keys&gt;&lt;ref-type name="Journal Article"&gt;17&lt;/ref-type&gt;&lt;contributors&gt;&lt;authors&gt;&lt;author&gt;Carpio Martínez, Manuel&lt;/author&gt;&lt;/authors&gt;&lt;/contributors&gt;&lt;titles&gt;&lt;title&gt;Environmental and economic effects of using renewable energy in residential thermal installations according to 2030 targets: case study in the province of Granada (Spain)&lt;/title&gt;&lt;/titles&gt;&lt;dates&gt;&lt;year&gt;2018&lt;/year&gt;&lt;/dates&gt;&lt;isbn&gt;0012-7361&lt;/isbn&gt;&lt;urls&gt;&lt;/urls&gt;&lt;/record&gt;&lt;/Cite&gt;&lt;/EndNote&gt;</w:instrText>
      </w:r>
      <w:r w:rsidR="00984CEB" w:rsidRPr="00D15D53">
        <w:rPr>
          <w:sz w:val="20"/>
          <w:szCs w:val="20"/>
        </w:rPr>
        <w:fldChar w:fldCharType="separate"/>
      </w:r>
      <w:r w:rsidR="00D94439">
        <w:rPr>
          <w:noProof/>
          <w:sz w:val="20"/>
          <w:szCs w:val="20"/>
        </w:rPr>
        <w:t>(Carpio Martínez, 2018)</w:t>
      </w:r>
      <w:r w:rsidR="00984CEB" w:rsidRPr="00D15D53">
        <w:rPr>
          <w:sz w:val="20"/>
          <w:szCs w:val="20"/>
        </w:rPr>
        <w:fldChar w:fldCharType="end"/>
      </w:r>
      <w:r w:rsidR="00984CEB" w:rsidRPr="00D15D53">
        <w:rPr>
          <w:sz w:val="20"/>
          <w:szCs w:val="20"/>
        </w:rPr>
        <w:t xml:space="preserve">. </w:t>
      </w:r>
      <w:r w:rsidR="002F1197" w:rsidRPr="002F1197">
        <w:rPr>
          <w:sz w:val="20"/>
          <w:szCs w:val="20"/>
          <w:lang w:val="en-GB"/>
        </w:rPr>
        <w:t>The Paris Agreement's goal to cut global GHG emissions by 50% by 2030 has spurred biomass adoption, with Spain's expanding forests providing abundant resources from olive trees, pine, vine residues, and Eucalyptus</w:t>
      </w:r>
      <w:r w:rsidR="00984CEB" w:rsidRPr="00D15D53">
        <w:rPr>
          <w:sz w:val="20"/>
          <w:szCs w:val="20"/>
        </w:rPr>
        <w:t xml:space="preserve"> </w:t>
      </w:r>
      <w:r w:rsidR="00984CEB" w:rsidRPr="00D15D53">
        <w:rPr>
          <w:sz w:val="20"/>
          <w:szCs w:val="20"/>
        </w:rPr>
        <w:fldChar w:fldCharType="begin"/>
      </w:r>
      <w:r w:rsidR="00D94439">
        <w:rPr>
          <w:sz w:val="20"/>
          <w:szCs w:val="20"/>
        </w:rPr>
        <w:instrText xml:space="preserve"> ADDIN EN.CITE &lt;EndNote&gt;&lt;Cite&gt;&lt;Year&gt;2019&lt;/Year&gt;&lt;RecNum&gt;1923&lt;/RecNum&gt;&lt;DisplayText&gt;(&lt;style face="italic"&gt;Ministry of Agriculture, Fishery, and Food&lt;/style&gt;, 2019)&lt;/DisplayText&gt;&lt;record&gt;&lt;rec-number&gt;1923&lt;/rec-number&gt;&lt;foreign-keys&gt;&lt;key app="EN" db-id="5wxzzztei5drfretswrvswe8sfpvzzptpvvd" timestamp="1687699594"&gt;1923&lt;/key&gt;&lt;/foreign-keys&gt;&lt;ref-type name="Web Page"&gt;12&lt;/ref-type&gt;&lt;contributors&gt;&lt;/contributors&gt;&lt;titles&gt;&lt;title&gt;Ministry of Agriculture, Fishery, and Food&lt;/title&gt;&lt;/titles&gt;&lt;volume&gt;22/11/2023&lt;/volume&gt;&lt;dates&gt;&lt;year&gt;2019&lt;/year&gt;&lt;/dates&gt;&lt;pub-location&gt;Spain&lt;/pub-location&gt;&lt;publisher&gt;La Moncloa&lt;/publisher&gt;&lt;urls&gt;&lt;related-urls&gt;&lt;url&gt;https://www.lamoncloa.gob.es/lang/en/gobierno/news/Paginas/2019/20190320forestheritage.aspx&lt;/url&gt;&lt;/related-urls&gt;&lt;/urls&gt;&lt;/record&gt;&lt;/Cite&gt;&lt;/EndNote&gt;</w:instrText>
      </w:r>
      <w:r w:rsidR="00984CEB" w:rsidRPr="00D15D53">
        <w:rPr>
          <w:sz w:val="20"/>
          <w:szCs w:val="20"/>
        </w:rPr>
        <w:fldChar w:fldCharType="separate"/>
      </w:r>
      <w:r w:rsidR="00D94439">
        <w:rPr>
          <w:noProof/>
          <w:sz w:val="20"/>
          <w:szCs w:val="20"/>
        </w:rPr>
        <w:t>(</w:t>
      </w:r>
      <w:r w:rsidR="00D94439" w:rsidRPr="00D94439">
        <w:rPr>
          <w:i/>
          <w:noProof/>
          <w:sz w:val="20"/>
          <w:szCs w:val="20"/>
        </w:rPr>
        <w:t>Ministry of Agriculture, Fishery, and Food</w:t>
      </w:r>
      <w:r w:rsidR="00D94439">
        <w:rPr>
          <w:noProof/>
          <w:sz w:val="20"/>
          <w:szCs w:val="20"/>
        </w:rPr>
        <w:t>, 2019)</w:t>
      </w:r>
      <w:r w:rsidR="00984CEB" w:rsidRPr="00D15D53">
        <w:rPr>
          <w:sz w:val="20"/>
          <w:szCs w:val="20"/>
        </w:rPr>
        <w:fldChar w:fldCharType="end"/>
      </w:r>
      <w:r w:rsidR="00984CEB" w:rsidRPr="00D15D53">
        <w:rPr>
          <w:sz w:val="20"/>
          <w:szCs w:val="20"/>
        </w:rPr>
        <w:t xml:space="preserve">. </w:t>
      </w:r>
    </w:p>
    <w:p w14:paraId="5563326B" w14:textId="502177A8" w:rsidR="00D4247C" w:rsidRPr="00D4247C" w:rsidRDefault="002F1197" w:rsidP="0070080A">
      <w:pPr>
        <w:pStyle w:val="Els-Chapterno"/>
        <w:numPr>
          <w:ilvl w:val="0"/>
          <w:numId w:val="0"/>
        </w:numPr>
        <w:spacing w:before="0" w:line="240" w:lineRule="auto"/>
        <w:jc w:val="both"/>
        <w:rPr>
          <w:sz w:val="20"/>
          <w:szCs w:val="20"/>
        </w:rPr>
      </w:pPr>
      <w:r w:rsidRPr="002F1197">
        <w:rPr>
          <w:sz w:val="20"/>
          <w:szCs w:val="20"/>
          <w:lang w:val="en-GB"/>
        </w:rPr>
        <w:t>Biomass, a low-cost renewable source, plays a key role in a clean energy transition. Incorporating CO</w:t>
      </w:r>
      <w:r w:rsidRPr="001057D9">
        <w:rPr>
          <w:sz w:val="20"/>
          <w:szCs w:val="20"/>
          <w:vertAlign w:val="subscript"/>
          <w:lang w:val="en-GB"/>
        </w:rPr>
        <w:t>2</w:t>
      </w:r>
      <w:r w:rsidRPr="002F1197">
        <w:rPr>
          <w:sz w:val="20"/>
          <w:szCs w:val="20"/>
          <w:lang w:val="en-GB"/>
        </w:rPr>
        <w:t xml:space="preserve"> capture in biomass systems aims for negative CO</w:t>
      </w:r>
      <w:r w:rsidRPr="001057D9">
        <w:rPr>
          <w:sz w:val="20"/>
          <w:szCs w:val="20"/>
          <w:vertAlign w:val="subscript"/>
          <w:lang w:val="en-GB"/>
        </w:rPr>
        <w:t>2</w:t>
      </w:r>
      <w:r w:rsidRPr="002F1197">
        <w:rPr>
          <w:sz w:val="20"/>
          <w:szCs w:val="20"/>
          <w:lang w:val="en-GB"/>
        </w:rPr>
        <w:t xml:space="preserve"> emissions, projected to reach </w:t>
      </w:r>
      <w:r w:rsidR="00885E0A">
        <w:rPr>
          <w:sz w:val="20"/>
          <w:szCs w:val="20"/>
          <w:lang w:val="en-GB"/>
        </w:rPr>
        <w:t>5.5</w:t>
      </w:r>
      <w:r w:rsidRPr="002F1197">
        <w:rPr>
          <w:sz w:val="20"/>
          <w:szCs w:val="20"/>
          <w:lang w:val="en-GB"/>
        </w:rPr>
        <w:t xml:space="preserve"> billion metric tons by 2050</w:t>
      </w:r>
      <w:r w:rsidR="00885E0A">
        <w:rPr>
          <w:sz w:val="20"/>
          <w:szCs w:val="20"/>
          <w:lang w:val="en-GB"/>
        </w:rPr>
        <w:t xml:space="preserve"> globally </w:t>
      </w:r>
      <w:r w:rsidR="00885E0A">
        <w:rPr>
          <w:sz w:val="20"/>
          <w:szCs w:val="20"/>
          <w:lang w:val="en-GB"/>
        </w:rPr>
        <w:fldChar w:fldCharType="begin"/>
      </w:r>
      <w:r w:rsidR="00885E0A">
        <w:rPr>
          <w:sz w:val="20"/>
          <w:szCs w:val="20"/>
          <w:lang w:val="en-GB"/>
        </w:rPr>
        <w:instrText xml:space="preserve"> ADDIN EN.CITE &lt;EndNote&gt;&lt;Cite&gt;&lt;Author&gt;DC&lt;/Author&gt;&lt;Year&gt;2020&lt;/Year&gt;&lt;RecNum&gt;1962&lt;/RecNum&gt;&lt;DisplayText&gt;(DC, 2020)&lt;/DisplayText&gt;&lt;record&gt;&lt;rec-number&gt;1962&lt;/rec-number&gt;&lt;foreign-keys&gt;&lt;key app="EN" db-id="5wxzzztei5drfretswrvswe8sfpvzzptpvvd" timestamp="1701255270"&gt;1962&lt;/key&gt;&lt;/foreign-keys&gt;&lt;ref-type name="Web Page"&gt;12&lt;/ref-type&gt;&lt;contributors&gt;&lt;authors&gt;&lt;author&gt;American University Washington DC&lt;/author&gt;&lt;/authors&gt;&lt;/contributors&gt;&lt;titles&gt;&lt;title&gt;What is BECCS?&lt;/title&gt;&lt;/titles&gt;&lt;number&gt;29 Nov 2023&lt;/number&gt;&lt;dates&gt;&lt;year&gt;2020&lt;/year&gt;&lt;/dates&gt;&lt;publisher&gt;American University Washington DC&lt;/publisher&gt;&lt;urls&gt;&lt;related-urls&gt;&lt;url&gt;https://www.american.edu/sis/centers/carbon-removal/fact-sheet-bioenergy-with-carbon-capture-and-storage-beccs.cfm&lt;/url&gt;&lt;/related-urls&gt;&lt;/urls&gt;&lt;/record&gt;&lt;/Cite&gt;&lt;/EndNote&gt;</w:instrText>
      </w:r>
      <w:r w:rsidR="00885E0A">
        <w:rPr>
          <w:sz w:val="20"/>
          <w:szCs w:val="20"/>
          <w:lang w:val="en-GB"/>
        </w:rPr>
        <w:fldChar w:fldCharType="separate"/>
      </w:r>
      <w:r w:rsidR="00885E0A">
        <w:rPr>
          <w:noProof/>
          <w:sz w:val="20"/>
          <w:szCs w:val="20"/>
          <w:lang w:val="en-GB"/>
        </w:rPr>
        <w:t>(DC, 2020)</w:t>
      </w:r>
      <w:r w:rsidR="00885E0A">
        <w:rPr>
          <w:sz w:val="20"/>
          <w:szCs w:val="20"/>
          <w:lang w:val="en-GB"/>
        </w:rPr>
        <w:fldChar w:fldCharType="end"/>
      </w:r>
      <w:r w:rsidR="00984CEB" w:rsidRPr="00D15D53">
        <w:rPr>
          <w:sz w:val="20"/>
          <w:szCs w:val="20"/>
        </w:rPr>
        <w:t>. </w:t>
      </w:r>
      <w:r w:rsidR="001057D9" w:rsidRPr="001057D9">
        <w:rPr>
          <w:sz w:val="20"/>
          <w:szCs w:val="20"/>
          <w:lang w:val="en-GB"/>
        </w:rPr>
        <w:t>Biomass is poised to replace part of fossil fuel energy, producing liquid fuels, power, and heat. This study focuses on thermochemical conversion techniques to transform biomass into synthetic liquid fuels (SLFs), contributing to the evolution of a sustainable energy landscape.</w:t>
      </w:r>
      <w:r w:rsidR="001057D9" w:rsidRPr="00D4247C">
        <w:rPr>
          <w:sz w:val="20"/>
          <w:szCs w:val="20"/>
        </w:rPr>
        <w:t xml:space="preserve"> These</w:t>
      </w:r>
      <w:r w:rsidR="00D4247C" w:rsidRPr="00D4247C">
        <w:rPr>
          <w:sz w:val="20"/>
          <w:szCs w:val="20"/>
        </w:rPr>
        <w:t xml:space="preserve"> SLFs, also known as second-generation fuels, currently face challenges in terms of profitability compared to fossil-based first-generation fuels. However, an integrated approach that combines the co-production of e-fuels with value-added products has the potential to lower production costs and increase the market competitiveness of fuel prices </w:t>
      </w:r>
      <w:r w:rsidR="00D4247C" w:rsidRPr="00D4247C">
        <w:rPr>
          <w:sz w:val="20"/>
          <w:szCs w:val="20"/>
        </w:rPr>
        <w:fldChar w:fldCharType="begin"/>
      </w:r>
      <w:r w:rsidR="00D94439">
        <w:rPr>
          <w:sz w:val="20"/>
          <w:szCs w:val="20"/>
        </w:rPr>
        <w:instrText xml:space="preserve"> ADDIN EN.CITE &lt;EndNote&gt;&lt;Cite&gt;&lt;Author&gt;Stichnothe&lt;/Author&gt;&lt;Year&gt;2020&lt;/Year&gt;&lt;RecNum&gt;1933&lt;/RecNum&gt;&lt;DisplayText&gt;(Stichnothe et al., 2020)&lt;/DisplayText&gt;&lt;record&gt;&lt;rec-number&gt;1933&lt;/rec-number&gt;&lt;foreign-keys&gt;&lt;key app="EN" db-id="5wxzzztei5drfretswrvswe8sfpvzzptpvvd" timestamp="1687709784"&gt;1933&lt;/key&gt;&lt;/foreign-keys&gt;&lt;ref-type name="Book"&gt;6&lt;/ref-type&gt;&lt;contributors&gt;&lt;authors&gt;&lt;author&gt;Stichnothe, Heinz&lt;/author&gt;&lt;author&gt;Bell, Geoff&lt;/author&gt;&lt;author&gt;Jørgensen, Henning&lt;/author&gt;&lt;author&gt;De Bari, I.&lt;/author&gt;&lt;author&gt;Haveren, Jacco&lt;/author&gt;&lt;author&gt;Lindorfer, Johannes&lt;/author&gt;&lt;author&gt;Kepler, Johannes&lt;/author&gt;&lt;author&gt;de Jong, Ed&lt;/author&gt;&lt;/authors&gt;&lt;/contributors&gt;&lt;titles&gt;&lt;title&gt;Bio-Based Chemicals A 2020 Update Bio-Based Chemicals A 2020 Update With input from: (pdf version) Published by IEA Bioenergy&lt;/title&gt;&lt;/titles&gt;&lt;dates&gt;&lt;year&gt;2020&lt;/year&gt;&lt;/dates&gt;&lt;urls&gt;&lt;/urls&gt;&lt;/record&gt;&lt;/Cite&gt;&lt;/EndNote&gt;</w:instrText>
      </w:r>
      <w:r w:rsidR="00D4247C" w:rsidRPr="00D4247C">
        <w:rPr>
          <w:sz w:val="20"/>
          <w:szCs w:val="20"/>
        </w:rPr>
        <w:fldChar w:fldCharType="separate"/>
      </w:r>
      <w:r w:rsidR="00D94439">
        <w:rPr>
          <w:noProof/>
          <w:sz w:val="20"/>
          <w:szCs w:val="20"/>
        </w:rPr>
        <w:t>(Stichnothe et al., 2020)</w:t>
      </w:r>
      <w:r w:rsidR="00D4247C" w:rsidRPr="00D4247C">
        <w:rPr>
          <w:sz w:val="20"/>
          <w:szCs w:val="20"/>
        </w:rPr>
        <w:fldChar w:fldCharType="end"/>
      </w:r>
      <w:r w:rsidR="00D4247C" w:rsidRPr="00D4247C">
        <w:rPr>
          <w:sz w:val="20"/>
          <w:szCs w:val="20"/>
        </w:rPr>
        <w:t xml:space="preserve">. The production of SLFs in this study encompasses various thermochemical pathways, including diesel production from fast pyrolysis, aviation fuel production from Fischer-Tropsch (FT) synthesis, and gasoline production from methanol and dimethyl ether. Li et al. (2019) reported the minimum selling price of jet fuel </w:t>
      </w:r>
      <w:r w:rsidR="00D4247C" w:rsidRPr="00D4247C">
        <w:rPr>
          <w:sz w:val="20"/>
          <w:szCs w:val="20"/>
        </w:rPr>
        <w:lastRenderedPageBreak/>
        <w:t xml:space="preserve">produced from FT synthesis through biomass gasification, which was approximately </w:t>
      </w:r>
      <w:r w:rsidR="00076D0E">
        <w:rPr>
          <w:sz w:val="20"/>
          <w:szCs w:val="20"/>
        </w:rPr>
        <w:t>0.</w:t>
      </w:r>
      <w:r w:rsidR="00D4247C" w:rsidRPr="00D4247C">
        <w:rPr>
          <w:sz w:val="20"/>
          <w:szCs w:val="20"/>
        </w:rPr>
        <w:t>699</w:t>
      </w:r>
      <w:r w:rsidR="00B10B28">
        <w:rPr>
          <w:sz w:val="20"/>
          <w:szCs w:val="20"/>
        </w:rPr>
        <w:t xml:space="preserve"> </w:t>
      </w:r>
      <w:r w:rsidR="00B60A9F" w:rsidRPr="00D4247C">
        <w:rPr>
          <w:sz w:val="20"/>
          <w:szCs w:val="20"/>
        </w:rPr>
        <w:t>$</w:t>
      </w:r>
      <w:r w:rsidR="00B60A9F">
        <w:rPr>
          <w:sz w:val="20"/>
          <w:szCs w:val="20"/>
        </w:rPr>
        <w:t>/</w:t>
      </w:r>
      <w:r w:rsidR="00076D0E">
        <w:rPr>
          <w:sz w:val="20"/>
          <w:szCs w:val="20"/>
        </w:rPr>
        <w:t>kg</w:t>
      </w:r>
      <w:r w:rsidR="00D4247C" w:rsidRPr="00D4247C">
        <w:rPr>
          <w:sz w:val="20"/>
          <w:szCs w:val="20"/>
        </w:rPr>
        <w:t xml:space="preserve">, approximately 22% higher than that of traditional fossil-based fuel </w:t>
      </w:r>
      <w:r w:rsidR="00D4247C" w:rsidRPr="00D4247C">
        <w:rPr>
          <w:sz w:val="20"/>
          <w:szCs w:val="20"/>
        </w:rPr>
        <w:fldChar w:fldCharType="begin"/>
      </w:r>
      <w:r w:rsidR="00D94439">
        <w:rPr>
          <w:sz w:val="20"/>
          <w:szCs w:val="20"/>
        </w:rPr>
        <w:instrText xml:space="preserve"> ADDIN EN.CITE &lt;EndNote&gt;&lt;Cite&gt;&lt;Author&gt;Li&lt;/Author&gt;&lt;Year&gt;2019&lt;/Year&gt;&lt;RecNum&gt;1937&lt;/RecNum&gt;&lt;DisplayText&gt;(M. Li et al., 2019)&lt;/DisplayText&gt;&lt;record&gt;&lt;rec-number&gt;1937&lt;/rec-number&gt;&lt;foreign-keys&gt;&lt;key app="EN" db-id="5wxzzztei5drfretswrvswe8sfpvzzptpvvd" timestamp="1687725856"&gt;1937&lt;/key&gt;&lt;/foreign-keys&gt;&lt;ref-type name="Journal Article"&gt;17&lt;/ref-type&gt;&lt;contributors&gt;&lt;authors&gt;&lt;author&gt;Li, Menglin&lt;/author&gt;&lt;author&gt;Zhao, Wanyin&lt;/author&gt;&lt;author&gt;Xu, Yue&lt;/author&gt;&lt;author&gt;Zhao, Yongxiang&lt;/author&gt;&lt;author&gt;Yang, Kai&lt;/author&gt;&lt;author&gt;Tao, Wei&lt;/author&gt;&lt;author&gt;Xiao, Jun&lt;/author&gt;&lt;/authors&gt;&lt;/contributors&gt;&lt;titles&gt;&lt;title&gt;Comprehensive Life Cycle Evaluation of Jet Fuel from Biomass Gasification and Fischer–Tropsch Synthesis Based on Environmental and Economic Performances&lt;/title&gt;&lt;secondary-title&gt;Industrial &amp;amp; Engineering Chemistry Research&lt;/secondary-title&gt;&lt;/titles&gt;&lt;periodical&gt;&lt;full-title&gt;Industrial &amp;amp; Engineering Chemistry Research&lt;/full-title&gt;&lt;/periodical&gt;&lt;pages&gt;19179-19188&lt;/pages&gt;&lt;volume&gt;58&lt;/volume&gt;&lt;number&gt;41&lt;/number&gt;&lt;dates&gt;&lt;year&gt;2019&lt;/year&gt;&lt;pub-dates&gt;&lt;date&gt;2019/10/16&lt;/date&gt;&lt;/pub-dates&gt;&lt;/dates&gt;&lt;publisher&gt;American Chemical Society&lt;/publisher&gt;&lt;isbn&gt;0888-5885&lt;/isbn&gt;&lt;urls&gt;&lt;related-urls&gt;&lt;url&gt;https://doi.org/10.1021/acs.iecr.9b03468&lt;/url&gt;&lt;/related-urls&gt;&lt;/urls&gt;&lt;electronic-resource-num&gt;10.1021/acs.iecr.9b03468&lt;/electronic-resource-num&gt;&lt;/record&gt;&lt;/Cite&gt;&lt;/EndNote&gt;</w:instrText>
      </w:r>
      <w:r w:rsidR="00D4247C" w:rsidRPr="00D4247C">
        <w:rPr>
          <w:sz w:val="20"/>
          <w:szCs w:val="20"/>
        </w:rPr>
        <w:fldChar w:fldCharType="separate"/>
      </w:r>
      <w:r w:rsidR="00D94439">
        <w:rPr>
          <w:noProof/>
          <w:sz w:val="20"/>
          <w:szCs w:val="20"/>
        </w:rPr>
        <w:t>(M. Li et al., 2019)</w:t>
      </w:r>
      <w:r w:rsidR="00D4247C" w:rsidRPr="00D4247C">
        <w:rPr>
          <w:sz w:val="20"/>
          <w:szCs w:val="20"/>
        </w:rPr>
        <w:fldChar w:fldCharType="end"/>
      </w:r>
      <w:r w:rsidR="00D4247C" w:rsidRPr="00D4247C">
        <w:rPr>
          <w:sz w:val="20"/>
          <w:szCs w:val="20"/>
        </w:rPr>
        <w:t>. Another study by Wang et al. (2022) compared the prices of jet fuel produced from FT synthesis and pyrolysis, reporting prices of 2.2</w:t>
      </w:r>
      <w:r w:rsidR="00221D19">
        <w:rPr>
          <w:sz w:val="20"/>
          <w:szCs w:val="20"/>
        </w:rPr>
        <w:t xml:space="preserve"> </w:t>
      </w:r>
      <w:r w:rsidR="00076D0E" w:rsidRPr="00D4247C">
        <w:rPr>
          <w:sz w:val="20"/>
          <w:szCs w:val="20"/>
        </w:rPr>
        <w:t>$</w:t>
      </w:r>
      <w:r w:rsidR="00D4247C" w:rsidRPr="00D4247C">
        <w:rPr>
          <w:sz w:val="20"/>
          <w:szCs w:val="20"/>
        </w:rPr>
        <w:t>/liter and 3.2</w:t>
      </w:r>
      <w:r w:rsidR="00221D19">
        <w:rPr>
          <w:sz w:val="20"/>
          <w:szCs w:val="20"/>
        </w:rPr>
        <w:t xml:space="preserve"> </w:t>
      </w:r>
      <w:r w:rsidR="00076D0E" w:rsidRPr="00D4247C">
        <w:rPr>
          <w:sz w:val="20"/>
          <w:szCs w:val="20"/>
        </w:rPr>
        <w:t>$</w:t>
      </w:r>
      <w:r w:rsidR="00D4247C" w:rsidRPr="00D4247C">
        <w:rPr>
          <w:sz w:val="20"/>
          <w:szCs w:val="20"/>
        </w:rPr>
        <w:t xml:space="preserve">/liter, respectively </w:t>
      </w:r>
      <w:r w:rsidR="00D4247C" w:rsidRPr="00D4247C">
        <w:rPr>
          <w:sz w:val="20"/>
          <w:szCs w:val="20"/>
        </w:rPr>
        <w:fldChar w:fldCharType="begin"/>
      </w:r>
      <w:r w:rsidR="00D94439">
        <w:rPr>
          <w:sz w:val="20"/>
          <w:szCs w:val="20"/>
        </w:rPr>
        <w:instrText xml:space="preserve"> ADDIN EN.CITE &lt;EndNote&gt;&lt;Cite&gt;&lt;Author&gt;Wang&lt;/Author&gt;&lt;Year&gt;2022&lt;/Year&gt;&lt;RecNum&gt;1938&lt;/RecNum&gt;&lt;DisplayText&gt;(Wang et al., 2022)&lt;/DisplayText&gt;&lt;record&gt;&lt;rec-number&gt;1938&lt;/rec-number&gt;&lt;foreign-keys&gt;&lt;key app="EN" db-id="5wxzzztei5drfretswrvswe8sfpvzzptpvvd" timestamp="1687726184"&gt;1938&lt;/key&gt;&lt;/foreign-keys&gt;&lt;ref-type name="Journal Article"&gt;17&lt;/ref-type&gt;&lt;contributors&gt;&lt;authors&gt;&lt;author&gt;Wang, Wei-Cheng&lt;/author&gt;&lt;author&gt;Liu, Yu-Cheng&lt;/author&gt;&lt;author&gt;Nugroho, Rusdan Aditya Aji&lt;/author&gt;&lt;/authors&gt;&lt;/contributors&gt;&lt;titles&gt;&lt;title&gt;Techno-economic analysis of renewable jet fuel production: The comparison between Fischer-Tropsch synthesis and pyrolysis&lt;/title&gt;&lt;secondary-title&gt;Energy&lt;/secondary-title&gt;&lt;/titles&gt;&lt;periodical&gt;&lt;full-title&gt;Energy&lt;/full-title&gt;&lt;/periodical&gt;&lt;pages&gt;121970&lt;/pages&gt;&lt;volume&gt;239&lt;/volume&gt;&lt;keywords&gt;&lt;keyword&gt;Renewable jet fuel&lt;/keyword&gt;&lt;keyword&gt;Process simulation&lt;/keyword&gt;&lt;keyword&gt;Techno-economic analysis&lt;/keyword&gt;&lt;keyword&gt;Pyrolysis&lt;/keyword&gt;&lt;keyword&gt;Fischer-tropsch&lt;/keyword&gt;&lt;keyword&gt;Hydro-cracking/isomerization&lt;/keyword&gt;&lt;/keywords&gt;&lt;dates&gt;&lt;year&gt;2022&lt;/year&gt;&lt;pub-dates&gt;&lt;date&gt;2022/01/15/&lt;/date&gt;&lt;/pub-dates&gt;&lt;/dates&gt;&lt;isbn&gt;0360-5442&lt;/isbn&gt;&lt;urls&gt;&lt;related-urls&gt;&lt;url&gt;https://www.sciencedirect.com/science/article/pii/S0360544221022180&lt;/url&gt;&lt;/related-urls&gt;&lt;/urls&gt;&lt;electronic-resource-num&gt;https://doi.org/10.1016/j.energy.2021.121970&lt;/electronic-resource-num&gt;&lt;/record&gt;&lt;/Cite&gt;&lt;/EndNote&gt;</w:instrText>
      </w:r>
      <w:r w:rsidR="00D4247C" w:rsidRPr="00D4247C">
        <w:rPr>
          <w:sz w:val="20"/>
          <w:szCs w:val="20"/>
        </w:rPr>
        <w:fldChar w:fldCharType="separate"/>
      </w:r>
      <w:r w:rsidR="00D94439">
        <w:rPr>
          <w:noProof/>
          <w:sz w:val="20"/>
          <w:szCs w:val="20"/>
        </w:rPr>
        <w:t>(Wang et al., 2022)</w:t>
      </w:r>
      <w:r w:rsidR="00D4247C" w:rsidRPr="00D4247C">
        <w:rPr>
          <w:sz w:val="20"/>
          <w:szCs w:val="20"/>
        </w:rPr>
        <w:fldChar w:fldCharType="end"/>
      </w:r>
      <w:r w:rsidR="00D4247C" w:rsidRPr="00D4247C">
        <w:rPr>
          <w:sz w:val="20"/>
          <w:szCs w:val="20"/>
        </w:rPr>
        <w:t xml:space="preserve">. </w:t>
      </w:r>
    </w:p>
    <w:p w14:paraId="7AA79497" w14:textId="08879135" w:rsidR="00D15D53" w:rsidRDefault="00D4247C" w:rsidP="00D94439">
      <w:pPr>
        <w:pStyle w:val="Els-Chapterno"/>
        <w:numPr>
          <w:ilvl w:val="0"/>
          <w:numId w:val="0"/>
        </w:numPr>
        <w:spacing w:before="0" w:line="240" w:lineRule="auto"/>
        <w:jc w:val="both"/>
        <w:rPr>
          <w:sz w:val="20"/>
          <w:szCs w:val="20"/>
          <w:lang w:val="en-GB"/>
        </w:rPr>
      </w:pPr>
      <w:r w:rsidRPr="00D4247C">
        <w:rPr>
          <w:sz w:val="20"/>
          <w:szCs w:val="20"/>
        </w:rPr>
        <w:t xml:space="preserve">Fast pyrolysis is another viable thermochemical route that involves controlled thermal decomposition of biomass at moderate temperatures in the absence of oxygen, resulting in the production of pyrolysis oil and gas </w:t>
      </w:r>
      <w:r w:rsidRPr="00D4247C">
        <w:rPr>
          <w:sz w:val="20"/>
          <w:szCs w:val="20"/>
        </w:rPr>
        <w:fldChar w:fldCharType="begin"/>
      </w:r>
      <w:r w:rsidR="00D94439">
        <w:rPr>
          <w:sz w:val="20"/>
          <w:szCs w:val="20"/>
        </w:rPr>
        <w:instrText xml:space="preserve"> ADDIN EN.CITE &lt;EndNote&gt;&lt;Cite&gt;&lt;Author&gt;Basu&lt;/Author&gt;&lt;Year&gt;2018&lt;/Year&gt;&lt;RecNum&gt;1939&lt;/RecNum&gt;&lt;DisplayText&gt;(Basu, 2018)&lt;/DisplayText&gt;&lt;record&gt;&lt;rec-number&gt;1939&lt;/rec-number&gt;&lt;foreign-keys&gt;&lt;key app="EN" db-id="5wxzzztei5drfretswrvswe8sfpvzzptpvvd" timestamp="1687727418"&gt;1939&lt;/key&gt;&lt;/foreign-keys&gt;&lt;ref-type name="Book"&gt;6&lt;/ref-type&gt;&lt;contributors&gt;&lt;authors&gt;&lt;author&gt;Basu, Prabir&lt;/author&gt;&lt;/authors&gt;&lt;/contributors&gt;&lt;titles&gt;&lt;title&gt;Biomass gasification, pyrolysis and torrefaction: practical design and theory&lt;/title&gt;&lt;/titles&gt;&lt;dates&gt;&lt;year&gt;2018&lt;/year&gt;&lt;/dates&gt;&lt;publisher&gt;Academic press&lt;/publisher&gt;&lt;isbn&gt;0128130407&lt;/isbn&gt;&lt;urls&gt;&lt;/urls&gt;&lt;/record&gt;&lt;/Cite&gt;&lt;/EndNote&gt;</w:instrText>
      </w:r>
      <w:r w:rsidRPr="00D4247C">
        <w:rPr>
          <w:sz w:val="20"/>
          <w:szCs w:val="20"/>
        </w:rPr>
        <w:fldChar w:fldCharType="separate"/>
      </w:r>
      <w:r w:rsidR="00D94439">
        <w:rPr>
          <w:noProof/>
          <w:sz w:val="20"/>
          <w:szCs w:val="20"/>
        </w:rPr>
        <w:t>(Basu, 2018)</w:t>
      </w:r>
      <w:r w:rsidRPr="00D4247C">
        <w:rPr>
          <w:sz w:val="20"/>
          <w:szCs w:val="20"/>
        </w:rPr>
        <w:fldChar w:fldCharType="end"/>
      </w:r>
      <w:r w:rsidRPr="00D4247C">
        <w:rPr>
          <w:sz w:val="20"/>
          <w:szCs w:val="20"/>
        </w:rPr>
        <w:t xml:space="preserve">. </w:t>
      </w:r>
      <w:proofErr w:type="spellStart"/>
      <w:r w:rsidRPr="00D4247C">
        <w:rPr>
          <w:sz w:val="20"/>
          <w:szCs w:val="20"/>
        </w:rPr>
        <w:t>Sorunmu</w:t>
      </w:r>
      <w:proofErr w:type="spellEnd"/>
      <w:r w:rsidRPr="00D4247C">
        <w:rPr>
          <w:sz w:val="20"/>
          <w:szCs w:val="20"/>
        </w:rPr>
        <w:t xml:space="preserve"> et al. (2019) estimated a wide range of minimum selling prices for gasoline derived from pyrolysis, ranging from 2.5 to 4.5</w:t>
      </w:r>
      <w:r w:rsidR="00221D19">
        <w:rPr>
          <w:sz w:val="20"/>
          <w:szCs w:val="20"/>
        </w:rPr>
        <w:t xml:space="preserve"> </w:t>
      </w:r>
      <w:r w:rsidR="006B6A5C" w:rsidRPr="00D4247C">
        <w:rPr>
          <w:sz w:val="20"/>
          <w:szCs w:val="20"/>
        </w:rPr>
        <w:t>$</w:t>
      </w:r>
      <w:r w:rsidR="006B6A5C">
        <w:rPr>
          <w:sz w:val="20"/>
          <w:szCs w:val="20"/>
        </w:rPr>
        <w:t>/</w:t>
      </w:r>
      <w:r w:rsidRPr="00D4247C">
        <w:rPr>
          <w:sz w:val="20"/>
          <w:szCs w:val="20"/>
        </w:rPr>
        <w:t xml:space="preserve">gal </w:t>
      </w:r>
      <w:r w:rsidRPr="00D4247C">
        <w:rPr>
          <w:sz w:val="20"/>
          <w:szCs w:val="20"/>
        </w:rPr>
        <w:fldChar w:fldCharType="begin"/>
      </w:r>
      <w:r w:rsidR="00D94439">
        <w:rPr>
          <w:sz w:val="20"/>
          <w:szCs w:val="20"/>
        </w:rPr>
        <w:instrText xml:space="preserve"> ADDIN EN.CITE &lt;EndNote&gt;&lt;Cite&gt;&lt;Author&gt;Sorunmu&lt;/Author&gt;&lt;Year&gt;2020&lt;/Year&gt;&lt;RecNum&gt;1940&lt;/RecNum&gt;&lt;DisplayText&gt;(Sorunmu et al., 2020)&lt;/DisplayText&gt;&lt;record&gt;&lt;rec-number&gt;1940&lt;/rec-number&gt;&lt;foreign-keys&gt;&lt;key app="EN" db-id="5wxzzztei5drfretswrvswe8sfpvzzptpvvd" timestamp="1687728155"&gt;1940&lt;/key&gt;&lt;/foreign-keys&gt;&lt;ref-type name="Journal Article"&gt;17&lt;/ref-type&gt;&lt;contributors&gt;&lt;authors&gt;&lt;author&gt;Sorunmu, Yetunde&lt;/author&gt;&lt;author&gt;Billen, Pieter&lt;/author&gt;&lt;author&gt;Spatari, Sabrina&lt;/author&gt;&lt;/authors&gt;&lt;/contributors&gt;&lt;titles&gt;&lt;title&gt;A review of thermochemical upgrading of pyrolysis bio-oil: Techno-economic analysis, life cycle assessment, and technology readiness&lt;/title&gt;&lt;secondary-title&gt;GCB Bioenergy&lt;/secondary-title&gt;&lt;/titles&gt;&lt;periodical&gt;&lt;full-title&gt;GCB Bioenergy&lt;/full-title&gt;&lt;/periodical&gt;&lt;pages&gt;4-18&lt;/pages&gt;&lt;volume&gt;12&lt;/volume&gt;&lt;number&gt;1&lt;/number&gt;&lt;dates&gt;&lt;year&gt;2020&lt;/year&gt;&lt;/dates&gt;&lt;isbn&gt;1757-1693&lt;/isbn&gt;&lt;urls&gt;&lt;related-urls&gt;&lt;url&gt;https://onlinelibrary.wiley.com/doi/abs/10.1111/gcbb.12658&lt;/url&gt;&lt;/related-urls&gt;&lt;/urls&gt;&lt;electronic-resource-num&gt;https://doi.org/10.1111/gcbb.12658&lt;/electronic-resource-num&gt;&lt;/record&gt;&lt;/Cite&gt;&lt;/EndNote&gt;</w:instrText>
      </w:r>
      <w:r w:rsidRPr="00D4247C">
        <w:rPr>
          <w:sz w:val="20"/>
          <w:szCs w:val="20"/>
        </w:rPr>
        <w:fldChar w:fldCharType="separate"/>
      </w:r>
      <w:r w:rsidR="00D94439">
        <w:rPr>
          <w:noProof/>
          <w:sz w:val="20"/>
          <w:szCs w:val="20"/>
        </w:rPr>
        <w:t>(Sorunmu et al., 2020)</w:t>
      </w:r>
      <w:r w:rsidRPr="00D4247C">
        <w:rPr>
          <w:sz w:val="20"/>
          <w:szCs w:val="20"/>
        </w:rPr>
        <w:fldChar w:fldCharType="end"/>
      </w:r>
      <w:r w:rsidRPr="00D4247C">
        <w:rPr>
          <w:sz w:val="20"/>
          <w:szCs w:val="20"/>
        </w:rPr>
        <w:t>. Another study by Li et al. (2019) examined the relationship between greenhouse gas emissions and the minimum fuel selling price in a pyrolysis-bioenergy-biochar platform, revealing a range of minimum fuel selling prices from 2.2 to 3.5</w:t>
      </w:r>
      <w:r w:rsidR="00221D19">
        <w:rPr>
          <w:sz w:val="20"/>
          <w:szCs w:val="20"/>
        </w:rPr>
        <w:t xml:space="preserve"> </w:t>
      </w:r>
      <w:r w:rsidR="006B6A5C" w:rsidRPr="00D4247C">
        <w:rPr>
          <w:sz w:val="20"/>
          <w:szCs w:val="20"/>
        </w:rPr>
        <w:t>$</w:t>
      </w:r>
      <w:r w:rsidR="006B6A5C">
        <w:rPr>
          <w:sz w:val="20"/>
          <w:szCs w:val="20"/>
        </w:rPr>
        <w:t>/</w:t>
      </w:r>
      <w:r w:rsidR="006B6A5C" w:rsidRPr="00D4247C">
        <w:rPr>
          <w:sz w:val="20"/>
          <w:szCs w:val="20"/>
        </w:rPr>
        <w:t>gal</w:t>
      </w:r>
      <w:r w:rsidRPr="00D4247C">
        <w:rPr>
          <w:sz w:val="20"/>
          <w:szCs w:val="20"/>
        </w:rPr>
        <w:t xml:space="preserve"> </w:t>
      </w:r>
      <w:r w:rsidRPr="00D4247C">
        <w:rPr>
          <w:sz w:val="20"/>
          <w:szCs w:val="20"/>
        </w:rPr>
        <w:fldChar w:fldCharType="begin"/>
      </w:r>
      <w:r w:rsidR="00D94439">
        <w:rPr>
          <w:sz w:val="20"/>
          <w:szCs w:val="20"/>
        </w:rPr>
        <w:instrText xml:space="preserve"> ADDIN EN.CITE &lt;EndNote&gt;&lt;Cite&gt;&lt;Author&gt;Li&lt;/Author&gt;&lt;Year&gt;2019&lt;/Year&gt;&lt;RecNum&gt;1941&lt;/RecNum&gt;&lt;DisplayText&gt;(W. Li et al., 2019)&lt;/DisplayText&gt;&lt;record&gt;&lt;rec-number&gt;1941&lt;/rec-number&gt;&lt;foreign-keys&gt;&lt;key app="EN" db-id="5wxzzztei5drfretswrvswe8sfpvzzptpvvd" timestamp="1687728399"&gt;1941&lt;/key&gt;&lt;/foreign-keys&gt;&lt;ref-type name="Journal Article"&gt;17&lt;/ref-type&gt;&lt;contributors&gt;&lt;authors&gt;&lt;author&gt;Li, Wenqin&lt;/author&gt;&lt;author&gt;Dumortier, Jerome&lt;/author&gt;&lt;author&gt;Dokoohaki, Hamze&lt;/author&gt;&lt;author&gt;Miguez, Fernando E.&lt;/author&gt;&lt;author&gt;Brown, Robert C.&lt;/author&gt;&lt;author&gt;Laird, David&lt;/author&gt;&lt;author&gt;Wright, Mark M.&lt;/author&gt;&lt;/authors&gt;&lt;/contributors&gt;&lt;titles&gt;&lt;title&gt;Regional techno-economic and life-cycle analysis of the pyrolysis-bioenergy-biochar platform for carbon-negative energy&lt;/title&gt;&lt;secondary-title&gt;Biofuels, Bioproducts and Biorefining&lt;/secondary-title&gt;&lt;/titles&gt;&lt;periodical&gt;&lt;full-title&gt;Biofuels, Bioproducts and Biorefining&lt;/full-title&gt;&lt;/periodical&gt;&lt;pages&gt;1428-1438&lt;/pages&gt;&lt;volume&gt;13&lt;/volume&gt;&lt;number&gt;6&lt;/number&gt;&lt;dates&gt;&lt;year&gt;2019&lt;/year&gt;&lt;/dates&gt;&lt;isbn&gt;1932-104X&lt;/isbn&gt;&lt;urls&gt;&lt;related-urls&gt;&lt;url&gt;https://onlinelibrary.wiley.com/doi/abs/10.1002/bbb.2043&lt;/url&gt;&lt;/related-urls&gt;&lt;/urls&gt;&lt;electronic-resource-num&gt;https://doi.org/10.1002/bbb.2043&lt;/electronic-resource-num&gt;&lt;/record&gt;&lt;/Cite&gt;&lt;/EndNote&gt;</w:instrText>
      </w:r>
      <w:r w:rsidRPr="00D4247C">
        <w:rPr>
          <w:sz w:val="20"/>
          <w:szCs w:val="20"/>
        </w:rPr>
        <w:fldChar w:fldCharType="separate"/>
      </w:r>
      <w:r w:rsidR="00D94439">
        <w:rPr>
          <w:noProof/>
          <w:sz w:val="20"/>
          <w:szCs w:val="20"/>
        </w:rPr>
        <w:t>(W. Li et al., 2019)</w:t>
      </w:r>
      <w:r w:rsidRPr="00D4247C">
        <w:rPr>
          <w:sz w:val="20"/>
          <w:szCs w:val="20"/>
        </w:rPr>
        <w:fldChar w:fldCharType="end"/>
      </w:r>
      <w:r w:rsidRPr="00D4247C">
        <w:rPr>
          <w:sz w:val="20"/>
          <w:szCs w:val="20"/>
        </w:rPr>
        <w:t xml:space="preserve">. </w:t>
      </w:r>
      <w:r w:rsidR="009079EB" w:rsidRPr="009079EB">
        <w:rPr>
          <w:sz w:val="20"/>
          <w:szCs w:val="20"/>
          <w:lang w:val="en-GB"/>
        </w:rPr>
        <w:t>This study employs a robust mixed-integer linear optimization framework developed in Python using the Pyomo library to assess the feasibility of renewable liquid fuel production in Spain through various thermochemical pathways.</w:t>
      </w:r>
      <w:r w:rsidRPr="00D4247C">
        <w:rPr>
          <w:sz w:val="20"/>
          <w:szCs w:val="20"/>
        </w:rPr>
        <w:t xml:space="preserve"> </w:t>
      </w:r>
      <w:r w:rsidR="009079EB" w:rsidRPr="009079EB">
        <w:rPr>
          <w:sz w:val="20"/>
          <w:szCs w:val="20"/>
          <w:lang w:val="en-GB"/>
        </w:rPr>
        <w:t xml:space="preserve">Notably, our work features a Python-based 2-D </w:t>
      </w:r>
      <w:r w:rsidR="00BC1E40">
        <w:rPr>
          <w:sz w:val="20"/>
          <w:szCs w:val="20"/>
          <w:lang w:val="en-GB"/>
        </w:rPr>
        <w:t>network</w:t>
      </w:r>
      <w:r w:rsidR="009079EB" w:rsidRPr="009079EB">
        <w:rPr>
          <w:sz w:val="20"/>
          <w:szCs w:val="20"/>
          <w:lang w:val="en-GB"/>
        </w:rPr>
        <w:t xml:space="preserve"> optimization framework, considering factors like capital, operating costs, biomass availability, and specific fuel demand in the dynamic Spanish market. Additionally, our optimization model determines the Minimum Selling Price (MSP) of renewable liquid fuels, contributing to economic viability analysis.</w:t>
      </w:r>
    </w:p>
    <w:p w14:paraId="3F7B56DA" w14:textId="77777777" w:rsidR="00BC1E40" w:rsidRPr="006B653C" w:rsidRDefault="00BC1E40" w:rsidP="00D94439">
      <w:pPr>
        <w:pStyle w:val="Els-Chapterno"/>
        <w:numPr>
          <w:ilvl w:val="0"/>
          <w:numId w:val="0"/>
        </w:numPr>
        <w:spacing w:before="0" w:line="240" w:lineRule="auto"/>
        <w:jc w:val="both"/>
        <w:rPr>
          <w:sz w:val="20"/>
          <w:szCs w:val="20"/>
        </w:rPr>
      </w:pPr>
    </w:p>
    <w:p w14:paraId="144DE699" w14:textId="0103E1CE" w:rsidR="008D2649" w:rsidRDefault="006E62DA" w:rsidP="00670DA1">
      <w:pPr>
        <w:pStyle w:val="Els-1storder-head"/>
        <w:spacing w:before="0"/>
      </w:pPr>
      <w:r>
        <w:t>Methodology</w:t>
      </w:r>
    </w:p>
    <w:p w14:paraId="368B129D" w14:textId="7897D91E" w:rsidR="006B653C" w:rsidRDefault="00ED2CB7" w:rsidP="0070080A">
      <w:pPr>
        <w:pStyle w:val="Els-body-text"/>
        <w:rPr>
          <w:lang w:val="en-GB"/>
        </w:rPr>
      </w:pPr>
      <w:r w:rsidRPr="00ED2CB7">
        <w:t>Our study employs a</w:t>
      </w:r>
      <w:r w:rsidR="009C5C5F">
        <w:t>n optimization</w:t>
      </w:r>
      <w:r w:rsidRPr="00ED2CB7">
        <w:t xml:space="preserve"> framework to guide researchers in optimal processing paths, considering sustainability, resource availability, and economics. Technologies vary in advantages, limitations, and feedstock compatibility, with superstructure optimization serving as a key decision-making tool, addressing conversion efficiency, environmental impact, and cost-effectiveness. Drawing upon network optimization models proposed by Kim et al. (2013)</w:t>
      </w:r>
      <w:r w:rsidR="00E53048">
        <w:t xml:space="preserve"> </w:t>
      </w:r>
      <w:r w:rsidR="00E53048" w:rsidRPr="00ED2CB7">
        <w:rPr>
          <w:lang w:val="en-GB"/>
        </w:rPr>
        <w:t>our analysis focuses on the Spanish market prices for feedstock and products, as depicted in Figure 1</w:t>
      </w:r>
      <w:r w:rsidR="001A7AE2">
        <w:t xml:space="preserve"> </w:t>
      </w:r>
      <w:r w:rsidR="001A7AE2">
        <w:fldChar w:fldCharType="begin"/>
      </w:r>
      <w:r w:rsidR="00D94439">
        <w:instrText xml:space="preserve"> ADDIN EN.CITE &lt;EndNote&gt;&lt;Cite&gt;&lt;Author&gt;Kim&lt;/Author&gt;&lt;Year&gt;2013&lt;/Year&gt;&lt;RecNum&gt;1857&lt;/RecNum&gt;&lt;DisplayText&gt;(Kim et al., 2013)&lt;/DisplayText&gt;&lt;record&gt;&lt;rec-number&gt;1857&lt;/rec-number&gt;&lt;foreign-keys&gt;&lt;key app="EN" db-id="5wxzzztei5drfretswrvswe8sfpvzzptpvvd" timestamp="1682509727"&gt;1857&lt;/key&gt;&lt;/foreign-keys&gt;&lt;ref-type name="Journal Article"&gt;17&lt;/ref-type&gt;&lt;contributors&gt;&lt;authors&gt;&lt;author&gt;Kim, Jiyong&lt;/author&gt;&lt;author&gt;Sen, S. Murat&lt;/author&gt;&lt;author&gt;Maravelias, Christos T.&lt;/author&gt;&lt;/authors&gt;&lt;/contributors&gt;&lt;titles&gt;&lt;title&gt;An optimization-based assessment framework for biomass-to-fuel conversion strategies&lt;/title&gt;&lt;secondary-title&gt;Energy &amp;amp; Environmental Science&lt;/secondary-title&gt;&lt;/titles&gt;&lt;periodical&gt;&lt;full-title&gt;Energy &amp;amp; Environmental Science&lt;/full-title&gt;&lt;/periodical&gt;&lt;pages&gt;1093-1104&lt;/pages&gt;&lt;volume&gt;6&lt;/volume&gt;&lt;number&gt;4&lt;/number&gt;&lt;dates&gt;&lt;year&gt;2013&lt;/year&gt;&lt;/dates&gt;&lt;publisher&gt;The Royal Society of Chemistry&lt;/publisher&gt;&lt;isbn&gt;1754-5692&lt;/isbn&gt;&lt;work-type&gt;10.1039/C3EE24243A&lt;/work-type&gt;&lt;urls&gt;&lt;related-urls&gt;&lt;url&gt;http://dx.doi.org/10.1039/C3EE24243A&lt;/url&gt;&lt;/related-urls&gt;&lt;/urls&gt;&lt;electronic-resource-num&gt;10.1039/C3EE24243A&lt;/electronic-resource-num&gt;&lt;/record&gt;&lt;/Cite&gt;&lt;/EndNote&gt;</w:instrText>
      </w:r>
      <w:r w:rsidR="001A7AE2">
        <w:fldChar w:fldCharType="separate"/>
      </w:r>
      <w:r w:rsidR="00D94439">
        <w:rPr>
          <w:noProof/>
        </w:rPr>
        <w:t>(Kim et al., 2013)</w:t>
      </w:r>
      <w:r w:rsidR="001A7AE2">
        <w:fldChar w:fldCharType="end"/>
      </w:r>
      <w:r w:rsidRPr="00ED2CB7">
        <w:rPr>
          <w:lang w:val="en-GB"/>
        </w:rPr>
        <w:t>.</w:t>
      </w:r>
      <w:r w:rsidR="0031302B">
        <w:rPr>
          <w:lang w:val="en-GB"/>
        </w:rPr>
        <w:t xml:space="preserve"> </w:t>
      </w:r>
      <w:r w:rsidR="0031302B" w:rsidRPr="0031302B">
        <w:rPr>
          <w:lang w:val="en-GB"/>
        </w:rPr>
        <w:t>Utilizing Python's Pyomo library, our superstructure involves woody biomass with 47 technologies, 37 intermediates, feedstock, products, and co-products. The optimization framework defines feedstock availability</w:t>
      </w:r>
      <w:r w:rsidR="0031302B">
        <w:rPr>
          <w:lang w:val="en-GB"/>
        </w:rPr>
        <w:t xml:space="preserve"> </w:t>
      </w:r>
      <w:r w:rsidR="0031302B" w:rsidRPr="00CA535A">
        <w:rPr>
          <w:lang w:val="en-GB"/>
        </w:rPr>
        <w:t>(</w:t>
      </w:r>
      <w:r w:rsidR="0031302B" w:rsidRPr="00C4529E">
        <w:rPr>
          <w:i/>
          <w:iCs/>
          <w:lang w:val="en-GB"/>
        </w:rPr>
        <w:t>β</w:t>
      </w:r>
      <w:proofErr w:type="spellStart"/>
      <w:r w:rsidR="0031302B" w:rsidRPr="00C4529E">
        <w:rPr>
          <w:i/>
          <w:iCs/>
          <w:vertAlign w:val="subscript"/>
          <w:lang w:val="en-GB"/>
        </w:rPr>
        <w:t>i</w:t>
      </w:r>
      <w:proofErr w:type="spellEnd"/>
      <w:r w:rsidR="0031302B" w:rsidRPr="00CA535A">
        <w:rPr>
          <w:lang w:val="en-GB"/>
        </w:rPr>
        <w:t>, kg/year)</w:t>
      </w:r>
      <w:r w:rsidR="0031302B" w:rsidRPr="0031302B">
        <w:rPr>
          <w:lang w:val="en-GB"/>
        </w:rPr>
        <w:t xml:space="preserve"> and costs</w:t>
      </w:r>
      <w:r w:rsidR="0031302B">
        <w:rPr>
          <w:lang w:val="en-GB"/>
        </w:rPr>
        <w:t xml:space="preserve"> </w:t>
      </w:r>
      <w:r w:rsidR="0031302B" w:rsidRPr="00CA535A">
        <w:rPr>
          <w:lang w:val="en-GB"/>
        </w:rPr>
        <w:t>(</w:t>
      </w:r>
      <w:proofErr w:type="spellStart"/>
      <w:r w:rsidR="0031302B" w:rsidRPr="00BB1B25">
        <w:rPr>
          <w:i/>
          <w:iCs/>
          <w:lang w:val="en-GB"/>
        </w:rPr>
        <w:t>PC</w:t>
      </w:r>
      <w:r w:rsidR="0031302B" w:rsidRPr="0078479E">
        <w:rPr>
          <w:i/>
          <w:iCs/>
          <w:vertAlign w:val="subscript"/>
          <w:lang w:val="en-GB"/>
        </w:rPr>
        <w:t>i</w:t>
      </w:r>
      <w:proofErr w:type="spellEnd"/>
      <w:r w:rsidR="0031302B" w:rsidRPr="00CA535A">
        <w:rPr>
          <w:lang w:val="en-GB"/>
        </w:rPr>
        <w:t>, $/kg)</w:t>
      </w:r>
      <w:r w:rsidR="0031302B" w:rsidRPr="0031302B">
        <w:rPr>
          <w:lang w:val="en-GB"/>
        </w:rPr>
        <w:t>,</w:t>
      </w:r>
      <w:r w:rsidR="0031302B">
        <w:rPr>
          <w:lang w:val="en-GB"/>
        </w:rPr>
        <w:t xml:space="preserve"> </w:t>
      </w:r>
      <w:r w:rsidR="0031302B" w:rsidRPr="00CA535A">
        <w:rPr>
          <w:lang w:val="en-GB"/>
        </w:rPr>
        <w:t>which incorporates harvesting, and average 100km distance travelled.</w:t>
      </w:r>
      <w:r w:rsidR="0031302B">
        <w:rPr>
          <w:lang w:val="en-GB"/>
        </w:rPr>
        <w:t xml:space="preserve"> The</w:t>
      </w:r>
      <w:r w:rsidR="0031302B" w:rsidRPr="0031302B">
        <w:rPr>
          <w:lang w:val="en-GB"/>
        </w:rPr>
        <w:t xml:space="preserve"> final product demand</w:t>
      </w:r>
      <w:r w:rsidR="0031302B">
        <w:rPr>
          <w:lang w:val="en-GB"/>
        </w:rPr>
        <w:t xml:space="preserve"> </w:t>
      </w:r>
      <w:r w:rsidR="0031302B" w:rsidRPr="00CA535A">
        <w:rPr>
          <w:lang w:val="en-GB"/>
        </w:rPr>
        <w:t>(</w:t>
      </w:r>
      <w:r w:rsidR="0031302B" w:rsidRPr="00C4529E">
        <w:rPr>
          <w:i/>
          <w:iCs/>
          <w:lang w:val="en-GB"/>
        </w:rPr>
        <w:t>D</w:t>
      </w:r>
      <w:r w:rsidR="0031302B" w:rsidRPr="00C4529E">
        <w:rPr>
          <w:i/>
          <w:iCs/>
          <w:vertAlign w:val="subscript"/>
          <w:lang w:val="en-GB"/>
        </w:rPr>
        <w:t>i</w:t>
      </w:r>
      <w:r w:rsidR="0031302B" w:rsidRPr="00CA535A">
        <w:rPr>
          <w:lang w:val="en-GB"/>
        </w:rPr>
        <w:t>, kg/year)</w:t>
      </w:r>
      <w:r w:rsidR="0031302B" w:rsidRPr="0031302B">
        <w:rPr>
          <w:lang w:val="en-GB"/>
        </w:rPr>
        <w:t>, and corresponding prices</w:t>
      </w:r>
      <w:r w:rsidR="0031302B">
        <w:rPr>
          <w:lang w:val="en-GB"/>
        </w:rPr>
        <w:t xml:space="preserve"> </w:t>
      </w:r>
      <w:r w:rsidR="0031302B" w:rsidRPr="00CA535A">
        <w:rPr>
          <w:lang w:val="en-GB"/>
        </w:rPr>
        <w:t>(</w:t>
      </w:r>
      <w:proofErr w:type="spellStart"/>
      <w:r w:rsidR="0031302B" w:rsidRPr="00CA535A">
        <w:rPr>
          <w:i/>
          <w:iCs/>
          <w:lang w:val="en-GB"/>
        </w:rPr>
        <w:t>PC</w:t>
      </w:r>
      <w:r w:rsidR="0031302B" w:rsidRPr="00CA535A">
        <w:rPr>
          <w:vertAlign w:val="subscript"/>
          <w:lang w:val="en-GB"/>
        </w:rPr>
        <w:t>i</w:t>
      </w:r>
      <w:proofErr w:type="spellEnd"/>
      <w:r w:rsidR="0031302B" w:rsidRPr="00CA535A">
        <w:rPr>
          <w:lang w:val="en-GB"/>
        </w:rPr>
        <w:t>, $/kg)</w:t>
      </w:r>
      <w:r w:rsidR="0031302B" w:rsidRPr="0031302B">
        <w:rPr>
          <w:lang w:val="en-GB"/>
        </w:rPr>
        <w:t xml:space="preserve"> </w:t>
      </w:r>
      <w:r w:rsidR="0031302B">
        <w:rPr>
          <w:lang w:val="en-GB"/>
        </w:rPr>
        <w:fldChar w:fldCharType="begin"/>
      </w:r>
      <w:r w:rsidR="0031302B">
        <w:rPr>
          <w:lang w:val="en-GB"/>
        </w:rPr>
        <w:instrText xml:space="preserve"> REF _Ref139838954 \h </w:instrText>
      </w:r>
      <w:r w:rsidR="0031302B">
        <w:rPr>
          <w:lang w:val="en-GB"/>
        </w:rPr>
      </w:r>
      <w:r w:rsidR="0031302B">
        <w:rPr>
          <w:lang w:val="en-GB"/>
        </w:rPr>
        <w:fldChar w:fldCharType="separate"/>
      </w:r>
      <w:r w:rsidR="009D6D05" w:rsidRPr="00CA535A">
        <w:t xml:space="preserve">Table </w:t>
      </w:r>
      <w:r w:rsidR="009D6D05">
        <w:rPr>
          <w:noProof/>
        </w:rPr>
        <w:t>1</w:t>
      </w:r>
      <w:r w:rsidR="0031302B">
        <w:rPr>
          <w:lang w:val="en-GB"/>
        </w:rPr>
        <w:fldChar w:fldCharType="end"/>
      </w:r>
      <w:r w:rsidR="0031302B" w:rsidRPr="0031302B">
        <w:rPr>
          <w:lang w:val="en-GB"/>
        </w:rPr>
        <w:t>. Within the superstructure, each technology is characterized by the unit technology cost (</w:t>
      </w:r>
      <w:proofErr w:type="spellStart"/>
      <w:r w:rsidR="0031302B" w:rsidRPr="0078479E">
        <w:rPr>
          <w:i/>
          <w:iCs/>
          <w:lang w:val="en-GB"/>
        </w:rPr>
        <w:t>TC</w:t>
      </w:r>
      <w:r w:rsidR="0031302B" w:rsidRPr="0078479E">
        <w:rPr>
          <w:i/>
          <w:iCs/>
          <w:vertAlign w:val="subscript"/>
          <w:lang w:val="en-GB"/>
        </w:rPr>
        <w:t>j</w:t>
      </w:r>
      <w:proofErr w:type="spellEnd"/>
      <w:r w:rsidR="0031302B" w:rsidRPr="0031302B">
        <w:rPr>
          <w:lang w:val="en-GB"/>
        </w:rPr>
        <w:t>, $/kg), unit energy requirement (</w:t>
      </w:r>
      <w:proofErr w:type="spellStart"/>
      <w:r w:rsidR="0031302B" w:rsidRPr="0078479E">
        <w:rPr>
          <w:i/>
          <w:iCs/>
          <w:lang w:val="en-GB"/>
        </w:rPr>
        <w:t>TE</w:t>
      </w:r>
      <w:r w:rsidR="0031302B" w:rsidRPr="00C4529E">
        <w:rPr>
          <w:i/>
          <w:iCs/>
          <w:vertAlign w:val="subscript"/>
          <w:lang w:val="en-GB"/>
        </w:rPr>
        <w:t>j</w:t>
      </w:r>
      <w:proofErr w:type="spellEnd"/>
      <w:r w:rsidR="0031302B" w:rsidRPr="0031302B">
        <w:rPr>
          <w:lang w:val="en-GB"/>
        </w:rPr>
        <w:t>, kWh/kg), energy cost (</w:t>
      </w:r>
      <w:proofErr w:type="spellStart"/>
      <w:r w:rsidR="0031302B" w:rsidRPr="0078479E">
        <w:rPr>
          <w:i/>
          <w:iCs/>
          <w:lang w:val="en-GB"/>
        </w:rPr>
        <w:t>EC</w:t>
      </w:r>
      <w:r w:rsidR="0031302B" w:rsidRPr="00C4529E">
        <w:rPr>
          <w:i/>
          <w:iCs/>
          <w:vertAlign w:val="subscript"/>
          <w:lang w:val="en-GB"/>
        </w:rPr>
        <w:t>j</w:t>
      </w:r>
      <w:proofErr w:type="spellEnd"/>
      <w:r w:rsidR="0031302B" w:rsidRPr="0031302B">
        <w:rPr>
          <w:lang w:val="en-GB"/>
        </w:rPr>
        <w:t>, $/kWh), and mass ratio parameter (</w:t>
      </w:r>
      <w:proofErr w:type="spellStart"/>
      <w:r w:rsidR="0031302B" w:rsidRPr="00C4529E">
        <w:rPr>
          <w:i/>
          <w:iCs/>
          <w:lang w:val="en-GB"/>
        </w:rPr>
        <w:t>mb</w:t>
      </w:r>
      <w:r w:rsidR="0031302B" w:rsidRPr="00C4529E">
        <w:rPr>
          <w:i/>
          <w:iCs/>
          <w:vertAlign w:val="subscript"/>
          <w:lang w:val="en-GB"/>
        </w:rPr>
        <w:t>i</w:t>
      </w:r>
      <w:proofErr w:type="spellEnd"/>
      <w:r w:rsidR="0031302B" w:rsidRPr="0031302B">
        <w:rPr>
          <w:lang w:val="en-GB"/>
        </w:rPr>
        <w:t>, the product-to-input ratio).</w:t>
      </w:r>
    </w:p>
    <w:p w14:paraId="4AF831F8" w14:textId="77777777" w:rsidR="009A680D" w:rsidRDefault="009A680D" w:rsidP="0070080A">
      <w:pPr>
        <w:pStyle w:val="Els-body-text"/>
        <w:rPr>
          <w:lang w:val="en-GB"/>
        </w:rPr>
      </w:pPr>
    </w:p>
    <w:p w14:paraId="06739E28" w14:textId="50F42140" w:rsidR="0031302B" w:rsidRPr="006B653C" w:rsidRDefault="0031302B" w:rsidP="0070080A">
      <w:pPr>
        <w:pStyle w:val="Els-body-text"/>
        <w:rPr>
          <w:lang w:val="en-GB"/>
        </w:rPr>
      </w:pPr>
      <w:r w:rsidRPr="00CA535A">
        <w:t xml:space="preserve">A set of compounds </w:t>
      </w:r>
      <m:oMath>
        <m:r>
          <w:rPr>
            <w:rFonts w:ascii="Cambria Math" w:hAnsi="Cambria Math"/>
          </w:rPr>
          <m:t>i</m:t>
        </m:r>
        <m:r>
          <m:rPr>
            <m:sty m:val="p"/>
          </m:rPr>
          <w:rPr>
            <w:rFonts w:ascii="Cambria Math" w:hAnsi="Cambria Math"/>
          </w:rPr>
          <m:t>∈</m:t>
        </m:r>
        <m:r>
          <w:rPr>
            <w:rFonts w:ascii="Cambria Math" w:hAnsi="Cambria Math"/>
          </w:rPr>
          <m:t>I</m:t>
        </m:r>
      </m:oMath>
      <w:r w:rsidRPr="00CA535A">
        <w:t xml:space="preserve"> : feedstocks </w:t>
      </w:r>
      <m:oMath>
        <m:d>
          <m:dPr>
            <m:ctrlPr>
              <w:rPr>
                <w:rFonts w:ascii="Cambria Math" w:hAnsi="Cambria Math"/>
              </w:rPr>
            </m:ctrlPr>
          </m:dPr>
          <m:e>
            <m:sSup>
              <m:sSupPr>
                <m:ctrlPr>
                  <w:rPr>
                    <w:rFonts w:ascii="Cambria Math" w:hAnsi="Cambria Math"/>
                  </w:rPr>
                </m:ctrlPr>
              </m:sSupPr>
              <m:e>
                <m:r>
                  <w:rPr>
                    <w:rFonts w:ascii="Cambria Math" w:hAnsi="Cambria Math"/>
                  </w:rPr>
                  <m:t>I</m:t>
                </m:r>
              </m:e>
              <m:sup>
                <m:r>
                  <m:rPr>
                    <m:sty m:val="p"/>
                  </m:rPr>
                  <w:rPr>
                    <w:rFonts w:ascii="Cambria Math" w:hAnsi="Cambria Math"/>
                  </w:rPr>
                  <m:t>F</m:t>
                </m:r>
              </m:sup>
            </m:sSup>
          </m:e>
        </m:d>
      </m:oMath>
      <w:r w:rsidRPr="00CA535A">
        <w:t xml:space="preserve">, intermediates </w:t>
      </w:r>
      <m:oMath>
        <m:d>
          <m:dPr>
            <m:ctrlPr>
              <w:rPr>
                <w:rFonts w:ascii="Cambria Math" w:hAnsi="Cambria Math"/>
              </w:rPr>
            </m:ctrlPr>
          </m:dPr>
          <m:e>
            <m:sSup>
              <m:sSupPr>
                <m:ctrlPr>
                  <w:rPr>
                    <w:rFonts w:ascii="Cambria Math" w:hAnsi="Cambria Math"/>
                  </w:rPr>
                </m:ctrlPr>
              </m:sSupPr>
              <m:e>
                <m:r>
                  <w:rPr>
                    <w:rFonts w:ascii="Cambria Math" w:hAnsi="Cambria Math"/>
                  </w:rPr>
                  <m:t>I</m:t>
                </m:r>
              </m:e>
              <m:sup>
                <m:r>
                  <m:rPr>
                    <m:sty m:val="p"/>
                  </m:rPr>
                  <w:rPr>
                    <w:rFonts w:ascii="Cambria Math" w:hAnsi="Cambria Math"/>
                  </w:rPr>
                  <m:t>I</m:t>
                </m:r>
              </m:sup>
            </m:sSup>
          </m:e>
        </m:d>
      </m:oMath>
      <w:r w:rsidRPr="00CA535A">
        <w:t xml:space="preserve">, and final products </w:t>
      </w:r>
      <m:oMath>
        <m:d>
          <m:dPr>
            <m:ctrlPr>
              <w:rPr>
                <w:rFonts w:ascii="Cambria Math" w:hAnsi="Cambria Math"/>
              </w:rPr>
            </m:ctrlPr>
          </m:dPr>
          <m:e>
            <m:sSup>
              <m:sSupPr>
                <m:ctrlPr>
                  <w:rPr>
                    <w:rFonts w:ascii="Cambria Math" w:hAnsi="Cambria Math"/>
                  </w:rPr>
                </m:ctrlPr>
              </m:sSupPr>
              <m:e>
                <m:r>
                  <w:rPr>
                    <w:rFonts w:ascii="Cambria Math" w:hAnsi="Cambria Math"/>
                  </w:rPr>
                  <m:t>I</m:t>
                </m:r>
              </m:e>
              <m:sup>
                <m:r>
                  <m:rPr>
                    <m:sty m:val="p"/>
                  </m:rPr>
                  <w:rPr>
                    <w:rFonts w:ascii="Cambria Math" w:hAnsi="Cambria Math"/>
                  </w:rPr>
                  <m:t>P</m:t>
                </m:r>
              </m:sup>
            </m:sSup>
          </m:e>
        </m:d>
      </m:oMath>
      <w:r w:rsidRPr="00CA535A">
        <w:t>.</w:t>
      </w:r>
      <w:r w:rsidR="0070080A">
        <w:t xml:space="preserve">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648"/>
      </w:tblGrid>
      <w:tr w:rsidR="0031302B" w:rsidRPr="00CA535A" w14:paraId="3287C474" w14:textId="77777777" w:rsidTr="00386EFA">
        <w:tc>
          <w:tcPr>
            <w:tcW w:w="6439" w:type="dxa"/>
          </w:tcPr>
          <w:p w14:paraId="1C872B31" w14:textId="77777777" w:rsidR="0031302B" w:rsidRPr="00BC1B2C" w:rsidRDefault="0031302B" w:rsidP="007C5C2D">
            <w:pPr>
              <w:pStyle w:val="Els-body-text"/>
              <w:jc w:val="center"/>
              <w:rPr>
                <w:rFonts w:ascii="Times New Roman" w:hAnsi="Times New Roman" w:cs="Times New Roman"/>
                <w:sz w:val="20"/>
                <w:szCs w:val="20"/>
              </w:rPr>
            </w:pPr>
            <m:oMath>
              <m:r>
                <w:rPr>
                  <w:rFonts w:ascii="Cambria Math" w:hAnsi="Cambria Math" w:cs="Times New Roman"/>
                  <w:sz w:val="20"/>
                  <w:szCs w:val="20"/>
                </w:rPr>
                <m:t xml:space="preserve">PCi </m:t>
              </m:r>
              <m:r>
                <m:rPr>
                  <m:sty m:val="p"/>
                </m:rPr>
                <w:rPr>
                  <w:rFonts w:ascii="Cambria Math" w:hAnsi="Cambria Math" w:cs="Times New Roman"/>
                  <w:sz w:val="20"/>
                  <w:szCs w:val="20"/>
                </w:rPr>
                <m:t xml:space="preserve">≠0 </m:t>
              </m:r>
            </m:oMath>
            <w:r w:rsidRPr="00BC1B2C">
              <w:rPr>
                <w:rFonts w:ascii="Times New Roman" w:eastAsia="Times New Roman" w:hAnsi="Times New Roman" w:cs="Times New Roman"/>
                <w:sz w:val="20"/>
                <w:szCs w:val="20"/>
              </w:rPr>
              <w:t xml:space="preserve">     </w:t>
            </w:r>
            <m:oMath>
              <m:r>
                <m:rPr>
                  <m:sty m:val="p"/>
                </m:rPr>
                <w:rPr>
                  <w:rFonts w:ascii="Cambria Math" w:hAnsi="Cambria Math" w:cs="Times New Roman"/>
                  <w:sz w:val="20"/>
                  <w:szCs w:val="20"/>
                </w:rPr>
                <m:t>∀i</m:t>
              </m:r>
              <m:sSup>
                <m:sSupPr>
                  <m:ctrlPr>
                    <w:rPr>
                      <w:rFonts w:ascii="Cambria Math" w:hAnsi="Cambria Math" w:cs="Times New Roman"/>
                      <w:sz w:val="20"/>
                      <w:szCs w:val="20"/>
                    </w:rPr>
                  </m:ctrlPr>
                </m:sSupPr>
                <m:e>
                  <m:r>
                    <w:rPr>
                      <w:rFonts w:ascii="Cambria Math" w:hAnsi="Cambria Math" w:cs="Times New Roman"/>
                      <w:sz w:val="20"/>
                      <w:szCs w:val="20"/>
                    </w:rPr>
                    <m:t xml:space="preserve">  I</m:t>
                  </m:r>
                </m:e>
                <m:sup>
                  <m:r>
                    <w:rPr>
                      <w:rFonts w:ascii="Cambria Math" w:hAnsi="Cambria Math" w:cs="Times New Roman"/>
                      <w:sz w:val="20"/>
                      <w:szCs w:val="20"/>
                    </w:rPr>
                    <m:t>F</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P</m:t>
                  </m:r>
                </m:sup>
              </m:sSup>
            </m:oMath>
          </w:p>
        </w:tc>
        <w:tc>
          <w:tcPr>
            <w:tcW w:w="648" w:type="dxa"/>
          </w:tcPr>
          <w:p w14:paraId="0890B54B" w14:textId="77777777" w:rsidR="0031302B" w:rsidRPr="00BC1B2C" w:rsidRDefault="0031302B" w:rsidP="007C5C2D">
            <w:pPr>
              <w:pStyle w:val="Els-body-text"/>
              <w:jc w:val="left"/>
              <w:rPr>
                <w:rFonts w:ascii="Times New Roman" w:hAnsi="Times New Roman" w:cs="Times New Roman"/>
                <w:sz w:val="20"/>
                <w:szCs w:val="20"/>
              </w:rPr>
            </w:pPr>
            <w:r w:rsidRPr="00BC1B2C">
              <w:rPr>
                <w:rFonts w:ascii="Times New Roman" w:hAnsi="Times New Roman" w:cs="Times New Roman"/>
                <w:sz w:val="20"/>
                <w:szCs w:val="20"/>
              </w:rPr>
              <w:t>(1)</w:t>
            </w:r>
          </w:p>
        </w:tc>
      </w:tr>
      <w:tr w:rsidR="0031302B" w:rsidRPr="00CA535A" w14:paraId="35AD8EE8" w14:textId="77777777" w:rsidTr="00386EFA">
        <w:tc>
          <w:tcPr>
            <w:tcW w:w="6439" w:type="dxa"/>
          </w:tcPr>
          <w:p w14:paraId="1D88778D" w14:textId="77777777" w:rsidR="0031302B" w:rsidRPr="007C5C2D" w:rsidRDefault="0031302B" w:rsidP="00386EFA">
            <w:pPr>
              <w:pStyle w:val="Els-body-text"/>
              <w:rPr>
                <w:rFonts w:ascii="Times New Roman" w:hAnsi="Times New Roman" w:cs="Times New Roman"/>
                <w:sz w:val="20"/>
                <w:szCs w:val="20"/>
              </w:rPr>
            </w:pPr>
            <m:oMathPara>
              <m:oMathParaPr>
                <m:jc m:val="center"/>
              </m:oMathParaPr>
              <m:oMath>
                <m:r>
                  <w:rPr>
                    <w:rFonts w:ascii="Cambria Math" w:hAnsi="Cambria Math" w:cs="Times New Roman"/>
                    <w:sz w:val="20"/>
                    <w:szCs w:val="20"/>
                  </w:rPr>
                  <m:t>P</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r>
                  <m:rPr>
                    <m:sty m:val="p"/>
                  </m:rPr>
                  <w:rPr>
                    <w:rFonts w:ascii="Cambria Math" w:hAnsi="Cambria Math" w:cs="Times New Roman"/>
                    <w:sz w:val="20"/>
                    <w:szCs w:val="20"/>
                  </w:rPr>
                  <m:t xml:space="preserve">=0     ∀i  </m:t>
                </m:r>
                <m:sSup>
                  <m:sSupPr>
                    <m:ctrlPr>
                      <w:rPr>
                        <w:rFonts w:ascii="Cambria Math" w:hAnsi="Cambria Math" w:cs="Times New Roman"/>
                        <w:sz w:val="20"/>
                        <w:szCs w:val="20"/>
                      </w:rPr>
                    </m:ctrlPr>
                  </m:sSupPr>
                  <m:e>
                    <m:r>
                      <w:rPr>
                        <w:rFonts w:ascii="Cambria Math" w:hAnsi="Cambria Math" w:cs="Times New Roman"/>
                        <w:sz w:val="20"/>
                        <w:szCs w:val="20"/>
                      </w:rPr>
                      <m:t>I</m:t>
                    </m:r>
                  </m:e>
                  <m:sup>
                    <m:r>
                      <m:rPr>
                        <m:sty m:val="p"/>
                      </m:rPr>
                      <w:rPr>
                        <w:rFonts w:ascii="Cambria Math" w:hAnsi="Cambria Math" w:cs="Times New Roman"/>
                        <w:sz w:val="20"/>
                        <w:szCs w:val="20"/>
                      </w:rPr>
                      <m:t>I</m:t>
                    </m:r>
                  </m:sup>
                </m:sSup>
              </m:oMath>
            </m:oMathPara>
          </w:p>
        </w:tc>
        <w:tc>
          <w:tcPr>
            <w:tcW w:w="648" w:type="dxa"/>
          </w:tcPr>
          <w:p w14:paraId="175F14CC" w14:textId="77777777" w:rsidR="0031302B" w:rsidRPr="00BC1B2C" w:rsidRDefault="0031302B" w:rsidP="007C5C2D">
            <w:pPr>
              <w:pStyle w:val="Els-body-text"/>
              <w:jc w:val="left"/>
              <w:rPr>
                <w:rFonts w:ascii="Times New Roman" w:hAnsi="Times New Roman" w:cs="Times New Roman"/>
                <w:sz w:val="20"/>
                <w:szCs w:val="20"/>
              </w:rPr>
            </w:pPr>
            <w:r w:rsidRPr="00BC1B2C">
              <w:rPr>
                <w:rFonts w:ascii="Times New Roman" w:hAnsi="Times New Roman" w:cs="Times New Roman"/>
                <w:sz w:val="20"/>
                <w:szCs w:val="20"/>
              </w:rPr>
              <w:t>(2)</w:t>
            </w:r>
          </w:p>
        </w:tc>
      </w:tr>
      <w:tr w:rsidR="0031302B" w:rsidRPr="00CA535A" w14:paraId="4EDA59ED" w14:textId="77777777" w:rsidTr="00386EFA">
        <w:tc>
          <w:tcPr>
            <w:tcW w:w="6439" w:type="dxa"/>
          </w:tcPr>
          <w:p w14:paraId="5E5027FB" w14:textId="77777777" w:rsidR="0031302B" w:rsidRPr="007C5C2D" w:rsidRDefault="00000000" w:rsidP="00386EFA">
            <w:pPr>
              <w:pStyle w:val="Els-body-text"/>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r>
                  <m:rPr>
                    <m:sty m:val="p"/>
                  </m:rPr>
                  <w:rPr>
                    <w:rFonts w:ascii="Cambria Math" w:hAnsi="Cambria Math" w:cs="Times New Roman"/>
                    <w:sz w:val="20"/>
                    <w:szCs w:val="20"/>
                  </w:rPr>
                  <m:t>=0∀</m:t>
                </m:r>
                <m:r>
                  <w:rPr>
                    <w:rFonts w:ascii="Cambria Math" w:hAnsi="Cambria Math" w:cs="Times New Roman"/>
                    <w:sz w:val="20"/>
                    <w:szCs w:val="20"/>
                  </w:rPr>
                  <m:t>i</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m:rPr>
                        <m:sty m:val="p"/>
                      </m:rPr>
                      <w:rPr>
                        <w:rFonts w:ascii="Cambria Math" w:hAnsi="Cambria Math" w:cs="Times New Roman"/>
                        <w:sz w:val="20"/>
                        <w:szCs w:val="20"/>
                      </w:rPr>
                      <m:t>F</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m:rPr>
                        <m:sty m:val="p"/>
                      </m:rPr>
                      <w:rPr>
                        <w:rFonts w:ascii="Cambria Math" w:hAnsi="Cambria Math" w:cs="Times New Roman"/>
                        <w:sz w:val="20"/>
                        <w:szCs w:val="20"/>
                      </w:rPr>
                      <m:t>I</m:t>
                    </m:r>
                  </m:sup>
                </m:sSup>
              </m:oMath>
            </m:oMathPara>
          </w:p>
        </w:tc>
        <w:tc>
          <w:tcPr>
            <w:tcW w:w="648" w:type="dxa"/>
          </w:tcPr>
          <w:p w14:paraId="441AAFE2" w14:textId="77777777" w:rsidR="0031302B" w:rsidRPr="00BC1B2C" w:rsidRDefault="0031302B" w:rsidP="007C5C2D">
            <w:pPr>
              <w:pStyle w:val="Els-body-text"/>
              <w:jc w:val="left"/>
              <w:rPr>
                <w:rFonts w:ascii="Times New Roman" w:hAnsi="Times New Roman" w:cs="Times New Roman"/>
                <w:sz w:val="20"/>
                <w:szCs w:val="20"/>
              </w:rPr>
            </w:pPr>
            <w:r w:rsidRPr="00BC1B2C">
              <w:rPr>
                <w:rFonts w:ascii="Times New Roman" w:hAnsi="Times New Roman" w:cs="Times New Roman"/>
                <w:sz w:val="20"/>
                <w:szCs w:val="20"/>
              </w:rPr>
              <w:t>(3)</w:t>
            </w:r>
          </w:p>
        </w:tc>
      </w:tr>
      <w:tr w:rsidR="009A680D" w:rsidRPr="00CA535A" w14:paraId="1B4BBA0E" w14:textId="77777777" w:rsidTr="00386EFA">
        <w:tc>
          <w:tcPr>
            <w:tcW w:w="6439" w:type="dxa"/>
          </w:tcPr>
          <w:p w14:paraId="1AA7FD89" w14:textId="77777777" w:rsidR="009A680D" w:rsidRDefault="009A680D" w:rsidP="00386EFA">
            <w:pPr>
              <w:pStyle w:val="Els-body-text"/>
            </w:pPr>
          </w:p>
        </w:tc>
        <w:tc>
          <w:tcPr>
            <w:tcW w:w="648" w:type="dxa"/>
          </w:tcPr>
          <w:p w14:paraId="39B62239" w14:textId="77777777" w:rsidR="009A680D" w:rsidRPr="00BC1B2C" w:rsidRDefault="009A680D" w:rsidP="00386EFA">
            <w:pPr>
              <w:pStyle w:val="Els-body-text"/>
            </w:pPr>
          </w:p>
        </w:tc>
      </w:tr>
    </w:tbl>
    <w:p w14:paraId="47B9A8FF" w14:textId="6D2DCBA6" w:rsidR="001A7AE2" w:rsidRPr="001A7AE2" w:rsidRDefault="009A680D" w:rsidP="0031302B">
      <w:pPr>
        <w:pStyle w:val="Els-body-text"/>
        <w:spacing w:after="240"/>
        <w:rPr>
          <w:lang w:val="en-GB"/>
        </w:rPr>
      </w:pPr>
      <w:r>
        <w:t>U</w:t>
      </w:r>
      <w:r w:rsidR="0031302B" w:rsidRPr="00CA535A">
        <w:t xml:space="preserve">nit technology cost </w:t>
      </w:r>
      <m:oMath>
        <m:d>
          <m:dPr>
            <m:endChr m:val=""/>
            <m:ctrlPr>
              <w:rPr>
                <w:rFonts w:ascii="Cambria Math" w:hAnsi="Cambria Math"/>
              </w:rPr>
            </m:ctrlPr>
          </m:dPr>
          <m:e>
            <m:r>
              <w:rPr>
                <w:rFonts w:ascii="Cambria Math" w:hAnsi="Cambria Math"/>
              </w:rPr>
              <m:t>T</m:t>
            </m:r>
            <m:sSub>
              <m:sSubPr>
                <m:ctrlPr>
                  <w:rPr>
                    <w:rFonts w:ascii="Cambria Math" w:hAnsi="Cambria Math"/>
                    <w:i/>
                  </w:rPr>
                </m:ctrlPr>
              </m:sSubPr>
              <m:e>
                <m:r>
                  <w:rPr>
                    <w:rFonts w:ascii="Cambria Math" w:hAnsi="Cambria Math"/>
                  </w:rPr>
                  <m:t>C</m:t>
                </m:r>
              </m:e>
              <m:sub>
                <m:r>
                  <w:rPr>
                    <w:rFonts w:ascii="Cambria Math" w:hAnsi="Cambria Math"/>
                  </w:rPr>
                  <m:t>j</m:t>
                </m:r>
              </m:sub>
            </m:sSub>
            <m:r>
              <m:rPr>
                <m:sty m:val="p"/>
              </m:rPr>
              <w:rPr>
                <w:rFonts w:ascii="Cambria Math" w:hAnsi="Cambria Math"/>
              </w:rPr>
              <m:t>,$/kg</m:t>
            </m:r>
          </m:e>
        </m:d>
        <m:r>
          <w:rPr>
            <w:rFonts w:ascii="Cambria Math" w:hAnsi="Cambria Math"/>
          </w:rPr>
          <m:t>)</m:t>
        </m:r>
      </m:oMath>
      <w:r>
        <w:t xml:space="preserve"> has</w:t>
      </w:r>
      <w:r w:rsidR="0031302B" w:rsidRPr="00CA535A">
        <w:t xml:space="preserve"> been disintegrated into three costs</w:t>
      </w:r>
      <w:r>
        <w:t>,</w:t>
      </w:r>
      <w:r w:rsidR="0031302B" w:rsidRPr="00CA535A">
        <w:t xml:space="preserve"> unit product capital cost (</w:t>
      </w:r>
      <w:r w:rsidR="0031302B" w:rsidRPr="00221D19">
        <w:rPr>
          <w:i/>
          <w:iCs/>
        </w:rPr>
        <w:t>UPCC</w:t>
      </w:r>
      <w:r w:rsidR="0031302B" w:rsidRPr="00CA535A">
        <w:t>), unit product raw material cost (</w:t>
      </w:r>
      <w:r w:rsidR="0031302B" w:rsidRPr="00221D19">
        <w:rPr>
          <w:i/>
          <w:iCs/>
        </w:rPr>
        <w:t>UPRMC</w:t>
      </w:r>
      <w:r w:rsidR="0031302B" w:rsidRPr="00CA535A">
        <w:t>), and unit product operating cost (</w:t>
      </w:r>
      <w:r w:rsidR="0031302B" w:rsidRPr="00221D19">
        <w:rPr>
          <w:i/>
          <w:iCs/>
        </w:rPr>
        <w:t>UPOC</w:t>
      </w:r>
      <w:r>
        <w:t>)</w:t>
      </w:r>
      <w:r w:rsidR="0031302B" w:rsidRPr="00CA535A">
        <w:t xml:space="preserve">. The variables in the set </w:t>
      </w:r>
      <w:r w:rsidR="0031302B" w:rsidRPr="00CA535A">
        <w:rPr>
          <w:i/>
          <w:iCs/>
        </w:rPr>
        <w:t>P</w:t>
      </w:r>
      <w:r w:rsidR="0031302B" w:rsidRPr="00C4529E">
        <w:rPr>
          <w:i/>
          <w:iCs/>
          <w:vertAlign w:val="subscript"/>
        </w:rPr>
        <w:t>i</w:t>
      </w:r>
      <w:r w:rsidR="0031302B" w:rsidRPr="00CA535A">
        <w:rPr>
          <w:i/>
          <w:iCs/>
        </w:rPr>
        <w:t xml:space="preserve">, </w:t>
      </w:r>
      <w:r w:rsidR="0031302B" w:rsidRPr="00CA535A">
        <w:t>and</w:t>
      </w:r>
      <w:r w:rsidR="0031302B" w:rsidRPr="00CA535A">
        <w:rPr>
          <w:i/>
          <w:iCs/>
        </w:rPr>
        <w:t xml:space="preserve"> S</w:t>
      </w:r>
      <w:r w:rsidR="0031302B" w:rsidRPr="00C4529E">
        <w:rPr>
          <w:i/>
          <w:iCs/>
          <w:vertAlign w:val="subscript"/>
        </w:rPr>
        <w:t>i</w:t>
      </w:r>
      <w:r w:rsidR="0031302B" w:rsidRPr="00CA535A">
        <w:rPr>
          <w:i/>
          <w:iCs/>
        </w:rPr>
        <w:t xml:space="preserve"> </w:t>
      </w:r>
      <w:r w:rsidR="0031302B" w:rsidRPr="00CA535A">
        <w:t>are the feedstock purchased and amount of product sold, respectively.</w:t>
      </w:r>
    </w:p>
    <w:p w14:paraId="028C87C7" w14:textId="01C9AF4D" w:rsidR="001057D9" w:rsidRDefault="00E85102" w:rsidP="001057D9">
      <w:pPr>
        <w:keepNext/>
        <w:jc w:val="both"/>
      </w:pPr>
      <w:r w:rsidRPr="00E85102">
        <w:rPr>
          <w:noProof/>
        </w:rPr>
        <w:lastRenderedPageBreak/>
        <w:drawing>
          <wp:inline distT="0" distB="0" distL="0" distR="0" wp14:anchorId="4F8187B5" wp14:editId="7D1F8EB8">
            <wp:extent cx="4499610" cy="2289175"/>
            <wp:effectExtent l="0" t="0" r="0" b="0"/>
            <wp:docPr id="680504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9610" cy="2289175"/>
                    </a:xfrm>
                    <a:prstGeom prst="rect">
                      <a:avLst/>
                    </a:prstGeom>
                    <a:noFill/>
                    <a:ln>
                      <a:noFill/>
                    </a:ln>
                  </pic:spPr>
                </pic:pic>
              </a:graphicData>
            </a:graphic>
          </wp:inline>
        </w:drawing>
      </w:r>
    </w:p>
    <w:p w14:paraId="19AA946D" w14:textId="20AB358D" w:rsidR="006E62DA" w:rsidRDefault="001057D9" w:rsidP="001057D9">
      <w:pPr>
        <w:pStyle w:val="Caption"/>
        <w:jc w:val="both"/>
      </w:pPr>
      <w:bookmarkStart w:id="0" w:name="_Ref151555684"/>
      <w:r>
        <w:t xml:space="preserve">Figure </w:t>
      </w:r>
      <w:r>
        <w:fldChar w:fldCharType="begin"/>
      </w:r>
      <w:r>
        <w:instrText xml:space="preserve"> SEQ Figure \* ARABIC </w:instrText>
      </w:r>
      <w:r>
        <w:fldChar w:fldCharType="separate"/>
      </w:r>
      <w:r w:rsidR="009D6D05">
        <w:rPr>
          <w:noProof/>
        </w:rPr>
        <w:t>1</w:t>
      </w:r>
      <w:r>
        <w:fldChar w:fldCharType="end"/>
      </w:r>
      <w:bookmarkEnd w:id="0"/>
      <w:r>
        <w:t xml:space="preserve">: </w:t>
      </w:r>
      <w:r w:rsidRPr="00B606E1">
        <w:t>Superstructure depicting feedstock (</w:t>
      </w:r>
      <w:r w:rsidR="00E85102">
        <w:t>black</w:t>
      </w:r>
      <w:r w:rsidRPr="00B606E1">
        <w:t xml:space="preserve"> node), different processes, and products (</w:t>
      </w:r>
      <w:r w:rsidR="00E85102">
        <w:t>grey</w:t>
      </w:r>
      <w:r w:rsidRPr="00B606E1">
        <w:t xml:space="preserve"> nodes </w:t>
      </w:r>
      <w:r w:rsidR="00960530" w:rsidRPr="00B606E1">
        <w:t>are</w:t>
      </w:r>
      <w:r w:rsidRPr="00B606E1">
        <w:t xml:space="preserve"> main products and </w:t>
      </w:r>
      <w:r w:rsidR="00E85102">
        <w:t>white</w:t>
      </w:r>
      <w:r w:rsidRPr="00B606E1">
        <w:t xml:space="preserve"> nodes represent by-products).</w:t>
      </w:r>
    </w:p>
    <w:p w14:paraId="365A8A09" w14:textId="6BD53883" w:rsidR="00CA535A" w:rsidRPr="00CA535A" w:rsidRDefault="00CA535A" w:rsidP="00CA535A">
      <w:pPr>
        <w:pStyle w:val="Caption"/>
        <w:keepNext/>
        <w:jc w:val="center"/>
        <w:rPr>
          <w:sz w:val="20"/>
        </w:rPr>
      </w:pPr>
      <w:bookmarkStart w:id="1" w:name="_Ref139838954"/>
      <w:r w:rsidRPr="00CA535A">
        <w:rPr>
          <w:sz w:val="20"/>
        </w:rPr>
        <w:t xml:space="preserve">Table </w:t>
      </w:r>
      <w:r w:rsidRPr="00CA535A">
        <w:rPr>
          <w:sz w:val="20"/>
        </w:rPr>
        <w:fldChar w:fldCharType="begin"/>
      </w:r>
      <w:r w:rsidRPr="00CA535A">
        <w:rPr>
          <w:sz w:val="20"/>
        </w:rPr>
        <w:instrText xml:space="preserve"> SEQ Table \* ARABIC </w:instrText>
      </w:r>
      <w:r w:rsidRPr="00CA535A">
        <w:rPr>
          <w:sz w:val="20"/>
        </w:rPr>
        <w:fldChar w:fldCharType="separate"/>
      </w:r>
      <w:r w:rsidR="009D6D05">
        <w:rPr>
          <w:noProof/>
          <w:sz w:val="20"/>
        </w:rPr>
        <w:t>1</w:t>
      </w:r>
      <w:r w:rsidRPr="00CA535A">
        <w:rPr>
          <w:sz w:val="20"/>
        </w:rPr>
        <w:fldChar w:fldCharType="end"/>
      </w:r>
      <w:bookmarkEnd w:id="1"/>
      <w:r w:rsidRPr="00CA535A">
        <w:rPr>
          <w:sz w:val="20"/>
        </w:rPr>
        <w:t>: Feedstock availability and product demand with their associated prices</w:t>
      </w:r>
      <w:r w:rsidR="003B4FFF">
        <w:rPr>
          <w:sz w:val="20"/>
        </w:rPr>
        <w:t>*</w:t>
      </w:r>
    </w:p>
    <w:tbl>
      <w:tblPr>
        <w:tblStyle w:val="TableGrid"/>
        <w:tblW w:w="707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1005"/>
        <w:gridCol w:w="1495"/>
        <w:gridCol w:w="1417"/>
        <w:gridCol w:w="1412"/>
      </w:tblGrid>
      <w:tr w:rsidR="003B4FFF" w:rsidRPr="00CA535A" w14:paraId="7F76BDAD" w14:textId="77777777" w:rsidTr="007C5C2D">
        <w:trPr>
          <w:jc w:val="center"/>
        </w:trPr>
        <w:tc>
          <w:tcPr>
            <w:tcW w:w="1748" w:type="dxa"/>
            <w:tcBorders>
              <w:top w:val="single" w:sz="4" w:space="0" w:color="auto"/>
              <w:bottom w:val="single" w:sz="4" w:space="0" w:color="auto"/>
            </w:tcBorders>
          </w:tcPr>
          <w:p w14:paraId="4A6E3D48" w14:textId="77777777" w:rsidR="003B4FFF" w:rsidRPr="00B10B28" w:rsidRDefault="003B4FFF" w:rsidP="009C5C5F">
            <w:pPr>
              <w:jc w:val="center"/>
              <w:rPr>
                <w:rFonts w:ascii="Times New Roman" w:hAnsi="Times New Roman" w:cs="Times New Roman"/>
                <w:sz w:val="20"/>
                <w:szCs w:val="20"/>
              </w:rPr>
            </w:pPr>
            <w:r w:rsidRPr="00B10B28">
              <w:rPr>
                <w:rFonts w:ascii="Times New Roman" w:hAnsi="Times New Roman" w:cs="Times New Roman"/>
                <w:sz w:val="20"/>
                <w:szCs w:val="20"/>
              </w:rPr>
              <w:t>ID</w:t>
            </w:r>
          </w:p>
        </w:tc>
        <w:tc>
          <w:tcPr>
            <w:tcW w:w="1005" w:type="dxa"/>
            <w:tcBorders>
              <w:top w:val="single" w:sz="4" w:space="0" w:color="auto"/>
              <w:bottom w:val="single" w:sz="4" w:space="0" w:color="auto"/>
            </w:tcBorders>
          </w:tcPr>
          <w:p w14:paraId="0231CDF9" w14:textId="77777777" w:rsidR="003B4FFF" w:rsidRPr="00B10B28" w:rsidRDefault="003B4FFF" w:rsidP="00BB1B25">
            <w:pPr>
              <w:jc w:val="center"/>
              <w:rPr>
                <w:rFonts w:ascii="Times New Roman" w:hAnsi="Times New Roman" w:cs="Times New Roman"/>
                <w:sz w:val="20"/>
                <w:szCs w:val="20"/>
              </w:rPr>
            </w:pPr>
            <w:r w:rsidRPr="00B10B28">
              <w:rPr>
                <w:rFonts w:ascii="Times New Roman" w:hAnsi="Times New Roman" w:cs="Times New Roman"/>
                <w:sz w:val="20"/>
                <w:szCs w:val="20"/>
              </w:rPr>
              <w:t>Name</w:t>
            </w:r>
          </w:p>
        </w:tc>
        <w:tc>
          <w:tcPr>
            <w:tcW w:w="1495" w:type="dxa"/>
            <w:tcBorders>
              <w:top w:val="single" w:sz="4" w:space="0" w:color="auto"/>
              <w:bottom w:val="single" w:sz="4" w:space="0" w:color="auto"/>
            </w:tcBorders>
          </w:tcPr>
          <w:p w14:paraId="1EF71E7D" w14:textId="77777777" w:rsidR="003B4FFF" w:rsidRPr="00B10B28" w:rsidRDefault="003B4FFF" w:rsidP="00BB1B25">
            <w:pPr>
              <w:jc w:val="center"/>
              <w:rPr>
                <w:rFonts w:ascii="Times New Roman" w:hAnsi="Times New Roman" w:cs="Times New Roman"/>
                <w:sz w:val="20"/>
                <w:szCs w:val="20"/>
              </w:rPr>
            </w:pPr>
            <w:r w:rsidRPr="00B10B28">
              <w:rPr>
                <w:rFonts w:ascii="Times New Roman" w:hAnsi="Times New Roman" w:cs="Times New Roman"/>
                <w:sz w:val="20"/>
                <w:szCs w:val="20"/>
              </w:rPr>
              <w:t>Availability</w:t>
            </w:r>
          </w:p>
          <w:p w14:paraId="5A1B24AB" w14:textId="095956D6" w:rsidR="003B4FFF" w:rsidRPr="00B10B28" w:rsidRDefault="003B4FFF" w:rsidP="00BB1B25">
            <w:pPr>
              <w:jc w:val="center"/>
              <w:rPr>
                <w:rFonts w:ascii="Times New Roman" w:hAnsi="Times New Roman" w:cs="Times New Roman"/>
                <w:sz w:val="20"/>
                <w:szCs w:val="20"/>
              </w:rPr>
            </w:pPr>
            <w:r w:rsidRPr="00B10B28">
              <w:rPr>
                <w:rFonts w:ascii="Times New Roman" w:eastAsia="Times New Roman" w:hAnsi="Times New Roman" w:cs="Times New Roman"/>
                <w:i/>
                <w:iCs/>
                <w:color w:val="000000"/>
                <w:sz w:val="20"/>
                <w:szCs w:val="20"/>
                <w:lang w:eastAsia="en-GB"/>
              </w:rPr>
              <w:t>β</w:t>
            </w:r>
            <w:proofErr w:type="spellStart"/>
            <w:r w:rsidRPr="00B10B28">
              <w:rPr>
                <w:rFonts w:ascii="Times New Roman" w:eastAsia="Times New Roman" w:hAnsi="Times New Roman" w:cs="Times New Roman"/>
                <w:i/>
                <w:iCs/>
                <w:color w:val="000000"/>
                <w:sz w:val="20"/>
                <w:szCs w:val="20"/>
                <w:vertAlign w:val="subscript"/>
                <w:lang w:eastAsia="en-GB"/>
              </w:rPr>
              <w:t>i</w:t>
            </w:r>
            <w:proofErr w:type="spellEnd"/>
            <w:r w:rsidRPr="00B10B28">
              <w:rPr>
                <w:rFonts w:ascii="Times New Roman" w:eastAsia="Times New Roman" w:hAnsi="Times New Roman" w:cs="Times New Roman"/>
                <w:color w:val="000000"/>
                <w:sz w:val="20"/>
                <w:szCs w:val="20"/>
                <w:vertAlign w:val="subscript"/>
                <w:lang w:eastAsia="en-GB"/>
              </w:rPr>
              <w:t xml:space="preserve"> </w:t>
            </w:r>
            <w:r w:rsidRPr="00B10B28">
              <w:rPr>
                <w:rFonts w:ascii="Times New Roman" w:eastAsia="Times New Roman" w:hAnsi="Times New Roman" w:cs="Times New Roman"/>
                <w:color w:val="000000"/>
                <w:sz w:val="20"/>
                <w:szCs w:val="20"/>
                <w:lang w:eastAsia="en-GB"/>
              </w:rPr>
              <w:t>(Mt/y)</w:t>
            </w:r>
          </w:p>
        </w:tc>
        <w:tc>
          <w:tcPr>
            <w:tcW w:w="1417" w:type="dxa"/>
            <w:tcBorders>
              <w:top w:val="single" w:sz="4" w:space="0" w:color="auto"/>
              <w:bottom w:val="single" w:sz="4" w:space="0" w:color="auto"/>
            </w:tcBorders>
          </w:tcPr>
          <w:p w14:paraId="18278B44" w14:textId="77777777" w:rsidR="003B4FFF" w:rsidRPr="00B10B28" w:rsidRDefault="003B4FFF" w:rsidP="00BB1B25">
            <w:pPr>
              <w:jc w:val="center"/>
              <w:rPr>
                <w:rFonts w:ascii="Times New Roman" w:hAnsi="Times New Roman" w:cs="Times New Roman"/>
                <w:sz w:val="20"/>
                <w:szCs w:val="20"/>
                <w:lang w:val="es-ES"/>
              </w:rPr>
            </w:pPr>
            <w:proofErr w:type="spellStart"/>
            <w:r w:rsidRPr="00B10B28">
              <w:rPr>
                <w:rFonts w:ascii="Times New Roman" w:hAnsi="Times New Roman" w:cs="Times New Roman"/>
                <w:sz w:val="20"/>
                <w:szCs w:val="20"/>
                <w:lang w:val="es-ES"/>
              </w:rPr>
              <w:t>Demand</w:t>
            </w:r>
            <w:proofErr w:type="spellEnd"/>
          </w:p>
          <w:p w14:paraId="5574ABF9" w14:textId="574D61EF" w:rsidR="003B4FFF" w:rsidRPr="00B10B28" w:rsidRDefault="003B4FFF" w:rsidP="00BB1B25">
            <w:pPr>
              <w:jc w:val="center"/>
              <w:rPr>
                <w:rFonts w:ascii="Times New Roman" w:hAnsi="Times New Roman" w:cs="Times New Roman"/>
                <w:sz w:val="20"/>
                <w:szCs w:val="20"/>
                <w:lang w:val="es-ES"/>
              </w:rPr>
            </w:pPr>
            <w:r w:rsidRPr="00B10B28">
              <w:rPr>
                <w:rFonts w:ascii="Times New Roman" w:hAnsi="Times New Roman" w:cs="Times New Roman"/>
                <w:i/>
                <w:iCs/>
                <w:color w:val="000000"/>
                <w:sz w:val="20"/>
                <w:szCs w:val="20"/>
                <w:lang w:val="es-ES" w:eastAsia="en-GB"/>
              </w:rPr>
              <w:t>D</w:t>
            </w:r>
            <w:r w:rsidRPr="00B10B28">
              <w:rPr>
                <w:rFonts w:ascii="Times New Roman" w:hAnsi="Times New Roman" w:cs="Times New Roman"/>
                <w:i/>
                <w:iCs/>
                <w:color w:val="000000"/>
                <w:sz w:val="20"/>
                <w:szCs w:val="20"/>
                <w:vertAlign w:val="subscript"/>
                <w:lang w:val="es-ES" w:eastAsia="en-GB"/>
              </w:rPr>
              <w:t>i</w:t>
            </w:r>
            <w:r w:rsidRPr="00B10B28">
              <w:rPr>
                <w:rFonts w:ascii="Times New Roman" w:hAnsi="Times New Roman" w:cs="Times New Roman"/>
                <w:color w:val="000000"/>
                <w:sz w:val="20"/>
                <w:szCs w:val="20"/>
                <w:vertAlign w:val="subscript"/>
                <w:lang w:val="es-ES" w:eastAsia="en-GB"/>
              </w:rPr>
              <w:t xml:space="preserve"> </w:t>
            </w:r>
            <w:r w:rsidRPr="00B10B28">
              <w:rPr>
                <w:rFonts w:ascii="Times New Roman" w:hAnsi="Times New Roman" w:cs="Times New Roman"/>
                <w:color w:val="000000"/>
                <w:sz w:val="20"/>
                <w:szCs w:val="20"/>
                <w:lang w:val="es-ES" w:eastAsia="en-GB"/>
              </w:rPr>
              <w:t>(</w:t>
            </w:r>
            <w:proofErr w:type="spellStart"/>
            <w:r w:rsidRPr="00B10B28">
              <w:rPr>
                <w:rFonts w:ascii="Times New Roman" w:hAnsi="Times New Roman" w:cs="Times New Roman"/>
                <w:color w:val="000000"/>
                <w:sz w:val="20"/>
                <w:szCs w:val="20"/>
                <w:lang w:val="es-ES" w:eastAsia="en-GB"/>
              </w:rPr>
              <w:t>kt</w:t>
            </w:r>
            <w:proofErr w:type="spellEnd"/>
            <w:r w:rsidRPr="00B10B28">
              <w:rPr>
                <w:rFonts w:ascii="Times New Roman" w:hAnsi="Times New Roman" w:cs="Times New Roman"/>
                <w:color w:val="000000"/>
                <w:sz w:val="20"/>
                <w:szCs w:val="20"/>
                <w:lang w:val="es-ES" w:eastAsia="en-GB"/>
              </w:rPr>
              <w:t>/y)</w:t>
            </w:r>
          </w:p>
        </w:tc>
        <w:tc>
          <w:tcPr>
            <w:tcW w:w="1412" w:type="dxa"/>
            <w:tcBorders>
              <w:top w:val="single" w:sz="4" w:space="0" w:color="auto"/>
              <w:bottom w:val="single" w:sz="4" w:space="0" w:color="auto"/>
            </w:tcBorders>
          </w:tcPr>
          <w:p w14:paraId="4F130AB9" w14:textId="77777777" w:rsidR="003B4FFF" w:rsidRPr="00B10B28" w:rsidRDefault="003B4FFF" w:rsidP="00BB1B25">
            <w:pPr>
              <w:jc w:val="center"/>
              <w:rPr>
                <w:rFonts w:ascii="Times New Roman" w:hAnsi="Times New Roman" w:cs="Times New Roman"/>
                <w:sz w:val="20"/>
                <w:szCs w:val="20"/>
              </w:rPr>
            </w:pPr>
            <w:r w:rsidRPr="00B10B28">
              <w:rPr>
                <w:rFonts w:ascii="Times New Roman" w:hAnsi="Times New Roman" w:cs="Times New Roman"/>
                <w:sz w:val="20"/>
                <w:szCs w:val="20"/>
              </w:rPr>
              <w:t>Market price</w:t>
            </w:r>
          </w:p>
          <w:p w14:paraId="424C2D68" w14:textId="288F466E" w:rsidR="003B4FFF" w:rsidRPr="00B10B28" w:rsidRDefault="003B4FFF" w:rsidP="00BB1B25">
            <w:pPr>
              <w:jc w:val="center"/>
              <w:rPr>
                <w:rFonts w:ascii="Times New Roman" w:hAnsi="Times New Roman" w:cs="Times New Roman"/>
                <w:sz w:val="20"/>
                <w:szCs w:val="20"/>
              </w:rPr>
            </w:pPr>
            <w:proofErr w:type="spellStart"/>
            <w:r w:rsidRPr="00B10B28">
              <w:rPr>
                <w:rFonts w:ascii="Times New Roman" w:eastAsia="Times New Roman" w:hAnsi="Times New Roman" w:cs="Times New Roman"/>
                <w:i/>
                <w:iCs/>
                <w:color w:val="000000"/>
                <w:sz w:val="20"/>
                <w:szCs w:val="20"/>
                <w:lang w:eastAsia="en-GB"/>
              </w:rPr>
              <w:t>PC</w:t>
            </w:r>
            <w:r w:rsidRPr="00B10B28">
              <w:rPr>
                <w:rFonts w:ascii="Times New Roman" w:eastAsia="Times New Roman" w:hAnsi="Times New Roman" w:cs="Times New Roman"/>
                <w:i/>
                <w:iCs/>
                <w:color w:val="000000"/>
                <w:sz w:val="20"/>
                <w:szCs w:val="20"/>
                <w:vertAlign w:val="subscript"/>
                <w:lang w:eastAsia="en-GB"/>
              </w:rPr>
              <w:t>i</w:t>
            </w:r>
            <w:proofErr w:type="spellEnd"/>
            <w:r w:rsidRPr="00B10B28">
              <w:rPr>
                <w:rFonts w:ascii="Times New Roman" w:eastAsia="Times New Roman" w:hAnsi="Times New Roman" w:cs="Times New Roman"/>
                <w:color w:val="000000"/>
                <w:sz w:val="20"/>
                <w:szCs w:val="20"/>
                <w:vertAlign w:val="subscript"/>
                <w:lang w:eastAsia="en-GB"/>
              </w:rPr>
              <w:t xml:space="preserve"> </w:t>
            </w:r>
            <w:r w:rsidRPr="00B10B28">
              <w:rPr>
                <w:rFonts w:ascii="Times New Roman" w:eastAsia="Times New Roman" w:hAnsi="Times New Roman" w:cs="Times New Roman"/>
                <w:color w:val="000000"/>
                <w:sz w:val="20"/>
                <w:szCs w:val="20"/>
                <w:lang w:eastAsia="en-GB"/>
              </w:rPr>
              <w:t>($/kg)</w:t>
            </w:r>
          </w:p>
        </w:tc>
      </w:tr>
      <w:tr w:rsidR="00CA535A" w:rsidRPr="00CA535A" w14:paraId="61A5B198" w14:textId="77777777" w:rsidTr="007C5C2D">
        <w:trPr>
          <w:jc w:val="center"/>
        </w:trPr>
        <w:tc>
          <w:tcPr>
            <w:tcW w:w="1748" w:type="dxa"/>
            <w:tcBorders>
              <w:top w:val="single" w:sz="4" w:space="0" w:color="auto"/>
            </w:tcBorders>
          </w:tcPr>
          <w:p w14:paraId="0957A052"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i1</w:t>
            </w:r>
          </w:p>
        </w:tc>
        <w:tc>
          <w:tcPr>
            <w:tcW w:w="1005" w:type="dxa"/>
            <w:tcBorders>
              <w:top w:val="single" w:sz="4" w:space="0" w:color="auto"/>
            </w:tcBorders>
          </w:tcPr>
          <w:p w14:paraId="01AE10AE" w14:textId="3F9F016C"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Biomass</w:t>
            </w:r>
          </w:p>
        </w:tc>
        <w:tc>
          <w:tcPr>
            <w:tcW w:w="1495" w:type="dxa"/>
            <w:tcBorders>
              <w:top w:val="single" w:sz="4" w:space="0" w:color="auto"/>
            </w:tcBorders>
          </w:tcPr>
          <w:p w14:paraId="0DC2A11B" w14:textId="71276D0F" w:rsidR="00CA535A" w:rsidRPr="00B10B28" w:rsidRDefault="00CA535A" w:rsidP="00EC23F9">
            <w:pPr>
              <w:jc w:val="center"/>
              <w:rPr>
                <w:rFonts w:ascii="Times New Roman" w:hAnsi="Times New Roman" w:cs="Times New Roman"/>
                <w:sz w:val="20"/>
                <w:szCs w:val="20"/>
                <w:lang w:val="es-ES"/>
              </w:rPr>
            </w:pPr>
            <w:r w:rsidRPr="00B10B28">
              <w:rPr>
                <w:rFonts w:ascii="Times New Roman" w:hAnsi="Times New Roman" w:cs="Times New Roman"/>
                <w:sz w:val="20"/>
                <w:szCs w:val="20"/>
                <w:lang w:val="es-ES"/>
              </w:rPr>
              <w:t>57.565</w:t>
            </w:r>
          </w:p>
        </w:tc>
        <w:tc>
          <w:tcPr>
            <w:tcW w:w="1417" w:type="dxa"/>
            <w:tcBorders>
              <w:top w:val="single" w:sz="4" w:space="0" w:color="auto"/>
            </w:tcBorders>
          </w:tcPr>
          <w:p w14:paraId="7EAB3DA2" w14:textId="15904DB0" w:rsidR="00CA535A" w:rsidRPr="00B10B28" w:rsidRDefault="00CA535A" w:rsidP="00BB1B25">
            <w:pPr>
              <w:tabs>
                <w:tab w:val="decimal" w:pos="883"/>
              </w:tabs>
              <w:rPr>
                <w:rFonts w:ascii="Times New Roman" w:hAnsi="Times New Roman" w:cs="Times New Roman"/>
                <w:sz w:val="20"/>
                <w:szCs w:val="20"/>
                <w:lang w:val="es-ES"/>
              </w:rPr>
            </w:pPr>
          </w:p>
        </w:tc>
        <w:tc>
          <w:tcPr>
            <w:tcW w:w="1412" w:type="dxa"/>
            <w:tcBorders>
              <w:top w:val="single" w:sz="4" w:space="0" w:color="auto"/>
            </w:tcBorders>
          </w:tcPr>
          <w:p w14:paraId="0A6862DF" w14:textId="4D9E6792"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0.065</w:t>
            </w:r>
          </w:p>
        </w:tc>
      </w:tr>
      <w:tr w:rsidR="00CA535A" w:rsidRPr="00CA535A" w14:paraId="14666E1E" w14:textId="77777777" w:rsidTr="00C4529E">
        <w:trPr>
          <w:jc w:val="center"/>
        </w:trPr>
        <w:tc>
          <w:tcPr>
            <w:tcW w:w="1748" w:type="dxa"/>
          </w:tcPr>
          <w:p w14:paraId="2C9AF0FB"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i13</w:t>
            </w:r>
          </w:p>
        </w:tc>
        <w:tc>
          <w:tcPr>
            <w:tcW w:w="1005" w:type="dxa"/>
          </w:tcPr>
          <w:p w14:paraId="4F1BA214"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DME</w:t>
            </w:r>
          </w:p>
        </w:tc>
        <w:tc>
          <w:tcPr>
            <w:tcW w:w="1495" w:type="dxa"/>
          </w:tcPr>
          <w:p w14:paraId="7225AB62" w14:textId="77777777" w:rsidR="00CA535A" w:rsidRPr="00B10B28" w:rsidRDefault="00CA535A" w:rsidP="00EC23F9">
            <w:pPr>
              <w:jc w:val="center"/>
              <w:rPr>
                <w:rFonts w:ascii="Times New Roman" w:hAnsi="Times New Roman" w:cs="Times New Roman"/>
                <w:sz w:val="20"/>
                <w:szCs w:val="20"/>
              </w:rPr>
            </w:pPr>
          </w:p>
        </w:tc>
        <w:tc>
          <w:tcPr>
            <w:tcW w:w="1417" w:type="dxa"/>
          </w:tcPr>
          <w:p w14:paraId="2A2CD1CD" w14:textId="59FAE359"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4.1</w:t>
            </w:r>
          </w:p>
        </w:tc>
        <w:tc>
          <w:tcPr>
            <w:tcW w:w="1412" w:type="dxa"/>
          </w:tcPr>
          <w:p w14:paraId="1479816A" w14:textId="5C1A08BC"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0.60</w:t>
            </w:r>
            <w:r w:rsidR="009C5C5F" w:rsidRPr="00B10B28">
              <w:rPr>
                <w:rFonts w:ascii="Times New Roman" w:hAnsi="Times New Roman" w:cs="Times New Roman"/>
                <w:sz w:val="20"/>
                <w:szCs w:val="20"/>
              </w:rPr>
              <w:t>0</w:t>
            </w:r>
          </w:p>
        </w:tc>
      </w:tr>
      <w:tr w:rsidR="00CA535A" w:rsidRPr="00CA535A" w14:paraId="33E838D1" w14:textId="77777777" w:rsidTr="00C4529E">
        <w:trPr>
          <w:jc w:val="center"/>
        </w:trPr>
        <w:tc>
          <w:tcPr>
            <w:tcW w:w="1748" w:type="dxa"/>
          </w:tcPr>
          <w:p w14:paraId="389B27A0"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i11</w:t>
            </w:r>
          </w:p>
        </w:tc>
        <w:tc>
          <w:tcPr>
            <w:tcW w:w="1005" w:type="dxa"/>
          </w:tcPr>
          <w:p w14:paraId="334BFDD7"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Methanol</w:t>
            </w:r>
          </w:p>
        </w:tc>
        <w:tc>
          <w:tcPr>
            <w:tcW w:w="1495" w:type="dxa"/>
          </w:tcPr>
          <w:p w14:paraId="0555FD59" w14:textId="77777777" w:rsidR="00CA535A" w:rsidRPr="00B10B28" w:rsidRDefault="00CA535A" w:rsidP="00EC23F9">
            <w:pPr>
              <w:jc w:val="center"/>
              <w:rPr>
                <w:rFonts w:ascii="Times New Roman" w:hAnsi="Times New Roman" w:cs="Times New Roman"/>
                <w:sz w:val="20"/>
                <w:szCs w:val="20"/>
              </w:rPr>
            </w:pPr>
          </w:p>
        </w:tc>
        <w:tc>
          <w:tcPr>
            <w:tcW w:w="1417" w:type="dxa"/>
          </w:tcPr>
          <w:p w14:paraId="4EE4E372" w14:textId="0FC930ED"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932.</w:t>
            </w:r>
            <w:r w:rsidR="009C5C5F" w:rsidRPr="00B10B28">
              <w:rPr>
                <w:rFonts w:ascii="Times New Roman" w:hAnsi="Times New Roman" w:cs="Times New Roman"/>
                <w:sz w:val="20"/>
                <w:szCs w:val="20"/>
              </w:rPr>
              <w:t>4</w:t>
            </w:r>
          </w:p>
        </w:tc>
        <w:tc>
          <w:tcPr>
            <w:tcW w:w="1412" w:type="dxa"/>
          </w:tcPr>
          <w:p w14:paraId="3DF67B62" w14:textId="289EAC9E"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0.488</w:t>
            </w:r>
          </w:p>
        </w:tc>
      </w:tr>
      <w:tr w:rsidR="00CA535A" w:rsidRPr="00CA535A" w14:paraId="39CAF8B8" w14:textId="77777777" w:rsidTr="00C4529E">
        <w:trPr>
          <w:jc w:val="center"/>
        </w:trPr>
        <w:tc>
          <w:tcPr>
            <w:tcW w:w="1748" w:type="dxa"/>
          </w:tcPr>
          <w:p w14:paraId="6ED87813"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i14, i18, i28, i34</w:t>
            </w:r>
          </w:p>
        </w:tc>
        <w:tc>
          <w:tcPr>
            <w:tcW w:w="1005" w:type="dxa"/>
          </w:tcPr>
          <w:p w14:paraId="01835C0E"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Gasoline</w:t>
            </w:r>
          </w:p>
        </w:tc>
        <w:tc>
          <w:tcPr>
            <w:tcW w:w="1495" w:type="dxa"/>
          </w:tcPr>
          <w:p w14:paraId="276F2EF9" w14:textId="77777777" w:rsidR="00CA535A" w:rsidRPr="00B10B28" w:rsidRDefault="00CA535A" w:rsidP="00EC23F9">
            <w:pPr>
              <w:jc w:val="center"/>
              <w:rPr>
                <w:rFonts w:ascii="Times New Roman" w:hAnsi="Times New Roman" w:cs="Times New Roman"/>
                <w:sz w:val="20"/>
                <w:szCs w:val="20"/>
              </w:rPr>
            </w:pPr>
          </w:p>
        </w:tc>
        <w:tc>
          <w:tcPr>
            <w:tcW w:w="1417" w:type="dxa"/>
          </w:tcPr>
          <w:p w14:paraId="6F69CE89" w14:textId="0605AC11"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5759.0</w:t>
            </w:r>
          </w:p>
        </w:tc>
        <w:tc>
          <w:tcPr>
            <w:tcW w:w="1412" w:type="dxa"/>
          </w:tcPr>
          <w:p w14:paraId="49255F6F" w14:textId="5CC82052"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1.62</w:t>
            </w:r>
            <w:r w:rsidR="009C5C5F" w:rsidRPr="00B10B28">
              <w:rPr>
                <w:rFonts w:ascii="Times New Roman" w:hAnsi="Times New Roman" w:cs="Times New Roman"/>
                <w:sz w:val="20"/>
                <w:szCs w:val="20"/>
              </w:rPr>
              <w:t>0</w:t>
            </w:r>
          </w:p>
        </w:tc>
      </w:tr>
      <w:tr w:rsidR="00CA535A" w:rsidRPr="00CA535A" w14:paraId="6FD18610" w14:textId="77777777" w:rsidTr="00C4529E">
        <w:trPr>
          <w:jc w:val="center"/>
        </w:trPr>
        <w:tc>
          <w:tcPr>
            <w:tcW w:w="1748" w:type="dxa"/>
          </w:tcPr>
          <w:p w14:paraId="3AB48B0D"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i17</w:t>
            </w:r>
          </w:p>
        </w:tc>
        <w:tc>
          <w:tcPr>
            <w:tcW w:w="1005" w:type="dxa"/>
          </w:tcPr>
          <w:p w14:paraId="3B475441"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LPG</w:t>
            </w:r>
          </w:p>
        </w:tc>
        <w:tc>
          <w:tcPr>
            <w:tcW w:w="1495" w:type="dxa"/>
          </w:tcPr>
          <w:p w14:paraId="3A7815FC" w14:textId="77777777" w:rsidR="00CA535A" w:rsidRPr="00B10B28" w:rsidRDefault="00CA535A" w:rsidP="00EC23F9">
            <w:pPr>
              <w:jc w:val="center"/>
              <w:rPr>
                <w:rFonts w:ascii="Times New Roman" w:hAnsi="Times New Roman" w:cs="Times New Roman"/>
                <w:sz w:val="20"/>
                <w:szCs w:val="20"/>
              </w:rPr>
            </w:pPr>
          </w:p>
        </w:tc>
        <w:tc>
          <w:tcPr>
            <w:tcW w:w="1417" w:type="dxa"/>
          </w:tcPr>
          <w:p w14:paraId="2BF02C41" w14:textId="319E1260"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2000.0</w:t>
            </w:r>
          </w:p>
        </w:tc>
        <w:tc>
          <w:tcPr>
            <w:tcW w:w="1412" w:type="dxa"/>
          </w:tcPr>
          <w:p w14:paraId="37DE8CEF" w14:textId="6FB35AA4"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1.062</w:t>
            </w:r>
          </w:p>
        </w:tc>
      </w:tr>
      <w:tr w:rsidR="00CA535A" w:rsidRPr="00CA535A" w14:paraId="77A0FC59" w14:textId="77777777" w:rsidTr="00C4529E">
        <w:trPr>
          <w:jc w:val="center"/>
        </w:trPr>
        <w:tc>
          <w:tcPr>
            <w:tcW w:w="1748" w:type="dxa"/>
          </w:tcPr>
          <w:p w14:paraId="5410FA77"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i20</w:t>
            </w:r>
          </w:p>
        </w:tc>
        <w:tc>
          <w:tcPr>
            <w:tcW w:w="1005" w:type="dxa"/>
          </w:tcPr>
          <w:p w14:paraId="2A657B60"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Ethanol</w:t>
            </w:r>
          </w:p>
        </w:tc>
        <w:tc>
          <w:tcPr>
            <w:tcW w:w="1495" w:type="dxa"/>
          </w:tcPr>
          <w:p w14:paraId="123AEB0B" w14:textId="77777777" w:rsidR="00CA535A" w:rsidRPr="00B10B28" w:rsidRDefault="00CA535A" w:rsidP="00EC23F9">
            <w:pPr>
              <w:jc w:val="center"/>
              <w:rPr>
                <w:rFonts w:ascii="Times New Roman" w:hAnsi="Times New Roman" w:cs="Times New Roman"/>
                <w:sz w:val="20"/>
                <w:szCs w:val="20"/>
              </w:rPr>
            </w:pPr>
          </w:p>
        </w:tc>
        <w:tc>
          <w:tcPr>
            <w:tcW w:w="1417" w:type="dxa"/>
          </w:tcPr>
          <w:p w14:paraId="7957BE50" w14:textId="5ACAC8E7"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283.0</w:t>
            </w:r>
          </w:p>
        </w:tc>
        <w:tc>
          <w:tcPr>
            <w:tcW w:w="1412" w:type="dxa"/>
          </w:tcPr>
          <w:p w14:paraId="362D018B" w14:textId="395ECE40"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2.447</w:t>
            </w:r>
          </w:p>
        </w:tc>
      </w:tr>
      <w:tr w:rsidR="00CA535A" w:rsidRPr="00CA535A" w14:paraId="07C8E3C6" w14:textId="77777777" w:rsidTr="00C4529E">
        <w:trPr>
          <w:jc w:val="center"/>
        </w:trPr>
        <w:tc>
          <w:tcPr>
            <w:tcW w:w="1748" w:type="dxa"/>
          </w:tcPr>
          <w:p w14:paraId="75FDCDC7"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i23</w:t>
            </w:r>
          </w:p>
        </w:tc>
        <w:tc>
          <w:tcPr>
            <w:tcW w:w="1005" w:type="dxa"/>
          </w:tcPr>
          <w:p w14:paraId="24CC376B"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Diesel</w:t>
            </w:r>
          </w:p>
        </w:tc>
        <w:tc>
          <w:tcPr>
            <w:tcW w:w="1495" w:type="dxa"/>
          </w:tcPr>
          <w:p w14:paraId="4976BB8B" w14:textId="77777777" w:rsidR="00CA535A" w:rsidRPr="00B10B28" w:rsidRDefault="00CA535A" w:rsidP="00EC23F9">
            <w:pPr>
              <w:jc w:val="center"/>
              <w:rPr>
                <w:rFonts w:ascii="Times New Roman" w:hAnsi="Times New Roman" w:cs="Times New Roman"/>
                <w:sz w:val="20"/>
                <w:szCs w:val="20"/>
              </w:rPr>
            </w:pPr>
          </w:p>
        </w:tc>
        <w:tc>
          <w:tcPr>
            <w:tcW w:w="1417" w:type="dxa"/>
          </w:tcPr>
          <w:p w14:paraId="6B059BC2" w14:textId="794B774B" w:rsidR="00CA535A" w:rsidRPr="00B10B28" w:rsidRDefault="00CA535A" w:rsidP="00C4529E">
            <w:pPr>
              <w:tabs>
                <w:tab w:val="decimal" w:pos="883"/>
              </w:tabs>
              <w:rPr>
                <w:rFonts w:ascii="Times New Roman" w:hAnsi="Times New Roman" w:cs="Times New Roman"/>
                <w:sz w:val="20"/>
                <w:szCs w:val="20"/>
              </w:rPr>
            </w:pPr>
            <w:r w:rsidRPr="00B10B28">
              <w:rPr>
                <w:rFonts w:ascii="Times New Roman" w:hAnsi="Times New Roman" w:cs="Times New Roman"/>
                <w:sz w:val="20"/>
                <w:szCs w:val="20"/>
              </w:rPr>
              <w:t>31144.0</w:t>
            </w:r>
          </w:p>
        </w:tc>
        <w:tc>
          <w:tcPr>
            <w:tcW w:w="1412" w:type="dxa"/>
          </w:tcPr>
          <w:p w14:paraId="513560A1" w14:textId="023AC5F9"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1.899</w:t>
            </w:r>
          </w:p>
        </w:tc>
      </w:tr>
      <w:tr w:rsidR="00CA535A" w:rsidRPr="00CA535A" w14:paraId="11AF2DEA" w14:textId="77777777" w:rsidTr="00C4529E">
        <w:trPr>
          <w:jc w:val="center"/>
        </w:trPr>
        <w:tc>
          <w:tcPr>
            <w:tcW w:w="1748" w:type="dxa"/>
          </w:tcPr>
          <w:p w14:paraId="40D6C9E5" w14:textId="77777777" w:rsidR="00CA535A" w:rsidRPr="00B10B28" w:rsidRDefault="00CA535A" w:rsidP="007E2BED">
            <w:pPr>
              <w:jc w:val="center"/>
              <w:rPr>
                <w:rFonts w:ascii="Times New Roman" w:hAnsi="Times New Roman" w:cs="Times New Roman"/>
                <w:sz w:val="20"/>
                <w:szCs w:val="20"/>
              </w:rPr>
            </w:pPr>
            <w:r w:rsidRPr="00B10B28">
              <w:rPr>
                <w:rFonts w:ascii="Times New Roman" w:hAnsi="Times New Roman" w:cs="Times New Roman"/>
                <w:sz w:val="20"/>
                <w:szCs w:val="20"/>
              </w:rPr>
              <w:t>i31</w:t>
            </w:r>
          </w:p>
        </w:tc>
        <w:tc>
          <w:tcPr>
            <w:tcW w:w="1005" w:type="dxa"/>
          </w:tcPr>
          <w:p w14:paraId="0B0C1B0E" w14:textId="77777777" w:rsidR="00CA535A" w:rsidRPr="00B10B28" w:rsidRDefault="00CA535A" w:rsidP="007E2BED">
            <w:pPr>
              <w:rPr>
                <w:rFonts w:ascii="Times New Roman" w:hAnsi="Times New Roman" w:cs="Times New Roman"/>
                <w:sz w:val="20"/>
                <w:szCs w:val="20"/>
              </w:rPr>
            </w:pPr>
            <w:r w:rsidRPr="00B10B28">
              <w:rPr>
                <w:rFonts w:ascii="Times New Roman" w:hAnsi="Times New Roman" w:cs="Times New Roman"/>
                <w:sz w:val="20"/>
                <w:szCs w:val="20"/>
              </w:rPr>
              <w:t>Jet fuel</w:t>
            </w:r>
          </w:p>
        </w:tc>
        <w:tc>
          <w:tcPr>
            <w:tcW w:w="1495" w:type="dxa"/>
          </w:tcPr>
          <w:p w14:paraId="6A7698C9" w14:textId="77777777" w:rsidR="00CA535A" w:rsidRPr="00B10B28" w:rsidRDefault="00CA535A" w:rsidP="00EC23F9">
            <w:pPr>
              <w:jc w:val="center"/>
              <w:rPr>
                <w:rFonts w:ascii="Times New Roman" w:hAnsi="Times New Roman" w:cs="Times New Roman"/>
                <w:sz w:val="20"/>
                <w:szCs w:val="20"/>
              </w:rPr>
            </w:pPr>
          </w:p>
        </w:tc>
        <w:tc>
          <w:tcPr>
            <w:tcW w:w="1417" w:type="dxa"/>
          </w:tcPr>
          <w:p w14:paraId="62D059C5" w14:textId="649A77DF" w:rsidR="00CA535A" w:rsidRPr="00B10B28" w:rsidRDefault="00CA535A" w:rsidP="00C4529E">
            <w:pPr>
              <w:tabs>
                <w:tab w:val="decimal" w:pos="883"/>
              </w:tabs>
              <w:rPr>
                <w:rFonts w:ascii="Times New Roman" w:hAnsi="Times New Roman" w:cs="Times New Roman"/>
                <w:color w:val="000000"/>
                <w:sz w:val="20"/>
                <w:szCs w:val="20"/>
              </w:rPr>
            </w:pPr>
            <w:r w:rsidRPr="00B10B28">
              <w:rPr>
                <w:rFonts w:ascii="Times New Roman" w:hAnsi="Times New Roman" w:cs="Times New Roman"/>
                <w:color w:val="000000"/>
                <w:sz w:val="20"/>
                <w:szCs w:val="20"/>
              </w:rPr>
              <w:t>3280.0</w:t>
            </w:r>
          </w:p>
        </w:tc>
        <w:tc>
          <w:tcPr>
            <w:tcW w:w="1412" w:type="dxa"/>
          </w:tcPr>
          <w:p w14:paraId="6E10B2FB" w14:textId="1E035A6F" w:rsidR="00CA535A" w:rsidRPr="00B10B28" w:rsidRDefault="00CA535A" w:rsidP="00EC23F9">
            <w:pPr>
              <w:jc w:val="center"/>
              <w:rPr>
                <w:rFonts w:ascii="Times New Roman" w:hAnsi="Times New Roman" w:cs="Times New Roman"/>
                <w:sz w:val="20"/>
                <w:szCs w:val="20"/>
              </w:rPr>
            </w:pPr>
            <w:r w:rsidRPr="00B10B28">
              <w:rPr>
                <w:rFonts w:ascii="Times New Roman" w:hAnsi="Times New Roman" w:cs="Times New Roman"/>
                <w:sz w:val="20"/>
                <w:szCs w:val="20"/>
              </w:rPr>
              <w:t>0.817</w:t>
            </w:r>
          </w:p>
        </w:tc>
      </w:tr>
    </w:tbl>
    <w:p w14:paraId="0E08713D" w14:textId="5BF3C826" w:rsidR="003B4FFF" w:rsidRDefault="003B4FFF" w:rsidP="0031302B">
      <w:pPr>
        <w:pStyle w:val="Els-body-text"/>
      </w:pPr>
      <w:r>
        <w:t>*The values have been retrieved from literature sources not shown due to paper length limitations.</w:t>
      </w:r>
    </w:p>
    <w:p w14:paraId="1782FDA6" w14:textId="77777777" w:rsidR="009A680D" w:rsidRDefault="009A680D" w:rsidP="0031302B">
      <w:pPr>
        <w:pStyle w:val="Els-body-text"/>
      </w:pPr>
    </w:p>
    <w:p w14:paraId="6FECA1CA" w14:textId="77777777" w:rsidR="00990A3F" w:rsidRPr="00990A3F" w:rsidRDefault="00990A3F" w:rsidP="00990A3F">
      <w:pPr>
        <w:pStyle w:val="Els-body-text"/>
      </w:pPr>
      <w:r w:rsidRPr="00990A3F">
        <w:t>The constraint of mass balance defines the equation as the amount of feedstock purchased and the product produced must be equal to the amount of any product consumed and sold.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50"/>
      </w:tblGrid>
      <w:tr w:rsidR="00990A3F" w:rsidRPr="00990A3F" w14:paraId="78301330" w14:textId="77777777" w:rsidTr="0078479E">
        <w:tc>
          <w:tcPr>
            <w:tcW w:w="6521" w:type="dxa"/>
          </w:tcPr>
          <w:p w14:paraId="6407A6B6" w14:textId="716CAE17" w:rsidR="00990A3F" w:rsidRPr="009C5C5F" w:rsidRDefault="00000000" w:rsidP="0078479E">
            <w:pPr>
              <w:pStyle w:val="Els-body-text"/>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m:t>
                    </m:r>
                    <m:r>
                      <w:rPr>
                        <w:rFonts w:ascii="Cambria Math" w:hAnsi="Cambria Math" w:cs="Times New Roman"/>
                        <w:sz w:val="20"/>
                        <w:szCs w:val="20"/>
                      </w:rPr>
                      <m:t>J</m:t>
                    </m:r>
                    <m:r>
                      <m:rPr>
                        <m:sty m:val="p"/>
                      </m:rPr>
                      <w:rPr>
                        <w:rFonts w:ascii="Cambria Math" w:hAnsi="Cambria Math" w:cs="Times New Roman"/>
                        <w:sz w:val="20"/>
                        <w:szCs w:val="20"/>
                      </w:rPr>
                      <m:t>OUT</m:t>
                    </m:r>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m:t>
                </m:r>
                <m:r>
                  <w:rPr>
                    <w:rFonts w:ascii="Cambria Math" w:hAnsi="Cambria Math" w:cs="Times New Roman"/>
                    <w:sz w:val="20"/>
                    <w:szCs w:val="20"/>
                  </w:rPr>
                  <m:t>m</m:t>
                </m:r>
                <m:sSub>
                  <m:sSubPr>
                    <m:ctrlPr>
                      <w:rPr>
                        <w:rFonts w:ascii="Cambria Math" w:hAnsi="Cambria Math" w:cs="Times New Roman"/>
                        <w:sz w:val="20"/>
                        <w:szCs w:val="20"/>
                      </w:rPr>
                    </m:ctrlPr>
                  </m:sSubPr>
                  <m:e>
                    <m:r>
                      <w:rPr>
                        <w:rFonts w:ascii="Cambria Math" w:hAnsi="Cambria Math" w:cs="Times New Roman"/>
                        <w:sz w:val="20"/>
                        <w:szCs w:val="20"/>
                      </w:rPr>
                      <m:t>b</m:t>
                    </m:r>
                  </m:e>
                  <m:sub>
                    <m:r>
                      <w:rPr>
                        <w:rFonts w:ascii="Cambria Math" w:hAnsi="Cambria Math" w:cs="Times New Roman"/>
                        <w:sz w:val="20"/>
                        <w:szCs w:val="20"/>
                      </w:rPr>
                      <m:t>ij</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J</m:t>
                        </m:r>
                      </m:e>
                      <m:sup>
                        <m:r>
                          <w:rPr>
                            <w:rFonts w:ascii="Cambria Math" w:hAnsi="Cambria Math" w:cs="Times New Roman"/>
                            <w:sz w:val="20"/>
                            <w:szCs w:val="20"/>
                          </w:rPr>
                          <m:t>I</m:t>
                        </m:r>
                        <m:r>
                          <m:rPr>
                            <m:scr m:val="double-struck"/>
                          </m:rPr>
                          <w:rPr>
                            <w:rFonts w:ascii="Cambria Math" w:hAnsi="Cambria Math" w:cs="Times New Roman"/>
                            <w:sz w:val="20"/>
                            <w:szCs w:val="20"/>
                          </w:rPr>
                          <m:t>N</m:t>
                        </m:r>
                      </m:sup>
                    </m:sSup>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m:t>
                </m:r>
                <m:r>
                  <w:rPr>
                    <w:rFonts w:ascii="Cambria Math" w:hAnsi="Cambria Math" w:cs="Times New Roman"/>
                    <w:sz w:val="20"/>
                    <w:szCs w:val="20"/>
                  </w:rPr>
                  <m:t>m</m:t>
                </m:r>
                <m:sSub>
                  <m:sSubPr>
                    <m:ctrlPr>
                      <w:rPr>
                        <w:rFonts w:ascii="Cambria Math" w:hAnsi="Cambria Math" w:cs="Times New Roman"/>
                        <w:sz w:val="20"/>
                        <w:szCs w:val="20"/>
                      </w:rPr>
                    </m:ctrlPr>
                  </m:sSubPr>
                  <m:e>
                    <m:r>
                      <w:rPr>
                        <w:rFonts w:ascii="Cambria Math" w:hAnsi="Cambria Math" w:cs="Times New Roman"/>
                        <w:sz w:val="20"/>
                        <w:szCs w:val="20"/>
                      </w:rPr>
                      <m:t>b</m:t>
                    </m:r>
                  </m:e>
                  <m:sub>
                    <m:r>
                      <w:rPr>
                        <w:rFonts w:ascii="Cambria Math" w:hAnsi="Cambria Math" w:cs="Times New Roman"/>
                        <w:sz w:val="20"/>
                        <w:szCs w:val="20"/>
                      </w:rPr>
                      <m:t>ij</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m:rPr>
                    <m:sty m:val="p"/>
                  </m:rPr>
                  <w:rPr>
                    <w:rFonts w:ascii="Cambria Math" w:hAnsi="Cambria Math" w:cs="Times New Roman"/>
                    <w:sz w:val="20"/>
                    <w:szCs w:val="20"/>
                  </w:rPr>
                  <m:t>∀</m:t>
                </m:r>
              </m:oMath>
            </m:oMathPara>
          </w:p>
        </w:tc>
        <w:tc>
          <w:tcPr>
            <w:tcW w:w="450" w:type="dxa"/>
          </w:tcPr>
          <w:p w14:paraId="1493765A" w14:textId="4F0D79D8" w:rsidR="00990A3F" w:rsidRPr="00BC1B2C" w:rsidRDefault="00990A3F" w:rsidP="007C5C2D">
            <w:pPr>
              <w:pStyle w:val="Els-body-text"/>
              <w:jc w:val="left"/>
              <w:rPr>
                <w:rFonts w:ascii="Times New Roman" w:hAnsi="Times New Roman" w:cs="Times New Roman"/>
                <w:sz w:val="20"/>
                <w:szCs w:val="20"/>
              </w:rPr>
            </w:pPr>
            <w:r w:rsidRPr="00BC1B2C">
              <w:rPr>
                <w:rFonts w:ascii="Times New Roman" w:hAnsi="Times New Roman" w:cs="Times New Roman"/>
                <w:sz w:val="20"/>
                <w:szCs w:val="20"/>
              </w:rPr>
              <w:t>(4)</w:t>
            </w:r>
          </w:p>
        </w:tc>
      </w:tr>
    </w:tbl>
    <w:p w14:paraId="7947E02B" w14:textId="77777777" w:rsidR="00990A3F" w:rsidRPr="00990A3F" w:rsidRDefault="00990A3F" w:rsidP="00990A3F">
      <w:pPr>
        <w:pStyle w:val="Els-body-text"/>
      </w:pPr>
      <w:r w:rsidRPr="00990A3F">
        <w:t>However, the products sold must fulfil the market demand, and feedstock is constrained by its availability. In addition, the selling price of all intermediates and feedstock and the purchase price of any product are set to zero.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549"/>
      </w:tblGrid>
      <w:tr w:rsidR="00990A3F" w:rsidRPr="00990A3F" w14:paraId="303936AD" w14:textId="77777777" w:rsidTr="00990A3F">
        <w:tc>
          <w:tcPr>
            <w:tcW w:w="8472" w:type="dxa"/>
          </w:tcPr>
          <w:p w14:paraId="556FBFEA" w14:textId="47FFFD58" w:rsidR="00990A3F" w:rsidRPr="009C5C5F" w:rsidRDefault="00000000" w:rsidP="00321FED">
            <w:pPr>
              <w:pStyle w:val="Els-body-text"/>
              <w:rPr>
                <w:rFonts w:ascii="Times New Roman" w:eastAsia="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e>
                  <m:sub>
                    <m:r>
                      <w:rPr>
                        <w:rFonts w:ascii="Cambria Math" w:hAnsi="Cambria Math" w:cs="Times New Roman"/>
                        <w:sz w:val="20"/>
                        <w:szCs w:val="20"/>
                      </w:rPr>
                      <m:t>i</m:t>
                    </m:r>
                  </m:sub>
                </m:sSub>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P</m:t>
                    </m:r>
                  </m:sup>
                </m:sSup>
              </m:oMath>
            </m:oMathPara>
          </w:p>
        </w:tc>
        <w:tc>
          <w:tcPr>
            <w:tcW w:w="582" w:type="dxa"/>
          </w:tcPr>
          <w:p w14:paraId="3B225C3C" w14:textId="7F037BBC" w:rsidR="00990A3F" w:rsidRPr="00BC1B2C" w:rsidRDefault="00990A3F" w:rsidP="007C5C2D">
            <w:pPr>
              <w:pStyle w:val="Els-body-text"/>
              <w:jc w:val="left"/>
              <w:rPr>
                <w:rFonts w:ascii="Times New Roman" w:eastAsia="Times New Roman" w:hAnsi="Times New Roman" w:cs="Times New Roman"/>
                <w:sz w:val="20"/>
                <w:szCs w:val="20"/>
              </w:rPr>
            </w:pPr>
            <w:r w:rsidRPr="00BC1B2C">
              <w:rPr>
                <w:rFonts w:ascii="Times New Roman" w:eastAsia="Times New Roman" w:hAnsi="Times New Roman" w:cs="Times New Roman"/>
                <w:sz w:val="20"/>
                <w:szCs w:val="20"/>
              </w:rPr>
              <w:t>(5)</w:t>
            </w:r>
          </w:p>
        </w:tc>
      </w:tr>
      <w:tr w:rsidR="00990A3F" w:rsidRPr="00990A3F" w14:paraId="2CE9B2B5" w14:textId="77777777" w:rsidTr="00990A3F">
        <w:tc>
          <w:tcPr>
            <w:tcW w:w="8472" w:type="dxa"/>
          </w:tcPr>
          <w:p w14:paraId="1DF34C43" w14:textId="0C599355" w:rsidR="00990A3F" w:rsidRPr="009C5C5F" w:rsidRDefault="00000000" w:rsidP="00321FED">
            <w:pPr>
              <w:pStyle w:val="Els-body-text"/>
              <w:rPr>
                <w:rFonts w:ascii="Times New Roman" w:eastAsia="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 xml:space="preserve">i </m:t>
                    </m:r>
                  </m:sub>
                </m:sSub>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F</m:t>
                    </m:r>
                  </m:sup>
                </m:sSup>
              </m:oMath>
            </m:oMathPara>
          </w:p>
        </w:tc>
        <w:tc>
          <w:tcPr>
            <w:tcW w:w="582" w:type="dxa"/>
          </w:tcPr>
          <w:p w14:paraId="19C16FC6" w14:textId="24980126" w:rsidR="00990A3F" w:rsidRPr="00BC1B2C" w:rsidRDefault="00990A3F" w:rsidP="007C5C2D">
            <w:pPr>
              <w:pStyle w:val="Els-body-text"/>
              <w:jc w:val="left"/>
              <w:rPr>
                <w:rFonts w:ascii="Times New Roman" w:eastAsia="Times New Roman" w:hAnsi="Times New Roman" w:cs="Times New Roman"/>
                <w:sz w:val="20"/>
                <w:szCs w:val="20"/>
              </w:rPr>
            </w:pPr>
            <w:r w:rsidRPr="00BC1B2C">
              <w:rPr>
                <w:rFonts w:ascii="Times New Roman" w:eastAsia="Times New Roman" w:hAnsi="Times New Roman" w:cs="Times New Roman"/>
                <w:sz w:val="20"/>
                <w:szCs w:val="20"/>
              </w:rPr>
              <w:t>(6)</w:t>
            </w:r>
          </w:p>
        </w:tc>
      </w:tr>
      <w:tr w:rsidR="00990A3F" w:rsidRPr="00990A3F" w14:paraId="43083871" w14:textId="77777777" w:rsidTr="00990A3F">
        <w:tc>
          <w:tcPr>
            <w:tcW w:w="8472" w:type="dxa"/>
          </w:tcPr>
          <w:p w14:paraId="1C7990F0" w14:textId="200F7222" w:rsidR="00990A3F" w:rsidRPr="009C5C5F" w:rsidRDefault="00000000" w:rsidP="00321FED">
            <w:pPr>
              <w:pStyle w:val="Els-body-text"/>
              <w:rPr>
                <w:rFonts w:ascii="Times New Roman" w:eastAsia="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m:rPr>
                    <m:sty m:val="p"/>
                  </m:rPr>
                  <w:rPr>
                    <w:rFonts w:ascii="Cambria Math" w:hAnsi="Cambria Math" w:cs="Times New Roman"/>
                    <w:sz w:val="20"/>
                    <w:szCs w:val="20"/>
                  </w:rPr>
                  <m:t>=0 ∀</m:t>
                </m:r>
                <m:r>
                  <w:rPr>
                    <w:rFonts w:ascii="Cambria Math" w:hAnsi="Cambria Math" w:cs="Times New Roman"/>
                    <w:sz w:val="20"/>
                    <w:szCs w:val="20"/>
                  </w:rPr>
                  <m:t>i</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F</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I</m:t>
                    </m:r>
                  </m:sup>
                </m:sSup>
              </m:oMath>
            </m:oMathPara>
          </w:p>
        </w:tc>
        <w:tc>
          <w:tcPr>
            <w:tcW w:w="582" w:type="dxa"/>
          </w:tcPr>
          <w:p w14:paraId="7EBA1017" w14:textId="6423F8EA" w:rsidR="00990A3F" w:rsidRPr="00BC1B2C" w:rsidRDefault="00990A3F" w:rsidP="007C5C2D">
            <w:pPr>
              <w:pStyle w:val="Els-body-text"/>
              <w:jc w:val="left"/>
              <w:rPr>
                <w:rFonts w:ascii="Times New Roman" w:eastAsia="Times New Roman" w:hAnsi="Times New Roman" w:cs="Times New Roman"/>
                <w:sz w:val="20"/>
                <w:szCs w:val="20"/>
              </w:rPr>
            </w:pPr>
            <w:r w:rsidRPr="00BC1B2C">
              <w:rPr>
                <w:rFonts w:ascii="Times New Roman" w:eastAsia="Times New Roman" w:hAnsi="Times New Roman" w:cs="Times New Roman"/>
                <w:sz w:val="20"/>
                <w:szCs w:val="20"/>
              </w:rPr>
              <w:t>(7)</w:t>
            </w:r>
          </w:p>
        </w:tc>
      </w:tr>
      <w:tr w:rsidR="00990A3F" w:rsidRPr="00990A3F" w14:paraId="6BF4F504" w14:textId="77777777" w:rsidTr="00990A3F">
        <w:tc>
          <w:tcPr>
            <w:tcW w:w="8472" w:type="dxa"/>
          </w:tcPr>
          <w:p w14:paraId="2D6A2B15" w14:textId="0E1A8EB3" w:rsidR="00990A3F" w:rsidRPr="009C5C5F" w:rsidRDefault="00000000" w:rsidP="00321FED">
            <w:pPr>
              <w:pStyle w:val="Els-body-text"/>
              <w:rPr>
                <w:rFonts w:ascii="Times New Roman" w:eastAsia="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m:rPr>
                    <m:sty m:val="p"/>
                  </m:rPr>
                  <w:rPr>
                    <w:rFonts w:ascii="Cambria Math" w:hAnsi="Cambria Math" w:cs="Times New Roman"/>
                    <w:sz w:val="20"/>
                    <w:szCs w:val="20"/>
                  </w:rPr>
                  <m:t>=0 ∀</m:t>
                </m:r>
                <m:r>
                  <w:rPr>
                    <w:rFonts w:ascii="Cambria Math" w:hAnsi="Cambria Math" w:cs="Times New Roman"/>
                    <w:sz w:val="20"/>
                    <w:szCs w:val="20"/>
                  </w:rPr>
                  <m:t>i</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I</m:t>
                    </m:r>
                  </m:sup>
                </m:sSup>
              </m:oMath>
            </m:oMathPara>
          </w:p>
        </w:tc>
        <w:tc>
          <w:tcPr>
            <w:tcW w:w="582" w:type="dxa"/>
          </w:tcPr>
          <w:p w14:paraId="5D038AE9" w14:textId="50EBB661" w:rsidR="00990A3F" w:rsidRPr="00BC1B2C" w:rsidRDefault="00990A3F" w:rsidP="007C5C2D">
            <w:pPr>
              <w:pStyle w:val="Els-body-text"/>
              <w:jc w:val="left"/>
              <w:rPr>
                <w:rFonts w:ascii="Times New Roman" w:eastAsia="Times New Roman" w:hAnsi="Times New Roman" w:cs="Times New Roman"/>
                <w:sz w:val="20"/>
                <w:szCs w:val="20"/>
              </w:rPr>
            </w:pPr>
            <w:r w:rsidRPr="00BC1B2C">
              <w:rPr>
                <w:rFonts w:ascii="Times New Roman" w:eastAsia="Times New Roman" w:hAnsi="Times New Roman" w:cs="Times New Roman"/>
                <w:sz w:val="20"/>
                <w:szCs w:val="20"/>
              </w:rPr>
              <w:t>(8)</w:t>
            </w:r>
          </w:p>
        </w:tc>
      </w:tr>
    </w:tbl>
    <w:p w14:paraId="5B274F05" w14:textId="0B4E1806" w:rsidR="00990A3F" w:rsidRPr="00990A3F" w:rsidRDefault="00990A3F" w:rsidP="00990A3F">
      <w:pPr>
        <w:pStyle w:val="Els-body-text"/>
      </w:pPr>
      <w:r w:rsidRPr="00990A3F">
        <w:t xml:space="preserve">The following </w:t>
      </w:r>
      <w:r w:rsidR="0078479E">
        <w:t>objective function</w:t>
      </w:r>
      <w:r w:rsidRPr="00990A3F">
        <w:t xml:space="preserve"> </w:t>
      </w:r>
      <w:r w:rsidR="000D53A6">
        <w:t xml:space="preserve">is </w:t>
      </w:r>
      <w:r w:rsidR="000D53A6" w:rsidRPr="00990A3F">
        <w:t>enforced</w:t>
      </w:r>
      <w:r w:rsidRPr="00990A3F">
        <w:t xml:space="preserve"> to find the optimal processing network</w:t>
      </w:r>
      <w:r w:rsidR="0078479E">
        <w:t xml:space="preserve"> for minimum selling price</w:t>
      </w:r>
      <w:r w:rsidRPr="00990A3F">
        <w:t xml:space="preserve"> utilizing the </w:t>
      </w:r>
      <w:r w:rsidR="0078479E">
        <w:t xml:space="preserve">raw material </w:t>
      </w:r>
      <w:r w:rsidRPr="00990A3F">
        <w:t xml:space="preserve">cost, </w:t>
      </w:r>
      <w:r w:rsidR="0078479E">
        <w:t>capital cost, operating, operating</w:t>
      </w:r>
      <w:r w:rsidRPr="00990A3F">
        <w:t xml:space="preserve">, and </w:t>
      </w:r>
      <w:r w:rsidR="0078479E">
        <w:t>energy cost</w:t>
      </w:r>
      <w:r w:rsidRPr="00990A3F">
        <w:t>.</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572"/>
      </w:tblGrid>
      <w:tr w:rsidR="00990A3F" w:rsidRPr="00990A3F" w14:paraId="2A1F19A7" w14:textId="77777777" w:rsidTr="0078479E">
        <w:tc>
          <w:tcPr>
            <w:tcW w:w="6515" w:type="dxa"/>
          </w:tcPr>
          <w:p w14:paraId="0E0F635D" w14:textId="4E01A0C9" w:rsidR="00990A3F" w:rsidRPr="009C5C5F" w:rsidRDefault="0031302B" w:rsidP="00990A3F">
            <w:pPr>
              <w:pStyle w:val="Els-body-text"/>
              <w:rPr>
                <w:rFonts w:ascii="Times New Roman" w:eastAsia="Times New Roman" w:hAnsi="Times New Roman" w:cs="Times New Roman"/>
                <w:sz w:val="20"/>
                <w:szCs w:val="20"/>
              </w:rPr>
            </w:pPr>
            <m:oMathPara>
              <m:oMathParaPr>
                <m:jc m:val="center"/>
              </m:oMathParaPr>
              <m:oMath>
                <m:r>
                  <m:rPr>
                    <m:sty m:val="p"/>
                  </m:rPr>
                  <w:rPr>
                    <w:rFonts w:ascii="Cambria Math" w:hAnsi="Cambria Math" w:cs="Times New Roman"/>
                    <w:sz w:val="20"/>
                    <w:szCs w:val="20"/>
                  </w:rPr>
                  <m:t>MSP=</m:t>
                </m:r>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i</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I</m:t>
                        </m:r>
                      </m:e>
                      <m:sup>
                        <m:r>
                          <w:rPr>
                            <w:rFonts w:ascii="Cambria Math" w:hAnsi="Cambria Math" w:cs="Times New Roman"/>
                            <w:sz w:val="20"/>
                            <w:szCs w:val="20"/>
                          </w:rPr>
                          <m:t>F</m:t>
                        </m:r>
                      </m:sup>
                    </m:sSup>
                  </m:sub>
                </m:sSub>
                <m:r>
                  <m:rPr>
                    <m:sty m:val="p"/>
                  </m:rPr>
                  <w:rPr>
                    <w:rFonts w:ascii="Cambria Math" w:hAnsi="Cambria Math" w:cs="Times New Roman"/>
                    <w:sz w:val="20"/>
                    <w:szCs w:val="20"/>
                  </w:rPr>
                  <m:t> </m:t>
                </m:r>
                <m:r>
                  <w:rPr>
                    <w:rFonts w:ascii="Cambria Math" w:hAnsi="Cambria Math" w:cs="Times New Roman"/>
                    <w:sz w:val="20"/>
                    <w:szCs w:val="20"/>
                  </w:rPr>
                  <m:t>P</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j</m:t>
                    </m:r>
                  </m:sub>
                </m:sSub>
                <m:r>
                  <m:rPr>
                    <m:sty m:val="p"/>
                  </m:rPr>
                  <w:rPr>
                    <w:rFonts w:ascii="Cambria Math" w:hAnsi="Cambria Math" w:cs="Times New Roman"/>
                    <w:sz w:val="20"/>
                    <w:szCs w:val="20"/>
                  </w:rPr>
                  <m:t> </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d>
                  <m:dPr>
                    <m:ctrlPr>
                      <w:rPr>
                        <w:rFonts w:ascii="Cambria Math" w:hAnsi="Cambria Math" w:cs="Times New Roman"/>
                        <w:sz w:val="20"/>
                        <w:szCs w:val="20"/>
                      </w:rPr>
                    </m:ctrlPr>
                  </m:dPr>
                  <m:e>
                    <m:r>
                      <w:rPr>
                        <w:rFonts w:ascii="Cambria Math" w:hAnsi="Cambria Math" w:cs="Times New Roman"/>
                        <w:sz w:val="20"/>
                        <w:szCs w:val="20"/>
                      </w:rPr>
                      <m:t>UP</m:t>
                    </m:r>
                    <m:sSub>
                      <m:sSubPr>
                        <m:ctrlPr>
                          <w:rPr>
                            <w:rFonts w:ascii="Cambria Math" w:hAnsi="Cambria Math" w:cs="Times New Roman"/>
                            <w:sz w:val="20"/>
                            <w:szCs w:val="20"/>
                          </w:rPr>
                        </m:ctrlPr>
                      </m:sSubPr>
                      <m:e>
                        <m:r>
                          <w:rPr>
                            <w:rFonts w:ascii="Cambria Math" w:hAnsi="Cambria Math" w:cs="Times New Roman"/>
                            <w:sz w:val="20"/>
                            <w:szCs w:val="20"/>
                          </w:rPr>
                          <m:t>CC</m:t>
                        </m:r>
                      </m:e>
                      <m:sub>
                        <m:r>
                          <w:rPr>
                            <w:rFonts w:ascii="Cambria Math" w:hAnsi="Cambria Math" w:cs="Times New Roman"/>
                            <w:sz w:val="20"/>
                            <w:szCs w:val="20"/>
                          </w:rPr>
                          <m:t>j</m:t>
                        </m:r>
                      </m:sub>
                    </m:sSub>
                    <m:r>
                      <m:rPr>
                        <m:sty m:val="p"/>
                      </m:rPr>
                      <w:rPr>
                        <w:rFonts w:ascii="Cambria Math" w:hAnsi="Cambria Math" w:cs="Times New Roman"/>
                        <w:sz w:val="20"/>
                        <w:szCs w:val="20"/>
                      </w:rPr>
                      <m:t>+</m:t>
                    </m:r>
                    <m:r>
                      <w:rPr>
                        <w:rFonts w:ascii="Cambria Math" w:hAnsi="Cambria Math" w:cs="Times New Roman"/>
                        <w:sz w:val="20"/>
                        <w:szCs w:val="20"/>
                      </w:rPr>
                      <m:t>UP</m:t>
                    </m:r>
                    <m:sSub>
                      <m:sSubPr>
                        <m:ctrlPr>
                          <w:rPr>
                            <w:rFonts w:ascii="Cambria Math" w:hAnsi="Cambria Math" w:cs="Times New Roman"/>
                            <w:sz w:val="20"/>
                            <w:szCs w:val="20"/>
                          </w:rPr>
                        </m:ctrlPr>
                      </m:sSubPr>
                      <m:e>
                        <m:r>
                          <w:rPr>
                            <w:rFonts w:ascii="Cambria Math" w:hAnsi="Cambria Math" w:cs="Times New Roman"/>
                            <w:sz w:val="20"/>
                            <w:szCs w:val="20"/>
                          </w:rPr>
                          <m:t>RMC</m:t>
                        </m:r>
                      </m:e>
                      <m:sub>
                        <m:r>
                          <w:rPr>
                            <w:rFonts w:ascii="Cambria Math" w:hAnsi="Cambria Math" w:cs="Times New Roman"/>
                            <w:sz w:val="20"/>
                            <w:szCs w:val="20"/>
                          </w:rPr>
                          <m:t>j</m:t>
                        </m:r>
                      </m:sub>
                    </m:sSub>
                    <m:r>
                      <w:rPr>
                        <w:rFonts w:ascii="Cambria Math" w:hAnsi="Cambria Math" w:cs="Times New Roman"/>
                        <w:sz w:val="20"/>
                        <w:szCs w:val="20"/>
                      </w:rPr>
                      <m:t>+UP</m:t>
                    </m:r>
                    <m:sSub>
                      <m:sSubPr>
                        <m:ctrlPr>
                          <w:rPr>
                            <w:rFonts w:ascii="Cambria Math" w:hAnsi="Cambria Math" w:cs="Times New Roman"/>
                            <w:sz w:val="20"/>
                            <w:szCs w:val="20"/>
                          </w:rPr>
                        </m:ctrlPr>
                      </m:sSubPr>
                      <m:e>
                        <m:r>
                          <w:rPr>
                            <w:rFonts w:ascii="Cambria Math" w:hAnsi="Cambria Math" w:cs="Times New Roman"/>
                            <w:sz w:val="20"/>
                            <w:szCs w:val="20"/>
                          </w:rPr>
                          <m:t>OC</m:t>
                        </m:r>
                      </m:e>
                      <m:sub>
                        <m:r>
                          <w:rPr>
                            <w:rFonts w:ascii="Cambria Math" w:hAnsi="Cambria Math" w:cs="Times New Roman"/>
                            <w:sz w:val="20"/>
                            <w:szCs w:val="20"/>
                          </w:rPr>
                          <m:t>j</m:t>
                        </m:r>
                      </m:sub>
                    </m:sSub>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j</m:t>
                        </m:r>
                      </m:sub>
                    </m:sSub>
                    <m:r>
                      <w:rPr>
                        <w:rFonts w:ascii="Cambria Math" w:hAnsi="Cambria Math" w:cs="Times New Roman"/>
                        <w:sz w:val="20"/>
                        <w:szCs w:val="20"/>
                      </w:rPr>
                      <m:t>E</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j</m:t>
                        </m:r>
                      </m:sub>
                    </m:sSub>
                  </m:e>
                </m:d>
              </m:oMath>
            </m:oMathPara>
          </w:p>
        </w:tc>
        <w:tc>
          <w:tcPr>
            <w:tcW w:w="572" w:type="dxa"/>
          </w:tcPr>
          <w:p w14:paraId="7F639384" w14:textId="07F508B7" w:rsidR="00990A3F" w:rsidRPr="00BC1B2C" w:rsidRDefault="0078479E" w:rsidP="007C5C2D">
            <w:pPr>
              <w:pStyle w:val="Els-body-text"/>
              <w:ind w:hanging="21"/>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90A3F" w:rsidRPr="00BC1B2C">
              <w:rPr>
                <w:rFonts w:ascii="Times New Roman" w:eastAsia="Times New Roman" w:hAnsi="Times New Roman" w:cs="Times New Roman"/>
                <w:sz w:val="20"/>
              </w:rPr>
              <w:t>(9)</w:t>
            </w:r>
          </w:p>
        </w:tc>
      </w:tr>
      <w:tr w:rsidR="00301EE0" w:rsidRPr="00990A3F" w14:paraId="331E7377" w14:textId="77777777" w:rsidTr="0078479E">
        <w:tc>
          <w:tcPr>
            <w:tcW w:w="6515" w:type="dxa"/>
          </w:tcPr>
          <w:p w14:paraId="2E3B3A03" w14:textId="77777777" w:rsidR="00301EE0" w:rsidRDefault="00301EE0" w:rsidP="00990A3F">
            <w:pPr>
              <w:pStyle w:val="Els-body-text"/>
            </w:pPr>
          </w:p>
        </w:tc>
        <w:tc>
          <w:tcPr>
            <w:tcW w:w="572" w:type="dxa"/>
          </w:tcPr>
          <w:p w14:paraId="312D54E4" w14:textId="77777777" w:rsidR="00301EE0" w:rsidRPr="00BC1B2C" w:rsidRDefault="00301EE0" w:rsidP="00990A3F">
            <w:pPr>
              <w:pStyle w:val="Els-body-text"/>
            </w:pPr>
          </w:p>
        </w:tc>
      </w:tr>
    </w:tbl>
    <w:p w14:paraId="1D70094C" w14:textId="77777777" w:rsidR="00FC0C8C" w:rsidRDefault="00321FED" w:rsidP="00670DA1">
      <w:pPr>
        <w:pStyle w:val="Els-1storder-head"/>
        <w:spacing w:before="0" w:after="0"/>
      </w:pPr>
      <w:r>
        <w:lastRenderedPageBreak/>
        <w:t>Results and Discussion</w:t>
      </w:r>
    </w:p>
    <w:p w14:paraId="456B0B85" w14:textId="07EAD027" w:rsidR="00C42E2F" w:rsidRDefault="00FC0C8C" w:rsidP="0070080A">
      <w:pPr>
        <w:pStyle w:val="Els-1storder-head"/>
        <w:numPr>
          <w:ilvl w:val="0"/>
          <w:numId w:val="0"/>
        </w:numPr>
        <w:spacing w:before="0" w:after="0"/>
        <w:rPr>
          <w:b w:val="0"/>
          <w:bCs/>
          <w:sz w:val="20"/>
        </w:rPr>
      </w:pPr>
      <w:r w:rsidRPr="00FC0C8C">
        <w:rPr>
          <w:b w:val="0"/>
          <w:bCs/>
          <w:sz w:val="20"/>
          <w:szCs w:val="18"/>
        </w:rPr>
        <w:t>The study revealed a methanol production cost of 0.725</w:t>
      </w:r>
      <w:r w:rsidR="00820750">
        <w:rPr>
          <w:b w:val="0"/>
          <w:bCs/>
          <w:sz w:val="20"/>
          <w:szCs w:val="18"/>
        </w:rPr>
        <w:t xml:space="preserve"> </w:t>
      </w:r>
      <w:r w:rsidRPr="00FC0C8C">
        <w:rPr>
          <w:b w:val="0"/>
          <w:bCs/>
          <w:sz w:val="20"/>
          <w:szCs w:val="18"/>
        </w:rPr>
        <w:t>$/kg, which stands in contrast to the market price of 0.488</w:t>
      </w:r>
      <w:r w:rsidR="00820750">
        <w:rPr>
          <w:b w:val="0"/>
          <w:bCs/>
          <w:sz w:val="20"/>
          <w:szCs w:val="18"/>
        </w:rPr>
        <w:t xml:space="preserve"> </w:t>
      </w:r>
      <w:r w:rsidRPr="00FC0C8C">
        <w:rPr>
          <w:b w:val="0"/>
          <w:bCs/>
          <w:sz w:val="20"/>
          <w:szCs w:val="18"/>
        </w:rPr>
        <w:t xml:space="preserve">$/kg, as shown in  </w:t>
      </w:r>
      <w:r w:rsidRPr="00FC0C8C">
        <w:rPr>
          <w:b w:val="0"/>
          <w:bCs/>
          <w:sz w:val="20"/>
          <w:szCs w:val="18"/>
        </w:rPr>
        <w:fldChar w:fldCharType="begin"/>
      </w:r>
      <w:r w:rsidRPr="00FC0C8C">
        <w:rPr>
          <w:b w:val="0"/>
          <w:bCs/>
          <w:sz w:val="20"/>
          <w:szCs w:val="18"/>
        </w:rPr>
        <w:instrText xml:space="preserve"> REF _Ref136467556 \h  \* MERGEFORMAT </w:instrText>
      </w:r>
      <w:r w:rsidRPr="00FC0C8C">
        <w:rPr>
          <w:b w:val="0"/>
          <w:bCs/>
          <w:sz w:val="20"/>
          <w:szCs w:val="18"/>
        </w:rPr>
      </w:r>
      <w:r w:rsidRPr="00FC0C8C">
        <w:rPr>
          <w:b w:val="0"/>
          <w:bCs/>
          <w:sz w:val="20"/>
          <w:szCs w:val="18"/>
        </w:rPr>
        <w:fldChar w:fldCharType="separate"/>
      </w:r>
      <w:r w:rsidR="009D6D05" w:rsidRPr="009D6D05">
        <w:rPr>
          <w:b w:val="0"/>
          <w:bCs/>
          <w:sz w:val="20"/>
          <w:szCs w:val="18"/>
        </w:rPr>
        <w:t>Table 2</w:t>
      </w:r>
      <w:r w:rsidRPr="00FC0C8C">
        <w:rPr>
          <w:b w:val="0"/>
          <w:bCs/>
          <w:sz w:val="20"/>
          <w:szCs w:val="18"/>
        </w:rPr>
        <w:fldChar w:fldCharType="end"/>
      </w:r>
      <w:r w:rsidRPr="00FC0C8C">
        <w:rPr>
          <w:b w:val="0"/>
          <w:bCs/>
          <w:sz w:val="20"/>
          <w:szCs w:val="18"/>
        </w:rPr>
        <w:t xml:space="preserve">. To </w:t>
      </w:r>
      <w:r w:rsidR="000D53A6">
        <w:rPr>
          <w:b w:val="0"/>
          <w:bCs/>
          <w:sz w:val="20"/>
          <w:szCs w:val="18"/>
        </w:rPr>
        <w:t xml:space="preserve">contextualize </w:t>
      </w:r>
      <w:proofErr w:type="spellStart"/>
      <w:r w:rsidRPr="00FC0C8C">
        <w:rPr>
          <w:b w:val="0"/>
          <w:bCs/>
          <w:sz w:val="20"/>
          <w:szCs w:val="18"/>
        </w:rPr>
        <w:t>Poluzzi</w:t>
      </w:r>
      <w:proofErr w:type="spellEnd"/>
      <w:r w:rsidRPr="00FC0C8C">
        <w:rPr>
          <w:b w:val="0"/>
          <w:bCs/>
          <w:sz w:val="20"/>
          <w:szCs w:val="18"/>
        </w:rPr>
        <w:t xml:space="preserve"> et al., (2022) conducted a comprehensive investigation into various gasification techniques and proposed that indirect gasification could yield methanol at a competitive cost of 0.64</w:t>
      </w:r>
      <w:r w:rsidR="00820750">
        <w:rPr>
          <w:b w:val="0"/>
          <w:bCs/>
          <w:sz w:val="20"/>
          <w:szCs w:val="18"/>
        </w:rPr>
        <w:t xml:space="preserve"> </w:t>
      </w:r>
      <w:r w:rsidRPr="00FC0C8C">
        <w:rPr>
          <w:b w:val="0"/>
          <w:bCs/>
          <w:sz w:val="20"/>
          <w:szCs w:val="18"/>
        </w:rPr>
        <w:t xml:space="preserve">$/kg </w:t>
      </w:r>
      <w:r w:rsidRPr="00FC0C8C">
        <w:rPr>
          <w:b w:val="0"/>
          <w:bCs/>
          <w:sz w:val="20"/>
          <w:szCs w:val="18"/>
        </w:rPr>
        <w:fldChar w:fldCharType="begin"/>
      </w:r>
      <w:r w:rsidR="00D94439">
        <w:rPr>
          <w:b w:val="0"/>
          <w:bCs/>
          <w:sz w:val="20"/>
          <w:szCs w:val="18"/>
        </w:rPr>
        <w:instrText xml:space="preserve"> ADDIN EN.CITE &lt;EndNote&gt;&lt;Cite&gt;&lt;Author&gt;Poluzzi&lt;/Author&gt;&lt;Year&gt;2022&lt;/Year&gt;&lt;RecNum&gt;1872&lt;/RecNum&gt;&lt;DisplayText&gt;(Poluzzi et al., 2022)&lt;/DisplayText&gt;&lt;record&gt;&lt;rec-number&gt;1872&lt;/rec-number&gt;&lt;foreign-keys&gt;&lt;key app="EN" db-id="5wxzzztei5drfretswrvswe8sfpvzzptpvvd" timestamp="1684165996"&gt;1872&lt;/key&gt;&lt;/foreign-keys&gt;&lt;ref-type name="Journal Article"&gt;17&lt;/ref-type&gt;&lt;contributors&gt;&lt;authors&gt;&lt;author&gt;Poluzzi,A.&lt;/author&gt;&lt;author&gt;Guandalini,G.&lt;/author&gt;&lt;author&gt;Guffanti,S.&lt;/author&gt;&lt;author&gt;Martinelli,M.&lt;/author&gt;&lt;author&gt;Moioli,S.&lt;/author&gt;&lt;author&gt;Huttenhuis,P.&lt;/author&gt;&lt;author&gt;Rexwinkel,G.&lt;/author&gt;&lt;author&gt;Palonen,J.&lt;/author&gt;&lt;author&gt;Martelli,E.&lt;/author&gt;&lt;author&gt;Groppi,G.&lt;/author&gt;&lt;author&gt;Romano,M. C.&lt;/author&gt;&lt;/authors&gt;&lt;/contributors&gt;&lt;titles&gt;&lt;title&gt;Flexible Power and Biomass-To-Methanol Plants With Different Gasification Technologies&lt;/title&gt;&lt;secondary-title&gt;Frontiers in Energy Research&lt;/secondary-title&gt;&lt;short-title&gt;Flexible P&amp;amp;B-to-Methanol plants&lt;/short-title&gt;&lt;/titles&gt;&lt;periodical&gt;&lt;full-title&gt;Frontiers in Energy Research&lt;/full-title&gt;&lt;/periodical&gt;&lt;volume&gt;9&lt;/volume&gt;&lt;keywords&gt;&lt;keyword&gt;E-fuels,Biofuels,Gasification (biomass),Electrolysis,Flexibility&lt;/keyword&gt;&lt;/keywords&gt;&lt;dates&gt;&lt;year&gt;2022&lt;/year&gt;&lt;pub-dates&gt;&lt;date&gt;2022-January-27&lt;/date&gt;&lt;/pub-dates&gt;&lt;/dates&gt;&lt;isbn&gt;2296-598X&lt;/isbn&gt;&lt;work-type&gt;Original Research&lt;/work-type&gt;&lt;urls&gt;&lt;related-urls&gt;&lt;url&gt;https://www.frontiersin.org/articles/10.3389/fenrg.2021.795673&lt;/url&gt;&lt;/related-urls&gt;&lt;/urls&gt;&lt;electronic-resource-num&gt;10.3389/fenrg.2021.795673&lt;/electronic-resource-num&gt;&lt;language&gt;English&lt;/language&gt;&lt;/record&gt;&lt;/Cite&gt;&lt;/EndNote&gt;</w:instrText>
      </w:r>
      <w:r w:rsidRPr="00FC0C8C">
        <w:rPr>
          <w:b w:val="0"/>
          <w:bCs/>
          <w:sz w:val="20"/>
          <w:szCs w:val="18"/>
        </w:rPr>
        <w:fldChar w:fldCharType="separate"/>
      </w:r>
      <w:r w:rsidR="00D94439">
        <w:rPr>
          <w:b w:val="0"/>
          <w:bCs/>
          <w:noProof/>
          <w:sz w:val="20"/>
          <w:szCs w:val="18"/>
        </w:rPr>
        <w:t>(Poluzzi et al., 2022)</w:t>
      </w:r>
      <w:r w:rsidRPr="00FC0C8C">
        <w:rPr>
          <w:b w:val="0"/>
          <w:bCs/>
          <w:sz w:val="20"/>
          <w:szCs w:val="18"/>
        </w:rPr>
        <w:fldChar w:fldCharType="end"/>
      </w:r>
      <w:r w:rsidRPr="00FC0C8C">
        <w:rPr>
          <w:b w:val="0"/>
          <w:bCs/>
          <w:sz w:val="20"/>
          <w:szCs w:val="18"/>
        </w:rPr>
        <w:t xml:space="preserve">. Similarly, Sun et al., (2021) explored methanol production from biomass, conducting a thorough assessment of its </w:t>
      </w:r>
      <w:r w:rsidRPr="000D53A6">
        <w:rPr>
          <w:b w:val="0"/>
          <w:bCs/>
          <w:sz w:val="20"/>
        </w:rPr>
        <w:t>thermodynamic and economic performance, with a notably low production cost of 0.479</w:t>
      </w:r>
      <w:r w:rsidR="00820750">
        <w:rPr>
          <w:b w:val="0"/>
          <w:bCs/>
          <w:sz w:val="20"/>
        </w:rPr>
        <w:t xml:space="preserve"> </w:t>
      </w:r>
      <w:r w:rsidRPr="000D53A6">
        <w:rPr>
          <w:b w:val="0"/>
          <w:bCs/>
          <w:sz w:val="20"/>
        </w:rPr>
        <w:t xml:space="preserve">$/kg </w:t>
      </w:r>
      <w:r w:rsidRPr="000D53A6">
        <w:rPr>
          <w:b w:val="0"/>
          <w:bCs/>
          <w:sz w:val="20"/>
        </w:rPr>
        <w:fldChar w:fldCharType="begin"/>
      </w:r>
      <w:r w:rsidR="00D94439">
        <w:rPr>
          <w:b w:val="0"/>
          <w:bCs/>
          <w:sz w:val="20"/>
        </w:rPr>
        <w:instrText xml:space="preserve"> ADDIN EN.CITE &lt;EndNote&gt;&lt;Cite&gt;&lt;Author&gt;Sun&lt;/Author&gt;&lt;Year&gt;2021&lt;/Year&gt;&lt;RecNum&gt;1873&lt;/RecNum&gt;&lt;DisplayText&gt;(Sun &amp;amp; Aziz, 2021)&lt;/DisplayText&gt;&lt;record&gt;&lt;rec-number&gt;1873&lt;/rec-number&gt;&lt;foreign-keys&gt;&lt;key app="EN" db-id="5wxzzztei5drfretswrvswe8sfpvzzptpvvd" timestamp="1684171309"&gt;1873&lt;/key&gt;&lt;/foreign-keys&gt;&lt;ref-type name="Journal Article"&gt;17&lt;/ref-type&gt;&lt;contributors&gt;&lt;authors&gt;&lt;author&gt;Sun, Zhuang&lt;/author&gt;&lt;author&gt;Aziz, Muhammad&lt;/author&gt;&lt;/authors&gt;&lt;/contributors&gt;&lt;titles&gt;&lt;title&gt;Comparative thermodynamic and techno-economic assessment of green methanol production from biomass through direct chemical looping processes&lt;/title&gt;&lt;secondary-title&gt;Journal of Cleaner Production&lt;/secondary-title&gt;&lt;/titles&gt;&lt;periodical&gt;&lt;full-title&gt;Journal of Cleaner Production&lt;/full-title&gt;&lt;/periodical&gt;&lt;pages&gt;129023&lt;/pages&gt;&lt;volume&gt;321&lt;/volume&gt;&lt;keywords&gt;&lt;keyword&gt;Methanol synthesis&lt;/keyword&gt;&lt;keyword&gt;Direct chemical looping gasification&lt;/keyword&gt;&lt;keyword&gt;Direct chemical looping hydrogen production&lt;/keyword&gt;&lt;keyword&gt;Thermodynamic analysis&lt;/keyword&gt;&lt;keyword&gt;Techno-economic analysis&lt;/keyword&gt;&lt;/keywords&gt;&lt;dates&gt;&lt;year&gt;2021&lt;/year&gt;&lt;pub-dates&gt;&lt;date&gt;2021/10/25/&lt;/date&gt;&lt;/pub-dates&gt;&lt;/dates&gt;&lt;isbn&gt;0959-6526&lt;/isbn&gt;&lt;urls&gt;&lt;related-urls&gt;&lt;url&gt;https://www.sciencedirect.com/science/article/pii/S0959652621032133&lt;/url&gt;&lt;/related-urls&gt;&lt;/urls&gt;&lt;electronic-resource-num&gt;https://doi.org/10.1016/j.jclepro.2021.129023&lt;/electronic-resource-num&gt;&lt;/record&gt;&lt;/Cite&gt;&lt;/EndNote&gt;</w:instrText>
      </w:r>
      <w:r w:rsidRPr="000D53A6">
        <w:rPr>
          <w:b w:val="0"/>
          <w:bCs/>
          <w:sz w:val="20"/>
        </w:rPr>
        <w:fldChar w:fldCharType="separate"/>
      </w:r>
      <w:r w:rsidR="00D94439">
        <w:rPr>
          <w:b w:val="0"/>
          <w:bCs/>
          <w:noProof/>
          <w:sz w:val="20"/>
        </w:rPr>
        <w:t>(Sun &amp; Aziz, 2021)</w:t>
      </w:r>
      <w:r w:rsidRPr="000D53A6">
        <w:rPr>
          <w:b w:val="0"/>
          <w:bCs/>
          <w:sz w:val="20"/>
        </w:rPr>
        <w:fldChar w:fldCharType="end"/>
      </w:r>
      <w:r w:rsidRPr="000D53A6">
        <w:rPr>
          <w:b w:val="0"/>
          <w:bCs/>
          <w:sz w:val="20"/>
        </w:rPr>
        <w:t>.</w:t>
      </w:r>
      <w:r w:rsidR="000D53A6" w:rsidRPr="000D53A6">
        <w:rPr>
          <w:b w:val="0"/>
          <w:bCs/>
          <w:sz w:val="20"/>
        </w:rPr>
        <w:t xml:space="preserve"> </w:t>
      </w:r>
      <w:r w:rsidR="00F368C1" w:rsidRPr="000D53A6">
        <w:rPr>
          <w:b w:val="0"/>
          <w:bCs/>
          <w:sz w:val="20"/>
        </w:rPr>
        <w:t xml:space="preserve">The </w:t>
      </w:r>
      <w:r w:rsidR="000D53A6">
        <w:rPr>
          <w:b w:val="0"/>
          <w:bCs/>
          <w:sz w:val="20"/>
        </w:rPr>
        <w:t>MSP of</w:t>
      </w:r>
      <w:r w:rsidR="00F368C1" w:rsidRPr="000D53A6">
        <w:rPr>
          <w:b w:val="0"/>
          <w:bCs/>
          <w:sz w:val="20"/>
        </w:rPr>
        <w:t xml:space="preserve"> jet fuel, as shown in </w:t>
      </w:r>
      <w:r w:rsidR="00F368C1" w:rsidRPr="000D53A6">
        <w:rPr>
          <w:b w:val="0"/>
          <w:bCs/>
          <w:sz w:val="20"/>
        </w:rPr>
        <w:fldChar w:fldCharType="begin"/>
      </w:r>
      <w:r w:rsidR="00F368C1" w:rsidRPr="000D53A6">
        <w:rPr>
          <w:b w:val="0"/>
          <w:bCs/>
          <w:sz w:val="20"/>
        </w:rPr>
        <w:instrText xml:space="preserve"> REF _Ref136467556 \h  \* MERGEFORMAT </w:instrText>
      </w:r>
      <w:r w:rsidR="00F368C1" w:rsidRPr="000D53A6">
        <w:rPr>
          <w:b w:val="0"/>
          <w:bCs/>
          <w:sz w:val="20"/>
        </w:rPr>
      </w:r>
      <w:r w:rsidR="00F368C1" w:rsidRPr="000D53A6">
        <w:rPr>
          <w:b w:val="0"/>
          <w:bCs/>
          <w:sz w:val="20"/>
        </w:rPr>
        <w:fldChar w:fldCharType="separate"/>
      </w:r>
      <w:r w:rsidR="009D6D05" w:rsidRPr="009D6D05">
        <w:rPr>
          <w:b w:val="0"/>
          <w:bCs/>
          <w:sz w:val="20"/>
        </w:rPr>
        <w:t>Table 2</w:t>
      </w:r>
      <w:r w:rsidR="00F368C1" w:rsidRPr="000D53A6">
        <w:rPr>
          <w:b w:val="0"/>
          <w:bCs/>
          <w:sz w:val="20"/>
        </w:rPr>
        <w:fldChar w:fldCharType="end"/>
      </w:r>
      <w:r w:rsidR="00F368C1" w:rsidRPr="000D53A6">
        <w:rPr>
          <w:b w:val="0"/>
          <w:bCs/>
          <w:sz w:val="20"/>
        </w:rPr>
        <w:t>, stands at 1.120</w:t>
      </w:r>
      <w:r w:rsidR="00B10B28">
        <w:rPr>
          <w:b w:val="0"/>
          <w:bCs/>
          <w:sz w:val="20"/>
        </w:rPr>
        <w:t xml:space="preserve"> </w:t>
      </w:r>
      <w:r w:rsidR="00F368C1" w:rsidRPr="000D53A6">
        <w:rPr>
          <w:b w:val="0"/>
          <w:bCs/>
          <w:sz w:val="20"/>
        </w:rPr>
        <w:t>$/kg, while the market selling price is notably lower at 0.817</w:t>
      </w:r>
      <w:r w:rsidR="00B10B28">
        <w:rPr>
          <w:b w:val="0"/>
          <w:bCs/>
          <w:sz w:val="20"/>
        </w:rPr>
        <w:t xml:space="preserve"> </w:t>
      </w:r>
      <w:r w:rsidR="00F368C1" w:rsidRPr="000D53A6">
        <w:rPr>
          <w:b w:val="0"/>
          <w:bCs/>
          <w:sz w:val="20"/>
        </w:rPr>
        <w:t>$/kg.</w:t>
      </w:r>
      <w:r w:rsidR="000D53A6">
        <w:rPr>
          <w:b w:val="0"/>
          <w:bCs/>
          <w:sz w:val="20"/>
        </w:rPr>
        <w:t xml:space="preserve"> </w:t>
      </w:r>
      <w:r w:rsidR="000D53A6" w:rsidRPr="000D53A6">
        <w:rPr>
          <w:b w:val="0"/>
          <w:bCs/>
          <w:sz w:val="20"/>
          <w:lang w:val="en-GB"/>
        </w:rPr>
        <w:t>Kreutz et al. (2020) and Guimarães et al. (2022) respectively explored the economic viability of 100% biomass-based Fischer-Tropsch jet fuel with a cost of 1.08$/L due to negative greenhouse gas intensity and the comparative advantages of an integrated gasification and Fischer-Tropsch synthesis process, revealing a lower production cost of 0.52</w:t>
      </w:r>
      <w:r w:rsidR="00B10B28">
        <w:rPr>
          <w:b w:val="0"/>
          <w:bCs/>
          <w:sz w:val="20"/>
          <w:lang w:val="en-GB"/>
        </w:rPr>
        <w:t xml:space="preserve"> </w:t>
      </w:r>
      <w:r w:rsidR="000D53A6" w:rsidRPr="000D53A6">
        <w:rPr>
          <w:b w:val="0"/>
          <w:bCs/>
          <w:sz w:val="20"/>
          <w:lang w:val="en-GB"/>
        </w:rPr>
        <w:t>$/L with reduced capital expenditure</w:t>
      </w:r>
      <w:r w:rsidR="00F368C1" w:rsidRPr="000D53A6">
        <w:rPr>
          <w:b w:val="0"/>
          <w:bCs/>
          <w:sz w:val="20"/>
        </w:rPr>
        <w:t xml:space="preserve"> </w:t>
      </w:r>
      <w:r w:rsidR="00F368C1" w:rsidRPr="000D53A6">
        <w:rPr>
          <w:b w:val="0"/>
          <w:bCs/>
          <w:sz w:val="20"/>
        </w:rPr>
        <w:fldChar w:fldCharType="begin">
          <w:fldData xml:space="preserve">PEVuZE5vdGU+PENpdGU+PEF1dGhvcj5HdWltYXLDo2VzPC9BdXRob3I+PFllYXI+MjAyMjwvWWVh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</w:fldData>
        </w:fldChar>
      </w:r>
      <w:r w:rsidR="00D94439">
        <w:rPr>
          <w:b w:val="0"/>
          <w:bCs/>
          <w:sz w:val="20"/>
        </w:rPr>
        <w:instrText xml:space="preserve"> ADDIN EN.CITE </w:instrText>
      </w:r>
      <w:r w:rsidR="00D94439">
        <w:rPr>
          <w:b w:val="0"/>
          <w:bCs/>
          <w:sz w:val="20"/>
        </w:rPr>
        <w:fldChar w:fldCharType="begin">
          <w:fldData xml:space="preserve">PEVuZE5vdGU+PENpdGU+PEF1dGhvcj5HdWltYXLDo2VzPC9BdXRob3I+PFllYXI+MjAyMjwvWWVh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</w:fldData>
        </w:fldChar>
      </w:r>
      <w:r w:rsidR="00D94439">
        <w:rPr>
          <w:b w:val="0"/>
          <w:bCs/>
          <w:sz w:val="20"/>
        </w:rPr>
        <w:instrText xml:space="preserve"> ADDIN EN.CITE.DATA </w:instrText>
      </w:r>
      <w:r w:rsidR="00D94439">
        <w:rPr>
          <w:b w:val="0"/>
          <w:bCs/>
          <w:sz w:val="20"/>
        </w:rPr>
      </w:r>
      <w:r w:rsidR="00D94439">
        <w:rPr>
          <w:b w:val="0"/>
          <w:bCs/>
          <w:sz w:val="20"/>
        </w:rPr>
        <w:fldChar w:fldCharType="end"/>
      </w:r>
      <w:r w:rsidR="00F368C1" w:rsidRPr="000D53A6">
        <w:rPr>
          <w:b w:val="0"/>
          <w:bCs/>
          <w:sz w:val="20"/>
        </w:rPr>
      </w:r>
      <w:r w:rsidR="00F368C1" w:rsidRPr="000D53A6">
        <w:rPr>
          <w:b w:val="0"/>
          <w:bCs/>
          <w:sz w:val="20"/>
        </w:rPr>
        <w:fldChar w:fldCharType="separate"/>
      </w:r>
      <w:r w:rsidR="00D94439">
        <w:rPr>
          <w:b w:val="0"/>
          <w:bCs/>
          <w:noProof/>
          <w:sz w:val="20"/>
        </w:rPr>
        <w:t>(Guimarães et al., 2022; Kreutz et al., 2020)</w:t>
      </w:r>
      <w:r w:rsidR="00F368C1" w:rsidRPr="000D53A6">
        <w:rPr>
          <w:b w:val="0"/>
          <w:bCs/>
          <w:sz w:val="20"/>
        </w:rPr>
        <w:fldChar w:fldCharType="end"/>
      </w:r>
      <w:r w:rsidR="00C42E2F">
        <w:rPr>
          <w:b w:val="0"/>
          <w:bCs/>
          <w:sz w:val="20"/>
        </w:rPr>
        <w:t>.</w:t>
      </w:r>
    </w:p>
    <w:p w14:paraId="24915CF8" w14:textId="6796E2AE" w:rsidR="00C42E2F" w:rsidRPr="00C42E2F" w:rsidRDefault="00FE60AB" w:rsidP="0070080A">
      <w:pPr>
        <w:pStyle w:val="Els-1storder-head"/>
        <w:numPr>
          <w:ilvl w:val="0"/>
          <w:numId w:val="0"/>
        </w:numPr>
        <w:spacing w:before="0" w:after="0"/>
        <w:rPr>
          <w:b w:val="0"/>
          <w:bCs/>
          <w:sz w:val="20"/>
        </w:rPr>
      </w:pPr>
      <w:r w:rsidRPr="00C42E2F">
        <w:rPr>
          <w:b w:val="0"/>
          <w:bCs/>
          <w:sz w:val="20"/>
        </w:rPr>
        <w:t>T</w:t>
      </w:r>
      <w:r w:rsidR="00BA6922" w:rsidRPr="00C42E2F">
        <w:rPr>
          <w:b w:val="0"/>
          <w:bCs/>
          <w:sz w:val="20"/>
        </w:rPr>
        <w:t>he MSP for diesel, produced through fast pyrolysis of biomass, amounted to 2.865</w:t>
      </w:r>
      <w:r w:rsidR="00820750">
        <w:rPr>
          <w:b w:val="0"/>
          <w:bCs/>
          <w:sz w:val="20"/>
        </w:rPr>
        <w:t xml:space="preserve"> </w:t>
      </w:r>
      <w:r w:rsidR="00BA6922" w:rsidRPr="00C42E2F">
        <w:rPr>
          <w:b w:val="0"/>
          <w:bCs/>
          <w:sz w:val="20"/>
        </w:rPr>
        <w:t>$/kg. This cost significantly exceeds the market rate, which stands at 1.899</w:t>
      </w:r>
      <w:r w:rsidR="00820750">
        <w:rPr>
          <w:b w:val="0"/>
          <w:bCs/>
          <w:sz w:val="20"/>
        </w:rPr>
        <w:t xml:space="preserve"> </w:t>
      </w:r>
      <w:r w:rsidR="00BA6922" w:rsidRPr="00C42E2F">
        <w:rPr>
          <w:b w:val="0"/>
          <w:bCs/>
          <w:sz w:val="20"/>
        </w:rPr>
        <w:t xml:space="preserve">$/kg, as </w:t>
      </w:r>
      <w:r w:rsidR="00960530" w:rsidRPr="00C42E2F">
        <w:rPr>
          <w:b w:val="0"/>
          <w:bCs/>
          <w:sz w:val="20"/>
        </w:rPr>
        <w:t>shown</w:t>
      </w:r>
      <w:r w:rsidR="00BA6922" w:rsidRPr="00C42E2F">
        <w:rPr>
          <w:b w:val="0"/>
          <w:bCs/>
          <w:sz w:val="20"/>
        </w:rPr>
        <w:t xml:space="preserve"> in Table 2. </w:t>
      </w:r>
      <w:r w:rsidR="00C42E2F" w:rsidRPr="00C42E2F">
        <w:rPr>
          <w:b w:val="0"/>
          <w:bCs/>
          <w:sz w:val="20"/>
        </w:rPr>
        <w:t xml:space="preserve">On the contrary </w:t>
      </w:r>
      <w:r w:rsidR="00BA6922" w:rsidRPr="00C42E2F">
        <w:rPr>
          <w:b w:val="0"/>
          <w:bCs/>
          <w:sz w:val="20"/>
        </w:rPr>
        <w:t>Hu et al., (2023) explored the production of renewable diesel using fast pyrolysis, employing a combination of algal and straw biomass as feedstock. Their research demonstrated the potential to achieve a highly competitive production cost of only 1.08</w:t>
      </w:r>
      <w:r w:rsidR="00B10B28">
        <w:rPr>
          <w:b w:val="0"/>
          <w:bCs/>
          <w:sz w:val="20"/>
        </w:rPr>
        <w:t xml:space="preserve"> </w:t>
      </w:r>
      <w:r w:rsidR="00BA6922" w:rsidRPr="00C42E2F">
        <w:rPr>
          <w:b w:val="0"/>
          <w:bCs/>
          <w:sz w:val="20"/>
        </w:rPr>
        <w:t xml:space="preserve">$/kg </w:t>
      </w:r>
      <w:r w:rsidR="00BA6922" w:rsidRPr="00C42E2F">
        <w:rPr>
          <w:b w:val="0"/>
          <w:bCs/>
          <w:sz w:val="20"/>
        </w:rPr>
        <w:fldChar w:fldCharType="begin"/>
      </w:r>
      <w:r w:rsidR="00D94439">
        <w:rPr>
          <w:b w:val="0"/>
          <w:bCs/>
          <w:sz w:val="20"/>
        </w:rPr>
        <w:instrText xml:space="preserve"> ADDIN EN.CITE &lt;EndNote&gt;&lt;Cite&gt;&lt;Author&gt;Hu&lt;/Author&gt;&lt;Year&gt;2023&lt;/Year&gt;&lt;RecNum&gt;1904&lt;/RecNum&gt;&lt;DisplayText&gt;(Hu et al., 2023)&lt;/DisplayText&gt;&lt;record&gt;&lt;rec-number&gt;1904&lt;/rec-number&gt;&lt;foreign-keys&gt;&lt;key app="EN" db-id="5wxzzztei5drfretswrvswe8sfpvzzptpvvd" timestamp="1685607939"&gt;1904&lt;/key&gt;&lt;/foreign-keys&gt;&lt;ref-type name="Journal Article"&gt;17&lt;/ref-type&gt;&lt;contributors&gt;&lt;authors&gt;&lt;author&gt;Hu, Jiashun&lt;/author&gt;&lt;author&gt;Chen, Xuanying&lt;/author&gt;&lt;author&gt;Yang, Xiaoxue&lt;/author&gt;&lt;author&gt;Li, Ruosong&lt;/author&gt;&lt;author&gt;Wu, Le&lt;/author&gt;&lt;/authors&gt;&lt;/contributors&gt;&lt;titles&gt;&lt;title&gt;Co-processing of gas oil and bio-oil derived from algae and straw: Techno-economic analysis&lt;/title&gt;&lt;secondary-title&gt;Fuel&lt;/secondary-title&gt;&lt;/titles&gt;&lt;periodical&gt;&lt;full-title&gt;Fuel&lt;/full-title&gt;&lt;/periodical&gt;&lt;pages&gt;127583&lt;/pages&gt;&lt;volume&gt;340&lt;/volume&gt;&lt;keywords&gt;&lt;keyword&gt;Co-processing&lt;/keyword&gt;&lt;keyword&gt;Fast pyrolysis&lt;/keyword&gt;&lt;keyword&gt;Hydrothermal liquefaction&lt;/keyword&gt;&lt;keyword&gt;Techno-economic analysis&lt;/keyword&gt;&lt;/keywords&gt;&lt;dates&gt;&lt;year&gt;2023&lt;/year&gt;&lt;pub-dates&gt;&lt;date&gt;2023/05/15/&lt;/date&gt;&lt;/pub-dates&gt;&lt;/dates&gt;&lt;isbn&gt;0016-2361&lt;/isbn&gt;&lt;urls&gt;&lt;related-urls&gt;&lt;url&gt;https://www.sciencedirect.com/science/article/pii/S0016236123001965&lt;/url&gt;&lt;/related-urls&gt;&lt;/urls&gt;&lt;electronic-resource-num&gt;https://doi.org/10.1016/j.fuel.2023.127583&lt;/electronic-resource-num&gt;&lt;/record&gt;&lt;/Cite&gt;&lt;/EndNote&gt;</w:instrText>
      </w:r>
      <w:r w:rsidR="00BA6922" w:rsidRPr="00C42E2F">
        <w:rPr>
          <w:b w:val="0"/>
          <w:bCs/>
          <w:sz w:val="20"/>
        </w:rPr>
        <w:fldChar w:fldCharType="separate"/>
      </w:r>
      <w:r w:rsidR="00D94439">
        <w:rPr>
          <w:b w:val="0"/>
          <w:bCs/>
          <w:noProof/>
          <w:sz w:val="20"/>
        </w:rPr>
        <w:t>(Hu et al., 2023)</w:t>
      </w:r>
      <w:r w:rsidR="00BA6922" w:rsidRPr="00C42E2F">
        <w:rPr>
          <w:b w:val="0"/>
          <w:bCs/>
          <w:sz w:val="20"/>
        </w:rPr>
        <w:fldChar w:fldCharType="end"/>
      </w:r>
      <w:r w:rsidR="00BA6922" w:rsidRPr="00C42E2F">
        <w:rPr>
          <w:b w:val="0"/>
          <w:bCs/>
          <w:sz w:val="20"/>
        </w:rPr>
        <w:t xml:space="preserve">. In a similar pursuit, Patel et al., (2019) </w:t>
      </w:r>
      <w:r w:rsidR="00C42E2F" w:rsidRPr="00C42E2F">
        <w:rPr>
          <w:b w:val="0"/>
          <w:bCs/>
          <w:sz w:val="20"/>
          <w:lang w:val="en-GB"/>
        </w:rPr>
        <w:t>explored fast pyrolysis of Canadian biomass feedstocks, including wheat straw, maize stover, and spruce, finding the potential to produce diesel at a more affordable cost of 1.25</w:t>
      </w:r>
      <w:r w:rsidR="00B10B28">
        <w:rPr>
          <w:b w:val="0"/>
          <w:bCs/>
          <w:sz w:val="20"/>
          <w:lang w:val="en-GB"/>
        </w:rPr>
        <w:t xml:space="preserve"> </w:t>
      </w:r>
      <w:r w:rsidR="00C42E2F" w:rsidRPr="00C42E2F">
        <w:rPr>
          <w:b w:val="0"/>
          <w:bCs/>
          <w:sz w:val="20"/>
          <w:lang w:val="en-GB"/>
        </w:rPr>
        <w:t>$/kg</w:t>
      </w:r>
      <w:r w:rsidR="00BA6922" w:rsidRPr="00C42E2F">
        <w:rPr>
          <w:b w:val="0"/>
          <w:bCs/>
          <w:sz w:val="20"/>
        </w:rPr>
        <w:t xml:space="preserve"> </w:t>
      </w:r>
      <w:r w:rsidR="00BA6922" w:rsidRPr="00C42E2F">
        <w:rPr>
          <w:b w:val="0"/>
          <w:bCs/>
          <w:sz w:val="20"/>
        </w:rPr>
        <w:fldChar w:fldCharType="begin"/>
      </w:r>
      <w:r w:rsidR="00D94439">
        <w:rPr>
          <w:b w:val="0"/>
          <w:bCs/>
          <w:sz w:val="20"/>
        </w:rPr>
        <w:instrText xml:space="preserve"> ADDIN EN.CITE &lt;EndNote&gt;&lt;Cite&gt;&lt;Author&gt;Patel&lt;/Author&gt;&lt;Year&gt;2019&lt;/Year&gt;&lt;RecNum&gt;1955&lt;/RecNum&gt;&lt;DisplayText&gt;(Patel et al., 2019)&lt;/DisplayText&gt;&lt;record&gt;&lt;rec-number&gt;1955&lt;/rec-number&gt;&lt;foreign-keys&gt;&lt;key app="EN" db-id="5wxzzztei5drfretswrvswe8sfpvzzptpvvd" timestamp="1700474302"&gt;1955&lt;/key&gt;&lt;/foreign-keys&gt;&lt;ref-type name="Journal Article"&gt;17&lt;/ref-type&gt;&lt;contributors&gt;&lt;authors&gt;&lt;author&gt;Patel, Madhumita&lt;/author&gt;&lt;author&gt;Oyedun, Adetoyese Olajire&lt;/author&gt;&lt;author&gt;Kumar, Amit&lt;/author&gt;&lt;author&gt;Gupta, Rajender&lt;/author&gt;&lt;/authors&gt;&lt;/contributors&gt;&lt;titles&gt;&lt;title&gt;What is the production cost of renewable diesel from woody biomass and agricultural residue based on experimentation? A comparative assessment&lt;/title&gt;&lt;secondary-title&gt;Fuel Processing Technology&lt;/secondary-title&gt;&lt;/titles&gt;&lt;periodical&gt;&lt;full-title&gt;Fuel Processing Technology&lt;/full-title&gt;&lt;/periodical&gt;&lt;pages&gt;79-92&lt;/pages&gt;&lt;volume&gt;191&lt;/volume&gt;&lt;keywords&gt;&lt;keyword&gt;Techno-economic analysis&lt;/keyword&gt;&lt;keyword&gt;Fast pyrolysis&lt;/keyword&gt;&lt;keyword&gt;Hydroprocessing&lt;/keyword&gt;&lt;keyword&gt;Fluidized bed&lt;/keyword&gt;&lt;keyword&gt;Biomass to renewable diesel&lt;/keyword&gt;&lt;/keywords&gt;&lt;dates&gt;&lt;year&gt;2019&lt;/year&gt;&lt;pub-dates&gt;&lt;date&gt;2019/08/01/&lt;/date&gt;&lt;/pub-dates&gt;&lt;/dates&gt;&lt;isbn&gt;0378-3820&lt;/isbn&gt;&lt;urls&gt;&lt;related-urls&gt;&lt;url&gt;https://www.sciencedirect.com/science/article/pii/S0378382018318666&lt;/url&gt;&lt;/related-urls&gt;&lt;/urls&gt;&lt;electronic-resource-num&gt;https://doi.org/10.1016/j.fuproc.2019.03.026&lt;/electronic-resource-num&gt;&lt;/record&gt;&lt;/Cite&gt;&lt;/EndNote&gt;</w:instrText>
      </w:r>
      <w:r w:rsidR="00BA6922" w:rsidRPr="00C42E2F">
        <w:rPr>
          <w:b w:val="0"/>
          <w:bCs/>
          <w:sz w:val="20"/>
        </w:rPr>
        <w:fldChar w:fldCharType="separate"/>
      </w:r>
      <w:r w:rsidR="00D94439">
        <w:rPr>
          <w:b w:val="0"/>
          <w:bCs/>
          <w:noProof/>
          <w:sz w:val="20"/>
        </w:rPr>
        <w:t>(Patel et al., 2019)</w:t>
      </w:r>
      <w:r w:rsidR="00BA6922" w:rsidRPr="00C42E2F">
        <w:rPr>
          <w:b w:val="0"/>
          <w:bCs/>
          <w:sz w:val="20"/>
        </w:rPr>
        <w:fldChar w:fldCharType="end"/>
      </w:r>
      <w:r w:rsidR="00BA6922" w:rsidRPr="00C42E2F">
        <w:rPr>
          <w:b w:val="0"/>
          <w:bCs/>
          <w:sz w:val="20"/>
        </w:rPr>
        <w:t>.</w:t>
      </w:r>
    </w:p>
    <w:p w14:paraId="2C694476" w14:textId="4B6C9A4E" w:rsidR="001A7AE2" w:rsidRDefault="009D736F" w:rsidP="00D94439">
      <w:pPr>
        <w:pStyle w:val="Els-body-text"/>
      </w:pPr>
      <w:r>
        <w:fldChar w:fldCharType="begin"/>
      </w:r>
      <w:r>
        <w:instrText xml:space="preserve"> REF _Ref151560794 \h </w:instrText>
      </w:r>
      <w:r>
        <w:fldChar w:fldCharType="separate"/>
      </w:r>
      <w:r w:rsidR="009D6D05">
        <w:t xml:space="preserve">Figure </w:t>
      </w:r>
      <w:r w:rsidR="009D6D05">
        <w:rPr>
          <w:noProof/>
        </w:rPr>
        <w:t>2</w:t>
      </w:r>
      <w:r>
        <w:fldChar w:fldCharType="end"/>
      </w:r>
      <w:r>
        <w:t xml:space="preserve"> </w:t>
      </w:r>
      <w:r w:rsidR="0031302B" w:rsidRPr="00294D38">
        <w:t>illustrates the optimized pathway for gasoline production through the methanol-to-gasoline (</w:t>
      </w:r>
      <w:proofErr w:type="spellStart"/>
      <w:r w:rsidR="0031302B" w:rsidRPr="00294D38">
        <w:t>MtG</w:t>
      </w:r>
      <w:proofErr w:type="spellEnd"/>
      <w:r w:rsidR="0031302B" w:rsidRPr="00294D38">
        <w:t>) process via gasification. According to Table 2, the Minimum Selling Price (MSP) for gasoline is 1.506</w:t>
      </w:r>
      <w:r w:rsidR="00B10B28">
        <w:t xml:space="preserve"> </w:t>
      </w:r>
      <w:r w:rsidR="0031302B">
        <w:t>$/kg</w:t>
      </w:r>
      <w:r w:rsidR="0031302B" w:rsidRPr="00294D38">
        <w:t>, while the market price is slightly higher at 1.62</w:t>
      </w:r>
      <w:r w:rsidR="00B10B28">
        <w:t xml:space="preserve"> </w:t>
      </w:r>
      <w:r w:rsidR="0031302B">
        <w:t>$/kg</w:t>
      </w:r>
      <w:r w:rsidR="0031302B" w:rsidRPr="00294D38">
        <w:t>. These numbers reveal a competitive pricing structure for gasoline production in our study. The break-even price of ethanol, as determined by the optimization solver in our study, is 1.863</w:t>
      </w:r>
      <w:r w:rsidR="00B10B28">
        <w:t xml:space="preserve"> </w:t>
      </w:r>
      <w:r w:rsidR="0031302B">
        <w:t>$/kg</w:t>
      </w:r>
      <w:r w:rsidR="0031302B" w:rsidRPr="00294D38">
        <w:t xml:space="preserve">. </w:t>
      </w:r>
      <w:r w:rsidRPr="009D736F">
        <w:rPr>
          <w:lang w:val="en-GB"/>
        </w:rPr>
        <w:t xml:space="preserve">It is </w:t>
      </w:r>
      <w:r>
        <w:rPr>
          <w:lang w:val="en-GB"/>
        </w:rPr>
        <w:t>worth noting</w:t>
      </w:r>
      <w:r w:rsidRPr="009D736F">
        <w:rPr>
          <w:lang w:val="en-GB"/>
        </w:rPr>
        <w:t xml:space="preserve"> that alternative studies, such as Melin et al. (2022), exploring biomass gasification for ethanol production with syngas purification through a membrane, have reported substantially lower MSP, achieving a levelized cost of 0.88</w:t>
      </w:r>
      <w:r w:rsidR="00B10B28">
        <w:rPr>
          <w:lang w:val="en-GB"/>
        </w:rPr>
        <w:t xml:space="preserve"> </w:t>
      </w:r>
      <w:r w:rsidRPr="009D736F">
        <w:rPr>
          <w:lang w:val="en-GB"/>
        </w:rPr>
        <w:t>$/kg</w:t>
      </w:r>
      <w:r w:rsidR="0031302B" w:rsidRPr="00294D38">
        <w:t xml:space="preserve"> </w:t>
      </w:r>
      <w:r w:rsidR="0031302B" w:rsidRPr="00294D38">
        <w:fldChar w:fldCharType="begin"/>
      </w:r>
      <w:r w:rsidR="00D94439">
        <w:instrText xml:space="preserve"> ADDIN EN.CITE &lt;EndNote&gt;&lt;Cite&gt;&lt;Author&gt;Melin&lt;/Author&gt;&lt;Year&gt;2022&lt;/Year&gt;&lt;RecNum&gt;1865&lt;/RecNum&gt;&lt;DisplayText&gt;(Melin et al., 2022)&lt;/DisplayText&gt;&lt;record&gt;&lt;rec-number&gt;1865&lt;/rec-number&gt;&lt;foreign-keys&gt;&lt;key app="EN" db-id="5wxzzztei5drfretswrvswe8sfpvzzptpvvd" timestamp="1683882309"&gt;1865&lt;/key&gt;&lt;/foreign-keys&gt;&lt;ref-type name="Journal Article"&gt;17&lt;/ref-type&gt;&lt;contributors&gt;&lt;authors&gt;&lt;author&gt;Melin,Kristian&lt;/author&gt;&lt;author&gt;Nieminen,Harri&lt;/author&gt;&lt;author&gt;Klüh,Daniel&lt;/author&gt;&lt;author&gt;Laari,Arto&lt;/author&gt;&lt;author&gt;Koiranen,Tuomas&lt;/author&gt;&lt;author&gt;Gaderer,Matthias&lt;/author&gt;&lt;/authors&gt;&lt;/contributors&gt;&lt;titles&gt;&lt;title&gt;Techno-Economic Evaluation of Novel Hybrid Biomass and Electricity-Based Ethanol Fuel Production&lt;/title&gt;&lt;secondary-title&gt;Frontiers in Energy Research&lt;/secondary-title&gt;&lt;short-title&gt;TEA hybrid biomass electricity ethanol&lt;/short-title&gt;&lt;/titles&gt;&lt;periodical&gt;&lt;full-title&gt;Frontiers in Energy Research&lt;/full-title&gt;&lt;/periodical&gt;&lt;volume&gt;10&lt;/volume&gt;&lt;keywords&gt;&lt;keyword&gt;Hybrid,biomass,eletrofuels,Ethanol,Techno-economic analysis (TEA),Power to Fuel,Biomass to Fuel&lt;/keyword&gt;&lt;/keywords&gt;&lt;dates&gt;&lt;year&gt;2022&lt;/year&gt;&lt;pub-dates&gt;&lt;date&gt;2022-February-18&lt;/date&gt;&lt;/pub-dates&gt;&lt;/dates&gt;&lt;isbn&gt;2296-598X&lt;/isbn&gt;&lt;work-type&gt;Original Research&lt;/work-type&gt;&lt;urls&gt;&lt;related-urls&gt;&lt;url&gt;https://www.frontiersin.org/articles/10.3389/fenrg.2022.796104&lt;/url&gt;&lt;/related-urls&gt;&lt;/urls&gt;&lt;electronic-resource-num&gt;10.3389/fenrg.2022.796104&lt;/electronic-resource-num&gt;&lt;language&gt;English&lt;/language&gt;&lt;/record&gt;&lt;/Cite&gt;&lt;/EndNote&gt;</w:instrText>
      </w:r>
      <w:r w:rsidR="0031302B" w:rsidRPr="00294D38">
        <w:fldChar w:fldCharType="separate"/>
      </w:r>
      <w:r w:rsidR="00D94439">
        <w:rPr>
          <w:noProof/>
        </w:rPr>
        <w:t>(Melin et al., 2022)</w:t>
      </w:r>
      <w:r w:rsidR="0031302B" w:rsidRPr="00294D38">
        <w:fldChar w:fldCharType="end"/>
      </w:r>
      <w:r w:rsidR="0031302B" w:rsidRPr="00294D38">
        <w:t>.</w:t>
      </w:r>
      <w:r w:rsidR="00C42E2F">
        <w:t xml:space="preserve"> Similarly,</w:t>
      </w:r>
      <w:r w:rsidR="0031302B" w:rsidRPr="00294D38">
        <w:t xml:space="preserve"> Rigs et al. (2023) proposed that co-utilization of green hydrogen and fermented syngas could achieve an MSP of 0.97</w:t>
      </w:r>
      <w:r w:rsidR="00B10B28">
        <w:t xml:space="preserve"> </w:t>
      </w:r>
      <w:r w:rsidR="0031302B">
        <w:t xml:space="preserve">$/kg </w:t>
      </w:r>
      <w:r w:rsidR="0031302B" w:rsidRPr="00294D38">
        <w:t xml:space="preserve">for ethanol </w:t>
      </w:r>
      <w:r w:rsidR="0031302B" w:rsidRPr="00294D38">
        <w:fldChar w:fldCharType="begin"/>
      </w:r>
      <w:r w:rsidR="00D94439">
        <w:instrText xml:space="preserve"> ADDIN EN.CITE &lt;EndNote&gt;&lt;Cite&gt;&lt;Author&gt;Regis&lt;/Author&gt;&lt;Year&gt;2023&lt;/Year&gt;&lt;RecNum&gt;1896&lt;/RecNum&gt;&lt;DisplayText&gt;(Regis et al., 2023)&lt;/DisplayText&gt;&lt;record&gt;&lt;rec-number&gt;1896&lt;/rec-number&gt;&lt;foreign-keys&gt;&lt;key app="EN" db-id="5wxzzztei5drfretswrvswe8sfpvzzptpvvd" timestamp="1685569184"&gt;1896&lt;/key&gt;&lt;/foreign-keys&gt;&lt;ref-type name="Journal Article"&gt;17&lt;/ref-type&gt;&lt;contributors&gt;&lt;authors&gt;&lt;author&gt;Regis, Francesco&lt;/author&gt;&lt;author&gt;Monteverde, Alessandro Hugo Antonio&lt;/author&gt;&lt;author&gt;Fino, Debora&lt;/author&gt;&lt;/authors&gt;&lt;/contributors&gt;&lt;titles&gt;&lt;title&gt;A techno-economic assessment of bioethanol production from switchgrass through biomass gasification and syngas fermentation&lt;/title&gt;&lt;secondary-title&gt;Energy&lt;/secondary-title&gt;&lt;/titles&gt;&lt;periodical&gt;&lt;full-title&gt;Energy&lt;/full-title&gt;&lt;/periodical&gt;&lt;pages&gt;127318&lt;/pages&gt;&lt;volume&gt;274&lt;/volume&gt;&lt;keywords&gt;&lt;keyword&gt;Bioethanol&lt;/keyword&gt;&lt;keyword&gt;Gasification&lt;/keyword&gt;&lt;keyword&gt;Syngas fermentation&lt;/keyword&gt;&lt;keyword&gt;Techno-economic analysis&lt;/keyword&gt;&lt;keyword&gt;Process simulation&lt;/keyword&gt;&lt;keyword&gt;Aspen plus&lt;/keyword&gt;&lt;/keywords&gt;&lt;dates&gt;&lt;year&gt;2023&lt;/year&gt;&lt;pub-dates&gt;&lt;date&gt;2023/07/01/&lt;/date&gt;&lt;/pub-dates&gt;&lt;/dates&gt;&lt;isbn&gt;0360-5442&lt;/isbn&gt;&lt;urls&gt;&lt;related-urls&gt;&lt;url&gt;https://www.sciencedirect.com/science/article/pii/S0360544223007120&lt;/url&gt;&lt;/related-urls&gt;&lt;/urls&gt;&lt;electronic-resource-num&gt;https://doi.org/10.1016/j.energy.2023.127318&lt;/electronic-resource-num&gt;&lt;/record&gt;&lt;/Cite&gt;&lt;/EndNote&gt;</w:instrText>
      </w:r>
      <w:r w:rsidR="0031302B" w:rsidRPr="00294D38">
        <w:fldChar w:fldCharType="separate"/>
      </w:r>
      <w:r w:rsidR="00D94439">
        <w:rPr>
          <w:noProof/>
        </w:rPr>
        <w:t>(Regis et al., 2023)</w:t>
      </w:r>
      <w:r w:rsidR="0031302B" w:rsidRPr="00294D38">
        <w:fldChar w:fldCharType="end"/>
      </w:r>
      <w:r w:rsidR="0031302B" w:rsidRPr="00294D38">
        <w:t>.</w:t>
      </w:r>
      <w:r w:rsidR="00C42E2F">
        <w:t xml:space="preserve"> </w:t>
      </w:r>
    </w:p>
    <w:p w14:paraId="3C5250EE" w14:textId="77777777" w:rsidR="00BC1E40" w:rsidRDefault="00BC1E40" w:rsidP="00D94439">
      <w:pPr>
        <w:pStyle w:val="Els-body-text"/>
      </w:pPr>
    </w:p>
    <w:p w14:paraId="5A42A5DC" w14:textId="45AE8460" w:rsidR="0070080A" w:rsidRPr="0070080A" w:rsidRDefault="0070080A" w:rsidP="003B4FFF">
      <w:pPr>
        <w:pStyle w:val="Els-1storder-head"/>
        <w:spacing w:before="0" w:after="0"/>
        <w:rPr>
          <w:lang w:val="en-GB"/>
        </w:rPr>
      </w:pPr>
      <w:r w:rsidRPr="00A94774">
        <w:rPr>
          <w:lang w:val="en-GB"/>
        </w:rPr>
        <w:t>Conclusions</w:t>
      </w:r>
    </w:p>
    <w:p w14:paraId="438E84B4" w14:textId="58A48467" w:rsidR="0063421C" w:rsidRPr="00B10B28" w:rsidRDefault="0070080A" w:rsidP="0070080A">
      <w:pPr>
        <w:pStyle w:val="Els-body-text"/>
        <w:rPr>
          <w:lang w:val="en-GB"/>
        </w:rPr>
      </w:pPr>
      <w:r>
        <w:t>T</w:t>
      </w:r>
      <w:r w:rsidRPr="0070080A">
        <w:t xml:space="preserve">he study </w:t>
      </w:r>
      <w:r w:rsidR="00960530" w:rsidRPr="0070080A">
        <w:t>supplies</w:t>
      </w:r>
      <w:r w:rsidRPr="0070080A">
        <w:t xml:space="preserve"> a thorough exploration of various thermochemical pathways for renewable liquid fuel production in Spain. </w:t>
      </w:r>
      <w:r w:rsidR="0063421C" w:rsidRPr="0063421C">
        <w:rPr>
          <w:lang w:val="en-GB"/>
        </w:rPr>
        <w:t xml:space="preserve">Using a network optimization framework, technologies like biomass gasification, Fischer–Tropsch synthesis, and methanol-to-gasoline are assessed for converting woody biomass into economically </w:t>
      </w:r>
      <w:r w:rsidR="00AE129B" w:rsidRPr="0063421C">
        <w:rPr>
          <w:lang w:val="en-GB"/>
        </w:rPr>
        <w:t>feasible</w:t>
      </w:r>
      <w:r w:rsidR="0063421C" w:rsidRPr="0063421C">
        <w:rPr>
          <w:lang w:val="en-GB"/>
        </w:rPr>
        <w:t xml:space="preserve"> liquid fuels. </w:t>
      </w:r>
      <w:r w:rsidR="002A100E" w:rsidRPr="002A100E">
        <w:rPr>
          <w:lang w:val="en-GB"/>
        </w:rPr>
        <w:t xml:space="preserve">The economic </w:t>
      </w:r>
      <w:r w:rsidR="00AE129B" w:rsidRPr="002A100E">
        <w:rPr>
          <w:lang w:val="en-GB"/>
        </w:rPr>
        <w:t>feasibility</w:t>
      </w:r>
      <w:r w:rsidR="002A100E" w:rsidRPr="002A100E">
        <w:rPr>
          <w:lang w:val="en-GB"/>
        </w:rPr>
        <w:t xml:space="preserve"> of the proposed liquid fuel production pathways is underscored by a compelling MSP of 1.506</w:t>
      </w:r>
      <w:r w:rsidR="003F75BA">
        <w:rPr>
          <w:lang w:val="en-GB"/>
        </w:rPr>
        <w:t xml:space="preserve"> </w:t>
      </w:r>
      <w:r w:rsidR="003F75BA" w:rsidRPr="003F75BA">
        <w:rPr>
          <w:lang w:val="en-GB"/>
        </w:rPr>
        <w:t>$</w:t>
      </w:r>
      <w:r w:rsidR="002A100E" w:rsidRPr="002A100E">
        <w:rPr>
          <w:lang w:val="en-GB"/>
        </w:rPr>
        <w:t>/kg for gasoline and 1.863</w:t>
      </w:r>
      <w:r w:rsidR="003F75BA">
        <w:rPr>
          <w:lang w:val="en-GB"/>
        </w:rPr>
        <w:t xml:space="preserve"> </w:t>
      </w:r>
      <w:r w:rsidR="003F75BA" w:rsidRPr="002A100E">
        <w:rPr>
          <w:lang w:val="en-GB"/>
        </w:rPr>
        <w:t>$</w:t>
      </w:r>
      <w:r w:rsidR="002A100E" w:rsidRPr="002A100E">
        <w:rPr>
          <w:lang w:val="en-GB"/>
        </w:rPr>
        <w:t>/kg for ethanol</w:t>
      </w:r>
      <w:r w:rsidR="0063421C" w:rsidRPr="0063421C">
        <w:rPr>
          <w:lang w:val="en-GB"/>
        </w:rPr>
        <w:t>, both below current market rates</w:t>
      </w:r>
      <w:r w:rsidR="002A100E">
        <w:rPr>
          <w:lang w:val="en-GB"/>
        </w:rPr>
        <w:t>.</w:t>
      </w:r>
      <w:r w:rsidR="002A100E" w:rsidRPr="002A100E">
        <w:rPr>
          <w:rFonts w:ascii="Segoe UI" w:hAnsi="Segoe UI" w:cs="Segoe UI"/>
          <w:color w:val="374151"/>
          <w:lang w:val="en-GB"/>
        </w:rPr>
        <w:t xml:space="preserve"> </w:t>
      </w:r>
      <w:r w:rsidR="002A100E" w:rsidRPr="002A100E">
        <w:rPr>
          <w:lang w:val="en-GB"/>
        </w:rPr>
        <w:t>This underscores their potential to not only meet market demands but also contribute significantly to the renewable energy landscape in Spain.</w:t>
      </w:r>
      <w:r w:rsidR="0063421C" w:rsidRPr="0063421C">
        <w:rPr>
          <w:lang w:val="en-GB"/>
        </w:rPr>
        <w:t xml:space="preserve"> </w:t>
      </w:r>
      <w:r w:rsidR="00A502CE" w:rsidRPr="00A502CE">
        <w:rPr>
          <w:lang w:val="en-GB"/>
        </w:rPr>
        <w:t>Moreover, a comprehensive evaluation, including detailed supply chain and life cycle analyses, is imperative to assess the environmental impact of any future thermochemical facility within the Spanish territory</w:t>
      </w:r>
      <w:r w:rsidR="0063421C">
        <w:rPr>
          <w:lang w:val="en-GB"/>
        </w:rPr>
        <w:t>.</w:t>
      </w:r>
    </w:p>
    <w:p w14:paraId="32BEFA89" w14:textId="66C84B7D" w:rsidR="00C42E2F" w:rsidRDefault="00F7382D" w:rsidP="00C42E2F">
      <w:pPr>
        <w:pStyle w:val="Els-body-text"/>
        <w:keepNext/>
      </w:pPr>
      <w:r w:rsidRPr="00F7382D">
        <w:rPr>
          <w:noProof/>
        </w:rPr>
        <w:lastRenderedPageBreak/>
        <w:drawing>
          <wp:inline distT="0" distB="0" distL="0" distR="0" wp14:anchorId="75691BBE" wp14:editId="7E66823B">
            <wp:extent cx="4499610" cy="2326005"/>
            <wp:effectExtent l="0" t="0" r="0" b="0"/>
            <wp:docPr id="833944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9610" cy="2326005"/>
                    </a:xfrm>
                    <a:prstGeom prst="rect">
                      <a:avLst/>
                    </a:prstGeom>
                    <a:noFill/>
                    <a:ln>
                      <a:noFill/>
                    </a:ln>
                  </pic:spPr>
                </pic:pic>
              </a:graphicData>
            </a:graphic>
          </wp:inline>
        </w:drawing>
      </w:r>
    </w:p>
    <w:p w14:paraId="7104E371" w14:textId="057B38CD" w:rsidR="00321FED" w:rsidRPr="00321FED" w:rsidRDefault="00C42E2F" w:rsidP="00C42E2F">
      <w:pPr>
        <w:pStyle w:val="Caption"/>
        <w:jc w:val="center"/>
      </w:pPr>
      <w:bookmarkStart w:id="2" w:name="_Ref151560794"/>
      <w:r>
        <w:t xml:space="preserve">Figure </w:t>
      </w:r>
      <w:r>
        <w:fldChar w:fldCharType="begin"/>
      </w:r>
      <w:r>
        <w:instrText xml:space="preserve"> SEQ Figure \* ARABIC </w:instrText>
      </w:r>
      <w:r>
        <w:fldChar w:fldCharType="separate"/>
      </w:r>
      <w:r w:rsidR="009D6D05">
        <w:rPr>
          <w:noProof/>
        </w:rPr>
        <w:t>2</w:t>
      </w:r>
      <w:r>
        <w:fldChar w:fldCharType="end"/>
      </w:r>
      <w:bookmarkEnd w:id="2"/>
      <w:r>
        <w:t>: Optimized superstructure</w:t>
      </w:r>
    </w:p>
    <w:p w14:paraId="38545B2D" w14:textId="3961F163" w:rsidR="00294D38" w:rsidRPr="00294D38" w:rsidRDefault="00294D38" w:rsidP="00294D38">
      <w:pPr>
        <w:pStyle w:val="Els-body-text"/>
        <w:rPr>
          <w:i/>
          <w:iCs/>
        </w:rPr>
      </w:pPr>
      <w:bookmarkStart w:id="3" w:name="_Ref136467556"/>
      <w:r w:rsidRPr="00294D38">
        <w:rPr>
          <w:i/>
          <w:iCs/>
        </w:rPr>
        <w:t xml:space="preserve">Table </w:t>
      </w:r>
      <w:r w:rsidRPr="00294D38">
        <w:rPr>
          <w:i/>
          <w:iCs/>
        </w:rPr>
        <w:fldChar w:fldCharType="begin"/>
      </w:r>
      <w:r w:rsidRPr="00294D38">
        <w:rPr>
          <w:i/>
          <w:iCs/>
        </w:rPr>
        <w:instrText xml:space="preserve"> SEQ Table \* ARABIC </w:instrText>
      </w:r>
      <w:r w:rsidRPr="00294D38">
        <w:rPr>
          <w:i/>
          <w:iCs/>
        </w:rPr>
        <w:fldChar w:fldCharType="separate"/>
      </w:r>
      <w:r w:rsidR="009D6D05">
        <w:rPr>
          <w:i/>
          <w:iCs/>
          <w:noProof/>
        </w:rPr>
        <w:t>2</w:t>
      </w:r>
      <w:r w:rsidRPr="00294D38">
        <w:fldChar w:fldCharType="end"/>
      </w:r>
      <w:bookmarkEnd w:id="3"/>
      <w:r w:rsidRPr="00294D38">
        <w:rPr>
          <w:i/>
          <w:iCs/>
        </w:rPr>
        <w:t>: Minimum Selling Price (MSP) of each product with feedstock and the associated energy consumed.</w:t>
      </w:r>
    </w:p>
    <w:tbl>
      <w:tblPr>
        <w:tblStyle w:val="TableGrid"/>
        <w:tblW w:w="707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810"/>
        <w:gridCol w:w="720"/>
        <w:gridCol w:w="1170"/>
        <w:gridCol w:w="1170"/>
        <w:gridCol w:w="1170"/>
        <w:gridCol w:w="1052"/>
      </w:tblGrid>
      <w:tr w:rsidR="00BB4A63" w:rsidRPr="00294D38" w14:paraId="4F54A327" w14:textId="77777777" w:rsidTr="007C5C2D">
        <w:trPr>
          <w:trHeight w:val="490"/>
        </w:trPr>
        <w:tc>
          <w:tcPr>
            <w:tcW w:w="985" w:type="dxa"/>
            <w:tcBorders>
              <w:top w:val="single" w:sz="4" w:space="0" w:color="auto"/>
              <w:bottom w:val="single" w:sz="4" w:space="0" w:color="auto"/>
            </w:tcBorders>
            <w:hideMark/>
          </w:tcPr>
          <w:p w14:paraId="173A9A9A"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Product</w:t>
            </w:r>
          </w:p>
        </w:tc>
        <w:tc>
          <w:tcPr>
            <w:tcW w:w="810" w:type="dxa"/>
            <w:tcBorders>
              <w:top w:val="single" w:sz="4" w:space="0" w:color="auto"/>
              <w:bottom w:val="single" w:sz="4" w:space="0" w:color="auto"/>
            </w:tcBorders>
            <w:hideMark/>
          </w:tcPr>
          <w:p w14:paraId="3E49C3D6" w14:textId="0B6E177C"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Price</w:t>
            </w:r>
            <w:r w:rsidR="00BB4A63" w:rsidRPr="003B4FFF">
              <w:rPr>
                <w:rFonts w:ascii="Times New Roman" w:hAnsi="Times New Roman" w:cs="Times New Roman"/>
                <w:sz w:val="20"/>
              </w:rPr>
              <w:t xml:space="preserve"> </w:t>
            </w:r>
            <w:r w:rsidRPr="003B4FFF">
              <w:rPr>
                <w:rFonts w:ascii="Times New Roman" w:hAnsi="Times New Roman" w:cs="Times New Roman"/>
                <w:sz w:val="20"/>
              </w:rPr>
              <w:t>($/kg)</w:t>
            </w:r>
          </w:p>
        </w:tc>
        <w:tc>
          <w:tcPr>
            <w:tcW w:w="720" w:type="dxa"/>
            <w:tcBorders>
              <w:top w:val="single" w:sz="4" w:space="0" w:color="auto"/>
              <w:bottom w:val="single" w:sz="4" w:space="0" w:color="auto"/>
            </w:tcBorders>
            <w:hideMark/>
          </w:tcPr>
          <w:p w14:paraId="2EEAC3EE" w14:textId="06F1B6D1"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MSP</w:t>
            </w:r>
            <w:r w:rsidR="00BB4A63" w:rsidRPr="003B4FFF">
              <w:rPr>
                <w:rFonts w:ascii="Times New Roman" w:hAnsi="Times New Roman" w:cs="Times New Roman"/>
                <w:sz w:val="20"/>
              </w:rPr>
              <w:t xml:space="preserve"> </w:t>
            </w:r>
            <w:r w:rsidRPr="003B4FFF">
              <w:rPr>
                <w:rFonts w:ascii="Times New Roman" w:hAnsi="Times New Roman" w:cs="Times New Roman"/>
                <w:sz w:val="20"/>
              </w:rPr>
              <w:t>($/kg)</w:t>
            </w:r>
          </w:p>
        </w:tc>
        <w:tc>
          <w:tcPr>
            <w:tcW w:w="1170" w:type="dxa"/>
            <w:tcBorders>
              <w:top w:val="single" w:sz="4" w:space="0" w:color="auto"/>
              <w:bottom w:val="single" w:sz="4" w:space="0" w:color="auto"/>
            </w:tcBorders>
            <w:hideMark/>
          </w:tcPr>
          <w:p w14:paraId="7F6B5D78"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Biomass</w:t>
            </w:r>
            <w:r w:rsidRPr="003B4FFF">
              <w:rPr>
                <w:rFonts w:ascii="Times New Roman" w:hAnsi="Times New Roman" w:cs="Times New Roman"/>
                <w:sz w:val="20"/>
              </w:rPr>
              <w:br/>
              <w:t>Consumed</w:t>
            </w:r>
          </w:p>
        </w:tc>
        <w:tc>
          <w:tcPr>
            <w:tcW w:w="1170" w:type="dxa"/>
            <w:tcBorders>
              <w:top w:val="single" w:sz="4" w:space="0" w:color="auto"/>
              <w:bottom w:val="single" w:sz="4" w:space="0" w:color="auto"/>
            </w:tcBorders>
            <w:hideMark/>
          </w:tcPr>
          <w:p w14:paraId="54EDC6E5"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Co-Product</w:t>
            </w:r>
          </w:p>
        </w:tc>
        <w:tc>
          <w:tcPr>
            <w:tcW w:w="1170" w:type="dxa"/>
            <w:tcBorders>
              <w:top w:val="single" w:sz="4" w:space="0" w:color="auto"/>
              <w:bottom w:val="single" w:sz="4" w:space="0" w:color="auto"/>
            </w:tcBorders>
            <w:hideMark/>
          </w:tcPr>
          <w:p w14:paraId="40F4143C"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Co-reactant</w:t>
            </w:r>
          </w:p>
        </w:tc>
        <w:tc>
          <w:tcPr>
            <w:tcW w:w="1052" w:type="dxa"/>
            <w:tcBorders>
              <w:top w:val="single" w:sz="4" w:space="0" w:color="auto"/>
              <w:bottom w:val="single" w:sz="4" w:space="0" w:color="auto"/>
            </w:tcBorders>
            <w:hideMark/>
          </w:tcPr>
          <w:p w14:paraId="6EB921DA"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(kWh/kg)</w:t>
            </w:r>
          </w:p>
        </w:tc>
      </w:tr>
      <w:tr w:rsidR="00BB4A63" w:rsidRPr="00294D38" w14:paraId="35C3FD8A" w14:textId="77777777" w:rsidTr="007C5C2D">
        <w:trPr>
          <w:trHeight w:val="285"/>
        </w:trPr>
        <w:tc>
          <w:tcPr>
            <w:tcW w:w="985" w:type="dxa"/>
            <w:tcBorders>
              <w:top w:val="single" w:sz="4" w:space="0" w:color="auto"/>
            </w:tcBorders>
            <w:hideMark/>
          </w:tcPr>
          <w:p w14:paraId="7D03EBDA"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MeOH</w:t>
            </w:r>
          </w:p>
        </w:tc>
        <w:tc>
          <w:tcPr>
            <w:tcW w:w="810" w:type="dxa"/>
            <w:tcBorders>
              <w:top w:val="single" w:sz="4" w:space="0" w:color="auto"/>
            </w:tcBorders>
            <w:hideMark/>
          </w:tcPr>
          <w:p w14:paraId="1A7BFE7D"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0.488</w:t>
            </w:r>
          </w:p>
        </w:tc>
        <w:tc>
          <w:tcPr>
            <w:tcW w:w="720" w:type="dxa"/>
            <w:tcBorders>
              <w:top w:val="single" w:sz="4" w:space="0" w:color="auto"/>
            </w:tcBorders>
            <w:hideMark/>
          </w:tcPr>
          <w:p w14:paraId="21DEB14B"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0.725</w:t>
            </w:r>
          </w:p>
        </w:tc>
        <w:tc>
          <w:tcPr>
            <w:tcW w:w="1170" w:type="dxa"/>
            <w:tcBorders>
              <w:top w:val="single" w:sz="4" w:space="0" w:color="auto"/>
            </w:tcBorders>
            <w:hideMark/>
          </w:tcPr>
          <w:p w14:paraId="77444057" w14:textId="79DEC2AF"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2.327</w:t>
            </w:r>
          </w:p>
        </w:tc>
        <w:tc>
          <w:tcPr>
            <w:tcW w:w="1170" w:type="dxa"/>
            <w:tcBorders>
              <w:top w:val="single" w:sz="4" w:space="0" w:color="auto"/>
            </w:tcBorders>
            <w:hideMark/>
          </w:tcPr>
          <w:p w14:paraId="10654F5B"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w:t>
            </w:r>
          </w:p>
        </w:tc>
        <w:tc>
          <w:tcPr>
            <w:tcW w:w="1170" w:type="dxa"/>
            <w:tcBorders>
              <w:top w:val="single" w:sz="4" w:space="0" w:color="auto"/>
            </w:tcBorders>
            <w:hideMark/>
          </w:tcPr>
          <w:p w14:paraId="19A21261" w14:textId="77777777" w:rsidR="00294D38" w:rsidRPr="003B4FFF" w:rsidRDefault="00294D38" w:rsidP="002F713D">
            <w:pPr>
              <w:pStyle w:val="Els-body-text"/>
              <w:jc w:val="left"/>
              <w:rPr>
                <w:rFonts w:ascii="Times New Roman" w:hAnsi="Times New Roman" w:cs="Times New Roman"/>
                <w:sz w:val="20"/>
              </w:rPr>
            </w:pPr>
          </w:p>
        </w:tc>
        <w:tc>
          <w:tcPr>
            <w:tcW w:w="1052" w:type="dxa"/>
            <w:tcBorders>
              <w:top w:val="single" w:sz="4" w:space="0" w:color="auto"/>
            </w:tcBorders>
            <w:hideMark/>
          </w:tcPr>
          <w:p w14:paraId="79A7CF2D" w14:textId="1EE518AD"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1.064</w:t>
            </w:r>
          </w:p>
        </w:tc>
      </w:tr>
      <w:tr w:rsidR="00BB4A63" w:rsidRPr="00294D38" w14:paraId="2438F2AE" w14:textId="77777777" w:rsidTr="007C5C2D">
        <w:trPr>
          <w:trHeight w:val="260"/>
        </w:trPr>
        <w:tc>
          <w:tcPr>
            <w:tcW w:w="985" w:type="dxa"/>
            <w:hideMark/>
          </w:tcPr>
          <w:p w14:paraId="3AE26B47"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DME</w:t>
            </w:r>
          </w:p>
        </w:tc>
        <w:tc>
          <w:tcPr>
            <w:tcW w:w="810" w:type="dxa"/>
            <w:hideMark/>
          </w:tcPr>
          <w:p w14:paraId="1B3A5BF6"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0.600</w:t>
            </w:r>
          </w:p>
        </w:tc>
        <w:tc>
          <w:tcPr>
            <w:tcW w:w="720" w:type="dxa"/>
            <w:hideMark/>
          </w:tcPr>
          <w:p w14:paraId="28E6A5B0"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0.989</w:t>
            </w:r>
          </w:p>
        </w:tc>
        <w:tc>
          <w:tcPr>
            <w:tcW w:w="1170" w:type="dxa"/>
            <w:hideMark/>
          </w:tcPr>
          <w:p w14:paraId="336F290E" w14:textId="71DFAFE1"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2.952</w:t>
            </w:r>
          </w:p>
        </w:tc>
        <w:tc>
          <w:tcPr>
            <w:tcW w:w="1170" w:type="dxa"/>
            <w:hideMark/>
          </w:tcPr>
          <w:p w14:paraId="4A86C8F0"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w:t>
            </w:r>
          </w:p>
        </w:tc>
        <w:tc>
          <w:tcPr>
            <w:tcW w:w="1170" w:type="dxa"/>
            <w:hideMark/>
          </w:tcPr>
          <w:p w14:paraId="2FD78AA3" w14:textId="77777777" w:rsidR="00294D38" w:rsidRPr="003B4FFF" w:rsidRDefault="00294D38" w:rsidP="002F713D">
            <w:pPr>
              <w:pStyle w:val="Els-body-text"/>
              <w:jc w:val="left"/>
              <w:rPr>
                <w:rFonts w:ascii="Times New Roman" w:hAnsi="Times New Roman" w:cs="Times New Roman"/>
                <w:sz w:val="20"/>
              </w:rPr>
            </w:pPr>
          </w:p>
        </w:tc>
        <w:tc>
          <w:tcPr>
            <w:tcW w:w="1052" w:type="dxa"/>
            <w:hideMark/>
          </w:tcPr>
          <w:p w14:paraId="7AEE54D2" w14:textId="55F058EC"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1.447</w:t>
            </w:r>
          </w:p>
        </w:tc>
      </w:tr>
      <w:tr w:rsidR="00BB4A63" w:rsidRPr="00294D38" w14:paraId="5D304826" w14:textId="77777777" w:rsidTr="007C5C2D">
        <w:trPr>
          <w:trHeight w:val="279"/>
        </w:trPr>
        <w:tc>
          <w:tcPr>
            <w:tcW w:w="985" w:type="dxa"/>
            <w:hideMark/>
          </w:tcPr>
          <w:p w14:paraId="37C2B063"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Gasoline</w:t>
            </w:r>
          </w:p>
        </w:tc>
        <w:tc>
          <w:tcPr>
            <w:tcW w:w="810" w:type="dxa"/>
            <w:hideMark/>
          </w:tcPr>
          <w:p w14:paraId="42F5A220"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1.620</w:t>
            </w:r>
          </w:p>
        </w:tc>
        <w:tc>
          <w:tcPr>
            <w:tcW w:w="720" w:type="dxa"/>
            <w:hideMark/>
          </w:tcPr>
          <w:p w14:paraId="64598F7F"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1.506</w:t>
            </w:r>
          </w:p>
        </w:tc>
        <w:tc>
          <w:tcPr>
            <w:tcW w:w="1170" w:type="dxa"/>
            <w:hideMark/>
          </w:tcPr>
          <w:p w14:paraId="5AE2EE3A" w14:textId="2D6B31C4"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8.679</w:t>
            </w:r>
          </w:p>
        </w:tc>
        <w:tc>
          <w:tcPr>
            <w:tcW w:w="1170" w:type="dxa"/>
            <w:hideMark/>
          </w:tcPr>
          <w:p w14:paraId="4EDA00E9"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LPG</w:t>
            </w:r>
          </w:p>
        </w:tc>
        <w:tc>
          <w:tcPr>
            <w:tcW w:w="1170" w:type="dxa"/>
            <w:hideMark/>
          </w:tcPr>
          <w:p w14:paraId="1C61BC52" w14:textId="77777777" w:rsidR="00294D38" w:rsidRPr="003B4FFF" w:rsidRDefault="00294D38" w:rsidP="002F713D">
            <w:pPr>
              <w:pStyle w:val="Els-body-text"/>
              <w:jc w:val="left"/>
              <w:rPr>
                <w:rFonts w:ascii="Times New Roman" w:hAnsi="Times New Roman" w:cs="Times New Roman"/>
                <w:sz w:val="20"/>
              </w:rPr>
            </w:pPr>
          </w:p>
        </w:tc>
        <w:tc>
          <w:tcPr>
            <w:tcW w:w="1052" w:type="dxa"/>
            <w:hideMark/>
          </w:tcPr>
          <w:p w14:paraId="6C8248D0" w14:textId="009038CB"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2.423</w:t>
            </w:r>
          </w:p>
        </w:tc>
      </w:tr>
      <w:tr w:rsidR="00BB4A63" w:rsidRPr="00294D38" w14:paraId="6B076FC4" w14:textId="77777777" w:rsidTr="007C5C2D">
        <w:trPr>
          <w:trHeight w:val="268"/>
        </w:trPr>
        <w:tc>
          <w:tcPr>
            <w:tcW w:w="985" w:type="dxa"/>
            <w:hideMark/>
          </w:tcPr>
          <w:p w14:paraId="204CCBEC"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Diesel</w:t>
            </w:r>
          </w:p>
        </w:tc>
        <w:tc>
          <w:tcPr>
            <w:tcW w:w="810" w:type="dxa"/>
            <w:hideMark/>
          </w:tcPr>
          <w:p w14:paraId="3D37E8B6" w14:textId="78838BF4"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1.899</w:t>
            </w:r>
          </w:p>
        </w:tc>
        <w:tc>
          <w:tcPr>
            <w:tcW w:w="720" w:type="dxa"/>
            <w:hideMark/>
          </w:tcPr>
          <w:p w14:paraId="24E76F00"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2.865</w:t>
            </w:r>
          </w:p>
        </w:tc>
        <w:tc>
          <w:tcPr>
            <w:tcW w:w="1170" w:type="dxa"/>
            <w:hideMark/>
          </w:tcPr>
          <w:p w14:paraId="5D9A2785" w14:textId="0460FCC1"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7.739</w:t>
            </w:r>
          </w:p>
        </w:tc>
        <w:tc>
          <w:tcPr>
            <w:tcW w:w="1170" w:type="dxa"/>
            <w:hideMark/>
          </w:tcPr>
          <w:p w14:paraId="7DEAEEF5"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w:t>
            </w:r>
          </w:p>
        </w:tc>
        <w:tc>
          <w:tcPr>
            <w:tcW w:w="1170" w:type="dxa"/>
            <w:hideMark/>
          </w:tcPr>
          <w:p w14:paraId="38DE1E72"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0.2054*</w:t>
            </w:r>
          </w:p>
        </w:tc>
        <w:tc>
          <w:tcPr>
            <w:tcW w:w="1052" w:type="dxa"/>
            <w:hideMark/>
          </w:tcPr>
          <w:p w14:paraId="3C42D58E" w14:textId="37DF7C2B"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3.542</w:t>
            </w:r>
          </w:p>
        </w:tc>
      </w:tr>
      <w:tr w:rsidR="00BB4A63" w:rsidRPr="00294D38" w14:paraId="676DFF78" w14:textId="77777777" w:rsidTr="007C5C2D">
        <w:trPr>
          <w:trHeight w:val="273"/>
        </w:trPr>
        <w:tc>
          <w:tcPr>
            <w:tcW w:w="985" w:type="dxa"/>
            <w:hideMark/>
          </w:tcPr>
          <w:p w14:paraId="1757A179"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Jet fuel</w:t>
            </w:r>
          </w:p>
        </w:tc>
        <w:tc>
          <w:tcPr>
            <w:tcW w:w="810" w:type="dxa"/>
            <w:hideMark/>
          </w:tcPr>
          <w:p w14:paraId="17DA6EC2" w14:textId="699D19E2"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0.817</w:t>
            </w:r>
          </w:p>
        </w:tc>
        <w:tc>
          <w:tcPr>
            <w:tcW w:w="720" w:type="dxa"/>
            <w:hideMark/>
          </w:tcPr>
          <w:p w14:paraId="31D7CD1D"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1.120</w:t>
            </w:r>
          </w:p>
        </w:tc>
        <w:tc>
          <w:tcPr>
            <w:tcW w:w="1170" w:type="dxa"/>
            <w:hideMark/>
          </w:tcPr>
          <w:p w14:paraId="3EE493B2" w14:textId="17CD35B5"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2.931</w:t>
            </w:r>
          </w:p>
        </w:tc>
        <w:tc>
          <w:tcPr>
            <w:tcW w:w="1170" w:type="dxa"/>
            <w:hideMark/>
          </w:tcPr>
          <w:p w14:paraId="6202FC69"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Gasoline</w:t>
            </w:r>
          </w:p>
        </w:tc>
        <w:tc>
          <w:tcPr>
            <w:tcW w:w="1170" w:type="dxa"/>
            <w:hideMark/>
          </w:tcPr>
          <w:p w14:paraId="279A45CD" w14:textId="77777777" w:rsidR="00294D38" w:rsidRPr="003B4FFF" w:rsidRDefault="00294D38" w:rsidP="002F713D">
            <w:pPr>
              <w:pStyle w:val="Els-body-text"/>
              <w:jc w:val="left"/>
              <w:rPr>
                <w:rFonts w:ascii="Times New Roman" w:hAnsi="Times New Roman" w:cs="Times New Roman"/>
                <w:sz w:val="20"/>
              </w:rPr>
            </w:pPr>
          </w:p>
        </w:tc>
        <w:tc>
          <w:tcPr>
            <w:tcW w:w="1052" w:type="dxa"/>
            <w:hideMark/>
          </w:tcPr>
          <w:p w14:paraId="64749466" w14:textId="13AB4ED9"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1.019</w:t>
            </w:r>
          </w:p>
        </w:tc>
      </w:tr>
      <w:tr w:rsidR="00BB4A63" w:rsidRPr="00294D38" w14:paraId="661886E4" w14:textId="77777777" w:rsidTr="007C5C2D">
        <w:trPr>
          <w:trHeight w:val="276"/>
        </w:trPr>
        <w:tc>
          <w:tcPr>
            <w:tcW w:w="985" w:type="dxa"/>
            <w:hideMark/>
          </w:tcPr>
          <w:p w14:paraId="01EE8673" w14:textId="77777777" w:rsidR="00294D38" w:rsidRPr="003B4FFF" w:rsidRDefault="00294D38" w:rsidP="002F713D">
            <w:pPr>
              <w:pStyle w:val="Els-body-text"/>
              <w:jc w:val="center"/>
              <w:rPr>
                <w:rFonts w:ascii="Times New Roman" w:hAnsi="Times New Roman" w:cs="Times New Roman"/>
                <w:sz w:val="20"/>
              </w:rPr>
            </w:pPr>
            <w:r w:rsidRPr="003B4FFF">
              <w:rPr>
                <w:rFonts w:ascii="Times New Roman" w:hAnsi="Times New Roman" w:cs="Times New Roman"/>
                <w:sz w:val="20"/>
              </w:rPr>
              <w:t>Ethanol</w:t>
            </w:r>
          </w:p>
        </w:tc>
        <w:tc>
          <w:tcPr>
            <w:tcW w:w="810" w:type="dxa"/>
            <w:hideMark/>
          </w:tcPr>
          <w:p w14:paraId="36A893D0" w14:textId="4AF6D1E3"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2.447</w:t>
            </w:r>
          </w:p>
        </w:tc>
        <w:tc>
          <w:tcPr>
            <w:tcW w:w="720" w:type="dxa"/>
            <w:hideMark/>
          </w:tcPr>
          <w:p w14:paraId="7C3B6894"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1.863</w:t>
            </w:r>
          </w:p>
        </w:tc>
        <w:tc>
          <w:tcPr>
            <w:tcW w:w="1170" w:type="dxa"/>
            <w:hideMark/>
          </w:tcPr>
          <w:p w14:paraId="0E27FAB1" w14:textId="36922012"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4.828</w:t>
            </w:r>
          </w:p>
        </w:tc>
        <w:tc>
          <w:tcPr>
            <w:tcW w:w="1170" w:type="dxa"/>
            <w:hideMark/>
          </w:tcPr>
          <w:p w14:paraId="2EC914C5" w14:textId="77777777"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Propanol</w:t>
            </w:r>
          </w:p>
        </w:tc>
        <w:tc>
          <w:tcPr>
            <w:tcW w:w="1170" w:type="dxa"/>
            <w:hideMark/>
          </w:tcPr>
          <w:p w14:paraId="732E9371" w14:textId="77777777" w:rsidR="00294D38" w:rsidRPr="003B4FFF" w:rsidRDefault="00294D38" w:rsidP="002F713D">
            <w:pPr>
              <w:pStyle w:val="Els-body-text"/>
              <w:jc w:val="left"/>
              <w:rPr>
                <w:rFonts w:ascii="Times New Roman" w:hAnsi="Times New Roman" w:cs="Times New Roman"/>
                <w:sz w:val="20"/>
              </w:rPr>
            </w:pPr>
          </w:p>
        </w:tc>
        <w:tc>
          <w:tcPr>
            <w:tcW w:w="1052" w:type="dxa"/>
            <w:hideMark/>
          </w:tcPr>
          <w:p w14:paraId="5CDB5A00" w14:textId="2DFC95E1" w:rsidR="00294D38" w:rsidRPr="003B4FFF" w:rsidRDefault="00294D38" w:rsidP="002F713D">
            <w:pPr>
              <w:pStyle w:val="Els-body-text"/>
              <w:jc w:val="left"/>
              <w:rPr>
                <w:rFonts w:ascii="Times New Roman" w:hAnsi="Times New Roman" w:cs="Times New Roman"/>
                <w:sz w:val="20"/>
              </w:rPr>
            </w:pPr>
            <w:r w:rsidRPr="003B4FFF">
              <w:rPr>
                <w:rFonts w:ascii="Times New Roman" w:hAnsi="Times New Roman" w:cs="Times New Roman"/>
                <w:sz w:val="20"/>
              </w:rPr>
              <w:t>6.034</w:t>
            </w:r>
          </w:p>
        </w:tc>
      </w:tr>
    </w:tbl>
    <w:p w14:paraId="5A523E0B" w14:textId="02A3E542" w:rsidR="009D736F" w:rsidRDefault="00294D38" w:rsidP="00A502CE">
      <w:pPr>
        <w:pStyle w:val="Els-body-text"/>
        <w:spacing w:after="240"/>
      </w:pPr>
      <w:r w:rsidRPr="00294D38">
        <w:t>*Hydrogen is consumed as co-reactant in this case.</w:t>
      </w:r>
    </w:p>
    <w:p w14:paraId="3EF3314B" w14:textId="77777777" w:rsidR="00B10B28" w:rsidRDefault="00B10B28" w:rsidP="00B10B28">
      <w:pPr>
        <w:pStyle w:val="Els-1storder-head"/>
        <w:spacing w:before="0" w:after="0"/>
      </w:pPr>
      <w:r>
        <w:t>Acknowledgements</w:t>
      </w:r>
    </w:p>
    <w:p w14:paraId="7F56C5E7" w14:textId="0DA96E0C" w:rsidR="00B10B28" w:rsidRDefault="00B10B28" w:rsidP="00B10B28">
      <w:pPr>
        <w:pStyle w:val="Els-body-text"/>
      </w:pPr>
      <w:r w:rsidRPr="0063421C">
        <w:t>This project has received funding from the European Union’s Horizon 2020 research</w:t>
      </w:r>
      <w:r>
        <w:t xml:space="preserve"> </w:t>
      </w:r>
      <w:r w:rsidRPr="0063421C">
        <w:t>innovation and program under the Marie Skłodowska-Curie grant agreement No. 945139</w:t>
      </w:r>
    </w:p>
    <w:p w14:paraId="786BA5B4" w14:textId="77777777" w:rsidR="00B10B28" w:rsidRDefault="00B10B28" w:rsidP="00B10B28">
      <w:pPr>
        <w:pStyle w:val="Els-body-text"/>
      </w:pPr>
    </w:p>
    <w:p w14:paraId="33F8CD34" w14:textId="44DF66FE" w:rsidR="00D15D53" w:rsidRDefault="008D2649" w:rsidP="00670DA1">
      <w:pPr>
        <w:pStyle w:val="Els-reference-head"/>
        <w:spacing w:before="0"/>
      </w:pPr>
      <w:r>
        <w:t>References</w:t>
      </w:r>
    </w:p>
    <w:p w14:paraId="1E6A6F9F" w14:textId="77777777" w:rsidR="00BC1E40" w:rsidRPr="002A100E" w:rsidRDefault="00D15D53" w:rsidP="00BC1E40">
      <w:pPr>
        <w:pStyle w:val="EndNoteBibliography"/>
        <w:spacing w:after="0"/>
        <w:ind w:left="720" w:hanging="720"/>
        <w:rPr>
          <w:szCs w:val="18"/>
        </w:rPr>
      </w:pPr>
      <w:r w:rsidRPr="002A100E">
        <w:rPr>
          <w:szCs w:val="18"/>
        </w:rPr>
        <w:fldChar w:fldCharType="begin"/>
      </w:r>
      <w:r w:rsidRPr="002A100E">
        <w:rPr>
          <w:szCs w:val="18"/>
        </w:rPr>
        <w:instrText xml:space="preserve"> ADDIN EN.REFLIST </w:instrText>
      </w:r>
      <w:r w:rsidRPr="002A100E">
        <w:rPr>
          <w:szCs w:val="18"/>
        </w:rPr>
        <w:fldChar w:fldCharType="separate"/>
      </w:r>
      <w:r w:rsidR="00BC1E40" w:rsidRPr="002A100E">
        <w:rPr>
          <w:szCs w:val="18"/>
        </w:rPr>
        <w:t xml:space="preserve">Basu, P. (2018). </w:t>
      </w:r>
      <w:r w:rsidR="00BC1E40" w:rsidRPr="002A100E">
        <w:rPr>
          <w:i/>
          <w:szCs w:val="18"/>
        </w:rPr>
        <w:t>Biomass gasification, pyrolysis and torrefaction: practical design and theory</w:t>
      </w:r>
      <w:r w:rsidR="00BC1E40" w:rsidRPr="002A100E">
        <w:rPr>
          <w:szCs w:val="18"/>
        </w:rPr>
        <w:t xml:space="preserve">. Academic press. </w:t>
      </w:r>
    </w:p>
    <w:p w14:paraId="3AE19C0E" w14:textId="77777777" w:rsidR="00BC1E40" w:rsidRPr="002A100E" w:rsidRDefault="00BC1E40" w:rsidP="00BC1E40">
      <w:pPr>
        <w:pStyle w:val="EndNoteBibliography"/>
        <w:spacing w:after="0"/>
        <w:ind w:left="720" w:hanging="720"/>
        <w:rPr>
          <w:szCs w:val="18"/>
        </w:rPr>
      </w:pPr>
      <w:r w:rsidRPr="002A100E">
        <w:rPr>
          <w:szCs w:val="18"/>
        </w:rPr>
        <w:t xml:space="preserve">Carpio Martínez, M. (2018). Environmental and economic effects of using renewable energy in residential thermal installations according to 2030 targets: case study in the province of Granada (Spain). </w:t>
      </w:r>
    </w:p>
    <w:p w14:paraId="21272546" w14:textId="302937B1" w:rsidR="00BC1E40" w:rsidRPr="002A100E" w:rsidRDefault="00BC1E40" w:rsidP="00BC1E40">
      <w:pPr>
        <w:pStyle w:val="EndNoteBibliography"/>
        <w:spacing w:after="0"/>
        <w:ind w:left="720" w:hanging="720"/>
        <w:rPr>
          <w:szCs w:val="18"/>
        </w:rPr>
      </w:pPr>
      <w:r w:rsidRPr="002A100E">
        <w:rPr>
          <w:szCs w:val="18"/>
        </w:rPr>
        <w:t xml:space="preserve">Commission, E. (2019). </w:t>
      </w:r>
      <w:r w:rsidRPr="002A100E">
        <w:rPr>
          <w:i/>
          <w:szCs w:val="18"/>
        </w:rPr>
        <w:t>The European Green Deal - Striving to be the first climate-neutral continent</w:t>
      </w:r>
      <w:r w:rsidRPr="002A100E">
        <w:rPr>
          <w:szCs w:val="18"/>
        </w:rPr>
        <w:t xml:space="preserve">. European Commission. Retrieved 22/11/2023 from </w:t>
      </w:r>
      <w:hyperlink r:id="rId13" w:history="1">
        <w:r w:rsidRPr="002A100E">
          <w:rPr>
            <w:rStyle w:val="Hyperlink"/>
            <w:szCs w:val="18"/>
          </w:rPr>
          <w:t>https://commission.europa.eu/strategy-and-policy/priorities-2019-2024/european-green-deal_enhttps://commission.europa.eu/strategy-and-policy/priorities-2019-2024/european-green-deal_en</w:t>
        </w:r>
      </w:hyperlink>
    </w:p>
    <w:p w14:paraId="7AB0BB0F" w14:textId="08DA02D7" w:rsidR="00BC1E40" w:rsidRPr="002A100E" w:rsidRDefault="00BC1E40" w:rsidP="00BC1E40">
      <w:pPr>
        <w:pStyle w:val="EndNoteBibliography"/>
        <w:spacing w:after="0"/>
        <w:ind w:left="720" w:hanging="720"/>
        <w:rPr>
          <w:szCs w:val="18"/>
        </w:rPr>
      </w:pPr>
      <w:r w:rsidRPr="002A100E">
        <w:rPr>
          <w:szCs w:val="18"/>
        </w:rPr>
        <w:t xml:space="preserve">DC, A. U. W. (2020). </w:t>
      </w:r>
      <w:r w:rsidRPr="002A100E">
        <w:rPr>
          <w:i/>
          <w:szCs w:val="18"/>
        </w:rPr>
        <w:t>What is BECCS?</w:t>
      </w:r>
      <w:r w:rsidRPr="002A100E">
        <w:rPr>
          <w:szCs w:val="18"/>
        </w:rPr>
        <w:t xml:space="preserve"> American University Washington DC. Retrieved 29 Nov 2023 from </w:t>
      </w:r>
      <w:hyperlink r:id="rId14" w:history="1">
        <w:r w:rsidRPr="002A100E">
          <w:rPr>
            <w:rStyle w:val="Hyperlink"/>
            <w:szCs w:val="18"/>
          </w:rPr>
          <w:t>https://www.american.edu/sis/centers/carbon-removal/fact-sheet-bioenergy-with-carbon-capture-and-storage-beccs.cfm</w:t>
        </w:r>
      </w:hyperlink>
    </w:p>
    <w:p w14:paraId="653F384C" w14:textId="4F2B4CAB" w:rsidR="00BC1E40" w:rsidRPr="002A100E" w:rsidRDefault="00BC1E40" w:rsidP="00BC1E40">
      <w:pPr>
        <w:pStyle w:val="EndNoteBibliography"/>
        <w:spacing w:after="0"/>
        <w:ind w:left="720" w:hanging="720"/>
        <w:rPr>
          <w:szCs w:val="18"/>
        </w:rPr>
      </w:pPr>
      <w:r w:rsidRPr="002A100E">
        <w:rPr>
          <w:szCs w:val="18"/>
        </w:rPr>
        <w:t xml:space="preserve">Guimarães, H. R., Bressanin, J. M., Motta, I. L., Chagas, M. F., Bonomi, A., &amp; Barbosa Watanabe, M. D. (2022). Techno-Economic and Environmental Assessments of </w:t>
      </w:r>
      <w:r w:rsidRPr="002A100E">
        <w:rPr>
          <w:szCs w:val="18"/>
        </w:rPr>
        <w:lastRenderedPageBreak/>
        <w:t xml:space="preserve">Thermochemical Routes Integrated into the Brazilian Sugarcane Industry for the Production of Renewable Jet Fuel. </w:t>
      </w:r>
      <w:hyperlink r:id="rId15" w:history="1">
        <w:r w:rsidRPr="002A100E">
          <w:rPr>
            <w:rStyle w:val="Hyperlink"/>
            <w:szCs w:val="18"/>
          </w:rPr>
          <w:t>https://doi.org/10.3303/CET2292020</w:t>
        </w:r>
      </w:hyperlink>
      <w:r w:rsidRPr="002A100E">
        <w:rPr>
          <w:szCs w:val="18"/>
        </w:rPr>
        <w:t xml:space="preserve"> </w:t>
      </w:r>
    </w:p>
    <w:p w14:paraId="4D63DB57" w14:textId="00B44E90" w:rsidR="00BC1E40" w:rsidRPr="002A100E" w:rsidRDefault="00BC1E40" w:rsidP="00BC1E40">
      <w:pPr>
        <w:pStyle w:val="EndNoteBibliography"/>
        <w:spacing w:after="0"/>
        <w:ind w:left="720" w:hanging="720"/>
        <w:rPr>
          <w:szCs w:val="18"/>
        </w:rPr>
      </w:pPr>
      <w:r w:rsidRPr="002A100E">
        <w:rPr>
          <w:szCs w:val="18"/>
        </w:rPr>
        <w:t xml:space="preserve">Hu, J., Chen, X., Yang, X., Li, R., &amp; Wu, L. (2023). Co-processing of gas oil and bio-oil derived from algae and straw: Techno-economic analysis. </w:t>
      </w:r>
      <w:r w:rsidRPr="002A100E">
        <w:rPr>
          <w:i/>
          <w:szCs w:val="18"/>
        </w:rPr>
        <w:t>Fuel</w:t>
      </w:r>
      <w:r w:rsidRPr="002A100E">
        <w:rPr>
          <w:szCs w:val="18"/>
        </w:rPr>
        <w:t>,</w:t>
      </w:r>
      <w:r w:rsidRPr="002A100E">
        <w:rPr>
          <w:i/>
          <w:szCs w:val="18"/>
        </w:rPr>
        <w:t xml:space="preserve"> 340</w:t>
      </w:r>
      <w:r w:rsidRPr="002A100E">
        <w:rPr>
          <w:szCs w:val="18"/>
        </w:rPr>
        <w:t xml:space="preserve">, 127583. </w:t>
      </w:r>
      <w:hyperlink r:id="rId16" w:history="1">
        <w:r w:rsidRPr="002A100E">
          <w:rPr>
            <w:rStyle w:val="Hyperlink"/>
            <w:szCs w:val="18"/>
          </w:rPr>
          <w:t>https://doi.org/https://doi.org/10.1016/j.fuel.2023.127583</w:t>
        </w:r>
      </w:hyperlink>
      <w:r w:rsidRPr="002A100E">
        <w:rPr>
          <w:szCs w:val="18"/>
        </w:rPr>
        <w:t xml:space="preserve"> </w:t>
      </w:r>
    </w:p>
    <w:p w14:paraId="1D1BA620" w14:textId="174860C8" w:rsidR="00BC1E40" w:rsidRPr="002A100E" w:rsidRDefault="00BC1E40" w:rsidP="00BC1E40">
      <w:pPr>
        <w:pStyle w:val="EndNoteBibliography"/>
        <w:spacing w:after="0"/>
        <w:ind w:left="720" w:hanging="720"/>
        <w:rPr>
          <w:szCs w:val="18"/>
        </w:rPr>
      </w:pPr>
      <w:r w:rsidRPr="002A100E">
        <w:rPr>
          <w:szCs w:val="18"/>
        </w:rPr>
        <w:t xml:space="preserve">Kim, J., Sen, S. M., &amp; Maravelias, C. T. (2013). An optimization-based assessment framework for biomass-to-fuel conversion strategies [10.1039/C3EE24243A]. </w:t>
      </w:r>
      <w:r w:rsidRPr="002A100E">
        <w:rPr>
          <w:i/>
          <w:szCs w:val="18"/>
        </w:rPr>
        <w:t>Energy &amp; Environmental Science</w:t>
      </w:r>
      <w:r w:rsidRPr="002A100E">
        <w:rPr>
          <w:szCs w:val="18"/>
        </w:rPr>
        <w:t>,</w:t>
      </w:r>
      <w:r w:rsidRPr="002A100E">
        <w:rPr>
          <w:i/>
          <w:szCs w:val="18"/>
        </w:rPr>
        <w:t xml:space="preserve"> 6</w:t>
      </w:r>
      <w:r w:rsidRPr="002A100E">
        <w:rPr>
          <w:szCs w:val="18"/>
        </w:rPr>
        <w:t xml:space="preserve">(4), 1093-1104. </w:t>
      </w:r>
      <w:hyperlink r:id="rId17" w:history="1">
        <w:r w:rsidRPr="002A100E">
          <w:rPr>
            <w:rStyle w:val="Hyperlink"/>
            <w:szCs w:val="18"/>
          </w:rPr>
          <w:t>https://doi.org/10.1039/C3EE24243A</w:t>
        </w:r>
      </w:hyperlink>
      <w:r w:rsidRPr="002A100E">
        <w:rPr>
          <w:szCs w:val="18"/>
        </w:rPr>
        <w:t xml:space="preserve"> </w:t>
      </w:r>
    </w:p>
    <w:p w14:paraId="333D45EC" w14:textId="79D381BA" w:rsidR="00BC1E40" w:rsidRPr="002A100E" w:rsidRDefault="00BC1E40" w:rsidP="00BC1E40">
      <w:pPr>
        <w:pStyle w:val="EndNoteBibliography"/>
        <w:spacing w:after="0"/>
        <w:ind w:left="720" w:hanging="720"/>
        <w:rPr>
          <w:szCs w:val="18"/>
        </w:rPr>
      </w:pPr>
      <w:r w:rsidRPr="002A100E">
        <w:rPr>
          <w:szCs w:val="18"/>
        </w:rPr>
        <w:t xml:space="preserve">Kreutz, T. G., Larson, E. D., Elsido, C., Martelli, E., Greig, C., &amp; Williams, R. H. (2020). Techno-economic prospects for producing Fischer-Tropsch jet fuel and electricity from lignite and woody biomass with CO2 capture for EOR. </w:t>
      </w:r>
      <w:r w:rsidRPr="002A100E">
        <w:rPr>
          <w:i/>
          <w:szCs w:val="18"/>
        </w:rPr>
        <w:t>Applied Energy</w:t>
      </w:r>
      <w:r w:rsidRPr="002A100E">
        <w:rPr>
          <w:szCs w:val="18"/>
        </w:rPr>
        <w:t>,</w:t>
      </w:r>
      <w:r w:rsidRPr="002A100E">
        <w:rPr>
          <w:i/>
          <w:szCs w:val="18"/>
        </w:rPr>
        <w:t xml:space="preserve"> 279</w:t>
      </w:r>
      <w:r w:rsidRPr="002A100E">
        <w:rPr>
          <w:szCs w:val="18"/>
        </w:rPr>
        <w:t xml:space="preserve">, 115841. </w:t>
      </w:r>
      <w:hyperlink r:id="rId18" w:history="1">
        <w:r w:rsidRPr="002A100E">
          <w:rPr>
            <w:rStyle w:val="Hyperlink"/>
            <w:szCs w:val="18"/>
          </w:rPr>
          <w:t>https://doi.org/https://doi.org/10.1016/j.apenergy.2020.115841</w:t>
        </w:r>
      </w:hyperlink>
      <w:r w:rsidRPr="002A100E">
        <w:rPr>
          <w:szCs w:val="18"/>
        </w:rPr>
        <w:t xml:space="preserve"> </w:t>
      </w:r>
    </w:p>
    <w:p w14:paraId="5340D65B" w14:textId="635837F8" w:rsidR="00BC1E40" w:rsidRPr="002A100E" w:rsidRDefault="00BC1E40" w:rsidP="00BC1E40">
      <w:pPr>
        <w:pStyle w:val="EndNoteBibliography"/>
        <w:spacing w:after="0"/>
        <w:ind w:left="720" w:hanging="720"/>
        <w:rPr>
          <w:szCs w:val="18"/>
        </w:rPr>
      </w:pPr>
      <w:r w:rsidRPr="002A100E">
        <w:rPr>
          <w:szCs w:val="18"/>
        </w:rPr>
        <w:t xml:space="preserve">Li, M., Zhao, W., Xu, Y., Zhao, Y., Yang, K., Tao, W., &amp; Xiao, J. (2019). Comprehensive Life Cycle Evaluation of Jet Fuel from Biomass Gasification and Fischer–Tropsch Synthesis Based on Environmental and Economic Performances. </w:t>
      </w:r>
      <w:r w:rsidRPr="002A100E">
        <w:rPr>
          <w:i/>
          <w:szCs w:val="18"/>
        </w:rPr>
        <w:t>Industrial &amp; Engineering Chemistry Research</w:t>
      </w:r>
      <w:r w:rsidRPr="002A100E">
        <w:rPr>
          <w:szCs w:val="18"/>
        </w:rPr>
        <w:t>,</w:t>
      </w:r>
      <w:r w:rsidRPr="002A100E">
        <w:rPr>
          <w:i/>
          <w:szCs w:val="18"/>
        </w:rPr>
        <w:t xml:space="preserve"> 58</w:t>
      </w:r>
      <w:r w:rsidRPr="002A100E">
        <w:rPr>
          <w:szCs w:val="18"/>
        </w:rPr>
        <w:t xml:space="preserve">(41), 19179-19188. </w:t>
      </w:r>
      <w:hyperlink r:id="rId19" w:history="1">
        <w:r w:rsidRPr="002A100E">
          <w:rPr>
            <w:rStyle w:val="Hyperlink"/>
            <w:szCs w:val="18"/>
          </w:rPr>
          <w:t>https://doi.org/10.1021/acs.iecr.9b03468</w:t>
        </w:r>
      </w:hyperlink>
      <w:r w:rsidRPr="002A100E">
        <w:rPr>
          <w:szCs w:val="18"/>
        </w:rPr>
        <w:t xml:space="preserve"> </w:t>
      </w:r>
    </w:p>
    <w:p w14:paraId="4D5A7FD0" w14:textId="62A392BF" w:rsidR="00BC1E40" w:rsidRPr="002A100E" w:rsidRDefault="00BC1E40" w:rsidP="00BC1E40">
      <w:pPr>
        <w:pStyle w:val="EndNoteBibliography"/>
        <w:spacing w:after="0"/>
        <w:ind w:left="720" w:hanging="720"/>
        <w:rPr>
          <w:szCs w:val="18"/>
        </w:rPr>
      </w:pPr>
      <w:r w:rsidRPr="002A100E">
        <w:rPr>
          <w:szCs w:val="18"/>
        </w:rPr>
        <w:t xml:space="preserve">Li, W., Dumortier, J., Dokoohaki, H., Miguez, F. E., Brown, R. C., Laird, D., &amp; Wright, M. M. (2019). Regional techno-economic and life-cycle analysis of the pyrolysis-bioenergy-biochar platform for carbon-negative energy. </w:t>
      </w:r>
      <w:r w:rsidRPr="002A100E">
        <w:rPr>
          <w:i/>
          <w:szCs w:val="18"/>
        </w:rPr>
        <w:t>Biofuels, Bioproducts and Biorefining</w:t>
      </w:r>
      <w:r w:rsidRPr="002A100E">
        <w:rPr>
          <w:szCs w:val="18"/>
        </w:rPr>
        <w:t>,</w:t>
      </w:r>
      <w:r w:rsidRPr="002A100E">
        <w:rPr>
          <w:i/>
          <w:szCs w:val="18"/>
        </w:rPr>
        <w:t xml:space="preserve"> 13</w:t>
      </w:r>
      <w:r w:rsidRPr="002A100E">
        <w:rPr>
          <w:szCs w:val="18"/>
        </w:rPr>
        <w:t xml:space="preserve">(6), 1428-1438. </w:t>
      </w:r>
      <w:hyperlink r:id="rId20" w:history="1">
        <w:r w:rsidRPr="002A100E">
          <w:rPr>
            <w:rStyle w:val="Hyperlink"/>
            <w:szCs w:val="18"/>
          </w:rPr>
          <w:t>https://doi.org/https://doi.org/10.1002/bbb.2043</w:t>
        </w:r>
      </w:hyperlink>
      <w:r w:rsidRPr="002A100E">
        <w:rPr>
          <w:szCs w:val="18"/>
        </w:rPr>
        <w:t xml:space="preserve"> </w:t>
      </w:r>
    </w:p>
    <w:p w14:paraId="2F3B2369" w14:textId="7AE56932" w:rsidR="00BC1E40" w:rsidRPr="002A100E" w:rsidRDefault="00BC1E40" w:rsidP="00BC1E40">
      <w:pPr>
        <w:pStyle w:val="EndNoteBibliography"/>
        <w:spacing w:after="0"/>
        <w:ind w:left="720" w:hanging="720"/>
        <w:rPr>
          <w:szCs w:val="18"/>
        </w:rPr>
      </w:pPr>
      <w:r w:rsidRPr="002A100E">
        <w:rPr>
          <w:szCs w:val="18"/>
        </w:rPr>
        <w:t xml:space="preserve">Melin, K., Nieminen, H., Klüh, D., Laari, A., Koiranen, T., &amp; Gaderer, M. (2022). Techno-Economic Evaluation of Novel Hybrid Biomass and Electricity-Based Ethanol Fuel Production [Original Research]. </w:t>
      </w:r>
      <w:r w:rsidRPr="002A100E">
        <w:rPr>
          <w:i/>
          <w:szCs w:val="18"/>
        </w:rPr>
        <w:t>Frontiers in Energy Research</w:t>
      </w:r>
      <w:r w:rsidRPr="002A100E">
        <w:rPr>
          <w:szCs w:val="18"/>
        </w:rPr>
        <w:t>,</w:t>
      </w:r>
      <w:r w:rsidRPr="002A100E">
        <w:rPr>
          <w:i/>
          <w:szCs w:val="18"/>
        </w:rPr>
        <w:t xml:space="preserve"> 10</w:t>
      </w:r>
      <w:r w:rsidRPr="002A100E">
        <w:rPr>
          <w:szCs w:val="18"/>
        </w:rPr>
        <w:t xml:space="preserve">. </w:t>
      </w:r>
      <w:hyperlink r:id="rId21" w:history="1">
        <w:r w:rsidRPr="002A100E">
          <w:rPr>
            <w:rStyle w:val="Hyperlink"/>
            <w:szCs w:val="18"/>
          </w:rPr>
          <w:t>https://doi.org/10.3389/fenrg.2022.796104</w:t>
        </w:r>
      </w:hyperlink>
      <w:r w:rsidRPr="002A100E">
        <w:rPr>
          <w:szCs w:val="18"/>
        </w:rPr>
        <w:t xml:space="preserve"> </w:t>
      </w:r>
    </w:p>
    <w:p w14:paraId="0D1DBB0D" w14:textId="5C297C61" w:rsidR="00BC1E40" w:rsidRPr="0078479E" w:rsidRDefault="00BC1E40" w:rsidP="00BC1E40">
      <w:pPr>
        <w:pStyle w:val="EndNoteBibliography"/>
        <w:spacing w:after="0"/>
        <w:ind w:left="720" w:hanging="720"/>
        <w:rPr>
          <w:szCs w:val="18"/>
          <w:lang w:val="es-ES"/>
        </w:rPr>
      </w:pPr>
      <w:r w:rsidRPr="002A100E">
        <w:rPr>
          <w:i/>
          <w:szCs w:val="18"/>
        </w:rPr>
        <w:t>Ministry of Agriculture, Fishery, and Food</w:t>
      </w:r>
      <w:r w:rsidRPr="002A100E">
        <w:rPr>
          <w:szCs w:val="18"/>
        </w:rPr>
        <w:t xml:space="preserve">. </w:t>
      </w:r>
      <w:r w:rsidRPr="0078479E">
        <w:rPr>
          <w:szCs w:val="18"/>
          <w:lang w:val="es-ES"/>
        </w:rPr>
        <w:t xml:space="preserve">(2019).  La Moncloa. </w:t>
      </w:r>
      <w:hyperlink r:id="rId22" w:history="1">
        <w:r w:rsidRPr="0078479E">
          <w:rPr>
            <w:rStyle w:val="Hyperlink"/>
            <w:szCs w:val="18"/>
            <w:lang w:val="es-ES"/>
          </w:rPr>
          <w:t>https://www.lamoncloa.gob.es/lang/en/gobierno/news/Paginas/2019/20190320forestheritage.aspx</w:t>
        </w:r>
      </w:hyperlink>
    </w:p>
    <w:p w14:paraId="3C1A6D6A" w14:textId="204BCDE1" w:rsidR="00BC1E40" w:rsidRPr="002A100E" w:rsidRDefault="00BC1E40" w:rsidP="00BC1E40">
      <w:pPr>
        <w:pStyle w:val="EndNoteBibliography"/>
        <w:spacing w:after="0"/>
        <w:ind w:left="720" w:hanging="720"/>
        <w:rPr>
          <w:szCs w:val="18"/>
        </w:rPr>
      </w:pPr>
      <w:r w:rsidRPr="0078479E">
        <w:rPr>
          <w:szCs w:val="18"/>
          <w:lang w:val="es-ES"/>
        </w:rPr>
        <w:t xml:space="preserve">Patel, M., Oyedun, A. O., Kumar, A., &amp; Gupta, R. (2019). </w:t>
      </w:r>
      <w:r w:rsidRPr="002A100E">
        <w:rPr>
          <w:szCs w:val="18"/>
        </w:rPr>
        <w:t xml:space="preserve">What is the production cost of renewable diesel from woody biomass and agricultural residue based on experimentation? A comparative assessment. </w:t>
      </w:r>
      <w:r w:rsidRPr="002A100E">
        <w:rPr>
          <w:i/>
          <w:szCs w:val="18"/>
        </w:rPr>
        <w:t>Fuel Processing Technology</w:t>
      </w:r>
      <w:r w:rsidRPr="002A100E">
        <w:rPr>
          <w:szCs w:val="18"/>
        </w:rPr>
        <w:t>,</w:t>
      </w:r>
      <w:r w:rsidRPr="002A100E">
        <w:rPr>
          <w:i/>
          <w:szCs w:val="18"/>
        </w:rPr>
        <w:t xml:space="preserve"> 191</w:t>
      </w:r>
      <w:r w:rsidRPr="002A100E">
        <w:rPr>
          <w:szCs w:val="18"/>
        </w:rPr>
        <w:t xml:space="preserve">, 79-92. </w:t>
      </w:r>
      <w:hyperlink r:id="rId23" w:history="1">
        <w:r w:rsidRPr="002A100E">
          <w:rPr>
            <w:rStyle w:val="Hyperlink"/>
            <w:szCs w:val="18"/>
          </w:rPr>
          <w:t>https://doi.org/https://doi.org/10.1016/j.fuproc.2019.03.026</w:t>
        </w:r>
      </w:hyperlink>
      <w:r w:rsidRPr="002A100E">
        <w:rPr>
          <w:szCs w:val="18"/>
        </w:rPr>
        <w:t xml:space="preserve"> </w:t>
      </w:r>
    </w:p>
    <w:p w14:paraId="74419645" w14:textId="11BF0719" w:rsidR="00BC1E40" w:rsidRPr="002A100E" w:rsidRDefault="00BC1E40" w:rsidP="00BC1E40">
      <w:pPr>
        <w:pStyle w:val="EndNoteBibliography"/>
        <w:spacing w:after="0"/>
        <w:ind w:left="720" w:hanging="720"/>
        <w:rPr>
          <w:szCs w:val="18"/>
        </w:rPr>
      </w:pPr>
      <w:r w:rsidRPr="002A100E">
        <w:rPr>
          <w:szCs w:val="18"/>
        </w:rPr>
        <w:t xml:space="preserve">Poluzzi, A., Guandalini, G., Guffanti, S., Martinelli, M., Moioli, S., Huttenhuis, P., Rexwinkel, G., Palonen, J., Martelli, E., Groppi, G., &amp; Romano, M. C. (2022). Flexible Power and Biomass-To-Methanol Plants With Different Gasification Technologies [Original Research]. </w:t>
      </w:r>
      <w:r w:rsidRPr="002A100E">
        <w:rPr>
          <w:i/>
          <w:szCs w:val="18"/>
        </w:rPr>
        <w:t>Frontiers in Energy Research</w:t>
      </w:r>
      <w:r w:rsidRPr="002A100E">
        <w:rPr>
          <w:szCs w:val="18"/>
        </w:rPr>
        <w:t>,</w:t>
      </w:r>
      <w:r w:rsidRPr="002A100E">
        <w:rPr>
          <w:i/>
          <w:szCs w:val="18"/>
        </w:rPr>
        <w:t xml:space="preserve"> 9</w:t>
      </w:r>
      <w:r w:rsidRPr="002A100E">
        <w:rPr>
          <w:szCs w:val="18"/>
        </w:rPr>
        <w:t xml:space="preserve">. </w:t>
      </w:r>
      <w:hyperlink r:id="rId24" w:history="1">
        <w:r w:rsidRPr="002A100E">
          <w:rPr>
            <w:rStyle w:val="Hyperlink"/>
            <w:szCs w:val="18"/>
          </w:rPr>
          <w:t>https://doi.org/10.3389/fenrg.2021.795673</w:t>
        </w:r>
      </w:hyperlink>
      <w:r w:rsidRPr="002A100E">
        <w:rPr>
          <w:szCs w:val="18"/>
        </w:rPr>
        <w:t xml:space="preserve"> </w:t>
      </w:r>
    </w:p>
    <w:p w14:paraId="4B158367" w14:textId="30A1D3BE" w:rsidR="00BC1E40" w:rsidRPr="002A100E" w:rsidRDefault="00BC1E40" w:rsidP="00BC1E40">
      <w:pPr>
        <w:pStyle w:val="EndNoteBibliography"/>
        <w:spacing w:after="0"/>
        <w:ind w:left="720" w:hanging="720"/>
        <w:rPr>
          <w:szCs w:val="18"/>
        </w:rPr>
      </w:pPr>
      <w:r w:rsidRPr="002A100E">
        <w:rPr>
          <w:szCs w:val="18"/>
        </w:rPr>
        <w:t xml:space="preserve">Regis, F., Monteverde, A. H. A., &amp; Fino, D. (2023). A techno-economic assessment of bioethanol production from switchgrass through biomass gasification and syngas fermentation. </w:t>
      </w:r>
      <w:r w:rsidRPr="002A100E">
        <w:rPr>
          <w:i/>
          <w:szCs w:val="18"/>
        </w:rPr>
        <w:t>Energy</w:t>
      </w:r>
      <w:r w:rsidRPr="002A100E">
        <w:rPr>
          <w:szCs w:val="18"/>
        </w:rPr>
        <w:t>,</w:t>
      </w:r>
      <w:r w:rsidRPr="002A100E">
        <w:rPr>
          <w:i/>
          <w:szCs w:val="18"/>
        </w:rPr>
        <w:t xml:space="preserve"> 274</w:t>
      </w:r>
      <w:r w:rsidRPr="002A100E">
        <w:rPr>
          <w:szCs w:val="18"/>
        </w:rPr>
        <w:t xml:space="preserve">, 127318. </w:t>
      </w:r>
      <w:hyperlink r:id="rId25" w:history="1">
        <w:r w:rsidRPr="002A100E">
          <w:rPr>
            <w:rStyle w:val="Hyperlink"/>
            <w:szCs w:val="18"/>
          </w:rPr>
          <w:t>https://doi.org/https://doi.org/10.1016/j.energy.2023.127318</w:t>
        </w:r>
      </w:hyperlink>
      <w:r w:rsidRPr="002A100E">
        <w:rPr>
          <w:szCs w:val="18"/>
        </w:rPr>
        <w:t xml:space="preserve"> </w:t>
      </w:r>
    </w:p>
    <w:p w14:paraId="4FDFDAB8" w14:textId="178D0FA3" w:rsidR="00BC1E40" w:rsidRPr="002A100E" w:rsidRDefault="00BC1E40" w:rsidP="00BC1E40">
      <w:pPr>
        <w:pStyle w:val="EndNoteBibliography"/>
        <w:spacing w:after="0"/>
        <w:ind w:left="720" w:hanging="720"/>
        <w:rPr>
          <w:szCs w:val="18"/>
        </w:rPr>
      </w:pPr>
      <w:r w:rsidRPr="002A100E">
        <w:rPr>
          <w:szCs w:val="18"/>
        </w:rPr>
        <w:t xml:space="preserve">Sorunmu, Y., Billen, P., &amp; Spatari, S. (2020). A review of thermochemical upgrading of pyrolysis bio-oil: Techno-economic analysis, life cycle assessment, and technology readiness. </w:t>
      </w:r>
      <w:r w:rsidRPr="002A100E">
        <w:rPr>
          <w:i/>
          <w:szCs w:val="18"/>
        </w:rPr>
        <w:t>GCB Bioenergy</w:t>
      </w:r>
      <w:r w:rsidRPr="002A100E">
        <w:rPr>
          <w:szCs w:val="18"/>
        </w:rPr>
        <w:t>,</w:t>
      </w:r>
      <w:r w:rsidRPr="002A100E">
        <w:rPr>
          <w:i/>
          <w:szCs w:val="18"/>
        </w:rPr>
        <w:t xml:space="preserve"> 12</w:t>
      </w:r>
      <w:r w:rsidRPr="002A100E">
        <w:rPr>
          <w:szCs w:val="18"/>
        </w:rPr>
        <w:t xml:space="preserve">(1), 4-18. </w:t>
      </w:r>
      <w:hyperlink r:id="rId26" w:history="1">
        <w:r w:rsidRPr="002A100E">
          <w:rPr>
            <w:rStyle w:val="Hyperlink"/>
            <w:szCs w:val="18"/>
          </w:rPr>
          <w:t>https://doi.org/https://doi.org/10.1111/gcbb.12658</w:t>
        </w:r>
      </w:hyperlink>
      <w:r w:rsidRPr="002A100E">
        <w:rPr>
          <w:szCs w:val="18"/>
        </w:rPr>
        <w:t xml:space="preserve"> </w:t>
      </w:r>
    </w:p>
    <w:p w14:paraId="0BCD4A67" w14:textId="77777777" w:rsidR="00BC1E40" w:rsidRPr="002A100E" w:rsidRDefault="00BC1E40" w:rsidP="00BC1E40">
      <w:pPr>
        <w:pStyle w:val="EndNoteBibliography"/>
        <w:spacing w:after="0"/>
        <w:ind w:left="720" w:hanging="720"/>
        <w:rPr>
          <w:szCs w:val="18"/>
        </w:rPr>
      </w:pPr>
      <w:r w:rsidRPr="002A100E">
        <w:rPr>
          <w:szCs w:val="18"/>
        </w:rPr>
        <w:t xml:space="preserve">Stichnothe, H., Bell, G., Jørgensen, H., De Bari, I., Haveren, J., Lindorfer, J., Kepler, J., &amp; de Jong, E. (2020). </w:t>
      </w:r>
      <w:r w:rsidRPr="002A100E">
        <w:rPr>
          <w:i/>
          <w:szCs w:val="18"/>
        </w:rPr>
        <w:t>Bio-Based Chemicals A 2020 Update Bio-Based Chemicals A 2020 Update With input from: (pdf version) Published by IEA Bioenergy</w:t>
      </w:r>
      <w:r w:rsidRPr="002A100E">
        <w:rPr>
          <w:szCs w:val="18"/>
        </w:rPr>
        <w:t xml:space="preserve">. </w:t>
      </w:r>
    </w:p>
    <w:p w14:paraId="26F4C02C" w14:textId="10DCF8B5" w:rsidR="00BC1E40" w:rsidRPr="002A100E" w:rsidRDefault="00BC1E40" w:rsidP="002A100E">
      <w:pPr>
        <w:pStyle w:val="EndNoteBibliography"/>
        <w:spacing w:after="0"/>
        <w:ind w:left="720" w:hanging="720"/>
        <w:jc w:val="both"/>
        <w:rPr>
          <w:szCs w:val="18"/>
        </w:rPr>
      </w:pPr>
      <w:r w:rsidRPr="002A100E">
        <w:rPr>
          <w:szCs w:val="18"/>
        </w:rPr>
        <w:t xml:space="preserve">Sun, Z., &amp; Aziz, M. (2021). Comparative thermodynamic and techno-economic assessment of green methanol production from biomass through direct chemical looping processes. </w:t>
      </w:r>
      <w:r w:rsidRPr="002A100E">
        <w:rPr>
          <w:i/>
          <w:szCs w:val="18"/>
        </w:rPr>
        <w:t>Journal of Cleaner Production</w:t>
      </w:r>
      <w:r w:rsidRPr="002A100E">
        <w:rPr>
          <w:szCs w:val="18"/>
        </w:rPr>
        <w:t>,</w:t>
      </w:r>
      <w:r w:rsidRPr="002A100E">
        <w:rPr>
          <w:i/>
          <w:szCs w:val="18"/>
        </w:rPr>
        <w:t xml:space="preserve"> 321</w:t>
      </w:r>
      <w:r w:rsidRPr="002A100E">
        <w:rPr>
          <w:szCs w:val="18"/>
        </w:rPr>
        <w:t xml:space="preserve">, 129023. </w:t>
      </w:r>
      <w:hyperlink r:id="rId27" w:history="1">
        <w:r w:rsidRPr="002A100E">
          <w:rPr>
            <w:rStyle w:val="Hyperlink"/>
            <w:szCs w:val="18"/>
          </w:rPr>
          <w:t>https://doi.org/https://doi.org/10.1016/j.jclepro.2021.129023</w:t>
        </w:r>
      </w:hyperlink>
      <w:r w:rsidRPr="002A100E">
        <w:rPr>
          <w:szCs w:val="18"/>
        </w:rPr>
        <w:t xml:space="preserve"> </w:t>
      </w:r>
    </w:p>
    <w:p w14:paraId="3B8191FE" w14:textId="40FC67EB" w:rsidR="00BC1E40" w:rsidRPr="002A100E" w:rsidRDefault="00BC1E40" w:rsidP="00BC1E40">
      <w:pPr>
        <w:pStyle w:val="EndNoteBibliography"/>
        <w:ind w:left="720" w:hanging="720"/>
        <w:rPr>
          <w:szCs w:val="18"/>
        </w:rPr>
      </w:pPr>
      <w:r w:rsidRPr="002A100E">
        <w:rPr>
          <w:szCs w:val="18"/>
        </w:rPr>
        <w:t xml:space="preserve">Wang, W.-C., Liu, Y.-C., &amp; Nugroho, R. A. A. (2022). Techno-economic analysis of renewable jet fuel production: The comparison between Fischer-Tropsch synthesis and pyrolysis. </w:t>
      </w:r>
      <w:r w:rsidRPr="002A100E">
        <w:rPr>
          <w:i/>
          <w:szCs w:val="18"/>
        </w:rPr>
        <w:t>Energy</w:t>
      </w:r>
      <w:r w:rsidRPr="002A100E">
        <w:rPr>
          <w:szCs w:val="18"/>
        </w:rPr>
        <w:t>,</w:t>
      </w:r>
      <w:r w:rsidRPr="002A100E">
        <w:rPr>
          <w:i/>
          <w:szCs w:val="18"/>
        </w:rPr>
        <w:t xml:space="preserve"> 239</w:t>
      </w:r>
      <w:r w:rsidRPr="002A100E">
        <w:rPr>
          <w:szCs w:val="18"/>
        </w:rPr>
        <w:t xml:space="preserve">, 121970. </w:t>
      </w:r>
      <w:hyperlink r:id="rId28" w:history="1">
        <w:r w:rsidRPr="002A100E">
          <w:rPr>
            <w:rStyle w:val="Hyperlink"/>
            <w:szCs w:val="18"/>
          </w:rPr>
          <w:t>https://doi.org/https://doi.org/10.1016/j.energy.2021.121970</w:t>
        </w:r>
      </w:hyperlink>
      <w:r w:rsidRPr="002A100E">
        <w:rPr>
          <w:szCs w:val="18"/>
        </w:rPr>
        <w:t xml:space="preserve"> </w:t>
      </w:r>
    </w:p>
    <w:p w14:paraId="144DE6C3" w14:textId="5A8BAD3B" w:rsidR="008D2649" w:rsidRDefault="00D15D53" w:rsidP="00DD3833">
      <w:pPr>
        <w:pStyle w:val="Els-referenceno-number"/>
        <w:ind w:left="0" w:firstLine="0"/>
        <w:jc w:val="both"/>
        <w:rPr>
          <w:lang w:val="en-US"/>
        </w:rPr>
      </w:pPr>
      <w:r w:rsidRPr="002A100E">
        <w:rPr>
          <w:szCs w:val="18"/>
          <w:lang w:val="en-US"/>
        </w:rPr>
        <w:fldChar w:fldCharType="end"/>
      </w:r>
    </w:p>
    <w:sectPr w:rsidR="008D2649" w:rsidSect="008B0184">
      <w:headerReference w:type="even" r:id="rId29"/>
      <w:headerReference w:type="default" r:id="rId30"/>
      <w:headerReference w:type="first" r:id="rId3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EDA3" w14:textId="77777777" w:rsidR="00991746" w:rsidRDefault="00991746">
      <w:r>
        <w:separator/>
      </w:r>
    </w:p>
  </w:endnote>
  <w:endnote w:type="continuationSeparator" w:id="0">
    <w:p w14:paraId="550907DB" w14:textId="77777777" w:rsidR="00991746" w:rsidRDefault="0099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TIX-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1999" w14:textId="77777777" w:rsidR="00991746" w:rsidRDefault="00991746">
      <w:r>
        <w:separator/>
      </w:r>
    </w:p>
  </w:footnote>
  <w:footnote w:type="continuationSeparator" w:id="0">
    <w:p w14:paraId="562BD1D6" w14:textId="77777777" w:rsidR="00991746" w:rsidRDefault="0099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C04616F" w:rsidR="00DD3D9E" w:rsidRDefault="00DD3D9E">
    <w:pPr>
      <w:pStyle w:val="Header"/>
      <w:tabs>
        <w:tab w:val="clear" w:pos="7200"/>
        <w:tab w:val="right" w:pos="7088"/>
      </w:tabs>
    </w:pPr>
    <w:r>
      <w:rPr>
        <w:rStyle w:val="PageNumber"/>
      </w:rPr>
      <w:tab/>
    </w:r>
    <w:r>
      <w:rPr>
        <w:rStyle w:val="PageNumber"/>
        <w:i/>
      </w:rPr>
      <w:tab/>
    </w:r>
    <w:r w:rsidR="00990A3F">
      <w:rPr>
        <w:i/>
      </w:rPr>
      <w:t>Jadoon UK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2D63766" w:rsidR="00DD3D9E" w:rsidRDefault="00990A3F">
    <w:pPr>
      <w:pStyle w:val="Header"/>
      <w:tabs>
        <w:tab w:val="clear" w:pos="7200"/>
        <w:tab w:val="right" w:pos="7088"/>
      </w:tabs>
      <w:jc w:val="right"/>
      <w:rPr>
        <w:sz w:val="24"/>
      </w:rPr>
    </w:pPr>
    <w:r>
      <w:rPr>
        <w:i/>
      </w:rPr>
      <w:t>Economic Feasibility of Thermochemical Conversion for Woody Biomass-Derived Liquid Fuels in Spain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C544B"/>
    <w:multiLevelType w:val="multilevel"/>
    <w:tmpl w:val="FFFFFFFF"/>
    <w:lvl w:ilvl="0">
      <w:start w:val="1"/>
      <w:numFmt w:val="decimal"/>
      <w:lvlText w:val="%1."/>
      <w:lvlJc w:val="left"/>
      <w:pPr>
        <w:ind w:left="955" w:hanging="226"/>
      </w:pPr>
      <w:rPr>
        <w:rFonts w:ascii="Times New Roman" w:eastAsia="Times New Roman" w:hAnsi="Times New Roman" w:cs="Times New Roman" w:hint="default"/>
        <w:b/>
        <w:bCs/>
        <w:i w:val="0"/>
        <w:iCs w:val="0"/>
        <w:spacing w:val="0"/>
        <w:w w:val="100"/>
        <w:sz w:val="22"/>
        <w:szCs w:val="22"/>
      </w:rPr>
    </w:lvl>
    <w:lvl w:ilvl="1">
      <w:start w:val="1"/>
      <w:numFmt w:val="decimal"/>
      <w:lvlText w:val="%1.%2."/>
      <w:lvlJc w:val="left"/>
      <w:pPr>
        <w:ind w:left="1085" w:hanging="356"/>
      </w:pPr>
      <w:rPr>
        <w:rFonts w:ascii="Times New Roman" w:eastAsia="Times New Roman" w:hAnsi="Times New Roman" w:cs="Times New Roman" w:hint="default"/>
        <w:b w:val="0"/>
        <w:bCs w:val="0"/>
        <w:i/>
        <w:iCs/>
        <w:spacing w:val="0"/>
        <w:w w:val="99"/>
        <w:sz w:val="20"/>
        <w:szCs w:val="20"/>
      </w:rPr>
    </w:lvl>
    <w:lvl w:ilvl="2">
      <w:numFmt w:val="bullet"/>
      <w:lvlText w:val="•"/>
      <w:lvlJc w:val="left"/>
      <w:pPr>
        <w:ind w:left="1909" w:hanging="356"/>
      </w:pPr>
      <w:rPr>
        <w:rFonts w:hint="default"/>
      </w:rPr>
    </w:lvl>
    <w:lvl w:ilvl="3">
      <w:numFmt w:val="bullet"/>
      <w:lvlText w:val="•"/>
      <w:lvlJc w:val="left"/>
      <w:pPr>
        <w:ind w:left="2739" w:hanging="356"/>
      </w:pPr>
      <w:rPr>
        <w:rFonts w:hint="default"/>
      </w:rPr>
    </w:lvl>
    <w:lvl w:ilvl="4">
      <w:numFmt w:val="bullet"/>
      <w:lvlText w:val="•"/>
      <w:lvlJc w:val="left"/>
      <w:pPr>
        <w:ind w:left="3568" w:hanging="356"/>
      </w:pPr>
      <w:rPr>
        <w:rFonts w:hint="default"/>
      </w:rPr>
    </w:lvl>
    <w:lvl w:ilvl="5">
      <w:numFmt w:val="bullet"/>
      <w:lvlText w:val="•"/>
      <w:lvlJc w:val="left"/>
      <w:pPr>
        <w:ind w:left="4398" w:hanging="356"/>
      </w:pPr>
      <w:rPr>
        <w:rFonts w:hint="default"/>
      </w:rPr>
    </w:lvl>
    <w:lvl w:ilvl="6">
      <w:numFmt w:val="bullet"/>
      <w:lvlText w:val="•"/>
      <w:lvlJc w:val="left"/>
      <w:pPr>
        <w:ind w:left="5228" w:hanging="356"/>
      </w:pPr>
      <w:rPr>
        <w:rFonts w:hint="default"/>
      </w:rPr>
    </w:lvl>
    <w:lvl w:ilvl="7">
      <w:numFmt w:val="bullet"/>
      <w:lvlText w:val="•"/>
      <w:lvlJc w:val="left"/>
      <w:pPr>
        <w:ind w:left="6057" w:hanging="356"/>
      </w:pPr>
      <w:rPr>
        <w:rFonts w:hint="default"/>
      </w:rPr>
    </w:lvl>
    <w:lvl w:ilvl="8">
      <w:numFmt w:val="bullet"/>
      <w:lvlText w:val="•"/>
      <w:lvlJc w:val="left"/>
      <w:pPr>
        <w:ind w:left="6887" w:hanging="356"/>
      </w:pPr>
      <w:rPr>
        <w:rFont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D3C1365"/>
    <w:multiLevelType w:val="hybridMultilevel"/>
    <w:tmpl w:val="87CAF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4"/>
  </w:num>
  <w:num w:numId="8" w16cid:durableId="1750734252">
    <w:abstractNumId w:val="1"/>
  </w:num>
  <w:num w:numId="9" w16cid:durableId="203061615">
    <w:abstractNumId w:val="11"/>
  </w:num>
  <w:num w:numId="10" w16cid:durableId="1478497114">
    <w:abstractNumId w:val="16"/>
  </w:num>
  <w:num w:numId="11" w16cid:durableId="1896693444">
    <w:abstractNumId w:val="15"/>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894847233">
    <w:abstractNumId w:val="13"/>
  </w:num>
  <w:num w:numId="20" w16cid:durableId="1469280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xzzztei5drfretswrvswe8sfpvzzptpvvd&quot;&gt;e-fuels&lt;record-ids&gt;&lt;item&gt;1857&lt;/item&gt;&lt;item&gt;1865&lt;/item&gt;&lt;item&gt;1869&lt;/item&gt;&lt;item&gt;1870&lt;/item&gt;&lt;item&gt;1872&lt;/item&gt;&lt;item&gt;1873&lt;/item&gt;&lt;item&gt;1886&lt;/item&gt;&lt;item&gt;1896&lt;/item&gt;&lt;item&gt;1904&lt;/item&gt;&lt;item&gt;1923&lt;/item&gt;&lt;item&gt;1933&lt;/item&gt;&lt;item&gt;1937&lt;/item&gt;&lt;item&gt;1938&lt;/item&gt;&lt;item&gt;1939&lt;/item&gt;&lt;item&gt;1940&lt;/item&gt;&lt;item&gt;1941&lt;/item&gt;&lt;item&gt;1955&lt;/item&gt;&lt;item&gt;1961&lt;/item&gt;&lt;item&gt;1962&lt;/item&gt;&lt;/record-ids&gt;&lt;/item&gt;&lt;/Libraries&gt;"/>
  </w:docVars>
  <w:rsids>
    <w:rsidRoot w:val="00B63237"/>
    <w:rsid w:val="0001163E"/>
    <w:rsid w:val="0002162B"/>
    <w:rsid w:val="00030DB0"/>
    <w:rsid w:val="00076D0E"/>
    <w:rsid w:val="000D3D9B"/>
    <w:rsid w:val="000D53A6"/>
    <w:rsid w:val="000D56A0"/>
    <w:rsid w:val="000F4CFA"/>
    <w:rsid w:val="001057D9"/>
    <w:rsid w:val="0016032F"/>
    <w:rsid w:val="00163023"/>
    <w:rsid w:val="00167B80"/>
    <w:rsid w:val="001879F6"/>
    <w:rsid w:val="001A7AE2"/>
    <w:rsid w:val="001B0F2C"/>
    <w:rsid w:val="001C0148"/>
    <w:rsid w:val="001C757E"/>
    <w:rsid w:val="001D0988"/>
    <w:rsid w:val="0020390F"/>
    <w:rsid w:val="00221D19"/>
    <w:rsid w:val="00236CB6"/>
    <w:rsid w:val="00264926"/>
    <w:rsid w:val="00294D38"/>
    <w:rsid w:val="002A100E"/>
    <w:rsid w:val="002C227A"/>
    <w:rsid w:val="002F1197"/>
    <w:rsid w:val="002F713D"/>
    <w:rsid w:val="00301EE0"/>
    <w:rsid w:val="0031302B"/>
    <w:rsid w:val="00321FED"/>
    <w:rsid w:val="003B4FFF"/>
    <w:rsid w:val="003D1582"/>
    <w:rsid w:val="003D7E4C"/>
    <w:rsid w:val="003E41C2"/>
    <w:rsid w:val="003F75BA"/>
    <w:rsid w:val="004612ED"/>
    <w:rsid w:val="0049772C"/>
    <w:rsid w:val="004A5C9F"/>
    <w:rsid w:val="004C4028"/>
    <w:rsid w:val="0050632B"/>
    <w:rsid w:val="0054419F"/>
    <w:rsid w:val="00552EEB"/>
    <w:rsid w:val="00584259"/>
    <w:rsid w:val="005A269B"/>
    <w:rsid w:val="005B7286"/>
    <w:rsid w:val="0063421C"/>
    <w:rsid w:val="00670DA1"/>
    <w:rsid w:val="006858F1"/>
    <w:rsid w:val="0069542C"/>
    <w:rsid w:val="006A69BF"/>
    <w:rsid w:val="006B1F7E"/>
    <w:rsid w:val="006B653C"/>
    <w:rsid w:val="006B6A5C"/>
    <w:rsid w:val="006D611D"/>
    <w:rsid w:val="006E62DA"/>
    <w:rsid w:val="0070080A"/>
    <w:rsid w:val="00711DF4"/>
    <w:rsid w:val="00716FF4"/>
    <w:rsid w:val="0078479E"/>
    <w:rsid w:val="007C5C2D"/>
    <w:rsid w:val="007D70A1"/>
    <w:rsid w:val="008042A1"/>
    <w:rsid w:val="008132E8"/>
    <w:rsid w:val="00820750"/>
    <w:rsid w:val="00823407"/>
    <w:rsid w:val="00885E0A"/>
    <w:rsid w:val="008B0184"/>
    <w:rsid w:val="008C5D02"/>
    <w:rsid w:val="008D0846"/>
    <w:rsid w:val="008D2649"/>
    <w:rsid w:val="008F1C60"/>
    <w:rsid w:val="0090568D"/>
    <w:rsid w:val="009079EB"/>
    <w:rsid w:val="009125C9"/>
    <w:rsid w:val="00913879"/>
    <w:rsid w:val="0091517F"/>
    <w:rsid w:val="00917661"/>
    <w:rsid w:val="00922019"/>
    <w:rsid w:val="00925183"/>
    <w:rsid w:val="00960530"/>
    <w:rsid w:val="00970E5D"/>
    <w:rsid w:val="0097701C"/>
    <w:rsid w:val="00980A65"/>
    <w:rsid w:val="00984CEB"/>
    <w:rsid w:val="00990A3F"/>
    <w:rsid w:val="00991746"/>
    <w:rsid w:val="009A680D"/>
    <w:rsid w:val="009C5C5F"/>
    <w:rsid w:val="009D6D05"/>
    <w:rsid w:val="009D736F"/>
    <w:rsid w:val="00A11340"/>
    <w:rsid w:val="00A25E70"/>
    <w:rsid w:val="00A310E9"/>
    <w:rsid w:val="00A33765"/>
    <w:rsid w:val="00A502CE"/>
    <w:rsid w:val="00A63269"/>
    <w:rsid w:val="00A87B47"/>
    <w:rsid w:val="00A90A59"/>
    <w:rsid w:val="00A92377"/>
    <w:rsid w:val="00AB29ED"/>
    <w:rsid w:val="00AE129B"/>
    <w:rsid w:val="00AE4BD8"/>
    <w:rsid w:val="00B10B28"/>
    <w:rsid w:val="00B33AD4"/>
    <w:rsid w:val="00B4388F"/>
    <w:rsid w:val="00B60A9F"/>
    <w:rsid w:val="00B63237"/>
    <w:rsid w:val="00B90FAD"/>
    <w:rsid w:val="00BA6922"/>
    <w:rsid w:val="00BB1B25"/>
    <w:rsid w:val="00BB4A63"/>
    <w:rsid w:val="00BC1B2C"/>
    <w:rsid w:val="00BC1E40"/>
    <w:rsid w:val="00C42E2F"/>
    <w:rsid w:val="00C4529E"/>
    <w:rsid w:val="00C960DC"/>
    <w:rsid w:val="00CA535A"/>
    <w:rsid w:val="00CC4DE6"/>
    <w:rsid w:val="00D02C75"/>
    <w:rsid w:val="00D10E22"/>
    <w:rsid w:val="00D13D2C"/>
    <w:rsid w:val="00D15D53"/>
    <w:rsid w:val="00D4247C"/>
    <w:rsid w:val="00D46646"/>
    <w:rsid w:val="00D94439"/>
    <w:rsid w:val="00DA4B4B"/>
    <w:rsid w:val="00DA54A1"/>
    <w:rsid w:val="00DC2F94"/>
    <w:rsid w:val="00DD3833"/>
    <w:rsid w:val="00DD3D9E"/>
    <w:rsid w:val="00DD7908"/>
    <w:rsid w:val="00E274AB"/>
    <w:rsid w:val="00E53048"/>
    <w:rsid w:val="00E82297"/>
    <w:rsid w:val="00E85102"/>
    <w:rsid w:val="00EC23F9"/>
    <w:rsid w:val="00ED2CB7"/>
    <w:rsid w:val="00EF39FD"/>
    <w:rsid w:val="00F06842"/>
    <w:rsid w:val="00F107FD"/>
    <w:rsid w:val="00F368C1"/>
    <w:rsid w:val="00F61E30"/>
    <w:rsid w:val="00F7382D"/>
    <w:rsid w:val="00FB64A8"/>
    <w:rsid w:val="00FC0C8C"/>
    <w:rsid w:val="00FD4EF0"/>
    <w:rsid w:val="00F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6342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ha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har"/>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fontstyle01">
    <w:name w:val="fontstyle01"/>
    <w:basedOn w:val="DefaultParagraphFont"/>
    <w:rsid w:val="004612ED"/>
    <w:rPr>
      <w:rFonts w:ascii="STIX-Regular" w:hAnsi="STIX-Regular" w:hint="default"/>
      <w:b w:val="0"/>
      <w:bCs w:val="0"/>
      <w:i w:val="0"/>
      <w:iCs w:val="0"/>
      <w:color w:val="000000"/>
      <w:sz w:val="18"/>
      <w:szCs w:val="18"/>
    </w:rPr>
  </w:style>
  <w:style w:type="paragraph" w:customStyle="1" w:styleId="EndNoteBibliography">
    <w:name w:val="EndNote Bibliography"/>
    <w:basedOn w:val="Normal"/>
    <w:link w:val="EndNoteBibliographyChar"/>
    <w:rsid w:val="00984CEB"/>
    <w:pPr>
      <w:spacing w:after="160"/>
    </w:pPr>
    <w:rPr>
      <w:rFonts w:eastAsiaTheme="minorHAnsi"/>
      <w:noProof/>
      <w:kern w:val="2"/>
      <w:sz w:val="18"/>
      <w:szCs w:val="22"/>
      <w:lang w:val="en-US"/>
      <w14:ligatures w14:val="standardContextual"/>
    </w:rPr>
  </w:style>
  <w:style w:type="character" w:customStyle="1" w:styleId="EndNoteBibliographyChar">
    <w:name w:val="EndNote Bibliography Char"/>
    <w:basedOn w:val="DefaultParagraphFont"/>
    <w:link w:val="EndNoteBibliography"/>
    <w:rsid w:val="00984CEB"/>
    <w:rPr>
      <w:rFonts w:eastAsiaTheme="minorHAnsi"/>
      <w:noProof/>
      <w:kern w:val="2"/>
      <w:sz w:val="18"/>
      <w:szCs w:val="22"/>
      <w:lang w:val="en-US" w:eastAsia="en-US"/>
      <w14:ligatures w14:val="standardContextual"/>
    </w:rPr>
  </w:style>
  <w:style w:type="paragraph" w:customStyle="1" w:styleId="EndNoteBibliographyTitle">
    <w:name w:val="EndNote Bibliography Title"/>
    <w:basedOn w:val="Normal"/>
    <w:link w:val="EndNoteBibliographyTitleChar"/>
    <w:rsid w:val="00D15D53"/>
    <w:pPr>
      <w:jc w:val="center"/>
    </w:pPr>
    <w:rPr>
      <w:noProof/>
      <w:sz w:val="18"/>
      <w:lang w:val="en-US"/>
    </w:rPr>
  </w:style>
  <w:style w:type="character" w:customStyle="1" w:styleId="Els-referenceChar">
    <w:name w:val="Els-reference Char"/>
    <w:basedOn w:val="DefaultParagraphFont"/>
    <w:link w:val="Els-reference"/>
    <w:rsid w:val="00D15D53"/>
    <w:rPr>
      <w:noProof/>
      <w:sz w:val="18"/>
      <w:lang w:eastAsia="en-US"/>
    </w:rPr>
  </w:style>
  <w:style w:type="character" w:customStyle="1" w:styleId="Els-referenceno-numberChar">
    <w:name w:val="Els-reference no-number Char"/>
    <w:basedOn w:val="Els-referenceChar"/>
    <w:link w:val="Els-referenceno-number"/>
    <w:rsid w:val="00D15D53"/>
    <w:rPr>
      <w:noProof/>
      <w:sz w:val="18"/>
      <w:lang w:eastAsia="en-US"/>
    </w:rPr>
  </w:style>
  <w:style w:type="character" w:customStyle="1" w:styleId="EndNoteBibliographyTitleChar">
    <w:name w:val="EndNote Bibliography Title Char"/>
    <w:basedOn w:val="Els-referenceno-numberChar"/>
    <w:link w:val="EndNoteBibliographyTitle"/>
    <w:rsid w:val="00D15D53"/>
    <w:rPr>
      <w:noProof/>
      <w:sz w:val="18"/>
      <w:lang w:val="en-US" w:eastAsia="en-US"/>
    </w:rPr>
  </w:style>
  <w:style w:type="character" w:styleId="UnresolvedMention">
    <w:name w:val="Unresolved Mention"/>
    <w:basedOn w:val="DefaultParagraphFont"/>
    <w:uiPriority w:val="99"/>
    <w:semiHidden/>
    <w:unhideWhenUsed/>
    <w:rsid w:val="00D15D53"/>
    <w:rPr>
      <w:color w:val="605E5C"/>
      <w:shd w:val="clear" w:color="auto" w:fill="E1DFDD"/>
    </w:rPr>
  </w:style>
  <w:style w:type="table" w:styleId="TableGrid">
    <w:name w:val="Table Grid"/>
    <w:basedOn w:val="TableNormal"/>
    <w:uiPriority w:val="39"/>
    <w:rsid w:val="00CA535A"/>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421C"/>
    <w:rPr>
      <w:rFonts w:asciiTheme="majorHAnsi" w:eastAsiaTheme="majorEastAsia" w:hAnsiTheme="majorHAnsi" w:cstheme="majorBidi"/>
      <w:color w:val="365F91" w:themeColor="accent1" w:themeShade="BF"/>
      <w:sz w:val="32"/>
      <w:szCs w:val="32"/>
      <w:lang w:eastAsia="en-US"/>
    </w:rPr>
  </w:style>
  <w:style w:type="paragraph" w:styleId="BodyText">
    <w:name w:val="Body Text"/>
    <w:basedOn w:val="Normal"/>
    <w:link w:val="BodyTextChar"/>
    <w:uiPriority w:val="1"/>
    <w:qFormat/>
    <w:rsid w:val="0063421C"/>
    <w:pPr>
      <w:widowControl w:val="0"/>
      <w:autoSpaceDE w:val="0"/>
      <w:autoSpaceDN w:val="0"/>
    </w:pPr>
    <w:rPr>
      <w:lang w:val="en-US"/>
    </w:rPr>
  </w:style>
  <w:style w:type="character" w:customStyle="1" w:styleId="BodyTextChar">
    <w:name w:val="Body Text Char"/>
    <w:basedOn w:val="DefaultParagraphFont"/>
    <w:link w:val="BodyText"/>
    <w:uiPriority w:val="1"/>
    <w:rsid w:val="0063421C"/>
    <w:rPr>
      <w:lang w:val="en-US" w:eastAsia="en-US"/>
    </w:rPr>
  </w:style>
  <w:style w:type="paragraph" w:styleId="Revision">
    <w:name w:val="Revision"/>
    <w:hidden/>
    <w:uiPriority w:val="99"/>
    <w:semiHidden/>
    <w:rsid w:val="009C5C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304">
      <w:bodyDiv w:val="1"/>
      <w:marLeft w:val="0"/>
      <w:marRight w:val="0"/>
      <w:marTop w:val="0"/>
      <w:marBottom w:val="0"/>
      <w:divBdr>
        <w:top w:val="none" w:sz="0" w:space="0" w:color="auto"/>
        <w:left w:val="none" w:sz="0" w:space="0" w:color="auto"/>
        <w:bottom w:val="none" w:sz="0" w:space="0" w:color="auto"/>
        <w:right w:val="none" w:sz="0" w:space="0" w:color="auto"/>
      </w:divBdr>
    </w:div>
    <w:div w:id="919557977">
      <w:bodyDiv w:val="1"/>
      <w:marLeft w:val="0"/>
      <w:marRight w:val="0"/>
      <w:marTop w:val="0"/>
      <w:marBottom w:val="0"/>
      <w:divBdr>
        <w:top w:val="none" w:sz="0" w:space="0" w:color="auto"/>
        <w:left w:val="none" w:sz="0" w:space="0" w:color="auto"/>
        <w:bottom w:val="none" w:sz="0" w:space="0" w:color="auto"/>
        <w:right w:val="none" w:sz="0" w:space="0" w:color="auto"/>
      </w:divBdr>
      <w:divsChild>
        <w:div w:id="869729681">
          <w:marLeft w:val="0"/>
          <w:marRight w:val="0"/>
          <w:marTop w:val="0"/>
          <w:marBottom w:val="0"/>
          <w:divBdr>
            <w:top w:val="single" w:sz="2" w:space="0" w:color="D9D9E3"/>
            <w:left w:val="single" w:sz="2" w:space="0" w:color="D9D9E3"/>
            <w:bottom w:val="single" w:sz="2" w:space="0" w:color="D9D9E3"/>
            <w:right w:val="single" w:sz="2" w:space="0" w:color="D9D9E3"/>
          </w:divBdr>
          <w:divsChild>
            <w:div w:id="1756395553">
              <w:marLeft w:val="0"/>
              <w:marRight w:val="0"/>
              <w:marTop w:val="0"/>
              <w:marBottom w:val="0"/>
              <w:divBdr>
                <w:top w:val="single" w:sz="2" w:space="0" w:color="D9D9E3"/>
                <w:left w:val="single" w:sz="2" w:space="0" w:color="D9D9E3"/>
                <w:bottom w:val="single" w:sz="2" w:space="0" w:color="D9D9E3"/>
                <w:right w:val="single" w:sz="2" w:space="0" w:color="D9D9E3"/>
              </w:divBdr>
              <w:divsChild>
                <w:div w:id="1542864296">
                  <w:marLeft w:val="0"/>
                  <w:marRight w:val="0"/>
                  <w:marTop w:val="0"/>
                  <w:marBottom w:val="0"/>
                  <w:divBdr>
                    <w:top w:val="single" w:sz="2" w:space="0" w:color="D9D9E3"/>
                    <w:left w:val="single" w:sz="2" w:space="0" w:color="D9D9E3"/>
                    <w:bottom w:val="single" w:sz="2" w:space="0" w:color="D9D9E3"/>
                    <w:right w:val="single" w:sz="2" w:space="0" w:color="D9D9E3"/>
                  </w:divBdr>
                  <w:divsChild>
                    <w:div w:id="862323231">
                      <w:marLeft w:val="0"/>
                      <w:marRight w:val="0"/>
                      <w:marTop w:val="0"/>
                      <w:marBottom w:val="0"/>
                      <w:divBdr>
                        <w:top w:val="single" w:sz="2" w:space="0" w:color="D9D9E3"/>
                        <w:left w:val="single" w:sz="2" w:space="0" w:color="D9D9E3"/>
                        <w:bottom w:val="single" w:sz="2" w:space="0" w:color="D9D9E3"/>
                        <w:right w:val="single" w:sz="2" w:space="0" w:color="D9D9E3"/>
                      </w:divBdr>
                      <w:divsChild>
                        <w:div w:id="30498984">
                          <w:marLeft w:val="0"/>
                          <w:marRight w:val="0"/>
                          <w:marTop w:val="0"/>
                          <w:marBottom w:val="0"/>
                          <w:divBdr>
                            <w:top w:val="none" w:sz="0" w:space="0" w:color="auto"/>
                            <w:left w:val="none" w:sz="0" w:space="0" w:color="auto"/>
                            <w:bottom w:val="none" w:sz="0" w:space="0" w:color="auto"/>
                            <w:right w:val="none" w:sz="0" w:space="0" w:color="auto"/>
                          </w:divBdr>
                          <w:divsChild>
                            <w:div w:id="512843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666913">
                                  <w:marLeft w:val="0"/>
                                  <w:marRight w:val="0"/>
                                  <w:marTop w:val="0"/>
                                  <w:marBottom w:val="0"/>
                                  <w:divBdr>
                                    <w:top w:val="single" w:sz="2" w:space="0" w:color="D9D9E3"/>
                                    <w:left w:val="single" w:sz="2" w:space="0" w:color="D9D9E3"/>
                                    <w:bottom w:val="single" w:sz="2" w:space="0" w:color="D9D9E3"/>
                                    <w:right w:val="single" w:sz="2" w:space="0" w:color="D9D9E3"/>
                                  </w:divBdr>
                                  <w:divsChild>
                                    <w:div w:id="1128471352">
                                      <w:marLeft w:val="0"/>
                                      <w:marRight w:val="0"/>
                                      <w:marTop w:val="0"/>
                                      <w:marBottom w:val="0"/>
                                      <w:divBdr>
                                        <w:top w:val="single" w:sz="2" w:space="0" w:color="D9D9E3"/>
                                        <w:left w:val="single" w:sz="2" w:space="0" w:color="D9D9E3"/>
                                        <w:bottom w:val="single" w:sz="2" w:space="0" w:color="D9D9E3"/>
                                        <w:right w:val="single" w:sz="2" w:space="0" w:color="D9D9E3"/>
                                      </w:divBdr>
                                      <w:divsChild>
                                        <w:div w:id="1247497113">
                                          <w:marLeft w:val="0"/>
                                          <w:marRight w:val="0"/>
                                          <w:marTop w:val="0"/>
                                          <w:marBottom w:val="0"/>
                                          <w:divBdr>
                                            <w:top w:val="single" w:sz="2" w:space="0" w:color="D9D9E3"/>
                                            <w:left w:val="single" w:sz="2" w:space="0" w:color="D9D9E3"/>
                                            <w:bottom w:val="single" w:sz="2" w:space="0" w:color="D9D9E3"/>
                                            <w:right w:val="single" w:sz="2" w:space="0" w:color="D9D9E3"/>
                                          </w:divBdr>
                                          <w:divsChild>
                                            <w:div w:id="1541626111">
                                              <w:marLeft w:val="0"/>
                                              <w:marRight w:val="0"/>
                                              <w:marTop w:val="0"/>
                                              <w:marBottom w:val="0"/>
                                              <w:divBdr>
                                                <w:top w:val="single" w:sz="2" w:space="0" w:color="D9D9E3"/>
                                                <w:left w:val="single" w:sz="2" w:space="0" w:color="D9D9E3"/>
                                                <w:bottom w:val="single" w:sz="2" w:space="0" w:color="D9D9E3"/>
                                                <w:right w:val="single" w:sz="2" w:space="0" w:color="D9D9E3"/>
                                              </w:divBdr>
                                              <w:divsChild>
                                                <w:div w:id="1057969167">
                                                  <w:marLeft w:val="0"/>
                                                  <w:marRight w:val="0"/>
                                                  <w:marTop w:val="0"/>
                                                  <w:marBottom w:val="0"/>
                                                  <w:divBdr>
                                                    <w:top w:val="single" w:sz="2" w:space="0" w:color="D9D9E3"/>
                                                    <w:left w:val="single" w:sz="2" w:space="0" w:color="D9D9E3"/>
                                                    <w:bottom w:val="single" w:sz="2" w:space="0" w:color="D9D9E3"/>
                                                    <w:right w:val="single" w:sz="2" w:space="0" w:color="D9D9E3"/>
                                                  </w:divBdr>
                                                  <w:divsChild>
                                                    <w:div w:id="1443189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6409744">
          <w:marLeft w:val="0"/>
          <w:marRight w:val="0"/>
          <w:marTop w:val="0"/>
          <w:marBottom w:val="0"/>
          <w:divBdr>
            <w:top w:val="none" w:sz="0" w:space="0" w:color="auto"/>
            <w:left w:val="none" w:sz="0" w:space="0" w:color="auto"/>
            <w:bottom w:val="none" w:sz="0" w:space="0" w:color="auto"/>
            <w:right w:val="none" w:sz="0" w:space="0" w:color="auto"/>
          </w:divBdr>
        </w:div>
      </w:divsChild>
    </w:div>
    <w:div w:id="992367453">
      <w:bodyDiv w:val="1"/>
      <w:marLeft w:val="0"/>
      <w:marRight w:val="0"/>
      <w:marTop w:val="0"/>
      <w:marBottom w:val="0"/>
      <w:divBdr>
        <w:top w:val="none" w:sz="0" w:space="0" w:color="auto"/>
        <w:left w:val="none" w:sz="0" w:space="0" w:color="auto"/>
        <w:bottom w:val="none" w:sz="0" w:space="0" w:color="auto"/>
        <w:right w:val="none" w:sz="0" w:space="0" w:color="auto"/>
      </w:divBdr>
      <w:divsChild>
        <w:div w:id="388845098">
          <w:marLeft w:val="0"/>
          <w:marRight w:val="0"/>
          <w:marTop w:val="0"/>
          <w:marBottom w:val="0"/>
          <w:divBdr>
            <w:top w:val="single" w:sz="2" w:space="0" w:color="D9D9E3"/>
            <w:left w:val="single" w:sz="2" w:space="0" w:color="D9D9E3"/>
            <w:bottom w:val="single" w:sz="2" w:space="0" w:color="D9D9E3"/>
            <w:right w:val="single" w:sz="2" w:space="0" w:color="D9D9E3"/>
          </w:divBdr>
          <w:divsChild>
            <w:div w:id="1021275685">
              <w:marLeft w:val="0"/>
              <w:marRight w:val="0"/>
              <w:marTop w:val="0"/>
              <w:marBottom w:val="0"/>
              <w:divBdr>
                <w:top w:val="single" w:sz="2" w:space="0" w:color="D9D9E3"/>
                <w:left w:val="single" w:sz="2" w:space="0" w:color="D9D9E3"/>
                <w:bottom w:val="single" w:sz="2" w:space="0" w:color="D9D9E3"/>
                <w:right w:val="single" w:sz="2" w:space="0" w:color="D9D9E3"/>
              </w:divBdr>
              <w:divsChild>
                <w:div w:id="627469595">
                  <w:marLeft w:val="0"/>
                  <w:marRight w:val="0"/>
                  <w:marTop w:val="0"/>
                  <w:marBottom w:val="0"/>
                  <w:divBdr>
                    <w:top w:val="single" w:sz="2" w:space="0" w:color="D9D9E3"/>
                    <w:left w:val="single" w:sz="2" w:space="0" w:color="D9D9E3"/>
                    <w:bottom w:val="single" w:sz="2" w:space="0" w:color="D9D9E3"/>
                    <w:right w:val="single" w:sz="2" w:space="0" w:color="D9D9E3"/>
                  </w:divBdr>
                  <w:divsChild>
                    <w:div w:id="1470130765">
                      <w:marLeft w:val="0"/>
                      <w:marRight w:val="0"/>
                      <w:marTop w:val="0"/>
                      <w:marBottom w:val="0"/>
                      <w:divBdr>
                        <w:top w:val="single" w:sz="2" w:space="0" w:color="D9D9E3"/>
                        <w:left w:val="single" w:sz="2" w:space="0" w:color="D9D9E3"/>
                        <w:bottom w:val="single" w:sz="2" w:space="0" w:color="D9D9E3"/>
                        <w:right w:val="single" w:sz="2" w:space="0" w:color="D9D9E3"/>
                      </w:divBdr>
                      <w:divsChild>
                        <w:div w:id="11615298">
                          <w:marLeft w:val="0"/>
                          <w:marRight w:val="0"/>
                          <w:marTop w:val="0"/>
                          <w:marBottom w:val="0"/>
                          <w:divBdr>
                            <w:top w:val="none" w:sz="0" w:space="0" w:color="auto"/>
                            <w:left w:val="none" w:sz="0" w:space="0" w:color="auto"/>
                            <w:bottom w:val="none" w:sz="0" w:space="0" w:color="auto"/>
                            <w:right w:val="none" w:sz="0" w:space="0" w:color="auto"/>
                          </w:divBdr>
                          <w:divsChild>
                            <w:div w:id="551113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34316">
                                  <w:marLeft w:val="0"/>
                                  <w:marRight w:val="0"/>
                                  <w:marTop w:val="0"/>
                                  <w:marBottom w:val="0"/>
                                  <w:divBdr>
                                    <w:top w:val="single" w:sz="2" w:space="0" w:color="D9D9E3"/>
                                    <w:left w:val="single" w:sz="2" w:space="0" w:color="D9D9E3"/>
                                    <w:bottom w:val="single" w:sz="2" w:space="0" w:color="D9D9E3"/>
                                    <w:right w:val="single" w:sz="2" w:space="0" w:color="D9D9E3"/>
                                  </w:divBdr>
                                  <w:divsChild>
                                    <w:div w:id="1804420208">
                                      <w:marLeft w:val="0"/>
                                      <w:marRight w:val="0"/>
                                      <w:marTop w:val="0"/>
                                      <w:marBottom w:val="0"/>
                                      <w:divBdr>
                                        <w:top w:val="single" w:sz="2" w:space="0" w:color="D9D9E3"/>
                                        <w:left w:val="single" w:sz="2" w:space="0" w:color="D9D9E3"/>
                                        <w:bottom w:val="single" w:sz="2" w:space="0" w:color="D9D9E3"/>
                                        <w:right w:val="single" w:sz="2" w:space="0" w:color="D9D9E3"/>
                                      </w:divBdr>
                                      <w:divsChild>
                                        <w:div w:id="1205219511">
                                          <w:marLeft w:val="0"/>
                                          <w:marRight w:val="0"/>
                                          <w:marTop w:val="0"/>
                                          <w:marBottom w:val="0"/>
                                          <w:divBdr>
                                            <w:top w:val="single" w:sz="2" w:space="0" w:color="D9D9E3"/>
                                            <w:left w:val="single" w:sz="2" w:space="0" w:color="D9D9E3"/>
                                            <w:bottom w:val="single" w:sz="2" w:space="0" w:color="D9D9E3"/>
                                            <w:right w:val="single" w:sz="2" w:space="0" w:color="D9D9E3"/>
                                          </w:divBdr>
                                          <w:divsChild>
                                            <w:div w:id="847986374">
                                              <w:marLeft w:val="0"/>
                                              <w:marRight w:val="0"/>
                                              <w:marTop w:val="0"/>
                                              <w:marBottom w:val="0"/>
                                              <w:divBdr>
                                                <w:top w:val="single" w:sz="2" w:space="0" w:color="D9D9E3"/>
                                                <w:left w:val="single" w:sz="2" w:space="0" w:color="D9D9E3"/>
                                                <w:bottom w:val="single" w:sz="2" w:space="0" w:color="D9D9E3"/>
                                                <w:right w:val="single" w:sz="2" w:space="0" w:color="D9D9E3"/>
                                              </w:divBdr>
                                              <w:divsChild>
                                                <w:div w:id="1220241046">
                                                  <w:marLeft w:val="0"/>
                                                  <w:marRight w:val="0"/>
                                                  <w:marTop w:val="0"/>
                                                  <w:marBottom w:val="0"/>
                                                  <w:divBdr>
                                                    <w:top w:val="single" w:sz="2" w:space="0" w:color="D9D9E3"/>
                                                    <w:left w:val="single" w:sz="2" w:space="0" w:color="D9D9E3"/>
                                                    <w:bottom w:val="single" w:sz="2" w:space="0" w:color="D9D9E3"/>
                                                    <w:right w:val="single" w:sz="2" w:space="0" w:color="D9D9E3"/>
                                                  </w:divBdr>
                                                  <w:divsChild>
                                                    <w:div w:id="1791437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4107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1522049">
      <w:bodyDiv w:val="1"/>
      <w:marLeft w:val="0"/>
      <w:marRight w:val="0"/>
      <w:marTop w:val="0"/>
      <w:marBottom w:val="0"/>
      <w:divBdr>
        <w:top w:val="none" w:sz="0" w:space="0" w:color="auto"/>
        <w:left w:val="none" w:sz="0" w:space="0" w:color="auto"/>
        <w:bottom w:val="none" w:sz="0" w:space="0" w:color="auto"/>
        <w:right w:val="none" w:sz="0" w:space="0" w:color="auto"/>
      </w:divBdr>
      <w:divsChild>
        <w:div w:id="28452159">
          <w:marLeft w:val="0"/>
          <w:marRight w:val="0"/>
          <w:marTop w:val="0"/>
          <w:marBottom w:val="0"/>
          <w:divBdr>
            <w:top w:val="single" w:sz="2" w:space="0" w:color="D9D9E3"/>
            <w:left w:val="single" w:sz="2" w:space="0" w:color="D9D9E3"/>
            <w:bottom w:val="single" w:sz="2" w:space="0" w:color="D9D9E3"/>
            <w:right w:val="single" w:sz="2" w:space="0" w:color="D9D9E3"/>
          </w:divBdr>
          <w:divsChild>
            <w:div w:id="343560241">
              <w:marLeft w:val="0"/>
              <w:marRight w:val="0"/>
              <w:marTop w:val="0"/>
              <w:marBottom w:val="0"/>
              <w:divBdr>
                <w:top w:val="single" w:sz="2" w:space="0" w:color="D9D9E3"/>
                <w:left w:val="single" w:sz="2" w:space="0" w:color="D9D9E3"/>
                <w:bottom w:val="single" w:sz="2" w:space="0" w:color="D9D9E3"/>
                <w:right w:val="single" w:sz="2" w:space="0" w:color="D9D9E3"/>
              </w:divBdr>
              <w:divsChild>
                <w:div w:id="1138034922">
                  <w:marLeft w:val="0"/>
                  <w:marRight w:val="0"/>
                  <w:marTop w:val="0"/>
                  <w:marBottom w:val="0"/>
                  <w:divBdr>
                    <w:top w:val="single" w:sz="2" w:space="0" w:color="D9D9E3"/>
                    <w:left w:val="single" w:sz="2" w:space="0" w:color="D9D9E3"/>
                    <w:bottom w:val="single" w:sz="2" w:space="0" w:color="D9D9E3"/>
                    <w:right w:val="single" w:sz="2" w:space="0" w:color="D9D9E3"/>
                  </w:divBdr>
                  <w:divsChild>
                    <w:div w:id="1674524901">
                      <w:marLeft w:val="0"/>
                      <w:marRight w:val="0"/>
                      <w:marTop w:val="0"/>
                      <w:marBottom w:val="0"/>
                      <w:divBdr>
                        <w:top w:val="single" w:sz="2" w:space="0" w:color="D9D9E3"/>
                        <w:left w:val="single" w:sz="2" w:space="0" w:color="D9D9E3"/>
                        <w:bottom w:val="single" w:sz="2" w:space="0" w:color="D9D9E3"/>
                        <w:right w:val="single" w:sz="2" w:space="0" w:color="D9D9E3"/>
                      </w:divBdr>
                      <w:divsChild>
                        <w:div w:id="1417555837">
                          <w:marLeft w:val="0"/>
                          <w:marRight w:val="0"/>
                          <w:marTop w:val="0"/>
                          <w:marBottom w:val="0"/>
                          <w:divBdr>
                            <w:top w:val="none" w:sz="0" w:space="0" w:color="auto"/>
                            <w:left w:val="none" w:sz="0" w:space="0" w:color="auto"/>
                            <w:bottom w:val="none" w:sz="0" w:space="0" w:color="auto"/>
                            <w:right w:val="none" w:sz="0" w:space="0" w:color="auto"/>
                          </w:divBdr>
                          <w:divsChild>
                            <w:div w:id="83648507">
                              <w:marLeft w:val="0"/>
                              <w:marRight w:val="0"/>
                              <w:marTop w:val="100"/>
                              <w:marBottom w:val="100"/>
                              <w:divBdr>
                                <w:top w:val="single" w:sz="2" w:space="0" w:color="D9D9E3"/>
                                <w:left w:val="single" w:sz="2" w:space="0" w:color="D9D9E3"/>
                                <w:bottom w:val="single" w:sz="2" w:space="0" w:color="D9D9E3"/>
                                <w:right w:val="single" w:sz="2" w:space="0" w:color="D9D9E3"/>
                              </w:divBdr>
                              <w:divsChild>
                                <w:div w:id="419721491">
                                  <w:marLeft w:val="0"/>
                                  <w:marRight w:val="0"/>
                                  <w:marTop w:val="0"/>
                                  <w:marBottom w:val="0"/>
                                  <w:divBdr>
                                    <w:top w:val="single" w:sz="2" w:space="0" w:color="D9D9E3"/>
                                    <w:left w:val="single" w:sz="2" w:space="0" w:color="D9D9E3"/>
                                    <w:bottom w:val="single" w:sz="2" w:space="0" w:color="D9D9E3"/>
                                    <w:right w:val="single" w:sz="2" w:space="0" w:color="D9D9E3"/>
                                  </w:divBdr>
                                  <w:divsChild>
                                    <w:div w:id="1485047942">
                                      <w:marLeft w:val="0"/>
                                      <w:marRight w:val="0"/>
                                      <w:marTop w:val="0"/>
                                      <w:marBottom w:val="0"/>
                                      <w:divBdr>
                                        <w:top w:val="single" w:sz="2" w:space="0" w:color="D9D9E3"/>
                                        <w:left w:val="single" w:sz="2" w:space="0" w:color="D9D9E3"/>
                                        <w:bottom w:val="single" w:sz="2" w:space="0" w:color="D9D9E3"/>
                                        <w:right w:val="single" w:sz="2" w:space="0" w:color="D9D9E3"/>
                                      </w:divBdr>
                                      <w:divsChild>
                                        <w:div w:id="1763142669">
                                          <w:marLeft w:val="0"/>
                                          <w:marRight w:val="0"/>
                                          <w:marTop w:val="0"/>
                                          <w:marBottom w:val="0"/>
                                          <w:divBdr>
                                            <w:top w:val="single" w:sz="2" w:space="0" w:color="D9D9E3"/>
                                            <w:left w:val="single" w:sz="2" w:space="0" w:color="D9D9E3"/>
                                            <w:bottom w:val="single" w:sz="2" w:space="0" w:color="D9D9E3"/>
                                            <w:right w:val="single" w:sz="2" w:space="0" w:color="D9D9E3"/>
                                          </w:divBdr>
                                          <w:divsChild>
                                            <w:div w:id="1641615294">
                                              <w:marLeft w:val="0"/>
                                              <w:marRight w:val="0"/>
                                              <w:marTop w:val="0"/>
                                              <w:marBottom w:val="0"/>
                                              <w:divBdr>
                                                <w:top w:val="single" w:sz="2" w:space="0" w:color="D9D9E3"/>
                                                <w:left w:val="single" w:sz="2" w:space="0" w:color="D9D9E3"/>
                                                <w:bottom w:val="single" w:sz="2" w:space="0" w:color="D9D9E3"/>
                                                <w:right w:val="single" w:sz="2" w:space="0" w:color="D9D9E3"/>
                                              </w:divBdr>
                                              <w:divsChild>
                                                <w:div w:id="1273242152">
                                                  <w:marLeft w:val="0"/>
                                                  <w:marRight w:val="0"/>
                                                  <w:marTop w:val="0"/>
                                                  <w:marBottom w:val="0"/>
                                                  <w:divBdr>
                                                    <w:top w:val="single" w:sz="2" w:space="0" w:color="D9D9E3"/>
                                                    <w:left w:val="single" w:sz="2" w:space="0" w:color="D9D9E3"/>
                                                    <w:bottom w:val="single" w:sz="2" w:space="0" w:color="D9D9E3"/>
                                                    <w:right w:val="single" w:sz="2" w:space="0" w:color="D9D9E3"/>
                                                  </w:divBdr>
                                                  <w:divsChild>
                                                    <w:div w:id="283002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224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ission.europa.eu/strategy-and-policy/priorities-2019-2024/european-green-deal_enhttps://commission.europa.eu/strategy-and-policy/priorities-2019-2024/european-green-deal_en" TargetMode="External"/><Relationship Id="rId18" Type="http://schemas.openxmlformats.org/officeDocument/2006/relationships/hyperlink" Target="https://doi.org/https://doi.org/10.1016/j.apenergy.2020.115841" TargetMode="External"/><Relationship Id="rId26" Type="http://schemas.openxmlformats.org/officeDocument/2006/relationships/hyperlink" Target="https://doi.org/https://doi.org/10.1111/gcbb.12658" TargetMode="External"/><Relationship Id="rId3" Type="http://schemas.openxmlformats.org/officeDocument/2006/relationships/customXml" Target="../customXml/item3.xml"/><Relationship Id="rId21" Type="http://schemas.openxmlformats.org/officeDocument/2006/relationships/hyperlink" Target="https://doi.org/10.3389/fenrg.2022.796104"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oi.org/10.1039/C3EE24243A" TargetMode="External"/><Relationship Id="rId25" Type="http://schemas.openxmlformats.org/officeDocument/2006/relationships/hyperlink" Target="https://doi.org/https://doi.org/10.1016/j.energy.2023.12731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https://doi.org/10.1016/j.fuel.2023.127583" TargetMode="External"/><Relationship Id="rId20" Type="http://schemas.openxmlformats.org/officeDocument/2006/relationships/hyperlink" Target="https://doi.org/https://doi.org/10.1002/bbb.2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oi.org/10.3389/fenrg.2021.79567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3303/CET2292020" TargetMode="External"/><Relationship Id="rId23" Type="http://schemas.openxmlformats.org/officeDocument/2006/relationships/hyperlink" Target="https://doi.org/https://doi.org/10.1016/j.fuproc.2019.03.026" TargetMode="External"/><Relationship Id="rId28" Type="http://schemas.openxmlformats.org/officeDocument/2006/relationships/hyperlink" Target="https://doi.org/https://doi.org/10.1016/j.energy.2021.121970" TargetMode="External"/><Relationship Id="rId10" Type="http://schemas.openxmlformats.org/officeDocument/2006/relationships/endnotes" Target="endnotes.xml"/><Relationship Id="rId19" Type="http://schemas.openxmlformats.org/officeDocument/2006/relationships/hyperlink" Target="https://doi.org/10.1021/acs.iecr.9b03468"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edu/sis/centers/carbon-removal/fact-sheet-bioenergy-with-carbon-capture-and-storage-beccs.cfm" TargetMode="External"/><Relationship Id="rId22" Type="http://schemas.openxmlformats.org/officeDocument/2006/relationships/hyperlink" Target="https://www.lamoncloa.gob.es/lang/en/gobierno/news/Paginas/2019/20190320forestheritage.aspx" TargetMode="External"/><Relationship Id="rId27" Type="http://schemas.openxmlformats.org/officeDocument/2006/relationships/hyperlink" Target="https://doi.org/https://doi.org/10.1016/j.jclepro.2021.129023"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43D034E8EB1B343AD02DC259E3C4165" ma:contentTypeVersion="3" ma:contentTypeDescription="Crear nuevo documento." ma:contentTypeScope="" ma:versionID="ba464d3f5da748a2ee7bdb5fdfa3ff8b">
  <xsd:schema xmlns:xsd="http://www.w3.org/2001/XMLSchema" xmlns:xs="http://www.w3.org/2001/XMLSchema" xmlns:p="http://schemas.microsoft.com/office/2006/metadata/properties" xmlns:ns2="15d7cb41-2fb9-4f40-9254-ebadda9a6226" targetNamespace="http://schemas.microsoft.com/office/2006/metadata/properties" ma:root="true" ma:fieldsID="5088a93bece8cf91da9a62062402abd1" ns2:_="">
    <xsd:import namespace="15d7cb41-2fb9-4f40-9254-ebadda9a62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7cb41-2fb9-4f40-9254-ebadda9a6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F624-2931-474D-9D22-E4CDE854F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BABFD9-D90F-4CF1-935D-29BA16D9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7cb41-2fb9-4f40-9254-ebadda9a6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9E4CB-3B9C-411D-9B79-79603C29E795}">
  <ds:schemaRefs>
    <ds:schemaRef ds:uri="http://schemas.microsoft.com/sharepoint/v3/contenttype/forms"/>
  </ds:schemaRefs>
</ds:datastoreItem>
</file>

<file path=customXml/itemProps4.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TotalTime>
  <Pages>6</Pages>
  <Words>5778</Words>
  <Characters>32935</Characters>
  <Application>Microsoft Office Word</Application>
  <DocSecurity>0</DocSecurity>
  <Lines>274</Lines>
  <Paragraphs>77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USMAN KHAN JADOON</cp:lastModifiedBy>
  <cp:revision>3</cp:revision>
  <cp:lastPrinted>2023-11-30T09:44:00Z</cp:lastPrinted>
  <dcterms:created xsi:type="dcterms:W3CDTF">2023-11-30T12:01:00Z</dcterms:created>
  <dcterms:modified xsi:type="dcterms:W3CDTF">2023-11-30T12:06:00Z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0x010100743D034E8EB1B343AD02DC259E3C4165</vt:lpwstr>
  </property>
</Properties>
</file>