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6FBB767" w:rsidR="00DD3D9E" w:rsidRPr="00F61F47" w:rsidRDefault="00041742" w:rsidP="00F61F47">
      <w:pPr>
        <w:pStyle w:val="Els-Title"/>
        <w:rPr>
          <w:color w:val="000000" w:themeColor="text1"/>
          <w:lang w:val="en-GB"/>
        </w:rPr>
      </w:pPr>
      <w:r>
        <w:rPr>
          <w:color w:val="000000" w:themeColor="text1"/>
        </w:rPr>
        <w:t>F</w:t>
      </w:r>
      <w:r w:rsidR="00F61F47" w:rsidRPr="00F61F47">
        <w:rPr>
          <w:color w:val="000000" w:themeColor="text1"/>
        </w:rPr>
        <w:t xml:space="preserve">ramework based on a </w:t>
      </w:r>
      <w:r>
        <w:rPr>
          <w:color w:val="000000" w:themeColor="text1"/>
        </w:rPr>
        <w:t>coupled</w:t>
      </w:r>
      <w:r w:rsidR="00F61F47" w:rsidRPr="00F61F47">
        <w:rPr>
          <w:color w:val="000000" w:themeColor="text1"/>
        </w:rPr>
        <w:t xml:space="preserve"> input-yield model for infrastructure-driven </w:t>
      </w:r>
      <w:proofErr w:type="gramStart"/>
      <w:r w:rsidR="00C4075E" w:rsidRPr="00F61F47">
        <w:rPr>
          <w:color w:val="000000" w:themeColor="text1"/>
        </w:rPr>
        <w:t>agriculture</w:t>
      </w:r>
      <w:proofErr w:type="gramEnd"/>
    </w:p>
    <w:p w14:paraId="144DE680" w14:textId="6A9FEDA9" w:rsidR="00DD3D9E" w:rsidRDefault="009E6204">
      <w:pPr>
        <w:pStyle w:val="Els-Author"/>
      </w:pPr>
      <w:r>
        <w:t xml:space="preserve">Farhat Mahmood, </w:t>
      </w:r>
      <w:r w:rsidR="00ED091E">
        <w:t>*</w:t>
      </w:r>
      <w:r>
        <w:t xml:space="preserve">Tareq Al-Ansari </w:t>
      </w:r>
    </w:p>
    <w:p w14:paraId="144DE682" w14:textId="36100378" w:rsidR="00DD3D9E" w:rsidRDefault="00EE73E1" w:rsidP="00E9536C">
      <w:pPr>
        <w:pStyle w:val="Els-Affiliation"/>
        <w:jc w:val="both"/>
      </w:pPr>
      <w:r w:rsidRPr="00EE73E1">
        <w:t>College of Science and Engineering, Hamad Bin Khalifa University, Qatar Foundation, Doha, Qatar</w:t>
      </w:r>
    </w:p>
    <w:p w14:paraId="144DE683" w14:textId="57753787" w:rsidR="008D2649" w:rsidRPr="00A94774" w:rsidRDefault="00AA6C93" w:rsidP="008D2649">
      <w:pPr>
        <w:pStyle w:val="Els-Affiliation"/>
        <w:spacing w:after="120"/>
      </w:pPr>
      <w:hyperlink r:id="rId8" w:history="1">
        <w:r w:rsidR="00B85BFD" w:rsidRPr="00E9536C">
          <w:rPr>
            <w:u w:val="single"/>
          </w:rPr>
          <w:t>talansari@hbku.edu.qa</w:t>
        </w:r>
      </w:hyperlink>
      <w:r w:rsidR="00E9536C">
        <w:t xml:space="preserve"> </w:t>
      </w:r>
    </w:p>
    <w:p w14:paraId="144DE684" w14:textId="77777777" w:rsidR="008D2649" w:rsidRDefault="008D2649" w:rsidP="008D2649">
      <w:pPr>
        <w:pStyle w:val="Els-Abstract"/>
      </w:pPr>
      <w:r>
        <w:t>Abstract</w:t>
      </w:r>
    </w:p>
    <w:p w14:paraId="4C292CC2" w14:textId="55D4E87E" w:rsidR="009959EF" w:rsidRDefault="00C05969" w:rsidP="008D2649">
      <w:pPr>
        <w:pStyle w:val="Els-body-text"/>
        <w:spacing w:after="120"/>
        <w:rPr>
          <w:lang w:val="en-GB"/>
        </w:rPr>
      </w:pPr>
      <w:r w:rsidRPr="00C05969">
        <w:rPr>
          <w:lang w:val="en-GB"/>
        </w:rPr>
        <w:t xml:space="preserve">As the population and demand for food increases, the need to produce food locally in a sustainable manner is imperative for a country's food security. </w:t>
      </w:r>
      <w:r w:rsidR="00696F57" w:rsidRPr="00696F57">
        <w:rPr>
          <w:lang w:val="en-GB"/>
        </w:rPr>
        <w:t xml:space="preserve">Traditional agriculture in arid regions faces difficulties due to </w:t>
      </w:r>
      <w:r w:rsidR="00696F57" w:rsidRPr="00C05969">
        <w:rPr>
          <w:lang w:val="en-GB"/>
        </w:rPr>
        <w:t>non-arable</w:t>
      </w:r>
      <w:r w:rsidR="00696F57" w:rsidRPr="00696F57">
        <w:rPr>
          <w:lang w:val="en-GB"/>
        </w:rPr>
        <w:t xml:space="preserve"> land and harsh climate, hindering crop growth. </w:t>
      </w:r>
      <w:r w:rsidR="00033154">
        <w:rPr>
          <w:lang w:val="en-GB"/>
        </w:rPr>
        <w:t>C</w:t>
      </w:r>
      <w:r w:rsidR="00696F57" w:rsidRPr="00696F57">
        <w:rPr>
          <w:lang w:val="en-GB"/>
        </w:rPr>
        <w:t>ontrolled environment agriculture, particularly greenhouses, offer</w:t>
      </w:r>
      <w:r w:rsidR="003038F6">
        <w:rPr>
          <w:lang w:val="en-GB"/>
        </w:rPr>
        <w:t>s</w:t>
      </w:r>
      <w:r w:rsidR="00696F57" w:rsidRPr="00696F57">
        <w:rPr>
          <w:lang w:val="en-GB"/>
        </w:rPr>
        <w:t xml:space="preserve"> a practical solution by protecting crops from external elements and supplying necessary resources.</w:t>
      </w:r>
      <w:r w:rsidR="00A9251B">
        <w:rPr>
          <w:lang w:val="en-GB"/>
        </w:rPr>
        <w:t xml:space="preserve"> </w:t>
      </w:r>
      <w:r w:rsidR="00B026EB">
        <w:rPr>
          <w:lang w:val="en-GB"/>
        </w:rPr>
        <w:t>H</w:t>
      </w:r>
      <w:r w:rsidR="00033154">
        <w:rPr>
          <w:lang w:val="en-GB"/>
        </w:rPr>
        <w:t>owever, c</w:t>
      </w:r>
      <w:r w:rsidR="000F729C" w:rsidRPr="000F729C">
        <w:rPr>
          <w:lang w:val="en-GB"/>
        </w:rPr>
        <w:t xml:space="preserve">ontrolled environment agriculture systems require </w:t>
      </w:r>
      <w:r w:rsidR="000F729C">
        <w:rPr>
          <w:lang w:val="en-GB"/>
        </w:rPr>
        <w:t>significant</w:t>
      </w:r>
      <w:r w:rsidR="000F729C" w:rsidRPr="000F729C">
        <w:rPr>
          <w:lang w:val="en-GB"/>
        </w:rPr>
        <w:t xml:space="preserve"> energy and water resources to sustain optimal conditions for crop </w:t>
      </w:r>
      <w:r w:rsidR="002C5C9F">
        <w:rPr>
          <w:lang w:val="en-GB"/>
        </w:rPr>
        <w:t>development</w:t>
      </w:r>
      <w:r w:rsidR="000F729C" w:rsidRPr="000F729C">
        <w:rPr>
          <w:lang w:val="en-GB"/>
        </w:rPr>
        <w:t>.</w:t>
      </w:r>
      <w:r w:rsidRPr="00C05969">
        <w:rPr>
          <w:lang w:val="en-GB"/>
        </w:rPr>
        <w:t xml:space="preserve"> </w:t>
      </w:r>
      <w:r w:rsidR="000B6BF1">
        <w:rPr>
          <w:lang w:val="en-GB"/>
        </w:rPr>
        <w:t xml:space="preserve">In </w:t>
      </w:r>
      <w:r w:rsidRPr="00C05969">
        <w:rPr>
          <w:lang w:val="en-GB"/>
        </w:rPr>
        <w:t>greenhouse operations, the</w:t>
      </w:r>
      <w:r w:rsidR="00E63246">
        <w:rPr>
          <w:lang w:val="en-GB"/>
        </w:rPr>
        <w:t xml:space="preserve"> innovative approach of the</w:t>
      </w:r>
      <w:r w:rsidRPr="00C05969">
        <w:rPr>
          <w:lang w:val="en-GB"/>
        </w:rPr>
        <w:t xml:space="preserve"> potential repurposing of excessive cooling from underutilised mega infrastructure could lead to cost savings and more efficient production. </w:t>
      </w:r>
      <w:r w:rsidR="000B6BF1">
        <w:rPr>
          <w:lang w:val="en-GB"/>
        </w:rPr>
        <w:t>Therefore, t</w:t>
      </w:r>
      <w:r w:rsidR="009959EF" w:rsidRPr="009959EF">
        <w:rPr>
          <w:lang w:val="en-GB"/>
        </w:rPr>
        <w:t xml:space="preserve">his research introduces a novel </w:t>
      </w:r>
      <w:r w:rsidR="000E7B59">
        <w:rPr>
          <w:lang w:val="en-GB"/>
        </w:rPr>
        <w:t>approach</w:t>
      </w:r>
      <w:r w:rsidR="009959EF" w:rsidRPr="009959EF">
        <w:rPr>
          <w:lang w:val="en-GB"/>
        </w:rPr>
        <w:t xml:space="preserve"> that </w:t>
      </w:r>
      <w:r w:rsidR="009959EF">
        <w:rPr>
          <w:lang w:val="en-GB"/>
        </w:rPr>
        <w:t>utilises</w:t>
      </w:r>
      <w:r w:rsidR="009959EF" w:rsidRPr="009959EF">
        <w:rPr>
          <w:lang w:val="en-GB"/>
        </w:rPr>
        <w:t xml:space="preserve"> the infrastructure from the 2022 FIFA World Cup™ for agricultural purposes. It presents a unique methodology for </w:t>
      </w:r>
      <w:r w:rsidR="003038F6">
        <w:rPr>
          <w:lang w:val="en-GB"/>
        </w:rPr>
        <w:t xml:space="preserve">the </w:t>
      </w:r>
      <w:r w:rsidR="00054AED" w:rsidRPr="009959EF">
        <w:rPr>
          <w:lang w:val="en-GB"/>
        </w:rPr>
        <w:t>dual use</w:t>
      </w:r>
      <w:r w:rsidR="009959EF" w:rsidRPr="009959EF">
        <w:rPr>
          <w:lang w:val="en-GB"/>
        </w:rPr>
        <w:t xml:space="preserve"> of large-scale facilities, focusing on integrating agricultural systems near stadiums </w:t>
      </w:r>
      <w:r w:rsidR="001B1680">
        <w:rPr>
          <w:lang w:val="en-GB"/>
        </w:rPr>
        <w:t>using</w:t>
      </w:r>
      <w:r w:rsidR="009959EF" w:rsidRPr="009959EF">
        <w:rPr>
          <w:lang w:val="en-GB"/>
        </w:rPr>
        <w:t xml:space="preserve"> existing cooling systems and space. The </w:t>
      </w:r>
      <w:r w:rsidR="00381B64">
        <w:rPr>
          <w:lang w:val="en-GB"/>
        </w:rPr>
        <w:t>results</w:t>
      </w:r>
      <w:r w:rsidR="009959EF" w:rsidRPr="009959EF">
        <w:rPr>
          <w:lang w:val="en-GB"/>
        </w:rPr>
        <w:t xml:space="preserve"> indicate</w:t>
      </w:r>
      <w:r w:rsidR="00910C63">
        <w:rPr>
          <w:lang w:val="en-GB"/>
        </w:rPr>
        <w:t xml:space="preserve"> that </w:t>
      </w:r>
      <w:r w:rsidR="000F1A1F">
        <w:rPr>
          <w:lang w:val="en-GB"/>
        </w:rPr>
        <w:t xml:space="preserve">at </w:t>
      </w:r>
      <w:r w:rsidR="00910C63">
        <w:rPr>
          <w:lang w:val="en-GB"/>
        </w:rPr>
        <w:t>optimal conditions</w:t>
      </w:r>
      <w:r w:rsidR="001B1680">
        <w:rPr>
          <w:lang w:val="en-GB"/>
        </w:rPr>
        <w:t>,</w:t>
      </w:r>
      <w:r w:rsidR="007F5EA0">
        <w:rPr>
          <w:lang w:val="en-GB"/>
        </w:rPr>
        <w:t xml:space="preserve"> such as day and night temperature</w:t>
      </w:r>
      <w:r w:rsidR="001B1680">
        <w:rPr>
          <w:lang w:val="en-GB"/>
        </w:rPr>
        <w:t>s</w:t>
      </w:r>
      <w:r w:rsidR="007F5EA0">
        <w:rPr>
          <w:lang w:val="en-GB"/>
        </w:rPr>
        <w:t xml:space="preserve"> of 18</w:t>
      </w:r>
      <w:r w:rsidR="00E3107E">
        <w:rPr>
          <w:lang w:val="en-GB"/>
        </w:rPr>
        <w:t xml:space="preserve"> </w:t>
      </w:r>
      <w:r w:rsidR="00C35491" w:rsidRPr="00C35491">
        <w:rPr>
          <w:lang w:val="en-GB"/>
        </w:rPr>
        <w:t>°</w:t>
      </w:r>
      <w:r w:rsidR="00C35491">
        <w:rPr>
          <w:lang w:val="en-GB"/>
        </w:rPr>
        <w:t>C</w:t>
      </w:r>
      <w:r w:rsidR="007F5EA0">
        <w:rPr>
          <w:lang w:val="en-GB"/>
        </w:rPr>
        <w:t xml:space="preserve"> and 24</w:t>
      </w:r>
      <w:r w:rsidR="00C35491" w:rsidRPr="00C35491">
        <w:t xml:space="preserve"> </w:t>
      </w:r>
      <w:r w:rsidR="00C35491" w:rsidRPr="00C35491">
        <w:rPr>
          <w:lang w:val="en-GB"/>
        </w:rPr>
        <w:t>°</w:t>
      </w:r>
      <w:r w:rsidR="00C35491">
        <w:rPr>
          <w:lang w:val="en-GB"/>
        </w:rPr>
        <w:t>C</w:t>
      </w:r>
      <w:r w:rsidR="007F5EA0">
        <w:rPr>
          <w:lang w:val="en-GB"/>
        </w:rPr>
        <w:t>,</w:t>
      </w:r>
      <w:r w:rsidR="000F1A1F">
        <w:rPr>
          <w:lang w:val="en-GB"/>
        </w:rPr>
        <w:t xml:space="preserve"> tomatoes can be produced for $3.50 </w:t>
      </w:r>
      <w:proofErr w:type="gramStart"/>
      <w:r w:rsidR="000F1A1F">
        <w:rPr>
          <w:lang w:val="en-GB"/>
        </w:rPr>
        <w:t>kg</w:t>
      </w:r>
      <w:r w:rsidR="000F1A1F" w:rsidRPr="000F1A1F">
        <w:rPr>
          <w:vertAlign w:val="superscript"/>
          <w:lang w:val="en-GB"/>
        </w:rPr>
        <w:t>-1</w:t>
      </w:r>
      <w:proofErr w:type="gramEnd"/>
      <w:r w:rsidR="009959EF" w:rsidRPr="009959EF">
        <w:rPr>
          <w:lang w:val="en-GB"/>
        </w:rPr>
        <w:t xml:space="preserve">. </w:t>
      </w:r>
      <w:r w:rsidR="00C35491">
        <w:rPr>
          <w:lang w:val="en-GB"/>
        </w:rPr>
        <w:t>Furthermore, t</w:t>
      </w:r>
      <w:r w:rsidR="009959EF" w:rsidRPr="009959EF">
        <w:rPr>
          <w:lang w:val="en-GB"/>
        </w:rPr>
        <w:t>h</w:t>
      </w:r>
      <w:r w:rsidR="0042249B">
        <w:rPr>
          <w:lang w:val="en-GB"/>
        </w:rPr>
        <w:t>e developed fram</w:t>
      </w:r>
      <w:r w:rsidR="001B1680">
        <w:rPr>
          <w:lang w:val="en-GB"/>
        </w:rPr>
        <w:t>e</w:t>
      </w:r>
      <w:r w:rsidR="0042249B">
        <w:rPr>
          <w:lang w:val="en-GB"/>
        </w:rPr>
        <w:t xml:space="preserve">work is </w:t>
      </w:r>
      <w:r w:rsidR="00A02886">
        <w:rPr>
          <w:lang w:val="en-GB"/>
        </w:rPr>
        <w:t>flexible</w:t>
      </w:r>
      <w:r w:rsidR="009959EF" w:rsidRPr="009959EF">
        <w:rPr>
          <w:lang w:val="en-GB"/>
        </w:rPr>
        <w:t xml:space="preserve"> </w:t>
      </w:r>
      <w:r w:rsidR="0042249B">
        <w:rPr>
          <w:lang w:val="en-GB"/>
        </w:rPr>
        <w:t>and</w:t>
      </w:r>
      <w:r w:rsidR="009959EF" w:rsidRPr="009959EF">
        <w:rPr>
          <w:lang w:val="en-GB"/>
        </w:rPr>
        <w:t xml:space="preserve"> can be applied globally</w:t>
      </w:r>
      <w:r w:rsidR="00C35491">
        <w:rPr>
          <w:lang w:val="en-GB"/>
        </w:rPr>
        <w:t xml:space="preserve"> for </w:t>
      </w:r>
      <w:r w:rsidR="00623B5B">
        <w:rPr>
          <w:lang w:val="en-GB"/>
        </w:rPr>
        <w:t>co-</w:t>
      </w:r>
      <w:r w:rsidR="00DD08C6">
        <w:rPr>
          <w:lang w:val="en-GB"/>
        </w:rPr>
        <w:t>utilising</w:t>
      </w:r>
      <w:r w:rsidR="00623B5B">
        <w:rPr>
          <w:lang w:val="en-GB"/>
        </w:rPr>
        <w:t xml:space="preserve"> </w:t>
      </w:r>
      <w:r w:rsidR="00D06D5F">
        <w:rPr>
          <w:lang w:val="en-GB"/>
        </w:rPr>
        <w:t>infrastructure for agricultural</w:t>
      </w:r>
      <w:r w:rsidR="00623B5B">
        <w:rPr>
          <w:lang w:val="en-GB"/>
        </w:rPr>
        <w:t xml:space="preserve"> production.</w:t>
      </w:r>
    </w:p>
    <w:p w14:paraId="452B060C" w14:textId="7E6080E3" w:rsidR="00AB29ED" w:rsidRPr="00FB2B87" w:rsidRDefault="008D2649" w:rsidP="008D2649">
      <w:pPr>
        <w:pStyle w:val="Els-body-text"/>
        <w:spacing w:after="120"/>
        <w:rPr>
          <w:lang w:val="en-GB"/>
        </w:rPr>
      </w:pPr>
      <w:r>
        <w:rPr>
          <w:b/>
          <w:bCs/>
          <w:lang w:val="en-GB"/>
        </w:rPr>
        <w:t>Keywords</w:t>
      </w:r>
      <w:r>
        <w:rPr>
          <w:lang w:val="en-GB"/>
        </w:rPr>
        <w:t xml:space="preserve">: </w:t>
      </w:r>
      <w:r w:rsidR="005F6B29">
        <w:rPr>
          <w:lang w:val="en-GB"/>
        </w:rPr>
        <w:t xml:space="preserve">Resource </w:t>
      </w:r>
      <w:r w:rsidR="00993CEA">
        <w:rPr>
          <w:lang w:val="en-GB"/>
        </w:rPr>
        <w:t>optimisation</w:t>
      </w:r>
      <w:r w:rsidR="005F6B29">
        <w:rPr>
          <w:lang w:val="en-GB"/>
        </w:rPr>
        <w:t>, Greenhouses, Energy, Crop yield, Infrastructure co-utili</w:t>
      </w:r>
      <w:r w:rsidR="00491E61">
        <w:rPr>
          <w:lang w:val="en-GB"/>
        </w:rPr>
        <w:t>sation</w:t>
      </w:r>
    </w:p>
    <w:p w14:paraId="144DE689" w14:textId="50B9626D" w:rsidR="008D2649" w:rsidRPr="002958C2" w:rsidRDefault="00A7547B" w:rsidP="002958C2">
      <w:pPr>
        <w:pStyle w:val="Heading1"/>
      </w:pPr>
      <w:r w:rsidRPr="002958C2">
        <w:t>Introduction</w:t>
      </w:r>
    </w:p>
    <w:p w14:paraId="5553295C" w14:textId="273C979E" w:rsidR="00C1553C" w:rsidRDefault="003038F6" w:rsidP="00C1553C">
      <w:pPr>
        <w:pStyle w:val="Els-body-text"/>
      </w:pPr>
      <w:r>
        <w:t>The g</w:t>
      </w:r>
      <w:r w:rsidR="00491E61">
        <w:t>lobal</w:t>
      </w:r>
      <w:r w:rsidR="00C358F4" w:rsidRPr="00C358F4">
        <w:t xml:space="preserve"> population is growing </w:t>
      </w:r>
      <w:r>
        <w:t>rapidly</w:t>
      </w:r>
      <w:r w:rsidR="00C358F4" w:rsidRPr="00C358F4">
        <w:t>, leading to a significant rise in the demand for essential resources like food, energy, and water. By 2050, it's estimated that the need for these resources will surge by approximately 60% for food, 55% for water</w:t>
      </w:r>
      <w:r w:rsidR="00EF2E76">
        <w:t xml:space="preserve">, and </w:t>
      </w:r>
      <w:r w:rsidR="00EF2E76" w:rsidRPr="00C358F4">
        <w:t>80% for energy</w:t>
      </w:r>
      <w:r w:rsidR="00EF2E76">
        <w:t xml:space="preserve"> </w:t>
      </w:r>
      <w:r w:rsidR="00EF2E76">
        <w:fldChar w:fldCharType="begin" w:fldLock="1"/>
      </w:r>
      <w:r w:rsidR="001106D8">
        <w:instrText>ADDIN CSL_CITATION {"citationItems":[{"id":"ITEM-1","itemData":{"abstract":"The effects of two different levels of exercise of equal caloric cost on food consumption and body weight changes was investigated in 24 male rats (initial body weight=378.3 g. SD=22.3 g). Open circuit spirometry was used for the collection of respiratory gas exchange during running on the treadmill and these data were used to equate two intensities of exercise to the same caloric expenditure. Food consumption was measured 1 hr, and every 4 hr thereafter for 24 hr during 2 alternate weeks of exercise and rest. Results showed that high intensity exercise (16 m/min, 10% mill grade) resulted in depressed food consumption and depressed body weight gain than low intensity exercise (5 m/min, zero percentage mill grade) of equal caloric expenditure. Both exercise groups had depressed food consumption and rate of body weight change compared to nonexercise animals.","author":[{"dropping-particle":"","family":"Larsson","given":"Mats","non-dropping-particle":"","parse-names":false,"suffix":""}],"container-title":"International Renewable Energy Agency","id":"ITEM-1","issued":{"date-parts":[["2018"]]},"title":"Global Energy Transformation: A Roadmap to 2050","type":"article-journal"},"uris":["http://www.mendeley.com/documents/?uuid=a7f318b4-f78d-43fd-a782-d4e5f2a2a446"]}],"mendeley":{"formattedCitation":"(Larsson, 2018)","plainTextFormattedCitation":"(Larsson, 2018)","previouslyFormattedCitation":"(Larsson, 2018)"},"properties":{"noteIndex":0},"schema":"https://github.com/citation-style-language/schema/raw/master/csl-citation.json"}</w:instrText>
      </w:r>
      <w:r w:rsidR="00EF2E76">
        <w:fldChar w:fldCharType="separate"/>
      </w:r>
      <w:r w:rsidR="00EF2E76" w:rsidRPr="00EF2E76">
        <w:rPr>
          <w:noProof/>
        </w:rPr>
        <w:t>(Larsson, 2018)</w:t>
      </w:r>
      <w:r w:rsidR="00EF2E76">
        <w:fldChar w:fldCharType="end"/>
      </w:r>
      <w:r w:rsidR="00C358F4" w:rsidRPr="00C358F4">
        <w:t>.</w:t>
      </w:r>
      <w:r w:rsidR="00B155CD">
        <w:t xml:space="preserve"> Therefore, </w:t>
      </w:r>
      <w:r w:rsidR="009D3B70" w:rsidRPr="009D3B70">
        <w:t>it</w:t>
      </w:r>
      <w:r w:rsidR="009D3B70">
        <w:t xml:space="preserve"> is</w:t>
      </w:r>
      <w:r w:rsidR="009D3B70" w:rsidRPr="009D3B70">
        <w:t xml:space="preserve"> </w:t>
      </w:r>
      <w:r w:rsidR="009D3B70">
        <w:t>critical</w:t>
      </w:r>
      <w:r w:rsidR="009D3B70" w:rsidRPr="009D3B70">
        <w:t xml:space="preserve"> to </w:t>
      </w:r>
      <w:r w:rsidR="009D3B70">
        <w:t>enhance</w:t>
      </w:r>
      <w:r w:rsidR="009D3B70" w:rsidRPr="009D3B70">
        <w:t xml:space="preserve"> the production of these resources in a</w:t>
      </w:r>
      <w:r w:rsidR="009D3B70">
        <w:t xml:space="preserve">n </w:t>
      </w:r>
      <w:r w:rsidR="00C1553C">
        <w:t>efficient and environmentally friendly manner.</w:t>
      </w:r>
      <w:r w:rsidR="00C358F4" w:rsidRPr="00C358F4">
        <w:t xml:space="preserve"> </w:t>
      </w:r>
    </w:p>
    <w:p w14:paraId="6207C9B3" w14:textId="06F46562" w:rsidR="00C1553C" w:rsidRDefault="006B41F6" w:rsidP="00C1553C">
      <w:pPr>
        <w:pStyle w:val="Els-body-text"/>
      </w:pPr>
      <w:r w:rsidRPr="006B41F6">
        <w:t>In</w:t>
      </w:r>
      <w:r w:rsidR="005B1446">
        <w:t xml:space="preserve"> terms of food production,</w:t>
      </w:r>
      <w:r w:rsidRPr="006B41F6">
        <w:t xml:space="preserve"> </w:t>
      </w:r>
      <w:r w:rsidR="00DD63D9">
        <w:t xml:space="preserve">in </w:t>
      </w:r>
      <w:r w:rsidRPr="006B41F6">
        <w:t>regions like Qatar</w:t>
      </w:r>
      <w:r w:rsidR="003038F6">
        <w:t>,</w:t>
      </w:r>
      <w:r w:rsidRPr="006B41F6">
        <w:t xml:space="preserve"> with extreme weather and limited water, traditional agriculture is impractical, leading to heavy reliance on food imports, which can be wasteful and costly</w:t>
      </w:r>
      <w:r w:rsidR="001106D8">
        <w:t xml:space="preserve"> </w:t>
      </w:r>
      <w:r w:rsidR="001106D8">
        <w:fldChar w:fldCharType="begin" w:fldLock="1"/>
      </w:r>
      <w:r w:rsidR="00E41BFF">
        <w:instrText>ADDIN CSL_CITATION {"citationItems":[{"id":"ITEM-1","itemData":{"DOI":"10.1016/B978-0-12-823377-1.50314-1","ISSN":"15707946","abstract":"Recent efforts to boost self-sufficiency for food through the intensification of domestic production has been considered imperative to insulate from the vagaries of the global food markets. The State of Qatar is an example where more local fresh food production is being promoted, including the current expansion of agricultural greenhouse facilities for domestic vegetables production across the country. However, the hyperarid regional climatic conditions and extreme weather volatilities locally has a direct impact on the greenhouse microclimate owing to the physical processes of energy transfer (radiation and heat) and mass balance (wind and humidity). This consequently results in unpredictability of requirements for: (a) energy for cooling and ventilation; and (b) water for irrigation. In view of these challenges, the objective of the research presented in this paper is to develop a simulation-based methodology for greenhouse microclimate control. A 2D computational fluid dynamics (CFD) model for indoor temperature distribution was used to implement low-dimensional reduced order models (ROM) based on the Proper Orthogonal Decomposition (POD) and Galerkin projection techniques. The results obtained demonstrate that ROM representations are computationally efficient for predictive greenhouse microclimate control systems, providing novel opportunities for timely mitigation of high temperature risks, thereby enhancing the resilience of greenhouses productivity.","author":[{"dropping-particle":"","family":"Mahmood","given":"Farhat","non-dropping-particle":"","parse-names":false,"suffix":""},{"dropping-particle":"","family":"Ghiat","given":"Ikhlas","non-dropping-particle":"","parse-names":false,"suffix":""},{"dropping-particle":"","family":"Govindan","given":"Rajesh","non-dropping-particle":"","parse-names":false,"suffix":""},{"dropping-particle":"","family":"Al-Ansari","given":"Tareq","non-dropping-particle":"","parse-names":false,"suffix":""}],"container-title":"Computer Aided Chemical Engineering","id":"ITEM-1","issued":{"date-parts":[["2020"]]},"page":"1879-1884","title":"Reduced-order Modelling (ROM) Approach for Optimal Microclimate Control in Agricultural Greenhouses","type":"article-journal","volume":"48"},"uris":["http://www.mendeley.com/documents/?uuid=c809f306-bd0c-48ca-8c2f-d455639b1528"]}],"mendeley":{"formattedCitation":"(Mahmood et al., 2020)","plainTextFormattedCitation":"(Mahmood et al., 2020)","previouslyFormattedCitation":"(Mahmood et al., 2020)"},"properties":{"noteIndex":0},"schema":"https://github.com/citation-style-language/schema/raw/master/csl-citation.json"}</w:instrText>
      </w:r>
      <w:r w:rsidR="001106D8">
        <w:fldChar w:fldCharType="separate"/>
      </w:r>
      <w:r w:rsidR="0031250E" w:rsidRPr="0031250E">
        <w:rPr>
          <w:noProof/>
        </w:rPr>
        <w:t>(Mahmood et al., 2020)</w:t>
      </w:r>
      <w:r w:rsidR="001106D8">
        <w:fldChar w:fldCharType="end"/>
      </w:r>
      <w:r w:rsidRPr="006B41F6">
        <w:t xml:space="preserve">. </w:t>
      </w:r>
      <w:r w:rsidR="00DF7275">
        <w:t>Furthermore, s</w:t>
      </w:r>
      <w:r w:rsidRPr="006B41F6">
        <w:t xml:space="preserve">tandard agricultural practices and food transportation contribute significantly to global greenhouse gas emissions, exacerbating climate change and further impacting agricultural productivity. </w:t>
      </w:r>
      <w:r w:rsidR="00890F6A" w:rsidRPr="00890F6A">
        <w:t>Conversely</w:t>
      </w:r>
      <w:r w:rsidR="007C5F9D">
        <w:t>,</w:t>
      </w:r>
      <w:r w:rsidRPr="006B41F6">
        <w:t xml:space="preserve"> greenhouses provide a controlled environment for plant growth, regulating temperature and humidity, making them a sustainable solution for food production in challenging climates and helping to mitigate food security issues.</w:t>
      </w:r>
    </w:p>
    <w:p w14:paraId="144DE68A" w14:textId="4A50A889" w:rsidR="008D2649" w:rsidRDefault="003038F6" w:rsidP="008D2649">
      <w:pPr>
        <w:pStyle w:val="Els-body-text"/>
      </w:pPr>
      <w:r>
        <w:t>Greenhouses in arid regions like Qatar</w:t>
      </w:r>
      <w:r w:rsidR="005F1C97" w:rsidRPr="005F1C97">
        <w:t xml:space="preserve"> require significant energy, affecting their cost-effectiveness and sometimes leading to shutdowns</w:t>
      </w:r>
      <w:r w:rsidR="00FA5EC9">
        <w:t xml:space="preserve"> during summer</w:t>
      </w:r>
      <w:r w:rsidR="0015596F">
        <w:t xml:space="preserve"> </w:t>
      </w:r>
      <w:r w:rsidR="0020773B">
        <w:fldChar w:fldCharType="begin" w:fldLock="1"/>
      </w:r>
      <w:r w:rsidR="00E41BFF">
        <w:instrText>ADDIN CSL_CITATION {"citationItems":[{"id":"ITEM-1","itemData":{"DOI":"10.1016/j.apenergy.2023.121190","ISSN":"03062619","abstract":"The greenhouse microclimate, especially temperature, is highly complex, and controlling it requires significant resources due to the greenhouses' inefficient design. The application of model predictive control is a promising strategy for temperature control and efficient greenhouse management. However, it does not account for the inaccuracies and uncertainties existing in the system, leading to sub-optimal temperatures. Therefore, this study proposes a comprehensive data-driven robust model predictive control framework for greenhouse temperature control and its energy utilisation assessment in the presence of uncertainties. First, an analytical model based on mass and energy balance and a data-driven model based on an artificial neural network is developed, and their prediction performance is compared. The artificial neural network demonstrates a higher prediction accuracy and is used as the system model in the proposed control framework. A robust model predictive control strategy, based on the minimax objective function and particle swarm optimisation algorithm, is developed to handle the uncertainties in the system. Results illustrate that in the presence of uncertainties, the robust model predictive control strategy outperforms the existing greenhouse climate management system and basic model predictive control with an RMSE of 0.32 °C and 0.60 °C for a two-day simulation period in winter and summer, respectively. Furthermore, the robust model predictive control strategy leads to an energy reduction of 9.67% and 23.61% in winter and summer. The proposed framework is flexible and general and can be applied to other greenhouses with different configurations and cultivated crops by fine-tuning it on the new data set.","author":[{"dropping-particle":"","family":"Mahmood","given":"Farhat","non-dropping-particle":"","parse-names":false,"suffix":""},{"dropping-particle":"","family":"Govindan","given":"Rajesh","non-dropping-particle":"","parse-names":false,"suffix":""},{"dropping-particle":"","family":"Bermak","given":"Amine","non-dropping-particle":"","parse-names":false,"suffix":""},{"dropping-particle":"","family":"Yang","given":"David","non-dropping-particle":"","parse-names":false,"suffix":""},{"dropping-particle":"","family":"Al-Ansari","given":"Tareq","non-dropping-particle":"","parse-names":false,"suffix":""}],"container-title":"Applied Energy","id":"ITEM-1","issued":{"date-parts":[["2023"]]},"title":"Data-driven robust model predictive control for greenhouse temperature control and energy utilisation assessment","type":"article-journal","volume":"343"},"uris":["http://www.mendeley.com/documents/?uuid=1af19b14-3346-462b-8ed8-10812f3139e0"]}],"mendeley":{"formattedCitation":"(Mahmood et al., 2023a)","plainTextFormattedCitation":"(Mahmood et al., 2023a)","previouslyFormattedCitation":"(Mahmood et al., 2023a)"},"properties":{"noteIndex":0},"schema":"https://github.com/citation-style-language/schema/raw/master/csl-citation.json"}</w:instrText>
      </w:r>
      <w:r w:rsidR="0020773B">
        <w:fldChar w:fldCharType="separate"/>
      </w:r>
      <w:r w:rsidR="0031250E" w:rsidRPr="0031250E">
        <w:rPr>
          <w:noProof/>
        </w:rPr>
        <w:t>(Mahmood et al., 2023a)</w:t>
      </w:r>
      <w:r w:rsidR="0020773B">
        <w:fldChar w:fldCharType="end"/>
      </w:r>
      <w:r w:rsidR="005F1C97" w:rsidRPr="005F1C97">
        <w:t>. However, Qatar's innovative approach to repurpos</w:t>
      </w:r>
      <w:r>
        <w:t>ing</w:t>
      </w:r>
      <w:r w:rsidR="005F1C97" w:rsidRPr="005F1C97">
        <w:t xml:space="preserve"> infrastructure from the </w:t>
      </w:r>
      <w:r w:rsidR="005F1C97" w:rsidRPr="005F1C97">
        <w:lastRenderedPageBreak/>
        <w:t xml:space="preserve">2022 FIFA World Cup™ </w:t>
      </w:r>
      <w:r w:rsidR="00EF5D1B">
        <w:t>offer</w:t>
      </w:r>
      <w:r w:rsidR="00DD63D9">
        <w:t>s</w:t>
      </w:r>
      <w:r w:rsidR="00EF5D1B">
        <w:t xml:space="preserve"> an innovative</w:t>
      </w:r>
      <w:r w:rsidR="005F1C97" w:rsidRPr="005F1C97">
        <w:t xml:space="preserve"> solution. The advanced cooling systems from the </w:t>
      </w:r>
      <w:r w:rsidR="00671D68">
        <w:t>seven</w:t>
      </w:r>
      <w:r w:rsidR="005F1C97" w:rsidRPr="005F1C97">
        <w:t xml:space="preserve"> state-of-the-art stadiums initially used to maintain temperatures </w:t>
      </w:r>
      <w:r w:rsidR="00EF5D1B">
        <w:t>during the</w:t>
      </w:r>
      <w:r w:rsidR="005F1C97" w:rsidRPr="005F1C97">
        <w:t xml:space="preserve"> tournament can be integrated </w:t>
      </w:r>
      <w:r w:rsidR="004446F6">
        <w:t>with</w:t>
      </w:r>
      <w:r w:rsidR="005F1C97" w:rsidRPr="005F1C97">
        <w:t xml:space="preserve"> greenhouse</w:t>
      </w:r>
      <w:r w:rsidR="004446F6">
        <w:t xml:space="preserve"> systems</w:t>
      </w:r>
      <w:r w:rsidR="005F1C97" w:rsidRPr="005F1C97">
        <w:t xml:space="preserve">. This repurposing can substantially reduce </w:t>
      </w:r>
      <w:r w:rsidR="0000600F">
        <w:t>the production</w:t>
      </w:r>
      <w:r w:rsidR="005F1C97" w:rsidRPr="005F1C97">
        <w:t xml:space="preserve"> costs for greenhouses, enabling efficient, year-round food production. This strategy not only </w:t>
      </w:r>
      <w:proofErr w:type="spellStart"/>
      <w:r w:rsidR="005F1C97" w:rsidRPr="005F1C97">
        <w:t>optimi</w:t>
      </w:r>
      <w:r w:rsidR="001A6C80">
        <w:t>s</w:t>
      </w:r>
      <w:r w:rsidR="005F1C97" w:rsidRPr="005F1C97">
        <w:t>e</w:t>
      </w:r>
      <w:r w:rsidR="00F1545D">
        <w:t>s</w:t>
      </w:r>
      <w:proofErr w:type="spellEnd"/>
      <w:r w:rsidR="005F1C97" w:rsidRPr="005F1C97">
        <w:t xml:space="preserve"> stadium infrastructure post-event but also supports Qatar's goals for food security and sustainable development.</w:t>
      </w:r>
    </w:p>
    <w:p w14:paraId="144DE68B" w14:textId="2CE6C148" w:rsidR="008D2649" w:rsidRDefault="00404160" w:rsidP="002958C2">
      <w:pPr>
        <w:pStyle w:val="Heading1"/>
      </w:pPr>
      <w:r>
        <w:t>Methodology</w:t>
      </w:r>
    </w:p>
    <w:p w14:paraId="56B3BB3D" w14:textId="5B2C5E2D" w:rsidR="001A00F7" w:rsidRDefault="002E3581" w:rsidP="00C06A70">
      <w:pPr>
        <w:jc w:val="both"/>
      </w:pPr>
      <w:r w:rsidRPr="002E3581">
        <w:t xml:space="preserve">For optimal growth and development, plants cultivated in greenhouse settings need precise control over </w:t>
      </w:r>
      <w:r w:rsidR="005458B1">
        <w:t xml:space="preserve">microclimate and </w:t>
      </w:r>
      <w:r w:rsidRPr="002E3581">
        <w:t>irrigation</w:t>
      </w:r>
      <w:r w:rsidR="00CD63A4">
        <w:t xml:space="preserve"> </w:t>
      </w:r>
      <w:r w:rsidR="00091C1B">
        <w:fldChar w:fldCharType="begin" w:fldLock="1"/>
      </w:r>
      <w:r w:rsidR="00E41BFF">
        <w:instrText>ADDIN CSL_CITATION {"citationItems":[{"id":"ITEM-1","itemData":{"DOI":"10.1016/j.rser.2021.110786","ISSN":"18790690","abstract":"Controlled Environment Agriculture (CEA) applications, such as vertical farms and plant factories, have the potential to shift food production to be close to urban centers helping meet demands of large populations as well as achieving global climate goals. Growing crops in controlled environments has proven to be feasible for several applications, however, most involve energy intensive processes. The review analysis presented in this paper seeks to overview current CEA practices as well as potential energy efficiency technologies that can enhance the sustainability and the profitability of the indoor farming industry. Specifically, the paper reviews various CEA techniques, optimal indoor growing environments, successful case studies, and recommended energy systems research. The review analysis indicates that changes to a facility's envelope, HVAC, lighting, and incorporation of distributed generation technology can reduce consumption of electricity up to 75% in several CEA case studies. Future research into controls, dehumidification, lighting, and crop variety are vital for a wider adoption of CEA applications.","author":[{"dropping-particle":"","family":"Engler","given":"Nicholas","non-dropping-particle":"","parse-names":false,"suffix":""},{"dropping-particle":"","family":"Krarti","given":"Moncef","non-dropping-particle":"","parse-names":false,"suffix":""}],"container-title":"Renewable and Sustainable Energy Reviews","id":"ITEM-1","issued":{"date-parts":[["2021"]]},"title":"Review of energy efficiency in controlled environment agriculture","type":"article-journal","volume":"141"},"uris":["http://www.mendeley.com/documents/?uuid=5e58bd07-9616-476c-839a-c204cae244f1"]}],"mendeley":{"formattedCitation":"(Engler and Krarti, 2021)","plainTextFormattedCitation":"(Engler and Krarti, 2021)","previouslyFormattedCitation":"(Engler and Krarti, 2021)"},"properties":{"noteIndex":0},"schema":"https://github.com/citation-style-language/schema/raw/master/csl-citation.json"}</w:instrText>
      </w:r>
      <w:r w:rsidR="00091C1B">
        <w:fldChar w:fldCharType="separate"/>
      </w:r>
      <w:r w:rsidR="0031250E" w:rsidRPr="0031250E">
        <w:rPr>
          <w:noProof/>
        </w:rPr>
        <w:t>(Engler and Krarti, 2021)</w:t>
      </w:r>
      <w:r w:rsidR="00091C1B">
        <w:fldChar w:fldCharType="end"/>
      </w:r>
      <w:r w:rsidRPr="002E3581">
        <w:t>.</w:t>
      </w:r>
      <w:r w:rsidR="003C1EB9" w:rsidRPr="003C1EB9">
        <w:t xml:space="preserve"> </w:t>
      </w:r>
      <w:r w:rsidR="00C06A70">
        <w:t>Greenhouses provide the provision to</w:t>
      </w:r>
      <w:r w:rsidR="003C1EB9" w:rsidRPr="003C1EB9">
        <w:t xml:space="preserve"> and maintain these ideal conditions throughout different seasons, utili</w:t>
      </w:r>
      <w:r w:rsidR="00F5557E">
        <w:t>s</w:t>
      </w:r>
      <w:r w:rsidR="003C1EB9" w:rsidRPr="003C1EB9">
        <w:t>ing various technologies and methods. Th</w:t>
      </w:r>
      <w:r w:rsidR="00C06A70">
        <w:t>erefore, this study</w:t>
      </w:r>
      <w:r w:rsidR="003C1EB9" w:rsidRPr="003C1EB9">
        <w:t xml:space="preserve"> focuses on </w:t>
      </w:r>
      <w:r w:rsidR="001718DD">
        <w:t xml:space="preserve">closed </w:t>
      </w:r>
      <w:r w:rsidR="003B0A08">
        <w:t>greenhouses as they are more energy-efficient in arid climates than open ones, reducing cooling needs and better</w:t>
      </w:r>
      <w:r w:rsidR="00E3107E">
        <w:t xml:space="preserve"> </w:t>
      </w:r>
      <w:r w:rsidR="00D357B6" w:rsidRPr="00D357B6">
        <w:t>maintaining conditions for crop cultivation.</w:t>
      </w:r>
    </w:p>
    <w:p w14:paraId="3584740A" w14:textId="63DDB614" w:rsidR="001A00F7" w:rsidRPr="005C50C2" w:rsidRDefault="001A00F7" w:rsidP="002958C2">
      <w:pPr>
        <w:pStyle w:val="Heading2"/>
        <w:rPr>
          <w:b w:val="0"/>
          <w:bCs w:val="0"/>
          <w:i/>
          <w:iCs/>
        </w:rPr>
      </w:pPr>
      <w:r w:rsidRPr="005C50C2">
        <w:rPr>
          <w:b w:val="0"/>
          <w:bCs w:val="0"/>
          <w:i/>
          <w:iCs/>
        </w:rPr>
        <w:t>Greenhouse requ</w:t>
      </w:r>
      <w:r w:rsidR="00966D8F" w:rsidRPr="005C50C2">
        <w:rPr>
          <w:b w:val="0"/>
          <w:bCs w:val="0"/>
          <w:i/>
          <w:iCs/>
        </w:rPr>
        <w:t xml:space="preserve">irement </w:t>
      </w:r>
    </w:p>
    <w:p w14:paraId="179F2B63" w14:textId="5EACCA25" w:rsidR="00966D8F" w:rsidRDefault="00FB0A5E" w:rsidP="00966D8F">
      <w:pPr>
        <w:jc w:val="both"/>
      </w:pPr>
      <w:r w:rsidRPr="00FB0A5E">
        <w:t>Greenhouses in challenging environments need continuous energy, water, and CO</w:t>
      </w:r>
      <w:r w:rsidRPr="00264117">
        <w:rPr>
          <w:vertAlign w:val="subscript"/>
        </w:rPr>
        <w:t>2</w:t>
      </w:r>
      <w:r w:rsidRPr="00FB0A5E">
        <w:t xml:space="preserve"> to support plant growth</w:t>
      </w:r>
      <w:r w:rsidR="00F83F44">
        <w:t xml:space="preserve"> </w:t>
      </w:r>
      <w:r w:rsidR="003C1812">
        <w:fldChar w:fldCharType="begin" w:fldLock="1"/>
      </w:r>
      <w:r w:rsidR="00E41BFF">
        <w:instrText>ADDIN CSL_CITATION {"citationItems":[{"id":"ITEM-1","itemData":{"DOI":"10.1016/j.eti.2023.103157","ISSN":"23521864","abstract":"As the global population continues to expand and the demand for food rises, countries must intensify local and sustainable food production to ensure food security. Therefore, this study aims to develop a framework for utilising the post-2022 FIFA World Cup™ infrastructure for food production by constructing greenhouse systems adjacent to recently built stadiums. The framework is based on; (1) the greenhouse requirement and yield model, (2) economic optimisation of the model to minimise the levelized cost of production, and (3) applying the optimised framework to the stadiums. Results illustrated that the night and day temperature set-points of 18/24 °C, relative humidity of 79%, CO2 concentration of 1050 ppm, leaf area index of 6 m2 leaf m−2 ground, plant density of 3.5 plants m−2, and glass as the covering material are the optimum parameters that produce yield at the lowest cost. The optimised model is applied to the stadiums, and the results demonstrated that 3752.92 tons year −1 of yield could be produced at a market competitive rate by utilising a small part of the available cooling. Furthermore, the developed framework is flexible and can be applied to retrofit existing infrastructure to support food production across the globe, creating a lasting legacy for all stakeholders.","author":[{"dropping-particle":"","family":"Mahmood","given":"Farhat","non-dropping-particle":"","parse-names":false,"suffix":""},{"dropping-particle":"","family":"Luqman","given":"Muhammad","non-dropping-particle":"","parse-names":false,"suffix":""},{"dropping-particle":"","family":"Al-Ansari","given":"Tareq","non-dropping-particle":"","parse-names":false,"suffix":""}],"container-title":"Environmental Technology and Innovation","id":"ITEM-1","issued":{"date-parts":[["2023"]]},"title":"Application of a dynamic hybrid energy-crop yield model to support the co-utilisation of mega infrastructure for food security","type":"article-journal","volume":"31"},"uris":["http://www.mendeley.com/documents/?uuid=97cf7d2b-8314-407d-a52b-8f5637bb2b8a"]}],"mendeley":{"formattedCitation":"(Mahmood et al., 2023b)","plainTextFormattedCitation":"(Mahmood et al., 2023b)","previouslyFormattedCitation":"(Mahmood et al., 2023b)"},"properties":{"noteIndex":0},"schema":"https://github.com/citation-style-language/schema/raw/master/csl-citation.json"}</w:instrText>
      </w:r>
      <w:r w:rsidR="003C1812">
        <w:fldChar w:fldCharType="separate"/>
      </w:r>
      <w:r w:rsidR="0031250E" w:rsidRPr="0031250E">
        <w:rPr>
          <w:noProof/>
        </w:rPr>
        <w:t>(Mahmood et al., 2023b)</w:t>
      </w:r>
      <w:r w:rsidR="003C1812">
        <w:fldChar w:fldCharType="end"/>
      </w:r>
      <w:r w:rsidRPr="00FB0A5E">
        <w:t xml:space="preserve">. </w:t>
      </w:r>
      <w:r w:rsidR="006F22F6">
        <w:t>E</w:t>
      </w:r>
      <w:r w:rsidRPr="00FB0A5E">
        <w:t xml:space="preserve">nergy is essential for regulating the internal climate, primarily for cooling. </w:t>
      </w:r>
      <w:r w:rsidR="001E34AC">
        <w:t>Furthermore,</w:t>
      </w:r>
      <w:r w:rsidR="00AC1F52">
        <w:t xml:space="preserve"> c</w:t>
      </w:r>
      <w:r w:rsidRPr="00FB0A5E">
        <w:t>alculating the greenhouse's thermal load is crucial for efficiency and creating suitable growing conditions, especially in regions with extreme climates.</w:t>
      </w:r>
      <w:r w:rsidR="00AC1F52">
        <w:t xml:space="preserve"> </w:t>
      </w:r>
      <w:r w:rsidR="00F33F1B">
        <w:t xml:space="preserve">The schematic of the </w:t>
      </w:r>
      <w:r w:rsidR="008F1695">
        <w:t xml:space="preserve">closed </w:t>
      </w:r>
      <w:r w:rsidR="00F33F1B">
        <w:t xml:space="preserve">greenhouse is demonstrated </w:t>
      </w:r>
      <w:r w:rsidR="00D155AA">
        <w:t xml:space="preserve">in </w:t>
      </w:r>
      <w:r w:rsidR="00D155AA">
        <w:fldChar w:fldCharType="begin"/>
      </w:r>
      <w:r w:rsidR="00D155AA">
        <w:instrText xml:space="preserve"> REF _Ref151470611 \h </w:instrText>
      </w:r>
      <w:r w:rsidR="00D155AA">
        <w:fldChar w:fldCharType="separate"/>
      </w:r>
      <w:r w:rsidR="002E7A07" w:rsidRPr="00174610">
        <w:t xml:space="preserve">Figure </w:t>
      </w:r>
      <w:r w:rsidR="002E7A07">
        <w:rPr>
          <w:noProof/>
        </w:rPr>
        <w:t>1</w:t>
      </w:r>
      <w:r w:rsidR="00D155AA">
        <w:fldChar w:fldCharType="end"/>
      </w:r>
      <w:r w:rsidR="00D155AA">
        <w:t>.</w:t>
      </w:r>
    </w:p>
    <w:p w14:paraId="5A631628" w14:textId="77777777" w:rsidR="00E72056" w:rsidRDefault="00B21C2B" w:rsidP="00E72056">
      <w:pPr>
        <w:keepNext/>
        <w:jc w:val="both"/>
      </w:pPr>
      <w:r w:rsidRPr="00A55F9F">
        <w:rPr>
          <w:noProof/>
          <w:sz w:val="24"/>
          <w:szCs w:val="24"/>
        </w:rPr>
        <w:drawing>
          <wp:inline distT="0" distB="0" distL="0" distR="0" wp14:anchorId="45F1A2D8" wp14:editId="41DB2141">
            <wp:extent cx="4499610" cy="2065217"/>
            <wp:effectExtent l="0" t="0" r="0" b="0"/>
            <wp:docPr id="308060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9610" cy="2065217"/>
                    </a:xfrm>
                    <a:prstGeom prst="rect">
                      <a:avLst/>
                    </a:prstGeom>
                    <a:noFill/>
                  </pic:spPr>
                </pic:pic>
              </a:graphicData>
            </a:graphic>
          </wp:inline>
        </w:drawing>
      </w:r>
    </w:p>
    <w:p w14:paraId="4580F357" w14:textId="05FA1BD9" w:rsidR="00F469F4" w:rsidRDefault="00E72056" w:rsidP="00174610">
      <w:pPr>
        <w:pStyle w:val="Caption"/>
        <w:jc w:val="center"/>
        <w:rPr>
          <w:kern w:val="2"/>
          <w:sz w:val="20"/>
          <w:lang w:val="en-GB"/>
          <w14:ligatures w14:val="standardContextual"/>
        </w:rPr>
      </w:pPr>
      <w:bookmarkStart w:id="0" w:name="_Ref151470611"/>
      <w:r w:rsidRPr="00174610">
        <w:rPr>
          <w:sz w:val="20"/>
          <w:lang w:val="en-GB"/>
        </w:rPr>
        <w:t xml:space="preserve">Figure </w:t>
      </w:r>
      <w:r w:rsidRPr="00174610">
        <w:rPr>
          <w:sz w:val="20"/>
          <w:lang w:val="en-GB"/>
        </w:rPr>
        <w:fldChar w:fldCharType="begin"/>
      </w:r>
      <w:r w:rsidRPr="00174610">
        <w:rPr>
          <w:sz w:val="20"/>
          <w:lang w:val="en-GB"/>
        </w:rPr>
        <w:instrText xml:space="preserve"> SEQ Figure \* ARABIC </w:instrText>
      </w:r>
      <w:r w:rsidRPr="00174610">
        <w:rPr>
          <w:sz w:val="20"/>
          <w:lang w:val="en-GB"/>
        </w:rPr>
        <w:fldChar w:fldCharType="separate"/>
      </w:r>
      <w:r w:rsidR="002E7A07">
        <w:rPr>
          <w:noProof/>
          <w:sz w:val="20"/>
          <w:lang w:val="en-GB"/>
        </w:rPr>
        <w:t>1</w:t>
      </w:r>
      <w:r w:rsidRPr="00174610">
        <w:rPr>
          <w:sz w:val="20"/>
          <w:lang w:val="en-GB"/>
        </w:rPr>
        <w:fldChar w:fldCharType="end"/>
      </w:r>
      <w:bookmarkEnd w:id="0"/>
      <w:r w:rsidR="007F6FD3" w:rsidRPr="00174610">
        <w:rPr>
          <w:sz w:val="20"/>
          <w:lang w:val="en-GB"/>
        </w:rPr>
        <w:t xml:space="preserve">: </w:t>
      </w:r>
      <w:r w:rsidR="008169B7">
        <w:rPr>
          <w:kern w:val="2"/>
          <w:sz w:val="20"/>
          <w:lang w:val="en-GB"/>
          <w14:ligatures w14:val="standardContextual"/>
        </w:rPr>
        <w:t xml:space="preserve">Closed </w:t>
      </w:r>
      <w:r w:rsidR="00345032">
        <w:rPr>
          <w:kern w:val="2"/>
          <w:sz w:val="20"/>
          <w:lang w:val="en-GB"/>
          <w14:ligatures w14:val="standardContextual"/>
        </w:rPr>
        <w:t>greenhouse</w:t>
      </w:r>
      <w:r w:rsidR="008169B7">
        <w:rPr>
          <w:kern w:val="2"/>
          <w:sz w:val="20"/>
          <w:lang w:val="en-GB"/>
          <w14:ligatures w14:val="standardContextual"/>
        </w:rPr>
        <w:t xml:space="preserve"> schematic</w:t>
      </w:r>
      <w:r w:rsidR="00174610" w:rsidRPr="00174610">
        <w:rPr>
          <w:kern w:val="2"/>
          <w:sz w:val="20"/>
          <w:lang w:val="en-GB"/>
          <w14:ligatures w14:val="standardContextual"/>
        </w:rPr>
        <w:t>.</w:t>
      </w:r>
    </w:p>
    <w:p w14:paraId="4624C3DA" w14:textId="77777777" w:rsidR="00871989" w:rsidRPr="00871989" w:rsidRDefault="00871989" w:rsidP="00871989">
      <w:pPr>
        <w:pStyle w:val="Els-caption"/>
        <w:rPr>
          <w:lang w:val="en-GB"/>
        </w:rPr>
      </w:pPr>
    </w:p>
    <w:p w14:paraId="75856E5C" w14:textId="3C003A5E" w:rsidR="00B21C2B" w:rsidRPr="00A10A54" w:rsidRDefault="002B46CE" w:rsidP="002958C2">
      <w:pPr>
        <w:pStyle w:val="Heading2"/>
        <w:rPr>
          <w:b w:val="0"/>
          <w:bCs w:val="0"/>
          <w:i/>
          <w:iCs/>
        </w:rPr>
      </w:pPr>
      <w:r w:rsidRPr="00A10A54">
        <w:rPr>
          <w:b w:val="0"/>
          <w:bCs w:val="0"/>
          <w:i/>
          <w:iCs/>
        </w:rPr>
        <w:t>Greenhouse input model</w:t>
      </w:r>
    </w:p>
    <w:p w14:paraId="71AC4F38" w14:textId="380DC99E" w:rsidR="002B46CE" w:rsidRDefault="009535F4" w:rsidP="001A37A3">
      <w:pPr>
        <w:jc w:val="both"/>
      </w:pPr>
      <w:r>
        <w:t xml:space="preserve">The </w:t>
      </w:r>
      <w:r w:rsidR="00743011">
        <w:t>following equation calculates the cooling requirement of the greenhouse</w:t>
      </w:r>
      <w:r w:rsidR="00DB4BB7">
        <w:t xml:space="preserve"> </w:t>
      </w:r>
      <w:r w:rsidR="00A81B0B">
        <w:fldChar w:fldCharType="begin" w:fldLock="1"/>
      </w:r>
      <w:r w:rsidR="00E41BFF">
        <w:instrText>ADDIN CSL_CITATION {"citationItems":[{"id":"ITEM-1","itemData":{"DOI":"10.3182/20130828-2-SF-3019.00026","ISBN":"9783902823441","ISSN":"14746670","abstract":"Need for reduction of energy use in greenhouse production has increased. First objective was to develop and validate a dynamic air temperature model. Second objective was to minimize total energy input to the greenhouse, for pre-set temperature boundaries. Optimal control techniques were used to minimize total energy input (cooling and heating). Results confirm that air temperature is on the upper boundary when cooling is applied and on the lower boundary when heating is applied. This work is a first step toward optimal deployment of a large array of possible options for the grower to optimally satisfy heat or cooling. Copyright © 2013 IFAC.","author":[{"dropping-particle":"","family":"Beveren","given":"P. J.M.","non-dropping-particle":"Van","parse-names":false,"suffix":""},{"dropping-particle":"","family":"Bontsema","given":"J.","non-dropping-particle":"","parse-names":false,"suffix":""},{"dropping-particle":"","family":"Straten","given":"G.","non-dropping-particle":"Van","parse-names":false,"suffix":""},{"dropping-particle":"","family":"Henten","given":"E. J.","non-dropping-particle":"Van","parse-names":false,"suffix":""}],"container-title":"IFAC Proceedings Volumes (IFAC-PapersOnline)","id":"ITEM-1","issue":"PART 1","issued":{"date-parts":[["2013"]]},"page":"282-287","title":"Minimal heating and cooling in a modern rose greenhouse","type":"article-journal","volume":"4"},"uris":["http://www.mendeley.com/documents/?uuid=4bb89da7-eace-4d97-9eab-eaa6c8cf114e"]}],"mendeley":{"formattedCitation":"(Van Beveren et al., 2013)","plainTextFormattedCitation":"(Van Beveren et al., 2013)","previouslyFormattedCitation":"(Van Beveren et al., 2013)"},"properties":{"noteIndex":0},"schema":"https://github.com/citation-style-language/schema/raw/master/csl-citation.json"}</w:instrText>
      </w:r>
      <w:r w:rsidR="00A81B0B">
        <w:fldChar w:fldCharType="separate"/>
      </w:r>
      <w:r w:rsidR="0031250E" w:rsidRPr="0031250E">
        <w:rPr>
          <w:noProof/>
        </w:rPr>
        <w:t>(Van Beveren et al., 2013)</w:t>
      </w:r>
      <w:r w:rsidR="00A81B0B">
        <w:fldChar w:fldCharType="end"/>
      </w:r>
      <w:r>
        <w:t>:</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gridCol w:w="573"/>
      </w:tblGrid>
      <w:tr w:rsidR="00D2746F" w:rsidRPr="00D2746F" w14:paraId="1978B74F" w14:textId="77777777" w:rsidTr="00D6606B">
        <w:tc>
          <w:tcPr>
            <w:tcW w:w="6514" w:type="dxa"/>
          </w:tcPr>
          <w:p w14:paraId="024BF010" w14:textId="77777777" w:rsidR="00D2746F" w:rsidRPr="00D2746F" w:rsidRDefault="00AA6C93" w:rsidP="00F6146F">
            <w:pPr>
              <w:spacing w:line="360" w:lineRule="auto"/>
              <w:jc w:val="both"/>
              <w:rPr>
                <w:rFonts w:ascii="Times New Roman" w:hAnsi="Times New Roman" w:cs="Times New Roman"/>
                <w:color w:val="000000" w:themeColor="text1"/>
                <w:sz w:val="20"/>
                <w:szCs w:val="20"/>
              </w:rPr>
            </w:pPr>
            <m:oMathPara>
              <m:oMathParaPr>
                <m:jc m:val="left"/>
              </m:oMathPara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g</m:t>
                    </m:r>
                  </m:sub>
                </m:sSub>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d</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GH</m:t>
                        </m:r>
                      </m:sub>
                    </m:sSub>
                    <m:r>
                      <w:rPr>
                        <w:rFonts w:ascii="Cambria Math" w:hAnsi="Cambria Math" w:cs="Times New Roman"/>
                        <w:color w:val="000000" w:themeColor="text1"/>
                        <w:sz w:val="20"/>
                        <w:szCs w:val="20"/>
                      </w:rPr>
                      <m:t>(t)</m:t>
                    </m:r>
                  </m:num>
                  <m:den>
                    <m:r>
                      <w:rPr>
                        <w:rFonts w:ascii="Cambria Math" w:hAnsi="Cambria Math" w:cs="Times New Roman"/>
                        <w:color w:val="000000" w:themeColor="text1"/>
                        <w:sz w:val="20"/>
                        <w:szCs w:val="20"/>
                      </w:rPr>
                      <m:t>d</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h</m:t>
                        </m:r>
                      </m:sub>
                    </m:sSub>
                  </m:den>
                </m:f>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Q</m:t>
                        </m:r>
                      </m:e>
                    </m:acc>
                  </m:e>
                  <m:sub>
                    <m:r>
                      <w:rPr>
                        <w:rFonts w:ascii="Cambria Math" w:hAnsi="Cambria Math" w:cs="Times New Roman"/>
                        <w:color w:val="000000" w:themeColor="text1"/>
                        <w:sz w:val="20"/>
                        <w:szCs w:val="20"/>
                      </w:rPr>
                      <m:t>Solar</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Q</m:t>
                        </m:r>
                      </m:e>
                    </m:acc>
                  </m:e>
                  <m:sub>
                    <m:r>
                      <w:rPr>
                        <w:rFonts w:ascii="Cambria Math" w:hAnsi="Cambria Math" w:cs="Times New Roman"/>
                        <w:color w:val="000000" w:themeColor="text1"/>
                        <w:sz w:val="20"/>
                        <w:szCs w:val="20"/>
                      </w:rPr>
                      <m:t>Conv.</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Q</m:t>
                        </m:r>
                      </m:e>
                    </m:acc>
                  </m:e>
                  <m:sub>
                    <m:r>
                      <w:rPr>
                        <w:rFonts w:ascii="Cambria Math" w:hAnsi="Cambria Math" w:cs="Times New Roman"/>
                        <w:color w:val="000000" w:themeColor="text1"/>
                        <w:sz w:val="20"/>
                        <w:szCs w:val="20"/>
                      </w:rPr>
                      <m:t>Long</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Q</m:t>
                        </m:r>
                      </m:e>
                    </m:acc>
                  </m:e>
                  <m:sub>
                    <m:r>
                      <w:rPr>
                        <w:rFonts w:ascii="Cambria Math" w:hAnsi="Cambria Math" w:cs="Times New Roman"/>
                        <w:color w:val="000000" w:themeColor="text1"/>
                        <w:sz w:val="20"/>
                        <w:szCs w:val="20"/>
                      </w:rPr>
                      <m:t>Trans.</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Q</m:t>
                        </m:r>
                      </m:e>
                    </m:acc>
                  </m:e>
                  <m:sub>
                    <m:r>
                      <w:rPr>
                        <w:rFonts w:ascii="Cambria Math" w:hAnsi="Cambria Math" w:cs="Times New Roman"/>
                        <w:color w:val="000000" w:themeColor="text1"/>
                        <w:sz w:val="20"/>
                        <w:szCs w:val="20"/>
                      </w:rPr>
                      <m:t>Cooling</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oMath>
            </m:oMathPara>
          </w:p>
        </w:tc>
        <w:tc>
          <w:tcPr>
            <w:tcW w:w="573" w:type="dxa"/>
          </w:tcPr>
          <w:p w14:paraId="36453E6D" w14:textId="4A85F3DB" w:rsidR="00D2746F" w:rsidRPr="00D2746F" w:rsidRDefault="00D2746F" w:rsidP="00D570D5">
            <w:pPr>
              <w:pStyle w:val="Caption"/>
              <w:keepNext/>
              <w:jc w:val="right"/>
              <w:rPr>
                <w:rFonts w:ascii="Times New Roman" w:eastAsiaTheme="minorEastAsia" w:hAnsi="Times New Roman" w:cs="Times New Roman"/>
                <w:i/>
                <w:iCs/>
                <w:color w:val="000000" w:themeColor="text1"/>
                <w:sz w:val="20"/>
                <w:szCs w:val="20"/>
              </w:rPr>
            </w:pPr>
            <w:bookmarkStart w:id="1" w:name="_Ref111994556"/>
            <w:r w:rsidRPr="00D2746F">
              <w:rPr>
                <w:rFonts w:ascii="Times New Roman" w:eastAsiaTheme="minorEastAsia" w:hAnsi="Times New Roman" w:cs="Times New Roman"/>
                <w:color w:val="000000" w:themeColor="text1"/>
                <w:sz w:val="20"/>
                <w:szCs w:val="20"/>
              </w:rPr>
              <w:t>(</w:t>
            </w:r>
            <w:r w:rsidRPr="00D2746F">
              <w:rPr>
                <w:rFonts w:eastAsiaTheme="minorEastAsia"/>
                <w:i/>
                <w:iCs/>
                <w:color w:val="000000" w:themeColor="text1"/>
                <w:sz w:val="20"/>
              </w:rPr>
              <w:fldChar w:fldCharType="begin"/>
            </w:r>
            <w:r w:rsidRPr="00D2746F">
              <w:rPr>
                <w:rFonts w:ascii="Times New Roman" w:eastAsiaTheme="minorEastAsia" w:hAnsi="Times New Roman" w:cs="Times New Roman"/>
                <w:color w:val="000000" w:themeColor="text1"/>
                <w:sz w:val="20"/>
                <w:szCs w:val="20"/>
              </w:rPr>
              <w:instrText xml:space="preserve"> SEQ Equation \* ARABIC </w:instrText>
            </w:r>
            <w:r w:rsidRPr="00D2746F">
              <w:rPr>
                <w:rFonts w:eastAsiaTheme="minorEastAsia"/>
                <w:i/>
                <w:iCs/>
                <w:color w:val="000000" w:themeColor="text1"/>
                <w:sz w:val="20"/>
              </w:rPr>
              <w:fldChar w:fldCharType="separate"/>
            </w:r>
            <w:r w:rsidR="002E7A07">
              <w:rPr>
                <w:rFonts w:ascii="Times New Roman" w:eastAsiaTheme="minorEastAsia" w:hAnsi="Times New Roman" w:cs="Times New Roman"/>
                <w:noProof/>
                <w:color w:val="000000" w:themeColor="text1"/>
                <w:sz w:val="20"/>
                <w:szCs w:val="20"/>
              </w:rPr>
              <w:t>1</w:t>
            </w:r>
            <w:r w:rsidRPr="00D2746F">
              <w:rPr>
                <w:rFonts w:eastAsiaTheme="minorEastAsia"/>
                <w:i/>
                <w:iCs/>
                <w:color w:val="000000" w:themeColor="text1"/>
                <w:sz w:val="20"/>
              </w:rPr>
              <w:fldChar w:fldCharType="end"/>
            </w:r>
            <w:r w:rsidRPr="00D2746F">
              <w:rPr>
                <w:rFonts w:ascii="Times New Roman" w:eastAsiaTheme="minorEastAsia" w:hAnsi="Times New Roman" w:cs="Times New Roman"/>
                <w:color w:val="000000" w:themeColor="text1"/>
                <w:sz w:val="20"/>
                <w:szCs w:val="20"/>
              </w:rPr>
              <w:t>)</w:t>
            </w:r>
            <w:bookmarkEnd w:id="1"/>
          </w:p>
        </w:tc>
      </w:tr>
    </w:tbl>
    <w:p w14:paraId="51BCA6DA" w14:textId="42ADE88F" w:rsidR="001A37A3" w:rsidRDefault="00D6606B" w:rsidP="001A37A3">
      <w:pPr>
        <w:jc w:val="both"/>
      </w:pPr>
      <w:r w:rsidRPr="00D6606B">
        <w:t xml:space="preserve">Water </w:t>
      </w:r>
      <w:r w:rsidR="00745239">
        <w:t>is</w:t>
      </w:r>
      <w:r w:rsidRPr="00D6606B">
        <w:t xml:space="preserve"> primarily </w:t>
      </w:r>
      <w:r w:rsidR="00745239">
        <w:t xml:space="preserve">used </w:t>
      </w:r>
      <w:r w:rsidR="00743011">
        <w:t>to irrigate crops and sustain</w:t>
      </w:r>
      <w:r w:rsidRPr="00D6606B">
        <w:t xml:space="preserve"> the necessary humidity levels within the </w:t>
      </w:r>
      <w:r w:rsidR="00745239">
        <w:t>greenhouse</w:t>
      </w:r>
      <w:r w:rsidRPr="00D6606B">
        <w:t xml:space="preserve">. </w:t>
      </w:r>
      <w:r w:rsidR="00743011">
        <w:t xml:space="preserve">Greenhouses can </w:t>
      </w:r>
      <w:r w:rsidR="00595914">
        <w:t>optimise</w:t>
      </w:r>
      <w:r w:rsidR="00743011">
        <w:t xml:space="preserve"> their water use by accurately assessing water requirements</w:t>
      </w:r>
      <w:r w:rsidRPr="00D6606B">
        <w:t>, ensuring that plants receive the right amount of hydration without wastage.</w:t>
      </w:r>
      <w:r w:rsidR="00AD2FCA">
        <w:t xml:space="preserve"> The water requirement is determined by the following</w:t>
      </w:r>
      <w:r w:rsidR="00A81B0B">
        <w:t xml:space="preserve"> </w:t>
      </w:r>
      <w:r w:rsidR="00FE3E70">
        <w:fldChar w:fldCharType="begin" w:fldLock="1"/>
      </w:r>
      <w:r w:rsidR="009D11FD">
        <w:instrText>ADDIN CSL_CITATION {"citationItems":[{"id":"ITEM-1","itemData":{"DOI":"10.3182/20130828-2-SF-3019.00026","ISBN":"9783902823441","ISSN":"14746670","abstract":"Need for reduction of energy use in greenhouse production has increased. First objective was to develop and validate a dynamic air temperature model. Second objective was to minimize total energy input to the greenhouse, for pre-set temperature boundaries. Optimal control techniques were used to minimize total energy input (cooling and heating). Results confirm that air temperature is on the upper boundary when cooling is applied and on the lower boundary when heating is applied. This work is a first step toward optimal deployment of a large array of possible options for the grower to optimally satisfy heat or cooling. Copyright © 2013 IFAC.","author":[{"dropping-particle":"","family":"Beveren","given":"P. J.M.","non-dropping-particle":"Van","parse-names":false,"suffix":""},{"dropping-particle":"","family":"Bontsema","given":"J.","non-dropping-particle":"","parse-names":false,"suffix":""},{"dropping-particle":"","family":"Straten","given":"G.","non-dropping-particle":"Van","parse-names":false,"suffix":""},{"dropping-particle":"","family":"Henten","given":"E. J.","non-dropping-particle":"Van","parse-names":false,"suffix":""}],"container-title":"IFAC Proceedings Volumes (IFAC-PapersOnline)","id":"ITEM-1","issue":"PART 1","issued":{"date-parts":[["2013"]]},"page":"282-287","title":"Minimal heating and cooling in a modern rose greenhouse","type":"article-journal","volume":"4"},"uris":["http://www.mendeley.com/documents/?uuid=4bb89da7-eace-4d97-9eab-eaa6c8cf114e"]}],"mendeley":{"formattedCitation":"(Van Beveren et al., 2013)","plainTextFormattedCitation":"(Van Beveren et al., 2013)","previouslyFormattedCitation":"(Van Beveren et al., 2013)"},"properties":{"noteIndex":0},"schema":"https://github.com/citation-style-language/schema/raw/master/csl-citation.json"}</w:instrText>
      </w:r>
      <w:r w:rsidR="00FE3E70">
        <w:fldChar w:fldCharType="separate"/>
      </w:r>
      <w:r w:rsidR="00B57354" w:rsidRPr="00B57354">
        <w:rPr>
          <w:noProof/>
        </w:rPr>
        <w:t>(Van Beveren et al., 2013)</w:t>
      </w:r>
      <w:r w:rsidR="00FE3E70">
        <w:fldChar w:fldCharType="end"/>
      </w:r>
      <w:r w:rsidR="00AD2FCA">
        <w:t xml:space="preserve">: </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0"/>
        <w:gridCol w:w="637"/>
      </w:tblGrid>
      <w:tr w:rsidR="006347AF" w:rsidRPr="006347AF" w14:paraId="34A66558" w14:textId="77777777" w:rsidTr="00CD1FE6">
        <w:tc>
          <w:tcPr>
            <w:tcW w:w="6450" w:type="dxa"/>
          </w:tcPr>
          <w:p w14:paraId="0DFC8D38" w14:textId="77777777" w:rsidR="006347AF" w:rsidRPr="006347AF" w:rsidRDefault="00AA6C93" w:rsidP="00F6146F">
            <w:pPr>
              <w:spacing w:line="360" w:lineRule="auto"/>
              <w:jc w:val="both"/>
              <w:rPr>
                <w:rFonts w:ascii="Times New Roman" w:eastAsiaTheme="minorEastAsia" w:hAnsi="Times New Roman" w:cs="Times New Roman"/>
                <w:color w:val="000000" w:themeColor="text1"/>
                <w:sz w:val="20"/>
                <w:szCs w:val="20"/>
                <w:lang w:val="en-GB"/>
              </w:rPr>
            </w:pPr>
            <m:oMathPara>
              <m:oMathParaPr>
                <m:jc m:val="left"/>
              </m:oMathParaP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W</m:t>
                    </m:r>
                  </m:e>
                  <m:sub>
                    <m:r>
                      <w:rPr>
                        <w:rFonts w:ascii="Cambria Math" w:eastAsiaTheme="minorEastAsia" w:hAnsi="Cambria Math" w:cs="Times New Roman"/>
                        <w:sz w:val="20"/>
                        <w:szCs w:val="20"/>
                        <w:lang w:val="en-GB"/>
                      </w:rPr>
                      <m:t>GH</m:t>
                    </m:r>
                  </m:sub>
                </m:sSub>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h, d</m:t>
                    </m:r>
                  </m:e>
                </m:d>
                <m:r>
                  <w:rPr>
                    <w:rFonts w:ascii="Cambria Math" w:eastAsiaTheme="minorEastAsia" w:hAnsi="Cambria Math" w:cs="Times New Roman"/>
                    <w:sz w:val="20"/>
                    <w:szCs w:val="20"/>
                    <w:lang w:val="en-GB"/>
                  </w:rPr>
                  <m:t xml:space="preserve">= </m:t>
                </m:r>
                <m:f>
                  <m:fPr>
                    <m:ctrlPr>
                      <w:rPr>
                        <w:rFonts w:ascii="Cambria Math" w:eastAsiaTheme="minorEastAsia" w:hAnsi="Cambria Math" w:cs="Times New Roman"/>
                        <w:i/>
                        <w:sz w:val="20"/>
                        <w:szCs w:val="20"/>
                        <w:lang w:val="en-GB"/>
                      </w:rPr>
                    </m:ctrlPr>
                  </m:fPr>
                  <m:num>
                    <m:r>
                      <w:rPr>
                        <w:rFonts w:ascii="Cambria Math" w:eastAsiaTheme="minorEastAsia" w:hAnsi="Cambria Math" w:cs="Times New Roman"/>
                        <w:sz w:val="20"/>
                        <w:szCs w:val="20"/>
                        <w:lang w:val="en-GB"/>
                      </w:rPr>
                      <m:t>d</m:t>
                    </m:r>
                    <m:r>
                      <w:rPr>
                        <w:rFonts w:ascii="Cambria Math" w:hAnsi="Cambria Math" w:cs="Times New Roman"/>
                        <w:color w:val="000000" w:themeColor="text1"/>
                        <w:sz w:val="20"/>
                        <w:szCs w:val="20"/>
                        <w:lang w:val="en-GB"/>
                      </w:rPr>
                      <m:t>χ</m:t>
                    </m:r>
                    <m:d>
                      <m:dPr>
                        <m:ctrlPr>
                          <w:rPr>
                            <w:rFonts w:ascii="Cambria Math" w:hAnsi="Cambria Math" w:cs="Times New Roman"/>
                            <w:i/>
                            <w:color w:val="000000" w:themeColor="text1"/>
                            <w:sz w:val="20"/>
                            <w:szCs w:val="20"/>
                            <w:lang w:val="en-GB"/>
                          </w:rPr>
                        </m:ctrlPr>
                      </m:dPr>
                      <m:e>
                        <m:r>
                          <w:rPr>
                            <w:rFonts w:ascii="Cambria Math" w:hAnsi="Cambria Math" w:cs="Times New Roman"/>
                            <w:color w:val="000000" w:themeColor="text1"/>
                            <w:sz w:val="20"/>
                            <w:szCs w:val="20"/>
                            <w:lang w:val="en-GB"/>
                          </w:rPr>
                          <m:t>h,d</m:t>
                        </m:r>
                      </m:e>
                    </m:d>
                  </m:num>
                  <m:den>
                    <m:r>
                      <w:rPr>
                        <w:rFonts w:ascii="Cambria Math" w:eastAsiaTheme="minorEastAsia" w:hAnsi="Cambria Math" w:cs="Times New Roman"/>
                        <w:sz w:val="20"/>
                        <w:szCs w:val="20"/>
                        <w:lang w:val="en-GB"/>
                      </w:rPr>
                      <m:t>d</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t</m:t>
                        </m:r>
                      </m:e>
                      <m:sub>
                        <m:r>
                          <w:rPr>
                            <w:rFonts w:ascii="Cambria Math" w:hAnsi="Cambria Math" w:cs="Times New Roman"/>
                            <w:sz w:val="20"/>
                            <w:szCs w:val="20"/>
                            <w:lang w:val="en-GB"/>
                          </w:rPr>
                          <m:t>h</m:t>
                        </m:r>
                      </m:sub>
                    </m:sSub>
                  </m:den>
                </m:f>
                <m:r>
                  <w:rPr>
                    <w:rFonts w:ascii="Cambria Math" w:eastAsiaTheme="minorEastAsia" w:hAnsi="Cambria Math" w:cs="Times New Roman"/>
                    <w:sz w:val="20"/>
                    <w:szCs w:val="20"/>
                    <w:lang w:val="en-GB"/>
                  </w:rPr>
                  <m:t>-E</m:t>
                </m:r>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h,d</m:t>
                    </m:r>
                  </m:e>
                </m:d>
                <m:r>
                  <w:rPr>
                    <w:rFonts w:ascii="Cambria Math" w:eastAsiaTheme="minorEastAsia" w:hAnsi="Cambria Math" w:cs="Times New Roman"/>
                    <w:sz w:val="20"/>
                    <w:szCs w:val="20"/>
                    <w:lang w:val="en-GB"/>
                  </w:rPr>
                  <m:t>-C(h,d)</m:t>
                </m:r>
              </m:oMath>
            </m:oMathPara>
          </w:p>
        </w:tc>
        <w:tc>
          <w:tcPr>
            <w:tcW w:w="637" w:type="dxa"/>
          </w:tcPr>
          <w:p w14:paraId="2CC24A3A" w14:textId="6BD8481F" w:rsidR="006347AF" w:rsidRPr="006347AF" w:rsidRDefault="006347AF" w:rsidP="00F6146F">
            <w:pPr>
              <w:pStyle w:val="Caption"/>
              <w:keepNext/>
              <w:jc w:val="right"/>
              <w:rPr>
                <w:rFonts w:ascii="Times New Roman" w:eastAsiaTheme="minorEastAsia" w:hAnsi="Times New Roman" w:cs="Times New Roman"/>
                <w:i/>
                <w:color w:val="000000" w:themeColor="text1"/>
                <w:sz w:val="20"/>
                <w:szCs w:val="20"/>
                <w:lang w:val="en-GB"/>
              </w:rPr>
            </w:pPr>
            <w:bookmarkStart w:id="2" w:name="_Ref105053134"/>
            <w:r w:rsidRPr="006347AF">
              <w:rPr>
                <w:rFonts w:ascii="Times New Roman" w:eastAsiaTheme="minorEastAsia" w:hAnsi="Times New Roman" w:cs="Times New Roman"/>
                <w:color w:val="000000" w:themeColor="text1"/>
                <w:sz w:val="20"/>
                <w:szCs w:val="20"/>
                <w:lang w:val="en-GB"/>
              </w:rPr>
              <w:t>(</w:t>
            </w:r>
            <w:r w:rsidRPr="006347AF">
              <w:rPr>
                <w:rFonts w:eastAsiaTheme="minorEastAsia"/>
                <w:i/>
                <w:color w:val="000000" w:themeColor="text1"/>
                <w:sz w:val="20"/>
                <w:lang w:val="en-GB"/>
              </w:rPr>
              <w:fldChar w:fldCharType="begin"/>
            </w:r>
            <w:r w:rsidRPr="006347AF">
              <w:rPr>
                <w:rFonts w:ascii="Times New Roman" w:eastAsiaTheme="minorEastAsia" w:hAnsi="Times New Roman" w:cs="Times New Roman"/>
                <w:color w:val="000000" w:themeColor="text1"/>
                <w:sz w:val="20"/>
                <w:szCs w:val="20"/>
                <w:lang w:val="en-GB"/>
              </w:rPr>
              <w:instrText xml:space="preserve"> SEQ Equation \* ARABIC </w:instrText>
            </w:r>
            <w:r w:rsidRPr="006347AF">
              <w:rPr>
                <w:rFonts w:eastAsiaTheme="minorEastAsia"/>
                <w:i/>
                <w:color w:val="000000" w:themeColor="text1"/>
                <w:sz w:val="20"/>
                <w:lang w:val="en-GB"/>
              </w:rPr>
              <w:fldChar w:fldCharType="separate"/>
            </w:r>
            <w:r w:rsidR="002E7A07">
              <w:rPr>
                <w:rFonts w:ascii="Times New Roman" w:eastAsiaTheme="minorEastAsia" w:hAnsi="Times New Roman" w:cs="Times New Roman"/>
                <w:noProof/>
                <w:color w:val="000000" w:themeColor="text1"/>
                <w:sz w:val="20"/>
                <w:szCs w:val="20"/>
                <w:lang w:val="en-GB"/>
              </w:rPr>
              <w:t>2</w:t>
            </w:r>
            <w:r w:rsidRPr="006347AF">
              <w:rPr>
                <w:rFonts w:eastAsiaTheme="minorEastAsia"/>
                <w:i/>
                <w:color w:val="000000" w:themeColor="text1"/>
                <w:sz w:val="20"/>
                <w:lang w:val="en-GB"/>
              </w:rPr>
              <w:fldChar w:fldCharType="end"/>
            </w:r>
            <w:r w:rsidRPr="006347AF">
              <w:rPr>
                <w:rFonts w:ascii="Times New Roman" w:eastAsiaTheme="minorEastAsia" w:hAnsi="Times New Roman" w:cs="Times New Roman"/>
                <w:color w:val="000000" w:themeColor="text1"/>
                <w:sz w:val="20"/>
                <w:szCs w:val="20"/>
                <w:lang w:val="en-GB"/>
              </w:rPr>
              <w:t>)</w:t>
            </w:r>
            <w:bookmarkEnd w:id="2"/>
          </w:p>
        </w:tc>
      </w:tr>
    </w:tbl>
    <w:p w14:paraId="1409CC99" w14:textId="4A60BC81" w:rsidR="006347AF" w:rsidRPr="00C02648" w:rsidRDefault="00CD1FE6" w:rsidP="001A37A3">
      <w:pPr>
        <w:jc w:val="both"/>
      </w:pPr>
      <w:r w:rsidRPr="00CD1FE6">
        <w:t>CO</w:t>
      </w:r>
      <w:r w:rsidRPr="00745239">
        <w:rPr>
          <w:vertAlign w:val="subscript"/>
        </w:rPr>
        <w:t>2</w:t>
      </w:r>
      <w:r w:rsidRPr="00CD1FE6">
        <w:t xml:space="preserve"> plays a pivotal role in photosynthesis, and its addition to the greenhouse atmosphere can enhance both the quality and yield. </w:t>
      </w:r>
      <w:r w:rsidR="00BB7335">
        <w:t>P</w:t>
      </w:r>
      <w:r w:rsidRPr="00CD1FE6">
        <w:t>lants steadily utili</w:t>
      </w:r>
      <w:r w:rsidR="0038067E">
        <w:t>s</w:t>
      </w:r>
      <w:r w:rsidRPr="00CD1FE6">
        <w:t>e the available CO</w:t>
      </w:r>
      <w:r w:rsidRPr="00743011">
        <w:rPr>
          <w:vertAlign w:val="subscript"/>
        </w:rPr>
        <w:t>2</w:t>
      </w:r>
      <w:r w:rsidRPr="00CD1FE6">
        <w:t xml:space="preserve">, leading to a decrease in its concentration over time. </w:t>
      </w:r>
      <w:r w:rsidR="00743011">
        <w:t xml:space="preserve">Therefore, </w:t>
      </w:r>
      <w:r w:rsidRPr="00CD1FE6">
        <w:t>extra CO</w:t>
      </w:r>
      <w:r w:rsidRPr="00743011">
        <w:rPr>
          <w:vertAlign w:val="subscript"/>
        </w:rPr>
        <w:t>2</w:t>
      </w:r>
      <w:r w:rsidRPr="00CD1FE6">
        <w:t xml:space="preserve"> must be introduced from an external source to maintain the optimal levels necessary for plant growth</w:t>
      </w:r>
      <w:r w:rsidR="00C02648">
        <w:t>. The amount of CO</w:t>
      </w:r>
      <w:r w:rsidR="00C02648" w:rsidRPr="00C02648">
        <w:rPr>
          <w:vertAlign w:val="subscript"/>
        </w:rPr>
        <w:t>2</w:t>
      </w:r>
      <w:r w:rsidR="00C02648">
        <w:t xml:space="preserve"> required is given as follow</w:t>
      </w:r>
      <w:r w:rsidR="00743011">
        <w:t>s</w:t>
      </w:r>
      <w:r w:rsidR="00B57354">
        <w:t xml:space="preserve"> </w:t>
      </w:r>
      <w:r w:rsidR="00B57354">
        <w:fldChar w:fldCharType="begin" w:fldLock="1"/>
      </w:r>
      <w:r w:rsidR="00E41BFF">
        <w:instrText>ADDIN CSL_CITATION {"citationItems":[{"id":"ITEM-1","itemData":{"DOI":"10.17660/ActaHortic.2012.952.13","ISBN":"9789066053380","ISSN":"05677572","abstract":"Pure (bottled or piped) carbon dioxide is commonly supplied to increase productivity of greenhouse crops. As ventilation is necessary for controlling temperature, particularly under sunshine (when a high CO2 concentration would be most desired) there is a need for optimal management of supply, in order to ensure the maximum net return from cost of carbon dioxide supplied and increase in harvest. The optimal concentration depends on many factors: the expected increase of yield thanks to carbon dioxide supply under given climate conditions; the actual ventilation rate; the value of yield and the cost of carbon dioxide. We combined a calculation of the \"value\" of carbon dioxide supply with an algorithm to calculate the ventilation rate, into a calculation on-line of the optimal supply rate. The algorithm was implemented and tested into a commercial climate control computer.","author":[{"dropping-particle":"","family":"Stanghellini","given":"C.","non-dropping-particle":"","parse-names":false,"suffix":""},{"dropping-particle":"","family":"Bontsema","given":"J.","non-dropping-particle":"","parse-names":false,"suffix":""},{"dropping-particle":"","family":"Koning","given":"A.","non-dropping-particle":"De","parse-names":false,"suffix":""},{"dropping-particle":"","family":"Baeza","given":"E. J.","non-dropping-particle":"","parse-names":false,"suffix":""}],"container-title":"Acta Horticulturae","id":"ITEM-1","issued":{"date-parts":[["2012"]]},"page":"119-124","title":"An algorithm for optimal fertilization with pure carbon dioxide in greenhouses","type":"article-journal","volume":"952"},"uris":["http://www.mendeley.com/documents/?uuid=44ff23ab-e126-4e01-a741-56460cc6d962"]}],"mendeley":{"formattedCitation":"(Stanghellini et al., 2012)","plainTextFormattedCitation":"(Stanghellini et al., 2012)","previouslyFormattedCitation":"(Stanghellini et al., 2012)"},"properties":{"noteIndex":0},"schema":"https://github.com/citation-style-language/schema/raw/master/csl-citation.json"}</w:instrText>
      </w:r>
      <w:r w:rsidR="00B57354">
        <w:fldChar w:fldCharType="separate"/>
      </w:r>
      <w:r w:rsidR="0031250E" w:rsidRPr="0031250E">
        <w:rPr>
          <w:noProof/>
        </w:rPr>
        <w:t>(Stanghellini et al., 2012)</w:t>
      </w:r>
      <w:r w:rsidR="00B57354">
        <w:fldChar w:fldCharType="end"/>
      </w:r>
      <w:r w:rsidR="00C0264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5"/>
        <w:gridCol w:w="761"/>
      </w:tblGrid>
      <w:tr w:rsidR="00DE4E16" w:rsidRPr="00DE4E16" w14:paraId="39ACAD74" w14:textId="77777777" w:rsidTr="00F6146F">
        <w:tc>
          <w:tcPr>
            <w:tcW w:w="8455" w:type="dxa"/>
          </w:tcPr>
          <w:p w14:paraId="754729E6" w14:textId="77777777" w:rsidR="00DE4E16" w:rsidRPr="00DE4E16" w:rsidRDefault="00DE4E16" w:rsidP="00F6146F">
            <w:pPr>
              <w:spacing w:line="360" w:lineRule="auto"/>
              <w:jc w:val="both"/>
              <w:rPr>
                <w:rFonts w:ascii="Times New Roman" w:eastAsiaTheme="minorEastAsia" w:hAnsi="Times New Roman" w:cs="Times New Roman"/>
                <w:sz w:val="20"/>
                <w:szCs w:val="20"/>
                <w:lang w:val="en-GB"/>
              </w:rPr>
            </w:pPr>
            <m:oMathPara>
              <m:oMathParaPr>
                <m:jc m:val="left"/>
              </m:oMathParaPr>
              <m:oMath>
                <m:r>
                  <w:rPr>
                    <w:rFonts w:ascii="Cambria Math" w:eastAsiaTheme="minorEastAsia" w:hAnsi="Cambria Math" w:cs="Times New Roman"/>
                    <w:sz w:val="20"/>
                    <w:szCs w:val="20"/>
                    <w:lang w:val="en-GB"/>
                  </w:rPr>
                  <m:t>C</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O</m:t>
                    </m:r>
                  </m:e>
                  <m:sub>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2</m:t>
                        </m:r>
                      </m:e>
                      <m:sub>
                        <m:r>
                          <w:rPr>
                            <w:rFonts w:ascii="Cambria Math" w:eastAsiaTheme="minorEastAsia" w:hAnsi="Cambria Math" w:cs="Times New Roman"/>
                            <w:sz w:val="20"/>
                            <w:szCs w:val="20"/>
                            <w:lang w:val="en-GB"/>
                          </w:rPr>
                          <m:t>GH</m:t>
                        </m:r>
                      </m:sub>
                    </m:sSub>
                  </m:sub>
                </m:sSub>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h,d</m:t>
                    </m:r>
                  </m:e>
                </m:d>
                <m:r>
                  <w:rPr>
                    <w:rFonts w:ascii="Cambria Math" w:eastAsiaTheme="minorEastAsia" w:hAnsi="Cambria Math" w:cs="Times New Roman"/>
                    <w:sz w:val="20"/>
                    <w:szCs w:val="20"/>
                    <w:lang w:val="en-GB"/>
                  </w:rPr>
                  <m:t>=</m:t>
                </m:r>
                <m:f>
                  <m:fPr>
                    <m:ctrlPr>
                      <w:rPr>
                        <w:rFonts w:ascii="Cambria Math" w:eastAsiaTheme="minorEastAsia" w:hAnsi="Cambria Math" w:cs="Times New Roman"/>
                        <w:i/>
                        <w:sz w:val="20"/>
                        <w:szCs w:val="20"/>
                        <w:lang w:val="en-GB"/>
                      </w:rPr>
                    </m:ctrlPr>
                  </m:fPr>
                  <m:num>
                    <m:r>
                      <w:rPr>
                        <w:rFonts w:ascii="Cambria Math" w:eastAsiaTheme="minorEastAsia" w:hAnsi="Cambria Math" w:cs="Times New Roman"/>
                        <w:sz w:val="20"/>
                        <w:szCs w:val="20"/>
                        <w:lang w:val="en-GB"/>
                      </w:rPr>
                      <m:t>d</m:t>
                    </m:r>
                    <m:r>
                      <w:rPr>
                        <w:rFonts w:ascii="Cambria Math" w:hAnsi="Cambria Math" w:cs="Times New Roman"/>
                        <w:color w:val="000000" w:themeColor="text1"/>
                        <w:sz w:val="20"/>
                        <w:szCs w:val="20"/>
                        <w:lang w:val="en-GB"/>
                      </w:rPr>
                      <m:t>C</m:t>
                    </m:r>
                    <m:sSub>
                      <m:sSubPr>
                        <m:ctrlPr>
                          <w:rPr>
                            <w:rFonts w:ascii="Cambria Math" w:hAnsi="Cambria Math" w:cs="Times New Roman"/>
                            <w:i/>
                            <w:color w:val="000000" w:themeColor="text1"/>
                            <w:sz w:val="20"/>
                            <w:szCs w:val="20"/>
                            <w:lang w:val="en-GB"/>
                          </w:rPr>
                        </m:ctrlPr>
                      </m:sSubPr>
                      <m:e>
                        <m:r>
                          <w:rPr>
                            <w:rFonts w:ascii="Cambria Math" w:hAnsi="Cambria Math" w:cs="Times New Roman"/>
                            <w:color w:val="000000" w:themeColor="text1"/>
                            <w:sz w:val="20"/>
                            <w:szCs w:val="20"/>
                            <w:lang w:val="en-GB"/>
                          </w:rPr>
                          <m:t>O</m:t>
                        </m:r>
                      </m:e>
                      <m:sub>
                        <m:r>
                          <w:rPr>
                            <w:rFonts w:ascii="Cambria Math" w:hAnsi="Cambria Math" w:cs="Times New Roman"/>
                            <w:color w:val="000000" w:themeColor="text1"/>
                            <w:sz w:val="20"/>
                            <w:szCs w:val="20"/>
                            <w:lang w:val="en-GB"/>
                          </w:rPr>
                          <m:t>2</m:t>
                        </m:r>
                      </m:sub>
                    </m:sSub>
                    <m:d>
                      <m:dPr>
                        <m:ctrlPr>
                          <w:rPr>
                            <w:rFonts w:ascii="Cambria Math" w:hAnsi="Cambria Math" w:cs="Times New Roman"/>
                            <w:i/>
                            <w:color w:val="000000" w:themeColor="text1"/>
                            <w:sz w:val="20"/>
                            <w:szCs w:val="20"/>
                            <w:lang w:val="en-GB"/>
                          </w:rPr>
                        </m:ctrlPr>
                      </m:dPr>
                      <m:e>
                        <m:r>
                          <w:rPr>
                            <w:rFonts w:ascii="Cambria Math" w:hAnsi="Cambria Math" w:cs="Times New Roman"/>
                            <w:color w:val="000000" w:themeColor="text1"/>
                            <w:sz w:val="20"/>
                            <w:szCs w:val="20"/>
                            <w:lang w:val="en-GB"/>
                          </w:rPr>
                          <m:t>h,d</m:t>
                        </m:r>
                      </m:e>
                    </m:d>
                  </m:num>
                  <m:den>
                    <m:r>
                      <w:rPr>
                        <w:rFonts w:ascii="Cambria Math" w:eastAsiaTheme="minorEastAsia" w:hAnsi="Cambria Math" w:cs="Times New Roman"/>
                        <w:sz w:val="20"/>
                        <w:szCs w:val="20"/>
                        <w:lang w:val="en-GB"/>
                      </w:rPr>
                      <m:t>d</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t</m:t>
                        </m:r>
                      </m:e>
                      <m:sub>
                        <m:r>
                          <w:rPr>
                            <w:rFonts w:ascii="Cambria Math" w:hAnsi="Cambria Math" w:cs="Times New Roman"/>
                            <w:sz w:val="20"/>
                            <w:szCs w:val="20"/>
                            <w:lang w:val="en-GB"/>
                          </w:rPr>
                          <m:t>h</m:t>
                        </m:r>
                      </m:sub>
                    </m:sSub>
                  </m:den>
                </m:f>
                <m:r>
                  <w:rPr>
                    <w:rFonts w:ascii="Cambria Math" w:eastAsiaTheme="minorEastAsia" w:hAnsi="Cambria Math" w:cs="Times New Roman"/>
                    <w:sz w:val="20"/>
                    <w:szCs w:val="20"/>
                    <w:lang w:val="en-GB"/>
                  </w:rPr>
                  <m:t>+C</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O</m:t>
                    </m:r>
                  </m:e>
                  <m:sub>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2</m:t>
                        </m:r>
                      </m:e>
                      <m:sub>
                        <m:r>
                          <w:rPr>
                            <w:rFonts w:ascii="Cambria Math" w:eastAsiaTheme="minorEastAsia" w:hAnsi="Cambria Math" w:cs="Times New Roman"/>
                            <w:sz w:val="20"/>
                            <w:szCs w:val="20"/>
                            <w:lang w:val="en-GB"/>
                          </w:rPr>
                          <m:t>pa</m:t>
                        </m:r>
                      </m:sub>
                    </m:sSub>
                  </m:sub>
                </m:sSub>
                <m:r>
                  <w:rPr>
                    <w:rFonts w:ascii="Cambria Math" w:eastAsiaTheme="minorEastAsia" w:hAnsi="Cambria Math" w:cs="Times New Roman"/>
                    <w:sz w:val="20"/>
                    <w:szCs w:val="20"/>
                    <w:lang w:val="en-GB"/>
                  </w:rPr>
                  <m:t>(h, d)</m:t>
                </m:r>
              </m:oMath>
            </m:oMathPara>
          </w:p>
        </w:tc>
        <w:tc>
          <w:tcPr>
            <w:tcW w:w="895" w:type="dxa"/>
          </w:tcPr>
          <w:p w14:paraId="461F4BD3" w14:textId="4581C7D0" w:rsidR="00DE4E16" w:rsidRPr="00DE4E16" w:rsidRDefault="00DE4E16" w:rsidP="00F6146F">
            <w:pPr>
              <w:pStyle w:val="Caption"/>
              <w:keepNext/>
              <w:jc w:val="right"/>
              <w:rPr>
                <w:rFonts w:ascii="Times New Roman" w:eastAsiaTheme="minorEastAsia" w:hAnsi="Times New Roman" w:cs="Times New Roman"/>
                <w:i/>
                <w:sz w:val="20"/>
                <w:szCs w:val="20"/>
                <w:lang w:val="en-GB"/>
              </w:rPr>
            </w:pPr>
            <w:bookmarkStart w:id="3" w:name="_Ref105331576"/>
            <w:r w:rsidRPr="00DE4E16">
              <w:rPr>
                <w:rFonts w:ascii="Times New Roman" w:eastAsiaTheme="minorEastAsia" w:hAnsi="Times New Roman" w:cs="Times New Roman"/>
                <w:sz w:val="20"/>
                <w:szCs w:val="20"/>
                <w:lang w:val="en-GB"/>
              </w:rPr>
              <w:t>(</w:t>
            </w:r>
            <w:r w:rsidRPr="00DE4E16">
              <w:rPr>
                <w:rFonts w:eastAsiaTheme="minorEastAsia"/>
                <w:i/>
                <w:sz w:val="20"/>
                <w:lang w:val="en-GB"/>
              </w:rPr>
              <w:fldChar w:fldCharType="begin"/>
            </w:r>
            <w:r w:rsidRPr="00DE4E16">
              <w:rPr>
                <w:rFonts w:ascii="Times New Roman" w:eastAsiaTheme="minorEastAsia" w:hAnsi="Times New Roman" w:cs="Times New Roman"/>
                <w:sz w:val="20"/>
                <w:szCs w:val="20"/>
                <w:lang w:val="en-GB"/>
              </w:rPr>
              <w:instrText xml:space="preserve"> SEQ Equation \* ARABIC </w:instrText>
            </w:r>
            <w:r w:rsidRPr="00DE4E16">
              <w:rPr>
                <w:rFonts w:eastAsiaTheme="minorEastAsia"/>
                <w:i/>
                <w:sz w:val="20"/>
                <w:lang w:val="en-GB"/>
              </w:rPr>
              <w:fldChar w:fldCharType="separate"/>
            </w:r>
            <w:r w:rsidR="002E7A07">
              <w:rPr>
                <w:rFonts w:ascii="Times New Roman" w:eastAsiaTheme="minorEastAsia" w:hAnsi="Times New Roman" w:cs="Times New Roman"/>
                <w:noProof/>
                <w:sz w:val="20"/>
                <w:szCs w:val="20"/>
                <w:lang w:val="en-GB"/>
              </w:rPr>
              <w:t>3</w:t>
            </w:r>
            <w:r w:rsidRPr="00DE4E16">
              <w:rPr>
                <w:rFonts w:eastAsiaTheme="minorEastAsia"/>
                <w:i/>
                <w:sz w:val="20"/>
                <w:lang w:val="en-GB"/>
              </w:rPr>
              <w:fldChar w:fldCharType="end"/>
            </w:r>
            <w:r w:rsidRPr="00DE4E16">
              <w:rPr>
                <w:rFonts w:ascii="Times New Roman" w:eastAsiaTheme="minorEastAsia" w:hAnsi="Times New Roman" w:cs="Times New Roman"/>
                <w:sz w:val="20"/>
                <w:szCs w:val="20"/>
                <w:lang w:val="en-GB"/>
              </w:rPr>
              <w:t>)</w:t>
            </w:r>
            <w:bookmarkEnd w:id="3"/>
          </w:p>
        </w:tc>
      </w:tr>
    </w:tbl>
    <w:p w14:paraId="746D8231" w14:textId="66285447" w:rsidR="00CD1FE6" w:rsidRPr="00971089" w:rsidRDefault="005E0C1E" w:rsidP="002958C2">
      <w:pPr>
        <w:pStyle w:val="Heading2"/>
        <w:rPr>
          <w:b w:val="0"/>
          <w:bCs w:val="0"/>
          <w:i/>
          <w:iCs/>
        </w:rPr>
      </w:pPr>
      <w:r w:rsidRPr="00971089">
        <w:rPr>
          <w:b w:val="0"/>
          <w:bCs w:val="0"/>
          <w:i/>
          <w:iCs/>
        </w:rPr>
        <w:t>Greenhouse yield model</w:t>
      </w:r>
    </w:p>
    <w:p w14:paraId="44C30159" w14:textId="2070D3A6" w:rsidR="00545D29" w:rsidRPr="00545D29" w:rsidRDefault="001827EB" w:rsidP="00545D29">
      <w:pPr>
        <w:jc w:val="both"/>
        <w:rPr>
          <w:rFonts w:eastAsiaTheme="minorEastAsia"/>
        </w:rPr>
      </w:pPr>
      <w:r w:rsidRPr="001827EB">
        <w:t>T</w:t>
      </w:r>
      <w:r w:rsidR="002E53A3">
        <w:t xml:space="preserve">OMGRO, which considers various greenhouse parameters, </w:t>
      </w:r>
      <w:r w:rsidR="007466D4">
        <w:t>estimates</w:t>
      </w:r>
      <w:r w:rsidR="002E53A3">
        <w:t xml:space="preserve"> crop yield in a greenhouse setting</w:t>
      </w:r>
      <w:r w:rsidR="000C5F5A">
        <w:t xml:space="preserve"> </w:t>
      </w:r>
      <w:r w:rsidR="000C5F5A">
        <w:fldChar w:fldCharType="begin" w:fldLock="1"/>
      </w:r>
      <w:r w:rsidR="00E41BFF">
        <w:instrText>ADDIN CSL_CITATION {"citationItems":[{"id":"ITEM-1","itemData":{"DOI":"10.13031/2013.13203","ISSN":"00012351","abstract":"A number of physiologically based tomato crop models have been developed for use in studying greenhouse environment control. However, these models may have hundreds of state variables and thus cannot be used with optimal control methods to determine how to operate greenhouse environment control equipment over time to maximize profit. The objectives of this research were to develop a dynamic tomato growth model with a minimum number of state variables and to determine its applicability across different growing conditions. Our overall approach was to simplify an existing tomato growth model (TOMGRO) by reducing its number of state variables to five while retaining much of its physiological detail. The reduced model, with number ofmainstem nodes, leaf area index, total plant weight, fruit weight, and mature fruit weight as state variables, contains the same process equations for photosynthesis, respiration, and development as the comprehensive model, but new leaf area and dry matter growth relationships were developed. Data from t\\vo experiments and a commercial greenhouse in Florida and an experiment in Avignon, France, were used to evaluate the model. The model was programmed in a spreadsheet, and parameters were estimated by minimizing RMSE for each experiment. Results showed that the reduced state variable model could accurately describe tomato growth and yield across the different locations and years. Parameters for vegetative growth in the model were consistent across locations, however, parameters for fruit growth and development varied with location. We attributed these results to differences in varieties and management. This model could be easily adapted for simulating other greenhouse crops. © 1999 American Society of Agricultural Engineers.","author":[{"dropping-particle":"","family":"Jones","given":"J. W.","non-dropping-particle":"","parse-names":false,"suffix":""},{"dropping-particle":"","family":"Kenig","given":"A.","non-dropping-particle":"","parse-names":false,"suffix":""},{"dropping-particle":"","family":"Vallejos","given":"C. E.","non-dropping-particle":"","parse-names":false,"suffix":""}],"container-title":"Transactions of the American Society of Agricultural Engineers","id":"ITEM-1","issue":"1","issued":{"date-parts":[["1999"]]},"page":"255-265","title":"Reduced state-variable tomato growth model","type":"article-journal","volume":"42"},"uris":["http://www.mendeley.com/documents/?uuid=472a1bbb-759c-436f-a427-5316864a99d1"]}],"mendeley":{"formattedCitation":"(Jones et al., 1999)","plainTextFormattedCitation":"(Jones et al., 1999)","previouslyFormattedCitation":"(Jones et al., 1999)"},"properties":{"noteIndex":0},"schema":"https://github.com/citation-style-language/schema/raw/master/csl-citation.json"}</w:instrText>
      </w:r>
      <w:r w:rsidR="000C5F5A">
        <w:fldChar w:fldCharType="separate"/>
      </w:r>
      <w:r w:rsidR="0031250E" w:rsidRPr="0031250E">
        <w:rPr>
          <w:noProof/>
        </w:rPr>
        <w:t>(Jones et al., 1999)</w:t>
      </w:r>
      <w:r w:rsidR="000C5F5A">
        <w:fldChar w:fldCharType="end"/>
      </w:r>
      <w:r w:rsidR="005938EA">
        <w:t xml:space="preserve">. </w:t>
      </w:r>
      <w:r w:rsidR="005938EA" w:rsidRPr="005938EA">
        <w:t xml:space="preserve">The value of </w:t>
      </w:r>
      <m:oMath>
        <m:r>
          <w:rPr>
            <w:rFonts w:ascii="Cambria Math" w:eastAsiaTheme="minorEastAsia" w:hAnsi="Cambria Math"/>
          </w:rPr>
          <m:t>N</m:t>
        </m:r>
      </m:oMath>
      <w:r w:rsidR="005938EA" w:rsidRPr="005938EA">
        <w:t xml:space="preserve"> is calculated by </w:t>
      </w:r>
      <w:r w:rsidR="00160B58">
        <w:t>the following</w:t>
      </w:r>
      <w:r w:rsidR="00545D29" w:rsidRPr="00545D29">
        <w:rPr>
          <w:rFonts w:eastAsiaTheme="minorEastAsi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gridCol w:w="630"/>
      </w:tblGrid>
      <w:tr w:rsidR="00545D29" w:rsidRPr="00545D29" w14:paraId="1BC39C3F" w14:textId="77777777" w:rsidTr="00F6146F">
        <w:tc>
          <w:tcPr>
            <w:tcW w:w="8635" w:type="dxa"/>
          </w:tcPr>
          <w:p w14:paraId="0817828A" w14:textId="77777777" w:rsidR="00545D29" w:rsidRPr="00545D29" w:rsidRDefault="00AA6C93" w:rsidP="00F6146F">
            <w:pPr>
              <w:spacing w:line="360" w:lineRule="auto"/>
              <w:jc w:val="both"/>
              <w:rPr>
                <w:rFonts w:ascii="Times New Roman" w:eastAsiaTheme="minorEastAsia" w:hAnsi="Times New Roman" w:cs="Times New Roman"/>
                <w:sz w:val="20"/>
                <w:szCs w:val="20"/>
                <w:lang w:val="en-GB"/>
              </w:rPr>
            </w:pPr>
            <m:oMathPara>
              <m:oMathParaPr>
                <m:jc m:val="left"/>
              </m:oMathParaPr>
              <m:oMath>
                <m:f>
                  <m:fPr>
                    <m:ctrlPr>
                      <w:rPr>
                        <w:rFonts w:ascii="Cambria Math" w:hAnsi="Cambria Math" w:cs="Times New Roman"/>
                        <w:i/>
                        <w:sz w:val="20"/>
                        <w:szCs w:val="20"/>
                        <w:lang w:val="en-GB"/>
                      </w:rPr>
                    </m:ctrlPr>
                  </m:fPr>
                  <m:num>
                    <m:r>
                      <w:rPr>
                        <w:rFonts w:ascii="Cambria Math" w:hAnsi="Cambria Math" w:cs="Times New Roman"/>
                        <w:sz w:val="20"/>
                        <w:szCs w:val="20"/>
                        <w:lang w:val="en-GB"/>
                      </w:rPr>
                      <m:t>dN(h,d)</m:t>
                    </m:r>
                  </m:num>
                  <m:den>
                    <m:r>
                      <w:rPr>
                        <w:rFonts w:ascii="Cambria Math" w:hAnsi="Cambria Math" w:cs="Times New Roman"/>
                        <w:sz w:val="20"/>
                        <w:szCs w:val="20"/>
                        <w:lang w:val="en-GB"/>
                      </w:rPr>
                      <m:t>d</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t</m:t>
                        </m:r>
                      </m:e>
                      <m:sub>
                        <m:r>
                          <w:rPr>
                            <w:rFonts w:ascii="Cambria Math" w:hAnsi="Cambria Math" w:cs="Times New Roman"/>
                            <w:sz w:val="20"/>
                            <w:szCs w:val="20"/>
                            <w:lang w:val="en-GB"/>
                          </w:rPr>
                          <m:t>h</m:t>
                        </m:r>
                      </m:sub>
                    </m:sSub>
                  </m:den>
                </m:f>
                <m:r>
                  <w:rPr>
                    <w:rFonts w:ascii="Cambria Math" w:hAnsi="Cambria Math" w:cs="Times New Roman"/>
                    <w:sz w:val="20"/>
                    <w:szCs w:val="20"/>
                    <w:lang w:val="en-GB"/>
                  </w:rPr>
                  <m:t xml:space="preserve">= </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N</m:t>
                    </m:r>
                    <m:ctrlPr>
                      <w:rPr>
                        <w:rFonts w:ascii="Cambria Math" w:hAnsi="Cambria Math" w:cs="Times New Roman"/>
                        <w:i/>
                        <w:sz w:val="20"/>
                        <w:szCs w:val="20"/>
                        <w:lang w:val="en-GB"/>
                      </w:rPr>
                    </m:ctrlPr>
                  </m:e>
                  <m:sub>
                    <m:r>
                      <w:rPr>
                        <w:rFonts w:ascii="Cambria Math" w:eastAsiaTheme="minorEastAsia" w:hAnsi="Cambria Math" w:cs="Times New Roman"/>
                        <w:sz w:val="20"/>
                        <w:szCs w:val="20"/>
                        <w:lang w:val="en-GB"/>
                      </w:rPr>
                      <m:t>m</m:t>
                    </m:r>
                  </m:sub>
                </m:sSub>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f</m:t>
                    </m:r>
                  </m:e>
                  <m:sub>
                    <m:r>
                      <w:rPr>
                        <w:rFonts w:ascii="Cambria Math" w:eastAsiaTheme="minorEastAsia" w:hAnsi="Cambria Math" w:cs="Times New Roman"/>
                        <w:sz w:val="20"/>
                        <w:szCs w:val="20"/>
                        <w:lang w:val="en-GB"/>
                      </w:rPr>
                      <m:t>n</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T</m:t>
                    </m:r>
                  </m:e>
                  <m:sub>
                    <m:r>
                      <w:rPr>
                        <w:rFonts w:ascii="Cambria Math" w:eastAsiaTheme="minorEastAsia" w:hAnsi="Cambria Math" w:cs="Times New Roman"/>
                        <w:sz w:val="20"/>
                        <w:szCs w:val="20"/>
                        <w:lang w:val="en-GB"/>
                      </w:rPr>
                      <m:t>GH</m:t>
                    </m:r>
                  </m:sub>
                </m:sSub>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h,d</m:t>
                    </m:r>
                  </m:e>
                </m:d>
                <m:r>
                  <w:rPr>
                    <w:rFonts w:ascii="Cambria Math" w:eastAsiaTheme="minorEastAsia" w:hAnsi="Cambria Math" w:cs="Times New Roman"/>
                    <w:sz w:val="20"/>
                    <w:szCs w:val="20"/>
                    <w:lang w:val="en-GB"/>
                  </w:rPr>
                  <m:t>)</m:t>
                </m:r>
              </m:oMath>
            </m:oMathPara>
          </w:p>
        </w:tc>
        <w:tc>
          <w:tcPr>
            <w:tcW w:w="715" w:type="dxa"/>
          </w:tcPr>
          <w:p w14:paraId="08F78C07" w14:textId="126AE75E" w:rsidR="00545D29" w:rsidRPr="00545D29" w:rsidRDefault="00545D29" w:rsidP="00F6146F">
            <w:pPr>
              <w:pStyle w:val="Caption"/>
              <w:keepNext/>
              <w:spacing w:line="360" w:lineRule="auto"/>
              <w:jc w:val="right"/>
              <w:rPr>
                <w:rFonts w:ascii="Times New Roman" w:hAnsi="Times New Roman" w:cs="Times New Roman"/>
                <w:sz w:val="20"/>
                <w:szCs w:val="20"/>
                <w:lang w:val="en-GB"/>
              </w:rPr>
            </w:pPr>
            <w:r w:rsidRPr="00545D29">
              <w:rPr>
                <w:rFonts w:ascii="Times New Roman" w:eastAsiaTheme="minorEastAsia" w:hAnsi="Times New Roman" w:cs="Times New Roman"/>
                <w:sz w:val="20"/>
                <w:szCs w:val="20"/>
                <w:lang w:val="en-GB"/>
              </w:rPr>
              <w:t>(</w:t>
            </w:r>
            <w:r w:rsidRPr="00545D29">
              <w:rPr>
                <w:rFonts w:eastAsiaTheme="minorEastAsia"/>
                <w:i/>
                <w:sz w:val="20"/>
                <w:lang w:val="en-GB"/>
              </w:rPr>
              <w:fldChar w:fldCharType="begin"/>
            </w:r>
            <w:r w:rsidRPr="00545D29">
              <w:rPr>
                <w:rFonts w:ascii="Times New Roman" w:eastAsiaTheme="minorEastAsia" w:hAnsi="Times New Roman" w:cs="Times New Roman"/>
                <w:sz w:val="20"/>
                <w:szCs w:val="20"/>
                <w:lang w:val="en-GB"/>
              </w:rPr>
              <w:instrText xml:space="preserve"> SEQ Equation \* ARABIC </w:instrText>
            </w:r>
            <w:r w:rsidRPr="00545D29">
              <w:rPr>
                <w:rFonts w:eastAsiaTheme="minorEastAsia"/>
                <w:i/>
                <w:sz w:val="20"/>
                <w:lang w:val="en-GB"/>
              </w:rPr>
              <w:fldChar w:fldCharType="separate"/>
            </w:r>
            <w:r w:rsidR="002E7A07">
              <w:rPr>
                <w:rFonts w:ascii="Times New Roman" w:eastAsiaTheme="minorEastAsia" w:hAnsi="Times New Roman" w:cs="Times New Roman"/>
                <w:noProof/>
                <w:sz w:val="20"/>
                <w:szCs w:val="20"/>
                <w:lang w:val="en-GB"/>
              </w:rPr>
              <w:t>4</w:t>
            </w:r>
            <w:r w:rsidRPr="00545D29">
              <w:rPr>
                <w:rFonts w:eastAsiaTheme="minorEastAsia"/>
                <w:i/>
                <w:sz w:val="20"/>
                <w:lang w:val="en-GB"/>
              </w:rPr>
              <w:fldChar w:fldCharType="end"/>
            </w:r>
            <w:r w:rsidRPr="00545D29">
              <w:rPr>
                <w:rFonts w:ascii="Times New Roman" w:eastAsiaTheme="minorEastAsia" w:hAnsi="Times New Roman" w:cs="Times New Roman"/>
                <w:sz w:val="20"/>
                <w:szCs w:val="20"/>
                <w:lang w:val="en-GB"/>
              </w:rPr>
              <w:t>)</w:t>
            </w:r>
          </w:p>
        </w:tc>
      </w:tr>
    </w:tbl>
    <w:p w14:paraId="46CC9E3A" w14:textId="44DFB3C1" w:rsidR="001827EB" w:rsidRDefault="00C521B2" w:rsidP="001A37A3">
      <w:pPr>
        <w:jc w:val="both"/>
      </w:pPr>
      <w:r>
        <w:t xml:space="preserve">The </w:t>
      </w:r>
      <m:oMath>
        <m:r>
          <w:rPr>
            <w:rFonts w:ascii="Cambria Math" w:hAnsi="Cambria Math"/>
          </w:rPr>
          <m:t>LAI</m:t>
        </m:r>
      </m:oMath>
      <w:r>
        <w:t xml:space="preserve"> is given by</w:t>
      </w:r>
      <w:r w:rsidR="001C3437">
        <w:t>:</w:t>
      </w:r>
      <w:r>
        <w:t xml:space="preserve"> </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518"/>
      </w:tblGrid>
      <w:tr w:rsidR="006E1EF7" w:rsidRPr="006E1EF7" w14:paraId="609A76D3" w14:textId="77777777" w:rsidTr="008C0DC1">
        <w:trPr>
          <w:trHeight w:val="1440"/>
        </w:trPr>
        <w:tc>
          <w:tcPr>
            <w:tcW w:w="6569" w:type="dxa"/>
            <w:vAlign w:val="center"/>
          </w:tcPr>
          <w:p w14:paraId="1199C403" w14:textId="77777777" w:rsidR="006E1EF7" w:rsidRPr="006E1EF7" w:rsidRDefault="00AA6C93" w:rsidP="00F6146F">
            <w:pPr>
              <w:spacing w:line="360" w:lineRule="auto"/>
              <w:jc w:val="center"/>
              <w:rPr>
                <w:rFonts w:ascii="Times New Roman" w:eastAsiaTheme="minorEastAsia" w:hAnsi="Times New Roman" w:cs="Times New Roman"/>
                <w:sz w:val="20"/>
                <w:szCs w:val="20"/>
                <w:lang w:val="en-GB"/>
              </w:rPr>
            </w:pPr>
            <m:oMathPara>
              <m:oMathParaPr>
                <m:jc m:val="left"/>
              </m:oMathParaPr>
              <m:oMath>
                <m:f>
                  <m:fPr>
                    <m:ctrlPr>
                      <w:rPr>
                        <w:rFonts w:ascii="Cambria Math" w:hAnsi="Cambria Math" w:cs="Times New Roman"/>
                        <w:i/>
                        <w:sz w:val="20"/>
                        <w:szCs w:val="20"/>
                        <w:lang w:val="en-GB"/>
                      </w:rPr>
                    </m:ctrlPr>
                  </m:fPr>
                  <m:num>
                    <m:r>
                      <w:rPr>
                        <w:rFonts w:ascii="Cambria Math" w:hAnsi="Cambria Math" w:cs="Times New Roman"/>
                        <w:sz w:val="20"/>
                        <w:szCs w:val="20"/>
                        <w:lang w:val="en-GB"/>
                      </w:rPr>
                      <m:t>dLAI</m:t>
                    </m:r>
                    <m:d>
                      <m:dPr>
                        <m:ctrlPr>
                          <w:rPr>
                            <w:rFonts w:ascii="Cambria Math" w:hAnsi="Cambria Math" w:cs="Times New Roman"/>
                            <w:i/>
                            <w:sz w:val="20"/>
                            <w:szCs w:val="20"/>
                            <w:lang w:val="en-GB"/>
                          </w:rPr>
                        </m:ctrlPr>
                      </m:dPr>
                      <m:e>
                        <m:r>
                          <w:rPr>
                            <w:rFonts w:ascii="Cambria Math" w:hAnsi="Cambria Math" w:cs="Times New Roman"/>
                            <w:sz w:val="20"/>
                            <w:szCs w:val="20"/>
                            <w:lang w:val="en-GB"/>
                          </w:rPr>
                          <m:t>h,d</m:t>
                        </m:r>
                      </m:e>
                    </m:d>
                  </m:num>
                  <m:den>
                    <m:r>
                      <w:rPr>
                        <w:rFonts w:ascii="Cambria Math" w:hAnsi="Cambria Math" w:cs="Times New Roman"/>
                        <w:sz w:val="20"/>
                        <w:szCs w:val="20"/>
                        <w:lang w:val="en-GB"/>
                      </w:rPr>
                      <m:t>d</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t</m:t>
                        </m:r>
                      </m:e>
                      <m:sub>
                        <m:r>
                          <w:rPr>
                            <w:rFonts w:ascii="Cambria Math" w:hAnsi="Cambria Math" w:cs="Times New Roman"/>
                            <w:sz w:val="20"/>
                            <w:szCs w:val="20"/>
                            <w:lang w:val="en-GB"/>
                          </w:rPr>
                          <m:t>h</m:t>
                        </m:r>
                      </m:sub>
                    </m:sSub>
                  </m:den>
                </m:f>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δ</m:t>
                    </m:r>
                  </m:e>
                  <m:sub>
                    <m:r>
                      <w:rPr>
                        <w:rFonts w:ascii="Cambria Math" w:hAnsi="Cambria Math" w:cs="Times New Roman"/>
                        <w:sz w:val="20"/>
                        <w:szCs w:val="20"/>
                        <w:lang w:val="en-GB"/>
                      </w:rPr>
                      <m:t>LEA</m:t>
                    </m:r>
                  </m:sub>
                </m:sSub>
                <m:sSub>
                  <m:sSubPr>
                    <m:ctrlPr>
                      <w:rPr>
                        <w:rFonts w:ascii="Cambria Math" w:hAnsi="Cambria Math" w:cs="Times New Roman"/>
                        <w:i/>
                        <w:sz w:val="20"/>
                        <w:szCs w:val="20"/>
                        <w:lang w:val="en-GB"/>
                      </w:rPr>
                    </m:ctrlPr>
                  </m:sSubPr>
                  <m:e>
                    <m:r>
                      <w:rPr>
                        <w:rFonts w:ascii="Cambria Math" w:hAnsi="Cambria Math" w:cs="Times New Roman"/>
                        <w:sz w:val="20"/>
                        <w:szCs w:val="20"/>
                        <w:lang w:val="en-GB"/>
                      </w:rPr>
                      <m:t>p</m:t>
                    </m:r>
                  </m:e>
                  <m:sub>
                    <m:r>
                      <w:rPr>
                        <w:rFonts w:ascii="Cambria Math" w:hAnsi="Cambria Math" w:cs="Times New Roman"/>
                        <w:sz w:val="20"/>
                        <w:szCs w:val="20"/>
                        <w:lang w:val="en-GB"/>
                      </w:rPr>
                      <m:t>d</m:t>
                    </m:r>
                  </m:sub>
                </m:sSub>
                <m:sSub>
                  <m:sSubPr>
                    <m:ctrlPr>
                      <w:rPr>
                        <w:rFonts w:ascii="Cambria Math" w:hAnsi="Cambria Math" w:cs="Times New Roman"/>
                        <w:i/>
                        <w:sz w:val="20"/>
                        <w:szCs w:val="20"/>
                        <w:lang w:val="en-GB"/>
                      </w:rPr>
                    </m:ctrlPr>
                  </m:sSubPr>
                  <m:e>
                    <m:r>
                      <w:rPr>
                        <w:rFonts w:ascii="Cambria Math" w:hAnsi="Cambria Math" w:cs="Times New Roman"/>
                        <w:sz w:val="20"/>
                        <w:szCs w:val="20"/>
                        <w:lang w:val="en-GB"/>
                      </w:rPr>
                      <m:t>λ</m:t>
                    </m:r>
                  </m:e>
                  <m:sub>
                    <m:r>
                      <w:rPr>
                        <w:rFonts w:ascii="Cambria Math" w:hAnsi="Cambria Math" w:cs="Times New Roman"/>
                        <w:sz w:val="20"/>
                        <w:szCs w:val="20"/>
                        <w:lang w:val="en-GB"/>
                      </w:rPr>
                      <m:t>LEA</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T</m:t>
                        </m:r>
                      </m:e>
                      <m:sub>
                        <m:r>
                          <w:rPr>
                            <w:rFonts w:ascii="Cambria Math" w:hAnsi="Cambria Math" w:cs="Times New Roman"/>
                            <w:sz w:val="20"/>
                            <w:szCs w:val="20"/>
                            <w:lang w:val="en-GB"/>
                          </w:rPr>
                          <m:t>GH</m:t>
                        </m:r>
                      </m:sub>
                    </m:sSub>
                  </m:e>
                </m:d>
                <m:f>
                  <m:fPr>
                    <m:ctrlPr>
                      <w:rPr>
                        <w:rFonts w:ascii="Cambria Math" w:hAnsi="Cambria Math" w:cs="Times New Roman"/>
                        <w:i/>
                        <w:sz w:val="20"/>
                        <w:szCs w:val="20"/>
                        <w:lang w:val="en-GB"/>
                      </w:rPr>
                    </m:ctrlPr>
                  </m:fPr>
                  <m:num>
                    <m:sSup>
                      <m:sSupPr>
                        <m:ctrlPr>
                          <w:rPr>
                            <w:rFonts w:ascii="Cambria Math" w:hAnsi="Cambria Math" w:cs="Times New Roman"/>
                            <w:i/>
                            <w:sz w:val="20"/>
                            <w:szCs w:val="20"/>
                            <w:lang w:val="en-GB"/>
                          </w:rPr>
                        </m:ctrlPr>
                      </m:sSupPr>
                      <m:e>
                        <m:r>
                          <w:rPr>
                            <w:rFonts w:ascii="Cambria Math" w:hAnsi="Cambria Math" w:cs="Times New Roman"/>
                            <w:sz w:val="20"/>
                            <w:szCs w:val="20"/>
                            <w:lang w:val="en-GB"/>
                          </w:rPr>
                          <m:t>e</m:t>
                        </m:r>
                      </m:e>
                      <m:sup>
                        <m:d>
                          <m:dPr>
                            <m:ctrlPr>
                              <w:rPr>
                                <w:rFonts w:ascii="Cambria Math" w:hAnsi="Cambria Math" w:cs="Times New Roman"/>
                                <w:i/>
                                <w:sz w:val="20"/>
                                <w:szCs w:val="20"/>
                                <w:lang w:val="en-GB"/>
                              </w:rPr>
                            </m:ctrlPr>
                          </m:dPr>
                          <m:e>
                            <m:r>
                              <w:rPr>
                                <w:rFonts w:ascii="Cambria Math" w:hAnsi="Cambria Math" w:cs="Times New Roman"/>
                                <w:sz w:val="20"/>
                                <w:szCs w:val="20"/>
                                <w:lang w:val="en-GB"/>
                              </w:rPr>
                              <m:t>β</m:t>
                            </m:r>
                            <m:d>
                              <m:dPr>
                                <m:ctrlPr>
                                  <w:rPr>
                                    <w:rFonts w:ascii="Cambria Math" w:hAnsi="Cambria Math" w:cs="Times New Roman"/>
                                    <w:i/>
                                    <w:sz w:val="20"/>
                                    <w:szCs w:val="20"/>
                                    <w:lang w:val="en-GB"/>
                                  </w:rPr>
                                </m:ctrlPr>
                              </m:dPr>
                              <m:e>
                                <m:r>
                                  <w:rPr>
                                    <w:rFonts w:ascii="Cambria Math" w:hAnsi="Cambria Math" w:cs="Times New Roman"/>
                                    <w:sz w:val="20"/>
                                    <w:szCs w:val="20"/>
                                    <w:lang w:val="en-GB"/>
                                  </w:rPr>
                                  <m:t>N-</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N</m:t>
                                    </m:r>
                                  </m:e>
                                  <m:sub>
                                    <m:r>
                                      <w:rPr>
                                        <w:rFonts w:ascii="Cambria Math" w:hAnsi="Cambria Math" w:cs="Times New Roman"/>
                                        <w:sz w:val="20"/>
                                        <w:szCs w:val="20"/>
                                        <w:lang w:val="en-GB"/>
                                      </w:rPr>
                                      <m:t>b</m:t>
                                    </m:r>
                                  </m:sub>
                                </m:sSub>
                              </m:e>
                            </m:d>
                          </m:e>
                        </m:d>
                      </m:sup>
                    </m:sSup>
                  </m:num>
                  <m:den>
                    <m:r>
                      <w:rPr>
                        <w:rFonts w:ascii="Cambria Math" w:hAnsi="Cambria Math" w:cs="Times New Roman"/>
                        <w:sz w:val="20"/>
                        <w:szCs w:val="20"/>
                        <w:lang w:val="en-GB"/>
                      </w:rPr>
                      <m:t>1+</m:t>
                    </m:r>
                    <m:sSup>
                      <m:sSupPr>
                        <m:ctrlPr>
                          <w:rPr>
                            <w:rFonts w:ascii="Cambria Math" w:hAnsi="Cambria Math" w:cs="Times New Roman"/>
                            <w:i/>
                            <w:sz w:val="20"/>
                            <w:szCs w:val="20"/>
                            <w:lang w:val="en-GB"/>
                          </w:rPr>
                        </m:ctrlPr>
                      </m:sSupPr>
                      <m:e>
                        <m:r>
                          <w:rPr>
                            <w:rFonts w:ascii="Cambria Math" w:hAnsi="Cambria Math" w:cs="Times New Roman"/>
                            <w:sz w:val="20"/>
                            <w:szCs w:val="20"/>
                            <w:lang w:val="en-GB"/>
                          </w:rPr>
                          <m:t>e</m:t>
                        </m:r>
                      </m:e>
                      <m:sup>
                        <m:d>
                          <m:dPr>
                            <m:ctrlPr>
                              <w:rPr>
                                <w:rFonts w:ascii="Cambria Math" w:hAnsi="Cambria Math" w:cs="Times New Roman"/>
                                <w:i/>
                                <w:sz w:val="20"/>
                                <w:szCs w:val="20"/>
                                <w:lang w:val="en-GB"/>
                              </w:rPr>
                            </m:ctrlPr>
                          </m:dPr>
                          <m:e>
                            <m:r>
                              <w:rPr>
                                <w:rFonts w:ascii="Cambria Math" w:hAnsi="Cambria Math" w:cs="Times New Roman"/>
                                <w:sz w:val="20"/>
                                <w:szCs w:val="20"/>
                                <w:lang w:val="en-GB"/>
                              </w:rPr>
                              <m:t>β</m:t>
                            </m:r>
                            <m:d>
                              <m:dPr>
                                <m:ctrlPr>
                                  <w:rPr>
                                    <w:rFonts w:ascii="Cambria Math" w:hAnsi="Cambria Math" w:cs="Times New Roman"/>
                                    <w:i/>
                                    <w:sz w:val="20"/>
                                    <w:szCs w:val="20"/>
                                    <w:lang w:val="en-GB"/>
                                  </w:rPr>
                                </m:ctrlPr>
                              </m:dPr>
                              <m:e>
                                <m:r>
                                  <w:rPr>
                                    <w:rFonts w:ascii="Cambria Math" w:hAnsi="Cambria Math" w:cs="Times New Roman"/>
                                    <w:sz w:val="20"/>
                                    <w:szCs w:val="20"/>
                                    <w:lang w:val="en-GB"/>
                                  </w:rPr>
                                  <m:t>N-</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N</m:t>
                                    </m:r>
                                  </m:e>
                                  <m:sub>
                                    <m:r>
                                      <w:rPr>
                                        <w:rFonts w:ascii="Cambria Math" w:hAnsi="Cambria Math" w:cs="Times New Roman"/>
                                        <w:sz w:val="20"/>
                                        <w:szCs w:val="20"/>
                                        <w:lang w:val="en-GB"/>
                                      </w:rPr>
                                      <m:t>b</m:t>
                                    </m:r>
                                  </m:sub>
                                </m:sSub>
                              </m:e>
                            </m:d>
                          </m:e>
                        </m:d>
                      </m:sup>
                    </m:sSup>
                  </m:den>
                </m:f>
                <m:r>
                  <w:rPr>
                    <w:rFonts w:ascii="Cambria Math" w:eastAsiaTheme="minorEastAsia" w:hAnsi="Cambria Math" w:cs="Times New Roman"/>
                    <w:sz w:val="20"/>
                    <w:szCs w:val="20"/>
                    <w:lang w:val="en-GB"/>
                  </w:rPr>
                  <m:t xml:space="preserve"> </m:t>
                </m:r>
                <m:f>
                  <m:fPr>
                    <m:ctrlPr>
                      <w:rPr>
                        <w:rFonts w:ascii="Cambria Math" w:hAnsi="Cambria Math" w:cs="Times New Roman"/>
                        <w:i/>
                        <w:sz w:val="20"/>
                        <w:szCs w:val="20"/>
                        <w:lang w:val="en-GB"/>
                      </w:rPr>
                    </m:ctrlPr>
                  </m:fPr>
                  <m:num>
                    <m:r>
                      <w:rPr>
                        <w:rFonts w:ascii="Cambria Math" w:hAnsi="Cambria Math" w:cs="Times New Roman"/>
                        <w:sz w:val="20"/>
                        <w:szCs w:val="20"/>
                        <w:lang w:val="en-GB"/>
                      </w:rPr>
                      <m:t>dN</m:t>
                    </m:r>
                    <m:d>
                      <m:dPr>
                        <m:ctrlPr>
                          <w:rPr>
                            <w:rFonts w:ascii="Cambria Math" w:hAnsi="Cambria Math" w:cs="Times New Roman"/>
                            <w:i/>
                            <w:sz w:val="20"/>
                            <w:szCs w:val="20"/>
                            <w:lang w:val="en-GB"/>
                          </w:rPr>
                        </m:ctrlPr>
                      </m:dPr>
                      <m:e>
                        <m:r>
                          <w:rPr>
                            <w:rFonts w:ascii="Cambria Math" w:hAnsi="Cambria Math" w:cs="Times New Roman"/>
                            <w:sz w:val="20"/>
                            <w:szCs w:val="20"/>
                            <w:lang w:val="en-GB"/>
                          </w:rPr>
                          <m:t>h,d</m:t>
                        </m:r>
                      </m:e>
                    </m:d>
                  </m:num>
                  <m:den>
                    <m:r>
                      <w:rPr>
                        <w:rFonts w:ascii="Cambria Math" w:hAnsi="Cambria Math" w:cs="Times New Roman"/>
                        <w:sz w:val="20"/>
                        <w:szCs w:val="20"/>
                        <w:lang w:val="en-GB"/>
                      </w:rPr>
                      <m:t>d</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t</m:t>
                        </m:r>
                      </m:e>
                      <m:sub>
                        <m:r>
                          <w:rPr>
                            <w:rFonts w:ascii="Cambria Math" w:hAnsi="Cambria Math" w:cs="Times New Roman"/>
                            <w:sz w:val="20"/>
                            <w:szCs w:val="20"/>
                            <w:lang w:val="en-GB"/>
                          </w:rPr>
                          <m:t>h</m:t>
                        </m:r>
                      </m:sub>
                    </m:sSub>
                  </m:den>
                </m:f>
                <m:r>
                  <w:rPr>
                    <w:rFonts w:ascii="Cambria Math" w:hAnsi="Cambria Math" w:cs="Times New Roman"/>
                    <w:sz w:val="20"/>
                    <w:szCs w:val="20"/>
                    <w:lang w:val="en-GB"/>
                  </w:rPr>
                  <m:t xml:space="preserve"> if: </m:t>
                </m:r>
                <m:r>
                  <w:rPr>
                    <w:rFonts w:ascii="Cambria Math" w:eastAsiaTheme="minorEastAsia" w:hAnsi="Cambria Math" w:cs="Times New Roman"/>
                    <w:sz w:val="20"/>
                    <w:szCs w:val="20"/>
                    <w:lang w:val="en-GB"/>
                  </w:rPr>
                  <m:t>LAI</m:t>
                </m:r>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h,d</m:t>
                    </m:r>
                  </m:e>
                </m:d>
                <m:r>
                  <w:rPr>
                    <w:rFonts w:ascii="Cambria Math" w:eastAsiaTheme="minorEastAsia" w:hAnsi="Cambria Math" w:cs="Times New Roman"/>
                    <w:sz w:val="20"/>
                    <w:szCs w:val="20"/>
                    <w:lang w:val="en-GB"/>
                  </w:rPr>
                  <m:t>≤LA</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I</m:t>
                    </m:r>
                  </m:e>
                  <m:sub>
                    <m:r>
                      <w:rPr>
                        <w:rFonts w:ascii="Cambria Math" w:eastAsiaTheme="minorEastAsia" w:hAnsi="Cambria Math" w:cs="Times New Roman"/>
                        <w:sz w:val="20"/>
                        <w:szCs w:val="20"/>
                        <w:lang w:val="en-GB"/>
                      </w:rPr>
                      <m:t>max</m:t>
                    </m:r>
                  </m:sub>
                </m:sSub>
                <m:r>
                  <m:rPr>
                    <m:sty m:val="p"/>
                  </m:rPr>
                  <w:rPr>
                    <w:rFonts w:ascii="Cambria Math" w:eastAsiaTheme="minorEastAsia" w:hAnsi="Cambria Math" w:cs="Times New Roman"/>
                    <w:sz w:val="20"/>
                    <w:szCs w:val="20"/>
                    <w:lang w:val="en-GB"/>
                  </w:rPr>
                  <w:br/>
                </m:r>
              </m:oMath>
              <m:oMath>
                <m:f>
                  <m:fPr>
                    <m:ctrlPr>
                      <w:rPr>
                        <w:rFonts w:ascii="Cambria Math" w:hAnsi="Cambria Math" w:cs="Times New Roman"/>
                        <w:i/>
                        <w:sz w:val="20"/>
                        <w:szCs w:val="20"/>
                        <w:lang w:val="en-GB"/>
                      </w:rPr>
                    </m:ctrlPr>
                  </m:fPr>
                  <m:num>
                    <m:r>
                      <w:rPr>
                        <w:rFonts w:ascii="Cambria Math" w:hAnsi="Cambria Math" w:cs="Times New Roman"/>
                        <w:sz w:val="20"/>
                        <w:szCs w:val="20"/>
                        <w:lang w:val="en-GB"/>
                      </w:rPr>
                      <m:t>dLAI</m:t>
                    </m:r>
                    <m:d>
                      <m:dPr>
                        <m:ctrlPr>
                          <w:rPr>
                            <w:rFonts w:ascii="Cambria Math" w:hAnsi="Cambria Math" w:cs="Times New Roman"/>
                            <w:i/>
                            <w:sz w:val="20"/>
                            <w:szCs w:val="20"/>
                            <w:lang w:val="en-GB"/>
                          </w:rPr>
                        </m:ctrlPr>
                      </m:dPr>
                      <m:e>
                        <m:r>
                          <w:rPr>
                            <w:rFonts w:ascii="Cambria Math" w:hAnsi="Cambria Math" w:cs="Times New Roman"/>
                            <w:sz w:val="20"/>
                            <w:szCs w:val="20"/>
                            <w:lang w:val="en-GB"/>
                          </w:rPr>
                          <m:t>h,d</m:t>
                        </m:r>
                      </m:e>
                    </m:d>
                  </m:num>
                  <m:den>
                    <m:r>
                      <w:rPr>
                        <w:rFonts w:ascii="Cambria Math" w:hAnsi="Cambria Math" w:cs="Times New Roman"/>
                        <w:sz w:val="20"/>
                        <w:szCs w:val="20"/>
                        <w:lang w:val="en-GB"/>
                      </w:rPr>
                      <m:t>d</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t</m:t>
                        </m:r>
                      </m:e>
                      <m:sub>
                        <m:r>
                          <w:rPr>
                            <w:rFonts w:ascii="Cambria Math" w:hAnsi="Cambria Math" w:cs="Times New Roman"/>
                            <w:sz w:val="20"/>
                            <w:szCs w:val="20"/>
                            <w:lang w:val="en-GB"/>
                          </w:rPr>
                          <m:t>h</m:t>
                        </m:r>
                      </m:sub>
                    </m:sSub>
                  </m:den>
                </m:f>
                <m:r>
                  <w:rPr>
                    <w:rFonts w:ascii="Cambria Math" w:eastAsiaTheme="minorEastAsia" w:hAnsi="Cambria Math" w:cs="Times New Roman"/>
                    <w:sz w:val="20"/>
                    <w:szCs w:val="20"/>
                    <w:lang w:val="en-GB"/>
                  </w:rPr>
                  <m:t>=0      if:   LAI</m:t>
                </m:r>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h,d</m:t>
                    </m:r>
                  </m:e>
                </m:d>
                <m:r>
                  <w:rPr>
                    <w:rFonts w:ascii="Cambria Math" w:eastAsiaTheme="minorEastAsia" w:hAnsi="Cambria Math" w:cs="Times New Roman"/>
                    <w:sz w:val="20"/>
                    <w:szCs w:val="20"/>
                    <w:lang w:val="en-GB"/>
                  </w:rPr>
                  <m:t>&gt;LA</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I</m:t>
                    </m:r>
                  </m:e>
                  <m:sub>
                    <m:r>
                      <w:rPr>
                        <w:rFonts w:ascii="Cambria Math" w:eastAsiaTheme="minorEastAsia" w:hAnsi="Cambria Math" w:cs="Times New Roman"/>
                        <w:sz w:val="20"/>
                        <w:szCs w:val="20"/>
                        <w:lang w:val="en-GB"/>
                      </w:rPr>
                      <m:t>max.</m:t>
                    </m:r>
                  </m:sub>
                </m:sSub>
              </m:oMath>
            </m:oMathPara>
          </w:p>
        </w:tc>
        <w:tc>
          <w:tcPr>
            <w:tcW w:w="518" w:type="dxa"/>
            <w:vAlign w:val="center"/>
          </w:tcPr>
          <w:p w14:paraId="53016CFF" w14:textId="77777777" w:rsidR="006E1EF7" w:rsidRPr="006E1EF7" w:rsidRDefault="006E1EF7" w:rsidP="00F6146F">
            <w:pPr>
              <w:pStyle w:val="Caption"/>
              <w:keepNext/>
              <w:spacing w:line="360" w:lineRule="auto"/>
              <w:jc w:val="center"/>
              <w:rPr>
                <w:rFonts w:ascii="Times New Roman" w:eastAsiaTheme="minorEastAsia" w:hAnsi="Times New Roman" w:cs="Times New Roman"/>
                <w:i/>
                <w:sz w:val="20"/>
                <w:szCs w:val="20"/>
                <w:lang w:val="en-GB"/>
              </w:rPr>
            </w:pPr>
            <w:r w:rsidRPr="006E1EF7">
              <w:rPr>
                <w:rFonts w:eastAsiaTheme="minorEastAsia"/>
                <w:i/>
                <w:noProof/>
                <w:sz w:val="20"/>
                <w:lang w:val="en-GB"/>
              </w:rPr>
              <mc:AlternateContent>
                <mc:Choice Requires="wps">
                  <w:drawing>
                    <wp:anchor distT="0" distB="0" distL="114300" distR="114300" simplePos="0" relativeHeight="251659264" behindDoc="0" locked="0" layoutInCell="1" allowOverlap="1" wp14:anchorId="20CD5A64" wp14:editId="01116AB9">
                      <wp:simplePos x="0" y="0"/>
                      <wp:positionH relativeFrom="column">
                        <wp:posOffset>-210273</wp:posOffset>
                      </wp:positionH>
                      <wp:positionV relativeFrom="paragraph">
                        <wp:posOffset>40552</wp:posOffset>
                      </wp:positionV>
                      <wp:extent cx="78828" cy="914400"/>
                      <wp:effectExtent l="0" t="0" r="35560" b="19050"/>
                      <wp:wrapNone/>
                      <wp:docPr id="10" name="Right Brace 10"/>
                      <wp:cNvGraphicFramePr/>
                      <a:graphic xmlns:a="http://schemas.openxmlformats.org/drawingml/2006/main">
                        <a:graphicData uri="http://schemas.microsoft.com/office/word/2010/wordprocessingShape">
                          <wps:wsp>
                            <wps:cNvSpPr/>
                            <wps:spPr>
                              <a:xfrm>
                                <a:off x="0" y="0"/>
                                <a:ext cx="78828" cy="91440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B43A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6.55pt;margin-top:3.2pt;width:6.2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" adj="155" strokecolor="black [3213]"/>
                  </w:pict>
                </mc:Fallback>
              </mc:AlternateContent>
            </w:r>
          </w:p>
          <w:p w14:paraId="78BF5E88" w14:textId="206CF690" w:rsidR="006E1EF7" w:rsidRPr="006E1EF7" w:rsidRDefault="006E1EF7" w:rsidP="00A5138A">
            <w:pPr>
              <w:pStyle w:val="Caption"/>
              <w:keepNext/>
              <w:spacing w:line="360" w:lineRule="auto"/>
              <w:jc w:val="right"/>
              <w:rPr>
                <w:rFonts w:ascii="Times New Roman" w:eastAsiaTheme="minorEastAsia" w:hAnsi="Times New Roman" w:cs="Times New Roman"/>
                <w:i/>
                <w:sz w:val="20"/>
                <w:szCs w:val="20"/>
                <w:lang w:val="en-GB"/>
              </w:rPr>
            </w:pPr>
            <w:r w:rsidRPr="006E1EF7">
              <w:rPr>
                <w:rFonts w:ascii="Times New Roman" w:eastAsiaTheme="minorEastAsia" w:hAnsi="Times New Roman" w:cs="Times New Roman"/>
                <w:sz w:val="20"/>
                <w:szCs w:val="20"/>
                <w:lang w:val="en-GB"/>
              </w:rPr>
              <w:t>(</w:t>
            </w:r>
            <w:r w:rsidRPr="006E1EF7">
              <w:rPr>
                <w:rFonts w:eastAsiaTheme="minorEastAsia"/>
                <w:i/>
                <w:sz w:val="20"/>
                <w:lang w:val="en-GB"/>
              </w:rPr>
              <w:fldChar w:fldCharType="begin"/>
            </w:r>
            <w:r w:rsidRPr="006E1EF7">
              <w:rPr>
                <w:rFonts w:ascii="Times New Roman" w:eastAsiaTheme="minorEastAsia" w:hAnsi="Times New Roman" w:cs="Times New Roman"/>
                <w:sz w:val="20"/>
                <w:szCs w:val="20"/>
                <w:lang w:val="en-GB"/>
              </w:rPr>
              <w:instrText xml:space="preserve"> SEQ Equation \* ARABIC </w:instrText>
            </w:r>
            <w:r w:rsidRPr="006E1EF7">
              <w:rPr>
                <w:rFonts w:eastAsiaTheme="minorEastAsia"/>
                <w:i/>
                <w:sz w:val="20"/>
                <w:lang w:val="en-GB"/>
              </w:rPr>
              <w:fldChar w:fldCharType="separate"/>
            </w:r>
            <w:r w:rsidR="002E7A07">
              <w:rPr>
                <w:rFonts w:ascii="Times New Roman" w:eastAsiaTheme="minorEastAsia" w:hAnsi="Times New Roman" w:cs="Times New Roman"/>
                <w:noProof/>
                <w:sz w:val="20"/>
                <w:szCs w:val="20"/>
                <w:lang w:val="en-GB"/>
              </w:rPr>
              <w:t>5</w:t>
            </w:r>
            <w:r w:rsidRPr="006E1EF7">
              <w:rPr>
                <w:rFonts w:eastAsiaTheme="minorEastAsia"/>
                <w:i/>
                <w:sz w:val="20"/>
                <w:lang w:val="en-GB"/>
              </w:rPr>
              <w:fldChar w:fldCharType="end"/>
            </w:r>
            <w:r w:rsidRPr="006E1EF7">
              <w:rPr>
                <w:rFonts w:ascii="Times New Roman" w:eastAsiaTheme="minorEastAsia" w:hAnsi="Times New Roman" w:cs="Times New Roman"/>
                <w:sz w:val="20"/>
                <w:szCs w:val="20"/>
                <w:lang w:val="en-GB"/>
              </w:rPr>
              <w:t>)</w:t>
            </w:r>
          </w:p>
        </w:tc>
      </w:tr>
    </w:tbl>
    <w:p w14:paraId="480F4BA2" w14:textId="77777777" w:rsidR="008C0DC1" w:rsidRPr="008C0DC1" w:rsidRDefault="008C0DC1" w:rsidP="008C0DC1">
      <w:pPr>
        <w:spacing w:line="360" w:lineRule="auto"/>
        <w:jc w:val="both"/>
        <w:rPr>
          <w:rFonts w:eastAsiaTheme="minorEastAsia"/>
        </w:rPr>
      </w:pPr>
      <w:r w:rsidRPr="008C0DC1">
        <w:rPr>
          <w:rFonts w:eastAsiaTheme="minorEastAsia"/>
        </w:rPr>
        <w:t>The following equation gives the rate of dry fruit development of the plant: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9"/>
        <w:gridCol w:w="557"/>
      </w:tblGrid>
      <w:tr w:rsidR="008C0DC1" w:rsidRPr="008C0DC1" w14:paraId="4F310494" w14:textId="77777777" w:rsidTr="005938EA">
        <w:tc>
          <w:tcPr>
            <w:tcW w:w="8725" w:type="dxa"/>
          </w:tcPr>
          <w:p w14:paraId="0DD55DD2" w14:textId="77777777" w:rsidR="008C0DC1" w:rsidRPr="008C0DC1" w:rsidRDefault="00AA6C93" w:rsidP="00F6146F">
            <w:pPr>
              <w:spacing w:line="360" w:lineRule="auto"/>
              <w:jc w:val="both"/>
              <w:rPr>
                <w:rFonts w:ascii="Times New Roman" w:eastAsiaTheme="minorEastAsia" w:hAnsi="Times New Roman" w:cs="Times New Roman"/>
                <w:sz w:val="20"/>
                <w:szCs w:val="20"/>
                <w:lang w:val="en-GB"/>
              </w:rPr>
            </w:pPr>
            <m:oMathPara>
              <m:oMathParaPr>
                <m:jc m:val="left"/>
              </m:oMathParaPr>
              <m:oMath>
                <m:f>
                  <m:fPr>
                    <m:ctrlPr>
                      <w:rPr>
                        <w:rFonts w:ascii="Cambria Math" w:eastAsiaTheme="minorEastAsia" w:hAnsi="Cambria Math" w:cs="Times New Roman"/>
                        <w:i/>
                        <w:sz w:val="20"/>
                        <w:szCs w:val="20"/>
                        <w:lang w:val="en-GB"/>
                      </w:rPr>
                    </m:ctrlPr>
                  </m:fPr>
                  <m:num>
                    <m:r>
                      <w:rPr>
                        <w:rFonts w:ascii="Cambria Math" w:eastAsiaTheme="minorEastAsia" w:hAnsi="Cambria Math" w:cs="Times New Roman"/>
                        <w:sz w:val="20"/>
                        <w:szCs w:val="20"/>
                        <w:lang w:val="en-GB"/>
                      </w:rPr>
                      <m:t>d</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W</m:t>
                        </m:r>
                      </m:e>
                      <m:sub>
                        <m:r>
                          <w:rPr>
                            <w:rFonts w:ascii="Cambria Math" w:eastAsiaTheme="minorEastAsia" w:hAnsi="Cambria Math" w:cs="Times New Roman"/>
                            <w:sz w:val="20"/>
                            <w:szCs w:val="20"/>
                            <w:lang w:val="en-GB"/>
                          </w:rPr>
                          <m:t>f</m:t>
                        </m:r>
                      </m:sub>
                    </m:sSub>
                    <m:r>
                      <w:rPr>
                        <w:rFonts w:ascii="Cambria Math" w:eastAsiaTheme="minorEastAsia" w:hAnsi="Cambria Math" w:cs="Times New Roman"/>
                        <w:sz w:val="20"/>
                        <w:szCs w:val="20"/>
                        <w:lang w:val="en-GB"/>
                      </w:rPr>
                      <m:t>(d)</m:t>
                    </m:r>
                  </m:num>
                  <m:den>
                    <m:r>
                      <w:rPr>
                        <w:rFonts w:ascii="Cambria Math" w:eastAsiaTheme="minorEastAsia" w:hAnsi="Cambria Math" w:cs="Times New Roman"/>
                        <w:sz w:val="20"/>
                        <w:szCs w:val="20"/>
                        <w:lang w:val="en-GB"/>
                      </w:rPr>
                      <m:t>d</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t</m:t>
                        </m:r>
                      </m:e>
                      <m:sub>
                        <m:r>
                          <w:rPr>
                            <w:rFonts w:ascii="Cambria Math" w:eastAsiaTheme="minorEastAsia" w:hAnsi="Cambria Math" w:cs="Times New Roman"/>
                            <w:sz w:val="20"/>
                            <w:szCs w:val="20"/>
                            <w:lang w:val="en-GB"/>
                          </w:rPr>
                          <m:t>d</m:t>
                        </m:r>
                      </m:sub>
                    </m:sSub>
                  </m:den>
                </m:f>
                <m:r>
                  <w:rPr>
                    <w:rFonts w:ascii="Cambria Math" w:eastAsiaTheme="minorEastAsia" w:hAnsi="Cambria Math" w:cs="Times New Roman"/>
                    <w:sz w:val="20"/>
                    <w:szCs w:val="20"/>
                    <w:lang w:val="en-GB"/>
                  </w:rPr>
                  <m:t>=G</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R</m:t>
                    </m:r>
                  </m:e>
                  <m:sub>
                    <m:r>
                      <w:rPr>
                        <w:rFonts w:ascii="Cambria Math" w:eastAsiaTheme="minorEastAsia" w:hAnsi="Cambria Math" w:cs="Times New Roman"/>
                        <w:sz w:val="20"/>
                        <w:szCs w:val="20"/>
                        <w:lang w:val="en-GB"/>
                      </w:rPr>
                      <m:t>net</m:t>
                    </m:r>
                  </m:sub>
                </m:sSub>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d</m:t>
                    </m:r>
                  </m:e>
                </m:d>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f</m:t>
                    </m:r>
                  </m:sub>
                </m:sSub>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f</m:t>
                    </m:r>
                  </m:e>
                  <m:sub>
                    <m:r>
                      <w:rPr>
                        <w:rFonts w:ascii="Cambria Math" w:eastAsiaTheme="minorEastAsia" w:hAnsi="Cambria Math" w:cs="Times New Roman"/>
                        <w:sz w:val="20"/>
                        <w:szCs w:val="20"/>
                        <w:lang w:val="en-GB"/>
                      </w:rPr>
                      <m:t>f</m:t>
                    </m:r>
                  </m:sub>
                </m:sSub>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T</m:t>
                        </m:r>
                      </m:e>
                      <m:sub>
                        <m:r>
                          <w:rPr>
                            <w:rFonts w:ascii="Cambria Math" w:eastAsiaTheme="minorEastAsia" w:hAnsi="Cambria Math" w:cs="Times New Roman"/>
                            <w:sz w:val="20"/>
                            <w:szCs w:val="20"/>
                            <w:lang w:val="en-GB"/>
                          </w:rPr>
                          <m:t>d</m:t>
                        </m:r>
                      </m:sub>
                    </m:sSub>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d</m:t>
                        </m:r>
                      </m:e>
                    </m:d>
                  </m:e>
                </m:d>
                <m:r>
                  <w:rPr>
                    <w:rFonts w:ascii="Cambria Math" w:eastAsiaTheme="minorEastAsia" w:hAnsi="Cambria Math" w:cs="Times New Roman"/>
                    <w:sz w:val="20"/>
                    <w:szCs w:val="20"/>
                    <w:lang w:val="en-GB"/>
                  </w:rPr>
                  <m:t>(1-</m:t>
                </m:r>
                <m:sSup>
                  <m:sSupPr>
                    <m:ctrlPr>
                      <w:rPr>
                        <w:rFonts w:ascii="Cambria Math" w:eastAsiaTheme="minorEastAsia" w:hAnsi="Cambria Math" w:cs="Times New Roman"/>
                        <w:i/>
                        <w:sz w:val="20"/>
                        <w:szCs w:val="20"/>
                        <w:lang w:val="en-GB"/>
                      </w:rPr>
                    </m:ctrlPr>
                  </m:sSupPr>
                  <m:e>
                    <m:r>
                      <w:rPr>
                        <w:rFonts w:ascii="Cambria Math" w:eastAsiaTheme="minorEastAsia" w:hAnsi="Cambria Math" w:cs="Times New Roman"/>
                        <w:sz w:val="20"/>
                        <w:szCs w:val="20"/>
                        <w:lang w:val="en-GB"/>
                      </w:rPr>
                      <m:t>e</m:t>
                    </m:r>
                  </m:e>
                  <m:sup>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-ν</m:t>
                        </m:r>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N</m:t>
                            </m:r>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d</m:t>
                                </m:r>
                              </m:e>
                            </m:d>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N</m:t>
                                </m:r>
                              </m:e>
                              <m:sub>
                                <m:r>
                                  <w:rPr>
                                    <w:rFonts w:ascii="Cambria Math" w:eastAsiaTheme="minorEastAsia" w:hAnsi="Cambria Math" w:cs="Times New Roman"/>
                                    <w:sz w:val="20"/>
                                    <w:szCs w:val="20"/>
                                    <w:lang w:val="en-GB"/>
                                  </w:rPr>
                                  <m:t>FF</m:t>
                                </m:r>
                              </m:sub>
                            </m:sSub>
                          </m:e>
                        </m:d>
                      </m:e>
                    </m:d>
                  </m:sup>
                </m:sSup>
                <m:r>
                  <w:rPr>
                    <w:rFonts w:ascii="Cambria Math" w:eastAsiaTheme="minorEastAsia" w:hAnsi="Cambria Math" w:cs="Times New Roman"/>
                    <w:sz w:val="20"/>
                    <w:szCs w:val="20"/>
                    <w:lang w:val="en-GB"/>
                  </w:rPr>
                  <m:t>g</m:t>
                </m:r>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T</m:t>
                        </m:r>
                      </m:e>
                      <m:sub>
                        <m:r>
                          <w:rPr>
                            <w:rFonts w:ascii="Cambria Math" w:eastAsiaTheme="minorEastAsia" w:hAnsi="Cambria Math" w:cs="Times New Roman"/>
                            <w:sz w:val="20"/>
                            <w:szCs w:val="20"/>
                            <w:lang w:val="en-GB"/>
                          </w:rPr>
                          <m:t>GH</m:t>
                        </m:r>
                      </m:sub>
                    </m:sSub>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d</m:t>
                        </m:r>
                      </m:e>
                    </m:d>
                  </m:e>
                </m:d>
                <m:r>
                  <w:rPr>
                    <w:rFonts w:ascii="Cambria Math" w:eastAsiaTheme="minorEastAsia" w:hAnsi="Cambria Math" w:cs="Times New Roman"/>
                    <w:sz w:val="20"/>
                    <w:szCs w:val="20"/>
                    <w:lang w:val="en-GB"/>
                  </w:rPr>
                  <m:t xml:space="preserve">  if:  N&gt;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N</m:t>
                    </m:r>
                  </m:e>
                  <m:sub>
                    <m:r>
                      <w:rPr>
                        <w:rFonts w:ascii="Cambria Math" w:eastAsiaTheme="minorEastAsia" w:hAnsi="Cambria Math" w:cs="Times New Roman"/>
                        <w:sz w:val="20"/>
                        <w:szCs w:val="20"/>
                        <w:lang w:val="en-GB"/>
                      </w:rPr>
                      <m:t>FF</m:t>
                    </m:r>
                  </m:sub>
                </m:sSub>
              </m:oMath>
            </m:oMathPara>
          </w:p>
        </w:tc>
        <w:tc>
          <w:tcPr>
            <w:tcW w:w="625" w:type="dxa"/>
          </w:tcPr>
          <w:p w14:paraId="4D7CFE35" w14:textId="46D1D738" w:rsidR="008C0DC1" w:rsidRPr="008C0DC1" w:rsidRDefault="008C0DC1" w:rsidP="00F6146F">
            <w:pPr>
              <w:pStyle w:val="Caption"/>
              <w:keepNext/>
              <w:spacing w:line="360" w:lineRule="auto"/>
              <w:jc w:val="right"/>
              <w:rPr>
                <w:rFonts w:ascii="Times New Roman" w:eastAsiaTheme="minorEastAsia" w:hAnsi="Times New Roman" w:cs="Times New Roman"/>
                <w:i/>
                <w:sz w:val="20"/>
                <w:szCs w:val="20"/>
                <w:lang w:val="en-GB"/>
              </w:rPr>
            </w:pPr>
            <w:r w:rsidRPr="008C0DC1">
              <w:rPr>
                <w:rFonts w:ascii="Times New Roman" w:eastAsiaTheme="minorEastAsia" w:hAnsi="Times New Roman" w:cs="Times New Roman"/>
                <w:sz w:val="20"/>
                <w:szCs w:val="20"/>
                <w:lang w:val="en-GB"/>
              </w:rPr>
              <w:t>(</w:t>
            </w:r>
            <w:r w:rsidRPr="008C0DC1">
              <w:rPr>
                <w:rFonts w:eastAsiaTheme="minorEastAsia"/>
                <w:i/>
                <w:sz w:val="20"/>
                <w:lang w:val="en-GB"/>
              </w:rPr>
              <w:fldChar w:fldCharType="begin"/>
            </w:r>
            <w:r w:rsidRPr="008C0DC1">
              <w:rPr>
                <w:rFonts w:ascii="Times New Roman" w:eastAsiaTheme="minorEastAsia" w:hAnsi="Times New Roman" w:cs="Times New Roman"/>
                <w:sz w:val="20"/>
                <w:szCs w:val="20"/>
                <w:lang w:val="en-GB"/>
              </w:rPr>
              <w:instrText xml:space="preserve"> SEQ Equation \* ARABIC </w:instrText>
            </w:r>
            <w:r w:rsidRPr="008C0DC1">
              <w:rPr>
                <w:rFonts w:eastAsiaTheme="minorEastAsia"/>
                <w:i/>
                <w:sz w:val="20"/>
                <w:lang w:val="en-GB"/>
              </w:rPr>
              <w:fldChar w:fldCharType="separate"/>
            </w:r>
            <w:r w:rsidR="002E7A07">
              <w:rPr>
                <w:rFonts w:ascii="Times New Roman" w:eastAsiaTheme="minorEastAsia" w:hAnsi="Times New Roman" w:cs="Times New Roman"/>
                <w:noProof/>
                <w:sz w:val="20"/>
                <w:szCs w:val="20"/>
                <w:lang w:val="en-GB"/>
              </w:rPr>
              <w:t>6</w:t>
            </w:r>
            <w:r w:rsidRPr="008C0DC1">
              <w:rPr>
                <w:rFonts w:eastAsiaTheme="minorEastAsia"/>
                <w:i/>
                <w:sz w:val="20"/>
                <w:lang w:val="en-GB"/>
              </w:rPr>
              <w:fldChar w:fldCharType="end"/>
            </w:r>
            <w:r w:rsidRPr="008C0DC1">
              <w:rPr>
                <w:rFonts w:ascii="Times New Roman" w:eastAsiaTheme="minorEastAsia" w:hAnsi="Times New Roman" w:cs="Times New Roman"/>
                <w:sz w:val="20"/>
                <w:szCs w:val="20"/>
                <w:lang w:val="en-GB"/>
              </w:rPr>
              <w:t>)</w:t>
            </w:r>
          </w:p>
        </w:tc>
      </w:tr>
    </w:tbl>
    <w:p w14:paraId="7A9BDFF2" w14:textId="278128D3" w:rsidR="00FF7746" w:rsidRPr="00FF7746" w:rsidRDefault="00FF7746" w:rsidP="00FF7746">
      <w:pPr>
        <w:spacing w:line="360" w:lineRule="auto"/>
        <w:jc w:val="both"/>
        <w:rPr>
          <w:rFonts w:eastAsiaTheme="minorEastAsia"/>
        </w:rPr>
      </w:pPr>
      <w:r w:rsidRPr="00FF7746">
        <w:rPr>
          <w:rFonts w:eastAsiaTheme="minorEastAsia"/>
        </w:rPr>
        <w:t xml:space="preserve">The </w:t>
      </w:r>
      <w:r w:rsidR="002E53A3">
        <w:rPr>
          <w:rFonts w:eastAsiaTheme="minorEastAsia"/>
        </w:rPr>
        <w:t>following equation calculates the total weight of the plant</w:t>
      </w:r>
      <w:r w:rsidRPr="00FF7746">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gridCol w:w="572"/>
      </w:tblGrid>
      <w:tr w:rsidR="00FF7746" w:rsidRPr="00FF7746" w14:paraId="30E54FC3" w14:textId="77777777" w:rsidTr="00F6146F">
        <w:tc>
          <w:tcPr>
            <w:tcW w:w="8725" w:type="dxa"/>
          </w:tcPr>
          <w:p w14:paraId="48EB34FC" w14:textId="77777777" w:rsidR="00FF7746" w:rsidRPr="00FF7746" w:rsidRDefault="00AA6C93" w:rsidP="00F6146F">
            <w:pPr>
              <w:spacing w:line="360" w:lineRule="auto"/>
              <w:jc w:val="both"/>
              <w:rPr>
                <w:rFonts w:ascii="Times New Roman" w:eastAsiaTheme="minorEastAsia" w:hAnsi="Times New Roman" w:cs="Times New Roman"/>
                <w:sz w:val="20"/>
                <w:szCs w:val="20"/>
                <w:lang w:val="en-GB"/>
              </w:rPr>
            </w:pPr>
            <m:oMathPara>
              <m:oMathParaPr>
                <m:jc m:val="left"/>
              </m:oMathParaPr>
              <m:oMath>
                <m:f>
                  <m:fPr>
                    <m:ctrlPr>
                      <w:rPr>
                        <w:rFonts w:ascii="Cambria Math" w:hAnsi="Cambria Math" w:cs="Times New Roman"/>
                        <w:i/>
                        <w:sz w:val="20"/>
                        <w:szCs w:val="20"/>
                        <w:lang w:val="en-GB"/>
                      </w:rPr>
                    </m:ctrlPr>
                  </m:fPr>
                  <m:num>
                    <m:r>
                      <w:rPr>
                        <w:rFonts w:ascii="Cambria Math" w:hAnsi="Cambria Math" w:cs="Times New Roman"/>
                        <w:sz w:val="20"/>
                        <w:szCs w:val="20"/>
                        <w:lang w:val="en-GB"/>
                      </w:rPr>
                      <m:t>dW</m:t>
                    </m:r>
                    <m:d>
                      <m:dPr>
                        <m:ctrlPr>
                          <w:rPr>
                            <w:rFonts w:ascii="Cambria Math" w:hAnsi="Cambria Math" w:cs="Times New Roman"/>
                            <w:i/>
                            <w:sz w:val="20"/>
                            <w:szCs w:val="20"/>
                            <w:lang w:val="en-GB"/>
                          </w:rPr>
                        </m:ctrlPr>
                      </m:dPr>
                      <m:e>
                        <m:r>
                          <w:rPr>
                            <w:rFonts w:ascii="Cambria Math" w:hAnsi="Cambria Math" w:cs="Times New Roman"/>
                            <w:sz w:val="20"/>
                            <w:szCs w:val="20"/>
                            <w:lang w:val="en-GB"/>
                          </w:rPr>
                          <m:t>d</m:t>
                        </m:r>
                      </m:e>
                    </m:d>
                  </m:num>
                  <m:den>
                    <m:r>
                      <w:rPr>
                        <w:rFonts w:ascii="Cambria Math" w:hAnsi="Cambria Math" w:cs="Times New Roman"/>
                        <w:sz w:val="20"/>
                        <w:szCs w:val="20"/>
                        <w:lang w:val="en-GB"/>
                      </w:rPr>
                      <m:t>dt</m:t>
                    </m:r>
                  </m:den>
                </m:f>
                <m:r>
                  <w:rPr>
                    <w:rFonts w:ascii="Cambria Math" w:hAnsi="Cambria Math" w:cs="Times New Roman"/>
                    <w:sz w:val="20"/>
                    <w:szCs w:val="20"/>
                    <w:lang w:val="en-GB"/>
                  </w:rPr>
                  <m:t xml:space="preserve">= </m:t>
                </m:r>
                <m:f>
                  <m:fPr>
                    <m:ctrlPr>
                      <w:rPr>
                        <w:rFonts w:ascii="Cambria Math" w:eastAsiaTheme="minorEastAsia" w:hAnsi="Cambria Math" w:cs="Times New Roman"/>
                        <w:i/>
                        <w:sz w:val="20"/>
                        <w:szCs w:val="20"/>
                        <w:lang w:val="en-GB"/>
                      </w:rPr>
                    </m:ctrlPr>
                  </m:fPr>
                  <m:num>
                    <m:r>
                      <w:rPr>
                        <w:rFonts w:ascii="Cambria Math" w:eastAsiaTheme="minorEastAsia" w:hAnsi="Cambria Math" w:cs="Times New Roman"/>
                        <w:sz w:val="20"/>
                        <w:szCs w:val="20"/>
                        <w:lang w:val="en-GB"/>
                      </w:rPr>
                      <m:t>d</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W</m:t>
                        </m:r>
                      </m:e>
                      <m:sub>
                        <m:r>
                          <w:rPr>
                            <w:rFonts w:ascii="Cambria Math" w:eastAsiaTheme="minorEastAsia" w:hAnsi="Cambria Math" w:cs="Times New Roman"/>
                            <w:sz w:val="20"/>
                            <w:szCs w:val="20"/>
                            <w:lang w:val="en-GB"/>
                          </w:rPr>
                          <m:t>f</m:t>
                        </m:r>
                      </m:sub>
                    </m:sSub>
                    <m:r>
                      <w:rPr>
                        <w:rFonts w:ascii="Cambria Math" w:eastAsiaTheme="minorEastAsia" w:hAnsi="Cambria Math" w:cs="Times New Roman"/>
                        <w:sz w:val="20"/>
                        <w:szCs w:val="20"/>
                        <w:lang w:val="en-GB"/>
                      </w:rPr>
                      <m:t>(d)</m:t>
                    </m:r>
                  </m:num>
                  <m:den>
                    <m:r>
                      <w:rPr>
                        <w:rFonts w:ascii="Cambria Math" w:eastAsiaTheme="minorEastAsia" w:hAnsi="Cambria Math" w:cs="Times New Roman"/>
                        <w:sz w:val="20"/>
                        <w:szCs w:val="20"/>
                        <w:lang w:val="en-GB"/>
                      </w:rPr>
                      <m:t>dt</m:t>
                    </m:r>
                  </m:den>
                </m:f>
                <m:r>
                  <w:rPr>
                    <w:rFonts w:ascii="Cambria Math" w:hAnsi="Cambria Math" w:cs="Times New Roman"/>
                    <w:sz w:val="20"/>
                    <w:szCs w:val="20"/>
                    <w:lang w:val="en-GB"/>
                  </w:rPr>
                  <m:t>+</m:t>
                </m:r>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V</m:t>
                        </m:r>
                      </m:e>
                      <m:sub>
                        <m:r>
                          <w:rPr>
                            <w:rFonts w:ascii="Cambria Math" w:hAnsi="Cambria Math" w:cs="Times New Roman"/>
                            <w:sz w:val="20"/>
                            <w:szCs w:val="20"/>
                            <w:lang w:val="en-GB"/>
                          </w:rPr>
                          <m:t>max</m:t>
                        </m:r>
                      </m:sub>
                    </m:sSub>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p</m:t>
                        </m:r>
                      </m:e>
                      <m:sub>
                        <m:r>
                          <w:rPr>
                            <w:rFonts w:ascii="Cambria Math" w:hAnsi="Cambria Math" w:cs="Times New Roman"/>
                            <w:sz w:val="20"/>
                            <w:szCs w:val="20"/>
                            <w:lang w:val="en-GB"/>
                          </w:rPr>
                          <m:t>l</m:t>
                        </m:r>
                      </m:sub>
                    </m:sSub>
                  </m:e>
                </m:d>
                <m:sSub>
                  <m:sSubPr>
                    <m:ctrlPr>
                      <w:rPr>
                        <w:rFonts w:ascii="Cambria Math" w:hAnsi="Cambria Math" w:cs="Times New Roman"/>
                        <w:i/>
                        <w:sz w:val="20"/>
                        <w:szCs w:val="20"/>
                        <w:lang w:val="en-GB"/>
                      </w:rPr>
                    </m:ctrlPr>
                  </m:sSubPr>
                  <m:e>
                    <m:r>
                      <w:rPr>
                        <w:rFonts w:ascii="Cambria Math" w:hAnsi="Cambria Math" w:cs="Times New Roman"/>
                        <w:sz w:val="20"/>
                        <w:szCs w:val="20"/>
                        <w:lang w:val="en-GB"/>
                      </w:rPr>
                      <m:t>p</m:t>
                    </m:r>
                  </m:e>
                  <m:sub>
                    <m:r>
                      <w:rPr>
                        <w:rFonts w:ascii="Cambria Math" w:hAnsi="Cambria Math" w:cs="Times New Roman"/>
                        <w:sz w:val="20"/>
                        <w:szCs w:val="20"/>
                        <w:lang w:val="en-GB"/>
                      </w:rPr>
                      <m:t>d</m:t>
                    </m:r>
                  </m:sub>
                </m:sSub>
                <m:f>
                  <m:fPr>
                    <m:ctrlPr>
                      <w:rPr>
                        <w:rFonts w:ascii="Cambria Math" w:hAnsi="Cambria Math" w:cs="Times New Roman"/>
                        <w:i/>
                        <w:sz w:val="20"/>
                        <w:szCs w:val="20"/>
                        <w:lang w:val="en-GB"/>
                      </w:rPr>
                    </m:ctrlPr>
                  </m:fPr>
                  <m:num>
                    <m:r>
                      <w:rPr>
                        <w:rFonts w:ascii="Cambria Math" w:hAnsi="Cambria Math" w:cs="Times New Roman"/>
                        <w:sz w:val="20"/>
                        <w:szCs w:val="20"/>
                        <w:lang w:val="en-GB"/>
                      </w:rPr>
                      <m:t>dN</m:t>
                    </m:r>
                    <m:d>
                      <m:dPr>
                        <m:ctrlPr>
                          <w:rPr>
                            <w:rFonts w:ascii="Cambria Math" w:hAnsi="Cambria Math" w:cs="Times New Roman"/>
                            <w:i/>
                            <w:sz w:val="20"/>
                            <w:szCs w:val="20"/>
                            <w:lang w:val="en-GB"/>
                          </w:rPr>
                        </m:ctrlPr>
                      </m:dPr>
                      <m:e>
                        <m:r>
                          <w:rPr>
                            <w:rFonts w:ascii="Cambria Math" w:hAnsi="Cambria Math" w:cs="Times New Roman"/>
                            <w:sz w:val="20"/>
                            <w:szCs w:val="20"/>
                            <w:lang w:val="en-GB"/>
                          </w:rPr>
                          <m:t>d</m:t>
                        </m:r>
                      </m:e>
                    </m:d>
                  </m:num>
                  <m:den>
                    <m:r>
                      <w:rPr>
                        <w:rFonts w:ascii="Cambria Math" w:hAnsi="Cambria Math" w:cs="Times New Roman"/>
                        <w:sz w:val="20"/>
                        <w:szCs w:val="20"/>
                        <w:lang w:val="en-GB"/>
                      </w:rPr>
                      <m:t>dt</m:t>
                    </m:r>
                  </m:den>
                </m:f>
              </m:oMath>
            </m:oMathPara>
          </w:p>
        </w:tc>
        <w:tc>
          <w:tcPr>
            <w:tcW w:w="625" w:type="dxa"/>
          </w:tcPr>
          <w:p w14:paraId="025C7AF2" w14:textId="6753E702" w:rsidR="00FF7746" w:rsidRPr="00FF7746" w:rsidRDefault="00FF7746" w:rsidP="00F6146F">
            <w:pPr>
              <w:pStyle w:val="Caption"/>
              <w:keepNext/>
              <w:spacing w:line="360" w:lineRule="auto"/>
              <w:jc w:val="right"/>
              <w:rPr>
                <w:rFonts w:ascii="Times New Roman" w:eastAsiaTheme="minorEastAsia" w:hAnsi="Times New Roman" w:cs="Times New Roman"/>
                <w:i/>
                <w:sz w:val="20"/>
                <w:szCs w:val="20"/>
                <w:lang w:val="en-GB"/>
              </w:rPr>
            </w:pPr>
            <w:r w:rsidRPr="00FF7746">
              <w:rPr>
                <w:rFonts w:ascii="Times New Roman" w:eastAsiaTheme="minorEastAsia" w:hAnsi="Times New Roman" w:cs="Times New Roman"/>
                <w:sz w:val="20"/>
                <w:szCs w:val="20"/>
                <w:lang w:val="en-GB"/>
              </w:rPr>
              <w:t>(</w:t>
            </w:r>
            <w:r w:rsidRPr="00FF7746">
              <w:rPr>
                <w:rFonts w:eastAsiaTheme="minorEastAsia"/>
                <w:i/>
                <w:sz w:val="20"/>
                <w:lang w:val="en-GB"/>
              </w:rPr>
              <w:fldChar w:fldCharType="begin"/>
            </w:r>
            <w:r w:rsidRPr="00FF7746">
              <w:rPr>
                <w:rFonts w:ascii="Times New Roman" w:eastAsiaTheme="minorEastAsia" w:hAnsi="Times New Roman" w:cs="Times New Roman"/>
                <w:sz w:val="20"/>
                <w:szCs w:val="20"/>
                <w:lang w:val="en-GB"/>
              </w:rPr>
              <w:instrText xml:space="preserve"> SEQ Equation \* ARABIC </w:instrText>
            </w:r>
            <w:r w:rsidRPr="00FF7746">
              <w:rPr>
                <w:rFonts w:eastAsiaTheme="minorEastAsia"/>
                <w:i/>
                <w:sz w:val="20"/>
                <w:lang w:val="en-GB"/>
              </w:rPr>
              <w:fldChar w:fldCharType="separate"/>
            </w:r>
            <w:r w:rsidR="002E7A07">
              <w:rPr>
                <w:rFonts w:ascii="Times New Roman" w:eastAsiaTheme="minorEastAsia" w:hAnsi="Times New Roman" w:cs="Times New Roman"/>
                <w:noProof/>
                <w:sz w:val="20"/>
                <w:szCs w:val="20"/>
                <w:lang w:val="en-GB"/>
              </w:rPr>
              <w:t>7</w:t>
            </w:r>
            <w:r w:rsidRPr="00FF7746">
              <w:rPr>
                <w:rFonts w:eastAsiaTheme="minorEastAsia"/>
                <w:i/>
                <w:sz w:val="20"/>
                <w:lang w:val="en-GB"/>
              </w:rPr>
              <w:fldChar w:fldCharType="end"/>
            </w:r>
            <w:r w:rsidRPr="00FF7746">
              <w:rPr>
                <w:rFonts w:ascii="Times New Roman" w:eastAsiaTheme="minorEastAsia" w:hAnsi="Times New Roman" w:cs="Times New Roman"/>
                <w:sz w:val="20"/>
                <w:szCs w:val="20"/>
                <w:lang w:val="en-GB"/>
              </w:rPr>
              <w:t>)</w:t>
            </w:r>
          </w:p>
        </w:tc>
      </w:tr>
    </w:tbl>
    <w:p w14:paraId="521335F9" w14:textId="11C18EDF" w:rsidR="00932D49" w:rsidRPr="009F5EF8" w:rsidRDefault="000F4E06" w:rsidP="00932D49">
      <w:pPr>
        <w:spacing w:line="360" w:lineRule="auto"/>
        <w:jc w:val="both"/>
        <w:rPr>
          <w:rFonts w:eastAsiaTheme="minorEastAsia"/>
        </w:rPr>
      </w:pPr>
      <w:r>
        <w:rPr>
          <w:rFonts w:eastAsiaTheme="minorEastAsia"/>
        </w:rPr>
        <w:t>T</w:t>
      </w:r>
      <w:r w:rsidR="002E53A3">
        <w:rPr>
          <w:rFonts w:eastAsiaTheme="minorEastAsia"/>
        </w:rPr>
        <w:t>he</w:t>
      </w:r>
      <w:r>
        <w:rPr>
          <w:rFonts w:eastAsiaTheme="minorEastAsia"/>
        </w:rPr>
        <w:t xml:space="preserve"> t</w:t>
      </w:r>
      <w:r w:rsidRPr="000F4E06">
        <w:rPr>
          <w:rFonts w:eastAsiaTheme="minorEastAsia"/>
        </w:rPr>
        <w:t xml:space="preserve">otal mature fruit weight </w:t>
      </w:r>
      <w:r w:rsidR="00932D49" w:rsidRPr="009F5EF8">
        <w:rPr>
          <w:rFonts w:eastAsiaTheme="minorEastAsia"/>
        </w:rPr>
        <w:t>is given as</w:t>
      </w:r>
      <w:r w:rsidR="00A71BBB">
        <w:rPr>
          <w:rFonts w:eastAsiaTheme="minorEastAsia"/>
        </w:rPr>
        <w:t xml:space="preserve"> follows</w:t>
      </w:r>
      <w:r w:rsidR="00932D49" w:rsidRPr="009F5EF8">
        <w:rPr>
          <w:rFonts w:eastAsiaTheme="minorEastAsi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8"/>
        <w:gridCol w:w="628"/>
      </w:tblGrid>
      <w:tr w:rsidR="00932D49" w:rsidRPr="00932D49" w14:paraId="6D044811" w14:textId="77777777" w:rsidTr="00E734D6">
        <w:tc>
          <w:tcPr>
            <w:tcW w:w="8635" w:type="dxa"/>
          </w:tcPr>
          <w:p w14:paraId="460A7CC1" w14:textId="77777777" w:rsidR="00932D49" w:rsidRPr="00932D49" w:rsidRDefault="00AA6C93" w:rsidP="00F6146F">
            <w:pPr>
              <w:spacing w:line="360" w:lineRule="auto"/>
              <w:jc w:val="both"/>
              <w:rPr>
                <w:rFonts w:ascii="Times New Roman" w:eastAsiaTheme="minorEastAsia" w:hAnsi="Times New Roman" w:cs="Times New Roman"/>
                <w:sz w:val="20"/>
                <w:szCs w:val="20"/>
                <w:lang w:val="en-GB"/>
              </w:rPr>
            </w:pPr>
            <m:oMathPara>
              <m:oMathParaPr>
                <m:jc m:val="left"/>
              </m:oMathParaPr>
              <m:oMath>
                <m:f>
                  <m:fPr>
                    <m:ctrlPr>
                      <w:rPr>
                        <w:rFonts w:ascii="Cambria Math" w:hAnsi="Cambria Math" w:cs="Times New Roman"/>
                        <w:i/>
                        <w:sz w:val="20"/>
                        <w:szCs w:val="20"/>
                        <w:lang w:val="en-GB"/>
                      </w:rPr>
                    </m:ctrlPr>
                  </m:fPr>
                  <m:num>
                    <m:sSub>
                      <m:sSubPr>
                        <m:ctrlPr>
                          <w:rPr>
                            <w:rFonts w:ascii="Cambria Math" w:hAnsi="Cambria Math" w:cs="Times New Roman"/>
                            <w:i/>
                            <w:sz w:val="20"/>
                            <w:szCs w:val="20"/>
                            <w:lang w:val="en-GB"/>
                          </w:rPr>
                        </m:ctrlPr>
                      </m:sSubPr>
                      <m:e>
                        <m:r>
                          <w:rPr>
                            <w:rFonts w:ascii="Cambria Math" w:hAnsi="Cambria Math" w:cs="Times New Roman"/>
                            <w:sz w:val="20"/>
                            <w:szCs w:val="20"/>
                            <w:lang w:val="en-GB"/>
                          </w:rPr>
                          <m:t>W</m:t>
                        </m:r>
                      </m:e>
                      <m:sub>
                        <m:r>
                          <w:rPr>
                            <w:rFonts w:ascii="Cambria Math" w:hAnsi="Cambria Math" w:cs="Times New Roman"/>
                            <w:sz w:val="20"/>
                            <w:szCs w:val="20"/>
                            <w:lang w:val="en-GB"/>
                          </w:rPr>
                          <m:t>M</m:t>
                        </m:r>
                      </m:sub>
                    </m:sSub>
                    <m:d>
                      <m:dPr>
                        <m:ctrlPr>
                          <w:rPr>
                            <w:rFonts w:ascii="Cambria Math" w:hAnsi="Cambria Math" w:cs="Times New Roman"/>
                            <w:i/>
                            <w:sz w:val="20"/>
                            <w:szCs w:val="20"/>
                            <w:lang w:val="en-GB"/>
                          </w:rPr>
                        </m:ctrlPr>
                      </m:dPr>
                      <m:e>
                        <m:r>
                          <w:rPr>
                            <w:rFonts w:ascii="Cambria Math" w:hAnsi="Cambria Math" w:cs="Times New Roman"/>
                            <w:sz w:val="20"/>
                            <w:szCs w:val="20"/>
                            <w:lang w:val="en-GB"/>
                          </w:rPr>
                          <m:t>d</m:t>
                        </m:r>
                      </m:e>
                    </m:d>
                  </m:num>
                  <m:den>
                    <m:r>
                      <w:rPr>
                        <w:rFonts w:ascii="Cambria Math" w:hAnsi="Cambria Math" w:cs="Times New Roman"/>
                        <w:sz w:val="20"/>
                        <w:szCs w:val="20"/>
                        <w:lang w:val="en-GB"/>
                      </w:rPr>
                      <m:t>dt</m:t>
                    </m:r>
                  </m:den>
                </m:f>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D</m:t>
                    </m:r>
                  </m:e>
                  <m:sub>
                    <m:r>
                      <w:rPr>
                        <w:rFonts w:ascii="Cambria Math" w:hAnsi="Cambria Math" w:cs="Times New Roman"/>
                        <w:sz w:val="20"/>
                        <w:szCs w:val="20"/>
                        <w:lang w:val="en-GB"/>
                      </w:rPr>
                      <m:t>F</m:t>
                    </m:r>
                  </m:sub>
                </m:sSub>
                <m:sSub>
                  <m:sSubPr>
                    <m:ctrlPr>
                      <w:rPr>
                        <w:rFonts w:ascii="Cambria Math" w:hAnsi="Cambria Math" w:cs="Times New Roman"/>
                        <w:i/>
                        <w:sz w:val="20"/>
                        <w:szCs w:val="20"/>
                        <w:lang w:val="en-GB"/>
                      </w:rPr>
                    </m:ctrlPr>
                  </m:sSubPr>
                  <m:e>
                    <m:r>
                      <w:rPr>
                        <w:rFonts w:ascii="Cambria Math" w:hAnsi="Cambria Math" w:cs="Times New Roman"/>
                        <w:sz w:val="20"/>
                        <w:szCs w:val="20"/>
                        <w:lang w:val="en-GB"/>
                      </w:rPr>
                      <m:t>(T</m:t>
                    </m:r>
                  </m:e>
                  <m:sub>
                    <m:r>
                      <w:rPr>
                        <w:rFonts w:ascii="Cambria Math" w:hAnsi="Cambria Math" w:cs="Times New Roman"/>
                        <w:sz w:val="20"/>
                        <w:szCs w:val="20"/>
                        <w:lang w:val="en-GB"/>
                      </w:rPr>
                      <m:t>GH</m:t>
                    </m:r>
                  </m:sub>
                </m:sSub>
                <m:r>
                  <w:rPr>
                    <w:rFonts w:ascii="Cambria Math" w:hAnsi="Cambria Math" w:cs="Times New Roman"/>
                    <w:sz w:val="20"/>
                    <w:szCs w:val="20"/>
                    <w:lang w:val="en-GB"/>
                  </w:rPr>
                  <m:t>)</m:t>
                </m:r>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W</m:t>
                        </m:r>
                      </m:e>
                      <m:sub>
                        <m:r>
                          <w:rPr>
                            <w:rFonts w:ascii="Cambria Math" w:hAnsi="Cambria Math" w:cs="Times New Roman"/>
                            <w:sz w:val="20"/>
                            <w:szCs w:val="20"/>
                            <w:lang w:val="en-GB"/>
                          </w:rPr>
                          <m:t>F</m:t>
                        </m:r>
                      </m:sub>
                    </m:sSub>
                    <m:d>
                      <m:dPr>
                        <m:ctrlPr>
                          <w:rPr>
                            <w:rFonts w:ascii="Cambria Math" w:hAnsi="Cambria Math" w:cs="Times New Roman"/>
                            <w:i/>
                            <w:sz w:val="20"/>
                            <w:szCs w:val="20"/>
                            <w:lang w:val="en-GB"/>
                          </w:rPr>
                        </m:ctrlPr>
                      </m:dPr>
                      <m:e>
                        <m:r>
                          <w:rPr>
                            <w:rFonts w:ascii="Cambria Math" w:hAnsi="Cambria Math" w:cs="Times New Roman"/>
                            <w:sz w:val="20"/>
                            <w:szCs w:val="20"/>
                            <w:lang w:val="en-GB"/>
                          </w:rPr>
                          <m:t>d</m:t>
                        </m:r>
                      </m:e>
                    </m:d>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W</m:t>
                        </m:r>
                      </m:e>
                      <m:sub>
                        <m:r>
                          <w:rPr>
                            <w:rFonts w:ascii="Cambria Math" w:hAnsi="Cambria Math" w:cs="Times New Roman"/>
                            <w:sz w:val="20"/>
                            <w:szCs w:val="20"/>
                            <w:lang w:val="en-GB"/>
                          </w:rPr>
                          <m:t>M</m:t>
                        </m:r>
                      </m:sub>
                    </m:sSub>
                    <m:d>
                      <m:dPr>
                        <m:ctrlPr>
                          <w:rPr>
                            <w:rFonts w:ascii="Cambria Math" w:hAnsi="Cambria Math" w:cs="Times New Roman"/>
                            <w:i/>
                            <w:sz w:val="20"/>
                            <w:szCs w:val="20"/>
                            <w:lang w:val="en-GB"/>
                          </w:rPr>
                        </m:ctrlPr>
                      </m:dPr>
                      <m:e>
                        <m:r>
                          <w:rPr>
                            <w:rFonts w:ascii="Cambria Math" w:hAnsi="Cambria Math" w:cs="Times New Roman"/>
                            <w:sz w:val="20"/>
                            <w:szCs w:val="20"/>
                            <w:lang w:val="en-GB"/>
                          </w:rPr>
                          <m:t>d</m:t>
                        </m:r>
                      </m:e>
                    </m:d>
                  </m:e>
                </m:d>
                <m:r>
                  <w:rPr>
                    <w:rFonts w:ascii="Cambria Math" w:hAnsi="Cambria Math" w:cs="Times New Roman"/>
                    <w:sz w:val="20"/>
                    <w:szCs w:val="20"/>
                    <w:lang w:val="en-GB"/>
                  </w:rPr>
                  <m:t xml:space="preserve">   when   N&gt;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N</m:t>
                    </m:r>
                  </m:e>
                  <m:sub>
                    <m:r>
                      <w:rPr>
                        <w:rFonts w:ascii="Cambria Math" w:hAnsi="Cambria Math" w:cs="Times New Roman"/>
                        <w:sz w:val="20"/>
                        <w:szCs w:val="20"/>
                        <w:lang w:val="en-GB"/>
                      </w:rPr>
                      <m:t>FF</m:t>
                    </m:r>
                  </m:sub>
                </m:sSub>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K</m:t>
                    </m:r>
                  </m:e>
                  <m:sub>
                    <m:r>
                      <w:rPr>
                        <w:rFonts w:ascii="Cambria Math" w:hAnsi="Cambria Math" w:cs="Times New Roman"/>
                        <w:sz w:val="20"/>
                        <w:szCs w:val="20"/>
                        <w:lang w:val="en-GB"/>
                      </w:rPr>
                      <m:t>F</m:t>
                    </m:r>
                  </m:sub>
                </m:sSub>
              </m:oMath>
            </m:oMathPara>
          </w:p>
        </w:tc>
        <w:tc>
          <w:tcPr>
            <w:tcW w:w="715" w:type="dxa"/>
          </w:tcPr>
          <w:p w14:paraId="1B60D627" w14:textId="2A3C991D" w:rsidR="00932D49" w:rsidRPr="00932D49" w:rsidRDefault="00932D49" w:rsidP="00F6146F">
            <w:pPr>
              <w:pStyle w:val="Caption"/>
              <w:keepNext/>
              <w:spacing w:line="360" w:lineRule="auto"/>
              <w:jc w:val="right"/>
              <w:rPr>
                <w:rFonts w:ascii="Times New Roman" w:eastAsiaTheme="minorEastAsia" w:hAnsi="Times New Roman" w:cs="Times New Roman"/>
                <w:i/>
                <w:sz w:val="20"/>
                <w:szCs w:val="20"/>
                <w:lang w:val="en-GB"/>
              </w:rPr>
            </w:pPr>
            <w:bookmarkStart w:id="4" w:name="_Ref105331643"/>
            <w:r w:rsidRPr="00932D49">
              <w:rPr>
                <w:rFonts w:ascii="Times New Roman" w:eastAsiaTheme="minorEastAsia" w:hAnsi="Times New Roman" w:cs="Times New Roman"/>
                <w:sz w:val="20"/>
                <w:szCs w:val="20"/>
                <w:lang w:val="en-GB"/>
              </w:rPr>
              <w:t>(</w:t>
            </w:r>
            <w:r w:rsidRPr="00932D49">
              <w:rPr>
                <w:rFonts w:eastAsiaTheme="minorEastAsia"/>
                <w:i/>
                <w:sz w:val="20"/>
                <w:lang w:val="en-GB"/>
              </w:rPr>
              <w:fldChar w:fldCharType="begin"/>
            </w:r>
            <w:r w:rsidRPr="00932D49">
              <w:rPr>
                <w:rFonts w:ascii="Times New Roman" w:eastAsiaTheme="minorEastAsia" w:hAnsi="Times New Roman" w:cs="Times New Roman"/>
                <w:sz w:val="20"/>
                <w:szCs w:val="20"/>
                <w:lang w:val="en-GB"/>
              </w:rPr>
              <w:instrText xml:space="preserve"> SEQ Equation \* ARABIC </w:instrText>
            </w:r>
            <w:r w:rsidRPr="00932D49">
              <w:rPr>
                <w:rFonts w:eastAsiaTheme="minorEastAsia"/>
                <w:i/>
                <w:sz w:val="20"/>
                <w:lang w:val="en-GB"/>
              </w:rPr>
              <w:fldChar w:fldCharType="separate"/>
            </w:r>
            <w:r w:rsidR="002E7A07">
              <w:rPr>
                <w:rFonts w:ascii="Times New Roman" w:eastAsiaTheme="minorEastAsia" w:hAnsi="Times New Roman" w:cs="Times New Roman"/>
                <w:noProof/>
                <w:sz w:val="20"/>
                <w:szCs w:val="20"/>
                <w:lang w:val="en-GB"/>
              </w:rPr>
              <w:t>8</w:t>
            </w:r>
            <w:r w:rsidRPr="00932D49">
              <w:rPr>
                <w:rFonts w:eastAsiaTheme="minorEastAsia"/>
                <w:i/>
                <w:sz w:val="20"/>
                <w:lang w:val="en-GB"/>
              </w:rPr>
              <w:fldChar w:fldCharType="end"/>
            </w:r>
            <w:r w:rsidRPr="00932D49">
              <w:rPr>
                <w:rFonts w:ascii="Times New Roman" w:eastAsiaTheme="minorEastAsia" w:hAnsi="Times New Roman" w:cs="Times New Roman"/>
                <w:sz w:val="20"/>
                <w:szCs w:val="20"/>
                <w:lang w:val="en-GB"/>
              </w:rPr>
              <w:t>)</w:t>
            </w:r>
            <w:bookmarkEnd w:id="4"/>
          </w:p>
        </w:tc>
      </w:tr>
    </w:tbl>
    <w:p w14:paraId="4A755AFE" w14:textId="400E8919" w:rsidR="001E6C3A" w:rsidRDefault="001E6C3A" w:rsidP="001E6C3A">
      <w:r>
        <w:t xml:space="preserve">The details of the variables and parameters used in the greenhouse model can be found </w:t>
      </w:r>
      <w:r w:rsidR="00E41BFF">
        <w:t xml:space="preserve">in </w:t>
      </w:r>
      <w:r w:rsidR="00E41BFF">
        <w:fldChar w:fldCharType="begin" w:fldLock="1"/>
      </w:r>
      <w:r w:rsidR="00E41BFF">
        <w:instrText>ADDIN CSL_CITATION {"citationItems":[{"id":"ITEM-1","itemData":{"DOI":"10.1016/j.eti.2023.103157","ISSN":"23521864","abstract":"As the global population continues to expand and the demand for food rises, countries must intensify local and sustainable food production to ensure food security. Therefore, this study aims to develop a framework for utilising the post-2022 FIFA World Cup™ infrastructure for food production by constructing greenhouse systems adjacent to recently built stadiums. The framework is based on; (1) the greenhouse requirement and yield model, (2) economic optimisation of the model to minimise the levelized cost of production, and (3) applying the optimised framework to the stadiums. Results illustrated that the night and day temperature set-points of 18/24 °C, relative humidity of 79%, CO2 concentration of 1050 ppm, leaf area index of 6 m2 leaf m−2 ground, plant density of 3.5 plants m−2, and glass as the covering material are the optimum parameters that produce yield at the lowest cost. The optimised model is applied to the stadiums, and the results demonstrated that 3752.92 tons year −1 of yield could be produced at a market competitive rate by utilising a small part of the available cooling. Furthermore, the developed framework is flexible and can be applied to retrofit existing infrastructure to support food production across the globe, creating a lasting legacy for all stakeholders.","author":[{"dropping-particle":"","family":"Mahmood","given":"Farhat","non-dropping-particle":"","parse-names":false,"suffix":""},{"dropping-particle":"","family":"Luqman","given":"Muhammad","non-dropping-particle":"","parse-names":false,"suffix":""},{"dropping-particle":"","family":"Al-Ansari","given":"Tareq","non-dropping-particle":"","parse-names":false,"suffix":""}],"container-title":"Environmental Technology and Innovation","id":"ITEM-1","issued":{"date-parts":[["2023"]]},"title":"Application of a dynamic hybrid energy-crop yield model to support the co-utilisation of mega infrastructure for food security","type":"article-journal","volume":"31"},"uris":["http://www.mendeley.com/documents/?uuid=d46caefd-edf8-4cab-baa2-422d02063e26"]}],"mendeley":{"formattedCitation":"(Mahmood et al., 2023b)","manualFormatting":"Mahmood et al. (2023b)","plainTextFormattedCitation":"(Mahmood et al., 2023b)"},"properties":{"noteIndex":0},"schema":"https://github.com/citation-style-language/schema/raw/master/csl-citation.json"}</w:instrText>
      </w:r>
      <w:r w:rsidR="00E41BFF">
        <w:fldChar w:fldCharType="separate"/>
      </w:r>
      <w:r w:rsidR="00E41BFF" w:rsidRPr="00E41BFF">
        <w:rPr>
          <w:noProof/>
        </w:rPr>
        <w:t xml:space="preserve">Mahmood et al. </w:t>
      </w:r>
      <w:r w:rsidR="00E41BFF">
        <w:rPr>
          <w:noProof/>
        </w:rPr>
        <w:t>(</w:t>
      </w:r>
      <w:r w:rsidR="00E41BFF" w:rsidRPr="00E41BFF">
        <w:rPr>
          <w:noProof/>
        </w:rPr>
        <w:t>2023b)</w:t>
      </w:r>
      <w:r w:rsidR="00E41BFF">
        <w:fldChar w:fldCharType="end"/>
      </w:r>
      <w:r w:rsidR="00E41BFF">
        <w:t>.</w:t>
      </w:r>
    </w:p>
    <w:p w14:paraId="2E5D16ED" w14:textId="41508E71" w:rsidR="006E1EF7" w:rsidRPr="00971089" w:rsidRDefault="00721911" w:rsidP="002958C2">
      <w:pPr>
        <w:pStyle w:val="Heading2"/>
        <w:rPr>
          <w:b w:val="0"/>
          <w:bCs w:val="0"/>
          <w:i/>
          <w:iCs/>
        </w:rPr>
      </w:pPr>
      <w:r w:rsidRPr="00971089">
        <w:rPr>
          <w:b w:val="0"/>
          <w:bCs w:val="0"/>
          <w:i/>
          <w:iCs/>
        </w:rPr>
        <w:t>Cost of production</w:t>
      </w:r>
    </w:p>
    <w:p w14:paraId="271E16BC" w14:textId="4992AB92" w:rsidR="00721911" w:rsidRDefault="00364220" w:rsidP="00D4190F">
      <w:pPr>
        <w:jc w:val="both"/>
      </w:pPr>
      <w:r w:rsidRPr="00364220">
        <w:t>Greenhouse</w:t>
      </w:r>
      <w:r w:rsidR="00D4190F">
        <w:t xml:space="preserve"> production cost</w:t>
      </w:r>
      <w:r w:rsidR="00A71BBB">
        <w:t>s</w:t>
      </w:r>
      <w:r w:rsidR="00D4190F">
        <w:t xml:space="preserve"> consist of the initial capital and </w:t>
      </w:r>
      <w:r w:rsidR="004A10A6">
        <w:t xml:space="preserve">the </w:t>
      </w:r>
      <w:r w:rsidR="004A10A6" w:rsidRPr="00364220">
        <w:t>operational</w:t>
      </w:r>
      <w:r w:rsidRPr="00364220">
        <w:t xml:space="preserve"> </w:t>
      </w:r>
      <w:r w:rsidR="00D4190F">
        <w:t>cost.</w:t>
      </w:r>
      <w:r w:rsidR="00DF430C">
        <w:t xml:space="preserve"> The total cost is given as follow</w:t>
      </w:r>
      <w:r w:rsidR="002E53A3">
        <w:t>s</w:t>
      </w:r>
      <w:r w:rsidR="00DF430C">
        <w:t>:</w:t>
      </w:r>
      <w:r w:rsidRPr="00364220">
        <w:t xml:space="preserve"> </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7"/>
        <w:gridCol w:w="780"/>
      </w:tblGrid>
      <w:tr w:rsidR="00C273DA" w:rsidRPr="00A5138A" w14:paraId="3E507881" w14:textId="77777777" w:rsidTr="00EA6EA9">
        <w:tc>
          <w:tcPr>
            <w:tcW w:w="6307" w:type="dxa"/>
          </w:tcPr>
          <w:p w14:paraId="62875483" w14:textId="77777777" w:rsidR="00C273DA" w:rsidRPr="00A5138A" w:rsidRDefault="00C273DA" w:rsidP="00F6146F">
            <w:pPr>
              <w:spacing w:line="360" w:lineRule="auto"/>
              <w:jc w:val="both"/>
              <w:rPr>
                <w:rFonts w:ascii="Times New Roman" w:eastAsiaTheme="minorEastAsia" w:hAnsi="Times New Roman" w:cs="Times New Roman"/>
                <w:sz w:val="20"/>
                <w:szCs w:val="20"/>
                <w:lang w:val="en-GB"/>
              </w:rPr>
            </w:pPr>
            <m:oMathPara>
              <m:oMathParaPr>
                <m:jc m:val="left"/>
              </m:oMathParaPr>
              <m:oMath>
                <m:r>
                  <w:rPr>
                    <w:rFonts w:ascii="Cambria Math" w:eastAsiaTheme="minorEastAsia" w:hAnsi="Cambria Math" w:cs="Times New Roman"/>
                    <w:sz w:val="20"/>
                    <w:szCs w:val="20"/>
                    <w:lang w:val="en-GB"/>
                  </w:rPr>
                  <m:t>Total cost=</m:t>
                </m:r>
                <m:r>
                  <w:rPr>
                    <w:rFonts w:ascii="Cambria Math" w:hAnsi="Cambria Math" w:cs="Times New Roman"/>
                    <w:sz w:val="20"/>
                    <w:szCs w:val="20"/>
                    <w:lang w:val="en-GB"/>
                  </w:rPr>
                  <m:t>Capital</m:t>
                </m:r>
                <m:r>
                  <m:rPr>
                    <m:sty m:val="p"/>
                  </m:rPr>
                  <w:rPr>
                    <w:rFonts w:ascii="Cambria Math" w:hAnsi="Cambria Math" w:cs="Times New Roman"/>
                    <w:sz w:val="20"/>
                    <w:szCs w:val="20"/>
                    <w:lang w:val="en-GB"/>
                  </w:rPr>
                  <m:t xml:space="preserve"> </m:t>
                </m:r>
                <m:r>
                  <w:rPr>
                    <w:rFonts w:ascii="Cambria Math" w:hAnsi="Cambria Math" w:cs="Times New Roman"/>
                    <w:sz w:val="20"/>
                    <w:szCs w:val="20"/>
                    <w:lang w:val="en-GB"/>
                  </w:rPr>
                  <m:t>cost</m:t>
                </m:r>
                <m:r>
                  <m:rPr>
                    <m:sty m:val="p"/>
                  </m:rPr>
                  <w:rPr>
                    <w:rFonts w:ascii="Cambria Math" w:hAnsi="Cambria Math" w:cs="Times New Roman"/>
                    <w:sz w:val="20"/>
                    <w:szCs w:val="20"/>
                    <w:lang w:val="en-GB"/>
                  </w:rPr>
                  <m:t xml:space="preserve">  </m:t>
                </m:r>
                <m:d>
                  <m:dPr>
                    <m:ctrlPr>
                      <w:rPr>
                        <w:rFonts w:ascii="Cambria Math" w:hAnsi="Cambria Math" w:cs="Times New Roman"/>
                        <w:sz w:val="20"/>
                        <w:szCs w:val="20"/>
                        <w:lang w:val="en-GB"/>
                      </w:rPr>
                    </m:ctrlPr>
                  </m:dPr>
                  <m:e>
                    <m:f>
                      <m:fPr>
                        <m:ctrlPr>
                          <w:rPr>
                            <w:rFonts w:ascii="Cambria Math" w:hAnsi="Cambria Math" w:cs="Times New Roman"/>
                            <w:sz w:val="20"/>
                            <w:szCs w:val="20"/>
                            <w:lang w:val="en-GB"/>
                          </w:rPr>
                        </m:ctrlPr>
                      </m:fPr>
                      <m:num>
                        <m:r>
                          <w:rPr>
                            <w:rFonts w:ascii="Cambria Math" w:hAnsi="Cambria Math" w:cs="Times New Roman"/>
                            <w:sz w:val="20"/>
                            <w:szCs w:val="20"/>
                            <w:lang w:val="en-GB"/>
                          </w:rPr>
                          <m:t>r</m:t>
                        </m:r>
                        <m:r>
                          <m:rPr>
                            <m:sty m:val="p"/>
                          </m:rPr>
                          <w:rPr>
                            <w:rFonts w:ascii="Cambria Math" w:hAnsi="Cambria Math" w:cs="Times New Roman"/>
                            <w:sz w:val="20"/>
                            <w:szCs w:val="20"/>
                            <w:lang w:val="en-GB"/>
                          </w:rPr>
                          <m:t xml:space="preserve"> </m:t>
                        </m:r>
                        <m:sSup>
                          <m:sSupPr>
                            <m:ctrlPr>
                              <w:rPr>
                                <w:rFonts w:ascii="Cambria Math" w:hAnsi="Cambria Math" w:cs="Times New Roman"/>
                                <w:sz w:val="20"/>
                                <w:szCs w:val="20"/>
                                <w:lang w:val="en-GB"/>
                              </w:rPr>
                            </m:ctrlPr>
                          </m:sSupPr>
                          <m:e>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1+</m:t>
                                </m:r>
                                <m:r>
                                  <w:rPr>
                                    <w:rFonts w:ascii="Cambria Math" w:hAnsi="Cambria Math" w:cs="Times New Roman"/>
                                    <w:sz w:val="20"/>
                                    <w:szCs w:val="20"/>
                                    <w:lang w:val="en-GB"/>
                                  </w:rPr>
                                  <m:t>r</m:t>
                                </m:r>
                              </m:e>
                            </m:d>
                          </m:e>
                          <m:sup>
                            <m:r>
                              <w:rPr>
                                <w:rFonts w:ascii="Cambria Math" w:hAnsi="Cambria Math" w:cs="Times New Roman"/>
                                <w:sz w:val="20"/>
                                <w:szCs w:val="20"/>
                                <w:lang w:val="en-GB"/>
                              </w:rPr>
                              <m:t>n</m:t>
                            </m:r>
                          </m:sup>
                        </m:sSup>
                      </m:num>
                      <m:den>
                        <m:sSup>
                          <m:sSupPr>
                            <m:ctrlPr>
                              <w:rPr>
                                <w:rFonts w:ascii="Cambria Math" w:hAnsi="Cambria Math" w:cs="Times New Roman"/>
                                <w:sz w:val="20"/>
                                <w:szCs w:val="20"/>
                                <w:lang w:val="en-GB"/>
                              </w:rPr>
                            </m:ctrlPr>
                          </m:sSupPr>
                          <m:e>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1+</m:t>
                                </m:r>
                                <m:r>
                                  <w:rPr>
                                    <w:rFonts w:ascii="Cambria Math" w:hAnsi="Cambria Math" w:cs="Times New Roman"/>
                                    <w:sz w:val="20"/>
                                    <w:szCs w:val="20"/>
                                    <w:lang w:val="en-GB"/>
                                  </w:rPr>
                                  <m:t>r</m:t>
                                </m:r>
                              </m:e>
                            </m:d>
                          </m:e>
                          <m:sup>
                            <m:r>
                              <w:rPr>
                                <w:rFonts w:ascii="Cambria Math" w:hAnsi="Cambria Math" w:cs="Times New Roman"/>
                                <w:sz w:val="20"/>
                                <w:szCs w:val="20"/>
                                <w:lang w:val="en-GB"/>
                              </w:rPr>
                              <m:t>n</m:t>
                            </m:r>
                          </m:sup>
                        </m:sSup>
                        <m:r>
                          <m:rPr>
                            <m:sty m:val="p"/>
                          </m:rPr>
                          <w:rPr>
                            <w:rFonts w:ascii="Cambria Math" w:hAnsi="Cambria Math" w:cs="Times New Roman"/>
                            <w:sz w:val="20"/>
                            <w:szCs w:val="20"/>
                            <w:lang w:val="en-GB"/>
                          </w:rPr>
                          <m:t>-1</m:t>
                        </m:r>
                      </m:den>
                    </m:f>
                  </m:e>
                </m:d>
                <m:r>
                  <m:rPr>
                    <m:sty m:val="p"/>
                  </m:rPr>
                  <w:rPr>
                    <w:rFonts w:ascii="Cambria Math" w:hAnsi="Cambria Math" w:cs="Times New Roman"/>
                    <w:sz w:val="20"/>
                    <w:szCs w:val="20"/>
                    <w:lang w:val="en-GB"/>
                  </w:rPr>
                  <m:t xml:space="preserve"> + </m:t>
                </m:r>
                <m:r>
                  <w:rPr>
                    <w:rFonts w:ascii="Cambria Math" w:hAnsi="Cambria Math" w:cs="Times New Roman"/>
                    <w:sz w:val="20"/>
                    <w:szCs w:val="20"/>
                    <w:lang w:val="en-GB"/>
                  </w:rPr>
                  <m:t>Operational</m:t>
                </m:r>
                <m:r>
                  <m:rPr>
                    <m:sty m:val="p"/>
                  </m:rPr>
                  <w:rPr>
                    <w:rFonts w:ascii="Cambria Math" w:hAnsi="Cambria Math" w:cs="Times New Roman"/>
                    <w:sz w:val="20"/>
                    <w:szCs w:val="20"/>
                    <w:lang w:val="en-GB"/>
                  </w:rPr>
                  <m:t xml:space="preserve"> </m:t>
                </m:r>
                <m:r>
                  <w:rPr>
                    <w:rFonts w:ascii="Cambria Math" w:hAnsi="Cambria Math" w:cs="Times New Roman"/>
                    <w:sz w:val="20"/>
                    <w:szCs w:val="20"/>
                    <w:lang w:val="en-GB"/>
                  </w:rPr>
                  <m:t>cost</m:t>
                </m:r>
              </m:oMath>
            </m:oMathPara>
          </w:p>
        </w:tc>
        <w:tc>
          <w:tcPr>
            <w:tcW w:w="780" w:type="dxa"/>
          </w:tcPr>
          <w:p w14:paraId="7CC21FF2" w14:textId="453BC326" w:rsidR="00C273DA" w:rsidRPr="00A5138A" w:rsidRDefault="00C273DA" w:rsidP="00F6146F">
            <w:pPr>
              <w:spacing w:line="360" w:lineRule="auto"/>
              <w:jc w:val="right"/>
              <w:rPr>
                <w:rFonts w:ascii="Times New Roman" w:eastAsiaTheme="minorEastAsia" w:hAnsi="Times New Roman" w:cs="Times New Roman"/>
                <w:sz w:val="20"/>
                <w:szCs w:val="20"/>
                <w:lang w:val="en-GB"/>
              </w:rPr>
            </w:pPr>
            <w:r w:rsidRPr="00A5138A">
              <w:rPr>
                <w:rFonts w:ascii="Times New Roman" w:eastAsiaTheme="minorEastAsia" w:hAnsi="Times New Roman" w:cs="Times New Roman"/>
                <w:sz w:val="20"/>
                <w:szCs w:val="20"/>
                <w:lang w:val="en-GB"/>
              </w:rPr>
              <w:t>(</w:t>
            </w:r>
            <w:r w:rsidRPr="00A5138A">
              <w:rPr>
                <w:rFonts w:eastAsiaTheme="minorEastAsia"/>
              </w:rPr>
              <w:fldChar w:fldCharType="begin"/>
            </w:r>
            <w:r w:rsidRPr="00A5138A">
              <w:rPr>
                <w:rFonts w:ascii="Times New Roman" w:eastAsiaTheme="minorEastAsia" w:hAnsi="Times New Roman" w:cs="Times New Roman"/>
                <w:sz w:val="20"/>
                <w:szCs w:val="20"/>
                <w:lang w:val="en-GB"/>
              </w:rPr>
              <w:instrText xml:space="preserve"> SEQ Equation \* ARABIC </w:instrText>
            </w:r>
            <w:r w:rsidRPr="00A5138A">
              <w:rPr>
                <w:rFonts w:eastAsiaTheme="minorEastAsia"/>
              </w:rPr>
              <w:fldChar w:fldCharType="separate"/>
            </w:r>
            <w:r w:rsidR="002E7A07">
              <w:rPr>
                <w:rFonts w:ascii="Times New Roman" w:eastAsiaTheme="minorEastAsia" w:hAnsi="Times New Roman" w:cs="Times New Roman"/>
                <w:noProof/>
                <w:sz w:val="20"/>
                <w:szCs w:val="20"/>
                <w:lang w:val="en-GB"/>
              </w:rPr>
              <w:t>9</w:t>
            </w:r>
            <w:r w:rsidRPr="00A5138A">
              <w:rPr>
                <w:rFonts w:eastAsiaTheme="minorEastAsia"/>
              </w:rPr>
              <w:fldChar w:fldCharType="end"/>
            </w:r>
            <w:r w:rsidRPr="00A5138A">
              <w:rPr>
                <w:rFonts w:ascii="Times New Roman" w:eastAsiaTheme="minorEastAsia" w:hAnsi="Times New Roman" w:cs="Times New Roman"/>
                <w:sz w:val="20"/>
                <w:szCs w:val="20"/>
                <w:lang w:val="en-GB"/>
              </w:rPr>
              <w:t>)</w:t>
            </w:r>
          </w:p>
        </w:tc>
      </w:tr>
    </w:tbl>
    <w:p w14:paraId="4F3FED81" w14:textId="16661C25" w:rsidR="00C273DA" w:rsidRDefault="00825674" w:rsidP="0083415E">
      <w:pPr>
        <w:jc w:val="both"/>
      </w:pPr>
      <w:r>
        <w:t>T</w:t>
      </w:r>
      <w:r w:rsidR="00EA6EA9" w:rsidRPr="00EA6EA9">
        <w:t xml:space="preserve">he total cost of </w:t>
      </w:r>
      <w:r w:rsidR="002E53A3">
        <w:t>greenhouse operation</w:t>
      </w:r>
      <w:r w:rsidR="00EA6EA9" w:rsidRPr="00EA6EA9">
        <w:t xml:space="preserve"> includes factors like the discount rate (</w:t>
      </w:r>
      <m:oMath>
        <m:r>
          <w:rPr>
            <w:rFonts w:ascii="Cambria Math" w:hAnsi="Cambria Math"/>
          </w:rPr>
          <m:t>r</m:t>
        </m:r>
      </m:oMath>
      <w:r w:rsidR="00EA6EA9" w:rsidRPr="00EA6EA9">
        <w:t>) and the greenhouse's expected lifespan (</w:t>
      </w:r>
      <m:oMath>
        <m:r>
          <w:rPr>
            <w:rFonts w:ascii="Cambria Math" w:hAnsi="Cambria Math"/>
          </w:rPr>
          <m:t>n</m:t>
        </m:r>
      </m:oMath>
      <w:r w:rsidR="00EA6EA9" w:rsidRPr="00EA6EA9">
        <w:t xml:space="preserve">) in years. The discount rate is set at 0.1, while the lifespan is assumed to be 25 years. </w:t>
      </w:r>
      <w:r w:rsidR="003D3205">
        <w:t xml:space="preserve">The cooling system's cost is reduced by utilising the </w:t>
      </w:r>
      <w:r w:rsidR="003D3205">
        <w:lastRenderedPageBreak/>
        <w:t>existing cooling system infrastructure</w:t>
      </w:r>
      <w:r w:rsidR="00A71BBB">
        <w:t>, contributing</w:t>
      </w:r>
      <w:r w:rsidR="004A10A6">
        <w:t xml:space="preserve"> significantly towards</w:t>
      </w:r>
      <w:r w:rsidR="003D3205">
        <w:t xml:space="preserve"> reducing</w:t>
      </w:r>
      <w:r w:rsidR="004A10A6">
        <w:t xml:space="preserve"> the overall capital cost. </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787"/>
      </w:tblGrid>
      <w:tr w:rsidR="00F1168F" w:rsidRPr="00F1168F" w14:paraId="45268CFD" w14:textId="77777777" w:rsidTr="00E734D6">
        <w:tc>
          <w:tcPr>
            <w:tcW w:w="6300" w:type="dxa"/>
          </w:tcPr>
          <w:p w14:paraId="033D1BB9" w14:textId="77777777" w:rsidR="00F1168F" w:rsidRPr="00F1168F" w:rsidRDefault="00F1168F" w:rsidP="00F6146F">
            <w:pPr>
              <w:spacing w:line="360" w:lineRule="auto"/>
              <w:jc w:val="both"/>
              <w:rPr>
                <w:rFonts w:ascii="Times New Roman" w:hAnsi="Times New Roman" w:cs="Times New Roman"/>
                <w:sz w:val="20"/>
                <w:szCs w:val="20"/>
                <w:lang w:val="en-GB"/>
              </w:rPr>
            </w:pPr>
            <m:oMathPara>
              <m:oMathParaPr>
                <m:jc m:val="left"/>
              </m:oMathParaPr>
              <m:oMath>
                <m:r>
                  <w:rPr>
                    <w:rFonts w:ascii="Cambria Math" w:hAnsi="Cambria Math" w:cs="Times New Roman"/>
                    <w:sz w:val="20"/>
                    <w:szCs w:val="20"/>
                    <w:lang w:val="en-GB"/>
                  </w:rPr>
                  <m:t>Capital cost=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A</m:t>
                    </m:r>
                  </m:e>
                  <m:sub>
                    <m:r>
                      <w:rPr>
                        <w:rFonts w:ascii="Cambria Math" w:hAnsi="Cambria Math" w:cs="Times New Roman"/>
                        <w:sz w:val="20"/>
                        <w:szCs w:val="20"/>
                        <w:lang w:val="en-GB"/>
                      </w:rPr>
                      <m:t>GH</m:t>
                    </m:r>
                  </m:sub>
                </m:sSub>
                <m:sSub>
                  <m:sSubPr>
                    <m:ctrlPr>
                      <w:rPr>
                        <w:rFonts w:ascii="Cambria Math" w:hAnsi="Cambria Math" w:cs="Times New Roman"/>
                        <w:i/>
                        <w:sz w:val="20"/>
                        <w:szCs w:val="20"/>
                        <w:lang w:val="en-GB"/>
                      </w:rPr>
                    </m:ctrlPr>
                  </m:sSubPr>
                  <m:e>
                    <m:r>
                      <w:rPr>
                        <w:rFonts w:ascii="Cambria Math" w:hAnsi="Cambria Math" w:cs="Times New Roman"/>
                        <w:sz w:val="20"/>
                        <w:szCs w:val="20"/>
                        <w:lang w:val="en-GB"/>
                      </w:rPr>
                      <m:t>S</m:t>
                    </m:r>
                  </m:e>
                  <m:sub>
                    <m:r>
                      <w:rPr>
                        <w:rFonts w:ascii="Cambria Math" w:hAnsi="Cambria Math" w:cs="Times New Roman"/>
                        <w:sz w:val="20"/>
                        <w:szCs w:val="20"/>
                        <w:lang w:val="en-GB"/>
                      </w:rPr>
                      <m:t>cost</m:t>
                    </m:r>
                  </m:sub>
                </m:sSub>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A</m:t>
                        </m:r>
                      </m:e>
                      <m:sub>
                        <m:r>
                          <w:rPr>
                            <w:rFonts w:ascii="Cambria Math" w:eastAsiaTheme="minorEastAsia" w:hAnsi="Cambria Math" w:cs="Times New Roman"/>
                            <w:sz w:val="20"/>
                            <w:szCs w:val="20"/>
                            <w:lang w:val="en-GB"/>
                          </w:rPr>
                          <m:t>GHS</m:t>
                        </m:r>
                      </m:sub>
                    </m:sSub>
                    <m:r>
                      <w:rPr>
                        <w:rFonts w:ascii="Cambria Math" w:hAnsi="Cambria Math" w:cs="Times New Roman"/>
                        <w:sz w:val="20"/>
                        <w:szCs w:val="20"/>
                        <w:lang w:val="en-GB"/>
                      </w:rPr>
                      <m:t>C</m:t>
                    </m:r>
                  </m:e>
                  <m:sub>
                    <m:r>
                      <w:rPr>
                        <w:rFonts w:ascii="Cambria Math" w:hAnsi="Cambria Math" w:cs="Times New Roman"/>
                        <w:sz w:val="20"/>
                        <w:szCs w:val="20"/>
                        <w:lang w:val="en-GB"/>
                      </w:rPr>
                      <m:t>cost</m:t>
                    </m:r>
                  </m:sub>
                </m:sSub>
                <m:sSub>
                  <m:sSubPr>
                    <m:ctrlPr>
                      <w:rPr>
                        <w:rFonts w:ascii="Cambria Math" w:hAnsi="Cambria Math" w:cs="Times New Roman"/>
                        <w:i/>
                        <w:sz w:val="20"/>
                        <w:szCs w:val="20"/>
                        <w:lang w:val="en-GB"/>
                      </w:rPr>
                    </m:ctrlPr>
                  </m:sSubPr>
                  <m:e>
                    <m:r>
                      <w:rPr>
                        <w:rFonts w:ascii="Cambria Math" w:hAnsi="Cambria Math" w:cs="Times New Roman"/>
                        <w:sz w:val="20"/>
                        <w:szCs w:val="20"/>
                        <w:lang w:val="en-GB"/>
                      </w:rPr>
                      <m:t>N</m:t>
                    </m:r>
                  </m:e>
                  <m:sub>
                    <m:r>
                      <w:rPr>
                        <w:rFonts w:ascii="Cambria Math" w:hAnsi="Cambria Math" w:cs="Times New Roman"/>
                        <w:sz w:val="20"/>
                        <w:szCs w:val="20"/>
                        <w:lang w:val="en-GB"/>
                      </w:rPr>
                      <m:t>CR</m:t>
                    </m:r>
                  </m:sub>
                </m:sSub>
              </m:oMath>
            </m:oMathPara>
          </w:p>
        </w:tc>
        <w:tc>
          <w:tcPr>
            <w:tcW w:w="787" w:type="dxa"/>
          </w:tcPr>
          <w:p w14:paraId="5A5D377D" w14:textId="168720F9" w:rsidR="00F1168F" w:rsidRPr="00F1168F" w:rsidRDefault="00F1168F" w:rsidP="00E734D6">
            <w:pPr>
              <w:pStyle w:val="Caption"/>
              <w:keepNext/>
              <w:jc w:val="right"/>
              <w:rPr>
                <w:rFonts w:ascii="Times New Roman" w:hAnsi="Times New Roman" w:cs="Times New Roman"/>
                <w:i/>
                <w:sz w:val="20"/>
                <w:szCs w:val="20"/>
                <w:lang w:val="en-GB"/>
              </w:rPr>
            </w:pPr>
            <w:r w:rsidRPr="00F1168F">
              <w:rPr>
                <w:rFonts w:ascii="Times New Roman" w:hAnsi="Times New Roman" w:cs="Times New Roman"/>
                <w:sz w:val="20"/>
                <w:szCs w:val="20"/>
                <w:lang w:val="en-GB"/>
              </w:rPr>
              <w:t>(</w:t>
            </w:r>
            <w:r w:rsidRPr="00F1168F">
              <w:rPr>
                <w:i/>
                <w:sz w:val="20"/>
                <w:lang w:val="en-GB"/>
              </w:rPr>
              <w:fldChar w:fldCharType="begin"/>
            </w:r>
            <w:r w:rsidRPr="00F1168F">
              <w:rPr>
                <w:rFonts w:ascii="Times New Roman" w:hAnsi="Times New Roman" w:cs="Times New Roman"/>
                <w:sz w:val="20"/>
                <w:szCs w:val="20"/>
                <w:lang w:val="en-GB"/>
              </w:rPr>
              <w:instrText xml:space="preserve"> SEQ Equation \* ARABIC </w:instrText>
            </w:r>
            <w:r w:rsidRPr="00F1168F">
              <w:rPr>
                <w:i/>
                <w:sz w:val="20"/>
                <w:lang w:val="en-GB"/>
              </w:rPr>
              <w:fldChar w:fldCharType="separate"/>
            </w:r>
            <w:r w:rsidR="002E7A07">
              <w:rPr>
                <w:rFonts w:ascii="Times New Roman" w:hAnsi="Times New Roman" w:cs="Times New Roman"/>
                <w:noProof/>
                <w:sz w:val="20"/>
                <w:szCs w:val="20"/>
                <w:lang w:val="en-GB"/>
              </w:rPr>
              <w:t>10</w:t>
            </w:r>
            <w:r w:rsidRPr="00F1168F">
              <w:rPr>
                <w:i/>
                <w:sz w:val="20"/>
                <w:lang w:val="en-GB"/>
              </w:rPr>
              <w:fldChar w:fldCharType="end"/>
            </w:r>
            <w:r w:rsidRPr="00F1168F">
              <w:rPr>
                <w:rFonts w:ascii="Times New Roman" w:hAnsi="Times New Roman" w:cs="Times New Roman"/>
                <w:sz w:val="20"/>
                <w:szCs w:val="20"/>
                <w:lang w:val="en-GB"/>
              </w:rPr>
              <w:t>)</w:t>
            </w:r>
          </w:p>
        </w:tc>
      </w:tr>
    </w:tbl>
    <w:p w14:paraId="007E2AD0" w14:textId="266C22D6" w:rsidR="00F1168F" w:rsidRDefault="00E054A1" w:rsidP="0083415E">
      <w:pPr>
        <w:jc w:val="both"/>
      </w:pPr>
      <w:r>
        <w:t xml:space="preserve">The capital cost is given as follows: </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2"/>
        <w:gridCol w:w="785"/>
      </w:tblGrid>
      <w:tr w:rsidR="00F45FAB" w:rsidRPr="00F45FAB" w14:paraId="1B5350BF" w14:textId="77777777" w:rsidTr="00010013">
        <w:tc>
          <w:tcPr>
            <w:tcW w:w="6302" w:type="dxa"/>
          </w:tcPr>
          <w:p w14:paraId="7ADBB066" w14:textId="77777777" w:rsidR="00F45FAB" w:rsidRPr="00F45FAB" w:rsidRDefault="00F45FAB" w:rsidP="00F6146F">
            <w:pPr>
              <w:spacing w:line="360" w:lineRule="auto"/>
              <w:jc w:val="both"/>
              <w:rPr>
                <w:rFonts w:ascii="Times New Roman" w:eastAsiaTheme="minorEastAsia" w:hAnsi="Times New Roman" w:cs="Times New Roman"/>
                <w:sz w:val="20"/>
                <w:szCs w:val="20"/>
                <w:lang w:val="en-GB"/>
              </w:rPr>
            </w:pPr>
            <m:oMathPara>
              <m:oMathParaPr>
                <m:jc m:val="left"/>
              </m:oMathParaPr>
              <m:oMath>
                <m:r>
                  <w:rPr>
                    <w:rFonts w:ascii="Cambria Math" w:eastAsiaTheme="minorEastAsia" w:hAnsi="Cambria Math" w:cs="Times New Roman"/>
                    <w:sz w:val="20"/>
                    <w:szCs w:val="20"/>
                    <w:lang w:val="en-GB"/>
                  </w:rPr>
                  <m:t>Operational cost=</m:t>
                </m:r>
                <m:nary>
                  <m:naryPr>
                    <m:chr m:val="∑"/>
                    <m:ctrlPr>
                      <w:rPr>
                        <w:rFonts w:ascii="Cambria Math" w:eastAsiaTheme="minorEastAsia" w:hAnsi="Cambria Math" w:cs="Times New Roman"/>
                        <w:i/>
                        <w:sz w:val="20"/>
                        <w:szCs w:val="20"/>
                        <w:lang w:val="en-GB"/>
                      </w:rPr>
                    </m:ctrlPr>
                  </m:naryPr>
                  <m:sub>
                    <m:r>
                      <w:rPr>
                        <w:rFonts w:ascii="Cambria Math" w:hAnsi="Cambria Math" w:cs="Times New Roman"/>
                        <w:sz w:val="20"/>
                        <w:szCs w:val="20"/>
                        <w:lang w:val="en-GB"/>
                      </w:rPr>
                      <m:t>h=1</m:t>
                    </m:r>
                  </m:sub>
                  <m:sup>
                    <m:r>
                      <w:rPr>
                        <w:rFonts w:ascii="Cambria Math" w:hAnsi="Cambria Math" w:cs="Times New Roman"/>
                        <w:sz w:val="20"/>
                        <w:szCs w:val="20"/>
                        <w:lang w:val="en-GB"/>
                      </w:rPr>
                      <m:t>6480</m:t>
                    </m:r>
                  </m:sup>
                  <m:e>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E</m:t>
                            </m:r>
                          </m:e>
                          <m:sub>
                            <m:r>
                              <w:rPr>
                                <w:rFonts w:ascii="Cambria Math" w:eastAsiaTheme="minorEastAsia" w:hAnsi="Cambria Math" w:cs="Times New Roman"/>
                                <w:sz w:val="20"/>
                                <w:szCs w:val="20"/>
                                <w:lang w:val="en-GB"/>
                              </w:rPr>
                              <m:t>Elec</m:t>
                            </m:r>
                          </m:sub>
                        </m:sSub>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C</m:t>
                            </m:r>
                          </m:e>
                          <m:sub>
                            <m:r>
                              <w:rPr>
                                <w:rFonts w:ascii="Cambria Math" w:eastAsiaTheme="minorEastAsia" w:hAnsi="Cambria Math" w:cs="Times New Roman"/>
                                <w:sz w:val="20"/>
                                <w:szCs w:val="20"/>
                                <w:lang w:val="en-GB"/>
                              </w:rPr>
                              <m:t>Elec</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m</m:t>
                            </m:r>
                          </m:e>
                          <m:sub>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H</m:t>
                                </m:r>
                              </m:e>
                              <m:sub>
                                <m:r>
                                  <w:rPr>
                                    <w:rFonts w:ascii="Cambria Math" w:eastAsiaTheme="minorEastAsia" w:hAnsi="Cambria Math" w:cs="Times New Roman"/>
                                    <w:sz w:val="20"/>
                                    <w:szCs w:val="20"/>
                                    <w:lang w:val="en-GB"/>
                                  </w:rPr>
                                  <m:t>2</m:t>
                                </m:r>
                              </m:sub>
                            </m:sSub>
                            <m:r>
                              <w:rPr>
                                <w:rFonts w:ascii="Cambria Math" w:eastAsiaTheme="minorEastAsia" w:hAnsi="Cambria Math" w:cs="Times New Roman"/>
                                <w:sz w:val="20"/>
                                <w:szCs w:val="20"/>
                                <w:lang w:val="en-GB"/>
                              </w:rPr>
                              <m:t>O</m:t>
                            </m:r>
                          </m:sub>
                        </m:sSub>
                        <m:r>
                          <w:rPr>
                            <w:rFonts w:ascii="Cambria Math" w:eastAsiaTheme="minorEastAsia" w:hAnsi="Cambria Math" w:cs="Times New Roman"/>
                            <w:sz w:val="20"/>
                            <w:szCs w:val="20"/>
                            <w:lang w:val="en-GB"/>
                          </w:rPr>
                          <m:t xml:space="preserve"> </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C</m:t>
                            </m:r>
                          </m:e>
                          <m:sub>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H</m:t>
                                </m:r>
                              </m:e>
                              <m:sub>
                                <m:r>
                                  <w:rPr>
                                    <w:rFonts w:ascii="Cambria Math" w:eastAsiaTheme="minorEastAsia" w:hAnsi="Cambria Math" w:cs="Times New Roman"/>
                                    <w:sz w:val="20"/>
                                    <w:szCs w:val="20"/>
                                    <w:lang w:val="en-GB"/>
                                  </w:rPr>
                                  <m:t>2</m:t>
                                </m:r>
                              </m:sub>
                            </m:sSub>
                            <m:r>
                              <w:rPr>
                                <w:rFonts w:ascii="Cambria Math" w:eastAsiaTheme="minorEastAsia" w:hAnsi="Cambria Math" w:cs="Times New Roman"/>
                                <w:sz w:val="20"/>
                                <w:szCs w:val="20"/>
                                <w:lang w:val="en-GB"/>
                              </w:rPr>
                              <m:t>O</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m</m:t>
                            </m:r>
                          </m:e>
                          <m:sub>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CO</m:t>
                                </m:r>
                              </m:e>
                              <m:sub>
                                <m:r>
                                  <w:rPr>
                                    <w:rFonts w:ascii="Cambria Math" w:eastAsiaTheme="minorEastAsia" w:hAnsi="Cambria Math" w:cs="Times New Roman"/>
                                    <w:sz w:val="20"/>
                                    <w:szCs w:val="20"/>
                                    <w:lang w:val="en-GB"/>
                                  </w:rPr>
                                  <m:t>2</m:t>
                                </m:r>
                              </m:sub>
                            </m:sSub>
                          </m:sub>
                        </m:sSub>
                        <m:r>
                          <w:rPr>
                            <w:rFonts w:ascii="Cambria Math" w:eastAsiaTheme="minorEastAsia" w:hAnsi="Cambria Math" w:cs="Times New Roman"/>
                            <w:sz w:val="20"/>
                            <w:szCs w:val="20"/>
                            <w:lang w:val="en-GB"/>
                          </w:rPr>
                          <m:t xml:space="preserve"> </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C</m:t>
                            </m:r>
                          </m:e>
                          <m:sub>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CO</m:t>
                                </m:r>
                              </m:e>
                              <m:sub>
                                <m:r>
                                  <w:rPr>
                                    <w:rFonts w:ascii="Cambria Math" w:eastAsiaTheme="minorEastAsia" w:hAnsi="Cambria Math" w:cs="Times New Roman"/>
                                    <w:sz w:val="20"/>
                                    <w:szCs w:val="20"/>
                                    <w:lang w:val="en-GB"/>
                                  </w:rPr>
                                  <m:t>2</m:t>
                                </m:r>
                              </m:sub>
                            </m:sSub>
                          </m:sub>
                        </m:sSub>
                      </m:e>
                    </m:d>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F</m:t>
                        </m:r>
                      </m:e>
                      <m:sub>
                        <m:r>
                          <w:rPr>
                            <w:rFonts w:ascii="Cambria Math" w:eastAsiaTheme="minorEastAsia" w:hAnsi="Cambria Math" w:cs="Times New Roman"/>
                            <w:sz w:val="20"/>
                            <w:szCs w:val="20"/>
                            <w:lang w:val="en-GB"/>
                          </w:rPr>
                          <m:t>C</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L</m:t>
                        </m:r>
                      </m:e>
                      <m:sub>
                        <m:r>
                          <w:rPr>
                            <w:rFonts w:ascii="Cambria Math" w:eastAsiaTheme="minorEastAsia" w:hAnsi="Cambria Math" w:cs="Times New Roman"/>
                            <w:sz w:val="20"/>
                            <w:szCs w:val="20"/>
                            <w:lang w:val="en-GB"/>
                          </w:rPr>
                          <m:t>C</m:t>
                        </m:r>
                      </m:sub>
                    </m:sSub>
                  </m:e>
                </m:nary>
              </m:oMath>
            </m:oMathPara>
          </w:p>
        </w:tc>
        <w:tc>
          <w:tcPr>
            <w:tcW w:w="785" w:type="dxa"/>
          </w:tcPr>
          <w:p w14:paraId="590B233A" w14:textId="1AB7C617" w:rsidR="00F45FAB" w:rsidRPr="00F45FAB" w:rsidRDefault="00F45FAB" w:rsidP="00F6146F">
            <w:pPr>
              <w:pStyle w:val="Caption"/>
              <w:keepNext/>
              <w:jc w:val="right"/>
              <w:rPr>
                <w:rFonts w:ascii="Times New Roman" w:eastAsiaTheme="minorEastAsia" w:hAnsi="Times New Roman" w:cs="Times New Roman"/>
                <w:i/>
                <w:sz w:val="20"/>
                <w:szCs w:val="20"/>
                <w:lang w:val="en-GB"/>
              </w:rPr>
            </w:pPr>
            <w:r w:rsidRPr="00F45FAB">
              <w:rPr>
                <w:rFonts w:ascii="Times New Roman" w:eastAsiaTheme="minorEastAsia" w:hAnsi="Times New Roman" w:cs="Times New Roman"/>
                <w:sz w:val="20"/>
                <w:szCs w:val="20"/>
                <w:lang w:val="en-GB"/>
              </w:rPr>
              <w:t>(</w:t>
            </w:r>
            <w:r w:rsidRPr="00F45FAB">
              <w:rPr>
                <w:rFonts w:eastAsiaTheme="minorEastAsia"/>
                <w:i/>
                <w:sz w:val="20"/>
                <w:lang w:val="en-GB"/>
              </w:rPr>
              <w:fldChar w:fldCharType="begin"/>
            </w:r>
            <w:r w:rsidRPr="00F45FAB">
              <w:rPr>
                <w:rFonts w:ascii="Times New Roman" w:eastAsiaTheme="minorEastAsia" w:hAnsi="Times New Roman" w:cs="Times New Roman"/>
                <w:sz w:val="20"/>
                <w:szCs w:val="20"/>
                <w:lang w:val="en-GB"/>
              </w:rPr>
              <w:instrText xml:space="preserve"> SEQ Equation \* ARABIC </w:instrText>
            </w:r>
            <w:r w:rsidRPr="00F45FAB">
              <w:rPr>
                <w:rFonts w:eastAsiaTheme="minorEastAsia"/>
                <w:i/>
                <w:sz w:val="20"/>
                <w:lang w:val="en-GB"/>
              </w:rPr>
              <w:fldChar w:fldCharType="separate"/>
            </w:r>
            <w:r w:rsidR="002E7A07">
              <w:rPr>
                <w:rFonts w:ascii="Times New Roman" w:eastAsiaTheme="minorEastAsia" w:hAnsi="Times New Roman" w:cs="Times New Roman"/>
                <w:noProof/>
                <w:sz w:val="20"/>
                <w:szCs w:val="20"/>
                <w:lang w:val="en-GB"/>
              </w:rPr>
              <w:t>11</w:t>
            </w:r>
            <w:r w:rsidRPr="00F45FAB">
              <w:rPr>
                <w:rFonts w:eastAsiaTheme="minorEastAsia"/>
                <w:i/>
                <w:sz w:val="20"/>
                <w:lang w:val="en-GB"/>
              </w:rPr>
              <w:fldChar w:fldCharType="end"/>
            </w:r>
            <w:r w:rsidRPr="00F45FAB">
              <w:rPr>
                <w:rFonts w:ascii="Times New Roman" w:eastAsiaTheme="minorEastAsia" w:hAnsi="Times New Roman" w:cs="Times New Roman"/>
                <w:sz w:val="20"/>
                <w:szCs w:val="20"/>
                <w:lang w:val="en-GB"/>
              </w:rPr>
              <w:t>)</w:t>
            </w:r>
          </w:p>
        </w:tc>
      </w:tr>
    </w:tbl>
    <w:p w14:paraId="19E80235" w14:textId="4EBF5706" w:rsidR="00010013" w:rsidRPr="00010013" w:rsidRDefault="00010013" w:rsidP="00010013">
      <w:pPr>
        <w:jc w:val="both"/>
        <w:rPr>
          <w:rFonts w:eastAsiaTheme="minorEastAsia"/>
        </w:rPr>
      </w:pPr>
      <w:r w:rsidRPr="00010013">
        <w:rPr>
          <w:rFonts w:eastAsiaTheme="minorEastAsia"/>
        </w:rPr>
        <w:t xml:space="preserve">The cost of different </w:t>
      </w:r>
      <w:r w:rsidR="00AC6DF8">
        <w:rPr>
          <w:rFonts w:eastAsiaTheme="minorEastAsia"/>
        </w:rPr>
        <w:t>inputs</w:t>
      </w:r>
      <w:r w:rsidRPr="00010013">
        <w:rPr>
          <w:rFonts w:eastAsiaTheme="minorEastAsia"/>
        </w:rPr>
        <w:t xml:space="preserve"> </w:t>
      </w:r>
      <w:r w:rsidR="00A71BBB">
        <w:rPr>
          <w:rFonts w:eastAsiaTheme="minorEastAsia"/>
        </w:rPr>
        <w:t xml:space="preserve">is given </w:t>
      </w:r>
      <w:r w:rsidRPr="00010013">
        <w:rPr>
          <w:rFonts w:eastAsiaTheme="minorEastAsia"/>
        </w:rPr>
        <w:t xml:space="preserve">in </w:t>
      </w:r>
      <w:r w:rsidRPr="00010013">
        <w:rPr>
          <w:rFonts w:eastAsiaTheme="minorEastAsia"/>
        </w:rPr>
        <w:fldChar w:fldCharType="begin"/>
      </w:r>
      <w:r w:rsidRPr="00010013">
        <w:rPr>
          <w:rFonts w:eastAsiaTheme="minorEastAsia"/>
        </w:rPr>
        <w:instrText xml:space="preserve"> REF _Ref105402115 \h  \* MERGEFORMAT </w:instrText>
      </w:r>
      <w:r w:rsidRPr="00010013">
        <w:rPr>
          <w:rFonts w:eastAsiaTheme="minorEastAsia"/>
        </w:rPr>
      </w:r>
      <w:r w:rsidRPr="00010013">
        <w:rPr>
          <w:rFonts w:eastAsiaTheme="minorEastAsia"/>
        </w:rPr>
        <w:fldChar w:fldCharType="separate"/>
      </w:r>
      <w:r w:rsidR="002E7A07" w:rsidRPr="00010013">
        <w:rPr>
          <w:rFonts w:eastAsiaTheme="minorEastAsia"/>
        </w:rPr>
        <w:t xml:space="preserve">Table </w:t>
      </w:r>
      <w:r w:rsidR="002E7A07">
        <w:rPr>
          <w:rFonts w:eastAsiaTheme="minorEastAsia"/>
        </w:rPr>
        <w:t>1</w:t>
      </w:r>
      <w:r w:rsidRPr="00010013">
        <w:rPr>
          <w:rFonts w:eastAsiaTheme="minorEastAsia"/>
        </w:rPr>
        <w:fldChar w:fldCharType="end"/>
      </w:r>
      <w:r w:rsidRPr="00010013">
        <w:rPr>
          <w:rFonts w:eastAsiaTheme="minorEastAsia"/>
        </w:rPr>
        <w:t xml:space="preserve">. </w:t>
      </w:r>
    </w:p>
    <w:p w14:paraId="74A95908" w14:textId="220B0D53" w:rsidR="00010013" w:rsidRPr="00010013" w:rsidRDefault="00010013" w:rsidP="00010013">
      <w:pPr>
        <w:pStyle w:val="Caption"/>
        <w:keepNext/>
        <w:rPr>
          <w:rFonts w:eastAsiaTheme="minorEastAsia"/>
          <w:i/>
          <w:sz w:val="20"/>
          <w:lang w:val="en-GB"/>
        </w:rPr>
      </w:pPr>
      <w:bookmarkStart w:id="5" w:name="_Ref105402115"/>
      <w:r w:rsidRPr="00010013">
        <w:rPr>
          <w:rFonts w:eastAsiaTheme="minorEastAsia"/>
          <w:sz w:val="20"/>
          <w:lang w:val="en-GB"/>
        </w:rPr>
        <w:t xml:space="preserve">Table </w:t>
      </w:r>
      <w:r w:rsidRPr="00010013">
        <w:rPr>
          <w:rFonts w:eastAsiaTheme="minorEastAsia"/>
          <w:i/>
          <w:sz w:val="20"/>
          <w:lang w:val="en-GB"/>
        </w:rPr>
        <w:fldChar w:fldCharType="begin"/>
      </w:r>
      <w:r w:rsidRPr="00010013">
        <w:rPr>
          <w:rFonts w:eastAsiaTheme="minorEastAsia"/>
          <w:sz w:val="20"/>
          <w:lang w:val="en-GB"/>
        </w:rPr>
        <w:instrText xml:space="preserve"> SEQ Table \* ARABIC </w:instrText>
      </w:r>
      <w:r w:rsidRPr="00010013">
        <w:rPr>
          <w:rFonts w:eastAsiaTheme="minorEastAsia"/>
          <w:i/>
          <w:sz w:val="20"/>
          <w:lang w:val="en-GB"/>
        </w:rPr>
        <w:fldChar w:fldCharType="separate"/>
      </w:r>
      <w:r w:rsidR="002E7A07">
        <w:rPr>
          <w:rFonts w:eastAsiaTheme="minorEastAsia"/>
          <w:noProof/>
          <w:sz w:val="20"/>
          <w:lang w:val="en-GB"/>
        </w:rPr>
        <w:t>1</w:t>
      </w:r>
      <w:r w:rsidRPr="00010013">
        <w:rPr>
          <w:rFonts w:eastAsiaTheme="minorEastAsia"/>
          <w:i/>
          <w:sz w:val="20"/>
          <w:lang w:val="en-GB"/>
        </w:rPr>
        <w:fldChar w:fldCharType="end"/>
      </w:r>
      <w:bookmarkEnd w:id="5"/>
      <w:r w:rsidRPr="00010013">
        <w:rPr>
          <w:rFonts w:eastAsiaTheme="minorEastAsia"/>
          <w:sz w:val="20"/>
          <w:lang w:val="en-GB"/>
        </w:rPr>
        <w:t xml:space="preserve">: Cost of different greenhouse inputs. </w:t>
      </w:r>
    </w:p>
    <w:tbl>
      <w:tblPr>
        <w:tblStyle w:val="TableGrid"/>
        <w:tblW w:w="5760" w:type="dxa"/>
        <w:tblLook w:val="04A0" w:firstRow="1" w:lastRow="0" w:firstColumn="1" w:lastColumn="0" w:noHBand="0" w:noVBand="1"/>
      </w:tblPr>
      <w:tblGrid>
        <w:gridCol w:w="2570"/>
        <w:gridCol w:w="1390"/>
        <w:gridCol w:w="1800"/>
      </w:tblGrid>
      <w:tr w:rsidR="00010013" w:rsidRPr="00010013" w14:paraId="2564C61B" w14:textId="77777777" w:rsidTr="00316D0D">
        <w:tc>
          <w:tcPr>
            <w:tcW w:w="2570" w:type="dxa"/>
            <w:tcBorders>
              <w:top w:val="single" w:sz="4" w:space="0" w:color="auto"/>
              <w:left w:val="nil"/>
              <w:bottom w:val="single" w:sz="4" w:space="0" w:color="auto"/>
              <w:right w:val="nil"/>
            </w:tcBorders>
          </w:tcPr>
          <w:p w14:paraId="1FC98770" w14:textId="77777777" w:rsidR="00010013" w:rsidRPr="00010013" w:rsidRDefault="00010013" w:rsidP="00BC2EB9">
            <w:pPr>
              <w:jc w:val="both"/>
              <w:rPr>
                <w:rFonts w:ascii="Times New Roman" w:eastAsiaTheme="minorEastAsia" w:hAnsi="Times New Roman" w:cs="Times New Roman"/>
                <w:b/>
                <w:sz w:val="20"/>
                <w:szCs w:val="20"/>
                <w:lang w:val="en-GB"/>
              </w:rPr>
            </w:pPr>
            <w:r w:rsidRPr="00010013">
              <w:rPr>
                <w:rFonts w:ascii="Times New Roman" w:eastAsiaTheme="minorEastAsia" w:hAnsi="Times New Roman" w:cs="Times New Roman"/>
                <w:b/>
                <w:sz w:val="20"/>
                <w:szCs w:val="20"/>
                <w:lang w:val="en-GB"/>
              </w:rPr>
              <w:t xml:space="preserve">Inputs </w:t>
            </w:r>
          </w:p>
        </w:tc>
        <w:tc>
          <w:tcPr>
            <w:tcW w:w="1390" w:type="dxa"/>
            <w:tcBorders>
              <w:top w:val="single" w:sz="4" w:space="0" w:color="auto"/>
              <w:left w:val="nil"/>
              <w:bottom w:val="single" w:sz="4" w:space="0" w:color="auto"/>
              <w:right w:val="nil"/>
            </w:tcBorders>
          </w:tcPr>
          <w:p w14:paraId="115D8D29" w14:textId="77777777" w:rsidR="00010013" w:rsidRPr="00010013" w:rsidRDefault="00010013" w:rsidP="00BC2EB9">
            <w:pPr>
              <w:rPr>
                <w:rFonts w:ascii="Times New Roman" w:eastAsiaTheme="minorEastAsia" w:hAnsi="Times New Roman" w:cs="Times New Roman"/>
                <w:b/>
                <w:sz w:val="20"/>
                <w:szCs w:val="20"/>
                <w:lang w:val="en-GB"/>
              </w:rPr>
            </w:pPr>
            <w:r w:rsidRPr="00010013">
              <w:rPr>
                <w:rFonts w:ascii="Times New Roman" w:eastAsiaTheme="minorEastAsia" w:hAnsi="Times New Roman" w:cs="Times New Roman"/>
                <w:b/>
                <w:sz w:val="20"/>
                <w:szCs w:val="20"/>
                <w:lang w:val="en-GB"/>
              </w:rPr>
              <w:t>Symbol</w:t>
            </w:r>
          </w:p>
        </w:tc>
        <w:tc>
          <w:tcPr>
            <w:tcW w:w="1800" w:type="dxa"/>
            <w:tcBorders>
              <w:top w:val="single" w:sz="4" w:space="0" w:color="auto"/>
              <w:left w:val="nil"/>
              <w:bottom w:val="single" w:sz="4" w:space="0" w:color="auto"/>
              <w:right w:val="nil"/>
            </w:tcBorders>
          </w:tcPr>
          <w:p w14:paraId="4CFD1D95" w14:textId="77777777" w:rsidR="00010013" w:rsidRPr="00010013" w:rsidRDefault="00010013" w:rsidP="00BC2EB9">
            <w:pPr>
              <w:jc w:val="both"/>
              <w:rPr>
                <w:rFonts w:ascii="Times New Roman" w:eastAsiaTheme="minorEastAsia" w:hAnsi="Times New Roman" w:cs="Times New Roman"/>
                <w:b/>
                <w:sz w:val="20"/>
                <w:szCs w:val="20"/>
                <w:lang w:val="en-GB"/>
              </w:rPr>
            </w:pPr>
            <w:r w:rsidRPr="00010013">
              <w:rPr>
                <w:rFonts w:ascii="Times New Roman" w:eastAsiaTheme="minorEastAsia" w:hAnsi="Times New Roman" w:cs="Times New Roman"/>
                <w:b/>
                <w:sz w:val="20"/>
                <w:szCs w:val="20"/>
                <w:lang w:val="en-GB"/>
              </w:rPr>
              <w:t>Price</w:t>
            </w:r>
          </w:p>
        </w:tc>
      </w:tr>
      <w:tr w:rsidR="00010013" w:rsidRPr="00010013" w14:paraId="031567DC" w14:textId="77777777" w:rsidTr="00316D0D">
        <w:tc>
          <w:tcPr>
            <w:tcW w:w="2570" w:type="dxa"/>
            <w:tcBorders>
              <w:left w:val="nil"/>
              <w:bottom w:val="nil"/>
              <w:right w:val="nil"/>
            </w:tcBorders>
          </w:tcPr>
          <w:p w14:paraId="2610BFA5" w14:textId="77777777" w:rsidR="00010013" w:rsidRPr="00010013" w:rsidRDefault="00010013" w:rsidP="00BC2EB9">
            <w:pPr>
              <w:jc w:val="both"/>
              <w:rPr>
                <w:rFonts w:ascii="Times New Roman" w:eastAsiaTheme="minorEastAsia" w:hAnsi="Times New Roman" w:cs="Times New Roman"/>
                <w:sz w:val="20"/>
                <w:szCs w:val="20"/>
                <w:lang w:val="en-GB"/>
              </w:rPr>
            </w:pPr>
            <w:r w:rsidRPr="00010013">
              <w:rPr>
                <w:rFonts w:ascii="Times New Roman" w:eastAsiaTheme="minorEastAsia" w:hAnsi="Times New Roman" w:cs="Times New Roman"/>
                <w:sz w:val="20"/>
                <w:szCs w:val="20"/>
                <w:lang w:val="en-GB"/>
              </w:rPr>
              <w:t xml:space="preserve">Structure construction </w:t>
            </w:r>
          </w:p>
        </w:tc>
        <w:tc>
          <w:tcPr>
            <w:tcW w:w="1390" w:type="dxa"/>
            <w:tcBorders>
              <w:left w:val="nil"/>
              <w:bottom w:val="nil"/>
              <w:right w:val="nil"/>
            </w:tcBorders>
          </w:tcPr>
          <w:p w14:paraId="6B94DB81" w14:textId="77777777" w:rsidR="00010013" w:rsidRPr="00010013" w:rsidRDefault="00AA6C93" w:rsidP="00BC2EB9">
            <w:pPr>
              <w:rPr>
                <w:rFonts w:ascii="Times New Roman" w:eastAsiaTheme="minorEastAsia" w:hAnsi="Times New Roman" w:cs="Times New Roman"/>
                <w:sz w:val="20"/>
                <w:szCs w:val="20"/>
                <w:lang w:val="en-GB"/>
              </w:rPr>
            </w:pPr>
            <m:oMathPara>
              <m:oMathParaPr>
                <m:jc m:val="left"/>
              </m:oMathParaPr>
              <m:oMath>
                <m:sSub>
                  <m:sSubPr>
                    <m:ctrlPr>
                      <w:rPr>
                        <w:rFonts w:ascii="Cambria Math" w:hAnsi="Cambria Math" w:cs="Times New Roman"/>
                        <w:i/>
                        <w:sz w:val="20"/>
                        <w:szCs w:val="20"/>
                        <w:lang w:val="en-GB"/>
                      </w:rPr>
                    </m:ctrlPr>
                  </m:sSubPr>
                  <m:e>
                    <m:r>
                      <w:rPr>
                        <w:rFonts w:ascii="Cambria Math" w:hAnsi="Cambria Math" w:cs="Times New Roman"/>
                        <w:sz w:val="20"/>
                        <w:szCs w:val="20"/>
                        <w:lang w:val="en-GB"/>
                      </w:rPr>
                      <m:t>S</m:t>
                    </m:r>
                  </m:e>
                  <m:sub>
                    <m:r>
                      <w:rPr>
                        <w:rFonts w:ascii="Cambria Math" w:hAnsi="Cambria Math" w:cs="Times New Roman"/>
                        <w:sz w:val="20"/>
                        <w:szCs w:val="20"/>
                        <w:lang w:val="en-GB"/>
                      </w:rPr>
                      <m:t>cost</m:t>
                    </m:r>
                  </m:sub>
                </m:sSub>
              </m:oMath>
            </m:oMathPara>
          </w:p>
        </w:tc>
        <w:tc>
          <w:tcPr>
            <w:tcW w:w="1800" w:type="dxa"/>
            <w:tcBorders>
              <w:left w:val="nil"/>
              <w:bottom w:val="nil"/>
              <w:right w:val="nil"/>
            </w:tcBorders>
          </w:tcPr>
          <w:p w14:paraId="48B5D767" w14:textId="21766D2B" w:rsidR="00010013" w:rsidRPr="00010013" w:rsidRDefault="00010013" w:rsidP="00BC2EB9">
            <w:pPr>
              <w:jc w:val="both"/>
              <w:rPr>
                <w:rFonts w:ascii="Times New Roman" w:eastAsiaTheme="minorEastAsia" w:hAnsi="Times New Roman" w:cs="Times New Roman"/>
                <w:sz w:val="20"/>
                <w:szCs w:val="20"/>
                <w:lang w:val="en-GB"/>
              </w:rPr>
            </w:pPr>
            <w:r w:rsidRPr="00010013">
              <w:rPr>
                <w:rFonts w:ascii="Times New Roman" w:eastAsiaTheme="minorEastAsia" w:hAnsi="Times New Roman" w:cs="Times New Roman"/>
                <w:sz w:val="20"/>
                <w:szCs w:val="20"/>
                <w:lang w:val="en-GB"/>
              </w:rPr>
              <w:t>$25 m</w:t>
            </w:r>
            <w:r w:rsidRPr="00010013">
              <w:rPr>
                <w:rFonts w:ascii="Times New Roman" w:eastAsiaTheme="minorEastAsia" w:hAnsi="Times New Roman" w:cs="Times New Roman"/>
                <w:sz w:val="20"/>
                <w:szCs w:val="20"/>
                <w:vertAlign w:val="superscript"/>
                <w:lang w:val="en-GB"/>
              </w:rPr>
              <w:t>-2</w:t>
            </w:r>
            <w:r w:rsidRPr="00010013">
              <w:rPr>
                <w:rFonts w:ascii="Times New Roman" w:eastAsiaTheme="minorEastAsia" w:hAnsi="Times New Roman" w:cs="Times New Roman"/>
                <w:sz w:val="20"/>
                <w:szCs w:val="20"/>
                <w:lang w:val="en-GB"/>
              </w:rPr>
              <w:t xml:space="preserve"> </w:t>
            </w:r>
          </w:p>
        </w:tc>
      </w:tr>
      <w:tr w:rsidR="00010013" w:rsidRPr="00010013" w14:paraId="5AFC9097" w14:textId="77777777" w:rsidTr="00316D0D">
        <w:tc>
          <w:tcPr>
            <w:tcW w:w="2570" w:type="dxa"/>
            <w:tcBorders>
              <w:top w:val="nil"/>
              <w:left w:val="nil"/>
              <w:bottom w:val="nil"/>
              <w:right w:val="nil"/>
            </w:tcBorders>
          </w:tcPr>
          <w:p w14:paraId="673E0370" w14:textId="77777777" w:rsidR="00010013" w:rsidRPr="00010013" w:rsidRDefault="00010013" w:rsidP="00BC2EB9">
            <w:pPr>
              <w:jc w:val="both"/>
              <w:rPr>
                <w:rFonts w:ascii="Times New Roman" w:eastAsiaTheme="minorEastAsia" w:hAnsi="Times New Roman" w:cs="Times New Roman"/>
                <w:sz w:val="20"/>
                <w:szCs w:val="20"/>
                <w:lang w:val="en-GB"/>
              </w:rPr>
            </w:pPr>
            <w:r w:rsidRPr="00010013">
              <w:rPr>
                <w:rFonts w:ascii="Times New Roman" w:eastAsiaTheme="minorEastAsia" w:hAnsi="Times New Roman" w:cs="Times New Roman"/>
                <w:sz w:val="20"/>
                <w:szCs w:val="20"/>
                <w:lang w:val="en-GB"/>
              </w:rPr>
              <w:t xml:space="preserve">Electricity </w:t>
            </w:r>
          </w:p>
        </w:tc>
        <w:tc>
          <w:tcPr>
            <w:tcW w:w="1390" w:type="dxa"/>
            <w:tcBorders>
              <w:top w:val="nil"/>
              <w:left w:val="nil"/>
              <w:bottom w:val="nil"/>
              <w:right w:val="nil"/>
            </w:tcBorders>
          </w:tcPr>
          <w:p w14:paraId="5116D973" w14:textId="77777777" w:rsidR="00010013" w:rsidRPr="00010013" w:rsidRDefault="00AA6C93" w:rsidP="00BC2EB9">
            <w:pPr>
              <w:rPr>
                <w:rFonts w:ascii="Times New Roman" w:eastAsiaTheme="minorEastAsia" w:hAnsi="Times New Roman" w:cs="Times New Roman"/>
                <w:sz w:val="20"/>
                <w:szCs w:val="20"/>
                <w:lang w:val="en-GB"/>
              </w:rPr>
            </w:pPr>
            <m:oMathPara>
              <m:oMathParaPr>
                <m:jc m:val="left"/>
              </m:oMathParaP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C</m:t>
                    </m:r>
                  </m:e>
                  <m:sub>
                    <m:r>
                      <w:rPr>
                        <w:rFonts w:ascii="Cambria Math" w:eastAsiaTheme="minorEastAsia" w:hAnsi="Cambria Math" w:cs="Times New Roman"/>
                        <w:sz w:val="20"/>
                        <w:szCs w:val="20"/>
                        <w:lang w:val="en-GB"/>
                      </w:rPr>
                      <m:t>Elec</m:t>
                    </m:r>
                  </m:sub>
                </m:sSub>
              </m:oMath>
            </m:oMathPara>
          </w:p>
        </w:tc>
        <w:tc>
          <w:tcPr>
            <w:tcW w:w="1800" w:type="dxa"/>
            <w:tcBorders>
              <w:top w:val="nil"/>
              <w:left w:val="nil"/>
              <w:bottom w:val="nil"/>
              <w:right w:val="nil"/>
            </w:tcBorders>
          </w:tcPr>
          <w:p w14:paraId="74A0E19F" w14:textId="0605A422" w:rsidR="00010013" w:rsidRPr="00010013" w:rsidRDefault="00010013" w:rsidP="00BC2EB9">
            <w:pPr>
              <w:jc w:val="both"/>
              <w:rPr>
                <w:rFonts w:ascii="Times New Roman" w:eastAsiaTheme="minorEastAsia" w:hAnsi="Times New Roman" w:cs="Times New Roman"/>
                <w:sz w:val="20"/>
                <w:szCs w:val="20"/>
                <w:lang w:val="en-GB"/>
              </w:rPr>
            </w:pPr>
            <w:r w:rsidRPr="00010013">
              <w:rPr>
                <w:rFonts w:ascii="Times New Roman" w:eastAsiaTheme="minorEastAsia" w:hAnsi="Times New Roman" w:cs="Times New Roman"/>
                <w:sz w:val="20"/>
                <w:szCs w:val="20"/>
                <w:lang w:val="en-GB"/>
              </w:rPr>
              <w:t>$0.036 kWh</w:t>
            </w:r>
            <w:r w:rsidRPr="00010013">
              <w:rPr>
                <w:rFonts w:ascii="Times New Roman" w:eastAsiaTheme="minorEastAsia" w:hAnsi="Times New Roman" w:cs="Times New Roman"/>
                <w:sz w:val="20"/>
                <w:szCs w:val="20"/>
                <w:vertAlign w:val="superscript"/>
                <w:lang w:val="en-GB"/>
              </w:rPr>
              <w:t>-1</w:t>
            </w:r>
            <w:r w:rsidRPr="00010013">
              <w:rPr>
                <w:rFonts w:ascii="Times New Roman" w:eastAsiaTheme="minorEastAsia" w:hAnsi="Times New Roman" w:cs="Times New Roman"/>
                <w:sz w:val="20"/>
                <w:szCs w:val="20"/>
                <w:lang w:val="en-GB"/>
              </w:rPr>
              <w:t xml:space="preserve"> </w:t>
            </w:r>
          </w:p>
        </w:tc>
      </w:tr>
      <w:tr w:rsidR="00010013" w:rsidRPr="00010013" w14:paraId="2EAE74E9" w14:textId="77777777" w:rsidTr="00316D0D">
        <w:tc>
          <w:tcPr>
            <w:tcW w:w="2570" w:type="dxa"/>
            <w:tcBorders>
              <w:top w:val="nil"/>
              <w:left w:val="nil"/>
              <w:bottom w:val="nil"/>
              <w:right w:val="nil"/>
            </w:tcBorders>
          </w:tcPr>
          <w:p w14:paraId="2643C633" w14:textId="77777777" w:rsidR="00010013" w:rsidRPr="00010013" w:rsidRDefault="00010013" w:rsidP="00BC2EB9">
            <w:pPr>
              <w:jc w:val="both"/>
              <w:rPr>
                <w:rFonts w:ascii="Times New Roman" w:eastAsiaTheme="minorEastAsia" w:hAnsi="Times New Roman" w:cs="Times New Roman"/>
                <w:sz w:val="20"/>
                <w:szCs w:val="20"/>
                <w:lang w:val="en-GB"/>
              </w:rPr>
            </w:pPr>
            <w:r w:rsidRPr="00010013">
              <w:rPr>
                <w:rFonts w:ascii="Times New Roman" w:eastAsiaTheme="minorEastAsia" w:hAnsi="Times New Roman" w:cs="Times New Roman"/>
                <w:sz w:val="20"/>
                <w:szCs w:val="20"/>
                <w:lang w:val="en-GB"/>
              </w:rPr>
              <w:t xml:space="preserve">Water </w:t>
            </w:r>
          </w:p>
        </w:tc>
        <w:tc>
          <w:tcPr>
            <w:tcW w:w="1390" w:type="dxa"/>
            <w:tcBorders>
              <w:top w:val="nil"/>
              <w:left w:val="nil"/>
              <w:bottom w:val="nil"/>
              <w:right w:val="nil"/>
            </w:tcBorders>
          </w:tcPr>
          <w:p w14:paraId="11176819" w14:textId="77777777" w:rsidR="00010013" w:rsidRPr="00010013" w:rsidRDefault="00AA6C93" w:rsidP="00BC2EB9">
            <w:pPr>
              <w:rPr>
                <w:rFonts w:ascii="Times New Roman" w:eastAsiaTheme="minorEastAsia" w:hAnsi="Times New Roman" w:cs="Times New Roman"/>
                <w:sz w:val="20"/>
                <w:szCs w:val="20"/>
                <w:lang w:val="en-GB"/>
              </w:rPr>
            </w:pPr>
            <m:oMathPara>
              <m:oMathParaPr>
                <m:jc m:val="left"/>
              </m:oMathParaP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C</m:t>
                    </m:r>
                  </m:e>
                  <m:sub>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H</m:t>
                        </m:r>
                      </m:e>
                      <m:sub>
                        <m:r>
                          <w:rPr>
                            <w:rFonts w:ascii="Cambria Math" w:eastAsiaTheme="minorEastAsia" w:hAnsi="Cambria Math" w:cs="Times New Roman"/>
                            <w:sz w:val="20"/>
                            <w:szCs w:val="20"/>
                            <w:lang w:val="en-GB"/>
                          </w:rPr>
                          <m:t>2</m:t>
                        </m:r>
                      </m:sub>
                    </m:sSub>
                    <m:r>
                      <w:rPr>
                        <w:rFonts w:ascii="Cambria Math" w:eastAsiaTheme="minorEastAsia" w:hAnsi="Cambria Math" w:cs="Times New Roman"/>
                        <w:sz w:val="20"/>
                        <w:szCs w:val="20"/>
                        <w:lang w:val="en-GB"/>
                      </w:rPr>
                      <m:t>O</m:t>
                    </m:r>
                  </m:sub>
                </m:sSub>
              </m:oMath>
            </m:oMathPara>
          </w:p>
        </w:tc>
        <w:tc>
          <w:tcPr>
            <w:tcW w:w="1800" w:type="dxa"/>
            <w:tcBorders>
              <w:top w:val="nil"/>
              <w:left w:val="nil"/>
              <w:bottom w:val="nil"/>
              <w:right w:val="nil"/>
            </w:tcBorders>
          </w:tcPr>
          <w:p w14:paraId="4A014B31" w14:textId="5BCA96BC" w:rsidR="00010013" w:rsidRPr="00010013" w:rsidRDefault="00010013" w:rsidP="00BC2EB9">
            <w:pPr>
              <w:jc w:val="both"/>
              <w:rPr>
                <w:rFonts w:ascii="Times New Roman" w:eastAsiaTheme="minorEastAsia" w:hAnsi="Times New Roman" w:cs="Times New Roman"/>
                <w:sz w:val="20"/>
                <w:szCs w:val="20"/>
                <w:lang w:val="en-GB"/>
              </w:rPr>
            </w:pPr>
            <w:r w:rsidRPr="00010013">
              <w:rPr>
                <w:rFonts w:ascii="Times New Roman" w:eastAsiaTheme="minorEastAsia" w:hAnsi="Times New Roman" w:cs="Times New Roman"/>
                <w:sz w:val="20"/>
                <w:szCs w:val="20"/>
                <w:lang w:val="en-GB"/>
              </w:rPr>
              <w:t>$1.43 m</w:t>
            </w:r>
            <w:r w:rsidRPr="00010013">
              <w:rPr>
                <w:rFonts w:ascii="Times New Roman" w:eastAsiaTheme="minorEastAsia" w:hAnsi="Times New Roman" w:cs="Times New Roman"/>
                <w:sz w:val="20"/>
                <w:szCs w:val="20"/>
                <w:vertAlign w:val="superscript"/>
                <w:lang w:val="en-GB"/>
              </w:rPr>
              <w:t>-3</w:t>
            </w:r>
            <w:r w:rsidRPr="00010013">
              <w:rPr>
                <w:rFonts w:ascii="Times New Roman" w:eastAsiaTheme="minorEastAsia" w:hAnsi="Times New Roman" w:cs="Times New Roman"/>
                <w:sz w:val="20"/>
                <w:szCs w:val="20"/>
                <w:lang w:val="en-GB"/>
              </w:rPr>
              <w:t xml:space="preserve"> </w:t>
            </w:r>
          </w:p>
        </w:tc>
      </w:tr>
      <w:tr w:rsidR="00010013" w:rsidRPr="00010013" w14:paraId="2C65F45D" w14:textId="77777777" w:rsidTr="00316D0D">
        <w:tc>
          <w:tcPr>
            <w:tcW w:w="2570" w:type="dxa"/>
            <w:tcBorders>
              <w:top w:val="nil"/>
              <w:left w:val="nil"/>
              <w:bottom w:val="nil"/>
              <w:right w:val="nil"/>
            </w:tcBorders>
          </w:tcPr>
          <w:p w14:paraId="75C7EDE0" w14:textId="77777777" w:rsidR="00010013" w:rsidRPr="00010013" w:rsidRDefault="00010013" w:rsidP="00BC2EB9">
            <w:pPr>
              <w:jc w:val="both"/>
              <w:rPr>
                <w:rFonts w:ascii="Times New Roman" w:eastAsiaTheme="minorEastAsia" w:hAnsi="Times New Roman" w:cs="Times New Roman"/>
                <w:sz w:val="20"/>
                <w:szCs w:val="20"/>
                <w:lang w:val="en-GB"/>
              </w:rPr>
            </w:pPr>
            <w:r w:rsidRPr="00010013">
              <w:rPr>
                <w:rFonts w:ascii="Times New Roman" w:eastAsiaTheme="minorEastAsia" w:hAnsi="Times New Roman" w:cs="Times New Roman"/>
                <w:sz w:val="20"/>
                <w:szCs w:val="20"/>
                <w:lang w:val="en-GB"/>
              </w:rPr>
              <w:t>CO</w:t>
            </w:r>
            <w:r w:rsidRPr="00010013">
              <w:rPr>
                <w:rFonts w:ascii="Times New Roman" w:eastAsiaTheme="minorEastAsia" w:hAnsi="Times New Roman" w:cs="Times New Roman"/>
                <w:sz w:val="20"/>
                <w:szCs w:val="20"/>
                <w:vertAlign w:val="subscript"/>
                <w:lang w:val="en-GB"/>
              </w:rPr>
              <w:t>2</w:t>
            </w:r>
          </w:p>
        </w:tc>
        <w:tc>
          <w:tcPr>
            <w:tcW w:w="1390" w:type="dxa"/>
            <w:tcBorders>
              <w:top w:val="nil"/>
              <w:left w:val="nil"/>
              <w:bottom w:val="nil"/>
              <w:right w:val="nil"/>
            </w:tcBorders>
          </w:tcPr>
          <w:p w14:paraId="11FDA569" w14:textId="77777777" w:rsidR="00010013" w:rsidRPr="00010013" w:rsidRDefault="00AA6C93" w:rsidP="00BC2EB9">
            <w:pPr>
              <w:rPr>
                <w:rFonts w:ascii="Times New Roman" w:eastAsiaTheme="minorEastAsia" w:hAnsi="Times New Roman" w:cs="Times New Roman"/>
                <w:sz w:val="20"/>
                <w:szCs w:val="20"/>
                <w:lang w:val="en-GB"/>
              </w:rPr>
            </w:pPr>
            <m:oMathPara>
              <m:oMathParaPr>
                <m:jc m:val="left"/>
              </m:oMathParaP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C</m:t>
                    </m:r>
                  </m:e>
                  <m:sub>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CO</m:t>
                        </m:r>
                      </m:e>
                      <m:sub>
                        <m:r>
                          <w:rPr>
                            <w:rFonts w:ascii="Cambria Math" w:eastAsiaTheme="minorEastAsia" w:hAnsi="Cambria Math" w:cs="Times New Roman"/>
                            <w:sz w:val="20"/>
                            <w:szCs w:val="20"/>
                            <w:lang w:val="en-GB"/>
                          </w:rPr>
                          <m:t>2</m:t>
                        </m:r>
                      </m:sub>
                    </m:sSub>
                  </m:sub>
                </m:sSub>
              </m:oMath>
            </m:oMathPara>
          </w:p>
        </w:tc>
        <w:tc>
          <w:tcPr>
            <w:tcW w:w="1800" w:type="dxa"/>
            <w:tcBorders>
              <w:top w:val="nil"/>
              <w:left w:val="nil"/>
              <w:bottom w:val="nil"/>
              <w:right w:val="nil"/>
            </w:tcBorders>
          </w:tcPr>
          <w:p w14:paraId="4ABF6A83" w14:textId="77777777" w:rsidR="00010013" w:rsidRPr="00010013" w:rsidRDefault="00010013" w:rsidP="00BC2EB9">
            <w:pPr>
              <w:jc w:val="both"/>
              <w:rPr>
                <w:rFonts w:ascii="Times New Roman" w:eastAsiaTheme="minorEastAsia" w:hAnsi="Times New Roman" w:cs="Times New Roman"/>
                <w:sz w:val="20"/>
                <w:szCs w:val="20"/>
                <w:lang w:val="en-GB"/>
              </w:rPr>
            </w:pPr>
            <w:r w:rsidRPr="00010013">
              <w:rPr>
                <w:rFonts w:ascii="Times New Roman" w:eastAsiaTheme="minorEastAsia" w:hAnsi="Times New Roman" w:cs="Times New Roman"/>
                <w:sz w:val="20"/>
                <w:szCs w:val="20"/>
                <w:lang w:val="en-GB"/>
              </w:rPr>
              <w:t>$2 kg</w:t>
            </w:r>
            <w:r w:rsidRPr="00010013">
              <w:rPr>
                <w:rFonts w:ascii="Times New Roman" w:eastAsiaTheme="minorEastAsia" w:hAnsi="Times New Roman" w:cs="Times New Roman"/>
                <w:sz w:val="20"/>
                <w:szCs w:val="20"/>
                <w:vertAlign w:val="superscript"/>
                <w:lang w:val="en-GB"/>
              </w:rPr>
              <w:t>-1</w:t>
            </w:r>
            <w:r w:rsidRPr="00010013">
              <w:rPr>
                <w:rFonts w:ascii="Times New Roman" w:eastAsiaTheme="minorEastAsia" w:hAnsi="Times New Roman" w:cs="Times New Roman"/>
                <w:sz w:val="20"/>
                <w:szCs w:val="20"/>
                <w:lang w:val="en-GB"/>
              </w:rPr>
              <w:t xml:space="preserve"> </w:t>
            </w:r>
          </w:p>
        </w:tc>
      </w:tr>
      <w:tr w:rsidR="00010013" w:rsidRPr="00010013" w14:paraId="7B49ABDA" w14:textId="77777777" w:rsidTr="00316D0D">
        <w:tc>
          <w:tcPr>
            <w:tcW w:w="2570" w:type="dxa"/>
            <w:tcBorders>
              <w:top w:val="nil"/>
              <w:left w:val="nil"/>
              <w:bottom w:val="nil"/>
              <w:right w:val="nil"/>
            </w:tcBorders>
          </w:tcPr>
          <w:p w14:paraId="5E5C6648" w14:textId="77777777" w:rsidR="00010013" w:rsidRPr="00010013" w:rsidRDefault="00010013" w:rsidP="00BC2EB9">
            <w:pPr>
              <w:jc w:val="both"/>
              <w:rPr>
                <w:rFonts w:ascii="Times New Roman" w:eastAsiaTheme="minorEastAsia" w:hAnsi="Times New Roman" w:cs="Times New Roman"/>
                <w:sz w:val="20"/>
                <w:szCs w:val="20"/>
                <w:lang w:val="en-GB"/>
              </w:rPr>
            </w:pPr>
            <w:r w:rsidRPr="00010013">
              <w:rPr>
                <w:rFonts w:ascii="Times New Roman" w:eastAsiaTheme="minorEastAsia" w:hAnsi="Times New Roman" w:cs="Times New Roman"/>
                <w:sz w:val="20"/>
                <w:szCs w:val="20"/>
                <w:lang w:val="en-GB"/>
              </w:rPr>
              <w:t xml:space="preserve">Fertilizer </w:t>
            </w:r>
          </w:p>
        </w:tc>
        <w:tc>
          <w:tcPr>
            <w:tcW w:w="1390" w:type="dxa"/>
            <w:tcBorders>
              <w:top w:val="nil"/>
              <w:left w:val="nil"/>
              <w:bottom w:val="nil"/>
              <w:right w:val="nil"/>
            </w:tcBorders>
          </w:tcPr>
          <w:p w14:paraId="19CCB179" w14:textId="77777777" w:rsidR="00010013" w:rsidRPr="00010013" w:rsidRDefault="00AA6C93" w:rsidP="00BC2EB9">
            <w:pPr>
              <w:rPr>
                <w:rFonts w:ascii="Times New Roman" w:eastAsiaTheme="minorEastAsia" w:hAnsi="Times New Roman" w:cs="Times New Roman"/>
                <w:sz w:val="20"/>
                <w:szCs w:val="20"/>
                <w:lang w:val="en-GB"/>
              </w:rPr>
            </w:pPr>
            <m:oMathPara>
              <m:oMathParaPr>
                <m:jc m:val="left"/>
              </m:oMathParaP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F</m:t>
                    </m:r>
                  </m:e>
                  <m:sub>
                    <m:r>
                      <w:rPr>
                        <w:rFonts w:ascii="Cambria Math" w:eastAsiaTheme="minorEastAsia" w:hAnsi="Cambria Math" w:cs="Times New Roman"/>
                        <w:sz w:val="20"/>
                        <w:szCs w:val="20"/>
                        <w:lang w:val="en-GB"/>
                      </w:rPr>
                      <m:t>C</m:t>
                    </m:r>
                  </m:sub>
                </m:sSub>
              </m:oMath>
            </m:oMathPara>
          </w:p>
        </w:tc>
        <w:tc>
          <w:tcPr>
            <w:tcW w:w="1800" w:type="dxa"/>
            <w:tcBorders>
              <w:top w:val="nil"/>
              <w:left w:val="nil"/>
              <w:bottom w:val="nil"/>
              <w:right w:val="nil"/>
            </w:tcBorders>
          </w:tcPr>
          <w:p w14:paraId="5CC13636" w14:textId="50A6EEDD" w:rsidR="00010013" w:rsidRPr="00010013" w:rsidRDefault="00010013" w:rsidP="00BC2EB9">
            <w:pPr>
              <w:jc w:val="both"/>
              <w:rPr>
                <w:rFonts w:ascii="Times New Roman" w:eastAsiaTheme="minorEastAsia" w:hAnsi="Times New Roman" w:cs="Times New Roman"/>
                <w:sz w:val="20"/>
                <w:szCs w:val="20"/>
                <w:lang w:val="en-GB"/>
              </w:rPr>
            </w:pPr>
            <w:r w:rsidRPr="00010013">
              <w:rPr>
                <w:rFonts w:ascii="Times New Roman" w:eastAsiaTheme="minorEastAsia" w:hAnsi="Times New Roman" w:cs="Times New Roman"/>
                <w:sz w:val="20"/>
                <w:szCs w:val="20"/>
                <w:lang w:val="en-GB"/>
              </w:rPr>
              <w:t>$3.21 m</w:t>
            </w:r>
            <w:r w:rsidRPr="00010013">
              <w:rPr>
                <w:rFonts w:ascii="Times New Roman" w:eastAsiaTheme="minorEastAsia" w:hAnsi="Times New Roman" w:cs="Times New Roman"/>
                <w:sz w:val="20"/>
                <w:szCs w:val="20"/>
                <w:vertAlign w:val="superscript"/>
                <w:lang w:val="en-GB"/>
              </w:rPr>
              <w:t>-2</w:t>
            </w:r>
            <w:r w:rsidRPr="00010013">
              <w:rPr>
                <w:rFonts w:ascii="Times New Roman" w:eastAsiaTheme="minorEastAsia" w:hAnsi="Times New Roman" w:cs="Times New Roman"/>
                <w:sz w:val="20"/>
                <w:szCs w:val="20"/>
                <w:lang w:val="en-GB"/>
              </w:rPr>
              <w:t xml:space="preserve"> </w:t>
            </w:r>
          </w:p>
        </w:tc>
      </w:tr>
      <w:tr w:rsidR="00010013" w:rsidRPr="00010013" w14:paraId="3F9FC2F5" w14:textId="77777777" w:rsidTr="00316D0D">
        <w:tc>
          <w:tcPr>
            <w:tcW w:w="2570" w:type="dxa"/>
            <w:tcBorders>
              <w:top w:val="nil"/>
              <w:left w:val="nil"/>
              <w:right w:val="nil"/>
            </w:tcBorders>
          </w:tcPr>
          <w:p w14:paraId="5452BC29" w14:textId="77777777" w:rsidR="00010013" w:rsidRPr="00010013" w:rsidRDefault="00010013" w:rsidP="00BC2EB9">
            <w:pPr>
              <w:jc w:val="both"/>
              <w:rPr>
                <w:rFonts w:ascii="Times New Roman" w:eastAsiaTheme="minorEastAsia" w:hAnsi="Times New Roman" w:cs="Times New Roman"/>
                <w:sz w:val="20"/>
                <w:szCs w:val="20"/>
                <w:lang w:val="en-GB"/>
              </w:rPr>
            </w:pPr>
            <w:r w:rsidRPr="00010013">
              <w:rPr>
                <w:rFonts w:ascii="Times New Roman" w:eastAsiaTheme="minorEastAsia" w:hAnsi="Times New Roman" w:cs="Times New Roman"/>
                <w:sz w:val="20"/>
                <w:szCs w:val="20"/>
                <w:lang w:val="en-GB"/>
              </w:rPr>
              <w:t xml:space="preserve">Labour cost </w:t>
            </w:r>
          </w:p>
        </w:tc>
        <w:tc>
          <w:tcPr>
            <w:tcW w:w="1390" w:type="dxa"/>
            <w:tcBorders>
              <w:top w:val="nil"/>
              <w:left w:val="nil"/>
              <w:right w:val="nil"/>
            </w:tcBorders>
          </w:tcPr>
          <w:p w14:paraId="05095561" w14:textId="77777777" w:rsidR="00010013" w:rsidRPr="00010013" w:rsidRDefault="00AA6C93" w:rsidP="00BC2EB9">
            <w:pPr>
              <w:rPr>
                <w:rFonts w:ascii="Times New Roman" w:eastAsia="Times New Roman" w:hAnsi="Times New Roman" w:cs="Times New Roman"/>
                <w:sz w:val="20"/>
                <w:szCs w:val="20"/>
                <w:lang w:val="en-GB"/>
              </w:rPr>
            </w:pPr>
            <m:oMathPara>
              <m:oMathParaPr>
                <m:jc m:val="left"/>
              </m:oMathParaP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L</m:t>
                    </m:r>
                  </m:e>
                  <m:sub>
                    <m:r>
                      <w:rPr>
                        <w:rFonts w:ascii="Cambria Math" w:eastAsiaTheme="minorEastAsia" w:hAnsi="Cambria Math" w:cs="Times New Roman"/>
                        <w:sz w:val="20"/>
                        <w:szCs w:val="20"/>
                        <w:lang w:val="en-GB"/>
                      </w:rPr>
                      <m:t>C</m:t>
                    </m:r>
                  </m:sub>
                </m:sSub>
              </m:oMath>
            </m:oMathPara>
          </w:p>
        </w:tc>
        <w:tc>
          <w:tcPr>
            <w:tcW w:w="1800" w:type="dxa"/>
            <w:tcBorders>
              <w:top w:val="nil"/>
              <w:left w:val="nil"/>
              <w:right w:val="nil"/>
            </w:tcBorders>
          </w:tcPr>
          <w:p w14:paraId="521D0D9B" w14:textId="5746C2AB" w:rsidR="00010013" w:rsidRPr="00010013" w:rsidRDefault="00010013" w:rsidP="00BC2EB9">
            <w:pPr>
              <w:jc w:val="both"/>
              <w:rPr>
                <w:rFonts w:ascii="Times New Roman" w:eastAsiaTheme="minorEastAsia" w:hAnsi="Times New Roman" w:cs="Times New Roman"/>
                <w:sz w:val="20"/>
                <w:szCs w:val="20"/>
                <w:lang w:val="en-GB"/>
              </w:rPr>
            </w:pPr>
            <w:r w:rsidRPr="00010013">
              <w:rPr>
                <w:rFonts w:ascii="Times New Roman" w:eastAsiaTheme="minorEastAsia" w:hAnsi="Times New Roman" w:cs="Times New Roman"/>
                <w:sz w:val="20"/>
                <w:szCs w:val="20"/>
                <w:lang w:val="en-GB"/>
              </w:rPr>
              <w:t>$15.23 m</w:t>
            </w:r>
            <w:r w:rsidRPr="00010013">
              <w:rPr>
                <w:rFonts w:ascii="Times New Roman" w:eastAsiaTheme="minorEastAsia" w:hAnsi="Times New Roman" w:cs="Times New Roman"/>
                <w:sz w:val="20"/>
                <w:szCs w:val="20"/>
                <w:vertAlign w:val="superscript"/>
                <w:lang w:val="en-GB"/>
              </w:rPr>
              <w:t>-2</w:t>
            </w:r>
            <w:r w:rsidRPr="00010013">
              <w:rPr>
                <w:rFonts w:ascii="Times New Roman" w:eastAsiaTheme="minorEastAsia" w:hAnsi="Times New Roman" w:cs="Times New Roman"/>
                <w:sz w:val="20"/>
                <w:szCs w:val="20"/>
                <w:lang w:val="en-GB"/>
              </w:rPr>
              <w:t xml:space="preserve"> </w:t>
            </w:r>
          </w:p>
        </w:tc>
      </w:tr>
    </w:tbl>
    <w:p w14:paraId="2D8CA72A" w14:textId="526B55DA" w:rsidR="00E054A1" w:rsidRPr="00971089" w:rsidRDefault="0055513E" w:rsidP="002958C2">
      <w:pPr>
        <w:pStyle w:val="Heading2"/>
        <w:rPr>
          <w:b w:val="0"/>
          <w:bCs w:val="0"/>
          <w:i/>
          <w:iCs/>
        </w:rPr>
      </w:pPr>
      <w:r w:rsidRPr="00971089">
        <w:rPr>
          <w:b w:val="0"/>
          <w:bCs w:val="0"/>
          <w:i/>
          <w:iCs/>
        </w:rPr>
        <w:t xml:space="preserve">Greenhouse optimisation </w:t>
      </w:r>
    </w:p>
    <w:p w14:paraId="03AB9CC5" w14:textId="163133D5" w:rsidR="0055513E" w:rsidRDefault="00A51EDB" w:rsidP="0055513E">
      <w:pPr>
        <w:jc w:val="both"/>
      </w:pPr>
      <w:r w:rsidRPr="00A51EDB">
        <w:t xml:space="preserve">The model for the greenhouse is </w:t>
      </w:r>
      <w:r>
        <w:t>optimised</w:t>
      </w:r>
      <w:r w:rsidRPr="00A51EDB">
        <w:t xml:space="preserve"> using decision variables to identify parameters that reduce production </w:t>
      </w:r>
      <w:r w:rsidR="002D1486">
        <w:t>cost</w:t>
      </w:r>
      <w:r w:rsidR="00D006AC">
        <w:t>s</w:t>
      </w:r>
      <w:r w:rsidRPr="00A51EDB">
        <w:t xml:space="preserve">. The </w:t>
      </w:r>
      <w:r>
        <w:t>objective</w:t>
      </w:r>
      <w:r w:rsidRPr="00A51EDB">
        <w:t xml:space="preserve"> function</w:t>
      </w:r>
      <w:r>
        <w:t xml:space="preserve"> is given by</w:t>
      </w:r>
      <w:r w:rsidR="0055513E" w:rsidRPr="0055513E">
        <w:t>:</w:t>
      </w:r>
    </w:p>
    <w:p w14:paraId="68258623" w14:textId="77777777" w:rsidR="0020588A" w:rsidRDefault="0020588A" w:rsidP="0055513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4"/>
        <w:gridCol w:w="612"/>
      </w:tblGrid>
      <w:tr w:rsidR="006243B7" w:rsidRPr="006243B7" w14:paraId="7E63CFF5" w14:textId="77777777" w:rsidTr="00F97C8A">
        <w:trPr>
          <w:trHeight w:val="898"/>
        </w:trPr>
        <w:tc>
          <w:tcPr>
            <w:tcW w:w="8623" w:type="dxa"/>
          </w:tcPr>
          <w:p w14:paraId="58BCB305" w14:textId="73EA80B0" w:rsidR="004303D6" w:rsidRPr="004303D6" w:rsidRDefault="00AA6C93" w:rsidP="004303D6">
            <w:pPr>
              <w:spacing w:line="360" w:lineRule="auto"/>
              <w:jc w:val="both"/>
              <w:rPr>
                <w:rFonts w:ascii="Times New Roman" w:eastAsia="Times New Roman" w:hAnsi="Times New Roman" w:cs="Times New Roman"/>
                <w:sz w:val="20"/>
                <w:szCs w:val="20"/>
                <w:lang w:val="en-GB"/>
              </w:rPr>
            </w:pPr>
            <m:oMathPara>
              <m:oMathParaPr>
                <m:jc m:val="left"/>
              </m:oMathParaPr>
              <m:oMath>
                <m:func>
                  <m:funcPr>
                    <m:ctrlPr>
                      <w:rPr>
                        <w:rFonts w:ascii="Cambria Math" w:hAnsi="Cambria Math" w:cs="Times New Roman"/>
                        <w:sz w:val="20"/>
                        <w:szCs w:val="20"/>
                        <w:lang w:val="en-GB"/>
                      </w:rPr>
                    </m:ctrlPr>
                  </m:funcPr>
                  <m:fName>
                    <m:r>
                      <w:rPr>
                        <w:rFonts w:ascii="Cambria Math" w:hAnsi="Cambria Math" w:cs="Times New Roman"/>
                        <w:sz w:val="20"/>
                        <w:szCs w:val="20"/>
                        <w:lang w:val="en-GB"/>
                      </w:rPr>
                      <m:t>min</m:t>
                    </m:r>
                  </m:fName>
                  <m:e>
                    <m:d>
                      <m:dPr>
                        <m:ctrlPr>
                          <w:rPr>
                            <w:rFonts w:ascii="Cambria Math" w:hAnsi="Cambria Math" w:cs="Times New Roman"/>
                            <w:sz w:val="20"/>
                            <w:szCs w:val="20"/>
                            <w:lang w:val="en-GB"/>
                          </w:rPr>
                        </m:ctrlPr>
                      </m:dPr>
                      <m:e>
                        <m:f>
                          <m:fPr>
                            <m:ctrlPr>
                              <w:rPr>
                                <w:rFonts w:ascii="Cambria Math" w:hAnsi="Cambria Math" w:cs="Times New Roman"/>
                                <w:sz w:val="20"/>
                                <w:szCs w:val="20"/>
                                <w:lang w:val="en-GB"/>
                              </w:rPr>
                            </m:ctrlPr>
                          </m:fPr>
                          <m:num>
                            <m:r>
                              <w:rPr>
                                <w:rFonts w:ascii="Cambria Math" w:hAnsi="Cambria Math" w:cs="Times New Roman"/>
                                <w:sz w:val="20"/>
                                <w:szCs w:val="20"/>
                                <w:lang w:val="en-GB"/>
                              </w:rPr>
                              <m:t>Capital</m:t>
                            </m:r>
                            <m:r>
                              <m:rPr>
                                <m:sty m:val="p"/>
                              </m:rPr>
                              <w:rPr>
                                <w:rFonts w:ascii="Cambria Math" w:hAnsi="Cambria Math" w:cs="Times New Roman"/>
                                <w:sz w:val="20"/>
                                <w:szCs w:val="20"/>
                                <w:lang w:val="en-GB"/>
                              </w:rPr>
                              <m:t xml:space="preserve"> </m:t>
                            </m:r>
                            <m:r>
                              <w:rPr>
                                <w:rFonts w:ascii="Cambria Math" w:hAnsi="Cambria Math" w:cs="Times New Roman"/>
                                <w:sz w:val="20"/>
                                <w:szCs w:val="20"/>
                                <w:lang w:val="en-GB"/>
                              </w:rPr>
                              <m:t>cost</m:t>
                            </m:r>
                            <m:r>
                              <m:rPr>
                                <m:sty m:val="p"/>
                              </m:rPr>
                              <w:rPr>
                                <w:rFonts w:ascii="Cambria Math" w:hAnsi="Cambria Math" w:cs="Times New Roman"/>
                                <w:sz w:val="20"/>
                                <w:szCs w:val="20"/>
                                <w:lang w:val="en-GB"/>
                              </w:rPr>
                              <m:t xml:space="preserve">  </m:t>
                            </m:r>
                            <m:d>
                              <m:dPr>
                                <m:ctrlPr>
                                  <w:rPr>
                                    <w:rFonts w:ascii="Cambria Math" w:hAnsi="Cambria Math" w:cs="Times New Roman"/>
                                    <w:sz w:val="20"/>
                                    <w:szCs w:val="20"/>
                                    <w:lang w:val="en-GB"/>
                                  </w:rPr>
                                </m:ctrlPr>
                              </m:dPr>
                              <m:e>
                                <m:f>
                                  <m:fPr>
                                    <m:ctrlPr>
                                      <w:rPr>
                                        <w:rFonts w:ascii="Cambria Math" w:hAnsi="Cambria Math" w:cs="Times New Roman"/>
                                        <w:sz w:val="20"/>
                                        <w:szCs w:val="20"/>
                                        <w:lang w:val="en-GB"/>
                                      </w:rPr>
                                    </m:ctrlPr>
                                  </m:fPr>
                                  <m:num>
                                    <m:r>
                                      <w:rPr>
                                        <w:rFonts w:ascii="Cambria Math" w:hAnsi="Cambria Math" w:cs="Times New Roman"/>
                                        <w:sz w:val="20"/>
                                        <w:szCs w:val="20"/>
                                        <w:lang w:val="en-GB"/>
                                      </w:rPr>
                                      <m:t>r</m:t>
                                    </m:r>
                                    <m:r>
                                      <m:rPr>
                                        <m:sty m:val="p"/>
                                      </m:rPr>
                                      <w:rPr>
                                        <w:rFonts w:ascii="Cambria Math" w:hAnsi="Cambria Math" w:cs="Times New Roman"/>
                                        <w:sz w:val="20"/>
                                        <w:szCs w:val="20"/>
                                        <w:lang w:val="en-GB"/>
                                      </w:rPr>
                                      <m:t xml:space="preserve"> </m:t>
                                    </m:r>
                                    <m:sSup>
                                      <m:sSupPr>
                                        <m:ctrlPr>
                                          <w:rPr>
                                            <w:rFonts w:ascii="Cambria Math" w:hAnsi="Cambria Math" w:cs="Times New Roman"/>
                                            <w:sz w:val="20"/>
                                            <w:szCs w:val="20"/>
                                            <w:lang w:val="en-GB"/>
                                          </w:rPr>
                                        </m:ctrlPr>
                                      </m:sSupPr>
                                      <m:e>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1+</m:t>
                                            </m:r>
                                            <m:r>
                                              <w:rPr>
                                                <w:rFonts w:ascii="Cambria Math" w:hAnsi="Cambria Math" w:cs="Times New Roman"/>
                                                <w:sz w:val="20"/>
                                                <w:szCs w:val="20"/>
                                                <w:lang w:val="en-GB"/>
                                              </w:rPr>
                                              <m:t>r</m:t>
                                            </m:r>
                                          </m:e>
                                        </m:d>
                                      </m:e>
                                      <m:sup>
                                        <m:r>
                                          <w:rPr>
                                            <w:rFonts w:ascii="Cambria Math" w:hAnsi="Cambria Math" w:cs="Times New Roman"/>
                                            <w:sz w:val="20"/>
                                            <w:szCs w:val="20"/>
                                            <w:lang w:val="en-GB"/>
                                          </w:rPr>
                                          <m:t>n</m:t>
                                        </m:r>
                                      </m:sup>
                                    </m:sSup>
                                  </m:num>
                                  <m:den>
                                    <m:sSup>
                                      <m:sSupPr>
                                        <m:ctrlPr>
                                          <w:rPr>
                                            <w:rFonts w:ascii="Cambria Math" w:hAnsi="Cambria Math" w:cs="Times New Roman"/>
                                            <w:sz w:val="20"/>
                                            <w:szCs w:val="20"/>
                                            <w:lang w:val="en-GB"/>
                                          </w:rPr>
                                        </m:ctrlPr>
                                      </m:sSupPr>
                                      <m:e>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1+</m:t>
                                            </m:r>
                                            <m:r>
                                              <w:rPr>
                                                <w:rFonts w:ascii="Cambria Math" w:hAnsi="Cambria Math" w:cs="Times New Roman"/>
                                                <w:sz w:val="20"/>
                                                <w:szCs w:val="20"/>
                                                <w:lang w:val="en-GB"/>
                                              </w:rPr>
                                              <m:t>r</m:t>
                                            </m:r>
                                          </m:e>
                                        </m:d>
                                      </m:e>
                                      <m:sup>
                                        <m:r>
                                          <w:rPr>
                                            <w:rFonts w:ascii="Cambria Math" w:hAnsi="Cambria Math" w:cs="Times New Roman"/>
                                            <w:sz w:val="20"/>
                                            <w:szCs w:val="20"/>
                                            <w:lang w:val="en-GB"/>
                                          </w:rPr>
                                          <m:t>n</m:t>
                                        </m:r>
                                      </m:sup>
                                    </m:sSup>
                                    <m:r>
                                      <m:rPr>
                                        <m:sty m:val="p"/>
                                      </m:rPr>
                                      <w:rPr>
                                        <w:rFonts w:ascii="Cambria Math" w:hAnsi="Cambria Math" w:cs="Times New Roman"/>
                                        <w:sz w:val="20"/>
                                        <w:szCs w:val="20"/>
                                        <w:lang w:val="en-GB"/>
                                      </w:rPr>
                                      <m:t>-1</m:t>
                                    </m:r>
                                  </m:den>
                                </m:f>
                              </m:e>
                            </m:d>
                            <m:r>
                              <m:rPr>
                                <m:sty m:val="p"/>
                              </m:rPr>
                              <w:rPr>
                                <w:rFonts w:ascii="Cambria Math" w:hAnsi="Cambria Math" w:cs="Times New Roman"/>
                                <w:sz w:val="20"/>
                                <w:szCs w:val="20"/>
                                <w:lang w:val="en-GB"/>
                              </w:rPr>
                              <m:t xml:space="preserve"> +O</m:t>
                            </m:r>
                            <m:r>
                              <w:rPr>
                                <w:rFonts w:ascii="Cambria Math" w:hAnsi="Cambria Math" w:cs="Times New Roman"/>
                                <w:sz w:val="20"/>
                                <w:szCs w:val="20"/>
                                <w:lang w:val="en-GB"/>
                              </w:rPr>
                              <m:t>perational</m:t>
                            </m:r>
                            <m:r>
                              <m:rPr>
                                <m:sty m:val="p"/>
                              </m:rPr>
                              <w:rPr>
                                <w:rFonts w:ascii="Cambria Math" w:hAnsi="Cambria Math" w:cs="Times New Roman"/>
                                <w:sz w:val="20"/>
                                <w:szCs w:val="20"/>
                                <w:lang w:val="en-GB"/>
                              </w:rPr>
                              <m:t xml:space="preserve"> </m:t>
                            </m:r>
                            <m:r>
                              <w:rPr>
                                <w:rFonts w:ascii="Cambria Math" w:hAnsi="Cambria Math" w:cs="Times New Roman"/>
                                <w:sz w:val="20"/>
                                <w:szCs w:val="20"/>
                                <w:lang w:val="en-GB"/>
                              </w:rPr>
                              <m:t>cost</m:t>
                            </m:r>
                          </m:num>
                          <m:den>
                            <m:r>
                              <w:rPr>
                                <w:rFonts w:ascii="Cambria Math" w:hAnsi="Cambria Math" w:cs="Times New Roman"/>
                                <w:sz w:val="20"/>
                                <w:szCs w:val="20"/>
                                <w:lang w:val="en-GB"/>
                              </w:rPr>
                              <m:t>Total</m:t>
                            </m:r>
                            <m:r>
                              <m:rPr>
                                <m:sty m:val="p"/>
                              </m:rPr>
                              <w:rPr>
                                <w:rFonts w:ascii="Cambria Math" w:hAnsi="Cambria Math" w:cs="Times New Roman"/>
                                <w:sz w:val="20"/>
                                <w:szCs w:val="20"/>
                                <w:lang w:val="en-GB"/>
                              </w:rPr>
                              <m:t xml:space="preserve"> </m:t>
                            </m:r>
                            <m:r>
                              <w:rPr>
                                <w:rFonts w:ascii="Cambria Math" w:hAnsi="Cambria Math" w:cs="Times New Roman"/>
                                <w:sz w:val="20"/>
                                <w:szCs w:val="20"/>
                                <w:lang w:val="en-GB"/>
                              </w:rPr>
                              <m:t>yield</m:t>
                            </m:r>
                            <m:r>
                              <m:rPr>
                                <m:sty m:val="p"/>
                              </m:rPr>
                              <w:rPr>
                                <w:rFonts w:ascii="Cambria Math" w:hAnsi="Cambria Math" w:cs="Times New Roman"/>
                                <w:sz w:val="20"/>
                                <w:szCs w:val="20"/>
                                <w:lang w:val="en-GB"/>
                              </w:rPr>
                              <m:t xml:space="preserve"> </m:t>
                            </m:r>
                            <m:r>
                              <w:rPr>
                                <w:rFonts w:ascii="Cambria Math" w:hAnsi="Cambria Math" w:cs="Times New Roman"/>
                                <w:sz w:val="20"/>
                                <w:szCs w:val="20"/>
                                <w:lang w:val="en-GB"/>
                              </w:rPr>
                              <m:t>produced</m:t>
                            </m:r>
                          </m:den>
                        </m:f>
                      </m:e>
                    </m:d>
                  </m:e>
                </m:func>
              </m:oMath>
            </m:oMathPara>
          </w:p>
        </w:tc>
        <w:tc>
          <w:tcPr>
            <w:tcW w:w="714" w:type="dxa"/>
          </w:tcPr>
          <w:p w14:paraId="5A2CA932" w14:textId="55A07421" w:rsidR="006243B7" w:rsidRPr="006243B7" w:rsidRDefault="006243B7" w:rsidP="0020470E">
            <w:pPr>
              <w:pStyle w:val="Caption"/>
              <w:keepNext/>
              <w:jc w:val="both"/>
              <w:rPr>
                <w:rFonts w:ascii="Times New Roman" w:hAnsi="Times New Roman" w:cs="Times New Roman"/>
                <w:i/>
                <w:sz w:val="20"/>
                <w:szCs w:val="20"/>
                <w:lang w:val="en-GB"/>
              </w:rPr>
            </w:pPr>
            <w:r w:rsidRPr="006243B7">
              <w:rPr>
                <w:rFonts w:ascii="Times New Roman" w:hAnsi="Times New Roman" w:cs="Times New Roman"/>
                <w:sz w:val="20"/>
                <w:szCs w:val="20"/>
                <w:lang w:val="en-GB"/>
              </w:rPr>
              <w:t>(</w:t>
            </w:r>
            <w:r w:rsidRPr="006243B7">
              <w:rPr>
                <w:i/>
                <w:sz w:val="20"/>
                <w:lang w:val="en-GB"/>
              </w:rPr>
              <w:fldChar w:fldCharType="begin"/>
            </w:r>
            <w:r w:rsidRPr="006243B7">
              <w:rPr>
                <w:rFonts w:ascii="Times New Roman" w:hAnsi="Times New Roman" w:cs="Times New Roman"/>
                <w:sz w:val="20"/>
                <w:szCs w:val="20"/>
                <w:lang w:val="en-GB"/>
              </w:rPr>
              <w:instrText xml:space="preserve"> SEQ Equation \* ARABIC </w:instrText>
            </w:r>
            <w:r w:rsidRPr="006243B7">
              <w:rPr>
                <w:i/>
                <w:sz w:val="20"/>
                <w:lang w:val="en-GB"/>
              </w:rPr>
              <w:fldChar w:fldCharType="separate"/>
            </w:r>
            <w:r w:rsidR="002E7A07">
              <w:rPr>
                <w:rFonts w:ascii="Times New Roman" w:hAnsi="Times New Roman" w:cs="Times New Roman"/>
                <w:noProof/>
                <w:sz w:val="20"/>
                <w:szCs w:val="20"/>
                <w:lang w:val="en-GB"/>
              </w:rPr>
              <w:t>12</w:t>
            </w:r>
            <w:r w:rsidRPr="006243B7">
              <w:rPr>
                <w:i/>
                <w:sz w:val="20"/>
                <w:lang w:val="en-GB"/>
              </w:rPr>
              <w:fldChar w:fldCharType="end"/>
            </w:r>
            <w:r w:rsidRPr="006243B7">
              <w:rPr>
                <w:rFonts w:ascii="Times New Roman" w:hAnsi="Times New Roman" w:cs="Times New Roman"/>
                <w:sz w:val="20"/>
                <w:szCs w:val="20"/>
                <w:lang w:val="en-GB"/>
              </w:rPr>
              <w:t>)</w:t>
            </w:r>
          </w:p>
        </w:tc>
      </w:tr>
    </w:tbl>
    <w:p w14:paraId="0A743BED" w14:textId="55EF11FD" w:rsidR="00237770" w:rsidRPr="00971089" w:rsidRDefault="00237770" w:rsidP="002958C2">
      <w:pPr>
        <w:pStyle w:val="Heading2"/>
        <w:rPr>
          <w:b w:val="0"/>
          <w:bCs w:val="0"/>
          <w:i/>
          <w:iCs/>
        </w:rPr>
      </w:pPr>
      <w:r w:rsidRPr="00971089">
        <w:rPr>
          <w:b w:val="0"/>
          <w:bCs w:val="0"/>
          <w:i/>
          <w:iCs/>
        </w:rPr>
        <w:t>Co-utilisation of infrastructure</w:t>
      </w:r>
    </w:p>
    <w:p w14:paraId="309904EF" w14:textId="341DBC3D" w:rsidR="00237770" w:rsidRDefault="002958C2" w:rsidP="0083415E">
      <w:pPr>
        <w:jc w:val="both"/>
      </w:pPr>
      <w:r w:rsidRPr="002958C2">
        <w:t>Post-</w:t>
      </w:r>
      <w:r w:rsidR="00904625">
        <w:t>W</w:t>
      </w:r>
      <w:r w:rsidRPr="002958C2">
        <w:t xml:space="preserve">orld Cup, some stadiums </w:t>
      </w:r>
      <w:r w:rsidR="00D72207">
        <w:t>are planned to be</w:t>
      </w:r>
      <w:r w:rsidRPr="002958C2">
        <w:t xml:space="preserve"> downsized or repurposed, reducing their cooling needs and creating surplus capacity. This excess capacity presents an opportunity to support local food production by integrating stadium cooling systems with nearby greenhouse </w:t>
      </w:r>
      <w:r w:rsidR="00D72207">
        <w:t>systems</w:t>
      </w:r>
      <w:r w:rsidRPr="002958C2">
        <w:t xml:space="preserve">. This approach could significantly lower greenhouse capital costs, as cooling is a major financial factor. </w:t>
      </w:r>
    </w:p>
    <w:p w14:paraId="45D9C48D" w14:textId="5B132F14" w:rsidR="00010013" w:rsidRDefault="00BE0F22" w:rsidP="002958C2">
      <w:pPr>
        <w:pStyle w:val="Heading1"/>
      </w:pPr>
      <w:r>
        <w:t xml:space="preserve">Results and discussion </w:t>
      </w:r>
    </w:p>
    <w:p w14:paraId="0A916E08" w14:textId="0F5862A3" w:rsidR="00BE0F22" w:rsidRDefault="005B4FF6" w:rsidP="0083415E">
      <w:pPr>
        <w:jc w:val="both"/>
      </w:pPr>
      <w:r w:rsidRPr="005B4FF6">
        <w:t xml:space="preserve">The </w:t>
      </w:r>
      <w:r w:rsidR="00DD08C6">
        <w:t>framework</w:t>
      </w:r>
      <w:r w:rsidRPr="005B4FF6">
        <w:t xml:space="preserve"> calculates the greenhouse's yield</w:t>
      </w:r>
      <w:r w:rsidR="00556F12">
        <w:t xml:space="preserve"> and energy, water, and </w:t>
      </w:r>
      <w:r w:rsidR="00DD08C6">
        <w:t>CO</w:t>
      </w:r>
      <w:r w:rsidR="00DD08C6" w:rsidRPr="00DD08C6">
        <w:rPr>
          <w:vertAlign w:val="subscript"/>
        </w:rPr>
        <w:t>2</w:t>
      </w:r>
      <w:r w:rsidR="00556F12">
        <w:t xml:space="preserve"> needs in Qatar</w:t>
      </w:r>
      <w:r w:rsidRPr="005B4FF6">
        <w:t xml:space="preserve"> by </w:t>
      </w:r>
      <w:r w:rsidR="00DD08C6">
        <w:t>utilising</w:t>
      </w:r>
      <w:r w:rsidRPr="005B4FF6">
        <w:t xml:space="preserve"> data on solar radiation and outside temperature from a standard </w:t>
      </w:r>
      <w:r w:rsidR="007C1499">
        <w:t xml:space="preserve">typical </w:t>
      </w:r>
      <w:r w:rsidRPr="005B4FF6">
        <w:t>meteorological year</w:t>
      </w:r>
      <w:r w:rsidR="007C1499">
        <w:t xml:space="preserve"> (TMY)</w:t>
      </w:r>
      <w:r w:rsidRPr="005B4FF6">
        <w:t xml:space="preserve"> file. </w:t>
      </w:r>
      <w:r w:rsidR="001151A2">
        <w:t>Furthermore, the optimisation determines the</w:t>
      </w:r>
      <w:r w:rsidRPr="005B4FF6">
        <w:t xml:space="preserve"> decision variables </w:t>
      </w:r>
      <w:r w:rsidR="001151A2">
        <w:t>that produce</w:t>
      </w:r>
      <w:r w:rsidRPr="005B4FF6">
        <w:t xml:space="preserve"> </w:t>
      </w:r>
      <w:r w:rsidR="00913F66">
        <w:t xml:space="preserve">the </w:t>
      </w:r>
      <w:r w:rsidRPr="005B4FF6">
        <w:t>lowe</w:t>
      </w:r>
      <w:r w:rsidR="001151A2">
        <w:t>st</w:t>
      </w:r>
      <w:r w:rsidRPr="005B4FF6">
        <w:t xml:space="preserve"> costs associated with yield production.</w:t>
      </w:r>
    </w:p>
    <w:p w14:paraId="5BC51797" w14:textId="77777777" w:rsidR="009C2A43" w:rsidRDefault="009C2A43" w:rsidP="0083415E">
      <w:pPr>
        <w:jc w:val="both"/>
      </w:pPr>
    </w:p>
    <w:p w14:paraId="0DF0BC84" w14:textId="766FD3D9" w:rsidR="001D1441" w:rsidRPr="00971089" w:rsidRDefault="00C90B6F" w:rsidP="00C90B6F">
      <w:pPr>
        <w:pStyle w:val="Heading2"/>
        <w:rPr>
          <w:b w:val="0"/>
          <w:bCs w:val="0"/>
          <w:i/>
          <w:iCs/>
        </w:rPr>
      </w:pPr>
      <w:r w:rsidRPr="00971089">
        <w:rPr>
          <w:b w:val="0"/>
          <w:bCs w:val="0"/>
          <w:i/>
          <w:iCs/>
        </w:rPr>
        <w:t>Optimum decision variables</w:t>
      </w:r>
    </w:p>
    <w:p w14:paraId="63F810B1" w14:textId="2C86CC97" w:rsidR="00754E20" w:rsidRDefault="00754E20" w:rsidP="00754E20">
      <w:pPr>
        <w:jc w:val="both"/>
      </w:pPr>
      <w:r w:rsidRPr="00754E20">
        <w:t xml:space="preserve">This model </w:t>
      </w:r>
      <w:r w:rsidR="00D81332">
        <w:t>was simulated</w:t>
      </w:r>
      <w:r w:rsidRPr="00754E20">
        <w:t xml:space="preserve"> for a greenhouse </w:t>
      </w:r>
      <w:r w:rsidR="00981A4F">
        <w:t xml:space="preserve">with an area of </w:t>
      </w:r>
      <w:r w:rsidR="00164E0D">
        <w:t xml:space="preserve">625 </w:t>
      </w:r>
      <w:r w:rsidR="00164E0D" w:rsidRPr="00D81332">
        <w:t>m</w:t>
      </w:r>
      <w:r w:rsidR="00164E0D" w:rsidRPr="00D81332">
        <w:rPr>
          <w:vertAlign w:val="superscript"/>
        </w:rPr>
        <w:t>2</w:t>
      </w:r>
      <w:r w:rsidRPr="00754E20">
        <w:t xml:space="preserve"> (</w:t>
      </w:r>
      <w:r w:rsidR="00164E0D">
        <w:t>25m x 25m</w:t>
      </w:r>
      <w:r w:rsidRPr="00754E20">
        <w:t xml:space="preserve">), focusing on tomato cultivation. It involves </w:t>
      </w:r>
      <w:r w:rsidR="00904625">
        <w:t>optimising</w:t>
      </w:r>
      <w:r w:rsidRPr="00754E20">
        <w:t xml:space="preserve"> various factors over </w:t>
      </w:r>
      <w:r w:rsidR="00006AFA">
        <w:t>the</w:t>
      </w:r>
      <w:r w:rsidRPr="00754E20">
        <w:t xml:space="preserve"> harvest period, including day and night temperatures, RH, CO</w:t>
      </w:r>
      <w:r w:rsidRPr="00006AFA">
        <w:rPr>
          <w:vertAlign w:val="subscript"/>
        </w:rPr>
        <w:t>2</w:t>
      </w:r>
      <w:r w:rsidRPr="00754E20">
        <w:t xml:space="preserve"> levels, LAI, and the material used for the greenhouse covering.</w:t>
      </w:r>
      <w:r w:rsidR="00EA005D">
        <w:t xml:space="preserve"> </w:t>
      </w:r>
      <w:r w:rsidR="00BC2EB9" w:rsidRPr="00BC2EB9">
        <w:t xml:space="preserve">The optimal </w:t>
      </w:r>
      <w:r w:rsidR="00326328">
        <w:t xml:space="preserve">decision variables </w:t>
      </w:r>
      <w:r w:rsidR="00205994">
        <w:t>are</w:t>
      </w:r>
      <w:r w:rsidR="00326328">
        <w:t xml:space="preserve"> </w:t>
      </w:r>
      <w:r w:rsidR="00913F66">
        <w:t xml:space="preserve">a </w:t>
      </w:r>
      <w:r w:rsidR="00BC2EB9" w:rsidRPr="00BC2EB9">
        <w:t xml:space="preserve">nighttime temperature </w:t>
      </w:r>
      <w:r w:rsidR="00326328">
        <w:t>of</w:t>
      </w:r>
      <w:r w:rsidR="00BC2EB9" w:rsidRPr="00BC2EB9">
        <w:t xml:space="preserve"> 18°C, while the daytime temperature is higher, at 24°C. The relative humidity </w:t>
      </w:r>
      <w:r w:rsidR="008022E5">
        <w:t>level of</w:t>
      </w:r>
      <w:r w:rsidR="00326328">
        <w:t xml:space="preserve"> 75%</w:t>
      </w:r>
      <w:r w:rsidR="00BC2EB9" w:rsidRPr="00BC2EB9">
        <w:t>, w</w:t>
      </w:r>
      <w:r w:rsidR="00913F66">
        <w:t>ith</w:t>
      </w:r>
      <w:r w:rsidR="00326328">
        <w:t xml:space="preserve"> </w:t>
      </w:r>
      <w:r w:rsidR="00205994">
        <w:t>a</w:t>
      </w:r>
      <w:r w:rsidR="00BC2EB9" w:rsidRPr="00BC2EB9">
        <w:t xml:space="preserve"> CO</w:t>
      </w:r>
      <w:r w:rsidR="00BC2EB9" w:rsidRPr="00326328">
        <w:rPr>
          <w:vertAlign w:val="subscript"/>
        </w:rPr>
        <w:t>2</w:t>
      </w:r>
      <w:r w:rsidR="00BC2EB9" w:rsidRPr="00BC2EB9">
        <w:t xml:space="preserve"> concentration of 1000 ppm. In terms of output, the total yield achieved is </w:t>
      </w:r>
      <w:r w:rsidR="00BC2EB9" w:rsidRPr="00BC2EB9">
        <w:lastRenderedPageBreak/>
        <w:t>24.96 tons</w:t>
      </w:r>
      <w:r w:rsidR="008022E5">
        <w:t>, producing a</w:t>
      </w:r>
      <w:r w:rsidR="00BC2EB9" w:rsidRPr="00BC2EB9">
        <w:t xml:space="preserve"> unit yield of 46.84 kg</w:t>
      </w:r>
      <w:r w:rsidR="000C0D30">
        <w:t>m</w:t>
      </w:r>
      <w:r w:rsidR="000C0D30" w:rsidRPr="000C0D30">
        <w:rPr>
          <w:vertAlign w:val="superscript"/>
        </w:rPr>
        <w:t>-2</w:t>
      </w:r>
      <w:r w:rsidR="00BC2EB9" w:rsidRPr="00BC2EB9">
        <w:t>. The total operational cost amounts to $</w:t>
      </w:r>
      <w:r w:rsidR="00787B72">
        <w:t xml:space="preserve"> </w:t>
      </w:r>
      <w:r w:rsidR="00BC2EB9" w:rsidRPr="00BC2EB9">
        <w:t>46,442.34, resulting in a cost of $3.50</w:t>
      </w:r>
      <w:r w:rsidR="005D49C4">
        <w:t xml:space="preserve"> </w:t>
      </w:r>
      <w:proofErr w:type="gramStart"/>
      <w:r w:rsidR="005D49C4">
        <w:t>kg</w:t>
      </w:r>
      <w:r w:rsidR="005D49C4" w:rsidRPr="005D49C4">
        <w:rPr>
          <w:vertAlign w:val="superscript"/>
        </w:rPr>
        <w:t>-1</w:t>
      </w:r>
      <w:proofErr w:type="gramEnd"/>
      <w:r w:rsidR="00BC2EB9" w:rsidRPr="00BC2EB9">
        <w:t>.</w:t>
      </w:r>
    </w:p>
    <w:p w14:paraId="203380C2" w14:textId="77777777" w:rsidR="00B90347" w:rsidRDefault="00B90347" w:rsidP="00754E20">
      <w:pPr>
        <w:jc w:val="both"/>
        <w:rPr>
          <w:sz w:val="16"/>
          <w:szCs w:val="16"/>
        </w:rPr>
      </w:pPr>
    </w:p>
    <w:p w14:paraId="276FD2AD" w14:textId="0BDEB0B7" w:rsidR="002F5F38" w:rsidRPr="00971089" w:rsidRDefault="002F5F38" w:rsidP="002F5F38">
      <w:pPr>
        <w:pStyle w:val="Heading2"/>
        <w:rPr>
          <w:b w:val="0"/>
          <w:bCs w:val="0"/>
          <w:i/>
          <w:iCs/>
        </w:rPr>
      </w:pPr>
      <w:r w:rsidRPr="00971089">
        <w:rPr>
          <w:b w:val="0"/>
          <w:bCs w:val="0"/>
          <w:i/>
          <w:iCs/>
        </w:rPr>
        <w:t>Infrastructure driven greenhouses</w:t>
      </w:r>
    </w:p>
    <w:p w14:paraId="3ED75D14" w14:textId="4CBD86B4" w:rsidR="00976926" w:rsidRDefault="000828AC" w:rsidP="000828AC">
      <w:pPr>
        <w:jc w:val="both"/>
      </w:pPr>
      <w:r w:rsidRPr="000828AC">
        <w:t>This framework employs a generali</w:t>
      </w:r>
      <w:r w:rsidR="00F26291">
        <w:t>s</w:t>
      </w:r>
      <w:r w:rsidRPr="000828AC">
        <w:t xml:space="preserve">ed model with optimal decision parameters for </w:t>
      </w:r>
      <w:r w:rsidR="00DD0E77">
        <w:t>greenhouses of various siz</w:t>
      </w:r>
      <w:r w:rsidR="00195D1B">
        <w:t>es</w:t>
      </w:r>
      <w:r w:rsidR="00B16FFC">
        <w:t xml:space="preserve"> adjacent to the constructed stadium</w:t>
      </w:r>
      <w:r w:rsidR="007C1499">
        <w:t>s</w:t>
      </w:r>
      <w:r w:rsidRPr="000828AC">
        <w:t>. Qatar's small, uniformly topographic area of 11,571 km² allows for using the same TMY data for all stadiums</w:t>
      </w:r>
      <w:r w:rsidR="005D2936">
        <w:t xml:space="preserve">. </w:t>
      </w:r>
      <w:r w:rsidR="00647931">
        <w:fldChar w:fldCharType="begin"/>
      </w:r>
      <w:r w:rsidR="00647931">
        <w:instrText xml:space="preserve"> REF _Ref151554449 \h </w:instrText>
      </w:r>
      <w:r w:rsidR="00647931">
        <w:fldChar w:fldCharType="separate"/>
      </w:r>
      <w:r w:rsidR="002E7A07">
        <w:t xml:space="preserve">Figure </w:t>
      </w:r>
      <w:r w:rsidR="002E7A07">
        <w:rPr>
          <w:noProof/>
        </w:rPr>
        <w:t>2</w:t>
      </w:r>
      <w:r w:rsidR="00647931">
        <w:fldChar w:fldCharType="end"/>
      </w:r>
      <w:r w:rsidR="00CF42F1">
        <w:t xml:space="preserve"> illustrates the </w:t>
      </w:r>
      <w:r w:rsidR="009D0097">
        <w:t>potential</w:t>
      </w:r>
      <w:r w:rsidR="00651D45">
        <w:t xml:space="preserve"> yield</w:t>
      </w:r>
      <w:r w:rsidR="00BA75D5">
        <w:t xml:space="preserve"> that could be</w:t>
      </w:r>
      <w:r w:rsidR="00E20010" w:rsidRPr="00E20010">
        <w:t xml:space="preserve"> </w:t>
      </w:r>
      <w:r w:rsidR="009D0097">
        <w:t>achieved by constructing greenhouse</w:t>
      </w:r>
      <w:r w:rsidR="00BA75D5">
        <w:t>s</w:t>
      </w:r>
      <w:r w:rsidR="009D0097">
        <w:t xml:space="preserve"> adjacent to the </w:t>
      </w:r>
      <w:r w:rsidR="005C68DC">
        <w:t xml:space="preserve">stadiums </w:t>
      </w:r>
      <w:r w:rsidR="00DD0E77">
        <w:t>u</w:t>
      </w:r>
      <w:r w:rsidR="005C68DC">
        <w:t>sing the available land</w:t>
      </w:r>
      <w:r w:rsidR="00BA75D5">
        <w:t xml:space="preserve"> and cooling</w:t>
      </w:r>
      <w:r w:rsidR="005C68DC">
        <w:t>.</w:t>
      </w:r>
      <w:r w:rsidR="00E20010" w:rsidRPr="00E20010">
        <w:t xml:space="preserve"> The greenhouse adjacent to Education City Stadium </w:t>
      </w:r>
      <w:r w:rsidR="00BA75D5">
        <w:t xml:space="preserve">produces the lowest </w:t>
      </w:r>
      <w:r w:rsidR="00066635">
        <w:t>yield</w:t>
      </w:r>
      <w:r w:rsidR="00E20010" w:rsidRPr="00E20010">
        <w:t xml:space="preserve">, at </w:t>
      </w:r>
      <w:r w:rsidR="00995958">
        <w:t>239</w:t>
      </w:r>
      <w:r w:rsidR="00E20010" w:rsidRPr="00E20010">
        <w:t>.</w:t>
      </w:r>
      <w:r w:rsidR="00995958">
        <w:t>19</w:t>
      </w:r>
      <w:r w:rsidR="00E20010" w:rsidRPr="00E20010">
        <w:t xml:space="preserve"> tons, due to limited space</w:t>
      </w:r>
      <w:r w:rsidR="0078556C">
        <w:t>, while</w:t>
      </w:r>
      <w:r w:rsidR="00E20010" w:rsidRPr="00E20010">
        <w:t xml:space="preserve"> </w:t>
      </w:r>
      <w:r w:rsidR="00DD0E77">
        <w:t xml:space="preserve">the </w:t>
      </w:r>
      <w:r w:rsidR="00E20010" w:rsidRPr="00E20010">
        <w:t>greenhouse near Lusail Stadium produces the highest yield</w:t>
      </w:r>
      <w:r w:rsidR="003E00F9">
        <w:t>,</w:t>
      </w:r>
      <w:r w:rsidR="00E20010" w:rsidRPr="00E20010">
        <w:t xml:space="preserve"> </w:t>
      </w:r>
      <w:r w:rsidR="003E00F9">
        <w:t>at</w:t>
      </w:r>
      <w:r w:rsidR="00E20010" w:rsidRPr="00E20010">
        <w:t xml:space="preserve"> </w:t>
      </w:r>
      <w:r w:rsidR="006C2C3B" w:rsidRPr="006C2C3B">
        <w:t>2568.</w:t>
      </w:r>
      <w:r w:rsidR="006C2C3B">
        <w:t>5</w:t>
      </w:r>
      <w:r w:rsidR="006C2C3B" w:rsidRPr="006C2C3B">
        <w:t>9</w:t>
      </w:r>
      <w:r w:rsidR="006C2C3B">
        <w:t xml:space="preserve"> </w:t>
      </w:r>
      <w:r w:rsidR="00E20010" w:rsidRPr="00E20010">
        <w:t>tons</w:t>
      </w:r>
      <w:r w:rsidR="003E00F9">
        <w:t>,</w:t>
      </w:r>
      <w:r w:rsidR="00E20010" w:rsidRPr="00E20010">
        <w:t xml:space="preserve"> </w:t>
      </w:r>
      <w:r w:rsidR="009B1239">
        <w:t>due</w:t>
      </w:r>
      <w:r w:rsidR="00E20010" w:rsidRPr="00E20010">
        <w:t xml:space="preserve"> to </w:t>
      </w:r>
      <w:r w:rsidR="009B1239">
        <w:t xml:space="preserve">higher </w:t>
      </w:r>
      <w:r w:rsidR="00E20010" w:rsidRPr="00E20010">
        <w:t xml:space="preserve">available land and cooling capacity. </w:t>
      </w:r>
      <w:r w:rsidR="00DD0E77">
        <w:t>T</w:t>
      </w:r>
      <w:r w:rsidR="00E20010" w:rsidRPr="00E20010">
        <w:t>he</w:t>
      </w:r>
      <w:r w:rsidR="004017EB">
        <w:t xml:space="preserve"> proposed</w:t>
      </w:r>
      <w:r w:rsidR="00E20010" w:rsidRPr="00E20010">
        <w:t xml:space="preserve"> greenhouses can produce a</w:t>
      </w:r>
      <w:r w:rsidR="004017EB">
        <w:t xml:space="preserve"> </w:t>
      </w:r>
      <w:r w:rsidR="000B3195">
        <w:t xml:space="preserve">total </w:t>
      </w:r>
      <w:r w:rsidR="004017EB">
        <w:t xml:space="preserve">yield of </w:t>
      </w:r>
      <w:r w:rsidR="004017EB" w:rsidRPr="004017EB">
        <w:t>8240.91</w:t>
      </w:r>
      <w:r w:rsidR="004017EB">
        <w:t xml:space="preserve"> tons by </w:t>
      </w:r>
      <w:r w:rsidR="005C7A26">
        <w:t>co-</w:t>
      </w:r>
      <w:r w:rsidR="004017EB">
        <w:t>utilising the stadium</w:t>
      </w:r>
      <w:r w:rsidR="00DD0E77">
        <w:t>'s</w:t>
      </w:r>
      <w:r w:rsidR="004017EB">
        <w:t xml:space="preserve"> infrastructure. </w:t>
      </w:r>
      <w:r w:rsidR="002A110C">
        <w:fldChar w:fldCharType="begin"/>
      </w:r>
      <w:r w:rsidR="002A110C">
        <w:instrText xml:space="preserve"> REF _Ref151993842 \h </w:instrText>
      </w:r>
      <w:r w:rsidR="002A110C">
        <w:fldChar w:fldCharType="separate"/>
      </w:r>
      <w:r w:rsidR="002E7A07" w:rsidRPr="00CE518F">
        <w:t xml:space="preserve">Figure </w:t>
      </w:r>
      <w:r w:rsidR="002E7A07">
        <w:rPr>
          <w:noProof/>
        </w:rPr>
        <w:t>3</w:t>
      </w:r>
      <w:r w:rsidR="002A110C">
        <w:fldChar w:fldCharType="end"/>
      </w:r>
      <w:r w:rsidR="002A110C">
        <w:t xml:space="preserve"> </w:t>
      </w:r>
      <w:r w:rsidR="005C7A26">
        <w:t>illustrates</w:t>
      </w:r>
      <w:r w:rsidR="00665DB0" w:rsidRPr="00665DB0">
        <w:t xml:space="preserve"> </w:t>
      </w:r>
      <w:r w:rsidR="002B2367">
        <w:t>t</w:t>
      </w:r>
      <w:r w:rsidR="00665DB0" w:rsidRPr="00665DB0">
        <w:t>he variation in cooling capacity usage among the stadiums' greenhouses</w:t>
      </w:r>
      <w:r w:rsidR="00FD5BA6">
        <w:t xml:space="preserve"> as it</w:t>
      </w:r>
      <w:r w:rsidR="00665DB0" w:rsidRPr="00665DB0">
        <w:t xml:space="preserve"> correlates with the available land and the </w:t>
      </w:r>
      <w:r w:rsidR="00FC3FAB">
        <w:t>capacity of each</w:t>
      </w:r>
      <w:r w:rsidR="00665DB0" w:rsidRPr="00665DB0">
        <w:t xml:space="preserve"> cooling system. </w:t>
      </w:r>
      <w:r w:rsidR="00D717B0" w:rsidRPr="00D717B0">
        <w:t xml:space="preserve">Education City Stadium requires </w:t>
      </w:r>
      <w:r w:rsidR="00DD0E77">
        <w:t>a</w:t>
      </w:r>
      <w:r w:rsidR="00D717B0" w:rsidRPr="00D717B0">
        <w:t xml:space="preserve"> minimal cooling capacity of just 1.64</w:t>
      </w:r>
      <w:r w:rsidR="00787B72">
        <w:t xml:space="preserve"> </w:t>
      </w:r>
      <w:r w:rsidR="00D717B0" w:rsidRPr="00D717B0">
        <w:t>%, in contrast to the ones near Al-Rayyan Stadium, which demand the highest cooling usage at 24.56</w:t>
      </w:r>
      <w:r w:rsidR="00787B72">
        <w:t xml:space="preserve"> </w:t>
      </w:r>
      <w:r w:rsidR="00D717B0" w:rsidRPr="00D717B0">
        <w:t>%.</w:t>
      </w:r>
      <w:r w:rsidR="00F77E9E">
        <w:t xml:space="preserve"> </w:t>
      </w:r>
      <w:r w:rsidR="00FD5BA6">
        <w:t xml:space="preserve">These results indicate that </w:t>
      </w:r>
      <w:r w:rsidR="00A0297C">
        <w:t>the proposed greenhouse</w:t>
      </w:r>
      <w:r w:rsidR="00EE7C2F">
        <w:t>s</w:t>
      </w:r>
      <w:r w:rsidR="00A0297C">
        <w:t xml:space="preserve"> only require a small part of the available cooling to operate throughout the year.</w:t>
      </w:r>
    </w:p>
    <w:p w14:paraId="70C5C41A" w14:textId="77777777" w:rsidR="008B3049" w:rsidRDefault="008B3049" w:rsidP="000828AC">
      <w:pPr>
        <w:jc w:val="both"/>
      </w:pPr>
    </w:p>
    <w:p w14:paraId="2F918743" w14:textId="6D1501AC" w:rsidR="008B3049" w:rsidRDefault="008B3049" w:rsidP="005F3C5D">
      <w:pPr>
        <w:keepNext/>
        <w:jc w:val="center"/>
      </w:pPr>
      <w:r>
        <w:rPr>
          <w:noProof/>
        </w:rPr>
        <w:drawing>
          <wp:inline distT="0" distB="0" distL="0" distR="0" wp14:anchorId="59EE1AEB" wp14:editId="6E00FBE6">
            <wp:extent cx="3009900" cy="2552866"/>
            <wp:effectExtent l="0" t="0" r="0" b="0"/>
            <wp:docPr id="1123603740" name="Picture 1"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3740" name="Picture 1" descr="A graph of a bar graph&#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1058" t="1487" r="1355" b="1570"/>
                    <a:stretch/>
                  </pic:blipFill>
                  <pic:spPr bwMode="auto">
                    <a:xfrm>
                      <a:off x="0" y="0"/>
                      <a:ext cx="3027410" cy="2567717"/>
                    </a:xfrm>
                    <a:prstGeom prst="rect">
                      <a:avLst/>
                    </a:prstGeom>
                    <a:ln>
                      <a:noFill/>
                    </a:ln>
                    <a:extLst>
                      <a:ext uri="{53640926-AAD7-44D8-BBD7-CCE9431645EC}">
                        <a14:shadowObscured xmlns:a14="http://schemas.microsoft.com/office/drawing/2010/main"/>
                      </a:ext>
                    </a:extLst>
                  </pic:spPr>
                </pic:pic>
              </a:graphicData>
            </a:graphic>
          </wp:inline>
        </w:drawing>
      </w:r>
    </w:p>
    <w:p w14:paraId="69BF78C5" w14:textId="7C077EAA" w:rsidR="005F3C5D" w:rsidRDefault="005F3C5D" w:rsidP="005F3C5D">
      <w:pPr>
        <w:pStyle w:val="Caption"/>
        <w:jc w:val="center"/>
      </w:pPr>
      <w:bookmarkStart w:id="6" w:name="_Ref151554449"/>
      <w:r>
        <w:t xml:space="preserve">Figure </w:t>
      </w:r>
      <w:r>
        <w:fldChar w:fldCharType="begin"/>
      </w:r>
      <w:r>
        <w:instrText xml:space="preserve"> SEQ Figure \* ARABIC </w:instrText>
      </w:r>
      <w:r>
        <w:fldChar w:fldCharType="separate"/>
      </w:r>
      <w:r w:rsidR="002E7A07">
        <w:rPr>
          <w:noProof/>
        </w:rPr>
        <w:t>2</w:t>
      </w:r>
      <w:r>
        <w:fldChar w:fldCharType="end"/>
      </w:r>
      <w:bookmarkEnd w:id="6"/>
      <w:r>
        <w:t>: Potential yield produced by the proposed greenhouses.</w:t>
      </w:r>
    </w:p>
    <w:p w14:paraId="57B65CCC" w14:textId="77777777" w:rsidR="00976926" w:rsidRDefault="00976926" w:rsidP="00976926">
      <w:pPr>
        <w:pStyle w:val="Heading1"/>
      </w:pPr>
      <w:r>
        <w:t>Conclusion</w:t>
      </w:r>
    </w:p>
    <w:p w14:paraId="5A8C13F9" w14:textId="287E1D0F" w:rsidR="000B5AE4" w:rsidRDefault="00976926" w:rsidP="00312CE2">
      <w:pPr>
        <w:jc w:val="both"/>
      </w:pPr>
      <w:r w:rsidRPr="002C36A5">
        <w:t>Open</w:t>
      </w:r>
      <w:r>
        <w:t>-</w:t>
      </w:r>
      <w:r w:rsidRPr="002C36A5">
        <w:t xml:space="preserve">field agriculture is </w:t>
      </w:r>
      <w:r>
        <w:t>unfeasible</w:t>
      </w:r>
      <w:r w:rsidRPr="002C36A5">
        <w:t xml:space="preserve"> in arid regions like Qatar due to harsh climates, infertile land, and water scarcity. </w:t>
      </w:r>
      <w:r>
        <w:t>However, c</w:t>
      </w:r>
      <w:r w:rsidRPr="002C36A5">
        <w:t xml:space="preserve">losed greenhouses offer a year-round solution but with high </w:t>
      </w:r>
      <w:r w:rsidR="007634A4" w:rsidRPr="002C36A5">
        <w:t>capital</w:t>
      </w:r>
      <w:r w:rsidR="007634A4">
        <w:t xml:space="preserve"> </w:t>
      </w:r>
      <w:r w:rsidR="007634A4" w:rsidRPr="002C36A5">
        <w:t>costs</w:t>
      </w:r>
      <w:r w:rsidRPr="002C36A5">
        <w:t xml:space="preserve">. </w:t>
      </w:r>
      <w:r>
        <w:t>Therefore, this study proposes using unutilised and sophisticated infrastructure from</w:t>
      </w:r>
      <w:r w:rsidRPr="002C36A5">
        <w:t xml:space="preserve"> FIFA World Cup 2022™ for food production. The framework incorporates a model for greenhouse requirements and crop yield </w:t>
      </w:r>
      <w:r w:rsidR="007634A4">
        <w:t>based on parameters such as</w:t>
      </w:r>
      <w:r w:rsidRPr="002C36A5">
        <w:t xml:space="preserve"> temperature, humidity, CO</w:t>
      </w:r>
      <w:r w:rsidRPr="0023784D">
        <w:rPr>
          <w:vertAlign w:val="subscript"/>
        </w:rPr>
        <w:t>2</w:t>
      </w:r>
      <w:r w:rsidRPr="002C36A5">
        <w:t xml:space="preserve"> levels, leaf area index, plant density, and covering material. Economic </w:t>
      </w:r>
      <w:r w:rsidR="00312CE2">
        <w:t>optimisation</w:t>
      </w:r>
      <w:r w:rsidRPr="002C36A5">
        <w:t xml:space="preserve"> identifies optimal conditions</w:t>
      </w:r>
      <w:r>
        <w:t xml:space="preserve"> for the most cost-effective yield, including specific temperature, humidity, and CO</w:t>
      </w:r>
      <w:r w:rsidRPr="00312CE2">
        <w:rPr>
          <w:vertAlign w:val="subscript"/>
        </w:rPr>
        <w:t>2</w:t>
      </w:r>
      <w:r>
        <w:t xml:space="preserve"> </w:t>
      </w:r>
      <w:r w:rsidR="00E11D54">
        <w:t>settings.</w:t>
      </w:r>
      <w:r w:rsidR="00312CE2" w:rsidRPr="00312CE2">
        <w:t xml:space="preserve"> </w:t>
      </w:r>
    </w:p>
    <w:p w14:paraId="0328F5B5" w14:textId="2F32911C" w:rsidR="00CE518F" w:rsidRDefault="003C622F" w:rsidP="00871989">
      <w:pPr>
        <w:jc w:val="both"/>
      </w:pPr>
      <w:r w:rsidRPr="003C622F">
        <w:lastRenderedPageBreak/>
        <w:t xml:space="preserve">The proposed framework is both general and flexible, </w:t>
      </w:r>
      <w:r>
        <w:t>developed</w:t>
      </w:r>
      <w:r w:rsidRPr="003C622F">
        <w:t xml:space="preserve"> to be applicable across various geographical locations with differing infrastructures. </w:t>
      </w:r>
      <w:r w:rsidR="008E5780" w:rsidRPr="008E5780">
        <w:t xml:space="preserve">Utilizing existing infrastructure can </w:t>
      </w:r>
      <w:r w:rsidR="00E11D54">
        <w:t>enhance</w:t>
      </w:r>
      <w:r w:rsidR="008E5780" w:rsidRPr="008E5780">
        <w:t xml:space="preserve"> food sustainability</w:t>
      </w:r>
      <w:r w:rsidR="007466D4">
        <w:t xml:space="preserve"> by utilizing</w:t>
      </w:r>
      <w:r w:rsidR="008E5780" w:rsidRPr="008E5780">
        <w:t xml:space="preserve"> available resources for food production. This approach not only optimizes the use of </w:t>
      </w:r>
      <w:r w:rsidR="00203FE1">
        <w:t>existing</w:t>
      </w:r>
      <w:r w:rsidR="008E5780" w:rsidRPr="008E5780">
        <w:t xml:space="preserve"> </w:t>
      </w:r>
      <w:r w:rsidR="00203FE1">
        <w:t>infrastructure</w:t>
      </w:r>
      <w:r w:rsidR="008E5780" w:rsidRPr="008E5780">
        <w:t xml:space="preserve"> and systems but also reduces the need for additional investments and environmental impacts associated with new constructions. By adapting and enhancing current infrastructures, </w:t>
      </w:r>
      <w:r w:rsidR="00203FE1">
        <w:t xml:space="preserve">food can </w:t>
      </w:r>
      <w:r w:rsidR="007466D4">
        <w:t>be produced</w:t>
      </w:r>
      <w:r w:rsidR="00203FE1">
        <w:t xml:space="preserve"> sustainab</w:t>
      </w:r>
      <w:r w:rsidR="007466D4">
        <w:t>l</w:t>
      </w:r>
      <w:r w:rsidR="00203FE1">
        <w:t xml:space="preserve">y </w:t>
      </w:r>
      <w:r w:rsidR="007466D4">
        <w:t>and cost-efficiently</w:t>
      </w:r>
      <w:r w:rsidR="00203FE1">
        <w:t xml:space="preserve">. </w:t>
      </w:r>
    </w:p>
    <w:p w14:paraId="07A37CF0" w14:textId="6C70F87C" w:rsidR="007876B0" w:rsidRPr="00CE518F" w:rsidRDefault="007876B0" w:rsidP="002E7A07">
      <w:pPr>
        <w:pStyle w:val="Els-caption"/>
        <w:keepNext/>
        <w:jc w:val="center"/>
        <w:rPr>
          <w:sz w:val="20"/>
          <w:lang w:val="en-GB"/>
        </w:rPr>
      </w:pPr>
      <w:r>
        <w:rPr>
          <w:noProof/>
          <w:sz w:val="20"/>
          <w:lang w:val="en-GB"/>
        </w:rPr>
        <w:drawing>
          <wp:inline distT="0" distB="0" distL="0" distR="0" wp14:anchorId="44F9AA07" wp14:editId="1DE57FCF">
            <wp:extent cx="2885789" cy="2289810"/>
            <wp:effectExtent l="0" t="0" r="0" b="0"/>
            <wp:docPr id="1222351570" name="Picture 2" descr="A graph of graph showing different sizes of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51570" name="Picture 2" descr="A graph of graph showing different sizes of bars&#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1269" t="1582" r="1355" b="2179"/>
                    <a:stretch/>
                  </pic:blipFill>
                  <pic:spPr bwMode="auto">
                    <a:xfrm>
                      <a:off x="0" y="0"/>
                      <a:ext cx="2906301" cy="2306086"/>
                    </a:xfrm>
                    <a:prstGeom prst="rect">
                      <a:avLst/>
                    </a:prstGeom>
                    <a:ln>
                      <a:noFill/>
                    </a:ln>
                    <a:extLst>
                      <a:ext uri="{53640926-AAD7-44D8-BBD7-CCE9431645EC}">
                        <a14:shadowObscured xmlns:a14="http://schemas.microsoft.com/office/drawing/2010/main"/>
                      </a:ext>
                    </a:extLst>
                  </pic:spPr>
                </pic:pic>
              </a:graphicData>
            </a:graphic>
          </wp:inline>
        </w:drawing>
      </w:r>
    </w:p>
    <w:p w14:paraId="5566DB6C" w14:textId="3D3910C4" w:rsidR="00CE518F" w:rsidRPr="00CE518F" w:rsidRDefault="00CE518F" w:rsidP="002E7A07">
      <w:pPr>
        <w:pStyle w:val="Caption"/>
        <w:jc w:val="center"/>
        <w:rPr>
          <w:sz w:val="20"/>
          <w:lang w:val="en-GB"/>
        </w:rPr>
      </w:pPr>
      <w:bookmarkStart w:id="7" w:name="_Ref151993842"/>
      <w:r w:rsidRPr="00CE518F">
        <w:rPr>
          <w:sz w:val="20"/>
          <w:lang w:val="en-GB"/>
        </w:rPr>
        <w:t xml:space="preserve">Figure </w:t>
      </w:r>
      <w:r w:rsidRPr="00CE518F">
        <w:rPr>
          <w:sz w:val="20"/>
          <w:lang w:val="en-GB"/>
        </w:rPr>
        <w:fldChar w:fldCharType="begin"/>
      </w:r>
      <w:r w:rsidRPr="00CE518F">
        <w:rPr>
          <w:sz w:val="20"/>
          <w:lang w:val="en-GB"/>
        </w:rPr>
        <w:instrText xml:space="preserve"> SEQ Figure \* ARABIC </w:instrText>
      </w:r>
      <w:r w:rsidRPr="00CE518F">
        <w:rPr>
          <w:sz w:val="20"/>
          <w:lang w:val="en-GB"/>
        </w:rPr>
        <w:fldChar w:fldCharType="separate"/>
      </w:r>
      <w:r w:rsidR="002E7A07">
        <w:rPr>
          <w:noProof/>
          <w:sz w:val="20"/>
          <w:lang w:val="en-GB"/>
        </w:rPr>
        <w:t>3</w:t>
      </w:r>
      <w:r w:rsidRPr="00CE518F">
        <w:rPr>
          <w:sz w:val="20"/>
          <w:lang w:val="en-GB"/>
        </w:rPr>
        <w:fldChar w:fldCharType="end"/>
      </w:r>
      <w:bookmarkEnd w:id="7"/>
      <w:r w:rsidRPr="00CE518F">
        <w:rPr>
          <w:sz w:val="20"/>
          <w:lang w:val="en-GB"/>
        </w:rPr>
        <w:t xml:space="preserve">: Total </w:t>
      </w:r>
      <w:r w:rsidR="00312088">
        <w:rPr>
          <w:sz w:val="20"/>
          <w:lang w:val="en-GB"/>
        </w:rPr>
        <w:t xml:space="preserve">available and utilised cooling </w:t>
      </w:r>
      <w:r w:rsidRPr="00CE518F">
        <w:rPr>
          <w:sz w:val="20"/>
          <w:lang w:val="en-GB"/>
        </w:rPr>
        <w:t xml:space="preserve">by the </w:t>
      </w:r>
      <w:r w:rsidR="0020588A">
        <w:rPr>
          <w:sz w:val="20"/>
          <w:lang w:val="en-GB"/>
        </w:rPr>
        <w:t xml:space="preserve">proposed </w:t>
      </w:r>
      <w:r w:rsidRPr="00CE518F">
        <w:rPr>
          <w:sz w:val="20"/>
          <w:lang w:val="en-GB"/>
        </w:rPr>
        <w:t>greenhouses.</w:t>
      </w:r>
    </w:p>
    <w:p w14:paraId="6A60B4EC" w14:textId="1488CA77" w:rsidR="00055C87" w:rsidRPr="007657C2" w:rsidRDefault="007657C2" w:rsidP="0083415E">
      <w:pPr>
        <w:jc w:val="both"/>
        <w:rPr>
          <w:rFonts w:eastAsiaTheme="majorEastAsia"/>
          <w:b/>
          <w:bCs/>
        </w:rPr>
      </w:pPr>
      <w:r w:rsidRPr="007657C2">
        <w:rPr>
          <w:rFonts w:eastAsiaTheme="majorEastAsia"/>
          <w:b/>
          <w:bCs/>
        </w:rPr>
        <w:t>Acknowledgment</w:t>
      </w:r>
      <w:r w:rsidR="00055C87" w:rsidRPr="007657C2">
        <w:rPr>
          <w:rFonts w:eastAsiaTheme="majorEastAsia"/>
          <w:b/>
          <w:bCs/>
        </w:rPr>
        <w:t xml:space="preserve">  </w:t>
      </w:r>
    </w:p>
    <w:p w14:paraId="59825041" w14:textId="6B4A9468" w:rsidR="00055C87" w:rsidRPr="00976926" w:rsidRDefault="00FD60D7" w:rsidP="0083415E">
      <w:pPr>
        <w:jc w:val="both"/>
      </w:pPr>
      <w:r w:rsidRPr="00FD60D7">
        <w:t>The authors acknowledge the support provided by Hamad bin Khalifa University,</w:t>
      </w:r>
      <w:r>
        <w:t xml:space="preserve"> </w:t>
      </w:r>
      <w:r w:rsidRPr="00FD60D7">
        <w:t>Education, City Doha, Qatar, a member of the Qatar</w:t>
      </w:r>
      <w:r>
        <w:t xml:space="preserve"> </w:t>
      </w:r>
      <w:r w:rsidR="008976F6">
        <w:t>F</w:t>
      </w:r>
      <w:r w:rsidRPr="00FD60D7">
        <w:t xml:space="preserve">oundation. The research is funded by </w:t>
      </w:r>
      <w:r w:rsidR="008976F6">
        <w:t xml:space="preserve">the </w:t>
      </w:r>
      <w:r w:rsidRPr="00FD60D7">
        <w:t>Qatar National Research Fund</w:t>
      </w:r>
      <w:r>
        <w:t xml:space="preserve"> </w:t>
      </w:r>
      <w:r w:rsidRPr="00FD60D7">
        <w:t>(MME01-0922-190049).</w:t>
      </w:r>
    </w:p>
    <w:p w14:paraId="2031A638" w14:textId="77777777" w:rsidR="00976926" w:rsidRDefault="00976926" w:rsidP="0083415E">
      <w:pPr>
        <w:jc w:val="both"/>
        <w:rPr>
          <w:b/>
          <w:bCs/>
          <w:lang w:val="en-US"/>
        </w:rPr>
      </w:pPr>
    </w:p>
    <w:p w14:paraId="461D50D0" w14:textId="2D0B2906" w:rsidR="002958C2" w:rsidRPr="00FD60D7" w:rsidRDefault="002958C2" w:rsidP="0083415E">
      <w:pPr>
        <w:jc w:val="both"/>
        <w:rPr>
          <w:b/>
          <w:bCs/>
          <w:lang w:val="en-US"/>
        </w:rPr>
      </w:pPr>
      <w:r w:rsidRPr="00FD60D7">
        <w:rPr>
          <w:b/>
          <w:bCs/>
          <w:lang w:val="en-US"/>
        </w:rPr>
        <w:t>References</w:t>
      </w:r>
    </w:p>
    <w:p w14:paraId="69C5C379" w14:textId="5183E42E" w:rsidR="00E41BFF" w:rsidRPr="00E41BFF" w:rsidRDefault="009D11FD" w:rsidP="00E41BFF">
      <w:pPr>
        <w:widowControl w:val="0"/>
        <w:autoSpaceDE w:val="0"/>
        <w:autoSpaceDN w:val="0"/>
        <w:adjustRightInd w:val="0"/>
        <w:ind w:left="480" w:hanging="480"/>
        <w:rPr>
          <w:noProof/>
          <w:sz w:val="18"/>
          <w:szCs w:val="24"/>
        </w:rPr>
      </w:pPr>
      <w:r w:rsidRPr="002C4707">
        <w:rPr>
          <w:b/>
          <w:bCs/>
          <w:sz w:val="18"/>
          <w:szCs w:val="18"/>
        </w:rPr>
        <w:fldChar w:fldCharType="begin" w:fldLock="1"/>
      </w:r>
      <w:r w:rsidRPr="00A02886">
        <w:rPr>
          <w:b/>
          <w:bCs/>
          <w:sz w:val="18"/>
          <w:szCs w:val="18"/>
          <w:lang w:val="en-US"/>
        </w:rPr>
        <w:instrText xml:space="preserve">ADDIN Mendeley Bibliography CSL_BIBLIOGRAPHY </w:instrText>
      </w:r>
      <w:r w:rsidRPr="002C4707">
        <w:rPr>
          <w:b/>
          <w:bCs/>
          <w:sz w:val="18"/>
          <w:szCs w:val="18"/>
        </w:rPr>
        <w:fldChar w:fldCharType="separate"/>
      </w:r>
      <w:r w:rsidR="00E41BFF" w:rsidRPr="00E41BFF">
        <w:rPr>
          <w:noProof/>
          <w:sz w:val="18"/>
          <w:szCs w:val="24"/>
        </w:rPr>
        <w:t>Engler, N., Krarti, M., 2021. Review of energy efficiency in controlled environment agriculture. Renew. Sustain. Energy Rev. 141. https://doi.org/10.1016/j.rser.2021.110786</w:t>
      </w:r>
    </w:p>
    <w:p w14:paraId="62E8DF28" w14:textId="77777777" w:rsidR="00E41BFF" w:rsidRPr="00E41BFF" w:rsidRDefault="00E41BFF" w:rsidP="00E41BFF">
      <w:pPr>
        <w:widowControl w:val="0"/>
        <w:autoSpaceDE w:val="0"/>
        <w:autoSpaceDN w:val="0"/>
        <w:adjustRightInd w:val="0"/>
        <w:ind w:left="480" w:hanging="480"/>
        <w:rPr>
          <w:noProof/>
          <w:sz w:val="18"/>
          <w:szCs w:val="24"/>
        </w:rPr>
      </w:pPr>
      <w:r w:rsidRPr="00E41BFF">
        <w:rPr>
          <w:noProof/>
          <w:sz w:val="18"/>
          <w:szCs w:val="24"/>
        </w:rPr>
        <w:t>Jones, J.W., Kenig, A., Vallejos, C.E., 1999. Reduced state-variable tomato growth model. Trans. Am. Soc. Agric. Eng. 42, 255–265. https://doi.org/10.13031/2013.13203</w:t>
      </w:r>
    </w:p>
    <w:p w14:paraId="1AC5F872" w14:textId="77777777" w:rsidR="00E41BFF" w:rsidRPr="00E41BFF" w:rsidRDefault="00E41BFF" w:rsidP="00E41BFF">
      <w:pPr>
        <w:widowControl w:val="0"/>
        <w:autoSpaceDE w:val="0"/>
        <w:autoSpaceDN w:val="0"/>
        <w:adjustRightInd w:val="0"/>
        <w:ind w:left="480" w:hanging="480"/>
        <w:rPr>
          <w:noProof/>
          <w:sz w:val="18"/>
          <w:szCs w:val="24"/>
        </w:rPr>
      </w:pPr>
      <w:r w:rsidRPr="00E41BFF">
        <w:rPr>
          <w:noProof/>
          <w:sz w:val="18"/>
          <w:szCs w:val="24"/>
        </w:rPr>
        <w:t>Larsson, M., 2018. Global Energy Transformation: A Roadmap to 2050. Int. Renew. Energy Agency.</w:t>
      </w:r>
    </w:p>
    <w:p w14:paraId="37D8EB02" w14:textId="77777777" w:rsidR="00E41BFF" w:rsidRPr="00E41BFF" w:rsidRDefault="00E41BFF" w:rsidP="00E41BFF">
      <w:pPr>
        <w:widowControl w:val="0"/>
        <w:autoSpaceDE w:val="0"/>
        <w:autoSpaceDN w:val="0"/>
        <w:adjustRightInd w:val="0"/>
        <w:ind w:left="480" w:hanging="480"/>
        <w:rPr>
          <w:noProof/>
          <w:sz w:val="18"/>
          <w:szCs w:val="24"/>
        </w:rPr>
      </w:pPr>
      <w:r w:rsidRPr="00E41BFF">
        <w:rPr>
          <w:noProof/>
          <w:sz w:val="18"/>
          <w:szCs w:val="24"/>
        </w:rPr>
        <w:t>Mahmood, F., Ghiat, I., Govindan, R., Al-Ansari, T., 2020. Reduced-order Modelling (ROM) Approach for Optimal Microclimate Control in Agricultural Greenhouses. Comput. Aided Chem. Eng. 48, 1879–1884. https://doi.org/10.1016/B978-0-12-823377-1.50314-1</w:t>
      </w:r>
    </w:p>
    <w:p w14:paraId="17BC6B0B" w14:textId="77777777" w:rsidR="00E41BFF" w:rsidRPr="00AA6C93" w:rsidRDefault="00E41BFF" w:rsidP="00E41BFF">
      <w:pPr>
        <w:widowControl w:val="0"/>
        <w:autoSpaceDE w:val="0"/>
        <w:autoSpaceDN w:val="0"/>
        <w:adjustRightInd w:val="0"/>
        <w:ind w:left="480" w:hanging="480"/>
        <w:rPr>
          <w:noProof/>
          <w:sz w:val="18"/>
          <w:szCs w:val="24"/>
          <w:lang w:val="es-ES"/>
        </w:rPr>
      </w:pPr>
      <w:r w:rsidRPr="00E41BFF">
        <w:rPr>
          <w:noProof/>
          <w:sz w:val="18"/>
          <w:szCs w:val="24"/>
        </w:rPr>
        <w:t xml:space="preserve">Mahmood, F., Govindan, R., Bermak, A., Yang, D., Al-Ansari, T., 2023a. Data-driven robust model predictive control for greenhouse temperature control and energy utilisation assessment. </w:t>
      </w:r>
      <w:r w:rsidRPr="00AA6C93">
        <w:rPr>
          <w:noProof/>
          <w:sz w:val="18"/>
          <w:szCs w:val="24"/>
          <w:lang w:val="es-ES"/>
        </w:rPr>
        <w:t>Appl. Energy 343. https://doi.org/10.1016/j.apenergy.2023.121190</w:t>
      </w:r>
    </w:p>
    <w:p w14:paraId="32634B21" w14:textId="77777777" w:rsidR="00E41BFF" w:rsidRPr="00E41BFF" w:rsidRDefault="00E41BFF" w:rsidP="00E41BFF">
      <w:pPr>
        <w:widowControl w:val="0"/>
        <w:autoSpaceDE w:val="0"/>
        <w:autoSpaceDN w:val="0"/>
        <w:adjustRightInd w:val="0"/>
        <w:ind w:left="480" w:hanging="480"/>
        <w:rPr>
          <w:noProof/>
          <w:sz w:val="18"/>
          <w:szCs w:val="24"/>
        </w:rPr>
      </w:pPr>
      <w:r w:rsidRPr="00AA6C93">
        <w:rPr>
          <w:noProof/>
          <w:sz w:val="18"/>
          <w:szCs w:val="24"/>
          <w:lang w:val="es-ES"/>
        </w:rPr>
        <w:t xml:space="preserve">Mahmood, F., Luqman, M., Al-Ansari, T., 2023b. </w:t>
      </w:r>
      <w:r w:rsidRPr="00E41BFF">
        <w:rPr>
          <w:noProof/>
          <w:sz w:val="18"/>
          <w:szCs w:val="24"/>
        </w:rPr>
        <w:t>Application of a dynamic hybrid energy-crop yield model to support the co-utilisation of mega infrastructure for food security. Environ. Technol. Innov. 31. https://doi.org/10.1016/j.eti.2023.103157</w:t>
      </w:r>
    </w:p>
    <w:p w14:paraId="26460B6E" w14:textId="77777777" w:rsidR="00E41BFF" w:rsidRPr="00AA6C93" w:rsidRDefault="00E41BFF" w:rsidP="00E41BFF">
      <w:pPr>
        <w:widowControl w:val="0"/>
        <w:autoSpaceDE w:val="0"/>
        <w:autoSpaceDN w:val="0"/>
        <w:adjustRightInd w:val="0"/>
        <w:ind w:left="480" w:hanging="480"/>
        <w:rPr>
          <w:noProof/>
          <w:sz w:val="18"/>
          <w:szCs w:val="24"/>
          <w:lang w:val="es-ES"/>
        </w:rPr>
      </w:pPr>
      <w:r w:rsidRPr="00E41BFF">
        <w:rPr>
          <w:noProof/>
          <w:sz w:val="18"/>
          <w:szCs w:val="24"/>
        </w:rPr>
        <w:t xml:space="preserve">Stanghellini, C., Bontsema, J., De Koning, A., Baeza, E.J., 2012. An algorithm for optimal fertilization with pure carbon dioxide in greenhouses. </w:t>
      </w:r>
      <w:r w:rsidRPr="00AA6C93">
        <w:rPr>
          <w:noProof/>
          <w:sz w:val="18"/>
          <w:szCs w:val="24"/>
          <w:lang w:val="es-ES"/>
        </w:rPr>
        <w:t>Acta Hortic. 952, 119–124. https://doi.org/10.17660/ActaHortic.2012.952.13</w:t>
      </w:r>
    </w:p>
    <w:p w14:paraId="7914F140" w14:textId="20548670" w:rsidR="00C04803" w:rsidRPr="002958C2" w:rsidRDefault="00E41BFF" w:rsidP="00E41BFF">
      <w:pPr>
        <w:widowControl w:val="0"/>
        <w:autoSpaceDE w:val="0"/>
        <w:autoSpaceDN w:val="0"/>
        <w:adjustRightInd w:val="0"/>
        <w:ind w:left="480" w:hanging="480"/>
        <w:rPr>
          <w:b/>
          <w:bCs/>
        </w:rPr>
      </w:pPr>
      <w:r w:rsidRPr="00AA6C93">
        <w:rPr>
          <w:noProof/>
          <w:sz w:val="18"/>
          <w:szCs w:val="24"/>
          <w:lang w:val="es-ES"/>
        </w:rPr>
        <w:t xml:space="preserve">Van Beveren, P.J.M., Bontsema, J., Van Straten, G., Van Henten, E.J., 2013. </w:t>
      </w:r>
      <w:r w:rsidRPr="00E41BFF">
        <w:rPr>
          <w:noProof/>
          <w:sz w:val="18"/>
          <w:szCs w:val="24"/>
        </w:rPr>
        <w:t>Minimal heating and cooling in a modern rose greenhouse. IFAC Proc. Vol. 4, 282–287. https://doi.org/10.3182/20130828-2-SF-3019.00026</w:t>
      </w:r>
      <w:r w:rsidR="009D11FD" w:rsidRPr="002C4707">
        <w:rPr>
          <w:b/>
          <w:bCs/>
          <w:sz w:val="18"/>
          <w:szCs w:val="18"/>
        </w:rPr>
        <w:fldChar w:fldCharType="end"/>
      </w:r>
    </w:p>
    <w:sectPr w:rsidR="00C04803" w:rsidRPr="002958C2" w:rsidSect="00AA6C93">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AA45" w14:textId="77777777" w:rsidR="00CE1AC1" w:rsidRDefault="00CE1AC1">
      <w:r>
        <w:separator/>
      </w:r>
    </w:p>
  </w:endnote>
  <w:endnote w:type="continuationSeparator" w:id="0">
    <w:p w14:paraId="7562E15F" w14:textId="77777777" w:rsidR="00CE1AC1" w:rsidRDefault="00CE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D98A" w14:textId="77777777" w:rsidR="00CE1AC1" w:rsidRDefault="00CE1AC1">
      <w:r>
        <w:separator/>
      </w:r>
    </w:p>
  </w:footnote>
  <w:footnote w:type="continuationSeparator" w:id="0">
    <w:p w14:paraId="11C39340" w14:textId="77777777" w:rsidR="00CE1AC1" w:rsidRDefault="00CE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42608D2" w:rsidR="00DD3D9E" w:rsidRDefault="00DD3D9E">
    <w:pPr>
      <w:pStyle w:val="Header"/>
      <w:tabs>
        <w:tab w:val="clear" w:pos="7200"/>
        <w:tab w:val="right" w:pos="7088"/>
      </w:tabs>
    </w:pPr>
    <w:r>
      <w:rPr>
        <w:rStyle w:val="PageNumber"/>
      </w:rPr>
      <w:tab/>
    </w:r>
    <w:r>
      <w:rPr>
        <w:rStyle w:val="PageNumber"/>
        <w:i/>
      </w:rPr>
      <w:tab/>
    </w:r>
    <w:r w:rsidR="00E20EC7">
      <w:rPr>
        <w:rStyle w:val="PageNumber"/>
        <w:i/>
      </w:rPr>
      <w:t>Mahmood and Al-Ansari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A251F2C" w:rsidR="00DD3D9E" w:rsidRDefault="00041742" w:rsidP="00404160">
    <w:pPr>
      <w:pStyle w:val="Header"/>
      <w:tabs>
        <w:tab w:val="clear" w:pos="7200"/>
        <w:tab w:val="right" w:pos="7088"/>
      </w:tabs>
      <w:rPr>
        <w:sz w:val="24"/>
      </w:rPr>
    </w:pPr>
    <w:r>
      <w:rPr>
        <w:i/>
      </w:rPr>
      <w:t>F</w:t>
    </w:r>
    <w:r w:rsidR="00404160" w:rsidRPr="00404160">
      <w:rPr>
        <w:i/>
      </w:rPr>
      <w:t>ramework based on a</w:t>
    </w:r>
    <w:r w:rsidR="006022BA">
      <w:rPr>
        <w:i/>
      </w:rPr>
      <w:t xml:space="preserve"> </w:t>
    </w:r>
    <w:r>
      <w:rPr>
        <w:i/>
      </w:rPr>
      <w:t>coupled</w:t>
    </w:r>
    <w:r w:rsidR="00404160" w:rsidRPr="00404160">
      <w:rPr>
        <w:i/>
      </w:rPr>
      <w:t xml:space="preserve"> input-yield model for infrastructure-driven agriculture</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0364306"/>
    <w:multiLevelType w:val="multilevel"/>
    <w:tmpl w:val="E9A855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5"/>
  </w:num>
  <w:num w:numId="11" w16cid:durableId="1896693444">
    <w:abstractNumId w:val="14"/>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242328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AzszQ3NrU0MTRX0lEKTi0uzszPAykwNKkFAOv3meItAAAA"/>
  </w:docVars>
  <w:rsids>
    <w:rsidRoot w:val="00B63237"/>
    <w:rsid w:val="000034FF"/>
    <w:rsid w:val="0000600F"/>
    <w:rsid w:val="00006AFA"/>
    <w:rsid w:val="00010013"/>
    <w:rsid w:val="00014FD6"/>
    <w:rsid w:val="00033154"/>
    <w:rsid w:val="00041742"/>
    <w:rsid w:val="00053A77"/>
    <w:rsid w:val="00054AED"/>
    <w:rsid w:val="00055C87"/>
    <w:rsid w:val="000624D8"/>
    <w:rsid w:val="000638D4"/>
    <w:rsid w:val="00064E21"/>
    <w:rsid w:val="00066635"/>
    <w:rsid w:val="00076AF8"/>
    <w:rsid w:val="000828AC"/>
    <w:rsid w:val="00085234"/>
    <w:rsid w:val="000916D3"/>
    <w:rsid w:val="00091C1B"/>
    <w:rsid w:val="00092D21"/>
    <w:rsid w:val="000A484C"/>
    <w:rsid w:val="000B3195"/>
    <w:rsid w:val="000B5AE4"/>
    <w:rsid w:val="000B6BF1"/>
    <w:rsid w:val="000C0D30"/>
    <w:rsid w:val="000C5F5A"/>
    <w:rsid w:val="000D3D9B"/>
    <w:rsid w:val="000E14A4"/>
    <w:rsid w:val="000E7B59"/>
    <w:rsid w:val="000F1A1F"/>
    <w:rsid w:val="000F4E06"/>
    <w:rsid w:val="000F729C"/>
    <w:rsid w:val="001106D8"/>
    <w:rsid w:val="001151A2"/>
    <w:rsid w:val="00145D86"/>
    <w:rsid w:val="00145E86"/>
    <w:rsid w:val="0015596F"/>
    <w:rsid w:val="00157145"/>
    <w:rsid w:val="0016032F"/>
    <w:rsid w:val="00160B58"/>
    <w:rsid w:val="00164E0D"/>
    <w:rsid w:val="001654CC"/>
    <w:rsid w:val="001718DD"/>
    <w:rsid w:val="00174610"/>
    <w:rsid w:val="001827EB"/>
    <w:rsid w:val="001879F6"/>
    <w:rsid w:val="00194C4C"/>
    <w:rsid w:val="00195D1B"/>
    <w:rsid w:val="00197BFD"/>
    <w:rsid w:val="001A00F7"/>
    <w:rsid w:val="001A37A3"/>
    <w:rsid w:val="001A6C80"/>
    <w:rsid w:val="001B1680"/>
    <w:rsid w:val="001C0148"/>
    <w:rsid w:val="001C3437"/>
    <w:rsid w:val="001C757E"/>
    <w:rsid w:val="001D1441"/>
    <w:rsid w:val="001E12FE"/>
    <w:rsid w:val="001E23F7"/>
    <w:rsid w:val="001E2D0B"/>
    <w:rsid w:val="001E34AC"/>
    <w:rsid w:val="001E6C3A"/>
    <w:rsid w:val="0020390F"/>
    <w:rsid w:val="00203FE1"/>
    <w:rsid w:val="0020588A"/>
    <w:rsid w:val="00205994"/>
    <w:rsid w:val="0020773B"/>
    <w:rsid w:val="00212075"/>
    <w:rsid w:val="002149A9"/>
    <w:rsid w:val="002254F6"/>
    <w:rsid w:val="00237770"/>
    <w:rsid w:val="0023784D"/>
    <w:rsid w:val="002435CE"/>
    <w:rsid w:val="00246B68"/>
    <w:rsid w:val="00253FF4"/>
    <w:rsid w:val="002544E5"/>
    <w:rsid w:val="00264117"/>
    <w:rsid w:val="00264926"/>
    <w:rsid w:val="00275D91"/>
    <w:rsid w:val="002958C2"/>
    <w:rsid w:val="002A110C"/>
    <w:rsid w:val="002A4B33"/>
    <w:rsid w:val="002A6566"/>
    <w:rsid w:val="002B2367"/>
    <w:rsid w:val="002B46CE"/>
    <w:rsid w:val="002C36A5"/>
    <w:rsid w:val="002C45B0"/>
    <w:rsid w:val="002C4707"/>
    <w:rsid w:val="002C5C9F"/>
    <w:rsid w:val="002D1486"/>
    <w:rsid w:val="002D2321"/>
    <w:rsid w:val="002D336D"/>
    <w:rsid w:val="002E3581"/>
    <w:rsid w:val="002E53A3"/>
    <w:rsid w:val="002E7A07"/>
    <w:rsid w:val="002F5F38"/>
    <w:rsid w:val="002F775F"/>
    <w:rsid w:val="003038F6"/>
    <w:rsid w:val="00310A38"/>
    <w:rsid w:val="00312088"/>
    <w:rsid w:val="0031250E"/>
    <w:rsid w:val="00312CE2"/>
    <w:rsid w:val="00316D0D"/>
    <w:rsid w:val="00322B78"/>
    <w:rsid w:val="00326328"/>
    <w:rsid w:val="00330B24"/>
    <w:rsid w:val="003410B3"/>
    <w:rsid w:val="00344A3C"/>
    <w:rsid w:val="00345032"/>
    <w:rsid w:val="00364220"/>
    <w:rsid w:val="0036464E"/>
    <w:rsid w:val="003712D4"/>
    <w:rsid w:val="00372C7D"/>
    <w:rsid w:val="00373BD4"/>
    <w:rsid w:val="0038067E"/>
    <w:rsid w:val="00381B64"/>
    <w:rsid w:val="0039382C"/>
    <w:rsid w:val="003956F8"/>
    <w:rsid w:val="003B0A08"/>
    <w:rsid w:val="003C1812"/>
    <w:rsid w:val="003C1EB9"/>
    <w:rsid w:val="003C622F"/>
    <w:rsid w:val="003D1582"/>
    <w:rsid w:val="003D3205"/>
    <w:rsid w:val="003D7E4C"/>
    <w:rsid w:val="003E00F9"/>
    <w:rsid w:val="003E2CBD"/>
    <w:rsid w:val="003E41C2"/>
    <w:rsid w:val="003F2A36"/>
    <w:rsid w:val="004017EB"/>
    <w:rsid w:val="00404160"/>
    <w:rsid w:val="0042249B"/>
    <w:rsid w:val="00426FFE"/>
    <w:rsid w:val="00427463"/>
    <w:rsid w:val="004303D6"/>
    <w:rsid w:val="00441579"/>
    <w:rsid w:val="004446F6"/>
    <w:rsid w:val="00491E61"/>
    <w:rsid w:val="0049772C"/>
    <w:rsid w:val="004A10A6"/>
    <w:rsid w:val="004A4EEC"/>
    <w:rsid w:val="00501462"/>
    <w:rsid w:val="00501EFC"/>
    <w:rsid w:val="00523020"/>
    <w:rsid w:val="0052606D"/>
    <w:rsid w:val="00541617"/>
    <w:rsid w:val="00542575"/>
    <w:rsid w:val="005458B1"/>
    <w:rsid w:val="00545D29"/>
    <w:rsid w:val="00552EEB"/>
    <w:rsid w:val="0055513E"/>
    <w:rsid w:val="00556F12"/>
    <w:rsid w:val="00561FDA"/>
    <w:rsid w:val="005938EA"/>
    <w:rsid w:val="00595914"/>
    <w:rsid w:val="005B1446"/>
    <w:rsid w:val="005B4FF6"/>
    <w:rsid w:val="005B7CB8"/>
    <w:rsid w:val="005C50C2"/>
    <w:rsid w:val="005C68DC"/>
    <w:rsid w:val="005C7A26"/>
    <w:rsid w:val="005D28A3"/>
    <w:rsid w:val="005D2936"/>
    <w:rsid w:val="005D49C4"/>
    <w:rsid w:val="005D510C"/>
    <w:rsid w:val="005E0C1E"/>
    <w:rsid w:val="005F1C97"/>
    <w:rsid w:val="005F3C5D"/>
    <w:rsid w:val="005F6398"/>
    <w:rsid w:val="005F6B29"/>
    <w:rsid w:val="00600924"/>
    <w:rsid w:val="006022BA"/>
    <w:rsid w:val="00614F96"/>
    <w:rsid w:val="006235C3"/>
    <w:rsid w:val="00623B5B"/>
    <w:rsid w:val="006243B7"/>
    <w:rsid w:val="00625B9E"/>
    <w:rsid w:val="006347AF"/>
    <w:rsid w:val="00647931"/>
    <w:rsid w:val="00651D45"/>
    <w:rsid w:val="00665DB0"/>
    <w:rsid w:val="00671D68"/>
    <w:rsid w:val="00696F57"/>
    <w:rsid w:val="006A69BF"/>
    <w:rsid w:val="006B41F6"/>
    <w:rsid w:val="006B63AD"/>
    <w:rsid w:val="006C2C3B"/>
    <w:rsid w:val="006C302B"/>
    <w:rsid w:val="006C5642"/>
    <w:rsid w:val="006E1EF7"/>
    <w:rsid w:val="006F22F6"/>
    <w:rsid w:val="006F2940"/>
    <w:rsid w:val="00711DF4"/>
    <w:rsid w:val="00721911"/>
    <w:rsid w:val="007420C9"/>
    <w:rsid w:val="00743011"/>
    <w:rsid w:val="00745239"/>
    <w:rsid w:val="007466D4"/>
    <w:rsid w:val="00754E20"/>
    <w:rsid w:val="007571E6"/>
    <w:rsid w:val="00761A18"/>
    <w:rsid w:val="007634A4"/>
    <w:rsid w:val="007657C2"/>
    <w:rsid w:val="007714A8"/>
    <w:rsid w:val="0078207F"/>
    <w:rsid w:val="00784766"/>
    <w:rsid w:val="00784CF6"/>
    <w:rsid w:val="0078556C"/>
    <w:rsid w:val="007876B0"/>
    <w:rsid w:val="00787B72"/>
    <w:rsid w:val="007C1499"/>
    <w:rsid w:val="007C5F9D"/>
    <w:rsid w:val="007D70A1"/>
    <w:rsid w:val="007E5FD0"/>
    <w:rsid w:val="007E7964"/>
    <w:rsid w:val="007F5EA0"/>
    <w:rsid w:val="007F6FD3"/>
    <w:rsid w:val="008022E5"/>
    <w:rsid w:val="0080269B"/>
    <w:rsid w:val="008123DA"/>
    <w:rsid w:val="008132E8"/>
    <w:rsid w:val="008169B7"/>
    <w:rsid w:val="00823407"/>
    <w:rsid w:val="00823B04"/>
    <w:rsid w:val="00825674"/>
    <w:rsid w:val="0083415E"/>
    <w:rsid w:val="00841893"/>
    <w:rsid w:val="0085519A"/>
    <w:rsid w:val="00860CBC"/>
    <w:rsid w:val="00870F0D"/>
    <w:rsid w:val="008715C8"/>
    <w:rsid w:val="00871989"/>
    <w:rsid w:val="00890F6A"/>
    <w:rsid w:val="008976F6"/>
    <w:rsid w:val="008B0184"/>
    <w:rsid w:val="008B3049"/>
    <w:rsid w:val="008C0DC1"/>
    <w:rsid w:val="008C5D02"/>
    <w:rsid w:val="008D2649"/>
    <w:rsid w:val="008D797D"/>
    <w:rsid w:val="008E47EF"/>
    <w:rsid w:val="008E5780"/>
    <w:rsid w:val="008F1695"/>
    <w:rsid w:val="008F50CE"/>
    <w:rsid w:val="00900406"/>
    <w:rsid w:val="00904625"/>
    <w:rsid w:val="0090568D"/>
    <w:rsid w:val="00910C63"/>
    <w:rsid w:val="009125C9"/>
    <w:rsid w:val="00913879"/>
    <w:rsid w:val="00913F66"/>
    <w:rsid w:val="00917661"/>
    <w:rsid w:val="00932D49"/>
    <w:rsid w:val="00937F2D"/>
    <w:rsid w:val="00943DCD"/>
    <w:rsid w:val="00953342"/>
    <w:rsid w:val="009535F4"/>
    <w:rsid w:val="00966D8F"/>
    <w:rsid w:val="00970E5D"/>
    <w:rsid w:val="00971089"/>
    <w:rsid w:val="00976926"/>
    <w:rsid w:val="0097701C"/>
    <w:rsid w:val="00980A65"/>
    <w:rsid w:val="00981A4F"/>
    <w:rsid w:val="009861CC"/>
    <w:rsid w:val="0098641B"/>
    <w:rsid w:val="00993CEA"/>
    <w:rsid w:val="00995958"/>
    <w:rsid w:val="009959EF"/>
    <w:rsid w:val="009B1239"/>
    <w:rsid w:val="009C2A43"/>
    <w:rsid w:val="009D0097"/>
    <w:rsid w:val="009D11FD"/>
    <w:rsid w:val="009D3B70"/>
    <w:rsid w:val="009D4B72"/>
    <w:rsid w:val="009D6FF2"/>
    <w:rsid w:val="009E6204"/>
    <w:rsid w:val="009F1531"/>
    <w:rsid w:val="00A02886"/>
    <w:rsid w:val="00A0297C"/>
    <w:rsid w:val="00A03FA4"/>
    <w:rsid w:val="00A10A54"/>
    <w:rsid w:val="00A25E70"/>
    <w:rsid w:val="00A33765"/>
    <w:rsid w:val="00A36F82"/>
    <w:rsid w:val="00A41E33"/>
    <w:rsid w:val="00A44DB9"/>
    <w:rsid w:val="00A5138A"/>
    <w:rsid w:val="00A51EDB"/>
    <w:rsid w:val="00A62774"/>
    <w:rsid w:val="00A63269"/>
    <w:rsid w:val="00A71BBB"/>
    <w:rsid w:val="00A7547B"/>
    <w:rsid w:val="00A77034"/>
    <w:rsid w:val="00A77E07"/>
    <w:rsid w:val="00A81B0B"/>
    <w:rsid w:val="00A8398F"/>
    <w:rsid w:val="00A92377"/>
    <w:rsid w:val="00A9251B"/>
    <w:rsid w:val="00AA6C93"/>
    <w:rsid w:val="00AB29ED"/>
    <w:rsid w:val="00AC1F52"/>
    <w:rsid w:val="00AC6DF8"/>
    <w:rsid w:val="00AD2FCA"/>
    <w:rsid w:val="00AE4BD8"/>
    <w:rsid w:val="00AF3EDD"/>
    <w:rsid w:val="00AF785E"/>
    <w:rsid w:val="00B026EB"/>
    <w:rsid w:val="00B155CD"/>
    <w:rsid w:val="00B16FFC"/>
    <w:rsid w:val="00B21C2B"/>
    <w:rsid w:val="00B278F0"/>
    <w:rsid w:val="00B404D7"/>
    <w:rsid w:val="00B4388F"/>
    <w:rsid w:val="00B52466"/>
    <w:rsid w:val="00B54B39"/>
    <w:rsid w:val="00B57354"/>
    <w:rsid w:val="00B63237"/>
    <w:rsid w:val="00B64437"/>
    <w:rsid w:val="00B85BFD"/>
    <w:rsid w:val="00B90347"/>
    <w:rsid w:val="00B92CFD"/>
    <w:rsid w:val="00BA5BEF"/>
    <w:rsid w:val="00BA75D5"/>
    <w:rsid w:val="00BB7335"/>
    <w:rsid w:val="00BC2EB9"/>
    <w:rsid w:val="00BE0F22"/>
    <w:rsid w:val="00BE4133"/>
    <w:rsid w:val="00C02648"/>
    <w:rsid w:val="00C04803"/>
    <w:rsid w:val="00C05969"/>
    <w:rsid w:val="00C06A70"/>
    <w:rsid w:val="00C1553C"/>
    <w:rsid w:val="00C17109"/>
    <w:rsid w:val="00C273DA"/>
    <w:rsid w:val="00C3202E"/>
    <w:rsid w:val="00C34841"/>
    <w:rsid w:val="00C35491"/>
    <w:rsid w:val="00C358F4"/>
    <w:rsid w:val="00C4075E"/>
    <w:rsid w:val="00C47623"/>
    <w:rsid w:val="00C521B2"/>
    <w:rsid w:val="00C8644F"/>
    <w:rsid w:val="00C90B6F"/>
    <w:rsid w:val="00C92576"/>
    <w:rsid w:val="00C93854"/>
    <w:rsid w:val="00C960DC"/>
    <w:rsid w:val="00CB1C15"/>
    <w:rsid w:val="00CB4B7C"/>
    <w:rsid w:val="00CD0CAF"/>
    <w:rsid w:val="00CD1FE6"/>
    <w:rsid w:val="00CD4E20"/>
    <w:rsid w:val="00CD63A4"/>
    <w:rsid w:val="00CE1AC1"/>
    <w:rsid w:val="00CE518F"/>
    <w:rsid w:val="00CF42F1"/>
    <w:rsid w:val="00D006AC"/>
    <w:rsid w:val="00D02C75"/>
    <w:rsid w:val="00D06D5F"/>
    <w:rsid w:val="00D10E22"/>
    <w:rsid w:val="00D13D2C"/>
    <w:rsid w:val="00D1524E"/>
    <w:rsid w:val="00D155AA"/>
    <w:rsid w:val="00D2746F"/>
    <w:rsid w:val="00D33782"/>
    <w:rsid w:val="00D357B6"/>
    <w:rsid w:val="00D4190F"/>
    <w:rsid w:val="00D570D5"/>
    <w:rsid w:val="00D612C8"/>
    <w:rsid w:val="00D6606B"/>
    <w:rsid w:val="00D717B0"/>
    <w:rsid w:val="00D72207"/>
    <w:rsid w:val="00D74168"/>
    <w:rsid w:val="00D81332"/>
    <w:rsid w:val="00D87924"/>
    <w:rsid w:val="00D94E40"/>
    <w:rsid w:val="00DA28F1"/>
    <w:rsid w:val="00DB4BB7"/>
    <w:rsid w:val="00DC0B1D"/>
    <w:rsid w:val="00DC2F94"/>
    <w:rsid w:val="00DD08C6"/>
    <w:rsid w:val="00DD0E77"/>
    <w:rsid w:val="00DD1294"/>
    <w:rsid w:val="00DD1B29"/>
    <w:rsid w:val="00DD3D9E"/>
    <w:rsid w:val="00DD53CE"/>
    <w:rsid w:val="00DD63D9"/>
    <w:rsid w:val="00DD7908"/>
    <w:rsid w:val="00DE4E16"/>
    <w:rsid w:val="00DF430C"/>
    <w:rsid w:val="00DF7275"/>
    <w:rsid w:val="00E054A1"/>
    <w:rsid w:val="00E11D54"/>
    <w:rsid w:val="00E128D4"/>
    <w:rsid w:val="00E20010"/>
    <w:rsid w:val="00E20EC7"/>
    <w:rsid w:val="00E225BC"/>
    <w:rsid w:val="00E23BDF"/>
    <w:rsid w:val="00E26810"/>
    <w:rsid w:val="00E3107E"/>
    <w:rsid w:val="00E31589"/>
    <w:rsid w:val="00E37241"/>
    <w:rsid w:val="00E41BFF"/>
    <w:rsid w:val="00E62C80"/>
    <w:rsid w:val="00E63246"/>
    <w:rsid w:val="00E72056"/>
    <w:rsid w:val="00E734D6"/>
    <w:rsid w:val="00E82297"/>
    <w:rsid w:val="00E9536C"/>
    <w:rsid w:val="00EA005D"/>
    <w:rsid w:val="00EA6EA9"/>
    <w:rsid w:val="00EC60B5"/>
    <w:rsid w:val="00ED091E"/>
    <w:rsid w:val="00EE73E1"/>
    <w:rsid w:val="00EE7C2F"/>
    <w:rsid w:val="00EF2E76"/>
    <w:rsid w:val="00EF39FD"/>
    <w:rsid w:val="00EF5D1B"/>
    <w:rsid w:val="00F06842"/>
    <w:rsid w:val="00F107FD"/>
    <w:rsid w:val="00F1168F"/>
    <w:rsid w:val="00F1216A"/>
    <w:rsid w:val="00F1545D"/>
    <w:rsid w:val="00F26291"/>
    <w:rsid w:val="00F26726"/>
    <w:rsid w:val="00F33F1B"/>
    <w:rsid w:val="00F45FAB"/>
    <w:rsid w:val="00F469F4"/>
    <w:rsid w:val="00F5557E"/>
    <w:rsid w:val="00F61F47"/>
    <w:rsid w:val="00F66A0A"/>
    <w:rsid w:val="00F77E9E"/>
    <w:rsid w:val="00F82BC3"/>
    <w:rsid w:val="00F83F44"/>
    <w:rsid w:val="00F97757"/>
    <w:rsid w:val="00F97C8A"/>
    <w:rsid w:val="00FA5EC9"/>
    <w:rsid w:val="00FB0A5E"/>
    <w:rsid w:val="00FB2B87"/>
    <w:rsid w:val="00FB64A8"/>
    <w:rsid w:val="00FC3FAB"/>
    <w:rsid w:val="00FD5BA6"/>
    <w:rsid w:val="00FD60D7"/>
    <w:rsid w:val="00FE3E70"/>
    <w:rsid w:val="00FF0E0F"/>
    <w:rsid w:val="00FF2CD3"/>
    <w:rsid w:val="00FF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uiPriority w:val="9"/>
    <w:qFormat/>
    <w:rsid w:val="002958C2"/>
    <w:pPr>
      <w:keepNext/>
      <w:keepLines/>
      <w:numPr>
        <w:numId w:val="19"/>
      </w:numPr>
      <w:spacing w:before="240"/>
      <w:outlineLvl w:val="0"/>
    </w:pPr>
    <w:rPr>
      <w:rFonts w:eastAsiaTheme="majorEastAsia"/>
      <w:b/>
      <w:bCs/>
    </w:rPr>
  </w:style>
  <w:style w:type="paragraph" w:styleId="Heading2">
    <w:name w:val="heading 2"/>
    <w:basedOn w:val="Normal"/>
    <w:next w:val="Normal"/>
    <w:link w:val="Heading2Char"/>
    <w:uiPriority w:val="9"/>
    <w:unhideWhenUsed/>
    <w:qFormat/>
    <w:rsid w:val="002958C2"/>
    <w:pPr>
      <w:keepNext/>
      <w:keepLines/>
      <w:numPr>
        <w:ilvl w:val="1"/>
        <w:numId w:val="19"/>
      </w:numPr>
      <w:spacing w:before="40"/>
      <w:outlineLvl w:val="1"/>
    </w:pPr>
    <w:rPr>
      <w:rFonts w:eastAsiaTheme="majorEastAsia"/>
      <w:b/>
      <w:bCs/>
    </w:rPr>
  </w:style>
  <w:style w:type="paragraph" w:styleId="Heading3">
    <w:name w:val="heading 3"/>
    <w:basedOn w:val="Normal"/>
    <w:next w:val="Normal"/>
    <w:uiPriority w:val="9"/>
    <w:qFormat/>
    <w:rsid w:val="008B0184"/>
    <w:pPr>
      <w:keepNext/>
      <w:numPr>
        <w:ilvl w:val="2"/>
        <w:numId w:val="19"/>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A7547B"/>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7547B"/>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7547B"/>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7547B"/>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7547B"/>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47B"/>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CD4E20"/>
    <w:rPr>
      <w:color w:val="605E5C"/>
      <w:shd w:val="clear" w:color="auto" w:fill="E1DFDD"/>
    </w:rPr>
  </w:style>
  <w:style w:type="character" w:customStyle="1" w:styleId="Heading1Char">
    <w:name w:val="Heading 1 Char"/>
    <w:basedOn w:val="DefaultParagraphFont"/>
    <w:link w:val="Heading1"/>
    <w:uiPriority w:val="9"/>
    <w:rsid w:val="002958C2"/>
    <w:rPr>
      <w:rFonts w:eastAsiaTheme="majorEastAsia"/>
      <w:b/>
      <w:bCs/>
      <w:lang w:eastAsia="en-US"/>
    </w:rPr>
  </w:style>
  <w:style w:type="character" w:customStyle="1" w:styleId="Heading2Char">
    <w:name w:val="Heading 2 Char"/>
    <w:basedOn w:val="DefaultParagraphFont"/>
    <w:link w:val="Heading2"/>
    <w:uiPriority w:val="9"/>
    <w:rsid w:val="002958C2"/>
    <w:rPr>
      <w:rFonts w:eastAsiaTheme="majorEastAsia"/>
      <w:b/>
      <w:bCs/>
      <w:lang w:eastAsia="en-US"/>
    </w:rPr>
  </w:style>
  <w:style w:type="character" w:customStyle="1" w:styleId="Heading4Char">
    <w:name w:val="Heading 4 Char"/>
    <w:basedOn w:val="DefaultParagraphFont"/>
    <w:link w:val="Heading4"/>
    <w:semiHidden/>
    <w:rsid w:val="00A7547B"/>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semiHidden/>
    <w:rsid w:val="00A7547B"/>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semiHidden/>
    <w:rsid w:val="00A7547B"/>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semiHidden/>
    <w:rsid w:val="00A7547B"/>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semiHidden/>
    <w:rsid w:val="00A7547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A7547B"/>
    <w:rPr>
      <w:rFonts w:asciiTheme="majorHAnsi" w:eastAsiaTheme="majorEastAsia" w:hAnsiTheme="majorHAnsi" w:cstheme="majorBidi"/>
      <w:i/>
      <w:iCs/>
      <w:color w:val="272727" w:themeColor="text1" w:themeTint="D8"/>
      <w:sz w:val="21"/>
      <w:szCs w:val="21"/>
      <w:lang w:eastAsia="en-US"/>
    </w:rPr>
  </w:style>
  <w:style w:type="table" w:styleId="TableGrid">
    <w:name w:val="Table Grid"/>
    <w:basedOn w:val="TableNormal"/>
    <w:uiPriority w:val="39"/>
    <w:rsid w:val="00D2746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AA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8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ansari@hbku.edu.q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1281</TotalTime>
  <Pages>6</Pages>
  <Words>1899</Words>
  <Characters>36840</Characters>
  <Application>Microsoft Office Word</Application>
  <DocSecurity>0</DocSecurity>
  <Lines>307</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Dr. Farhat Mahmood</cp:lastModifiedBy>
  <cp:revision>395</cp:revision>
  <cp:lastPrinted>2023-11-28T13:19:00Z</cp:lastPrinted>
  <dcterms:created xsi:type="dcterms:W3CDTF">2023-11-20T10:44:00Z</dcterms:created>
  <dcterms:modified xsi:type="dcterms:W3CDTF">2023-12-24T13:12:00Z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1d19a0df-963d-3ef5-bd32-43a91bd3fd64</vt:lpwstr>
  </property>
  <property fmtid="{D5CDD505-2E9C-101B-9397-08002B2CF9AE}" pid="12" name="Mendeley Citation Style_1">
    <vt:lpwstr>http://www.zotero.org/styles/journal-of-cleaner-production</vt:lpwstr>
  </property>
  <property fmtid="{D5CDD505-2E9C-101B-9397-08002B2CF9AE}" pid="13" name="Mendeley Recent Style Id 0_1">
    <vt:lpwstr>http://www.zotero.org/styles/biosystems-engineering</vt:lpwstr>
  </property>
  <property fmtid="{D5CDD505-2E9C-101B-9397-08002B2CF9AE}" pid="14" name="Mendeley Recent Style Name 0_1">
    <vt:lpwstr>Biosystems Engineering</vt:lpwstr>
  </property>
  <property fmtid="{D5CDD505-2E9C-101B-9397-08002B2CF9AE}" pid="15" name="Mendeley Recent Style Id 1_1">
    <vt:lpwstr>http://www.zotero.org/styles/energy-conversion-and-management</vt:lpwstr>
  </property>
  <property fmtid="{D5CDD505-2E9C-101B-9397-08002B2CF9AE}" pid="16" name="Mendeley Recent Style Name 1_1">
    <vt:lpwstr>Energy Conversion and Management</vt:lpwstr>
  </property>
  <property fmtid="{D5CDD505-2E9C-101B-9397-08002B2CF9AE}" pid="17" name="Mendeley Recent Style Id 2_1">
    <vt:lpwstr>http://www.zotero.org/styles/energy-conversion-and-management-x</vt:lpwstr>
  </property>
  <property fmtid="{D5CDD505-2E9C-101B-9397-08002B2CF9AE}" pid="18" name="Mendeley Recent Style Name 2_1">
    <vt:lpwstr>Energy Conversion and Management: X</vt:lpwstr>
  </property>
  <property fmtid="{D5CDD505-2E9C-101B-9397-08002B2CF9AE}" pid="19" name="Mendeley Recent Style Id 3_1">
    <vt:lpwstr>http://www.zotero.org/styles/heliyon</vt:lpwstr>
  </property>
  <property fmtid="{D5CDD505-2E9C-101B-9397-08002B2CF9AE}" pid="20" name="Mendeley Recent Style Name 3_1">
    <vt:lpwstr>Heliyon</vt:lpwstr>
  </property>
  <property fmtid="{D5CDD505-2E9C-101B-9397-08002B2CF9AE}" pid="21" name="Mendeley Recent Style Id 4_1">
    <vt:lpwstr>http://www.zotero.org/styles/ieee</vt:lpwstr>
  </property>
  <property fmtid="{D5CDD505-2E9C-101B-9397-08002B2CF9AE}" pid="22" name="Mendeley Recent Style Name 4_1">
    <vt:lpwstr>IEEE</vt:lpwstr>
  </property>
  <property fmtid="{D5CDD505-2E9C-101B-9397-08002B2CF9AE}" pid="23" name="Mendeley Recent Style Id 5_1">
    <vt:lpwstr>http://www.zotero.org/styles/journal-of-cleaner-production</vt:lpwstr>
  </property>
  <property fmtid="{D5CDD505-2E9C-101B-9397-08002B2CF9AE}" pid="24" name="Mendeley Recent Style Name 5_1">
    <vt:lpwstr>Journal of Cleaner Production</vt:lpwstr>
  </property>
  <property fmtid="{D5CDD505-2E9C-101B-9397-08002B2CF9AE}" pid="25" name="Mendeley Recent Style Id 6_1">
    <vt:lpwstr>http://www.zotero.org/styles/nature</vt:lpwstr>
  </property>
  <property fmtid="{D5CDD505-2E9C-101B-9397-08002B2CF9AE}" pid="26" name="Mendeley Recent Style Name 6_1">
    <vt:lpwstr>Nature</vt:lpwstr>
  </property>
  <property fmtid="{D5CDD505-2E9C-101B-9397-08002B2CF9AE}" pid="27" name="Mendeley Recent Style Id 7_1">
    <vt:lpwstr>http://www.zotero.org/styles/solar-energy</vt:lpwstr>
  </property>
  <property fmtid="{D5CDD505-2E9C-101B-9397-08002B2CF9AE}" pid="28" name="Mendeley Recent Style Name 7_1">
    <vt:lpwstr>Solar Energy</vt:lpwstr>
  </property>
  <property fmtid="{D5CDD505-2E9C-101B-9397-08002B2CF9AE}" pid="29" name="Mendeley Recent Style Id 8_1">
    <vt:lpwstr>http://www.zotero.org/styles/sustainable-production-and-consumption</vt:lpwstr>
  </property>
  <property fmtid="{D5CDD505-2E9C-101B-9397-08002B2CF9AE}" pid="30" name="Mendeley Recent Style Name 8_1">
    <vt:lpwstr>Sustainable Production and Consumption</vt:lpwstr>
  </property>
  <property fmtid="{D5CDD505-2E9C-101B-9397-08002B2CF9AE}" pid="31" name="Mendeley Recent Style Id 9_1">
    <vt:lpwstr>http://www.zotero.org/styles/vancouver</vt:lpwstr>
  </property>
  <property fmtid="{D5CDD505-2E9C-101B-9397-08002B2CF9AE}" pid="32" name="Mendeley Recent Style Name 9_1">
    <vt:lpwstr>Vancouver</vt:lpwstr>
  </property>
</Properties>
</file>