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8E30560" w:rsidR="00DD3D9E" w:rsidRPr="00604117" w:rsidRDefault="00BB3ACE">
      <w:pPr>
        <w:pStyle w:val="Els-Title"/>
        <w:rPr>
          <w:lang w:val="en-GB"/>
        </w:rPr>
      </w:pPr>
      <w:bookmarkStart w:id="0" w:name="_Hlk151712848"/>
      <w:bookmarkEnd w:id="0"/>
      <w:r w:rsidRPr="00604117">
        <w:t xml:space="preserve">An Ionic </w:t>
      </w:r>
      <w:r w:rsidR="001359C1" w:rsidRPr="00604117">
        <w:t>Liquid Mixture</w:t>
      </w:r>
      <w:r w:rsidRPr="00604117">
        <w:t xml:space="preserve"> Design for CO</w:t>
      </w:r>
      <w:r w:rsidRPr="00604117">
        <w:rPr>
          <w:vertAlign w:val="subscript"/>
        </w:rPr>
        <w:t>2</w:t>
      </w:r>
      <w:r w:rsidRPr="00604117">
        <w:t xml:space="preserve"> </w:t>
      </w:r>
      <w:r w:rsidR="003D356D" w:rsidRPr="00604117">
        <w:t>C</w:t>
      </w:r>
      <w:r w:rsidRPr="00604117">
        <w:t xml:space="preserve">apture through Bayesian Optimization and Molecular Dynamics Simulation </w:t>
      </w:r>
    </w:p>
    <w:p w14:paraId="607D732A" w14:textId="775972A4" w:rsidR="00BB3ACE" w:rsidRPr="00604117" w:rsidRDefault="00BB3ACE" w:rsidP="00BB3ACE">
      <w:pPr>
        <w:pBdr>
          <w:top w:val="nil"/>
          <w:left w:val="nil"/>
          <w:bottom w:val="nil"/>
          <w:right w:val="nil"/>
          <w:between w:val="nil"/>
        </w:pBdr>
        <w:jc w:val="both"/>
        <w:rPr>
          <w:sz w:val="22"/>
          <w:szCs w:val="22"/>
          <w:lang w:val="es-MX"/>
        </w:rPr>
      </w:pPr>
      <w:r w:rsidRPr="00604117">
        <w:rPr>
          <w:sz w:val="22"/>
          <w:szCs w:val="22"/>
          <w:lang w:val="es-MX"/>
        </w:rPr>
        <w:t>Dulce María de la Torre-Cano</w:t>
      </w:r>
      <w:r w:rsidRPr="00604117">
        <w:rPr>
          <w:sz w:val="22"/>
          <w:szCs w:val="22"/>
          <w:vertAlign w:val="superscript"/>
          <w:lang w:val="es-MX"/>
        </w:rPr>
        <w:t>a</w:t>
      </w:r>
      <w:r w:rsidRPr="00604117">
        <w:rPr>
          <w:sz w:val="22"/>
          <w:szCs w:val="22"/>
          <w:lang w:val="es-MX"/>
        </w:rPr>
        <w:t>, Miguel Angel Gutiérrez-</w:t>
      </w:r>
      <w:proofErr w:type="spellStart"/>
      <w:r w:rsidRPr="00604117">
        <w:rPr>
          <w:sz w:val="22"/>
          <w:szCs w:val="22"/>
          <w:lang w:val="es-MX"/>
        </w:rPr>
        <w:t>Limón</w:t>
      </w:r>
      <w:r w:rsidRPr="00604117">
        <w:rPr>
          <w:sz w:val="22"/>
          <w:szCs w:val="22"/>
          <w:vertAlign w:val="superscript"/>
          <w:lang w:val="es-MX"/>
        </w:rPr>
        <w:t>a</w:t>
      </w:r>
      <w:proofErr w:type="spellEnd"/>
      <w:r w:rsidRPr="00604117">
        <w:rPr>
          <w:sz w:val="22"/>
          <w:szCs w:val="22"/>
          <w:vertAlign w:val="superscript"/>
          <w:lang w:val="es-MX"/>
        </w:rPr>
        <w:t>*</w:t>
      </w:r>
      <w:r w:rsidRPr="00604117">
        <w:rPr>
          <w:sz w:val="22"/>
          <w:szCs w:val="22"/>
          <w:lang w:val="es-MX"/>
        </w:rPr>
        <w:t>, Antonio Flores-</w:t>
      </w:r>
      <w:proofErr w:type="spellStart"/>
      <w:r w:rsidRPr="00604117">
        <w:rPr>
          <w:sz w:val="22"/>
          <w:szCs w:val="22"/>
          <w:lang w:val="es-MX"/>
        </w:rPr>
        <w:t>Tlacuahuac</w:t>
      </w:r>
      <w:r w:rsidRPr="00604117">
        <w:rPr>
          <w:sz w:val="22"/>
          <w:szCs w:val="22"/>
          <w:vertAlign w:val="superscript"/>
          <w:lang w:val="es-MX"/>
        </w:rPr>
        <w:t>b</w:t>
      </w:r>
      <w:proofErr w:type="spellEnd"/>
      <w:r w:rsidRPr="00604117">
        <w:rPr>
          <w:sz w:val="22"/>
          <w:szCs w:val="22"/>
          <w:lang w:val="es-MX"/>
        </w:rPr>
        <w:t>, Mauricio Sales-</w:t>
      </w:r>
      <w:proofErr w:type="spellStart"/>
      <w:r w:rsidRPr="00604117">
        <w:rPr>
          <w:sz w:val="22"/>
          <w:szCs w:val="22"/>
          <w:lang w:val="es-MX"/>
        </w:rPr>
        <w:t>Cruz</w:t>
      </w:r>
      <w:r w:rsidRPr="00604117">
        <w:rPr>
          <w:sz w:val="22"/>
          <w:szCs w:val="22"/>
          <w:vertAlign w:val="superscript"/>
          <w:lang w:val="es-MX"/>
        </w:rPr>
        <w:t>c</w:t>
      </w:r>
      <w:proofErr w:type="spellEnd"/>
    </w:p>
    <w:p w14:paraId="641BFFD4" w14:textId="4C5FC3C6" w:rsidR="00BB3ACE" w:rsidRPr="00604117" w:rsidRDefault="00BB3ACE" w:rsidP="00BB3ACE">
      <w:pPr>
        <w:jc w:val="both"/>
        <w:rPr>
          <w:i/>
          <w:iCs/>
          <w:lang w:val="es-MX"/>
        </w:rPr>
      </w:pPr>
      <w:proofErr w:type="spellStart"/>
      <w:r w:rsidRPr="00604117">
        <w:rPr>
          <w:i/>
          <w:iCs/>
          <w:vertAlign w:val="superscript"/>
          <w:lang w:val="es-MX"/>
        </w:rPr>
        <w:t>a</w:t>
      </w:r>
      <w:r w:rsidRPr="00604117">
        <w:rPr>
          <w:i/>
          <w:iCs/>
          <w:lang w:val="es-MX"/>
        </w:rPr>
        <w:t>Departamento</w:t>
      </w:r>
      <w:proofErr w:type="spellEnd"/>
      <w:r w:rsidRPr="00604117">
        <w:rPr>
          <w:i/>
          <w:iCs/>
          <w:lang w:val="es-MX"/>
        </w:rPr>
        <w:t xml:space="preserve"> de Energía, Universidad Autónoma Metropolitana-Azcapotzalco, Av. San Pablo 420, Ciudad de México, 02128, México</w:t>
      </w:r>
    </w:p>
    <w:p w14:paraId="21324B4C" w14:textId="6FC40BC5" w:rsidR="00BB3ACE" w:rsidRPr="00604117" w:rsidRDefault="00BB3ACE" w:rsidP="00BB3ACE">
      <w:pPr>
        <w:jc w:val="both"/>
        <w:rPr>
          <w:i/>
          <w:iCs/>
          <w:lang w:val="es-MX"/>
        </w:rPr>
      </w:pPr>
      <w:proofErr w:type="spellStart"/>
      <w:r w:rsidRPr="00604117">
        <w:rPr>
          <w:i/>
          <w:iCs/>
          <w:vertAlign w:val="superscript"/>
          <w:lang w:val="es-MX"/>
        </w:rPr>
        <w:t>b</w:t>
      </w:r>
      <w:r w:rsidRPr="00604117">
        <w:rPr>
          <w:i/>
          <w:iCs/>
          <w:lang w:val="es-MX"/>
        </w:rPr>
        <w:t>Escuela</w:t>
      </w:r>
      <w:proofErr w:type="spellEnd"/>
      <w:r w:rsidRPr="00604117">
        <w:rPr>
          <w:i/>
          <w:iCs/>
          <w:lang w:val="es-MX"/>
        </w:rPr>
        <w:t xml:space="preserve"> de Ingeniería y Ciencias, Tecnológico de Monterrey, Campus Monterrey, Ave. Eugenio Garza Sada 2501, Monterrey, N.L, 64849, México</w:t>
      </w:r>
    </w:p>
    <w:p w14:paraId="217F6FF0" w14:textId="7BD94623" w:rsidR="00BB3ACE" w:rsidRPr="00604117" w:rsidRDefault="00BB3ACE" w:rsidP="00BB3ACE">
      <w:pPr>
        <w:jc w:val="both"/>
        <w:textAlignment w:val="top"/>
        <w:rPr>
          <w:i/>
          <w:iCs/>
          <w:lang w:val="es-MX"/>
        </w:rPr>
      </w:pPr>
      <w:proofErr w:type="spellStart"/>
      <w:r w:rsidRPr="00604117">
        <w:rPr>
          <w:i/>
          <w:iCs/>
          <w:vertAlign w:val="superscript"/>
          <w:lang w:val="es-MX"/>
        </w:rPr>
        <w:t>c</w:t>
      </w:r>
      <w:r w:rsidRPr="00604117">
        <w:rPr>
          <w:i/>
          <w:iCs/>
          <w:lang w:val="es-MX"/>
        </w:rPr>
        <w:t>Departamento</w:t>
      </w:r>
      <w:proofErr w:type="spellEnd"/>
      <w:r w:rsidRPr="00604117">
        <w:rPr>
          <w:i/>
          <w:iCs/>
          <w:lang w:val="es-MX"/>
        </w:rPr>
        <w:t xml:space="preserve"> de Procesos y Tecnología, Universidad Autónoma Metropolitana – Cuajimalpa, Av. Vasco de Quiroga No. 4871, Ciudad de México, 05348, México.</w:t>
      </w:r>
    </w:p>
    <w:p w14:paraId="144DE683" w14:textId="7421E1A3" w:rsidR="008D2649" w:rsidRPr="001B289B" w:rsidRDefault="00DC6007" w:rsidP="008D2649">
      <w:pPr>
        <w:pStyle w:val="Els-Affiliation"/>
        <w:spacing w:after="120"/>
        <w:rPr>
          <w:lang w:val="en-US"/>
        </w:rPr>
      </w:pPr>
      <w:r w:rsidRPr="001B289B">
        <w:rPr>
          <w:lang w:val="en-US"/>
        </w:rPr>
        <w:t>*</w:t>
      </w:r>
      <w:r w:rsidR="00BB3ACE" w:rsidRPr="001B289B">
        <w:rPr>
          <w:lang w:val="en-US"/>
        </w:rPr>
        <w:t>magl@azc.uam.mx</w:t>
      </w:r>
    </w:p>
    <w:p w14:paraId="144DE684" w14:textId="77777777" w:rsidR="008D2649" w:rsidRPr="00604117" w:rsidRDefault="008D2649" w:rsidP="008D2649">
      <w:pPr>
        <w:pStyle w:val="Els-Abstract"/>
      </w:pPr>
      <w:r w:rsidRPr="00604117">
        <w:t>Abstract</w:t>
      </w:r>
    </w:p>
    <w:p w14:paraId="0B48B6A1" w14:textId="44134CDD" w:rsidR="006B164E" w:rsidRPr="00604117" w:rsidRDefault="006B164E" w:rsidP="006B164E">
      <w:pPr>
        <w:pBdr>
          <w:top w:val="nil"/>
          <w:left w:val="nil"/>
          <w:bottom w:val="nil"/>
          <w:right w:val="nil"/>
          <w:between w:val="nil"/>
        </w:pBdr>
        <w:spacing w:after="120"/>
        <w:jc w:val="both"/>
      </w:pPr>
      <w:r w:rsidRPr="00604117">
        <w:t>CO</w:t>
      </w:r>
      <w:r w:rsidRPr="00604117">
        <w:rPr>
          <w:vertAlign w:val="subscript"/>
        </w:rPr>
        <w:t>2</w:t>
      </w:r>
      <w:r w:rsidRPr="00604117">
        <w:t xml:space="preserve"> emissions into the atmosphere have become a global concern in recent years. The amount of CO</w:t>
      </w:r>
      <w:r w:rsidRPr="00604117">
        <w:rPr>
          <w:vertAlign w:val="subscript"/>
        </w:rPr>
        <w:t>2</w:t>
      </w:r>
      <w:r w:rsidRPr="00604117">
        <w:t xml:space="preserve"> generated in post-combustion processes has deserved the attention of the international scientific community. Thus, a variety of processes have emerged that try to address this problem from different points of view, such as the traditional absorption process that uses some type of amine as a solvent. Several other alternatives have been tried to solve the problems presented by this process. One of these alternatives consists of using ionic liquids as solvents in the CO</w:t>
      </w:r>
      <w:r w:rsidRPr="00604117">
        <w:rPr>
          <w:vertAlign w:val="subscript"/>
        </w:rPr>
        <w:t>2</w:t>
      </w:r>
      <w:r w:rsidRPr="00604117">
        <w:t xml:space="preserve"> absorption process. An important characteristic of ionic liquids is that their vapor pressure is very low, which makes them practically non-volatile. The task of designing ionic liquids for this purpose has gained interest in recent years. In previous work, our group designed ionic liquids using a computer-aided molecular design methodology, posing the problem as a MINLP problem. </w:t>
      </w:r>
      <w:r w:rsidR="003B0E65" w:rsidRPr="00604117">
        <w:t>(Valencia-Márquez, et. al. 2017)</w:t>
      </w:r>
      <w:r w:rsidRPr="00604117">
        <w:t>,</w:t>
      </w:r>
      <w:r w:rsidR="00A06E3C" w:rsidRPr="00604117">
        <w:t xml:space="preserve"> </w:t>
      </w:r>
      <w:r w:rsidR="003B0E65" w:rsidRPr="00604117">
        <w:t>(Silva-Beard, et. al. 2022)</w:t>
      </w:r>
      <w:r w:rsidRPr="00604117">
        <w:t xml:space="preserve">. In this work, we </w:t>
      </w:r>
      <w:r w:rsidR="00D10C1D" w:rsidRPr="00604117">
        <w:t>use</w:t>
      </w:r>
      <w:r w:rsidRPr="00604117">
        <w:t xml:space="preserve"> Molecular Dynamics Simulation (MDS)</w:t>
      </w:r>
      <w:r w:rsidR="00A11F99" w:rsidRPr="00604117">
        <w:t>,</w:t>
      </w:r>
      <w:r w:rsidRPr="00604117">
        <w:t xml:space="preserve"> to calculate the capacity of absorption of a mixture of ionic liquids and propose an approach of experiments guided by Bayesian optimization to find an optimal mixture of ionic liquids that maximizes the amount of CO</w:t>
      </w:r>
      <w:r w:rsidRPr="00604117">
        <w:rPr>
          <w:vertAlign w:val="subscript"/>
        </w:rPr>
        <w:t>2</w:t>
      </w:r>
      <w:r w:rsidRPr="00604117">
        <w:t xml:space="preserve"> captured. The results suggest that following the procedure proposed</w:t>
      </w:r>
      <w:r w:rsidR="00BB3ACE" w:rsidRPr="00604117">
        <w:t xml:space="preserve"> it is possible to reduce the number of numerical experiments and </w:t>
      </w:r>
      <w:r w:rsidR="00D10C1D" w:rsidRPr="00604117">
        <w:t>therefore</w:t>
      </w:r>
      <w:r w:rsidR="00BB3ACE" w:rsidRPr="00604117">
        <w:t>, the CPU time.</w:t>
      </w:r>
    </w:p>
    <w:p w14:paraId="144DE687" w14:textId="0FB43D19" w:rsidR="008D2649" w:rsidRPr="00604117" w:rsidRDefault="008D2649" w:rsidP="008D2649">
      <w:pPr>
        <w:pStyle w:val="Els-body-text"/>
        <w:spacing w:after="120"/>
        <w:rPr>
          <w:lang w:val="en-GB"/>
        </w:rPr>
      </w:pPr>
      <w:r w:rsidRPr="00604117">
        <w:rPr>
          <w:b/>
          <w:bCs/>
          <w:lang w:val="en-GB"/>
        </w:rPr>
        <w:t>Keywords</w:t>
      </w:r>
      <w:r w:rsidRPr="00604117">
        <w:rPr>
          <w:lang w:val="en-GB"/>
        </w:rPr>
        <w:t xml:space="preserve">: </w:t>
      </w:r>
      <w:r w:rsidR="006B164E" w:rsidRPr="00604117">
        <w:t>Bayesian Optimization, Molecular Dynamic Simulation, Ionic Liquids, CO</w:t>
      </w:r>
      <w:r w:rsidR="006B164E" w:rsidRPr="00604117">
        <w:rPr>
          <w:vertAlign w:val="subscript"/>
        </w:rPr>
        <w:t>2</w:t>
      </w:r>
      <w:r w:rsidR="006B164E" w:rsidRPr="00604117">
        <w:t xml:space="preserve"> Capture.</w:t>
      </w:r>
    </w:p>
    <w:p w14:paraId="144DE689" w14:textId="270EC89C" w:rsidR="008D2649" w:rsidRPr="00604117" w:rsidRDefault="00BB3ACE" w:rsidP="008D2649">
      <w:pPr>
        <w:pStyle w:val="Els-1storder-head"/>
      </w:pPr>
      <w:bookmarkStart w:id="1" w:name="_Hlk153542263"/>
      <w:r w:rsidRPr="00604117">
        <w:t>Introduction</w:t>
      </w:r>
    </w:p>
    <w:p w14:paraId="68586760" w14:textId="53D6363A" w:rsidR="00BB3ACE" w:rsidRPr="00604117" w:rsidRDefault="00BB3ACE" w:rsidP="00BB3ACE">
      <w:pPr>
        <w:jc w:val="both"/>
        <w:rPr>
          <w:lang w:val="en-US"/>
        </w:rPr>
      </w:pPr>
      <w:r w:rsidRPr="00604117">
        <w:rPr>
          <w:lang w:val="en-US"/>
        </w:rPr>
        <w:t xml:space="preserve">A current global challenge is the growth of greenhouse gases (GHG), coming mainly from the burning of fossil fuels and industries. GHG emissions have been increasing since the Industrial </w:t>
      </w:r>
      <w:r w:rsidR="00363C46" w:rsidRPr="00604117">
        <w:rPr>
          <w:lang w:val="en-US"/>
        </w:rPr>
        <w:t>Revolution and</w:t>
      </w:r>
      <w:r w:rsidRPr="00604117">
        <w:rPr>
          <w:lang w:val="en-US"/>
        </w:rPr>
        <w:t xml:space="preserve"> have not yet reached their peak (</w:t>
      </w:r>
      <w:proofErr w:type="spellStart"/>
      <w:r w:rsidRPr="00604117">
        <w:rPr>
          <w:lang w:val="en-US"/>
        </w:rPr>
        <w:t>Friedlingstein</w:t>
      </w:r>
      <w:proofErr w:type="spellEnd"/>
      <w:r w:rsidRPr="00604117">
        <w:rPr>
          <w:lang w:val="en-US"/>
        </w:rPr>
        <w:t xml:space="preserve"> et al., 2022).</w:t>
      </w:r>
    </w:p>
    <w:p w14:paraId="2C447584" w14:textId="2CBD1935" w:rsidR="00B16C43" w:rsidRPr="00604117" w:rsidRDefault="005F6F6C" w:rsidP="00B16C43">
      <w:pPr>
        <w:jc w:val="both"/>
        <w:rPr>
          <w:lang w:val="en-US"/>
        </w:rPr>
      </w:pPr>
      <w:r w:rsidRPr="00604117">
        <w:rPr>
          <w:lang w:val="en-US"/>
        </w:rPr>
        <w:t xml:space="preserve">All this leads to an increase in temperature on the planet, the thawing of the poles and other typical problems derived from global warming. </w:t>
      </w:r>
      <w:r w:rsidR="00BB3ACE" w:rsidRPr="00604117">
        <w:rPr>
          <w:lang w:val="en-US"/>
        </w:rPr>
        <w:t>Carbon capture and storage (CCS) is considered the most practical option for reducing greenhouse gases. CO</w:t>
      </w:r>
      <w:r w:rsidR="00BB3ACE" w:rsidRPr="00604117">
        <w:rPr>
          <w:vertAlign w:val="subscript"/>
          <w:lang w:val="en-US"/>
        </w:rPr>
        <w:t>2</w:t>
      </w:r>
      <w:r w:rsidR="00BB3ACE" w:rsidRPr="00604117">
        <w:rPr>
          <w:lang w:val="en-US"/>
        </w:rPr>
        <w:t xml:space="preserve"> can be used </w:t>
      </w:r>
      <w:r w:rsidRPr="00604117">
        <w:rPr>
          <w:lang w:val="en-US"/>
        </w:rPr>
        <w:t>to improve oil processes or as a raw material in some industries.</w:t>
      </w:r>
      <w:r w:rsidR="0030724D" w:rsidRPr="0030724D">
        <w:rPr>
          <w:lang w:val="en-US"/>
        </w:rPr>
        <w:t xml:space="preserve"> </w:t>
      </w:r>
      <w:r w:rsidRPr="00604117">
        <w:rPr>
          <w:lang w:val="en-US"/>
        </w:rPr>
        <w:t>The most studied and used CO</w:t>
      </w:r>
      <w:r w:rsidRPr="00604117">
        <w:rPr>
          <w:vertAlign w:val="subscript"/>
          <w:lang w:val="en-US"/>
        </w:rPr>
        <w:t>2</w:t>
      </w:r>
      <w:r w:rsidRPr="00604117">
        <w:rPr>
          <w:lang w:val="en-US"/>
        </w:rPr>
        <w:t xml:space="preserve"> capture is precombustion because it can be adapted to existing facilities, modifying only the final part of the process </w:t>
      </w:r>
      <w:r w:rsidR="00B16C43" w:rsidRPr="00604117">
        <w:rPr>
          <w:lang w:val="en-US"/>
        </w:rPr>
        <w:t>(Figueroa et al., 2008).</w:t>
      </w:r>
    </w:p>
    <w:p w14:paraId="4B26E8DB" w14:textId="2022B58F" w:rsidR="00B16C43" w:rsidRPr="00604117" w:rsidRDefault="00B16C43" w:rsidP="00B16C43">
      <w:pPr>
        <w:jc w:val="both"/>
        <w:rPr>
          <w:lang w:val="en-US"/>
        </w:rPr>
      </w:pPr>
      <w:r w:rsidRPr="00604117">
        <w:rPr>
          <w:lang w:val="en-US"/>
        </w:rPr>
        <w:lastRenderedPageBreak/>
        <w:t>Current post-combustion technologies use amines to capture CO</w:t>
      </w:r>
      <w:r w:rsidRPr="00604117">
        <w:rPr>
          <w:vertAlign w:val="subscript"/>
          <w:lang w:val="en-US"/>
        </w:rPr>
        <w:t>2</w:t>
      </w:r>
      <w:r w:rsidRPr="00604117">
        <w:rPr>
          <w:lang w:val="en-US"/>
        </w:rPr>
        <w:t>; however, these solvents have some drawbacks such as high volatility and corrosion in the treatment units, so it is required to monitor the concentration and solvent flow</w:t>
      </w:r>
      <w:r w:rsidR="00507ED7" w:rsidRPr="00604117">
        <w:rPr>
          <w:lang w:val="en-US"/>
        </w:rPr>
        <w:t xml:space="preserve">. </w:t>
      </w:r>
      <w:r w:rsidRPr="00604117">
        <w:rPr>
          <w:lang w:val="en-US"/>
        </w:rPr>
        <w:t>This is why in recent years new alternatives have been studied to carry out this task, such as ionic liquids (ILs).</w:t>
      </w:r>
    </w:p>
    <w:bookmarkEnd w:id="1"/>
    <w:p w14:paraId="144DE699" w14:textId="79371141" w:rsidR="008D2649" w:rsidRPr="00604117" w:rsidRDefault="00BB3ACE" w:rsidP="008D2649">
      <w:pPr>
        <w:pStyle w:val="Els-1storder-head"/>
      </w:pPr>
      <w:r w:rsidRPr="00604117">
        <w:t>Problem Statement</w:t>
      </w:r>
    </w:p>
    <w:p w14:paraId="144DE69A" w14:textId="7A366C4F" w:rsidR="008D2649" w:rsidRPr="00604117" w:rsidRDefault="00BB3ACE" w:rsidP="008D2649">
      <w:pPr>
        <w:pStyle w:val="Els-2ndorder-head"/>
      </w:pPr>
      <w:r w:rsidRPr="00604117">
        <w:t>Ionic Liquids</w:t>
      </w:r>
    </w:p>
    <w:p w14:paraId="144DE69D" w14:textId="4456BAAB" w:rsidR="008D2649" w:rsidRPr="00604117" w:rsidRDefault="00BB3ACE" w:rsidP="00301645">
      <w:pPr>
        <w:jc w:val="both"/>
        <w:rPr>
          <w:lang w:val="en-US"/>
        </w:rPr>
      </w:pPr>
      <w:bookmarkStart w:id="2" w:name="_Hlk150882332"/>
      <w:r w:rsidRPr="00604117">
        <w:rPr>
          <w:lang w:val="en-US"/>
        </w:rPr>
        <w:t>Ionic liquids (IL) are considered potential materials for CO</w:t>
      </w:r>
      <w:r w:rsidRPr="00604117">
        <w:rPr>
          <w:vertAlign w:val="subscript"/>
          <w:lang w:val="en-US"/>
        </w:rPr>
        <w:t>2</w:t>
      </w:r>
      <w:r w:rsidRPr="00604117">
        <w:rPr>
          <w:lang w:val="en-US"/>
        </w:rPr>
        <w:t xml:space="preserve"> capture. These are a mixture of a cation and an anion. Given the large number of mixtures, each IL can present unique properties. ILs have negligible vapor pressure, that is, they are liquid at high temperatures, have a low melting point and have high chemical and thermal stability</w:t>
      </w:r>
      <w:r w:rsidR="00507ED7" w:rsidRPr="00604117">
        <w:rPr>
          <w:lang w:val="en-US"/>
        </w:rPr>
        <w:t xml:space="preserve">. </w:t>
      </w:r>
      <w:r w:rsidR="00F20811" w:rsidRPr="00604117">
        <w:rPr>
          <w:lang w:val="en-US"/>
        </w:rPr>
        <w:t>The solubility of CO</w:t>
      </w:r>
      <w:r w:rsidR="00F20811" w:rsidRPr="00604117">
        <w:rPr>
          <w:vertAlign w:val="subscript"/>
          <w:lang w:val="en-US"/>
        </w:rPr>
        <w:t>2</w:t>
      </w:r>
      <w:r w:rsidR="00F20811" w:rsidRPr="00604117">
        <w:rPr>
          <w:lang w:val="en-US"/>
        </w:rPr>
        <w:t xml:space="preserve"> in ionic liquids can occur both in chemical and physical absorption, with a lower cost in desorption for the first case. </w:t>
      </w:r>
      <w:r w:rsidRPr="00604117">
        <w:rPr>
          <w:lang w:val="en-US"/>
        </w:rPr>
        <w:t>(Jia et al., 2022).</w:t>
      </w:r>
      <w:bookmarkEnd w:id="2"/>
      <w:r w:rsidR="00DA7C8C" w:rsidRPr="00604117">
        <w:rPr>
          <w:strike/>
          <w:lang w:val="en-US"/>
        </w:rPr>
        <w:t xml:space="preserve"> </w:t>
      </w:r>
      <w:r w:rsidR="00301645" w:rsidRPr="00604117">
        <w:t xml:space="preserve">Investigations on absorption of gases in ionic liquids by Molecular Dynamics Simulation have been carried out with pure ionic liquids and the absorption results have not been very efficient. </w:t>
      </w:r>
      <w:r w:rsidR="00920C51" w:rsidRPr="00604117">
        <w:t xml:space="preserve">On the other hand, artificial intelligence has become very popular in recent years. They use some algorithms to predict things, but for all that they </w:t>
      </w:r>
      <w:r w:rsidR="00A02335">
        <w:t>must</w:t>
      </w:r>
      <w:r w:rsidR="00920C51" w:rsidRPr="00604117">
        <w:t xml:space="preserve"> implement some hyperparameters to g</w:t>
      </w:r>
      <w:r w:rsidR="00A02335">
        <w:t>et</w:t>
      </w:r>
      <w:r w:rsidR="00920C51" w:rsidRPr="00604117">
        <w:t xml:space="preserve"> better results. These parameters are difficult to decide which </w:t>
      </w:r>
      <w:r w:rsidR="00A02335">
        <w:t xml:space="preserve">ones </w:t>
      </w:r>
      <w:r w:rsidR="00920C51" w:rsidRPr="00604117">
        <w:t>are good, for this reason they sometimes use Bayesian optimization to guide their search and predict better.</w:t>
      </w:r>
      <w:r w:rsidR="00CE3405" w:rsidRPr="00604117">
        <w:t xml:space="preserve"> </w:t>
      </w:r>
      <w:r w:rsidR="00301645" w:rsidRPr="00604117">
        <w:t>Therefore, in this work we aim to evaluate the a</w:t>
      </w:r>
      <w:r w:rsidR="006F282A" w:rsidRPr="00604117">
        <w:t>b</w:t>
      </w:r>
      <w:r w:rsidR="00301645" w:rsidRPr="00604117">
        <w:t>sorption of CO2 in a mixture of ionic liquids</w:t>
      </w:r>
      <w:r w:rsidR="00560879" w:rsidRPr="00604117">
        <w:t xml:space="preserve"> with Molecular Dynamic Simulation.</w:t>
      </w:r>
      <w:r w:rsidR="00301645" w:rsidRPr="00604117">
        <w:t xml:space="preserve"> Our experiments are guided by Bayesian optimization to find the optimal combination for maximum CO</w:t>
      </w:r>
      <w:r w:rsidR="00301645" w:rsidRPr="00604117">
        <w:rPr>
          <w:vertAlign w:val="subscript"/>
        </w:rPr>
        <w:t>2</w:t>
      </w:r>
      <w:r w:rsidR="00301645" w:rsidRPr="00604117">
        <w:t xml:space="preserve"> a</w:t>
      </w:r>
      <w:r w:rsidR="00B811A7" w:rsidRPr="00604117">
        <w:t>b</w:t>
      </w:r>
      <w:r w:rsidR="00301645" w:rsidRPr="00604117">
        <w:t>sorption.</w:t>
      </w:r>
      <w:r w:rsidR="008D2649" w:rsidRPr="00604117">
        <w:t xml:space="preserve"> </w:t>
      </w:r>
    </w:p>
    <w:p w14:paraId="144DE6A1" w14:textId="3B336998" w:rsidR="008D2649" w:rsidRPr="00604117" w:rsidRDefault="008D2649" w:rsidP="008D2649">
      <w:pPr>
        <w:pStyle w:val="Els-1storder-head"/>
        <w:spacing w:after="120"/>
        <w:rPr>
          <w:lang w:val="en-GB"/>
        </w:rPr>
      </w:pPr>
      <w:r w:rsidRPr="00604117">
        <w:rPr>
          <w:lang w:val="en-GB"/>
        </w:rPr>
        <w:t>Me</w:t>
      </w:r>
      <w:r w:rsidR="006F282A" w:rsidRPr="00604117">
        <w:rPr>
          <w:lang w:val="en-GB"/>
        </w:rPr>
        <w:t>thodology</w:t>
      </w:r>
    </w:p>
    <w:p w14:paraId="093BCE71" w14:textId="3F280EF3" w:rsidR="006F282A" w:rsidRPr="00604117" w:rsidRDefault="006F282A" w:rsidP="006F282A">
      <w:pPr>
        <w:pStyle w:val="Els-body-text"/>
        <w:rPr>
          <w:i/>
          <w:iCs/>
          <w:lang w:val="en-GB"/>
        </w:rPr>
      </w:pPr>
      <w:r w:rsidRPr="00604117">
        <w:rPr>
          <w:i/>
          <w:iCs/>
          <w:lang w:val="en-GB"/>
        </w:rPr>
        <w:t>3.1 Molecular Dynamic Simulation</w:t>
      </w:r>
    </w:p>
    <w:p w14:paraId="0061AA00" w14:textId="4E441C4B" w:rsidR="00AD337F" w:rsidRPr="00604117" w:rsidRDefault="006F282A" w:rsidP="00AD337F">
      <w:pPr>
        <w:jc w:val="both"/>
        <w:rPr>
          <w:strike/>
          <w:lang w:val="en-US"/>
        </w:rPr>
      </w:pPr>
      <w:r w:rsidRPr="00604117">
        <w:rPr>
          <w:lang w:val="en-US"/>
        </w:rPr>
        <w:t>Molecular dynamics simulation</w:t>
      </w:r>
      <w:r w:rsidR="00447C1C" w:rsidRPr="00604117">
        <w:rPr>
          <w:lang w:val="en-US"/>
        </w:rPr>
        <w:t xml:space="preserve"> (MDS)</w:t>
      </w:r>
      <w:r w:rsidRPr="00604117">
        <w:rPr>
          <w:lang w:val="en-US"/>
        </w:rPr>
        <w:t xml:space="preserve"> is a computational tool that analyzes the behavior of atoms which are treated as particles moving under the influence of classical mechanics. It </w:t>
      </w:r>
      <w:r w:rsidR="00BE60B1" w:rsidRPr="00604117">
        <w:rPr>
          <w:lang w:val="en-US"/>
        </w:rPr>
        <w:t>explains</w:t>
      </w:r>
      <w:r w:rsidRPr="00604117">
        <w:rPr>
          <w:lang w:val="en-US"/>
        </w:rPr>
        <w:t xml:space="preserve"> the behavior of fluids and materials at an atomistic level. The software used </w:t>
      </w:r>
      <w:r w:rsidR="00BE60B1" w:rsidRPr="00604117">
        <w:rPr>
          <w:lang w:val="en-US"/>
        </w:rPr>
        <w:t xml:space="preserve">in this work </w:t>
      </w:r>
      <w:r w:rsidRPr="00604117">
        <w:rPr>
          <w:lang w:val="en-US"/>
        </w:rPr>
        <w:t>is LAMMPS (Large-scale Atomic/Molecular Massively Parallel Simulator)</w:t>
      </w:r>
      <w:r w:rsidR="00BE60B1" w:rsidRPr="00604117">
        <w:rPr>
          <w:lang w:val="en-US"/>
        </w:rPr>
        <w:t xml:space="preserve">. </w:t>
      </w:r>
      <w:proofErr w:type="spellStart"/>
      <w:r w:rsidRPr="00604117">
        <w:rPr>
          <w:lang w:val="en-US"/>
        </w:rPr>
        <w:t>Verlet</w:t>
      </w:r>
      <w:proofErr w:type="spellEnd"/>
      <w:r w:rsidRPr="00604117">
        <w:rPr>
          <w:lang w:val="en-US"/>
        </w:rPr>
        <w:t xml:space="preserve"> algorithm was used to predict velocities and positions </w:t>
      </w:r>
      <w:r w:rsidR="00BE60B1" w:rsidRPr="00604117">
        <w:rPr>
          <w:lang w:val="en-US"/>
        </w:rPr>
        <w:t>of atoms</w:t>
      </w:r>
      <w:r w:rsidRPr="00604117">
        <w:rPr>
          <w:lang w:val="en-US"/>
        </w:rPr>
        <w:t xml:space="preserve">. </w:t>
      </w:r>
      <w:r w:rsidR="00B16C43" w:rsidRPr="00604117">
        <w:rPr>
          <w:lang w:val="en-US"/>
        </w:rPr>
        <w:t xml:space="preserve">To calculate the properties, it is necessary to calculate the forces involved within a molecule, known as the force field. This force field is made up of bonding and non-bonding interactions. On the one hand, on the bonding side we have the forces arising from dihedral twisting, bond stretching and bond bending. And the non-bonding forces consist of the Lennard Jones potential and the Coulomb potential. </w:t>
      </w:r>
      <w:r w:rsidR="00AD337F" w:rsidRPr="00604117">
        <w:rPr>
          <w:lang w:val="en-US"/>
        </w:rPr>
        <w:t>Table 1 shows the list of ionic liquids found in the literature that have higher solubility in CO</w:t>
      </w:r>
      <w:r w:rsidR="00AD337F" w:rsidRPr="00604117">
        <w:rPr>
          <w:vertAlign w:val="subscript"/>
          <w:lang w:val="en-US"/>
        </w:rPr>
        <w:t>2</w:t>
      </w:r>
      <w:r w:rsidR="00AD337F" w:rsidRPr="00604117">
        <w:rPr>
          <w:lang w:val="en-US"/>
        </w:rPr>
        <w:t>.</w:t>
      </w:r>
    </w:p>
    <w:p w14:paraId="52B5AB2A" w14:textId="006C27CF" w:rsidR="00AD337F" w:rsidRPr="00604117" w:rsidRDefault="00AD337F" w:rsidP="00AD337F">
      <w:pPr>
        <w:pStyle w:val="Descripcin"/>
        <w:keepNext/>
      </w:pPr>
      <w:r w:rsidRPr="00604117">
        <w:t xml:space="preserve">Table </w:t>
      </w:r>
      <w:r w:rsidRPr="00604117">
        <w:fldChar w:fldCharType="begin"/>
      </w:r>
      <w:r w:rsidRPr="00604117">
        <w:instrText xml:space="preserve"> SEQ Table \* ARABIC </w:instrText>
      </w:r>
      <w:r w:rsidRPr="00604117">
        <w:fldChar w:fldCharType="separate"/>
      </w:r>
      <w:r w:rsidRPr="00604117">
        <w:rPr>
          <w:noProof/>
        </w:rPr>
        <w:t>1</w:t>
      </w:r>
      <w:r w:rsidRPr="00604117">
        <w:fldChar w:fldCharType="end"/>
      </w:r>
      <w:r w:rsidRPr="00604117">
        <w:t xml:space="preserve"> Ionic liquids investigated</w:t>
      </w:r>
      <w:r w:rsidR="00560879" w:rsidRPr="00604117">
        <w:t xml:space="preserve"> (*Ionic liquids chosen)</w:t>
      </w:r>
    </w:p>
    <w:tbl>
      <w:tblPr>
        <w:tblStyle w:val="Tablanormal5"/>
        <w:tblW w:w="7087" w:type="dxa"/>
        <w:tblLook w:val="0420" w:firstRow="1" w:lastRow="0" w:firstColumn="0" w:lastColumn="0" w:noHBand="0" w:noVBand="1"/>
      </w:tblPr>
      <w:tblGrid>
        <w:gridCol w:w="2552"/>
        <w:gridCol w:w="1271"/>
        <w:gridCol w:w="1134"/>
        <w:gridCol w:w="2130"/>
      </w:tblGrid>
      <w:tr w:rsidR="00604117" w:rsidRPr="00604117" w14:paraId="6E1E9F0A" w14:textId="77777777" w:rsidTr="0056664D">
        <w:trPr>
          <w:cnfStyle w:val="100000000000" w:firstRow="1" w:lastRow="0" w:firstColumn="0" w:lastColumn="0" w:oddVBand="0" w:evenVBand="0" w:oddHBand="0" w:evenHBand="0" w:firstRowFirstColumn="0" w:firstRowLastColumn="0" w:lastRowFirstColumn="0" w:lastRowLastColumn="0"/>
          <w:trHeight w:val="23"/>
        </w:trPr>
        <w:tc>
          <w:tcPr>
            <w:tcW w:w="2552" w:type="dxa"/>
            <w:tcBorders>
              <w:bottom w:val="single" w:sz="4" w:space="0" w:color="auto"/>
            </w:tcBorders>
            <w:shd w:val="clear" w:color="auto" w:fill="F2F2F2" w:themeFill="background1" w:themeFillShade="F2"/>
            <w:hideMark/>
          </w:tcPr>
          <w:p w14:paraId="52619ADD" w14:textId="44F07CFF" w:rsidR="00AD337F" w:rsidRPr="00604117" w:rsidRDefault="00AD337F" w:rsidP="00DA7C8C">
            <w:pPr>
              <w:autoSpaceDE w:val="0"/>
              <w:autoSpaceDN w:val="0"/>
              <w:adjustRightInd w:val="0"/>
              <w:jc w:val="center"/>
              <w:rPr>
                <w:rFonts w:ascii="Times New Roman" w:eastAsia="Times New Roman" w:hAnsi="Times New Roman" w:cs="Times New Roman"/>
                <w:i w:val="0"/>
                <w:iCs w:val="0"/>
                <w:kern w:val="0"/>
                <w:sz w:val="17"/>
                <w:szCs w:val="17"/>
                <w:lang w:val="en-GB" w:eastAsia="es-MX"/>
                <w14:ligatures w14:val="none"/>
              </w:rPr>
            </w:pPr>
            <w:proofErr w:type="spellStart"/>
            <w:r w:rsidRPr="00604117">
              <w:rPr>
                <w:rFonts w:ascii="Times New Roman" w:hAnsi="Times New Roman" w:cs="Times New Roman"/>
                <w:i w:val="0"/>
                <w:iCs w:val="0"/>
                <w:sz w:val="17"/>
                <w:szCs w:val="17"/>
                <w:lang w:eastAsia="es-MX"/>
              </w:rPr>
              <w:t>Ionic</w:t>
            </w:r>
            <w:proofErr w:type="spellEnd"/>
            <w:r w:rsidRPr="00604117">
              <w:rPr>
                <w:rFonts w:ascii="Times New Roman" w:hAnsi="Times New Roman" w:cs="Times New Roman"/>
                <w:i w:val="0"/>
                <w:iCs w:val="0"/>
                <w:sz w:val="17"/>
                <w:szCs w:val="17"/>
                <w:lang w:eastAsia="es-MX"/>
              </w:rPr>
              <w:t xml:space="preserve"> </w:t>
            </w:r>
            <w:proofErr w:type="spellStart"/>
            <w:r w:rsidRPr="00604117">
              <w:rPr>
                <w:rFonts w:ascii="Times New Roman" w:hAnsi="Times New Roman" w:cs="Times New Roman"/>
                <w:i w:val="0"/>
                <w:iCs w:val="0"/>
                <w:sz w:val="17"/>
                <w:szCs w:val="17"/>
                <w:lang w:eastAsia="es-MX"/>
              </w:rPr>
              <w:t>liquid</w:t>
            </w:r>
            <w:proofErr w:type="spellEnd"/>
            <w:r w:rsidRPr="00604117">
              <w:rPr>
                <w:rFonts w:ascii="Times New Roman" w:hAnsi="Times New Roman" w:cs="Times New Roman"/>
                <w:i w:val="0"/>
                <w:iCs w:val="0"/>
                <w:sz w:val="17"/>
                <w:szCs w:val="17"/>
                <w:lang w:eastAsia="es-MX"/>
              </w:rPr>
              <w:t xml:space="preserve"> </w:t>
            </w:r>
            <w:proofErr w:type="spellStart"/>
            <w:r w:rsidRPr="00604117">
              <w:rPr>
                <w:rFonts w:ascii="Times New Roman" w:hAnsi="Times New Roman" w:cs="Times New Roman"/>
                <w:i w:val="0"/>
                <w:iCs w:val="0"/>
                <w:sz w:val="17"/>
                <w:szCs w:val="17"/>
                <w:lang w:eastAsia="es-MX"/>
              </w:rPr>
              <w:t>or</w:t>
            </w:r>
            <w:proofErr w:type="spellEnd"/>
            <w:r w:rsidRPr="00604117">
              <w:rPr>
                <w:rFonts w:ascii="Times New Roman" w:hAnsi="Times New Roman" w:cs="Times New Roman"/>
                <w:i w:val="0"/>
                <w:iCs w:val="0"/>
                <w:sz w:val="17"/>
                <w:szCs w:val="17"/>
                <w:lang w:eastAsia="es-MX"/>
              </w:rPr>
              <w:t xml:space="preserve"> mixture</w:t>
            </w:r>
          </w:p>
        </w:tc>
        <w:tc>
          <w:tcPr>
            <w:tcW w:w="1271" w:type="dxa"/>
            <w:tcBorders>
              <w:bottom w:val="single" w:sz="4" w:space="0" w:color="auto"/>
            </w:tcBorders>
            <w:shd w:val="clear" w:color="auto" w:fill="F2F2F2" w:themeFill="background1" w:themeFillShade="F2"/>
          </w:tcPr>
          <w:p w14:paraId="057F0331" w14:textId="77777777" w:rsidR="00AD337F" w:rsidRPr="00604117" w:rsidRDefault="00AD337F" w:rsidP="00DA7C8C">
            <w:pPr>
              <w:autoSpaceDE w:val="0"/>
              <w:autoSpaceDN w:val="0"/>
              <w:adjustRightInd w:val="0"/>
              <w:jc w:val="center"/>
              <w:rPr>
                <w:rFonts w:ascii="Times New Roman" w:hAnsi="Times New Roman" w:cs="Times New Roman"/>
                <w:sz w:val="17"/>
                <w:szCs w:val="17"/>
                <w:lang w:eastAsia="es-MX"/>
              </w:rPr>
            </w:pPr>
            <w:proofErr w:type="spellStart"/>
            <w:r w:rsidRPr="00604117">
              <w:rPr>
                <w:rFonts w:ascii="Times New Roman" w:hAnsi="Times New Roman" w:cs="Times New Roman"/>
                <w:i w:val="0"/>
                <w:iCs w:val="0"/>
                <w:sz w:val="17"/>
                <w:szCs w:val="17"/>
                <w:lang w:eastAsia="es-MX"/>
              </w:rPr>
              <w:t>Solubility</w:t>
            </w:r>
            <w:proofErr w:type="spellEnd"/>
            <w:r w:rsidRPr="00604117">
              <w:rPr>
                <w:rFonts w:ascii="Times New Roman" w:hAnsi="Times New Roman" w:cs="Times New Roman"/>
                <w:i w:val="0"/>
                <w:iCs w:val="0"/>
                <w:sz w:val="17"/>
                <w:szCs w:val="17"/>
                <w:lang w:eastAsia="es-MX"/>
              </w:rPr>
              <w:t xml:space="preserve"> CO</w:t>
            </w:r>
            <w:r w:rsidRPr="00604117">
              <w:rPr>
                <w:rFonts w:ascii="Times New Roman" w:hAnsi="Times New Roman" w:cs="Times New Roman"/>
                <w:i w:val="0"/>
                <w:iCs w:val="0"/>
                <w:sz w:val="17"/>
                <w:szCs w:val="17"/>
                <w:vertAlign w:val="subscript"/>
                <w:lang w:eastAsia="es-MX"/>
              </w:rPr>
              <w:t>2</w:t>
            </w:r>
          </w:p>
          <w:p w14:paraId="74AA23FF" w14:textId="77777777" w:rsidR="00AD337F" w:rsidRPr="00604117" w:rsidRDefault="00AD337F" w:rsidP="00DA7C8C">
            <w:pPr>
              <w:autoSpaceDE w:val="0"/>
              <w:autoSpaceDN w:val="0"/>
              <w:adjustRightInd w:val="0"/>
              <w:jc w:val="center"/>
              <w:rPr>
                <w:rFonts w:ascii="Times New Roman" w:hAnsi="Times New Roman" w:cs="Times New Roman"/>
                <w:i w:val="0"/>
                <w:iCs w:val="0"/>
                <w:sz w:val="17"/>
                <w:szCs w:val="17"/>
                <w:lang w:eastAsia="es-MX"/>
              </w:rPr>
            </w:pPr>
            <w:r w:rsidRPr="00604117">
              <w:rPr>
                <w:rFonts w:ascii="Times New Roman" w:hAnsi="Times New Roman" w:cs="Times New Roman"/>
                <w:i w:val="0"/>
                <w:iCs w:val="0"/>
                <w:sz w:val="17"/>
                <w:szCs w:val="17"/>
                <w:lang w:eastAsia="es-MX"/>
              </w:rPr>
              <w:t xml:space="preserve">(mole </w:t>
            </w:r>
            <w:proofErr w:type="spellStart"/>
            <w:r w:rsidRPr="00604117">
              <w:rPr>
                <w:rFonts w:ascii="Times New Roman" w:hAnsi="Times New Roman" w:cs="Times New Roman"/>
                <w:i w:val="0"/>
                <w:iCs w:val="0"/>
                <w:sz w:val="17"/>
                <w:szCs w:val="17"/>
                <w:lang w:eastAsia="es-MX"/>
              </w:rPr>
              <w:t>fraction</w:t>
            </w:r>
            <w:proofErr w:type="spellEnd"/>
            <w:r w:rsidRPr="00604117">
              <w:rPr>
                <w:rFonts w:ascii="Times New Roman" w:hAnsi="Times New Roman" w:cs="Times New Roman"/>
                <w:i w:val="0"/>
                <w:iCs w:val="0"/>
                <w:sz w:val="17"/>
                <w:szCs w:val="17"/>
                <w:lang w:eastAsia="es-MX"/>
              </w:rPr>
              <w:t>)</w:t>
            </w:r>
          </w:p>
        </w:tc>
        <w:tc>
          <w:tcPr>
            <w:tcW w:w="1134" w:type="dxa"/>
            <w:tcBorders>
              <w:bottom w:val="single" w:sz="4" w:space="0" w:color="auto"/>
            </w:tcBorders>
            <w:shd w:val="clear" w:color="auto" w:fill="F2F2F2" w:themeFill="background1" w:themeFillShade="F2"/>
            <w:hideMark/>
          </w:tcPr>
          <w:p w14:paraId="3E33EC7E" w14:textId="77777777" w:rsidR="00AD337F" w:rsidRPr="00604117" w:rsidRDefault="00AD337F" w:rsidP="00DA7C8C">
            <w:pPr>
              <w:autoSpaceDE w:val="0"/>
              <w:autoSpaceDN w:val="0"/>
              <w:adjustRightInd w:val="0"/>
              <w:jc w:val="center"/>
              <w:rPr>
                <w:rFonts w:ascii="Times New Roman" w:hAnsi="Times New Roman" w:cs="Times New Roman"/>
                <w:sz w:val="17"/>
                <w:szCs w:val="17"/>
                <w:lang w:val="en-US" w:eastAsia="es-MX"/>
              </w:rPr>
            </w:pPr>
            <w:r w:rsidRPr="00604117">
              <w:rPr>
                <w:rFonts w:ascii="Times New Roman" w:hAnsi="Times New Roman" w:cs="Times New Roman"/>
                <w:i w:val="0"/>
                <w:iCs w:val="0"/>
                <w:sz w:val="17"/>
                <w:szCs w:val="17"/>
                <w:lang w:val="en-US" w:eastAsia="es-MX"/>
              </w:rPr>
              <w:t>Henry´s constant CO</w:t>
            </w:r>
            <w:r w:rsidRPr="00604117">
              <w:rPr>
                <w:rFonts w:ascii="Times New Roman" w:hAnsi="Times New Roman" w:cs="Times New Roman"/>
                <w:i w:val="0"/>
                <w:iCs w:val="0"/>
                <w:sz w:val="17"/>
                <w:szCs w:val="17"/>
                <w:vertAlign w:val="subscript"/>
                <w:lang w:val="en-US" w:eastAsia="es-MX"/>
              </w:rPr>
              <w:t>2</w:t>
            </w:r>
          </w:p>
          <w:p w14:paraId="6904652E" w14:textId="77777777" w:rsidR="00AD337F" w:rsidRPr="00604117" w:rsidRDefault="00AD337F" w:rsidP="00DA7C8C">
            <w:pPr>
              <w:autoSpaceDE w:val="0"/>
              <w:autoSpaceDN w:val="0"/>
              <w:adjustRightInd w:val="0"/>
              <w:jc w:val="center"/>
              <w:rPr>
                <w:rFonts w:ascii="Times New Roman" w:eastAsia="Times New Roman" w:hAnsi="Times New Roman" w:cs="Times New Roman"/>
                <w:i w:val="0"/>
                <w:iCs w:val="0"/>
                <w:kern w:val="0"/>
                <w:sz w:val="17"/>
                <w:szCs w:val="17"/>
                <w:lang w:val="en-GB" w:eastAsia="es-MX"/>
                <w14:ligatures w14:val="none"/>
              </w:rPr>
            </w:pPr>
            <w:r w:rsidRPr="00604117">
              <w:rPr>
                <w:rFonts w:ascii="Times New Roman" w:hAnsi="Times New Roman" w:cs="Times New Roman"/>
                <w:i w:val="0"/>
                <w:iCs w:val="0"/>
                <w:sz w:val="17"/>
                <w:szCs w:val="17"/>
                <w:lang w:val="en-US" w:eastAsia="es-MX"/>
              </w:rPr>
              <w:t>(MPa)</w:t>
            </w:r>
          </w:p>
        </w:tc>
        <w:tc>
          <w:tcPr>
            <w:tcW w:w="2130" w:type="dxa"/>
            <w:tcBorders>
              <w:bottom w:val="single" w:sz="4" w:space="0" w:color="auto"/>
            </w:tcBorders>
            <w:shd w:val="clear" w:color="auto" w:fill="F2F2F2" w:themeFill="background1" w:themeFillShade="F2"/>
            <w:hideMark/>
          </w:tcPr>
          <w:p w14:paraId="68AA7385" w14:textId="77777777" w:rsidR="00AD337F" w:rsidRPr="00604117" w:rsidRDefault="00AD337F" w:rsidP="00A20B26">
            <w:pPr>
              <w:autoSpaceDE w:val="0"/>
              <w:autoSpaceDN w:val="0"/>
              <w:adjustRightInd w:val="0"/>
              <w:rPr>
                <w:rFonts w:ascii="Times New Roman" w:eastAsia="Times New Roman" w:hAnsi="Times New Roman" w:cs="Times New Roman"/>
                <w:i w:val="0"/>
                <w:iCs w:val="0"/>
                <w:kern w:val="0"/>
                <w:sz w:val="17"/>
                <w:szCs w:val="17"/>
                <w:lang w:val="en-GB" w:eastAsia="es-MX"/>
                <w14:ligatures w14:val="none"/>
              </w:rPr>
            </w:pPr>
            <w:proofErr w:type="spellStart"/>
            <w:r w:rsidRPr="00604117">
              <w:rPr>
                <w:rFonts w:ascii="Times New Roman" w:hAnsi="Times New Roman" w:cs="Times New Roman"/>
                <w:i w:val="0"/>
                <w:iCs w:val="0"/>
                <w:sz w:val="17"/>
                <w:szCs w:val="17"/>
                <w:lang w:eastAsia="es-MX"/>
              </w:rPr>
              <w:t>Source</w:t>
            </w:r>
            <w:proofErr w:type="spellEnd"/>
          </w:p>
        </w:tc>
      </w:tr>
      <w:tr w:rsidR="00604117" w:rsidRPr="00604117" w14:paraId="313FE5AF" w14:textId="77777777" w:rsidTr="0056664D">
        <w:trPr>
          <w:cnfStyle w:val="000000100000" w:firstRow="0" w:lastRow="0" w:firstColumn="0" w:lastColumn="0" w:oddVBand="0" w:evenVBand="0" w:oddHBand="1" w:evenHBand="0" w:firstRowFirstColumn="0" w:firstRowLastColumn="0" w:lastRowFirstColumn="0" w:lastRowLastColumn="0"/>
          <w:trHeight w:val="190"/>
        </w:trPr>
        <w:tc>
          <w:tcPr>
            <w:tcW w:w="2552" w:type="dxa"/>
            <w:tcBorders>
              <w:top w:val="single" w:sz="4" w:space="0" w:color="auto"/>
            </w:tcBorders>
            <w:shd w:val="clear" w:color="auto" w:fill="auto"/>
          </w:tcPr>
          <w:p w14:paraId="27C827CA" w14:textId="77777777" w:rsidR="00AD337F" w:rsidRPr="00604117" w:rsidRDefault="00AD337F" w:rsidP="00A20B26">
            <w:pPr>
              <w:autoSpaceDE w:val="0"/>
              <w:autoSpaceDN w:val="0"/>
              <w:adjustRightInd w:val="0"/>
              <w:jc w:val="both"/>
              <w:rPr>
                <w:rFonts w:ascii="Times New Roman" w:eastAsia="Times New Roman" w:hAnsi="Times New Roman" w:cs="Times New Roman"/>
                <w:kern w:val="0"/>
                <w:sz w:val="17"/>
                <w:szCs w:val="17"/>
                <w:lang w:val="en-US"/>
                <w14:ligatures w14:val="none"/>
              </w:rPr>
            </w:pPr>
            <w:r w:rsidRPr="00604117">
              <w:rPr>
                <w:rFonts w:ascii="Times New Roman" w:hAnsi="Times New Roman" w:cs="Times New Roman"/>
                <w:sz w:val="17"/>
                <w:szCs w:val="17"/>
                <w:lang w:val="en-US"/>
              </w:rPr>
              <w:t>[BMIM][BF6]</w:t>
            </w:r>
          </w:p>
        </w:tc>
        <w:tc>
          <w:tcPr>
            <w:tcW w:w="1271" w:type="dxa"/>
            <w:tcBorders>
              <w:top w:val="single" w:sz="4" w:space="0" w:color="auto"/>
            </w:tcBorders>
            <w:shd w:val="clear" w:color="auto" w:fill="auto"/>
          </w:tcPr>
          <w:p w14:paraId="44AB2C40" w14:textId="322D53F2" w:rsidR="00AD337F" w:rsidRPr="00604117" w:rsidRDefault="00AD337F" w:rsidP="00DA7C8C">
            <w:pPr>
              <w:autoSpaceDE w:val="0"/>
              <w:autoSpaceDN w:val="0"/>
              <w:adjustRightInd w:val="0"/>
              <w:jc w:val="center"/>
              <w:rPr>
                <w:rFonts w:ascii="Times New Roman" w:hAnsi="Times New Roman" w:cs="Times New Roman"/>
                <w:sz w:val="17"/>
                <w:szCs w:val="17"/>
                <w:lang w:val="en-US"/>
              </w:rPr>
            </w:pPr>
            <w:r w:rsidRPr="00604117">
              <w:rPr>
                <w:rFonts w:ascii="Times New Roman" w:hAnsi="Times New Roman" w:cs="Times New Roman"/>
                <w:sz w:val="17"/>
                <w:szCs w:val="17"/>
                <w:lang w:val="en-US"/>
              </w:rPr>
              <w:t>0.013-0.017</w:t>
            </w:r>
          </w:p>
        </w:tc>
        <w:tc>
          <w:tcPr>
            <w:tcW w:w="1134" w:type="dxa"/>
            <w:tcBorders>
              <w:top w:val="single" w:sz="4" w:space="0" w:color="auto"/>
            </w:tcBorders>
            <w:shd w:val="clear" w:color="auto" w:fill="auto"/>
          </w:tcPr>
          <w:p w14:paraId="75CD721B" w14:textId="77777777" w:rsidR="00AD337F" w:rsidRPr="00604117" w:rsidRDefault="00AD337F" w:rsidP="00DA7C8C">
            <w:pPr>
              <w:autoSpaceDE w:val="0"/>
              <w:autoSpaceDN w:val="0"/>
              <w:adjustRightInd w:val="0"/>
              <w:jc w:val="center"/>
              <w:rPr>
                <w:rFonts w:ascii="Times New Roman" w:eastAsia="Times New Roman" w:hAnsi="Times New Roman" w:cs="Times New Roman"/>
                <w:kern w:val="0"/>
                <w:sz w:val="17"/>
                <w:szCs w:val="17"/>
                <w:lang w:val="en-US"/>
                <w14:ligatures w14:val="none"/>
              </w:rPr>
            </w:pPr>
          </w:p>
        </w:tc>
        <w:tc>
          <w:tcPr>
            <w:tcW w:w="2130" w:type="dxa"/>
            <w:tcBorders>
              <w:top w:val="single" w:sz="4" w:space="0" w:color="auto"/>
            </w:tcBorders>
            <w:shd w:val="clear" w:color="auto" w:fill="auto"/>
          </w:tcPr>
          <w:p w14:paraId="659F745C" w14:textId="77777777" w:rsidR="00AD337F" w:rsidRPr="00604117" w:rsidRDefault="00000000" w:rsidP="00A20B26">
            <w:pPr>
              <w:autoSpaceDE w:val="0"/>
              <w:autoSpaceDN w:val="0"/>
              <w:adjustRightInd w:val="0"/>
              <w:jc w:val="both"/>
              <w:rPr>
                <w:rFonts w:ascii="Times New Roman" w:eastAsia="Times New Roman" w:hAnsi="Times New Roman" w:cs="Times New Roman"/>
                <w:kern w:val="0"/>
                <w:sz w:val="17"/>
                <w:szCs w:val="17"/>
                <w:lang w:val="en-US"/>
                <w14:ligatures w14:val="none"/>
              </w:rPr>
            </w:pPr>
            <w:sdt>
              <w:sdtPr>
                <w:rPr>
                  <w:sz w:val="17"/>
                  <w:szCs w:val="17"/>
                  <w:lang w:val="en-US"/>
                </w:rPr>
                <w:tag w:val="MENDELEY_CITATION_v3_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"/>
                <w:id w:val="1630201699"/>
                <w:placeholder>
                  <w:docPart w:val="EEAE3805A7BD41CDBF3AA2E4A35D4B27"/>
                </w:placeholder>
              </w:sdtPr>
              <w:sdtContent>
                <w:r w:rsidR="00AD337F" w:rsidRPr="00604117">
                  <w:rPr>
                    <w:rFonts w:ascii="Times New Roman" w:hAnsi="Times New Roman" w:cs="Times New Roman"/>
                    <w:sz w:val="17"/>
                    <w:szCs w:val="17"/>
                    <w:lang w:val="en-US"/>
                  </w:rPr>
                  <w:t>(Blanchard et al., 1999)</w:t>
                </w:r>
              </w:sdtContent>
            </w:sdt>
          </w:p>
        </w:tc>
      </w:tr>
      <w:tr w:rsidR="00604117" w:rsidRPr="00604117" w14:paraId="7EBE07CE" w14:textId="77777777" w:rsidTr="0056664D">
        <w:trPr>
          <w:trHeight w:val="190"/>
        </w:trPr>
        <w:tc>
          <w:tcPr>
            <w:tcW w:w="2552" w:type="dxa"/>
            <w:shd w:val="clear" w:color="auto" w:fill="auto"/>
          </w:tcPr>
          <w:p w14:paraId="7B5B3281" w14:textId="3DEE9A21" w:rsidR="00AD337F" w:rsidRPr="00604117" w:rsidRDefault="00AD337F" w:rsidP="00A20B26">
            <w:pPr>
              <w:autoSpaceDE w:val="0"/>
              <w:autoSpaceDN w:val="0"/>
              <w:adjustRightInd w:val="0"/>
              <w:jc w:val="both"/>
              <w:rPr>
                <w:rFonts w:ascii="Times New Roman" w:hAnsi="Times New Roman" w:cs="Times New Roman"/>
                <w:sz w:val="17"/>
                <w:szCs w:val="17"/>
                <w:lang w:val="en-US"/>
              </w:rPr>
            </w:pPr>
            <w:r w:rsidRPr="00604117">
              <w:rPr>
                <w:rFonts w:ascii="Times New Roman" w:hAnsi="Times New Roman" w:cs="Times New Roman"/>
                <w:sz w:val="17"/>
                <w:szCs w:val="17"/>
                <w:lang w:val="en-US"/>
              </w:rPr>
              <w:t>[BMIM][PF</w:t>
            </w:r>
            <w:proofErr w:type="gramStart"/>
            <w:r w:rsidRPr="00604117">
              <w:rPr>
                <w:rFonts w:ascii="Times New Roman" w:hAnsi="Times New Roman" w:cs="Times New Roman"/>
                <w:sz w:val="17"/>
                <w:szCs w:val="17"/>
                <w:lang w:val="en-US"/>
              </w:rPr>
              <w:t>6]</w:t>
            </w:r>
            <w:r w:rsidR="00560879" w:rsidRPr="00604117">
              <w:rPr>
                <w:rFonts w:ascii="Times New Roman" w:hAnsi="Times New Roman" w:cs="Times New Roman"/>
                <w:sz w:val="17"/>
                <w:szCs w:val="17"/>
                <w:lang w:val="en-US"/>
              </w:rPr>
              <w:t>*</w:t>
            </w:r>
            <w:proofErr w:type="gramEnd"/>
          </w:p>
        </w:tc>
        <w:tc>
          <w:tcPr>
            <w:tcW w:w="1271" w:type="dxa"/>
            <w:shd w:val="clear" w:color="auto" w:fill="auto"/>
          </w:tcPr>
          <w:p w14:paraId="74AD6716" w14:textId="77777777" w:rsidR="00AD337F" w:rsidRPr="00604117" w:rsidRDefault="00AD337F" w:rsidP="00DA7C8C">
            <w:pPr>
              <w:autoSpaceDE w:val="0"/>
              <w:autoSpaceDN w:val="0"/>
              <w:adjustRightInd w:val="0"/>
              <w:jc w:val="center"/>
              <w:rPr>
                <w:rFonts w:ascii="Times New Roman" w:hAnsi="Times New Roman" w:cs="Times New Roman"/>
                <w:sz w:val="17"/>
                <w:szCs w:val="17"/>
                <w:lang w:val="en-US"/>
              </w:rPr>
            </w:pPr>
          </w:p>
        </w:tc>
        <w:tc>
          <w:tcPr>
            <w:tcW w:w="1134" w:type="dxa"/>
            <w:shd w:val="clear" w:color="auto" w:fill="auto"/>
          </w:tcPr>
          <w:p w14:paraId="3B58AA4F" w14:textId="77777777" w:rsidR="00AD337F" w:rsidRPr="00604117" w:rsidRDefault="00AD337F" w:rsidP="00DA7C8C">
            <w:pPr>
              <w:autoSpaceDE w:val="0"/>
              <w:autoSpaceDN w:val="0"/>
              <w:adjustRightInd w:val="0"/>
              <w:jc w:val="center"/>
              <w:rPr>
                <w:rFonts w:ascii="Times New Roman" w:hAnsi="Times New Roman" w:cs="Times New Roman"/>
                <w:sz w:val="17"/>
                <w:szCs w:val="17"/>
                <w:lang w:val="en-US"/>
              </w:rPr>
            </w:pPr>
            <w:r w:rsidRPr="00604117">
              <w:rPr>
                <w:rFonts w:ascii="Times New Roman" w:hAnsi="Times New Roman" w:cs="Times New Roman"/>
                <w:sz w:val="17"/>
                <w:szCs w:val="17"/>
                <w:lang w:val="en-US"/>
              </w:rPr>
              <w:t>8-10</w:t>
            </w:r>
          </w:p>
        </w:tc>
        <w:tc>
          <w:tcPr>
            <w:tcW w:w="2130" w:type="dxa"/>
            <w:shd w:val="clear" w:color="auto" w:fill="auto"/>
          </w:tcPr>
          <w:p w14:paraId="538A6127" w14:textId="77777777" w:rsidR="00AD337F" w:rsidRPr="00604117" w:rsidRDefault="00AD337F" w:rsidP="00A20B26">
            <w:pPr>
              <w:autoSpaceDE w:val="0"/>
              <w:autoSpaceDN w:val="0"/>
              <w:adjustRightInd w:val="0"/>
              <w:jc w:val="both"/>
              <w:rPr>
                <w:rFonts w:ascii="Times New Roman" w:hAnsi="Times New Roman" w:cs="Times New Roman"/>
                <w:sz w:val="17"/>
                <w:szCs w:val="17"/>
                <w:lang w:val="en-US"/>
              </w:rPr>
            </w:pPr>
            <w:r w:rsidRPr="00604117">
              <w:rPr>
                <w:rFonts w:ascii="Times New Roman" w:hAnsi="Times New Roman" w:cs="Times New Roman"/>
                <w:sz w:val="17"/>
                <w:szCs w:val="17"/>
                <w:lang w:val="en-US"/>
              </w:rPr>
              <w:t>(Lim et al., 2009).</w:t>
            </w:r>
          </w:p>
        </w:tc>
      </w:tr>
      <w:tr w:rsidR="00604117" w:rsidRPr="00604117" w14:paraId="43988417" w14:textId="77777777" w:rsidTr="0056664D">
        <w:trPr>
          <w:cnfStyle w:val="000000100000" w:firstRow="0" w:lastRow="0" w:firstColumn="0" w:lastColumn="0" w:oddVBand="0" w:evenVBand="0" w:oddHBand="1" w:evenHBand="0" w:firstRowFirstColumn="0" w:firstRowLastColumn="0" w:lastRowFirstColumn="0" w:lastRowLastColumn="0"/>
          <w:trHeight w:val="190"/>
        </w:trPr>
        <w:tc>
          <w:tcPr>
            <w:tcW w:w="2552" w:type="dxa"/>
            <w:shd w:val="clear" w:color="auto" w:fill="auto"/>
          </w:tcPr>
          <w:p w14:paraId="5B3E6697" w14:textId="77777777" w:rsidR="00AD337F" w:rsidRPr="00604117" w:rsidRDefault="00AD337F" w:rsidP="00A20B26">
            <w:pPr>
              <w:autoSpaceDE w:val="0"/>
              <w:autoSpaceDN w:val="0"/>
              <w:adjustRightInd w:val="0"/>
              <w:jc w:val="both"/>
              <w:rPr>
                <w:rFonts w:ascii="Times New Roman" w:hAnsi="Times New Roman" w:cs="Times New Roman"/>
                <w:sz w:val="17"/>
                <w:szCs w:val="17"/>
                <w:lang w:val="en-US"/>
              </w:rPr>
            </w:pPr>
            <w:r w:rsidRPr="00604117">
              <w:rPr>
                <w:rFonts w:ascii="Times New Roman" w:hAnsi="Times New Roman" w:cs="Times New Roman"/>
                <w:sz w:val="17"/>
                <w:szCs w:val="17"/>
                <w:lang w:val="en-US"/>
              </w:rPr>
              <w:t>[EMIM][B(CN)4]</w:t>
            </w:r>
          </w:p>
        </w:tc>
        <w:tc>
          <w:tcPr>
            <w:tcW w:w="1271" w:type="dxa"/>
            <w:shd w:val="clear" w:color="auto" w:fill="auto"/>
          </w:tcPr>
          <w:p w14:paraId="03F29955" w14:textId="77777777" w:rsidR="00AD337F" w:rsidRPr="00604117" w:rsidRDefault="00AD337F" w:rsidP="00DA7C8C">
            <w:pPr>
              <w:autoSpaceDE w:val="0"/>
              <w:autoSpaceDN w:val="0"/>
              <w:adjustRightInd w:val="0"/>
              <w:jc w:val="center"/>
              <w:rPr>
                <w:rFonts w:ascii="Times New Roman" w:hAnsi="Times New Roman" w:cs="Times New Roman"/>
                <w:sz w:val="17"/>
                <w:szCs w:val="17"/>
                <w:lang w:val="en-US"/>
              </w:rPr>
            </w:pPr>
            <w:r w:rsidRPr="00604117">
              <w:rPr>
                <w:rFonts w:ascii="Times New Roman" w:hAnsi="Times New Roman" w:cs="Times New Roman"/>
                <w:sz w:val="17"/>
                <w:szCs w:val="17"/>
                <w:lang w:val="en-US"/>
              </w:rPr>
              <w:t>0.135</w:t>
            </w:r>
          </w:p>
        </w:tc>
        <w:tc>
          <w:tcPr>
            <w:tcW w:w="1134" w:type="dxa"/>
            <w:shd w:val="clear" w:color="auto" w:fill="auto"/>
          </w:tcPr>
          <w:p w14:paraId="0CF109A1" w14:textId="77777777" w:rsidR="00AD337F" w:rsidRPr="00604117" w:rsidRDefault="00AD337F" w:rsidP="00DA7C8C">
            <w:pPr>
              <w:autoSpaceDE w:val="0"/>
              <w:autoSpaceDN w:val="0"/>
              <w:adjustRightInd w:val="0"/>
              <w:jc w:val="center"/>
              <w:rPr>
                <w:rFonts w:ascii="Times New Roman" w:hAnsi="Times New Roman" w:cs="Times New Roman"/>
                <w:sz w:val="17"/>
                <w:szCs w:val="17"/>
                <w:lang w:val="en-US"/>
              </w:rPr>
            </w:pPr>
          </w:p>
        </w:tc>
        <w:tc>
          <w:tcPr>
            <w:tcW w:w="2130" w:type="dxa"/>
            <w:shd w:val="clear" w:color="auto" w:fill="auto"/>
          </w:tcPr>
          <w:p w14:paraId="160B1E5D" w14:textId="77777777" w:rsidR="00AD337F" w:rsidRPr="00604117" w:rsidRDefault="00AD337F" w:rsidP="00A20B26">
            <w:pPr>
              <w:autoSpaceDE w:val="0"/>
              <w:autoSpaceDN w:val="0"/>
              <w:adjustRightInd w:val="0"/>
              <w:jc w:val="both"/>
              <w:rPr>
                <w:rFonts w:ascii="Times New Roman" w:hAnsi="Times New Roman" w:cs="Times New Roman"/>
                <w:sz w:val="17"/>
                <w:szCs w:val="17"/>
                <w:lang w:val="en-US"/>
              </w:rPr>
            </w:pPr>
            <w:r w:rsidRPr="00604117">
              <w:rPr>
                <w:rFonts w:ascii="Times New Roman" w:hAnsi="Times New Roman" w:cs="Times New Roman"/>
                <w:sz w:val="17"/>
                <w:szCs w:val="17"/>
                <w:lang w:val="en-US"/>
              </w:rPr>
              <w:t>(</w:t>
            </w:r>
            <w:proofErr w:type="spellStart"/>
            <w:r w:rsidRPr="00604117">
              <w:rPr>
                <w:rFonts w:ascii="Times New Roman" w:hAnsi="Times New Roman" w:cs="Times New Roman"/>
                <w:sz w:val="17"/>
                <w:szCs w:val="17"/>
                <w:lang w:val="en-US"/>
              </w:rPr>
              <w:t>Babarao</w:t>
            </w:r>
            <w:proofErr w:type="spellEnd"/>
            <w:r w:rsidRPr="00604117">
              <w:rPr>
                <w:rFonts w:ascii="Times New Roman" w:hAnsi="Times New Roman" w:cs="Times New Roman"/>
                <w:sz w:val="17"/>
                <w:szCs w:val="17"/>
                <w:lang w:val="en-US"/>
              </w:rPr>
              <w:t xml:space="preserve"> et al., 2011)</w:t>
            </w:r>
          </w:p>
        </w:tc>
      </w:tr>
      <w:tr w:rsidR="00604117" w:rsidRPr="00604117" w14:paraId="415A337D" w14:textId="77777777" w:rsidTr="0056664D">
        <w:trPr>
          <w:trHeight w:val="190"/>
        </w:trPr>
        <w:tc>
          <w:tcPr>
            <w:tcW w:w="2552" w:type="dxa"/>
            <w:shd w:val="clear" w:color="auto" w:fill="auto"/>
          </w:tcPr>
          <w:p w14:paraId="4D1049EF" w14:textId="059BC519" w:rsidR="00AD337F" w:rsidRPr="00604117" w:rsidRDefault="00AD337F" w:rsidP="00A20B26">
            <w:pPr>
              <w:autoSpaceDE w:val="0"/>
              <w:autoSpaceDN w:val="0"/>
              <w:adjustRightInd w:val="0"/>
              <w:jc w:val="both"/>
              <w:rPr>
                <w:rFonts w:ascii="Times New Roman" w:hAnsi="Times New Roman" w:cs="Times New Roman"/>
                <w:sz w:val="17"/>
                <w:szCs w:val="17"/>
                <w:lang w:val="en-US"/>
              </w:rPr>
            </w:pPr>
            <w:r w:rsidRPr="00604117">
              <w:rPr>
                <w:rFonts w:ascii="Times New Roman" w:hAnsi="Times New Roman" w:cs="Times New Roman"/>
                <w:sz w:val="17"/>
                <w:szCs w:val="17"/>
                <w:lang w:val="en-US"/>
              </w:rPr>
              <w:t>[EMIM][SCN]</w:t>
            </w:r>
            <w:r w:rsidR="00560879" w:rsidRPr="00604117">
              <w:rPr>
                <w:rFonts w:ascii="Times New Roman" w:hAnsi="Times New Roman" w:cs="Times New Roman"/>
                <w:sz w:val="17"/>
                <w:szCs w:val="17"/>
                <w:lang w:val="en-US"/>
              </w:rPr>
              <w:t>*</w:t>
            </w:r>
          </w:p>
        </w:tc>
        <w:tc>
          <w:tcPr>
            <w:tcW w:w="1271" w:type="dxa"/>
            <w:shd w:val="clear" w:color="auto" w:fill="auto"/>
          </w:tcPr>
          <w:p w14:paraId="04F13F07" w14:textId="77777777" w:rsidR="00AD337F" w:rsidRPr="00604117" w:rsidRDefault="00AD337F" w:rsidP="00DA7C8C">
            <w:pPr>
              <w:autoSpaceDE w:val="0"/>
              <w:autoSpaceDN w:val="0"/>
              <w:adjustRightInd w:val="0"/>
              <w:jc w:val="center"/>
              <w:rPr>
                <w:rFonts w:ascii="Times New Roman" w:hAnsi="Times New Roman" w:cs="Times New Roman"/>
                <w:sz w:val="17"/>
                <w:szCs w:val="17"/>
                <w:lang w:val="en-US"/>
              </w:rPr>
            </w:pPr>
          </w:p>
        </w:tc>
        <w:tc>
          <w:tcPr>
            <w:tcW w:w="1134" w:type="dxa"/>
            <w:shd w:val="clear" w:color="auto" w:fill="auto"/>
          </w:tcPr>
          <w:p w14:paraId="360BA3EB" w14:textId="77777777" w:rsidR="00AD337F" w:rsidRPr="00604117" w:rsidRDefault="00AD337F" w:rsidP="00DA7C8C">
            <w:pPr>
              <w:autoSpaceDE w:val="0"/>
              <w:autoSpaceDN w:val="0"/>
              <w:adjustRightInd w:val="0"/>
              <w:jc w:val="center"/>
              <w:rPr>
                <w:rFonts w:ascii="Times New Roman" w:hAnsi="Times New Roman" w:cs="Times New Roman"/>
                <w:sz w:val="17"/>
                <w:szCs w:val="17"/>
                <w:lang w:val="en-US"/>
              </w:rPr>
            </w:pPr>
            <w:r w:rsidRPr="00604117">
              <w:rPr>
                <w:rFonts w:ascii="Times New Roman" w:hAnsi="Times New Roman" w:cs="Times New Roman"/>
                <w:sz w:val="17"/>
                <w:szCs w:val="17"/>
                <w:lang w:val="en-US"/>
              </w:rPr>
              <w:t>16.2-90.9</w:t>
            </w:r>
          </w:p>
        </w:tc>
        <w:tc>
          <w:tcPr>
            <w:tcW w:w="2130" w:type="dxa"/>
            <w:shd w:val="clear" w:color="auto" w:fill="auto"/>
          </w:tcPr>
          <w:p w14:paraId="779C46EF" w14:textId="77777777" w:rsidR="00AD337F" w:rsidRPr="00604117" w:rsidRDefault="00AD337F" w:rsidP="00A20B26">
            <w:pPr>
              <w:autoSpaceDE w:val="0"/>
              <w:autoSpaceDN w:val="0"/>
              <w:adjustRightInd w:val="0"/>
              <w:jc w:val="both"/>
              <w:rPr>
                <w:rFonts w:ascii="Times New Roman" w:hAnsi="Times New Roman" w:cs="Times New Roman"/>
                <w:sz w:val="17"/>
                <w:szCs w:val="17"/>
                <w:lang w:val="en-US"/>
              </w:rPr>
            </w:pPr>
            <w:r w:rsidRPr="00604117">
              <w:rPr>
                <w:rFonts w:ascii="Times New Roman" w:hAnsi="Times New Roman" w:cs="Times New Roman"/>
                <w:sz w:val="17"/>
                <w:szCs w:val="17"/>
                <w:lang w:val="en-US"/>
              </w:rPr>
              <w:t>(Liu et al., 2021)</w:t>
            </w:r>
          </w:p>
        </w:tc>
      </w:tr>
      <w:tr w:rsidR="00604117" w:rsidRPr="00604117" w14:paraId="3B100A43" w14:textId="77777777" w:rsidTr="0056664D">
        <w:trPr>
          <w:cnfStyle w:val="000000100000" w:firstRow="0" w:lastRow="0" w:firstColumn="0" w:lastColumn="0" w:oddVBand="0" w:evenVBand="0" w:oddHBand="1" w:evenHBand="0" w:firstRowFirstColumn="0" w:firstRowLastColumn="0" w:lastRowFirstColumn="0" w:lastRowLastColumn="0"/>
          <w:trHeight w:val="23"/>
        </w:trPr>
        <w:tc>
          <w:tcPr>
            <w:tcW w:w="2552" w:type="dxa"/>
            <w:shd w:val="clear" w:color="auto" w:fill="auto"/>
          </w:tcPr>
          <w:p w14:paraId="3C761535" w14:textId="77777777" w:rsidR="00AD337F" w:rsidRPr="00604117" w:rsidRDefault="00AD337F" w:rsidP="00A20B26">
            <w:pPr>
              <w:autoSpaceDE w:val="0"/>
              <w:autoSpaceDN w:val="0"/>
              <w:adjustRightInd w:val="0"/>
              <w:jc w:val="both"/>
              <w:rPr>
                <w:rFonts w:ascii="Times New Roman" w:eastAsia="Times New Roman" w:hAnsi="Times New Roman" w:cs="Times New Roman"/>
                <w:kern w:val="0"/>
                <w:sz w:val="17"/>
                <w:szCs w:val="17"/>
                <w:lang w:val="en-US"/>
                <w14:ligatures w14:val="none"/>
              </w:rPr>
            </w:pPr>
            <w:r w:rsidRPr="00604117">
              <w:rPr>
                <w:rFonts w:ascii="Times New Roman" w:hAnsi="Times New Roman" w:cs="Times New Roman"/>
                <w:sz w:val="17"/>
                <w:szCs w:val="17"/>
                <w:lang w:val="en-US"/>
              </w:rPr>
              <w:t>[</w:t>
            </w:r>
            <w:proofErr w:type="spellStart"/>
            <w:r w:rsidRPr="00604117">
              <w:rPr>
                <w:rFonts w:ascii="Times New Roman" w:hAnsi="Times New Roman" w:cs="Times New Roman"/>
                <w:sz w:val="17"/>
                <w:szCs w:val="17"/>
                <w:lang w:val="en-US"/>
              </w:rPr>
              <w:t>EMPyr</w:t>
            </w:r>
            <w:proofErr w:type="spellEnd"/>
            <w:r w:rsidRPr="00604117">
              <w:rPr>
                <w:rFonts w:ascii="Times New Roman" w:hAnsi="Times New Roman" w:cs="Times New Roman"/>
                <w:sz w:val="17"/>
                <w:szCs w:val="17"/>
                <w:lang w:val="en-US"/>
              </w:rPr>
              <w:t>][</w:t>
            </w:r>
            <w:proofErr w:type="spellStart"/>
            <w:r w:rsidRPr="00604117">
              <w:rPr>
                <w:rFonts w:ascii="Times New Roman" w:hAnsi="Times New Roman" w:cs="Times New Roman"/>
                <w:sz w:val="17"/>
                <w:szCs w:val="17"/>
                <w:lang w:val="en-US"/>
              </w:rPr>
              <w:t>bFAP</w:t>
            </w:r>
            <w:proofErr w:type="spellEnd"/>
            <w:r w:rsidRPr="00604117">
              <w:rPr>
                <w:rFonts w:ascii="Times New Roman" w:hAnsi="Times New Roman" w:cs="Times New Roman"/>
                <w:sz w:val="17"/>
                <w:szCs w:val="17"/>
                <w:lang w:val="en-US"/>
              </w:rPr>
              <w:t>]</w:t>
            </w:r>
          </w:p>
        </w:tc>
        <w:tc>
          <w:tcPr>
            <w:tcW w:w="1271" w:type="dxa"/>
            <w:shd w:val="clear" w:color="auto" w:fill="auto"/>
          </w:tcPr>
          <w:p w14:paraId="19186115" w14:textId="77777777" w:rsidR="00AD337F" w:rsidRPr="00604117" w:rsidRDefault="00AD337F" w:rsidP="00DA7C8C">
            <w:pPr>
              <w:autoSpaceDE w:val="0"/>
              <w:autoSpaceDN w:val="0"/>
              <w:adjustRightInd w:val="0"/>
              <w:jc w:val="center"/>
              <w:rPr>
                <w:rFonts w:ascii="Times New Roman" w:hAnsi="Times New Roman" w:cs="Times New Roman"/>
                <w:sz w:val="17"/>
                <w:szCs w:val="17"/>
                <w:lang w:val="en-US"/>
              </w:rPr>
            </w:pPr>
          </w:p>
        </w:tc>
        <w:tc>
          <w:tcPr>
            <w:tcW w:w="1134" w:type="dxa"/>
            <w:shd w:val="clear" w:color="auto" w:fill="auto"/>
          </w:tcPr>
          <w:p w14:paraId="57511967" w14:textId="77777777" w:rsidR="00AD337F" w:rsidRPr="00604117" w:rsidRDefault="00AD337F" w:rsidP="00DA7C8C">
            <w:pPr>
              <w:autoSpaceDE w:val="0"/>
              <w:autoSpaceDN w:val="0"/>
              <w:adjustRightInd w:val="0"/>
              <w:jc w:val="center"/>
              <w:rPr>
                <w:rFonts w:ascii="Times New Roman" w:eastAsia="Times New Roman" w:hAnsi="Times New Roman" w:cs="Times New Roman"/>
                <w:kern w:val="0"/>
                <w:sz w:val="17"/>
                <w:szCs w:val="17"/>
                <w:lang w:val="en-US"/>
                <w14:ligatures w14:val="none"/>
              </w:rPr>
            </w:pPr>
            <w:r w:rsidRPr="00604117">
              <w:rPr>
                <w:rFonts w:ascii="Times New Roman" w:hAnsi="Times New Roman" w:cs="Times New Roman"/>
                <w:sz w:val="17"/>
                <w:szCs w:val="17"/>
                <w:lang w:val="en-US"/>
              </w:rPr>
              <w:t>1.74</w:t>
            </w:r>
          </w:p>
        </w:tc>
        <w:tc>
          <w:tcPr>
            <w:tcW w:w="2130" w:type="dxa"/>
            <w:shd w:val="clear" w:color="auto" w:fill="auto"/>
          </w:tcPr>
          <w:p w14:paraId="5D4855CA" w14:textId="77777777" w:rsidR="00AD337F" w:rsidRPr="00604117" w:rsidRDefault="00AD337F" w:rsidP="00A20B26">
            <w:pPr>
              <w:autoSpaceDE w:val="0"/>
              <w:autoSpaceDN w:val="0"/>
              <w:adjustRightInd w:val="0"/>
              <w:jc w:val="both"/>
              <w:rPr>
                <w:rFonts w:ascii="Times New Roman" w:eastAsia="Times New Roman" w:hAnsi="Times New Roman" w:cs="Times New Roman"/>
                <w:kern w:val="0"/>
                <w:sz w:val="17"/>
                <w:szCs w:val="17"/>
                <w:lang w:val="en-US"/>
                <w14:ligatures w14:val="none"/>
              </w:rPr>
            </w:pPr>
            <w:r w:rsidRPr="00604117">
              <w:rPr>
                <w:rFonts w:ascii="Times New Roman" w:hAnsi="Times New Roman" w:cs="Times New Roman"/>
                <w:sz w:val="17"/>
                <w:szCs w:val="17"/>
                <w:lang w:val="en-US"/>
              </w:rPr>
              <w:t>(Jia et al., 2022b)</w:t>
            </w:r>
          </w:p>
        </w:tc>
      </w:tr>
      <w:tr w:rsidR="00604117" w:rsidRPr="00D44806" w14:paraId="3EE17521" w14:textId="77777777" w:rsidTr="0056664D">
        <w:trPr>
          <w:trHeight w:val="23"/>
        </w:trPr>
        <w:tc>
          <w:tcPr>
            <w:tcW w:w="2552" w:type="dxa"/>
            <w:tcBorders>
              <w:bottom w:val="single" w:sz="4" w:space="0" w:color="auto"/>
            </w:tcBorders>
            <w:shd w:val="clear" w:color="auto" w:fill="auto"/>
          </w:tcPr>
          <w:p w14:paraId="71668B0C" w14:textId="43E51325" w:rsidR="00AD337F" w:rsidRPr="00604117" w:rsidRDefault="00AD337F" w:rsidP="00A20B26">
            <w:pPr>
              <w:autoSpaceDE w:val="0"/>
              <w:autoSpaceDN w:val="0"/>
              <w:adjustRightInd w:val="0"/>
              <w:jc w:val="both"/>
              <w:rPr>
                <w:rFonts w:ascii="Times New Roman" w:hAnsi="Times New Roman" w:cs="Times New Roman"/>
                <w:sz w:val="17"/>
                <w:szCs w:val="17"/>
                <w:lang w:val="en-US"/>
              </w:rPr>
            </w:pPr>
            <w:r w:rsidRPr="00604117">
              <w:rPr>
                <w:rFonts w:ascii="Times New Roman" w:hAnsi="Times New Roman" w:cs="Times New Roman"/>
                <w:sz w:val="17"/>
                <w:szCs w:val="17"/>
                <w:lang w:val="en-US"/>
              </w:rPr>
              <w:t>[MIM][TF2</w:t>
            </w:r>
            <w:proofErr w:type="gramStart"/>
            <w:r w:rsidRPr="00604117">
              <w:rPr>
                <w:rFonts w:ascii="Times New Roman" w:hAnsi="Times New Roman" w:cs="Times New Roman"/>
                <w:sz w:val="17"/>
                <w:szCs w:val="17"/>
                <w:lang w:val="en-US"/>
              </w:rPr>
              <w:t>N]</w:t>
            </w:r>
            <w:r w:rsidR="00560879" w:rsidRPr="00604117">
              <w:rPr>
                <w:rFonts w:ascii="Times New Roman" w:hAnsi="Times New Roman" w:cs="Times New Roman"/>
                <w:sz w:val="17"/>
                <w:szCs w:val="17"/>
                <w:lang w:val="en-US"/>
              </w:rPr>
              <w:t>*</w:t>
            </w:r>
            <w:proofErr w:type="gramEnd"/>
            <w:r w:rsidRPr="00604117">
              <w:rPr>
                <w:rFonts w:ascii="Times New Roman" w:hAnsi="Times New Roman" w:cs="Times New Roman"/>
                <w:sz w:val="17"/>
                <w:szCs w:val="17"/>
                <w:lang w:val="en-US"/>
              </w:rPr>
              <w:t xml:space="preserve"> / </w:t>
            </w:r>
            <w:r w:rsidRPr="00604117">
              <w:rPr>
                <w:rFonts w:ascii="Times New Roman" w:eastAsia="Times New Roman" w:hAnsi="Times New Roman" w:cs="Times New Roman"/>
                <w:sz w:val="17"/>
                <w:szCs w:val="17"/>
                <w:lang w:val="en-US"/>
                <w14:ligatures w14:val="none"/>
              </w:rPr>
              <w:t>[</w:t>
            </w:r>
            <w:r w:rsidRPr="00604117">
              <w:rPr>
                <w:rFonts w:ascii="Times New Roman" w:hAnsi="Times New Roman" w:cs="Times New Roman"/>
                <w:sz w:val="17"/>
                <w:szCs w:val="17"/>
                <w:lang w:val="en-US"/>
              </w:rPr>
              <w:t>MIM</w:t>
            </w:r>
            <w:r w:rsidRPr="00604117">
              <w:rPr>
                <w:rFonts w:ascii="Times New Roman" w:eastAsia="Times New Roman" w:hAnsi="Times New Roman" w:cs="Times New Roman"/>
                <w:sz w:val="17"/>
                <w:szCs w:val="17"/>
                <w:lang w:val="en-US"/>
                <w14:ligatures w14:val="none"/>
              </w:rPr>
              <w:t>][MeSO4]</w:t>
            </w:r>
          </w:p>
        </w:tc>
        <w:tc>
          <w:tcPr>
            <w:tcW w:w="1271" w:type="dxa"/>
            <w:tcBorders>
              <w:bottom w:val="single" w:sz="4" w:space="0" w:color="auto"/>
            </w:tcBorders>
            <w:shd w:val="clear" w:color="auto" w:fill="auto"/>
          </w:tcPr>
          <w:p w14:paraId="05F13BFB" w14:textId="77777777" w:rsidR="00AD337F" w:rsidRPr="00604117" w:rsidRDefault="00AD337F" w:rsidP="00DA7C8C">
            <w:pPr>
              <w:autoSpaceDE w:val="0"/>
              <w:autoSpaceDN w:val="0"/>
              <w:adjustRightInd w:val="0"/>
              <w:jc w:val="center"/>
              <w:rPr>
                <w:rFonts w:ascii="Times New Roman" w:hAnsi="Times New Roman" w:cs="Times New Roman"/>
                <w:sz w:val="17"/>
                <w:szCs w:val="17"/>
                <w:lang w:val="en-US"/>
              </w:rPr>
            </w:pPr>
            <w:r w:rsidRPr="00604117">
              <w:rPr>
                <w:rFonts w:ascii="Times New Roman" w:hAnsi="Times New Roman" w:cs="Times New Roman"/>
                <w:sz w:val="17"/>
                <w:szCs w:val="17"/>
                <w:lang w:val="en-US"/>
              </w:rPr>
              <w:t>0.3660</w:t>
            </w:r>
          </w:p>
        </w:tc>
        <w:tc>
          <w:tcPr>
            <w:tcW w:w="1134" w:type="dxa"/>
            <w:tcBorders>
              <w:bottom w:val="single" w:sz="4" w:space="0" w:color="auto"/>
            </w:tcBorders>
            <w:shd w:val="clear" w:color="auto" w:fill="auto"/>
          </w:tcPr>
          <w:p w14:paraId="1296BFF6" w14:textId="77777777" w:rsidR="00AD337F" w:rsidRPr="00604117" w:rsidRDefault="00AD337F" w:rsidP="00DA7C8C">
            <w:pPr>
              <w:autoSpaceDE w:val="0"/>
              <w:autoSpaceDN w:val="0"/>
              <w:adjustRightInd w:val="0"/>
              <w:jc w:val="center"/>
              <w:rPr>
                <w:rFonts w:ascii="Times New Roman" w:hAnsi="Times New Roman" w:cs="Times New Roman"/>
                <w:sz w:val="17"/>
                <w:szCs w:val="17"/>
                <w:lang w:val="en-US"/>
              </w:rPr>
            </w:pPr>
          </w:p>
        </w:tc>
        <w:tc>
          <w:tcPr>
            <w:tcW w:w="2130" w:type="dxa"/>
            <w:tcBorders>
              <w:bottom w:val="single" w:sz="4" w:space="0" w:color="auto"/>
            </w:tcBorders>
            <w:shd w:val="clear" w:color="auto" w:fill="auto"/>
          </w:tcPr>
          <w:p w14:paraId="3C4F078D" w14:textId="77777777" w:rsidR="00AD337F" w:rsidRPr="001B289B" w:rsidRDefault="00AD337F" w:rsidP="00A20B26">
            <w:pPr>
              <w:autoSpaceDE w:val="0"/>
              <w:autoSpaceDN w:val="0"/>
              <w:adjustRightInd w:val="0"/>
              <w:jc w:val="both"/>
              <w:rPr>
                <w:rFonts w:ascii="Times New Roman" w:hAnsi="Times New Roman" w:cs="Times New Roman"/>
                <w:sz w:val="17"/>
                <w:szCs w:val="17"/>
                <w:lang w:val="fr-FR"/>
              </w:rPr>
            </w:pPr>
            <w:r w:rsidRPr="001B289B">
              <w:rPr>
                <w:rFonts w:ascii="Times New Roman" w:hAnsi="Times New Roman" w:cs="Times New Roman"/>
                <w:sz w:val="17"/>
                <w:szCs w:val="17"/>
                <w:lang w:val="fr-FR"/>
              </w:rPr>
              <w:t>(Silva-Beard et al., 2022b)</w:t>
            </w:r>
          </w:p>
        </w:tc>
      </w:tr>
    </w:tbl>
    <w:p w14:paraId="0B3460E4" w14:textId="28A9B4F1" w:rsidR="00AD337F" w:rsidRPr="00604117" w:rsidRDefault="00AD337F" w:rsidP="00AD337F">
      <w:pPr>
        <w:jc w:val="both"/>
        <w:rPr>
          <w:lang w:val="en-US"/>
        </w:rPr>
      </w:pPr>
      <w:r w:rsidRPr="00604117">
        <w:rPr>
          <w:lang w:val="en-US"/>
        </w:rPr>
        <w:t>Factors that influence the absorption of CO</w:t>
      </w:r>
      <w:r w:rsidRPr="00604117">
        <w:rPr>
          <w:vertAlign w:val="subscript"/>
          <w:lang w:val="en-US"/>
        </w:rPr>
        <w:t>2</w:t>
      </w:r>
      <w:r w:rsidRPr="00604117">
        <w:rPr>
          <w:lang w:val="en-US"/>
        </w:rPr>
        <w:t xml:space="preserve"> have been found, to mention some such as the presence of Fluorine and nitrile in the anion, the longer chains in the cation have a </w:t>
      </w:r>
      <w:r w:rsidRPr="00604117">
        <w:rPr>
          <w:lang w:val="en-US"/>
        </w:rPr>
        <w:lastRenderedPageBreak/>
        <w:t>greater absorption capacity.</w:t>
      </w:r>
      <w:r w:rsidR="00CE3405" w:rsidRPr="00604117">
        <w:rPr>
          <w:lang w:val="en-US"/>
        </w:rPr>
        <w:t xml:space="preserve"> </w:t>
      </w:r>
      <w:r w:rsidRPr="00604117">
        <w:rPr>
          <w:lang w:val="en-US"/>
        </w:rPr>
        <w:t xml:space="preserve">That said, the ionic liquid from Silva's research work was chosen and the cation was modified with a longer chain </w:t>
      </w:r>
      <w:r w:rsidR="00A02335" w:rsidRPr="00604117">
        <w:rPr>
          <w:lang w:val="en-US"/>
        </w:rPr>
        <w:t>to</w:t>
      </w:r>
      <w:r w:rsidRPr="00604117">
        <w:rPr>
          <w:lang w:val="en-US"/>
        </w:rPr>
        <w:t xml:space="preserve"> have better absorption.</w:t>
      </w:r>
    </w:p>
    <w:p w14:paraId="54B6566B" w14:textId="2B2E13D3" w:rsidR="00C92C15" w:rsidRPr="00604117" w:rsidRDefault="00AD337F" w:rsidP="00B16C43">
      <w:pPr>
        <w:jc w:val="both"/>
        <w:rPr>
          <w:lang w:val="en-US"/>
        </w:rPr>
      </w:pPr>
      <w:r w:rsidRPr="00604117">
        <w:rPr>
          <w:lang w:val="en-US"/>
        </w:rPr>
        <w:t>Ionic liquids that appear to be good candidates for further absorption are [BMIM][TF2N] and [EMIM][SCN].</w:t>
      </w:r>
      <w:r w:rsidR="00CE3405" w:rsidRPr="00604117">
        <w:rPr>
          <w:lang w:val="en-US"/>
        </w:rPr>
        <w:t xml:space="preserve"> </w:t>
      </w:r>
      <w:r w:rsidRPr="00604117">
        <w:rPr>
          <w:lang w:val="en-US"/>
        </w:rPr>
        <w:t>Another ionic liquid mixture tested was [BMIM</w:t>
      </w:r>
      <w:r w:rsidR="00560879" w:rsidRPr="00604117">
        <w:rPr>
          <w:lang w:val="en-US"/>
        </w:rPr>
        <w:t>][</w:t>
      </w:r>
      <w:r w:rsidRPr="00604117">
        <w:rPr>
          <w:lang w:val="en-US"/>
        </w:rPr>
        <w:t>TF2N] and [BMIM][PF6].</w:t>
      </w:r>
      <w:r w:rsidR="00CE3405" w:rsidRPr="00604117">
        <w:rPr>
          <w:lang w:val="en-US"/>
        </w:rPr>
        <w:t xml:space="preserve"> </w:t>
      </w:r>
      <w:r w:rsidR="00447C1C" w:rsidRPr="00604117">
        <w:rPr>
          <w:lang w:val="en-US"/>
        </w:rPr>
        <w:t>The MDS solves Newton's equation, in this way we can obtain speed, position and different properties, we only need the force field.</w:t>
      </w:r>
      <w:r w:rsidR="00CE3405" w:rsidRPr="00604117">
        <w:rPr>
          <w:lang w:val="en-US"/>
        </w:rPr>
        <w:t xml:space="preserve"> </w:t>
      </w:r>
      <w:r w:rsidR="00C92C15" w:rsidRPr="00604117">
        <w:rPr>
          <w:lang w:val="en-US"/>
        </w:rPr>
        <w:t>The methodology consists of obtaining the Henry constant with MDS and using Bayesian Optimization as a tool to guide us to find a concentration of ionic liquids that achieves the highest CO</w:t>
      </w:r>
      <w:r w:rsidR="00C92C15" w:rsidRPr="00604117">
        <w:rPr>
          <w:vertAlign w:val="subscript"/>
          <w:lang w:val="en-US"/>
        </w:rPr>
        <w:t>2</w:t>
      </w:r>
      <w:r w:rsidR="00C92C15" w:rsidRPr="00604117">
        <w:rPr>
          <w:lang w:val="en-US"/>
        </w:rPr>
        <w:t xml:space="preserve"> absorption. The procedure will stop until a maximum of the function is found.</w:t>
      </w:r>
      <w:r w:rsidR="00DA7C8C" w:rsidRPr="00604117">
        <w:rPr>
          <w:lang w:val="en-US"/>
        </w:rPr>
        <w:t xml:space="preserve"> </w:t>
      </w:r>
      <w:r w:rsidR="00C92C15" w:rsidRPr="00604117">
        <w:rPr>
          <w:lang w:val="en-US"/>
        </w:rPr>
        <w:t>See Figure 1.</w:t>
      </w:r>
    </w:p>
    <w:p w14:paraId="14E0B2CB" w14:textId="77777777" w:rsidR="00C92C15" w:rsidRPr="00604117" w:rsidRDefault="00C92C15" w:rsidP="00C92C15">
      <w:pPr>
        <w:keepNext/>
        <w:jc w:val="center"/>
      </w:pPr>
      <w:r w:rsidRPr="00604117">
        <w:rPr>
          <w:noProof/>
          <w:lang w:val="en-US"/>
        </w:rPr>
        <w:drawing>
          <wp:inline distT="0" distB="0" distL="0" distR="0" wp14:anchorId="0C7469A1" wp14:editId="17930CA3">
            <wp:extent cx="2766647" cy="1010384"/>
            <wp:effectExtent l="0" t="0" r="0" b="0"/>
            <wp:docPr id="819824567"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24567" name="Imagen 1" descr="Diagrama&#10;&#10;Descripción generada automáticamente"/>
                    <pic:cNvPicPr/>
                  </pic:nvPicPr>
                  <pic:blipFill>
                    <a:blip r:embed="rId8"/>
                    <a:stretch>
                      <a:fillRect/>
                    </a:stretch>
                  </pic:blipFill>
                  <pic:spPr>
                    <a:xfrm>
                      <a:off x="0" y="0"/>
                      <a:ext cx="2841869" cy="1037855"/>
                    </a:xfrm>
                    <a:prstGeom prst="rect">
                      <a:avLst/>
                    </a:prstGeom>
                  </pic:spPr>
                </pic:pic>
              </a:graphicData>
            </a:graphic>
          </wp:inline>
        </w:drawing>
      </w:r>
    </w:p>
    <w:p w14:paraId="3BD1211D" w14:textId="287ED2A3" w:rsidR="00C92C15" w:rsidRPr="00604117" w:rsidRDefault="00C92C15" w:rsidP="00C92C15">
      <w:pPr>
        <w:pStyle w:val="Descripcin"/>
        <w:jc w:val="center"/>
      </w:pPr>
      <w:r w:rsidRPr="00604117">
        <w:t xml:space="preserve">Figure </w:t>
      </w:r>
      <w:r w:rsidRPr="00604117">
        <w:fldChar w:fldCharType="begin"/>
      </w:r>
      <w:r w:rsidRPr="00604117">
        <w:instrText xml:space="preserve"> SEQ Figure \* ARABIC </w:instrText>
      </w:r>
      <w:r w:rsidRPr="00604117">
        <w:fldChar w:fldCharType="separate"/>
      </w:r>
      <w:r w:rsidRPr="00604117">
        <w:rPr>
          <w:noProof/>
        </w:rPr>
        <w:t>1</w:t>
      </w:r>
      <w:r w:rsidRPr="00604117">
        <w:fldChar w:fldCharType="end"/>
      </w:r>
      <w:r w:rsidRPr="00604117">
        <w:t xml:space="preserve"> </w:t>
      </w:r>
      <w:proofErr w:type="spellStart"/>
      <w:r w:rsidRPr="00604117">
        <w:t>Metodology</w:t>
      </w:r>
      <w:proofErr w:type="spellEnd"/>
      <w:r w:rsidRPr="00604117">
        <w:t xml:space="preserve"> of this work</w:t>
      </w:r>
    </w:p>
    <w:p w14:paraId="12E15E78" w14:textId="7AB74162" w:rsidR="00B16C43" w:rsidRPr="00604117" w:rsidRDefault="00B16C43" w:rsidP="00B16C43">
      <w:pPr>
        <w:jc w:val="both"/>
        <w:rPr>
          <w:lang w:val="en-US"/>
        </w:rPr>
      </w:pPr>
      <w:r w:rsidRPr="00604117">
        <w:rPr>
          <w:lang w:val="en-US"/>
        </w:rPr>
        <w:t>The CL&amp;P force field (</w:t>
      </w:r>
      <w:proofErr w:type="spellStart"/>
      <w:r w:rsidRPr="00604117">
        <w:rPr>
          <w:lang w:val="en-US"/>
        </w:rPr>
        <w:t>Canongia</w:t>
      </w:r>
      <w:proofErr w:type="spellEnd"/>
      <w:r w:rsidRPr="00604117">
        <w:rPr>
          <w:lang w:val="en-US"/>
        </w:rPr>
        <w:t xml:space="preserve">, Lopes &amp; Pádua, 2012) was selected and constructed based on the OPLSAA model that has been calculated especially for ionic liquids. The initial configurations for the molecular </w:t>
      </w:r>
      <w:proofErr w:type="gramStart"/>
      <w:r w:rsidRPr="00604117">
        <w:rPr>
          <w:lang w:val="en-US"/>
        </w:rPr>
        <w:t>dynamics</w:t>
      </w:r>
      <w:proofErr w:type="gramEnd"/>
      <w:r w:rsidRPr="00604117">
        <w:rPr>
          <w:lang w:val="en-US"/>
        </w:rPr>
        <w:t xml:space="preserve"> simulation were obtained with </w:t>
      </w:r>
      <w:proofErr w:type="spellStart"/>
      <w:r w:rsidRPr="00604117">
        <w:rPr>
          <w:lang w:val="en-US"/>
        </w:rPr>
        <w:t>fftool</w:t>
      </w:r>
      <w:proofErr w:type="spellEnd"/>
      <w:r w:rsidRPr="00604117">
        <w:rPr>
          <w:lang w:val="en-US"/>
        </w:rPr>
        <w:t xml:space="preserve"> and PACKMOL software.</w:t>
      </w:r>
    </w:p>
    <w:p w14:paraId="03DFF70D" w14:textId="77777777" w:rsidR="006275BC" w:rsidRPr="00604117" w:rsidRDefault="006275BC" w:rsidP="00BE60B1">
      <w:pPr>
        <w:jc w:val="both"/>
        <w:rPr>
          <w:i/>
          <w:iCs/>
          <w:lang w:val="en-US"/>
        </w:rPr>
      </w:pPr>
    </w:p>
    <w:p w14:paraId="55EE5BA1" w14:textId="415C1009" w:rsidR="00BE60B1" w:rsidRPr="00604117" w:rsidRDefault="001359C1" w:rsidP="00BE60B1">
      <w:pPr>
        <w:jc w:val="both"/>
        <w:rPr>
          <w:i/>
          <w:iCs/>
          <w:lang w:val="en-US"/>
        </w:rPr>
      </w:pPr>
      <w:r w:rsidRPr="00604117">
        <w:rPr>
          <w:i/>
          <w:iCs/>
          <w:lang w:val="en-US"/>
        </w:rPr>
        <w:t>3.2 Solubility and Henry´s constant</w:t>
      </w:r>
    </w:p>
    <w:p w14:paraId="31382F03" w14:textId="74D02061" w:rsidR="00C8627D" w:rsidRPr="00604117" w:rsidRDefault="00447C1C" w:rsidP="00C8627D">
      <w:pPr>
        <w:jc w:val="both"/>
        <w:rPr>
          <w:lang w:val="en-US"/>
        </w:rPr>
      </w:pPr>
      <w:r w:rsidRPr="00604117">
        <w:rPr>
          <w:lang w:val="en-US"/>
        </w:rPr>
        <w:t>MDS</w:t>
      </w:r>
      <w:r w:rsidR="003014C8" w:rsidRPr="00604117">
        <w:rPr>
          <w:lang w:val="en-US"/>
        </w:rPr>
        <w:t xml:space="preserve"> can further help to understand the interactions between CO</w:t>
      </w:r>
      <w:r w:rsidR="003014C8" w:rsidRPr="00604117">
        <w:rPr>
          <w:vertAlign w:val="subscript"/>
          <w:lang w:val="en-US"/>
        </w:rPr>
        <w:t>2</w:t>
      </w:r>
      <w:r w:rsidR="003014C8" w:rsidRPr="00604117">
        <w:rPr>
          <w:lang w:val="en-US"/>
        </w:rPr>
        <w:t xml:space="preserve"> and ILs at the atomic and molecular level, providing insight into the mechanism of CO</w:t>
      </w:r>
      <w:r w:rsidR="003014C8" w:rsidRPr="00604117">
        <w:rPr>
          <w:vertAlign w:val="subscript"/>
          <w:lang w:val="en-US"/>
        </w:rPr>
        <w:t>2</w:t>
      </w:r>
      <w:r w:rsidR="003014C8" w:rsidRPr="00604117">
        <w:rPr>
          <w:lang w:val="en-US"/>
        </w:rPr>
        <w:t xml:space="preserve"> uptake in ILs. The solubility of CO</w:t>
      </w:r>
      <w:r w:rsidR="003014C8" w:rsidRPr="00604117">
        <w:rPr>
          <w:vertAlign w:val="subscript"/>
          <w:lang w:val="en-US"/>
        </w:rPr>
        <w:t>2</w:t>
      </w:r>
      <w:r w:rsidR="003014C8" w:rsidRPr="00604117">
        <w:rPr>
          <w:lang w:val="en-US"/>
        </w:rPr>
        <w:t xml:space="preserve"> in ILs is an important factor in determining the CO</w:t>
      </w:r>
      <w:r w:rsidR="003014C8" w:rsidRPr="00604117">
        <w:rPr>
          <w:vertAlign w:val="subscript"/>
          <w:lang w:val="en-US"/>
        </w:rPr>
        <w:t>2</w:t>
      </w:r>
      <w:r w:rsidR="003014C8" w:rsidRPr="00604117">
        <w:rPr>
          <w:lang w:val="en-US"/>
        </w:rPr>
        <w:t xml:space="preserve"> uptake capacity of ILs. ILs with higher CO</w:t>
      </w:r>
      <w:r w:rsidR="003014C8" w:rsidRPr="00604117">
        <w:rPr>
          <w:vertAlign w:val="subscript"/>
          <w:lang w:val="en-US"/>
        </w:rPr>
        <w:t>2</w:t>
      </w:r>
      <w:r w:rsidR="003014C8" w:rsidRPr="00604117">
        <w:rPr>
          <w:lang w:val="en-US"/>
        </w:rPr>
        <w:t xml:space="preserve"> solubility can absorb more CO</w:t>
      </w:r>
      <w:r w:rsidR="003014C8" w:rsidRPr="00604117">
        <w:rPr>
          <w:vertAlign w:val="subscript"/>
          <w:lang w:val="en-US"/>
        </w:rPr>
        <w:t>2</w:t>
      </w:r>
      <w:r w:rsidR="003014C8" w:rsidRPr="00604117">
        <w:rPr>
          <w:lang w:val="en-US"/>
        </w:rPr>
        <w:t xml:space="preserve"> molecules, making them more effective for CO</w:t>
      </w:r>
      <w:r w:rsidR="003014C8" w:rsidRPr="00604117">
        <w:rPr>
          <w:vertAlign w:val="subscript"/>
          <w:lang w:val="en-US"/>
        </w:rPr>
        <w:t>2</w:t>
      </w:r>
      <w:r w:rsidR="003014C8" w:rsidRPr="00604117">
        <w:rPr>
          <w:lang w:val="en-US"/>
        </w:rPr>
        <w:t xml:space="preserve"> capture. (Jia et al., 2022).</w:t>
      </w:r>
      <w:r w:rsidR="00CE3405" w:rsidRPr="00604117">
        <w:rPr>
          <w:lang w:val="en-US"/>
        </w:rPr>
        <w:t xml:space="preserve"> </w:t>
      </w:r>
      <w:r w:rsidR="00C8627D" w:rsidRPr="00604117">
        <w:rPr>
          <w:lang w:val="en-US"/>
        </w:rPr>
        <w:t>The Widom test particle insertion scheme has been used to determine the solubility of small molecules in different systems with good agreement with experimental results in both cases (Hossain et al., 2019</w:t>
      </w:r>
      <w:r w:rsidR="00507ED7" w:rsidRPr="00604117">
        <w:rPr>
          <w:lang w:val="en-US"/>
        </w:rPr>
        <w:t xml:space="preserve">). </w:t>
      </w:r>
      <w:r w:rsidR="00C8627D" w:rsidRPr="00604117">
        <w:rPr>
          <w:lang w:val="en-US"/>
        </w:rPr>
        <w:t>Henry's constant can be calculated by Widom insertion, where the excess chemical potential is calculated by the following equation:</w:t>
      </w:r>
    </w:p>
    <w:tbl>
      <w:tblPr>
        <w:tblStyle w:val="Tablaconcuadrcula"/>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3086"/>
      </w:tblGrid>
      <w:tr w:rsidR="00604117" w:rsidRPr="00604117" w14:paraId="2B595531" w14:textId="77777777" w:rsidTr="00C8627D">
        <w:tc>
          <w:tcPr>
            <w:tcW w:w="4001" w:type="dxa"/>
          </w:tcPr>
          <w:p w14:paraId="09E63851" w14:textId="1C7D42DB" w:rsidR="003014C8" w:rsidRPr="00604117" w:rsidRDefault="00000000" w:rsidP="00DA7F02">
            <w:pPr>
              <w:jc w:val="both"/>
              <w:rPr>
                <w:lang w:val="en-US"/>
              </w:rPr>
            </w:pPr>
            <w:bookmarkStart w:id="3" w:name="_Hlk150896838"/>
            <w:r>
              <w:rPr>
                <w:noProof/>
                <w:position w:val="-32"/>
              </w:rPr>
              <w:pict w14:anchorId="63E95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9.15pt;height:30.65pt;mso-width-percent:0;mso-height-percent:0;mso-width-percent:0;mso-height-percent:0">
                  <v:imagedata r:id="rId9" o:title=""/>
                </v:shape>
              </w:pict>
            </w:r>
          </w:p>
        </w:tc>
        <w:tc>
          <w:tcPr>
            <w:tcW w:w="3086" w:type="dxa"/>
          </w:tcPr>
          <w:p w14:paraId="600B1E7E" w14:textId="77777777" w:rsidR="003014C8" w:rsidRPr="00604117" w:rsidRDefault="003014C8" w:rsidP="00DA7F02">
            <w:pPr>
              <w:jc w:val="right"/>
              <w:rPr>
                <w:lang w:val="en-US"/>
              </w:rPr>
            </w:pPr>
          </w:p>
          <w:p w14:paraId="259DA1EA" w14:textId="469E1176" w:rsidR="003014C8" w:rsidRPr="00604117" w:rsidRDefault="003014C8" w:rsidP="00DA7F02">
            <w:pPr>
              <w:jc w:val="right"/>
              <w:rPr>
                <w:lang w:val="en-US"/>
              </w:rPr>
            </w:pPr>
            <w:r w:rsidRPr="00604117">
              <w:rPr>
                <w:lang w:val="en-US"/>
              </w:rPr>
              <w:t>(</w:t>
            </w:r>
            <w:r w:rsidR="006275BC" w:rsidRPr="00604117">
              <w:rPr>
                <w:lang w:val="en-US"/>
              </w:rPr>
              <w:t>1</w:t>
            </w:r>
            <w:r w:rsidRPr="00604117">
              <w:rPr>
                <w:lang w:val="en-US"/>
              </w:rPr>
              <w:t>)</w:t>
            </w:r>
          </w:p>
        </w:tc>
      </w:tr>
    </w:tbl>
    <w:bookmarkEnd w:id="3"/>
    <w:p w14:paraId="1ED21B6F" w14:textId="63CD2B37" w:rsidR="00C8627D" w:rsidRPr="00604117" w:rsidRDefault="00C8627D" w:rsidP="00DD3E51">
      <w:pPr>
        <w:spacing w:after="120"/>
        <w:jc w:val="both"/>
      </w:pPr>
      <w:r w:rsidRPr="00604117">
        <w:rPr>
          <w:lang w:val="en-US"/>
        </w:rPr>
        <w:t>where µ</w:t>
      </w:r>
      <w:r w:rsidRPr="00604117">
        <w:rPr>
          <w:vertAlign w:val="superscript"/>
          <w:lang w:val="en-US"/>
        </w:rPr>
        <w:t>ex</w:t>
      </w:r>
      <w:r w:rsidRPr="00604117">
        <w:rPr>
          <w:lang w:val="en-US"/>
        </w:rPr>
        <w:t xml:space="preserve"> is excess chemical potential and V</w:t>
      </w:r>
      <w:r w:rsidRPr="00604117">
        <w:rPr>
          <w:vertAlign w:val="subscript"/>
          <w:lang w:val="en-US"/>
        </w:rPr>
        <w:t>g</w:t>
      </w:r>
      <w:r w:rsidRPr="00604117">
        <w:rPr>
          <w:lang w:val="en-US"/>
        </w:rPr>
        <w:t xml:space="preserve"> is the energy experienced by a “ghost” particle that interacts with the rest of the molecules in the system. V represents the volume of the</w:t>
      </w:r>
      <w:r w:rsidRPr="00604117">
        <w:t xml:space="preserve"> system, while k and T denote the Boltzmann constant and the temperature, respectively</w:t>
      </w:r>
      <w:r w:rsidR="009C6171" w:rsidRPr="00604117">
        <w:t>.</w:t>
      </w:r>
      <w:r w:rsidRPr="00604117">
        <w:t xml:space="preserve"> The Henry</w:t>
      </w:r>
      <w:r w:rsidR="00DD3E51" w:rsidRPr="00604117">
        <w:t>´s</w:t>
      </w:r>
      <w:r w:rsidRPr="00604117">
        <w:t xml:space="preserve"> constant of a solute in a solvent, H, is obtained by the following equation: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DD3E51" w:rsidRPr="00604117" w14:paraId="5B6BDEDA" w14:textId="77777777" w:rsidTr="00DA7F02">
        <w:tc>
          <w:tcPr>
            <w:tcW w:w="3538" w:type="dxa"/>
          </w:tcPr>
          <w:p w14:paraId="6B345B4F" w14:textId="77777777" w:rsidR="00DD3E51" w:rsidRPr="00604117" w:rsidRDefault="00000000" w:rsidP="00DA7F02">
            <w:pPr>
              <w:jc w:val="both"/>
              <w:rPr>
                <w:lang w:val="en-US"/>
              </w:rPr>
            </w:pPr>
            <w:bookmarkStart w:id="4" w:name="_Hlk150896862"/>
            <w:r>
              <w:rPr>
                <w:noProof/>
                <w:position w:val="-10"/>
              </w:rPr>
              <w:pict w14:anchorId="3C1420A0">
                <v:shape id="_x0000_i1026" type="#_x0000_t75" alt="" style="width:82.2pt;height:15.6pt;mso-width-percent:0;mso-height-percent:0;mso-width-percent:0;mso-height-percent:0">
                  <v:imagedata r:id="rId10" o:title=""/>
                </v:shape>
              </w:pict>
            </w:r>
          </w:p>
        </w:tc>
        <w:tc>
          <w:tcPr>
            <w:tcW w:w="3538" w:type="dxa"/>
          </w:tcPr>
          <w:p w14:paraId="529FE6F3" w14:textId="51CFAA26" w:rsidR="00DD3E51" w:rsidRPr="00604117" w:rsidRDefault="00DD3E51" w:rsidP="00DA7F02">
            <w:pPr>
              <w:jc w:val="right"/>
              <w:rPr>
                <w:lang w:val="en-US"/>
              </w:rPr>
            </w:pPr>
            <w:r w:rsidRPr="00604117">
              <w:rPr>
                <w:lang w:val="en-US"/>
              </w:rPr>
              <w:t>(</w:t>
            </w:r>
            <w:r w:rsidR="006275BC" w:rsidRPr="00604117">
              <w:rPr>
                <w:lang w:val="en-US"/>
              </w:rPr>
              <w:t>2</w:t>
            </w:r>
            <w:r w:rsidRPr="00604117">
              <w:rPr>
                <w:lang w:val="en-US"/>
              </w:rPr>
              <w:t>)</w:t>
            </w:r>
          </w:p>
        </w:tc>
      </w:tr>
      <w:bookmarkEnd w:id="4"/>
    </w:tbl>
    <w:p w14:paraId="38FC448D" w14:textId="77777777" w:rsidR="009C6171" w:rsidRPr="00604117" w:rsidRDefault="009C6171" w:rsidP="00E34DAC">
      <w:pPr>
        <w:jc w:val="both"/>
        <w:rPr>
          <w:i/>
          <w:iCs/>
        </w:rPr>
      </w:pPr>
    </w:p>
    <w:p w14:paraId="741A96D7" w14:textId="72BF891E" w:rsidR="00DD3E51" w:rsidRPr="00604117" w:rsidRDefault="00E34DAC" w:rsidP="00E34DAC">
      <w:pPr>
        <w:jc w:val="both"/>
        <w:rPr>
          <w:i/>
          <w:iCs/>
        </w:rPr>
      </w:pPr>
      <w:r w:rsidRPr="00604117">
        <w:rPr>
          <w:i/>
          <w:iCs/>
        </w:rPr>
        <w:t>3.3 Bayesian Optimization</w:t>
      </w:r>
    </w:p>
    <w:p w14:paraId="7541C6EC" w14:textId="6BDF2A54" w:rsidR="003014C8" w:rsidRPr="00604117" w:rsidRDefault="0072027D" w:rsidP="0072027D">
      <w:pPr>
        <w:jc w:val="both"/>
      </w:pPr>
      <w:r w:rsidRPr="00604117">
        <w:t xml:space="preserve">Bayesian optimization (BO) is a technique used to find the best hyperparameter configuration in ML models. It relies on probabilistic methods and Bayes' theorem to guide the search efficiently. BO provides a principled method for making decisions under uncertainty. The objective of BO is to find the global minimum </w:t>
      </w:r>
      <w:r w:rsidR="00172936">
        <w:t xml:space="preserve">or maximum </w:t>
      </w:r>
      <w:r w:rsidRPr="00604117">
        <w:t>of a black-box objective function, min X</w:t>
      </w:r>
      <w:r w:rsidRPr="00604117">
        <w:rPr>
          <w:rFonts w:ascii="Cambria Math" w:hAnsi="Cambria Math" w:cs="Cambria Math"/>
        </w:rPr>
        <w:t>∈</w:t>
      </w:r>
      <w:r w:rsidRPr="00604117">
        <w:t xml:space="preserve">F(X). The function F is said to be a black-box function </w:t>
      </w:r>
      <w:r w:rsidRPr="00604117">
        <w:lastRenderedPageBreak/>
        <w:t>because its explicit functional form is unknown. However, it is assumed that information about the function can be obtained by evaluating it at points in its domain X. However, such evaluations are assumed to be expensive. Therefore, the goal of BO is to minimize F with as few evaluations of the black box function as possible (</w:t>
      </w:r>
      <w:proofErr w:type="spellStart"/>
      <w:r w:rsidRPr="00604117">
        <w:t>Močkus</w:t>
      </w:r>
      <w:proofErr w:type="spellEnd"/>
      <w:r w:rsidRPr="00604117">
        <w:t>, 1975).</w:t>
      </w:r>
      <w:r w:rsidR="00CE3405" w:rsidRPr="00604117">
        <w:t xml:space="preserve"> </w:t>
      </w:r>
      <w:r w:rsidRPr="00604117">
        <w:t>BO constructs a surrogate (i.e.</w:t>
      </w:r>
      <w:r w:rsidR="009C6171" w:rsidRPr="00604117">
        <w:t>,</w:t>
      </w:r>
      <w:r w:rsidRPr="00604117">
        <w:t xml:space="preserve"> approximate) function for the objective function and quantify the uncertainty in that surrogate function using a Bayesian machine learning technique, Gaussian process regression, and then use an acquisition function defined from this surrogate function to decide where to sample (Frazier, 2018).</w:t>
      </w:r>
    </w:p>
    <w:p w14:paraId="144DE6A5" w14:textId="4543A105" w:rsidR="008D2649" w:rsidRPr="00604117" w:rsidRDefault="0072027D" w:rsidP="008D2649">
      <w:pPr>
        <w:pStyle w:val="Els-1storder-head"/>
        <w:spacing w:after="120"/>
        <w:rPr>
          <w:lang w:val="en-GB"/>
        </w:rPr>
      </w:pPr>
      <w:r w:rsidRPr="00604117">
        <w:rPr>
          <w:lang w:val="en-GB"/>
        </w:rPr>
        <w:t>Results and Discussion</w:t>
      </w:r>
    </w:p>
    <w:p w14:paraId="461C7A06" w14:textId="04DAF26D" w:rsidR="0072027D" w:rsidRPr="00604117" w:rsidRDefault="003F6556" w:rsidP="008D2649">
      <w:pPr>
        <w:pStyle w:val="Els-body-text"/>
        <w:spacing w:after="120"/>
        <w:rPr>
          <w:lang w:val="en-GB"/>
        </w:rPr>
      </w:pPr>
      <w:r w:rsidRPr="00604117">
        <w:rPr>
          <w:lang w:val="en-GB"/>
        </w:rPr>
        <w:t xml:space="preserve">For the MDS, each atom within the molecule was first identified with an ID, as shown in Figures </w:t>
      </w:r>
      <w:r w:rsidR="00B46BAC" w:rsidRPr="00604117">
        <w:rPr>
          <w:lang w:val="en-GB"/>
        </w:rPr>
        <w:t>2</w:t>
      </w:r>
      <w:r w:rsidRPr="00604117">
        <w:rPr>
          <w:lang w:val="en-GB"/>
        </w:rPr>
        <w:t xml:space="preserve"> and </w:t>
      </w:r>
      <w:r w:rsidR="00B46BAC" w:rsidRPr="00604117">
        <w:rPr>
          <w:lang w:val="en-GB"/>
        </w:rPr>
        <w:t>3</w:t>
      </w:r>
      <w:r w:rsidRPr="00604117">
        <w:rPr>
          <w:lang w:val="en-GB"/>
        </w:rPr>
        <w:t xml:space="preserve">. In </w:t>
      </w:r>
      <w:r w:rsidR="00507ED7" w:rsidRPr="00604117">
        <w:rPr>
          <w:lang w:val="en-GB"/>
        </w:rPr>
        <w:t>MDS</w:t>
      </w:r>
      <w:r w:rsidRPr="00604117">
        <w:rPr>
          <w:lang w:val="en-GB"/>
        </w:rPr>
        <w:t xml:space="preserve">, one normally works with </w:t>
      </w:r>
      <w:proofErr w:type="spellStart"/>
      <w:r w:rsidRPr="00604117">
        <w:rPr>
          <w:lang w:val="en-GB"/>
        </w:rPr>
        <w:t>zmat</w:t>
      </w:r>
      <w:proofErr w:type="spellEnd"/>
      <w:r w:rsidRPr="00604117">
        <w:rPr>
          <w:lang w:val="en-GB"/>
        </w:rPr>
        <w:t xml:space="preserve"> coordinates where the bond length, bond angle and dihedral angle of each atom were generated with its ID, the </w:t>
      </w:r>
      <w:proofErr w:type="spellStart"/>
      <w:r w:rsidRPr="00604117">
        <w:rPr>
          <w:lang w:val="en-GB"/>
        </w:rPr>
        <w:t>zmat</w:t>
      </w:r>
      <w:proofErr w:type="spellEnd"/>
      <w:r w:rsidRPr="00604117">
        <w:rPr>
          <w:lang w:val="en-GB"/>
        </w:rPr>
        <w:t xml:space="preserve"> for each anion and cation of the IL mixture. Subsequently, the force field was obtained with </w:t>
      </w:r>
      <w:proofErr w:type="spellStart"/>
      <w:r w:rsidRPr="00604117">
        <w:rPr>
          <w:lang w:val="en-GB"/>
        </w:rPr>
        <w:t>zmat</w:t>
      </w:r>
      <w:proofErr w:type="spellEnd"/>
      <w:r w:rsidRPr="00604117">
        <w:rPr>
          <w:lang w:val="en-GB"/>
        </w:rPr>
        <w:t xml:space="preserve"> and </w:t>
      </w:r>
      <w:proofErr w:type="spellStart"/>
      <w:r w:rsidRPr="00604117">
        <w:rPr>
          <w:lang w:val="en-GB"/>
        </w:rPr>
        <w:t>fftool</w:t>
      </w:r>
      <w:proofErr w:type="spellEnd"/>
      <w:r w:rsidRPr="00604117">
        <w:rPr>
          <w:lang w:val="en-GB"/>
        </w:rPr>
        <w:t xml:space="preserve"> and </w:t>
      </w:r>
      <w:proofErr w:type="spellStart"/>
      <w:r w:rsidRPr="00604117">
        <w:rPr>
          <w:lang w:val="en-GB"/>
        </w:rPr>
        <w:t>Packmol</w:t>
      </w:r>
      <w:proofErr w:type="spellEnd"/>
      <w:r w:rsidRPr="00604117">
        <w:rPr>
          <w:lang w:val="en-GB"/>
        </w:rPr>
        <w:t xml:space="preserve">. Finally, the script for the </w:t>
      </w:r>
      <w:proofErr w:type="spellStart"/>
      <w:r w:rsidRPr="00604117">
        <w:rPr>
          <w:lang w:val="en-GB"/>
        </w:rPr>
        <w:t>Lammps</w:t>
      </w:r>
      <w:proofErr w:type="spellEnd"/>
      <w:r w:rsidRPr="00604117">
        <w:rPr>
          <w:lang w:val="en-GB"/>
        </w:rPr>
        <w:t xml:space="preserve"> simulation was configured. The L</w:t>
      </w:r>
      <w:r w:rsidR="00172936">
        <w:rPr>
          <w:lang w:val="en-GB"/>
        </w:rPr>
        <w:t xml:space="preserve">ennard </w:t>
      </w:r>
      <w:r w:rsidRPr="00604117">
        <w:rPr>
          <w:lang w:val="en-GB"/>
        </w:rPr>
        <w:t>J</w:t>
      </w:r>
      <w:r w:rsidR="00172936">
        <w:rPr>
          <w:lang w:val="en-GB"/>
        </w:rPr>
        <w:t>ones</w:t>
      </w:r>
      <w:r w:rsidRPr="00604117">
        <w:rPr>
          <w:lang w:val="en-GB"/>
        </w:rPr>
        <w:t xml:space="preserve"> parameters for the interactions between atoms of different molecules are calculated using the Lorentz-Berthelot combination rules given by </w:t>
      </w:r>
      <w:proofErr w:type="spellStart"/>
      <w:r w:rsidRPr="00604117">
        <w:rPr>
          <w:lang w:val="en-GB"/>
        </w:rPr>
        <w:t>Eqs</w:t>
      </w:r>
      <w:proofErr w:type="spellEnd"/>
      <w:r w:rsidRPr="00604117">
        <w:rPr>
          <w:lang w:val="en-GB"/>
        </w:rPr>
        <w:t xml:space="preserve">. </w:t>
      </w:r>
      <w:r w:rsidR="006275BC" w:rsidRPr="00604117">
        <w:rPr>
          <w:lang w:val="en-GB"/>
        </w:rPr>
        <w:t>3</w:t>
      </w:r>
      <w:r w:rsidRPr="00604117">
        <w:rPr>
          <w:lang w:val="en-GB"/>
        </w:rPr>
        <w:t xml:space="preserve"> </w:t>
      </w:r>
      <w:r w:rsidR="00172936">
        <w:rPr>
          <w:lang w:val="en-GB"/>
        </w:rPr>
        <w:t>and</w:t>
      </w:r>
      <w:r w:rsidRPr="00604117">
        <w:rPr>
          <w:lang w:val="en-GB"/>
        </w:rPr>
        <w:t xml:space="preserve"> </w:t>
      </w:r>
      <w:r w:rsidR="006275BC" w:rsidRPr="00604117">
        <w:rPr>
          <w:lang w:val="en-GB"/>
        </w:rPr>
        <w:t>4</w:t>
      </w:r>
      <w:r w:rsidRPr="00604117">
        <w:rPr>
          <w:lang w:val="en-GB"/>
        </w:rPr>
        <w:t>.</w:t>
      </w:r>
    </w:p>
    <w:tbl>
      <w:tblPr>
        <w:tblStyle w:val="Tablaconcuadrcula"/>
        <w:tblW w:w="67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1733"/>
        <w:gridCol w:w="1667"/>
        <w:gridCol w:w="1667"/>
      </w:tblGrid>
      <w:tr w:rsidR="00604117" w:rsidRPr="00604117" w14:paraId="3C5BB377" w14:textId="77777777" w:rsidTr="00DA7C8C">
        <w:trPr>
          <w:jc w:val="center"/>
        </w:trPr>
        <w:tc>
          <w:tcPr>
            <w:tcW w:w="3465" w:type="dxa"/>
            <w:gridSpan w:val="2"/>
          </w:tcPr>
          <w:p w14:paraId="039EE9BC" w14:textId="77777777" w:rsidR="003F6556" w:rsidRPr="00604117" w:rsidRDefault="003F6556" w:rsidP="00DA7F02">
            <w:pPr>
              <w:keepNext/>
              <w:autoSpaceDE w:val="0"/>
              <w:autoSpaceDN w:val="0"/>
              <w:adjustRightInd w:val="0"/>
              <w:spacing w:line="276" w:lineRule="auto"/>
              <w:jc w:val="center"/>
            </w:pPr>
            <w:r w:rsidRPr="00604117">
              <w:rPr>
                <w:rFonts w:ascii="Arial" w:hAnsi="Arial" w:cs="Arial"/>
                <w:noProof/>
                <w:sz w:val="24"/>
                <w:szCs w:val="24"/>
              </w:rPr>
              <w:drawing>
                <wp:inline distT="0" distB="0" distL="0" distR="0" wp14:anchorId="4A19E5F6" wp14:editId="5913EB66">
                  <wp:extent cx="1320800" cy="618353"/>
                  <wp:effectExtent l="0" t="0" r="0" b="0"/>
                  <wp:docPr id="405241806"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41806" name="Imagen 1" descr="Diagrama, Esquemático&#10;&#10;Descripción generada automáticamente"/>
                          <pic:cNvPicPr/>
                        </pic:nvPicPr>
                        <pic:blipFill>
                          <a:blip r:embed="rId11"/>
                          <a:stretch>
                            <a:fillRect/>
                          </a:stretch>
                        </pic:blipFill>
                        <pic:spPr>
                          <a:xfrm>
                            <a:off x="0" y="0"/>
                            <a:ext cx="1370600" cy="641668"/>
                          </a:xfrm>
                          <a:prstGeom prst="rect">
                            <a:avLst/>
                          </a:prstGeom>
                        </pic:spPr>
                      </pic:pic>
                    </a:graphicData>
                  </a:graphic>
                </wp:inline>
              </w:drawing>
            </w:r>
          </w:p>
          <w:p w14:paraId="027983BA" w14:textId="09BA6B9E" w:rsidR="003F6556" w:rsidRPr="00604117" w:rsidRDefault="003F6556" w:rsidP="00DA7F02">
            <w:pPr>
              <w:pStyle w:val="Descripcin"/>
              <w:jc w:val="center"/>
            </w:pPr>
            <w:r w:rsidRPr="00604117">
              <w:t xml:space="preserve">Figure </w:t>
            </w:r>
            <w:r w:rsidR="00B46BAC" w:rsidRPr="00604117">
              <w:t>2</w:t>
            </w:r>
            <w:r w:rsidRPr="00604117">
              <w:t xml:space="preserve"> 1-butyl-3-methylimidazolium (C4C1im+)</w:t>
            </w:r>
          </w:p>
        </w:tc>
        <w:tc>
          <w:tcPr>
            <w:tcW w:w="3334" w:type="dxa"/>
            <w:gridSpan w:val="2"/>
          </w:tcPr>
          <w:p w14:paraId="64242FDE" w14:textId="77777777" w:rsidR="003F6556" w:rsidRPr="00604117" w:rsidRDefault="003F6556" w:rsidP="00DA7F02">
            <w:pPr>
              <w:keepNext/>
              <w:autoSpaceDE w:val="0"/>
              <w:autoSpaceDN w:val="0"/>
              <w:adjustRightInd w:val="0"/>
              <w:spacing w:line="276" w:lineRule="auto"/>
              <w:jc w:val="center"/>
            </w:pPr>
            <w:r w:rsidRPr="00604117">
              <w:rPr>
                <w:rFonts w:ascii="Arial" w:hAnsi="Arial" w:cs="Arial"/>
                <w:noProof/>
                <w:sz w:val="24"/>
                <w:szCs w:val="24"/>
              </w:rPr>
              <w:drawing>
                <wp:inline distT="0" distB="0" distL="0" distR="0" wp14:anchorId="04CB09E5" wp14:editId="6393B70A">
                  <wp:extent cx="1207477" cy="534698"/>
                  <wp:effectExtent l="0" t="0" r="0" b="0"/>
                  <wp:docPr id="383046076" name="Imagen 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46076" name="Imagen 1" descr="Imagen de la pantalla de un celular con letras&#10;&#10;Descripción generada automáticamente con confianza baja"/>
                          <pic:cNvPicPr/>
                        </pic:nvPicPr>
                        <pic:blipFill>
                          <a:blip r:embed="rId12"/>
                          <a:stretch>
                            <a:fillRect/>
                          </a:stretch>
                        </pic:blipFill>
                        <pic:spPr>
                          <a:xfrm>
                            <a:off x="0" y="0"/>
                            <a:ext cx="1269597" cy="562206"/>
                          </a:xfrm>
                          <a:prstGeom prst="rect">
                            <a:avLst/>
                          </a:prstGeom>
                        </pic:spPr>
                      </pic:pic>
                    </a:graphicData>
                  </a:graphic>
                </wp:inline>
              </w:drawing>
            </w:r>
          </w:p>
          <w:p w14:paraId="5B4D379F" w14:textId="7849F74D" w:rsidR="003F6556" w:rsidRPr="00604117" w:rsidRDefault="003F6556" w:rsidP="00DA7F02">
            <w:pPr>
              <w:pStyle w:val="Descripcin"/>
              <w:jc w:val="center"/>
            </w:pPr>
            <w:r w:rsidRPr="00604117">
              <w:t xml:space="preserve">Figure </w:t>
            </w:r>
            <w:r w:rsidR="00B46BAC" w:rsidRPr="00604117">
              <w:t>3</w:t>
            </w:r>
            <w:r w:rsidRPr="00604117">
              <w:t xml:space="preserve"> Bis(</w:t>
            </w:r>
            <w:proofErr w:type="spellStart"/>
            <w:r w:rsidRPr="00604117">
              <w:t>trifluoromethane</w:t>
            </w:r>
            <w:proofErr w:type="spellEnd"/>
            <w:r w:rsidRPr="00604117">
              <w:t>)</w:t>
            </w:r>
            <w:proofErr w:type="spellStart"/>
            <w:r w:rsidRPr="00604117">
              <w:t>sulfonimide</w:t>
            </w:r>
            <w:proofErr w:type="spellEnd"/>
            <w:r w:rsidRPr="00604117">
              <w:t xml:space="preserve"> (TFSI- or NTF2-)</w:t>
            </w:r>
          </w:p>
        </w:tc>
      </w:tr>
      <w:tr w:rsidR="00604117" w:rsidRPr="00604117" w14:paraId="5958E6ED" w14:textId="77777777" w:rsidTr="00DA7C8C">
        <w:trPr>
          <w:jc w:val="center"/>
        </w:trPr>
        <w:tc>
          <w:tcPr>
            <w:tcW w:w="1732" w:type="dxa"/>
            <w:vAlign w:val="center"/>
          </w:tcPr>
          <w:p w14:paraId="1E968B91" w14:textId="77777777" w:rsidR="00DA7C8C" w:rsidRPr="00604117" w:rsidRDefault="00000000" w:rsidP="00DA7C8C">
            <w:r>
              <w:rPr>
                <w:noProof/>
                <w:position w:val="-24"/>
              </w:rPr>
              <w:pict w14:anchorId="4C52B1A2">
                <v:shape id="_x0000_i1027" type="#_x0000_t75" alt="" style="width:69.85pt;height:29pt;mso-width-percent:0;mso-height-percent:0;mso-width-percent:0;mso-height-percent:0">
                  <v:imagedata r:id="rId13" o:title=""/>
                </v:shape>
              </w:pict>
            </w:r>
          </w:p>
        </w:tc>
        <w:tc>
          <w:tcPr>
            <w:tcW w:w="1733" w:type="dxa"/>
            <w:vAlign w:val="center"/>
          </w:tcPr>
          <w:p w14:paraId="0B0E75CE" w14:textId="77777777" w:rsidR="00DA7C8C" w:rsidRPr="00604117" w:rsidRDefault="00DA7C8C" w:rsidP="00DA7C8C">
            <w:pPr>
              <w:rPr>
                <w:lang w:val="en-US"/>
              </w:rPr>
            </w:pPr>
            <w:r w:rsidRPr="00604117">
              <w:rPr>
                <w:lang w:val="en-US"/>
              </w:rPr>
              <w:t>(3)</w:t>
            </w:r>
          </w:p>
          <w:p w14:paraId="2500BADE" w14:textId="38909AFC" w:rsidR="00DA7C8C" w:rsidRPr="00604117" w:rsidRDefault="00DA7C8C" w:rsidP="00DA7C8C"/>
        </w:tc>
        <w:tc>
          <w:tcPr>
            <w:tcW w:w="1667" w:type="dxa"/>
            <w:vAlign w:val="center"/>
          </w:tcPr>
          <w:p w14:paraId="3DA753E4" w14:textId="7E7261FF" w:rsidR="00DA7C8C" w:rsidRPr="00604117" w:rsidRDefault="00DA7C8C" w:rsidP="00DA7C8C">
            <w:pPr>
              <w:rPr>
                <w:lang w:val="en-US"/>
              </w:rPr>
            </w:pPr>
            <w:r w:rsidRPr="00604117">
              <w:rPr>
                <w:noProof/>
                <w:position w:val="-14"/>
              </w:rPr>
              <w:drawing>
                <wp:inline distT="0" distB="0" distL="0" distR="0" wp14:anchorId="5C6CB2B4" wp14:editId="2B7D3BF8">
                  <wp:extent cx="796925" cy="240030"/>
                  <wp:effectExtent l="0" t="0" r="3175" b="7620"/>
                  <wp:docPr id="20017186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6925" cy="240030"/>
                          </a:xfrm>
                          <a:prstGeom prst="rect">
                            <a:avLst/>
                          </a:prstGeom>
                          <a:noFill/>
                          <a:ln>
                            <a:noFill/>
                          </a:ln>
                        </pic:spPr>
                      </pic:pic>
                    </a:graphicData>
                  </a:graphic>
                </wp:inline>
              </w:drawing>
            </w:r>
          </w:p>
        </w:tc>
        <w:tc>
          <w:tcPr>
            <w:tcW w:w="1667" w:type="dxa"/>
            <w:vAlign w:val="center"/>
          </w:tcPr>
          <w:p w14:paraId="2CD74403" w14:textId="4C2DDD51" w:rsidR="00DA7C8C" w:rsidRPr="00604117" w:rsidRDefault="00DA7C8C" w:rsidP="00DA7C8C">
            <w:pPr>
              <w:rPr>
                <w:lang w:val="en-US"/>
              </w:rPr>
            </w:pPr>
            <w:r w:rsidRPr="00604117">
              <w:rPr>
                <w:lang w:val="en-US"/>
              </w:rPr>
              <w:t>(4)</w:t>
            </w:r>
          </w:p>
        </w:tc>
      </w:tr>
    </w:tbl>
    <w:p w14:paraId="10594E3E" w14:textId="1BCA2893" w:rsidR="0072027D" w:rsidRPr="00604117" w:rsidRDefault="003F6556" w:rsidP="008D2649">
      <w:pPr>
        <w:pStyle w:val="Els-body-text"/>
        <w:spacing w:after="120"/>
        <w:rPr>
          <w:lang w:val="en-GB"/>
        </w:rPr>
      </w:pPr>
      <w:r w:rsidRPr="00604117">
        <w:rPr>
          <w:lang w:val="en-GB"/>
        </w:rPr>
        <w:t>In this work a force field validation was performed with the selected ionic liquids by calculating the density with the MDS, this was done with the NPT</w:t>
      </w:r>
      <w:r w:rsidR="00B46BAC" w:rsidRPr="00604117">
        <w:rPr>
          <w:lang w:val="en-GB"/>
        </w:rPr>
        <w:t xml:space="preserve"> and NVT</w:t>
      </w:r>
      <w:r w:rsidRPr="00604117">
        <w:rPr>
          <w:lang w:val="en-GB"/>
        </w:rPr>
        <w:t xml:space="preserve"> assembl</w:t>
      </w:r>
      <w:r w:rsidR="00B46BAC" w:rsidRPr="00604117">
        <w:rPr>
          <w:lang w:val="en-GB"/>
        </w:rPr>
        <w:t>ies</w:t>
      </w:r>
      <w:r w:rsidRPr="00604117">
        <w:rPr>
          <w:lang w:val="en-GB"/>
        </w:rPr>
        <w:t xml:space="preserve">. The results are shown in Table </w:t>
      </w:r>
      <w:r w:rsidR="006275BC" w:rsidRPr="00604117">
        <w:rPr>
          <w:lang w:val="en-GB"/>
        </w:rPr>
        <w:t>2</w:t>
      </w:r>
      <w:r w:rsidRPr="00604117">
        <w:rPr>
          <w:lang w:val="en-GB"/>
        </w:rPr>
        <w:t>.</w:t>
      </w:r>
    </w:p>
    <w:p w14:paraId="6A85D105" w14:textId="6059C4E2" w:rsidR="003F6556" w:rsidRPr="00604117" w:rsidRDefault="003F6556" w:rsidP="003F6556">
      <w:pPr>
        <w:pStyle w:val="Descripcin"/>
        <w:keepNext/>
      </w:pPr>
      <w:r w:rsidRPr="00604117">
        <w:t xml:space="preserve">Table </w:t>
      </w:r>
      <w:r w:rsidR="006275BC" w:rsidRPr="00604117">
        <w:rPr>
          <w:noProof/>
        </w:rPr>
        <w:t>2</w:t>
      </w:r>
      <w:r w:rsidRPr="00604117">
        <w:t xml:space="preserve"> Validation of the force field with the density, every simulation was run with 50 molecules, and the mixture was run with 50 molecules of ionic liquid and 5 molecules of CO</w:t>
      </w:r>
      <w:r w:rsidRPr="00604117">
        <w:rPr>
          <w:vertAlign w:val="subscript"/>
        </w:rPr>
        <w:t>2</w:t>
      </w:r>
      <w:r w:rsidRPr="00604117">
        <w:t>.</w:t>
      </w:r>
    </w:p>
    <w:tbl>
      <w:tblPr>
        <w:tblStyle w:val="Tablanormal5"/>
        <w:tblW w:w="0" w:type="auto"/>
        <w:jc w:val="center"/>
        <w:tblLook w:val="0420" w:firstRow="1" w:lastRow="0" w:firstColumn="0" w:lastColumn="0" w:noHBand="0" w:noVBand="1"/>
      </w:tblPr>
      <w:tblGrid>
        <w:gridCol w:w="1810"/>
        <w:gridCol w:w="1273"/>
        <w:gridCol w:w="1358"/>
        <w:gridCol w:w="1696"/>
      </w:tblGrid>
      <w:tr w:rsidR="00604117" w:rsidRPr="00604117" w14:paraId="4B6D3BCD" w14:textId="77777777" w:rsidTr="00DA7C8C">
        <w:trPr>
          <w:cnfStyle w:val="100000000000" w:firstRow="1" w:lastRow="0" w:firstColumn="0" w:lastColumn="0" w:oddVBand="0" w:evenVBand="0" w:oddHBand="0" w:evenHBand="0" w:firstRowFirstColumn="0" w:firstRowLastColumn="0" w:lastRowFirstColumn="0" w:lastRowLastColumn="0"/>
          <w:trHeight w:val="23"/>
          <w:jc w:val="center"/>
        </w:trPr>
        <w:tc>
          <w:tcPr>
            <w:tcW w:w="0" w:type="auto"/>
            <w:tcBorders>
              <w:bottom w:val="single" w:sz="4" w:space="0" w:color="auto"/>
            </w:tcBorders>
            <w:shd w:val="clear" w:color="auto" w:fill="F2F2F2" w:themeFill="background1" w:themeFillShade="F2"/>
            <w:hideMark/>
          </w:tcPr>
          <w:p w14:paraId="2AB08D8D" w14:textId="77777777" w:rsidR="003F6556" w:rsidRPr="00604117" w:rsidRDefault="003F6556" w:rsidP="00DA7F02">
            <w:pPr>
              <w:autoSpaceDE w:val="0"/>
              <w:autoSpaceDN w:val="0"/>
              <w:adjustRightInd w:val="0"/>
              <w:jc w:val="center"/>
              <w:rPr>
                <w:rFonts w:ascii="Times New Roman" w:hAnsi="Times New Roman" w:cs="Times New Roman"/>
                <w:sz w:val="17"/>
                <w:szCs w:val="17"/>
                <w:lang w:val="en-US"/>
              </w:rPr>
            </w:pPr>
          </w:p>
        </w:tc>
        <w:tc>
          <w:tcPr>
            <w:tcW w:w="0" w:type="auto"/>
            <w:tcBorders>
              <w:bottom w:val="single" w:sz="4" w:space="0" w:color="auto"/>
            </w:tcBorders>
            <w:shd w:val="clear" w:color="auto" w:fill="F2F2F2" w:themeFill="background1" w:themeFillShade="F2"/>
            <w:hideMark/>
          </w:tcPr>
          <w:p w14:paraId="523320CE" w14:textId="77777777" w:rsidR="003F6556" w:rsidRPr="00604117" w:rsidRDefault="003F6556" w:rsidP="00DA7F02">
            <w:pPr>
              <w:autoSpaceDE w:val="0"/>
              <w:autoSpaceDN w:val="0"/>
              <w:adjustRightInd w:val="0"/>
              <w:jc w:val="center"/>
              <w:rPr>
                <w:rFonts w:ascii="Times New Roman" w:eastAsia="Times New Roman" w:hAnsi="Times New Roman" w:cs="Times New Roman"/>
                <w:i w:val="0"/>
                <w:iCs w:val="0"/>
                <w:kern w:val="0"/>
                <w:sz w:val="17"/>
                <w:szCs w:val="17"/>
                <w:lang w:val="en-GB" w:eastAsia="es-MX"/>
                <w14:ligatures w14:val="none"/>
              </w:rPr>
            </w:pPr>
            <w:r w:rsidRPr="00604117">
              <w:rPr>
                <w:rFonts w:ascii="Times New Roman" w:eastAsia="Times New Roman" w:hAnsi="Times New Roman" w:cs="Times New Roman"/>
                <w:i w:val="0"/>
                <w:iCs w:val="0"/>
                <w:kern w:val="0"/>
                <w:sz w:val="17"/>
                <w:szCs w:val="17"/>
                <w:lang w:val="en-GB" w:eastAsia="es-MX"/>
                <w14:ligatures w14:val="none"/>
              </w:rPr>
              <w:t>[EMIM][SCN]</w:t>
            </w:r>
            <w:r w:rsidRPr="00604117">
              <w:rPr>
                <w:rFonts w:ascii="Times New Roman" w:hAnsi="Times New Roman" w:cs="Times New Roman"/>
                <w:sz w:val="17"/>
                <w:szCs w:val="17"/>
                <w:vertAlign w:val="superscript"/>
              </w:rPr>
              <w:t>-</w:t>
            </w:r>
            <w:r w:rsidRPr="00604117">
              <w:rPr>
                <w:rFonts w:ascii="Times New Roman" w:eastAsia="Times New Roman" w:hAnsi="Times New Roman" w:cs="Times New Roman"/>
                <w:i w:val="0"/>
                <w:iCs w:val="0"/>
                <w:kern w:val="0"/>
                <w:sz w:val="17"/>
                <w:szCs w:val="17"/>
                <w:lang w:val="en-GB" w:eastAsia="es-MX"/>
                <w14:ligatures w14:val="none"/>
              </w:rPr>
              <w:t xml:space="preserve"> </w:t>
            </w:r>
          </w:p>
        </w:tc>
        <w:tc>
          <w:tcPr>
            <w:tcW w:w="0" w:type="auto"/>
            <w:tcBorders>
              <w:bottom w:val="single" w:sz="4" w:space="0" w:color="auto"/>
            </w:tcBorders>
            <w:shd w:val="clear" w:color="auto" w:fill="F2F2F2" w:themeFill="background1" w:themeFillShade="F2"/>
            <w:hideMark/>
          </w:tcPr>
          <w:p w14:paraId="0E7E5CB9" w14:textId="77777777" w:rsidR="003F6556" w:rsidRPr="00604117" w:rsidRDefault="003F6556" w:rsidP="00DA7F02">
            <w:pPr>
              <w:autoSpaceDE w:val="0"/>
              <w:autoSpaceDN w:val="0"/>
              <w:adjustRightInd w:val="0"/>
              <w:jc w:val="center"/>
              <w:rPr>
                <w:rFonts w:ascii="Times New Roman" w:eastAsia="Times New Roman" w:hAnsi="Times New Roman" w:cs="Times New Roman"/>
                <w:i w:val="0"/>
                <w:iCs w:val="0"/>
                <w:kern w:val="0"/>
                <w:sz w:val="17"/>
                <w:szCs w:val="17"/>
                <w:lang w:val="en-GB" w:eastAsia="es-MX"/>
                <w14:ligatures w14:val="none"/>
              </w:rPr>
            </w:pPr>
            <w:r w:rsidRPr="00604117">
              <w:rPr>
                <w:rFonts w:ascii="Times New Roman" w:eastAsia="Times New Roman" w:hAnsi="Times New Roman" w:cs="Times New Roman"/>
                <w:i w:val="0"/>
                <w:iCs w:val="0"/>
                <w:kern w:val="0"/>
                <w:sz w:val="17"/>
                <w:szCs w:val="17"/>
                <w:lang w:val="en-GB" w:eastAsia="es-MX"/>
                <w14:ligatures w14:val="none"/>
              </w:rPr>
              <w:t>[BMIM][NTF2]</w:t>
            </w:r>
            <w:r w:rsidRPr="00604117">
              <w:rPr>
                <w:rFonts w:ascii="Times New Roman" w:hAnsi="Times New Roman" w:cs="Times New Roman"/>
                <w:sz w:val="17"/>
                <w:szCs w:val="17"/>
                <w:vertAlign w:val="superscript"/>
              </w:rPr>
              <w:t>-</w:t>
            </w:r>
          </w:p>
        </w:tc>
        <w:tc>
          <w:tcPr>
            <w:tcW w:w="0" w:type="auto"/>
            <w:tcBorders>
              <w:bottom w:val="single" w:sz="4" w:space="0" w:color="auto"/>
            </w:tcBorders>
            <w:shd w:val="clear" w:color="auto" w:fill="F2F2F2" w:themeFill="background1" w:themeFillShade="F2"/>
            <w:hideMark/>
          </w:tcPr>
          <w:p w14:paraId="20B7EF8A" w14:textId="77777777" w:rsidR="003F6556" w:rsidRPr="00604117" w:rsidRDefault="003F6556" w:rsidP="00DA7F02">
            <w:pPr>
              <w:autoSpaceDE w:val="0"/>
              <w:autoSpaceDN w:val="0"/>
              <w:adjustRightInd w:val="0"/>
              <w:jc w:val="center"/>
              <w:rPr>
                <w:rFonts w:ascii="Times New Roman" w:eastAsia="Times New Roman" w:hAnsi="Times New Roman" w:cs="Times New Roman"/>
                <w:i w:val="0"/>
                <w:iCs w:val="0"/>
                <w:kern w:val="0"/>
                <w:sz w:val="17"/>
                <w:szCs w:val="17"/>
                <w:lang w:val="en-GB" w:eastAsia="es-MX"/>
                <w14:ligatures w14:val="none"/>
              </w:rPr>
            </w:pPr>
            <w:r w:rsidRPr="00604117">
              <w:rPr>
                <w:rFonts w:ascii="Times New Roman" w:eastAsia="Times New Roman" w:hAnsi="Times New Roman" w:cs="Times New Roman"/>
                <w:i w:val="0"/>
                <w:iCs w:val="0"/>
                <w:kern w:val="0"/>
                <w:sz w:val="17"/>
                <w:szCs w:val="17"/>
                <w:lang w:val="en-GB" w:eastAsia="es-MX"/>
                <w14:ligatures w14:val="none"/>
              </w:rPr>
              <w:t>[BMIM][NTF2]</w:t>
            </w:r>
            <w:r w:rsidRPr="00604117">
              <w:rPr>
                <w:rFonts w:ascii="Times New Roman" w:hAnsi="Times New Roman" w:cs="Times New Roman"/>
                <w:sz w:val="17"/>
                <w:szCs w:val="17"/>
                <w:vertAlign w:val="superscript"/>
              </w:rPr>
              <w:t>-</w:t>
            </w:r>
            <w:r w:rsidRPr="00604117">
              <w:rPr>
                <w:rFonts w:ascii="Times New Roman" w:eastAsia="Times New Roman" w:hAnsi="Times New Roman" w:cs="Times New Roman"/>
                <w:i w:val="0"/>
                <w:iCs w:val="0"/>
                <w:kern w:val="0"/>
                <w:sz w:val="17"/>
                <w:szCs w:val="17"/>
                <w:lang w:val="en-GB" w:eastAsia="es-MX"/>
                <w14:ligatures w14:val="none"/>
              </w:rPr>
              <w:t>/CO</w:t>
            </w:r>
            <w:r w:rsidRPr="00604117">
              <w:rPr>
                <w:rFonts w:ascii="Times New Roman" w:eastAsia="Times New Roman" w:hAnsi="Times New Roman" w:cs="Times New Roman"/>
                <w:i w:val="0"/>
                <w:iCs w:val="0"/>
                <w:kern w:val="0"/>
                <w:sz w:val="17"/>
                <w:szCs w:val="17"/>
                <w:vertAlign w:val="subscript"/>
                <w:lang w:val="en-GB" w:eastAsia="es-MX"/>
                <w14:ligatures w14:val="none"/>
              </w:rPr>
              <w:t>2</w:t>
            </w:r>
          </w:p>
        </w:tc>
      </w:tr>
      <w:tr w:rsidR="00604117" w:rsidRPr="00604117" w14:paraId="68795071" w14:textId="77777777" w:rsidTr="00DA7C8C">
        <w:trPr>
          <w:cnfStyle w:val="000000100000" w:firstRow="0" w:lastRow="0" w:firstColumn="0" w:lastColumn="0" w:oddVBand="0" w:evenVBand="0" w:oddHBand="1" w:evenHBand="0" w:firstRowFirstColumn="0" w:firstRowLastColumn="0" w:lastRowFirstColumn="0" w:lastRowLastColumn="0"/>
          <w:trHeight w:val="190"/>
          <w:jc w:val="center"/>
        </w:trPr>
        <w:tc>
          <w:tcPr>
            <w:tcW w:w="0" w:type="auto"/>
            <w:tcBorders>
              <w:top w:val="single" w:sz="4" w:space="0" w:color="auto"/>
            </w:tcBorders>
            <w:hideMark/>
          </w:tcPr>
          <w:p w14:paraId="389C09EE" w14:textId="77777777" w:rsidR="003F6556" w:rsidRPr="00604117" w:rsidRDefault="003F6556" w:rsidP="00DA7F02">
            <w:pPr>
              <w:autoSpaceDE w:val="0"/>
              <w:autoSpaceDN w:val="0"/>
              <w:adjustRightInd w:val="0"/>
              <w:rPr>
                <w:rFonts w:ascii="Times New Roman" w:eastAsia="Times New Roman" w:hAnsi="Times New Roman" w:cs="Times New Roman"/>
                <w:kern w:val="0"/>
                <w:sz w:val="17"/>
                <w:szCs w:val="17"/>
                <w:lang w:val="en-GB" w:eastAsia="es-MX"/>
                <w14:ligatures w14:val="none"/>
              </w:rPr>
            </w:pPr>
            <w:r w:rsidRPr="00604117">
              <w:rPr>
                <w:rFonts w:ascii="Times New Roman" w:eastAsia="Times New Roman" w:hAnsi="Times New Roman" w:cs="Times New Roman"/>
                <w:kern w:val="0"/>
                <w:sz w:val="17"/>
                <w:szCs w:val="17"/>
                <w:lang w:val="en-GB" w:eastAsia="es-MX"/>
                <w14:ligatures w14:val="none"/>
              </w:rPr>
              <w:t>ρ (g/cm</w:t>
            </w:r>
            <w:r w:rsidRPr="00604117">
              <w:rPr>
                <w:rFonts w:ascii="Times New Roman" w:eastAsia="Times New Roman" w:hAnsi="Times New Roman" w:cs="Times New Roman"/>
                <w:kern w:val="0"/>
                <w:sz w:val="17"/>
                <w:szCs w:val="17"/>
                <w:vertAlign w:val="superscript"/>
                <w:lang w:val="en-GB" w:eastAsia="es-MX"/>
                <w14:ligatures w14:val="none"/>
              </w:rPr>
              <w:t>3</w:t>
            </w:r>
            <w:r w:rsidRPr="00604117">
              <w:rPr>
                <w:rFonts w:ascii="Times New Roman" w:eastAsia="Times New Roman" w:hAnsi="Times New Roman" w:cs="Times New Roman"/>
                <w:kern w:val="0"/>
                <w:sz w:val="17"/>
                <w:szCs w:val="17"/>
                <w:lang w:val="en-GB" w:eastAsia="es-MX"/>
                <w14:ligatures w14:val="none"/>
              </w:rPr>
              <w:t>) Experimental</w:t>
            </w:r>
          </w:p>
        </w:tc>
        <w:tc>
          <w:tcPr>
            <w:tcW w:w="0" w:type="auto"/>
            <w:tcBorders>
              <w:top w:val="single" w:sz="4" w:space="0" w:color="auto"/>
            </w:tcBorders>
            <w:shd w:val="clear" w:color="auto" w:fill="auto"/>
            <w:hideMark/>
          </w:tcPr>
          <w:p w14:paraId="5535BCDC" w14:textId="77777777" w:rsidR="003F6556" w:rsidRPr="00604117" w:rsidRDefault="003F6556" w:rsidP="00DA7F02">
            <w:pPr>
              <w:autoSpaceDE w:val="0"/>
              <w:autoSpaceDN w:val="0"/>
              <w:adjustRightInd w:val="0"/>
              <w:jc w:val="both"/>
              <w:rPr>
                <w:rFonts w:ascii="Times New Roman" w:eastAsia="Times New Roman" w:hAnsi="Times New Roman" w:cs="Times New Roman"/>
                <w:kern w:val="0"/>
                <w:sz w:val="17"/>
                <w:szCs w:val="17"/>
                <w:lang w:val="en-GB" w:eastAsia="es-MX"/>
                <w14:ligatures w14:val="none"/>
              </w:rPr>
            </w:pPr>
            <w:r w:rsidRPr="00604117">
              <w:rPr>
                <w:rFonts w:ascii="Times New Roman" w:eastAsia="Times New Roman" w:hAnsi="Times New Roman" w:cs="Times New Roman"/>
                <w:kern w:val="0"/>
                <w:sz w:val="17"/>
                <w:szCs w:val="17"/>
                <w:lang w:val="en-GB" w:eastAsia="es-MX"/>
                <w14:ligatures w14:val="none"/>
              </w:rPr>
              <w:t>1.113</w:t>
            </w:r>
          </w:p>
        </w:tc>
        <w:tc>
          <w:tcPr>
            <w:tcW w:w="0" w:type="auto"/>
            <w:tcBorders>
              <w:top w:val="single" w:sz="4" w:space="0" w:color="auto"/>
            </w:tcBorders>
            <w:shd w:val="clear" w:color="auto" w:fill="auto"/>
            <w:hideMark/>
          </w:tcPr>
          <w:p w14:paraId="099B361E" w14:textId="77777777" w:rsidR="003F6556" w:rsidRPr="00604117" w:rsidRDefault="003F6556" w:rsidP="00DA7F02">
            <w:pPr>
              <w:autoSpaceDE w:val="0"/>
              <w:autoSpaceDN w:val="0"/>
              <w:adjustRightInd w:val="0"/>
              <w:jc w:val="both"/>
              <w:rPr>
                <w:rFonts w:ascii="Times New Roman" w:eastAsia="Times New Roman" w:hAnsi="Times New Roman" w:cs="Times New Roman"/>
                <w:kern w:val="0"/>
                <w:sz w:val="17"/>
                <w:szCs w:val="17"/>
                <w:lang w:val="en-GB" w:eastAsia="es-MX"/>
                <w14:ligatures w14:val="none"/>
              </w:rPr>
            </w:pPr>
            <w:r w:rsidRPr="00604117">
              <w:rPr>
                <w:rFonts w:ascii="Times New Roman" w:eastAsia="Times New Roman" w:hAnsi="Times New Roman" w:cs="Times New Roman"/>
                <w:kern w:val="0"/>
                <w:sz w:val="17"/>
                <w:szCs w:val="17"/>
                <w:lang w:val="en-GB" w:eastAsia="es-MX"/>
                <w14:ligatures w14:val="none"/>
              </w:rPr>
              <w:t>1.444</w:t>
            </w:r>
          </w:p>
        </w:tc>
        <w:tc>
          <w:tcPr>
            <w:tcW w:w="0" w:type="auto"/>
            <w:tcBorders>
              <w:top w:val="single" w:sz="4" w:space="0" w:color="auto"/>
            </w:tcBorders>
            <w:shd w:val="clear" w:color="auto" w:fill="auto"/>
            <w:hideMark/>
          </w:tcPr>
          <w:p w14:paraId="2277C97C" w14:textId="77777777" w:rsidR="003F6556" w:rsidRPr="00604117" w:rsidRDefault="003F6556" w:rsidP="00DA7F02">
            <w:pPr>
              <w:autoSpaceDE w:val="0"/>
              <w:autoSpaceDN w:val="0"/>
              <w:adjustRightInd w:val="0"/>
              <w:jc w:val="both"/>
              <w:rPr>
                <w:rFonts w:ascii="Times New Roman" w:eastAsia="Times New Roman" w:hAnsi="Times New Roman" w:cs="Times New Roman"/>
                <w:kern w:val="0"/>
                <w:sz w:val="17"/>
                <w:szCs w:val="17"/>
                <w:lang w:val="en-GB" w:eastAsia="es-MX"/>
                <w14:ligatures w14:val="none"/>
              </w:rPr>
            </w:pPr>
            <w:r w:rsidRPr="00604117">
              <w:rPr>
                <w:rFonts w:ascii="Times New Roman" w:eastAsia="Times New Roman" w:hAnsi="Times New Roman" w:cs="Times New Roman"/>
                <w:kern w:val="0"/>
                <w:sz w:val="17"/>
                <w:szCs w:val="17"/>
                <w:lang w:val="en-GB" w:eastAsia="es-MX"/>
                <w14:ligatures w14:val="none"/>
              </w:rPr>
              <w:t>1.4345</w:t>
            </w:r>
          </w:p>
        </w:tc>
      </w:tr>
      <w:tr w:rsidR="00604117" w:rsidRPr="00604117" w14:paraId="3D6FC05B" w14:textId="77777777" w:rsidTr="00DA7C8C">
        <w:trPr>
          <w:trHeight w:val="23"/>
          <w:jc w:val="center"/>
        </w:trPr>
        <w:tc>
          <w:tcPr>
            <w:tcW w:w="0" w:type="auto"/>
            <w:shd w:val="clear" w:color="auto" w:fill="F2F2F2" w:themeFill="background1" w:themeFillShade="F2"/>
            <w:hideMark/>
          </w:tcPr>
          <w:p w14:paraId="2D027AD2" w14:textId="6F771223" w:rsidR="003F6556" w:rsidRPr="00604117" w:rsidRDefault="003F6556" w:rsidP="003F6556">
            <w:pPr>
              <w:autoSpaceDE w:val="0"/>
              <w:autoSpaceDN w:val="0"/>
              <w:adjustRightInd w:val="0"/>
              <w:rPr>
                <w:rFonts w:ascii="Times New Roman" w:eastAsia="Times New Roman" w:hAnsi="Times New Roman" w:cs="Times New Roman"/>
                <w:kern w:val="0"/>
                <w:sz w:val="17"/>
                <w:szCs w:val="17"/>
                <w:lang w:val="en-GB" w:eastAsia="es-MX"/>
                <w14:ligatures w14:val="none"/>
              </w:rPr>
            </w:pPr>
            <w:r w:rsidRPr="00604117">
              <w:rPr>
                <w:rFonts w:ascii="Times New Roman" w:eastAsia="Times New Roman" w:hAnsi="Times New Roman" w:cs="Times New Roman"/>
                <w:kern w:val="0"/>
                <w:sz w:val="17"/>
                <w:szCs w:val="17"/>
                <w:lang w:val="en-GB" w:eastAsia="es-MX"/>
                <w14:ligatures w14:val="none"/>
              </w:rPr>
              <w:t>ρ (g/cm</w:t>
            </w:r>
            <w:r w:rsidRPr="00604117">
              <w:rPr>
                <w:rFonts w:ascii="Times New Roman" w:eastAsia="Times New Roman" w:hAnsi="Times New Roman" w:cs="Times New Roman"/>
                <w:kern w:val="0"/>
                <w:sz w:val="17"/>
                <w:szCs w:val="17"/>
                <w:vertAlign w:val="superscript"/>
                <w:lang w:val="en-GB" w:eastAsia="es-MX"/>
                <w14:ligatures w14:val="none"/>
              </w:rPr>
              <w:t>3</w:t>
            </w:r>
            <w:r w:rsidRPr="00604117">
              <w:rPr>
                <w:rFonts w:ascii="Times New Roman" w:eastAsia="Times New Roman" w:hAnsi="Times New Roman" w:cs="Times New Roman"/>
                <w:kern w:val="0"/>
                <w:sz w:val="17"/>
                <w:szCs w:val="17"/>
                <w:lang w:val="en-GB" w:eastAsia="es-MX"/>
                <w14:ligatures w14:val="none"/>
              </w:rPr>
              <w:t>) MDS</w:t>
            </w:r>
          </w:p>
        </w:tc>
        <w:tc>
          <w:tcPr>
            <w:tcW w:w="0" w:type="auto"/>
            <w:shd w:val="clear" w:color="auto" w:fill="auto"/>
            <w:hideMark/>
          </w:tcPr>
          <w:p w14:paraId="532EA720" w14:textId="77777777" w:rsidR="003F6556" w:rsidRPr="00604117" w:rsidRDefault="003F6556" w:rsidP="00DA7F02">
            <w:pPr>
              <w:autoSpaceDE w:val="0"/>
              <w:autoSpaceDN w:val="0"/>
              <w:adjustRightInd w:val="0"/>
              <w:jc w:val="both"/>
              <w:rPr>
                <w:rFonts w:ascii="Times New Roman" w:eastAsia="Times New Roman" w:hAnsi="Times New Roman" w:cs="Times New Roman"/>
                <w:kern w:val="0"/>
                <w:sz w:val="17"/>
                <w:szCs w:val="17"/>
                <w:lang w:val="en-GB" w:eastAsia="es-MX"/>
                <w14:ligatures w14:val="none"/>
              </w:rPr>
            </w:pPr>
            <w:r w:rsidRPr="00604117">
              <w:rPr>
                <w:rFonts w:ascii="Times New Roman" w:eastAsia="Times New Roman" w:hAnsi="Times New Roman" w:cs="Times New Roman"/>
                <w:kern w:val="0"/>
                <w:sz w:val="17"/>
                <w:szCs w:val="17"/>
                <w:lang w:val="en-GB" w:eastAsia="es-MX"/>
                <w14:ligatures w14:val="none"/>
              </w:rPr>
              <w:t>1.131684</w:t>
            </w:r>
          </w:p>
        </w:tc>
        <w:tc>
          <w:tcPr>
            <w:tcW w:w="0" w:type="auto"/>
            <w:shd w:val="clear" w:color="auto" w:fill="auto"/>
            <w:hideMark/>
          </w:tcPr>
          <w:p w14:paraId="3FCE527D" w14:textId="77777777" w:rsidR="003F6556" w:rsidRPr="00604117" w:rsidRDefault="003F6556" w:rsidP="00DA7F02">
            <w:pPr>
              <w:autoSpaceDE w:val="0"/>
              <w:autoSpaceDN w:val="0"/>
              <w:adjustRightInd w:val="0"/>
              <w:jc w:val="both"/>
              <w:rPr>
                <w:rFonts w:ascii="Times New Roman" w:eastAsia="Times New Roman" w:hAnsi="Times New Roman" w:cs="Times New Roman"/>
                <w:kern w:val="0"/>
                <w:sz w:val="17"/>
                <w:szCs w:val="17"/>
                <w:lang w:val="en-GB" w:eastAsia="es-MX"/>
                <w14:ligatures w14:val="none"/>
              </w:rPr>
            </w:pPr>
            <w:r w:rsidRPr="00604117">
              <w:rPr>
                <w:rFonts w:ascii="Times New Roman" w:eastAsia="Times New Roman" w:hAnsi="Times New Roman" w:cs="Times New Roman"/>
                <w:kern w:val="0"/>
                <w:sz w:val="17"/>
                <w:szCs w:val="17"/>
                <w:lang w:val="en-GB" w:eastAsia="es-MX"/>
                <w14:ligatures w14:val="none"/>
              </w:rPr>
              <w:t>1.4149018</w:t>
            </w:r>
          </w:p>
        </w:tc>
        <w:tc>
          <w:tcPr>
            <w:tcW w:w="0" w:type="auto"/>
            <w:shd w:val="clear" w:color="auto" w:fill="auto"/>
            <w:hideMark/>
          </w:tcPr>
          <w:p w14:paraId="693F5369" w14:textId="77777777" w:rsidR="003F6556" w:rsidRPr="00604117" w:rsidRDefault="003F6556" w:rsidP="00DA7F02">
            <w:pPr>
              <w:autoSpaceDE w:val="0"/>
              <w:autoSpaceDN w:val="0"/>
              <w:adjustRightInd w:val="0"/>
              <w:jc w:val="both"/>
              <w:rPr>
                <w:rFonts w:ascii="Times New Roman" w:eastAsia="Times New Roman" w:hAnsi="Times New Roman" w:cs="Times New Roman"/>
                <w:kern w:val="0"/>
                <w:sz w:val="17"/>
                <w:szCs w:val="17"/>
                <w:lang w:val="en-GB" w:eastAsia="es-MX"/>
                <w14:ligatures w14:val="none"/>
              </w:rPr>
            </w:pPr>
            <w:r w:rsidRPr="00604117">
              <w:rPr>
                <w:rFonts w:ascii="Times New Roman" w:eastAsia="Times New Roman" w:hAnsi="Times New Roman" w:cs="Times New Roman"/>
                <w:kern w:val="0"/>
                <w:sz w:val="17"/>
                <w:szCs w:val="17"/>
                <w:lang w:val="en-GB" w:eastAsia="es-MX"/>
                <w14:ligatures w14:val="none"/>
              </w:rPr>
              <w:t>1.395161</w:t>
            </w:r>
          </w:p>
        </w:tc>
      </w:tr>
      <w:tr w:rsidR="00604117" w:rsidRPr="00604117" w14:paraId="794B3576" w14:textId="77777777" w:rsidTr="00DA7C8C">
        <w:trPr>
          <w:cnfStyle w:val="000000100000" w:firstRow="0" w:lastRow="0" w:firstColumn="0" w:lastColumn="0" w:oddVBand="0" w:evenVBand="0" w:oddHBand="1" w:evenHBand="0" w:firstRowFirstColumn="0" w:firstRowLastColumn="0" w:lastRowFirstColumn="0" w:lastRowLastColumn="0"/>
          <w:trHeight w:val="23"/>
          <w:jc w:val="center"/>
        </w:trPr>
        <w:tc>
          <w:tcPr>
            <w:tcW w:w="0" w:type="auto"/>
            <w:tcBorders>
              <w:bottom w:val="single" w:sz="4" w:space="0" w:color="auto"/>
            </w:tcBorders>
            <w:hideMark/>
          </w:tcPr>
          <w:p w14:paraId="03333B67" w14:textId="77777777" w:rsidR="003F6556" w:rsidRPr="00604117" w:rsidRDefault="003F6556" w:rsidP="00DA7F02">
            <w:pPr>
              <w:autoSpaceDE w:val="0"/>
              <w:autoSpaceDN w:val="0"/>
              <w:adjustRightInd w:val="0"/>
              <w:rPr>
                <w:rFonts w:ascii="Times New Roman" w:eastAsia="Times New Roman" w:hAnsi="Times New Roman" w:cs="Times New Roman"/>
                <w:kern w:val="0"/>
                <w:sz w:val="17"/>
                <w:szCs w:val="17"/>
                <w:lang w:val="en-GB" w:eastAsia="es-MX"/>
                <w14:ligatures w14:val="none"/>
              </w:rPr>
            </w:pPr>
            <w:r w:rsidRPr="00604117">
              <w:rPr>
                <w:rFonts w:ascii="Times New Roman" w:eastAsia="Times New Roman" w:hAnsi="Times New Roman" w:cs="Times New Roman"/>
                <w:kern w:val="0"/>
                <w:sz w:val="17"/>
                <w:szCs w:val="17"/>
                <w:lang w:val="en-GB" w:eastAsia="es-MX"/>
                <w14:ligatures w14:val="none"/>
              </w:rPr>
              <w:t>Error</w:t>
            </w:r>
          </w:p>
        </w:tc>
        <w:tc>
          <w:tcPr>
            <w:tcW w:w="0" w:type="auto"/>
            <w:tcBorders>
              <w:bottom w:val="single" w:sz="4" w:space="0" w:color="auto"/>
            </w:tcBorders>
            <w:shd w:val="clear" w:color="auto" w:fill="auto"/>
            <w:hideMark/>
          </w:tcPr>
          <w:p w14:paraId="5F7A97D0" w14:textId="77777777" w:rsidR="003F6556" w:rsidRPr="00604117" w:rsidRDefault="003F6556" w:rsidP="00DA7F02">
            <w:pPr>
              <w:autoSpaceDE w:val="0"/>
              <w:autoSpaceDN w:val="0"/>
              <w:adjustRightInd w:val="0"/>
              <w:jc w:val="both"/>
              <w:rPr>
                <w:rFonts w:ascii="Times New Roman" w:eastAsia="Times New Roman" w:hAnsi="Times New Roman" w:cs="Times New Roman"/>
                <w:kern w:val="0"/>
                <w:sz w:val="17"/>
                <w:szCs w:val="17"/>
                <w:lang w:val="en-GB" w:eastAsia="es-MX"/>
                <w14:ligatures w14:val="none"/>
              </w:rPr>
            </w:pPr>
            <w:r w:rsidRPr="00604117">
              <w:rPr>
                <w:rFonts w:ascii="Times New Roman" w:eastAsia="Times New Roman" w:hAnsi="Times New Roman" w:cs="Times New Roman"/>
                <w:kern w:val="0"/>
                <w:sz w:val="17"/>
                <w:szCs w:val="17"/>
                <w:lang w:val="en-GB" w:eastAsia="es-MX"/>
                <w14:ligatures w14:val="none"/>
              </w:rPr>
              <w:t>1.95%</w:t>
            </w:r>
          </w:p>
        </w:tc>
        <w:tc>
          <w:tcPr>
            <w:tcW w:w="0" w:type="auto"/>
            <w:tcBorders>
              <w:bottom w:val="single" w:sz="4" w:space="0" w:color="auto"/>
            </w:tcBorders>
            <w:shd w:val="clear" w:color="auto" w:fill="auto"/>
            <w:hideMark/>
          </w:tcPr>
          <w:p w14:paraId="7D1EE5A5" w14:textId="77777777" w:rsidR="003F6556" w:rsidRPr="00604117" w:rsidRDefault="003F6556" w:rsidP="00DA7F02">
            <w:pPr>
              <w:autoSpaceDE w:val="0"/>
              <w:autoSpaceDN w:val="0"/>
              <w:adjustRightInd w:val="0"/>
              <w:jc w:val="both"/>
              <w:rPr>
                <w:rFonts w:ascii="Times New Roman" w:eastAsia="Times New Roman" w:hAnsi="Times New Roman" w:cs="Times New Roman"/>
                <w:kern w:val="0"/>
                <w:sz w:val="17"/>
                <w:szCs w:val="17"/>
                <w:lang w:val="en-GB" w:eastAsia="es-MX"/>
                <w14:ligatures w14:val="none"/>
              </w:rPr>
            </w:pPr>
            <w:r w:rsidRPr="00604117">
              <w:rPr>
                <w:rFonts w:ascii="Times New Roman" w:eastAsia="Times New Roman" w:hAnsi="Times New Roman" w:cs="Times New Roman"/>
                <w:kern w:val="0"/>
                <w:sz w:val="17"/>
                <w:szCs w:val="17"/>
                <w:lang w:val="en-GB" w:eastAsia="es-MX"/>
                <w14:ligatures w14:val="none"/>
              </w:rPr>
              <w:t>1.74%</w:t>
            </w:r>
          </w:p>
        </w:tc>
        <w:tc>
          <w:tcPr>
            <w:tcW w:w="0" w:type="auto"/>
            <w:tcBorders>
              <w:bottom w:val="single" w:sz="4" w:space="0" w:color="auto"/>
            </w:tcBorders>
            <w:shd w:val="clear" w:color="auto" w:fill="auto"/>
            <w:hideMark/>
          </w:tcPr>
          <w:p w14:paraId="255CEF0B" w14:textId="77777777" w:rsidR="003F6556" w:rsidRPr="00604117" w:rsidRDefault="003F6556" w:rsidP="00DA7F02">
            <w:pPr>
              <w:autoSpaceDE w:val="0"/>
              <w:autoSpaceDN w:val="0"/>
              <w:adjustRightInd w:val="0"/>
              <w:jc w:val="both"/>
              <w:rPr>
                <w:rFonts w:ascii="Times New Roman" w:eastAsia="Times New Roman" w:hAnsi="Times New Roman" w:cs="Times New Roman"/>
                <w:kern w:val="0"/>
                <w:sz w:val="17"/>
                <w:szCs w:val="17"/>
                <w:lang w:val="en-GB" w:eastAsia="es-MX"/>
                <w14:ligatures w14:val="none"/>
              </w:rPr>
            </w:pPr>
            <w:r w:rsidRPr="00604117">
              <w:rPr>
                <w:rFonts w:ascii="Times New Roman" w:eastAsia="Times New Roman" w:hAnsi="Times New Roman" w:cs="Times New Roman"/>
                <w:kern w:val="0"/>
                <w:sz w:val="17"/>
                <w:szCs w:val="17"/>
                <w:lang w:val="en-GB" w:eastAsia="es-MX"/>
                <w14:ligatures w14:val="none"/>
              </w:rPr>
              <w:t>2.70%</w:t>
            </w:r>
          </w:p>
        </w:tc>
      </w:tr>
    </w:tbl>
    <w:p w14:paraId="6CD98CF4" w14:textId="144A798C" w:rsidR="00650B52" w:rsidRPr="00604117" w:rsidRDefault="00DA7C8C" w:rsidP="005C285E">
      <w:pPr>
        <w:pStyle w:val="Els-body-text"/>
        <w:rPr>
          <w:lang w:val="en-GB"/>
        </w:rPr>
      </w:pPr>
      <w:r w:rsidRPr="00604117">
        <w:rPr>
          <w:lang w:val="en-GB"/>
        </w:rPr>
        <w:br/>
      </w:r>
      <w:r w:rsidR="00650B52" w:rsidRPr="00604117">
        <w:rPr>
          <w:lang w:val="en-GB"/>
        </w:rPr>
        <w:t xml:space="preserve">The excess chemical potential at 298 K and 1 </w:t>
      </w:r>
      <w:proofErr w:type="spellStart"/>
      <w:r w:rsidR="00650B52" w:rsidRPr="00604117">
        <w:rPr>
          <w:lang w:val="en-GB"/>
        </w:rPr>
        <w:t>atm</w:t>
      </w:r>
      <w:proofErr w:type="spellEnd"/>
      <w:r w:rsidR="00650B52" w:rsidRPr="00604117">
        <w:rPr>
          <w:lang w:val="en-GB"/>
        </w:rPr>
        <w:t xml:space="preserve"> was obtained by inserting molecules known as Widom, and then the Henry's constant and Solubility were calculated. The mole fraction of the molecules is a variable that will be modified as indicated by the BO.</w:t>
      </w:r>
    </w:p>
    <w:p w14:paraId="30055E6A" w14:textId="1DECF0AB" w:rsidR="0048426C" w:rsidRPr="00604117" w:rsidRDefault="00650B52" w:rsidP="00B74DEE">
      <w:pPr>
        <w:pStyle w:val="HTMLconformatoprevio"/>
        <w:jc w:val="both"/>
        <w:rPr>
          <w:rFonts w:ascii="Times New Roman" w:hAnsi="Times New Roman" w:cs="Times New Roman"/>
          <w:lang w:val="en-GB" w:eastAsia="en-US"/>
        </w:rPr>
      </w:pPr>
      <w:r w:rsidRPr="00604117">
        <w:rPr>
          <w:rFonts w:ascii="Times New Roman" w:hAnsi="Times New Roman" w:cs="Times New Roman"/>
          <w:lang w:val="en-GB" w:eastAsia="en-US"/>
        </w:rPr>
        <w:t>The BO was performed in Python with the "</w:t>
      </w:r>
      <w:proofErr w:type="spellStart"/>
      <w:r w:rsidRPr="00604117">
        <w:rPr>
          <w:rFonts w:ascii="Times New Roman" w:hAnsi="Times New Roman" w:cs="Times New Roman"/>
          <w:lang w:val="en-GB" w:eastAsia="en-US"/>
        </w:rPr>
        <w:t>bayesian_opt</w:t>
      </w:r>
      <w:proofErr w:type="spellEnd"/>
      <w:r w:rsidRPr="00604117">
        <w:rPr>
          <w:rFonts w:ascii="Times New Roman" w:hAnsi="Times New Roman" w:cs="Times New Roman"/>
          <w:lang w:val="en-GB" w:eastAsia="en-US"/>
        </w:rPr>
        <w:t>" library with Gaussian processes and the acquisition function "expected improvement"</w:t>
      </w:r>
      <w:r w:rsidR="00DB790B" w:rsidRPr="00604117">
        <w:rPr>
          <w:rFonts w:ascii="Times New Roman" w:hAnsi="Times New Roman" w:cs="Times New Roman"/>
          <w:lang w:val="en-GB" w:eastAsia="en-US"/>
        </w:rPr>
        <w:t xml:space="preserve"> (Fernando Nogueira, 2014)</w:t>
      </w:r>
      <w:r w:rsidRPr="00604117">
        <w:rPr>
          <w:rFonts w:ascii="Times New Roman" w:hAnsi="Times New Roman" w:cs="Times New Roman"/>
          <w:lang w:val="en-GB" w:eastAsia="en-US"/>
        </w:rPr>
        <w:t>. The limits were set between 0 and 1 for the concentration of ionic liquids. BO conducts the experiment and constructs the surrogate function until the maximum point of Henry's constant is known.</w:t>
      </w:r>
      <w:r w:rsidR="00B74DEE" w:rsidRPr="00604117">
        <w:rPr>
          <w:rFonts w:ascii="Times New Roman" w:hAnsi="Times New Roman" w:cs="Times New Roman"/>
          <w:lang w:val="en-GB" w:eastAsia="en-US"/>
        </w:rPr>
        <w:t xml:space="preserve"> </w:t>
      </w:r>
      <w:r w:rsidR="00560879" w:rsidRPr="00604117">
        <w:rPr>
          <w:rFonts w:ascii="Times New Roman" w:hAnsi="Times New Roman" w:cs="Times New Roman"/>
          <w:lang w:val="en-GB" w:eastAsia="en-US"/>
        </w:rPr>
        <w:t>Bayesian optimisation suggests strategic points by using Gaussian processes and maximising the acquisition function and thus reducing the search space. This is how the surrogate function is constructed. The BO algorithm will stop until the maximum point of the function is known.</w:t>
      </w:r>
      <w:r w:rsidR="00D21199" w:rsidRPr="00604117">
        <w:rPr>
          <w:lang w:val="en-GB"/>
        </w:rPr>
        <w:t xml:space="preserve"> </w:t>
      </w:r>
      <w:r w:rsidR="0048426C" w:rsidRPr="00604117">
        <w:rPr>
          <w:rFonts w:ascii="Times New Roman" w:hAnsi="Times New Roman" w:cs="Times New Roman"/>
          <w:lang w:val="en-GB" w:eastAsia="en-US"/>
        </w:rPr>
        <w:t xml:space="preserve">Figures </w:t>
      </w:r>
      <w:r w:rsidR="00B46BAC" w:rsidRPr="00604117">
        <w:rPr>
          <w:rFonts w:ascii="Times New Roman" w:hAnsi="Times New Roman" w:cs="Times New Roman"/>
          <w:lang w:val="en-GB" w:eastAsia="en-US"/>
        </w:rPr>
        <w:t>4</w:t>
      </w:r>
      <w:r w:rsidR="0048426C" w:rsidRPr="00604117">
        <w:rPr>
          <w:rFonts w:ascii="Times New Roman" w:hAnsi="Times New Roman" w:cs="Times New Roman"/>
          <w:lang w:val="en-GB" w:eastAsia="en-US"/>
        </w:rPr>
        <w:t xml:space="preserve"> and </w:t>
      </w:r>
      <w:r w:rsidR="00B46BAC" w:rsidRPr="00604117">
        <w:rPr>
          <w:rFonts w:ascii="Times New Roman" w:hAnsi="Times New Roman" w:cs="Times New Roman"/>
          <w:lang w:val="en-GB" w:eastAsia="en-US"/>
        </w:rPr>
        <w:t>5</w:t>
      </w:r>
      <w:r w:rsidR="0048426C" w:rsidRPr="00604117">
        <w:rPr>
          <w:rFonts w:ascii="Times New Roman" w:hAnsi="Times New Roman" w:cs="Times New Roman"/>
          <w:lang w:val="en-GB" w:eastAsia="en-US"/>
        </w:rPr>
        <w:t xml:space="preserve"> show iteration #4 of the </w:t>
      </w:r>
      <w:r w:rsidR="0048426C" w:rsidRPr="00604117">
        <w:rPr>
          <w:rFonts w:ascii="Times New Roman" w:hAnsi="Times New Roman" w:cs="Times New Roman"/>
          <w:lang w:val="en-GB" w:eastAsia="en-US"/>
        </w:rPr>
        <w:lastRenderedPageBreak/>
        <w:t xml:space="preserve">BO, with an expected improved acquisition function. The combinations of ionic liquids suggested by the BO and tested in the MDS are shown in Table </w:t>
      </w:r>
      <w:r w:rsidR="006275BC" w:rsidRPr="00604117">
        <w:rPr>
          <w:rFonts w:ascii="Times New Roman" w:hAnsi="Times New Roman" w:cs="Times New Roman"/>
          <w:lang w:val="en-GB" w:eastAsia="en-US"/>
        </w:rPr>
        <w:t>3</w:t>
      </w:r>
      <w:r w:rsidR="0048426C" w:rsidRPr="00604117">
        <w:rPr>
          <w:rFonts w:ascii="Times New Roman" w:hAnsi="Times New Roman" w:cs="Times New Roman"/>
          <w:lang w:val="en-GB" w:eastAsia="en-US"/>
        </w:rPr>
        <w:t>.</w:t>
      </w:r>
      <w:r w:rsidR="0048426C" w:rsidRPr="00604117">
        <w:rPr>
          <w:lang w:val="en-GB"/>
        </w:rPr>
        <w:t xml:space="preserve"> </w:t>
      </w:r>
      <w:r w:rsidR="0048426C" w:rsidRPr="00604117">
        <w:rPr>
          <w:rFonts w:ascii="Times New Roman" w:hAnsi="Times New Roman" w:cs="Times New Roman"/>
          <w:lang w:val="en-GB" w:eastAsia="en-US"/>
        </w:rPr>
        <w:t xml:space="preserve">The two groups that were tested in </w:t>
      </w:r>
      <w:r w:rsidR="009C6171" w:rsidRPr="00604117">
        <w:rPr>
          <w:rFonts w:ascii="Times New Roman" w:hAnsi="Times New Roman" w:cs="Times New Roman"/>
          <w:lang w:val="en-GB" w:eastAsia="en-US"/>
        </w:rPr>
        <w:t>MSD</w:t>
      </w:r>
      <w:r w:rsidR="0048426C" w:rsidRPr="00604117">
        <w:rPr>
          <w:rFonts w:ascii="Times New Roman" w:hAnsi="Times New Roman" w:cs="Times New Roman"/>
          <w:lang w:val="en-GB" w:eastAsia="en-US"/>
        </w:rPr>
        <w:t xml:space="preserve"> show that the pure liquid [BMIM][NTF2]- has a greater Henry´s constant, that is, a greater solubility and therefore a greater absorption of CO2 in this mixture of ionic liquids.</w:t>
      </w:r>
    </w:p>
    <w:p w14:paraId="2E77D9F3" w14:textId="26239C0A" w:rsidR="00481C21" w:rsidRPr="00604117" w:rsidRDefault="00481C21" w:rsidP="00B74DEE">
      <w:pPr>
        <w:pStyle w:val="Els-body-text"/>
        <w:jc w:val="center"/>
        <w:rPr>
          <w:lang w:val="en-GB"/>
        </w:rPr>
      </w:pPr>
      <w:r w:rsidRPr="00604117">
        <w:rPr>
          <w:noProof/>
        </w:rPr>
        <w:drawing>
          <wp:inline distT="0" distB="0" distL="0" distR="0" wp14:anchorId="3F26052C" wp14:editId="60732007">
            <wp:extent cx="3416300" cy="2401112"/>
            <wp:effectExtent l="0" t="0" r="0" b="0"/>
            <wp:docPr id="2" name="Imagen 1" descr="Gráfico, Gráfico de líneas&#10;&#10;Descripción generada automáticamente">
              <a:extLst xmlns:a="http://schemas.openxmlformats.org/drawingml/2006/main">
                <a:ext uri="{FF2B5EF4-FFF2-40B4-BE49-F238E27FC236}">
                  <a16:creationId xmlns:a16="http://schemas.microsoft.com/office/drawing/2014/main" id="{954468FC-5831-E39B-BAF1-26DF801608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Gráfico, Gráfico de líneas&#10;&#10;Descripción generada automáticamente">
                      <a:extLst>
                        <a:ext uri="{FF2B5EF4-FFF2-40B4-BE49-F238E27FC236}">
                          <a16:creationId xmlns:a16="http://schemas.microsoft.com/office/drawing/2014/main" id="{954468FC-5831-E39B-BAF1-26DF801608C5}"/>
                        </a:ext>
                      </a:extLst>
                    </pic:cNvPr>
                    <pic:cNvPicPr>
                      <a:picLocks noChangeAspect="1"/>
                    </pic:cNvPicPr>
                  </pic:nvPicPr>
                  <pic:blipFill>
                    <a:blip r:embed="rId15">
                      <a:grayscl/>
                    </a:blip>
                    <a:stretch>
                      <a:fillRect/>
                    </a:stretch>
                  </pic:blipFill>
                  <pic:spPr>
                    <a:xfrm>
                      <a:off x="0" y="0"/>
                      <a:ext cx="3423545" cy="2406204"/>
                    </a:xfrm>
                    <a:prstGeom prst="rect">
                      <a:avLst/>
                    </a:prstGeom>
                  </pic:spPr>
                </pic:pic>
              </a:graphicData>
            </a:graphic>
          </wp:inline>
        </w:drawing>
      </w:r>
    </w:p>
    <w:p w14:paraId="7EEEF3EF" w14:textId="56D2AADF" w:rsidR="00481C21" w:rsidRPr="00604117" w:rsidRDefault="00481C21" w:rsidP="008D2649">
      <w:pPr>
        <w:pStyle w:val="Els-body-text"/>
        <w:spacing w:after="120"/>
        <w:rPr>
          <w:sz w:val="18"/>
          <w:szCs w:val="18"/>
          <w:vertAlign w:val="superscript"/>
        </w:rPr>
      </w:pPr>
      <w:r w:rsidRPr="00604117">
        <w:rPr>
          <w:sz w:val="18"/>
          <w:szCs w:val="18"/>
        </w:rPr>
        <w:t xml:space="preserve">Figure </w:t>
      </w:r>
      <w:r w:rsidR="00B46BAC" w:rsidRPr="00604117">
        <w:rPr>
          <w:noProof/>
          <w:sz w:val="18"/>
          <w:szCs w:val="18"/>
        </w:rPr>
        <w:t>4</w:t>
      </w:r>
      <w:r w:rsidRPr="00604117">
        <w:rPr>
          <w:sz w:val="18"/>
          <w:szCs w:val="18"/>
        </w:rPr>
        <w:t xml:space="preserve"> Iteration #4 of Bayesian Optimization with [BMIM][NTF2]</w:t>
      </w:r>
      <w:r w:rsidRPr="00604117">
        <w:rPr>
          <w:sz w:val="18"/>
          <w:szCs w:val="18"/>
          <w:vertAlign w:val="superscript"/>
        </w:rPr>
        <w:t>-</w:t>
      </w:r>
      <w:r w:rsidRPr="00604117">
        <w:rPr>
          <w:sz w:val="18"/>
          <w:szCs w:val="18"/>
        </w:rPr>
        <w:t xml:space="preserve"> and [EMIM][SCN]</w:t>
      </w:r>
      <w:r w:rsidRPr="00604117">
        <w:rPr>
          <w:sz w:val="18"/>
          <w:szCs w:val="18"/>
          <w:vertAlign w:val="superscript"/>
        </w:rPr>
        <w:t>-</w:t>
      </w:r>
    </w:p>
    <w:p w14:paraId="58CC482E" w14:textId="72CB659B" w:rsidR="0072027D" w:rsidRPr="00604117" w:rsidRDefault="00481C21" w:rsidP="00276D8B">
      <w:pPr>
        <w:pStyle w:val="Els-body-text"/>
        <w:spacing w:after="120"/>
        <w:jc w:val="center"/>
        <w:rPr>
          <w:lang w:val="en-GB"/>
        </w:rPr>
      </w:pPr>
      <w:r w:rsidRPr="00604117">
        <w:rPr>
          <w:noProof/>
        </w:rPr>
        <w:drawing>
          <wp:inline distT="0" distB="0" distL="0" distR="0" wp14:anchorId="0005E0F3" wp14:editId="629BC233">
            <wp:extent cx="3433195" cy="2401200"/>
            <wp:effectExtent l="0" t="0" r="0" b="0"/>
            <wp:docPr id="9" name="Imagen 8">
              <a:extLst xmlns:a="http://schemas.openxmlformats.org/drawingml/2006/main">
                <a:ext uri="{FF2B5EF4-FFF2-40B4-BE49-F238E27FC236}">
                  <a16:creationId xmlns:a16="http://schemas.microsoft.com/office/drawing/2014/main" id="{93812670-9B86-1728-4827-5445D4EEA6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93812670-9B86-1728-4827-5445D4EEA616}"/>
                        </a:ext>
                      </a:extLst>
                    </pic:cNvPr>
                    <pic:cNvPicPr>
                      <a:picLocks noChangeAspect="1"/>
                    </pic:cNvPicPr>
                  </pic:nvPicPr>
                  <pic:blipFill>
                    <a:blip r:embed="rId16">
                      <a:grayscl/>
                    </a:blip>
                    <a:stretch>
                      <a:fillRect/>
                    </a:stretch>
                  </pic:blipFill>
                  <pic:spPr>
                    <a:xfrm>
                      <a:off x="0" y="0"/>
                      <a:ext cx="3433195" cy="2401200"/>
                    </a:xfrm>
                    <a:prstGeom prst="rect">
                      <a:avLst/>
                    </a:prstGeom>
                  </pic:spPr>
                </pic:pic>
              </a:graphicData>
            </a:graphic>
          </wp:inline>
        </w:drawing>
      </w:r>
    </w:p>
    <w:p w14:paraId="72609D7F" w14:textId="62E3A085" w:rsidR="00481C21" w:rsidRPr="00604117" w:rsidRDefault="00481C21" w:rsidP="00B16C43">
      <w:pPr>
        <w:pStyle w:val="Els-body-text"/>
        <w:spacing w:after="120"/>
        <w:rPr>
          <w:sz w:val="18"/>
          <w:szCs w:val="18"/>
          <w:lang w:val="en-GB"/>
        </w:rPr>
      </w:pPr>
      <w:r w:rsidRPr="00604117">
        <w:rPr>
          <w:sz w:val="18"/>
          <w:szCs w:val="18"/>
        </w:rPr>
        <w:t xml:space="preserve">Figure </w:t>
      </w:r>
      <w:r w:rsidR="00B46BAC" w:rsidRPr="00604117">
        <w:rPr>
          <w:noProof/>
          <w:sz w:val="18"/>
          <w:szCs w:val="18"/>
        </w:rPr>
        <w:t>5</w:t>
      </w:r>
      <w:r w:rsidRPr="00604117">
        <w:rPr>
          <w:sz w:val="18"/>
          <w:szCs w:val="18"/>
        </w:rPr>
        <w:t xml:space="preserve"> Iteration #4 of Bayesian Optimization with [BMIM][NTF2]</w:t>
      </w:r>
      <w:r w:rsidRPr="00604117">
        <w:rPr>
          <w:sz w:val="18"/>
          <w:szCs w:val="18"/>
          <w:vertAlign w:val="superscript"/>
        </w:rPr>
        <w:t>-</w:t>
      </w:r>
      <w:r w:rsidRPr="00604117">
        <w:rPr>
          <w:sz w:val="18"/>
          <w:szCs w:val="18"/>
        </w:rPr>
        <w:t xml:space="preserve"> and [BMIM][PF6]</w:t>
      </w:r>
      <w:r w:rsidRPr="00604117">
        <w:rPr>
          <w:sz w:val="18"/>
          <w:szCs w:val="18"/>
          <w:vertAlign w:val="superscript"/>
        </w:rPr>
        <w:t>-</w:t>
      </w:r>
    </w:p>
    <w:p w14:paraId="2C591513" w14:textId="14D83353" w:rsidR="00481C21" w:rsidRPr="00604117" w:rsidRDefault="00481C21" w:rsidP="009C6171">
      <w:pPr>
        <w:pStyle w:val="Descripcin"/>
        <w:keepNext/>
        <w:spacing w:before="120" w:after="0"/>
      </w:pPr>
      <w:r w:rsidRPr="00604117">
        <w:t xml:space="preserve">Table </w:t>
      </w:r>
      <w:r w:rsidR="006275BC" w:rsidRPr="00604117">
        <w:rPr>
          <w:noProof/>
        </w:rPr>
        <w:t>3</w:t>
      </w:r>
      <w:r w:rsidRPr="00604117">
        <w:t xml:space="preserve"> Combination of IL´S suggested by Bayesian Optimization and tested using MDS.</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3"/>
        <w:gridCol w:w="1445"/>
        <w:gridCol w:w="804"/>
        <w:gridCol w:w="1226"/>
        <w:gridCol w:w="1358"/>
        <w:gridCol w:w="804"/>
      </w:tblGrid>
      <w:tr w:rsidR="00604117" w:rsidRPr="00604117" w14:paraId="16B8E2F9" w14:textId="77777777" w:rsidTr="0056664D">
        <w:tc>
          <w:tcPr>
            <w:tcW w:w="1236" w:type="dxa"/>
            <w:tcBorders>
              <w:top w:val="nil"/>
              <w:bottom w:val="single" w:sz="4" w:space="0" w:color="auto"/>
            </w:tcBorders>
            <w:shd w:val="clear" w:color="auto" w:fill="F2F2F2" w:themeFill="background1" w:themeFillShade="F2"/>
          </w:tcPr>
          <w:p w14:paraId="708A3CD0" w14:textId="77777777" w:rsidR="00481C21" w:rsidRPr="00604117" w:rsidRDefault="00481C21" w:rsidP="00DA7F02">
            <w:pPr>
              <w:jc w:val="center"/>
              <w:rPr>
                <w:sz w:val="17"/>
                <w:szCs w:val="17"/>
              </w:rPr>
            </w:pPr>
            <w:r w:rsidRPr="00604117">
              <w:rPr>
                <w:sz w:val="17"/>
                <w:szCs w:val="17"/>
              </w:rPr>
              <w:t>[EMIM][SCN]</w:t>
            </w:r>
            <w:r w:rsidRPr="00604117">
              <w:rPr>
                <w:sz w:val="17"/>
                <w:szCs w:val="17"/>
                <w:vertAlign w:val="superscript"/>
              </w:rPr>
              <w:t>-</w:t>
            </w:r>
          </w:p>
        </w:tc>
        <w:tc>
          <w:tcPr>
            <w:tcW w:w="1445" w:type="dxa"/>
            <w:tcBorders>
              <w:top w:val="nil"/>
              <w:bottom w:val="single" w:sz="4" w:space="0" w:color="auto"/>
            </w:tcBorders>
            <w:shd w:val="clear" w:color="auto" w:fill="F2F2F2" w:themeFill="background1" w:themeFillShade="F2"/>
          </w:tcPr>
          <w:p w14:paraId="024BD946" w14:textId="77777777" w:rsidR="00481C21" w:rsidRPr="00604117" w:rsidRDefault="00481C21" w:rsidP="00DA7F02">
            <w:pPr>
              <w:jc w:val="center"/>
              <w:rPr>
                <w:sz w:val="17"/>
                <w:szCs w:val="17"/>
              </w:rPr>
            </w:pPr>
            <w:r w:rsidRPr="00604117">
              <w:rPr>
                <w:sz w:val="17"/>
                <w:szCs w:val="17"/>
              </w:rPr>
              <w:t>[BMIM][NTF2]</w:t>
            </w:r>
            <w:r w:rsidRPr="00604117">
              <w:rPr>
                <w:sz w:val="17"/>
                <w:szCs w:val="17"/>
                <w:vertAlign w:val="superscript"/>
              </w:rPr>
              <w:t>-</w:t>
            </w:r>
          </w:p>
        </w:tc>
        <w:tc>
          <w:tcPr>
            <w:tcW w:w="804" w:type="dxa"/>
            <w:tcBorders>
              <w:top w:val="nil"/>
              <w:bottom w:val="single" w:sz="4" w:space="0" w:color="auto"/>
            </w:tcBorders>
            <w:shd w:val="clear" w:color="auto" w:fill="F2F2F2" w:themeFill="background1" w:themeFillShade="F2"/>
          </w:tcPr>
          <w:p w14:paraId="32DB0083" w14:textId="77777777" w:rsidR="00481C21" w:rsidRPr="00604117" w:rsidRDefault="00481C21" w:rsidP="00DA7F02">
            <w:pPr>
              <w:jc w:val="center"/>
              <w:rPr>
                <w:sz w:val="17"/>
                <w:szCs w:val="17"/>
              </w:rPr>
            </w:pPr>
            <w:r w:rsidRPr="00604117">
              <w:rPr>
                <w:sz w:val="17"/>
                <w:szCs w:val="17"/>
              </w:rPr>
              <w:t>Henry´s constant (</w:t>
            </w:r>
            <w:proofErr w:type="spellStart"/>
            <w:r w:rsidRPr="00604117">
              <w:rPr>
                <w:sz w:val="17"/>
                <w:szCs w:val="17"/>
              </w:rPr>
              <w:t>atm</w:t>
            </w:r>
            <w:proofErr w:type="spellEnd"/>
            <w:r w:rsidRPr="00604117">
              <w:rPr>
                <w:sz w:val="17"/>
                <w:szCs w:val="17"/>
              </w:rPr>
              <w:t>)</w:t>
            </w:r>
          </w:p>
        </w:tc>
        <w:tc>
          <w:tcPr>
            <w:tcW w:w="1201" w:type="dxa"/>
            <w:tcBorders>
              <w:top w:val="nil"/>
              <w:bottom w:val="single" w:sz="4" w:space="0" w:color="auto"/>
            </w:tcBorders>
            <w:shd w:val="clear" w:color="auto" w:fill="F2F2F2" w:themeFill="background1" w:themeFillShade="F2"/>
          </w:tcPr>
          <w:p w14:paraId="16AF7045" w14:textId="77777777" w:rsidR="00481C21" w:rsidRPr="00604117" w:rsidRDefault="00481C21" w:rsidP="00DA7F02">
            <w:pPr>
              <w:jc w:val="center"/>
              <w:rPr>
                <w:sz w:val="17"/>
                <w:szCs w:val="17"/>
              </w:rPr>
            </w:pPr>
            <w:r w:rsidRPr="00604117">
              <w:rPr>
                <w:sz w:val="17"/>
                <w:szCs w:val="17"/>
              </w:rPr>
              <w:t>[BMIM][PF6]</w:t>
            </w:r>
            <w:r w:rsidRPr="00604117">
              <w:rPr>
                <w:sz w:val="17"/>
                <w:szCs w:val="17"/>
                <w:vertAlign w:val="superscript"/>
              </w:rPr>
              <w:t>-</w:t>
            </w:r>
          </w:p>
        </w:tc>
        <w:tc>
          <w:tcPr>
            <w:tcW w:w="1350" w:type="dxa"/>
            <w:tcBorders>
              <w:top w:val="nil"/>
              <w:bottom w:val="single" w:sz="4" w:space="0" w:color="auto"/>
            </w:tcBorders>
            <w:shd w:val="clear" w:color="auto" w:fill="F2F2F2" w:themeFill="background1" w:themeFillShade="F2"/>
          </w:tcPr>
          <w:p w14:paraId="6372C6E7" w14:textId="77777777" w:rsidR="00481C21" w:rsidRPr="00604117" w:rsidRDefault="00481C21" w:rsidP="00DA7F02">
            <w:pPr>
              <w:jc w:val="center"/>
              <w:rPr>
                <w:sz w:val="17"/>
                <w:szCs w:val="17"/>
              </w:rPr>
            </w:pPr>
            <w:r w:rsidRPr="00604117">
              <w:rPr>
                <w:sz w:val="17"/>
                <w:szCs w:val="17"/>
              </w:rPr>
              <w:t>[BMIM][NTF2]</w:t>
            </w:r>
            <w:r w:rsidRPr="00604117">
              <w:rPr>
                <w:sz w:val="17"/>
                <w:szCs w:val="17"/>
                <w:vertAlign w:val="superscript"/>
              </w:rPr>
              <w:t>-</w:t>
            </w:r>
          </w:p>
        </w:tc>
        <w:tc>
          <w:tcPr>
            <w:tcW w:w="804" w:type="dxa"/>
            <w:tcBorders>
              <w:top w:val="nil"/>
              <w:bottom w:val="single" w:sz="4" w:space="0" w:color="auto"/>
            </w:tcBorders>
            <w:shd w:val="clear" w:color="auto" w:fill="F2F2F2" w:themeFill="background1" w:themeFillShade="F2"/>
          </w:tcPr>
          <w:p w14:paraId="454582D4" w14:textId="77777777" w:rsidR="00481C21" w:rsidRPr="00604117" w:rsidRDefault="00481C21" w:rsidP="00DA7F02">
            <w:pPr>
              <w:jc w:val="center"/>
              <w:rPr>
                <w:sz w:val="17"/>
                <w:szCs w:val="17"/>
              </w:rPr>
            </w:pPr>
            <w:r w:rsidRPr="00604117">
              <w:rPr>
                <w:sz w:val="17"/>
                <w:szCs w:val="17"/>
              </w:rPr>
              <w:t>Henry´s constant (</w:t>
            </w:r>
            <w:proofErr w:type="spellStart"/>
            <w:r w:rsidRPr="00604117">
              <w:rPr>
                <w:sz w:val="17"/>
                <w:szCs w:val="17"/>
              </w:rPr>
              <w:t>atm</w:t>
            </w:r>
            <w:proofErr w:type="spellEnd"/>
            <w:r w:rsidRPr="00604117">
              <w:rPr>
                <w:sz w:val="17"/>
                <w:szCs w:val="17"/>
              </w:rPr>
              <w:t>)</w:t>
            </w:r>
          </w:p>
        </w:tc>
      </w:tr>
      <w:tr w:rsidR="00604117" w:rsidRPr="00604117" w14:paraId="345690C6" w14:textId="77777777" w:rsidTr="0056664D">
        <w:tc>
          <w:tcPr>
            <w:tcW w:w="1236" w:type="dxa"/>
            <w:tcBorders>
              <w:top w:val="single" w:sz="4" w:space="0" w:color="auto"/>
              <w:bottom w:val="nil"/>
            </w:tcBorders>
          </w:tcPr>
          <w:p w14:paraId="4DE829C5" w14:textId="77777777" w:rsidR="00481C21" w:rsidRPr="00604117" w:rsidRDefault="00481C21" w:rsidP="00DA7F02">
            <w:pPr>
              <w:jc w:val="center"/>
              <w:rPr>
                <w:sz w:val="17"/>
                <w:szCs w:val="17"/>
              </w:rPr>
            </w:pPr>
            <w:r w:rsidRPr="00604117">
              <w:rPr>
                <w:sz w:val="17"/>
                <w:szCs w:val="17"/>
              </w:rPr>
              <w:t>0.43</w:t>
            </w:r>
          </w:p>
        </w:tc>
        <w:tc>
          <w:tcPr>
            <w:tcW w:w="1445" w:type="dxa"/>
            <w:tcBorders>
              <w:top w:val="single" w:sz="4" w:space="0" w:color="auto"/>
              <w:bottom w:val="nil"/>
            </w:tcBorders>
          </w:tcPr>
          <w:p w14:paraId="5E975710" w14:textId="77777777" w:rsidR="00481C21" w:rsidRPr="00604117" w:rsidRDefault="00481C21" w:rsidP="00DA7F02">
            <w:pPr>
              <w:jc w:val="center"/>
              <w:rPr>
                <w:sz w:val="17"/>
                <w:szCs w:val="17"/>
              </w:rPr>
            </w:pPr>
            <w:r w:rsidRPr="00604117">
              <w:rPr>
                <w:sz w:val="17"/>
                <w:szCs w:val="17"/>
              </w:rPr>
              <w:t>0.57</w:t>
            </w:r>
          </w:p>
        </w:tc>
        <w:tc>
          <w:tcPr>
            <w:tcW w:w="804" w:type="dxa"/>
            <w:tcBorders>
              <w:top w:val="single" w:sz="4" w:space="0" w:color="auto"/>
              <w:bottom w:val="nil"/>
            </w:tcBorders>
          </w:tcPr>
          <w:p w14:paraId="6EF3DB40" w14:textId="77777777" w:rsidR="00481C21" w:rsidRPr="00604117" w:rsidRDefault="00481C21" w:rsidP="00DA7F02">
            <w:pPr>
              <w:jc w:val="center"/>
              <w:rPr>
                <w:sz w:val="17"/>
                <w:szCs w:val="17"/>
              </w:rPr>
            </w:pPr>
            <w:r w:rsidRPr="00604117">
              <w:rPr>
                <w:sz w:val="17"/>
                <w:szCs w:val="17"/>
              </w:rPr>
              <w:t>980.34</w:t>
            </w:r>
          </w:p>
        </w:tc>
        <w:tc>
          <w:tcPr>
            <w:tcW w:w="1201" w:type="dxa"/>
            <w:tcBorders>
              <w:top w:val="single" w:sz="4" w:space="0" w:color="auto"/>
              <w:bottom w:val="nil"/>
            </w:tcBorders>
          </w:tcPr>
          <w:p w14:paraId="1C2F094F" w14:textId="77777777" w:rsidR="00481C21" w:rsidRPr="00604117" w:rsidRDefault="00481C21" w:rsidP="00DA7F02">
            <w:pPr>
              <w:jc w:val="center"/>
              <w:rPr>
                <w:sz w:val="17"/>
                <w:szCs w:val="17"/>
              </w:rPr>
            </w:pPr>
            <w:r w:rsidRPr="00604117">
              <w:rPr>
                <w:sz w:val="17"/>
                <w:szCs w:val="17"/>
              </w:rPr>
              <w:t>0.41</w:t>
            </w:r>
          </w:p>
        </w:tc>
        <w:tc>
          <w:tcPr>
            <w:tcW w:w="1350" w:type="dxa"/>
            <w:tcBorders>
              <w:top w:val="single" w:sz="4" w:space="0" w:color="auto"/>
              <w:bottom w:val="nil"/>
            </w:tcBorders>
          </w:tcPr>
          <w:p w14:paraId="5384D445" w14:textId="77777777" w:rsidR="00481C21" w:rsidRPr="00604117" w:rsidRDefault="00481C21" w:rsidP="00DA7F02">
            <w:pPr>
              <w:jc w:val="center"/>
              <w:rPr>
                <w:sz w:val="17"/>
                <w:szCs w:val="17"/>
              </w:rPr>
            </w:pPr>
            <w:r w:rsidRPr="00604117">
              <w:rPr>
                <w:sz w:val="17"/>
                <w:szCs w:val="17"/>
              </w:rPr>
              <w:t>0.59</w:t>
            </w:r>
          </w:p>
        </w:tc>
        <w:tc>
          <w:tcPr>
            <w:tcW w:w="804" w:type="dxa"/>
            <w:tcBorders>
              <w:top w:val="single" w:sz="4" w:space="0" w:color="auto"/>
              <w:bottom w:val="nil"/>
            </w:tcBorders>
          </w:tcPr>
          <w:p w14:paraId="29D03A3A" w14:textId="77777777" w:rsidR="00481C21" w:rsidRPr="00604117" w:rsidRDefault="00481C21" w:rsidP="00DA7F02">
            <w:pPr>
              <w:jc w:val="center"/>
              <w:rPr>
                <w:sz w:val="17"/>
                <w:szCs w:val="17"/>
              </w:rPr>
            </w:pPr>
            <w:r w:rsidRPr="00604117">
              <w:rPr>
                <w:sz w:val="17"/>
                <w:szCs w:val="17"/>
              </w:rPr>
              <w:t>937.95</w:t>
            </w:r>
          </w:p>
        </w:tc>
      </w:tr>
      <w:tr w:rsidR="00604117" w:rsidRPr="00604117" w14:paraId="2BAF3D38" w14:textId="77777777" w:rsidTr="0056664D">
        <w:tc>
          <w:tcPr>
            <w:tcW w:w="1236" w:type="dxa"/>
            <w:tcBorders>
              <w:top w:val="nil"/>
              <w:bottom w:val="nil"/>
            </w:tcBorders>
          </w:tcPr>
          <w:p w14:paraId="77FCBD44" w14:textId="77777777" w:rsidR="00481C21" w:rsidRPr="00604117" w:rsidRDefault="00481C21" w:rsidP="00DA7F02">
            <w:pPr>
              <w:jc w:val="center"/>
              <w:rPr>
                <w:sz w:val="17"/>
                <w:szCs w:val="17"/>
              </w:rPr>
            </w:pPr>
            <w:r w:rsidRPr="00604117">
              <w:rPr>
                <w:sz w:val="17"/>
                <w:szCs w:val="17"/>
              </w:rPr>
              <w:t>1.00</w:t>
            </w:r>
          </w:p>
        </w:tc>
        <w:tc>
          <w:tcPr>
            <w:tcW w:w="1445" w:type="dxa"/>
            <w:tcBorders>
              <w:top w:val="nil"/>
              <w:bottom w:val="nil"/>
            </w:tcBorders>
          </w:tcPr>
          <w:p w14:paraId="35F5C287" w14:textId="77777777" w:rsidR="00481C21" w:rsidRPr="00604117" w:rsidRDefault="00481C21" w:rsidP="00DA7F02">
            <w:pPr>
              <w:jc w:val="center"/>
              <w:rPr>
                <w:sz w:val="17"/>
                <w:szCs w:val="17"/>
              </w:rPr>
            </w:pPr>
            <w:r w:rsidRPr="00604117">
              <w:rPr>
                <w:sz w:val="17"/>
                <w:szCs w:val="17"/>
              </w:rPr>
              <w:t>0.00</w:t>
            </w:r>
          </w:p>
        </w:tc>
        <w:tc>
          <w:tcPr>
            <w:tcW w:w="804" w:type="dxa"/>
            <w:tcBorders>
              <w:top w:val="nil"/>
              <w:bottom w:val="nil"/>
            </w:tcBorders>
          </w:tcPr>
          <w:p w14:paraId="30349361" w14:textId="77777777" w:rsidR="00481C21" w:rsidRPr="00604117" w:rsidRDefault="00481C21" w:rsidP="00DA7F02">
            <w:pPr>
              <w:jc w:val="center"/>
              <w:rPr>
                <w:sz w:val="17"/>
                <w:szCs w:val="17"/>
              </w:rPr>
            </w:pPr>
            <w:r w:rsidRPr="00604117">
              <w:rPr>
                <w:sz w:val="17"/>
                <w:szCs w:val="17"/>
              </w:rPr>
              <w:t>458.37</w:t>
            </w:r>
          </w:p>
        </w:tc>
        <w:tc>
          <w:tcPr>
            <w:tcW w:w="1201" w:type="dxa"/>
            <w:tcBorders>
              <w:top w:val="nil"/>
              <w:bottom w:val="nil"/>
            </w:tcBorders>
          </w:tcPr>
          <w:p w14:paraId="6C06BE03" w14:textId="77777777" w:rsidR="00481C21" w:rsidRPr="00604117" w:rsidRDefault="00481C21" w:rsidP="00DA7F02">
            <w:pPr>
              <w:jc w:val="center"/>
              <w:rPr>
                <w:sz w:val="17"/>
                <w:szCs w:val="17"/>
              </w:rPr>
            </w:pPr>
            <w:r w:rsidRPr="00604117">
              <w:rPr>
                <w:sz w:val="17"/>
                <w:szCs w:val="17"/>
              </w:rPr>
              <w:t>1</w:t>
            </w:r>
          </w:p>
        </w:tc>
        <w:tc>
          <w:tcPr>
            <w:tcW w:w="1350" w:type="dxa"/>
            <w:tcBorders>
              <w:top w:val="nil"/>
              <w:bottom w:val="nil"/>
            </w:tcBorders>
          </w:tcPr>
          <w:p w14:paraId="59B467C2" w14:textId="77777777" w:rsidR="00481C21" w:rsidRPr="00604117" w:rsidRDefault="00481C21" w:rsidP="00DA7F02">
            <w:pPr>
              <w:jc w:val="center"/>
              <w:rPr>
                <w:sz w:val="17"/>
                <w:szCs w:val="17"/>
              </w:rPr>
            </w:pPr>
            <w:r w:rsidRPr="00604117">
              <w:rPr>
                <w:sz w:val="17"/>
                <w:szCs w:val="17"/>
              </w:rPr>
              <w:t>0</w:t>
            </w:r>
          </w:p>
        </w:tc>
        <w:tc>
          <w:tcPr>
            <w:tcW w:w="804" w:type="dxa"/>
            <w:tcBorders>
              <w:top w:val="nil"/>
              <w:bottom w:val="nil"/>
            </w:tcBorders>
          </w:tcPr>
          <w:p w14:paraId="78FD6241" w14:textId="77777777" w:rsidR="00481C21" w:rsidRPr="00604117" w:rsidRDefault="00481C21" w:rsidP="00DA7F02">
            <w:pPr>
              <w:jc w:val="center"/>
              <w:rPr>
                <w:sz w:val="17"/>
                <w:szCs w:val="17"/>
              </w:rPr>
            </w:pPr>
            <w:r w:rsidRPr="00604117">
              <w:rPr>
                <w:sz w:val="17"/>
                <w:szCs w:val="17"/>
              </w:rPr>
              <w:t>738.1</w:t>
            </w:r>
          </w:p>
        </w:tc>
      </w:tr>
      <w:tr w:rsidR="00604117" w:rsidRPr="00604117" w14:paraId="6370C396" w14:textId="77777777" w:rsidTr="0056664D">
        <w:tc>
          <w:tcPr>
            <w:tcW w:w="1236" w:type="dxa"/>
            <w:tcBorders>
              <w:top w:val="nil"/>
              <w:bottom w:val="nil"/>
            </w:tcBorders>
          </w:tcPr>
          <w:p w14:paraId="7CCC4C81" w14:textId="77777777" w:rsidR="00481C21" w:rsidRPr="00604117" w:rsidRDefault="00481C21" w:rsidP="00DA7F02">
            <w:pPr>
              <w:jc w:val="center"/>
              <w:rPr>
                <w:sz w:val="17"/>
                <w:szCs w:val="17"/>
              </w:rPr>
            </w:pPr>
            <w:r w:rsidRPr="00604117">
              <w:rPr>
                <w:sz w:val="17"/>
                <w:szCs w:val="17"/>
              </w:rPr>
              <w:t>0.41</w:t>
            </w:r>
          </w:p>
        </w:tc>
        <w:tc>
          <w:tcPr>
            <w:tcW w:w="1445" w:type="dxa"/>
            <w:tcBorders>
              <w:top w:val="nil"/>
              <w:bottom w:val="nil"/>
            </w:tcBorders>
          </w:tcPr>
          <w:p w14:paraId="449FF5C9" w14:textId="77777777" w:rsidR="00481C21" w:rsidRPr="00604117" w:rsidRDefault="00481C21" w:rsidP="00DA7F02">
            <w:pPr>
              <w:jc w:val="center"/>
              <w:rPr>
                <w:sz w:val="17"/>
                <w:szCs w:val="17"/>
              </w:rPr>
            </w:pPr>
            <w:r w:rsidRPr="00604117">
              <w:rPr>
                <w:sz w:val="17"/>
                <w:szCs w:val="17"/>
              </w:rPr>
              <w:t>0.59</w:t>
            </w:r>
          </w:p>
        </w:tc>
        <w:tc>
          <w:tcPr>
            <w:tcW w:w="804" w:type="dxa"/>
            <w:tcBorders>
              <w:top w:val="nil"/>
              <w:bottom w:val="nil"/>
            </w:tcBorders>
          </w:tcPr>
          <w:p w14:paraId="47A502DA" w14:textId="77777777" w:rsidR="00481C21" w:rsidRPr="00604117" w:rsidRDefault="00481C21" w:rsidP="00DA7F02">
            <w:pPr>
              <w:jc w:val="center"/>
              <w:rPr>
                <w:sz w:val="17"/>
                <w:szCs w:val="17"/>
              </w:rPr>
            </w:pPr>
            <w:r w:rsidRPr="00604117">
              <w:rPr>
                <w:sz w:val="17"/>
                <w:szCs w:val="17"/>
              </w:rPr>
              <w:t>995.3</w:t>
            </w:r>
          </w:p>
        </w:tc>
        <w:tc>
          <w:tcPr>
            <w:tcW w:w="1201" w:type="dxa"/>
            <w:tcBorders>
              <w:top w:val="nil"/>
              <w:bottom w:val="nil"/>
            </w:tcBorders>
          </w:tcPr>
          <w:p w14:paraId="206B2F14" w14:textId="77777777" w:rsidR="00481C21" w:rsidRPr="00604117" w:rsidRDefault="00481C21" w:rsidP="00DA7F02">
            <w:pPr>
              <w:jc w:val="center"/>
              <w:rPr>
                <w:sz w:val="17"/>
                <w:szCs w:val="17"/>
              </w:rPr>
            </w:pPr>
            <w:r w:rsidRPr="00604117">
              <w:rPr>
                <w:sz w:val="17"/>
                <w:szCs w:val="17"/>
              </w:rPr>
              <w:t>0.2</w:t>
            </w:r>
          </w:p>
        </w:tc>
        <w:tc>
          <w:tcPr>
            <w:tcW w:w="1350" w:type="dxa"/>
            <w:tcBorders>
              <w:top w:val="nil"/>
              <w:bottom w:val="nil"/>
            </w:tcBorders>
          </w:tcPr>
          <w:p w14:paraId="4AF9C97D" w14:textId="77777777" w:rsidR="00481C21" w:rsidRPr="00604117" w:rsidRDefault="00481C21" w:rsidP="00DA7F02">
            <w:pPr>
              <w:jc w:val="center"/>
              <w:rPr>
                <w:sz w:val="17"/>
                <w:szCs w:val="17"/>
              </w:rPr>
            </w:pPr>
            <w:r w:rsidRPr="00604117">
              <w:rPr>
                <w:sz w:val="17"/>
                <w:szCs w:val="17"/>
              </w:rPr>
              <w:t>0.8</w:t>
            </w:r>
          </w:p>
        </w:tc>
        <w:tc>
          <w:tcPr>
            <w:tcW w:w="804" w:type="dxa"/>
            <w:tcBorders>
              <w:top w:val="nil"/>
              <w:bottom w:val="nil"/>
            </w:tcBorders>
          </w:tcPr>
          <w:p w14:paraId="6BB3953A" w14:textId="77777777" w:rsidR="00481C21" w:rsidRPr="00604117" w:rsidRDefault="00481C21" w:rsidP="00DA7F02">
            <w:pPr>
              <w:jc w:val="center"/>
              <w:rPr>
                <w:sz w:val="17"/>
                <w:szCs w:val="17"/>
              </w:rPr>
            </w:pPr>
            <w:r w:rsidRPr="00604117">
              <w:rPr>
                <w:sz w:val="17"/>
                <w:szCs w:val="17"/>
              </w:rPr>
              <w:t>1014.4</w:t>
            </w:r>
          </w:p>
        </w:tc>
      </w:tr>
      <w:tr w:rsidR="00604117" w:rsidRPr="00604117" w14:paraId="18F7E50C" w14:textId="77777777" w:rsidTr="0056664D">
        <w:tc>
          <w:tcPr>
            <w:tcW w:w="1236" w:type="dxa"/>
            <w:tcBorders>
              <w:top w:val="nil"/>
              <w:bottom w:val="nil"/>
            </w:tcBorders>
          </w:tcPr>
          <w:p w14:paraId="780C3285" w14:textId="77777777" w:rsidR="00481C21" w:rsidRPr="00604117" w:rsidRDefault="00481C21" w:rsidP="00DA7F02">
            <w:pPr>
              <w:jc w:val="center"/>
              <w:rPr>
                <w:sz w:val="17"/>
                <w:szCs w:val="17"/>
              </w:rPr>
            </w:pPr>
            <w:r w:rsidRPr="00604117">
              <w:rPr>
                <w:sz w:val="17"/>
                <w:szCs w:val="17"/>
              </w:rPr>
              <w:t>0.88</w:t>
            </w:r>
          </w:p>
        </w:tc>
        <w:tc>
          <w:tcPr>
            <w:tcW w:w="1445" w:type="dxa"/>
            <w:tcBorders>
              <w:top w:val="nil"/>
              <w:bottom w:val="nil"/>
            </w:tcBorders>
          </w:tcPr>
          <w:p w14:paraId="06FB2124" w14:textId="77777777" w:rsidR="00481C21" w:rsidRPr="00604117" w:rsidRDefault="00481C21" w:rsidP="00DA7F02">
            <w:pPr>
              <w:jc w:val="center"/>
              <w:rPr>
                <w:sz w:val="17"/>
                <w:szCs w:val="17"/>
              </w:rPr>
            </w:pPr>
            <w:r w:rsidRPr="00604117">
              <w:rPr>
                <w:sz w:val="17"/>
                <w:szCs w:val="17"/>
              </w:rPr>
              <w:t>0.12</w:t>
            </w:r>
          </w:p>
        </w:tc>
        <w:tc>
          <w:tcPr>
            <w:tcW w:w="804" w:type="dxa"/>
            <w:tcBorders>
              <w:top w:val="nil"/>
              <w:bottom w:val="nil"/>
            </w:tcBorders>
          </w:tcPr>
          <w:p w14:paraId="6B330943" w14:textId="77777777" w:rsidR="00481C21" w:rsidRPr="00604117" w:rsidRDefault="00481C21" w:rsidP="00DA7F02">
            <w:pPr>
              <w:jc w:val="center"/>
              <w:rPr>
                <w:sz w:val="17"/>
                <w:szCs w:val="17"/>
              </w:rPr>
            </w:pPr>
            <w:r w:rsidRPr="00604117">
              <w:rPr>
                <w:sz w:val="17"/>
                <w:szCs w:val="17"/>
              </w:rPr>
              <w:t>549.5</w:t>
            </w:r>
          </w:p>
        </w:tc>
        <w:tc>
          <w:tcPr>
            <w:tcW w:w="1201" w:type="dxa"/>
            <w:tcBorders>
              <w:top w:val="nil"/>
              <w:bottom w:val="nil"/>
            </w:tcBorders>
          </w:tcPr>
          <w:p w14:paraId="1FF74F78" w14:textId="77777777" w:rsidR="00481C21" w:rsidRPr="00604117" w:rsidRDefault="00481C21" w:rsidP="00DA7F02">
            <w:pPr>
              <w:jc w:val="center"/>
              <w:rPr>
                <w:sz w:val="17"/>
                <w:szCs w:val="17"/>
              </w:rPr>
            </w:pPr>
            <w:r w:rsidRPr="00604117">
              <w:rPr>
                <w:sz w:val="17"/>
                <w:szCs w:val="17"/>
              </w:rPr>
              <w:t>0.67</w:t>
            </w:r>
          </w:p>
        </w:tc>
        <w:tc>
          <w:tcPr>
            <w:tcW w:w="1350" w:type="dxa"/>
            <w:tcBorders>
              <w:top w:val="nil"/>
              <w:bottom w:val="nil"/>
            </w:tcBorders>
          </w:tcPr>
          <w:p w14:paraId="6DB07972" w14:textId="77777777" w:rsidR="00481C21" w:rsidRPr="00604117" w:rsidRDefault="00481C21" w:rsidP="00DA7F02">
            <w:pPr>
              <w:jc w:val="center"/>
              <w:rPr>
                <w:sz w:val="17"/>
                <w:szCs w:val="17"/>
              </w:rPr>
            </w:pPr>
            <w:r w:rsidRPr="00604117">
              <w:rPr>
                <w:sz w:val="17"/>
                <w:szCs w:val="17"/>
              </w:rPr>
              <w:t>0.33</w:t>
            </w:r>
          </w:p>
        </w:tc>
        <w:tc>
          <w:tcPr>
            <w:tcW w:w="804" w:type="dxa"/>
            <w:tcBorders>
              <w:top w:val="nil"/>
              <w:bottom w:val="nil"/>
            </w:tcBorders>
          </w:tcPr>
          <w:p w14:paraId="262FF5DD" w14:textId="77777777" w:rsidR="00481C21" w:rsidRPr="00604117" w:rsidRDefault="00481C21" w:rsidP="00DA7F02">
            <w:pPr>
              <w:jc w:val="center"/>
              <w:rPr>
                <w:sz w:val="17"/>
                <w:szCs w:val="17"/>
              </w:rPr>
            </w:pPr>
            <w:r w:rsidRPr="00604117">
              <w:rPr>
                <w:sz w:val="17"/>
                <w:szCs w:val="17"/>
              </w:rPr>
              <w:t>850.02</w:t>
            </w:r>
          </w:p>
        </w:tc>
      </w:tr>
      <w:tr w:rsidR="00604117" w:rsidRPr="00604117" w14:paraId="0E604D03" w14:textId="77777777" w:rsidTr="0056664D">
        <w:tc>
          <w:tcPr>
            <w:tcW w:w="1236" w:type="dxa"/>
            <w:tcBorders>
              <w:top w:val="nil"/>
              <w:bottom w:val="nil"/>
            </w:tcBorders>
          </w:tcPr>
          <w:p w14:paraId="791AB4F4" w14:textId="77777777" w:rsidR="00481C21" w:rsidRPr="00604117" w:rsidRDefault="00481C21" w:rsidP="00DA7F02">
            <w:pPr>
              <w:jc w:val="center"/>
              <w:rPr>
                <w:sz w:val="17"/>
                <w:szCs w:val="17"/>
              </w:rPr>
            </w:pPr>
            <w:r w:rsidRPr="00604117">
              <w:rPr>
                <w:sz w:val="17"/>
                <w:szCs w:val="17"/>
              </w:rPr>
              <w:t>0.00</w:t>
            </w:r>
          </w:p>
        </w:tc>
        <w:tc>
          <w:tcPr>
            <w:tcW w:w="1445" w:type="dxa"/>
            <w:tcBorders>
              <w:top w:val="nil"/>
              <w:bottom w:val="nil"/>
            </w:tcBorders>
          </w:tcPr>
          <w:p w14:paraId="109CEC4E" w14:textId="77777777" w:rsidR="00481C21" w:rsidRPr="00604117" w:rsidRDefault="00481C21" w:rsidP="00DA7F02">
            <w:pPr>
              <w:jc w:val="center"/>
              <w:rPr>
                <w:sz w:val="17"/>
                <w:szCs w:val="17"/>
              </w:rPr>
            </w:pPr>
            <w:r w:rsidRPr="00604117">
              <w:rPr>
                <w:sz w:val="17"/>
                <w:szCs w:val="17"/>
              </w:rPr>
              <w:t>1.00</w:t>
            </w:r>
          </w:p>
        </w:tc>
        <w:tc>
          <w:tcPr>
            <w:tcW w:w="804" w:type="dxa"/>
            <w:tcBorders>
              <w:top w:val="nil"/>
              <w:bottom w:val="nil"/>
            </w:tcBorders>
          </w:tcPr>
          <w:p w14:paraId="6F2222F5" w14:textId="77777777" w:rsidR="00481C21" w:rsidRPr="00604117" w:rsidRDefault="00481C21" w:rsidP="00DA7F02">
            <w:pPr>
              <w:jc w:val="center"/>
              <w:rPr>
                <w:sz w:val="17"/>
                <w:szCs w:val="17"/>
              </w:rPr>
            </w:pPr>
            <w:r w:rsidRPr="00604117">
              <w:rPr>
                <w:sz w:val="17"/>
                <w:szCs w:val="17"/>
              </w:rPr>
              <w:t>1368.14</w:t>
            </w:r>
          </w:p>
        </w:tc>
        <w:tc>
          <w:tcPr>
            <w:tcW w:w="1201" w:type="dxa"/>
            <w:tcBorders>
              <w:top w:val="nil"/>
              <w:bottom w:val="nil"/>
            </w:tcBorders>
          </w:tcPr>
          <w:p w14:paraId="0BA3FACE" w14:textId="77777777" w:rsidR="00481C21" w:rsidRPr="00604117" w:rsidRDefault="00481C21" w:rsidP="00DA7F02">
            <w:pPr>
              <w:jc w:val="center"/>
              <w:rPr>
                <w:sz w:val="17"/>
                <w:szCs w:val="17"/>
              </w:rPr>
            </w:pPr>
            <w:r w:rsidRPr="00604117">
              <w:rPr>
                <w:sz w:val="17"/>
                <w:szCs w:val="17"/>
              </w:rPr>
              <w:t>0</w:t>
            </w:r>
          </w:p>
        </w:tc>
        <w:tc>
          <w:tcPr>
            <w:tcW w:w="1350" w:type="dxa"/>
            <w:tcBorders>
              <w:top w:val="nil"/>
              <w:bottom w:val="nil"/>
            </w:tcBorders>
          </w:tcPr>
          <w:p w14:paraId="2CD97698" w14:textId="77777777" w:rsidR="00481C21" w:rsidRPr="00604117" w:rsidRDefault="00481C21" w:rsidP="00DA7F02">
            <w:pPr>
              <w:jc w:val="center"/>
              <w:rPr>
                <w:sz w:val="17"/>
                <w:szCs w:val="17"/>
              </w:rPr>
            </w:pPr>
            <w:r w:rsidRPr="00604117">
              <w:rPr>
                <w:sz w:val="17"/>
                <w:szCs w:val="17"/>
              </w:rPr>
              <w:t>1</w:t>
            </w:r>
          </w:p>
        </w:tc>
        <w:tc>
          <w:tcPr>
            <w:tcW w:w="804" w:type="dxa"/>
            <w:tcBorders>
              <w:top w:val="nil"/>
              <w:bottom w:val="nil"/>
            </w:tcBorders>
          </w:tcPr>
          <w:p w14:paraId="2DA7832E" w14:textId="77777777" w:rsidR="00481C21" w:rsidRPr="00604117" w:rsidRDefault="00481C21" w:rsidP="00DA7F02">
            <w:pPr>
              <w:jc w:val="center"/>
              <w:rPr>
                <w:sz w:val="17"/>
                <w:szCs w:val="17"/>
              </w:rPr>
            </w:pPr>
            <w:r w:rsidRPr="00604117">
              <w:rPr>
                <w:sz w:val="17"/>
                <w:szCs w:val="17"/>
              </w:rPr>
              <w:t>1094</w:t>
            </w:r>
          </w:p>
        </w:tc>
      </w:tr>
      <w:tr w:rsidR="00604117" w:rsidRPr="00604117" w14:paraId="30C2B3BD" w14:textId="77777777" w:rsidTr="0056664D">
        <w:tc>
          <w:tcPr>
            <w:tcW w:w="1236" w:type="dxa"/>
            <w:tcBorders>
              <w:top w:val="nil"/>
              <w:bottom w:val="single" w:sz="4" w:space="0" w:color="auto"/>
            </w:tcBorders>
          </w:tcPr>
          <w:p w14:paraId="1F7722A4" w14:textId="77777777" w:rsidR="00481C21" w:rsidRPr="00604117" w:rsidRDefault="00481C21" w:rsidP="00DA7F02">
            <w:pPr>
              <w:jc w:val="center"/>
              <w:rPr>
                <w:sz w:val="17"/>
                <w:szCs w:val="17"/>
              </w:rPr>
            </w:pPr>
            <w:r w:rsidRPr="00604117">
              <w:rPr>
                <w:sz w:val="17"/>
                <w:szCs w:val="17"/>
              </w:rPr>
              <w:t>0.23</w:t>
            </w:r>
          </w:p>
        </w:tc>
        <w:tc>
          <w:tcPr>
            <w:tcW w:w="1445" w:type="dxa"/>
            <w:tcBorders>
              <w:top w:val="nil"/>
              <w:bottom w:val="single" w:sz="4" w:space="0" w:color="auto"/>
            </w:tcBorders>
          </w:tcPr>
          <w:p w14:paraId="3878AA0C" w14:textId="77777777" w:rsidR="00481C21" w:rsidRPr="00604117" w:rsidRDefault="00481C21" w:rsidP="00DA7F02">
            <w:pPr>
              <w:jc w:val="center"/>
              <w:rPr>
                <w:sz w:val="17"/>
                <w:szCs w:val="17"/>
              </w:rPr>
            </w:pPr>
            <w:r w:rsidRPr="00604117">
              <w:rPr>
                <w:sz w:val="17"/>
                <w:szCs w:val="17"/>
              </w:rPr>
              <w:t>0.77</w:t>
            </w:r>
          </w:p>
        </w:tc>
        <w:tc>
          <w:tcPr>
            <w:tcW w:w="804" w:type="dxa"/>
            <w:tcBorders>
              <w:top w:val="nil"/>
              <w:bottom w:val="single" w:sz="4" w:space="0" w:color="auto"/>
            </w:tcBorders>
          </w:tcPr>
          <w:p w14:paraId="0820583E" w14:textId="77777777" w:rsidR="00481C21" w:rsidRPr="00604117" w:rsidRDefault="00481C21" w:rsidP="00DA7F02">
            <w:pPr>
              <w:jc w:val="center"/>
              <w:rPr>
                <w:sz w:val="17"/>
                <w:szCs w:val="17"/>
              </w:rPr>
            </w:pPr>
            <w:r w:rsidRPr="00604117">
              <w:rPr>
                <w:sz w:val="17"/>
                <w:szCs w:val="17"/>
              </w:rPr>
              <w:t>1159.13</w:t>
            </w:r>
          </w:p>
        </w:tc>
        <w:tc>
          <w:tcPr>
            <w:tcW w:w="1201" w:type="dxa"/>
            <w:tcBorders>
              <w:top w:val="nil"/>
              <w:bottom w:val="single" w:sz="4" w:space="0" w:color="auto"/>
            </w:tcBorders>
          </w:tcPr>
          <w:p w14:paraId="5BE5F9BF" w14:textId="77777777" w:rsidR="00481C21" w:rsidRPr="00604117" w:rsidRDefault="00481C21" w:rsidP="00DA7F02">
            <w:pPr>
              <w:jc w:val="center"/>
              <w:rPr>
                <w:sz w:val="17"/>
                <w:szCs w:val="17"/>
              </w:rPr>
            </w:pPr>
            <w:r w:rsidRPr="00604117">
              <w:rPr>
                <w:sz w:val="17"/>
                <w:szCs w:val="17"/>
              </w:rPr>
              <w:t>0.11</w:t>
            </w:r>
          </w:p>
        </w:tc>
        <w:tc>
          <w:tcPr>
            <w:tcW w:w="1350" w:type="dxa"/>
            <w:tcBorders>
              <w:top w:val="nil"/>
              <w:bottom w:val="single" w:sz="4" w:space="0" w:color="auto"/>
            </w:tcBorders>
          </w:tcPr>
          <w:p w14:paraId="20AAE935" w14:textId="77777777" w:rsidR="00481C21" w:rsidRPr="00604117" w:rsidRDefault="00481C21" w:rsidP="00DA7F02">
            <w:pPr>
              <w:jc w:val="center"/>
              <w:rPr>
                <w:sz w:val="17"/>
                <w:szCs w:val="17"/>
              </w:rPr>
            </w:pPr>
            <w:r w:rsidRPr="00604117">
              <w:rPr>
                <w:sz w:val="17"/>
                <w:szCs w:val="17"/>
              </w:rPr>
              <w:t>0.89</w:t>
            </w:r>
          </w:p>
        </w:tc>
        <w:tc>
          <w:tcPr>
            <w:tcW w:w="804" w:type="dxa"/>
            <w:tcBorders>
              <w:top w:val="nil"/>
              <w:bottom w:val="single" w:sz="4" w:space="0" w:color="auto"/>
            </w:tcBorders>
          </w:tcPr>
          <w:p w14:paraId="57C16168" w14:textId="77777777" w:rsidR="00481C21" w:rsidRPr="00604117" w:rsidRDefault="00481C21" w:rsidP="00DA7F02">
            <w:pPr>
              <w:jc w:val="center"/>
              <w:rPr>
                <w:sz w:val="17"/>
                <w:szCs w:val="17"/>
              </w:rPr>
            </w:pPr>
            <w:r w:rsidRPr="00604117">
              <w:rPr>
                <w:sz w:val="17"/>
                <w:szCs w:val="17"/>
              </w:rPr>
              <w:t>1053.62</w:t>
            </w:r>
          </w:p>
        </w:tc>
      </w:tr>
    </w:tbl>
    <w:p w14:paraId="144DE6BA" w14:textId="77777777" w:rsidR="008D2649" w:rsidRPr="00604117" w:rsidRDefault="008D2649" w:rsidP="008D2649">
      <w:pPr>
        <w:pStyle w:val="Els-1storder-head"/>
        <w:spacing w:after="120"/>
        <w:rPr>
          <w:lang w:val="en-GB"/>
        </w:rPr>
      </w:pPr>
      <w:r w:rsidRPr="00604117">
        <w:rPr>
          <w:lang w:val="en-GB"/>
        </w:rPr>
        <w:lastRenderedPageBreak/>
        <w:t>Conclusions</w:t>
      </w:r>
    </w:p>
    <w:p w14:paraId="2F973CA2" w14:textId="1B1ED8C1" w:rsidR="00507ED7" w:rsidRPr="00604117" w:rsidRDefault="00A470F6" w:rsidP="00A470F6">
      <w:pPr>
        <w:pStyle w:val="Els-body-text"/>
        <w:rPr>
          <w:lang w:val="en-GB"/>
        </w:rPr>
      </w:pPr>
      <w:r w:rsidRPr="00604117">
        <w:rPr>
          <w:lang w:val="en-GB"/>
        </w:rPr>
        <w:t>MDS and BO are useful tools in different fields, such as chemical engineering and ML, on their own. The simultaneous use of these has shown to be useful for the problem posed in this work.</w:t>
      </w:r>
      <w:r w:rsidR="00CE3405" w:rsidRPr="00604117">
        <w:rPr>
          <w:lang w:val="en-GB"/>
        </w:rPr>
        <w:t xml:space="preserve"> </w:t>
      </w:r>
      <w:r w:rsidR="00560879" w:rsidRPr="00604117">
        <w:rPr>
          <w:lang w:val="en-GB"/>
        </w:rPr>
        <w:t>From the results, it has been demonstrated that pure IL [BMIM][NTF2] is a good CO</w:t>
      </w:r>
      <w:r w:rsidR="00560879" w:rsidRPr="00604117">
        <w:rPr>
          <w:vertAlign w:val="subscript"/>
          <w:lang w:val="en-GB"/>
        </w:rPr>
        <w:t>2</w:t>
      </w:r>
      <w:r w:rsidR="00560879" w:rsidRPr="00604117">
        <w:rPr>
          <w:lang w:val="en-GB"/>
        </w:rPr>
        <w:t xml:space="preserve"> absorber. The methodology used and the results obtained motivate us to continue in this line and to continue exploring other mixtures of ILs that produce better results. On the other hand, a useful and interesting analysis would be to consider the costs of ILs </w:t>
      </w:r>
      <w:proofErr w:type="gramStart"/>
      <w:r w:rsidR="00560879" w:rsidRPr="00604117">
        <w:rPr>
          <w:lang w:val="en-GB"/>
        </w:rPr>
        <w:t>in order to</w:t>
      </w:r>
      <w:proofErr w:type="gramEnd"/>
      <w:r w:rsidR="00560879" w:rsidRPr="00604117">
        <w:rPr>
          <w:lang w:val="en-GB"/>
        </w:rPr>
        <w:t xml:space="preserve"> find an optimal mixture of ILs that absorbs a greater amount of CO</w:t>
      </w:r>
      <w:r w:rsidR="00560879" w:rsidRPr="00604117">
        <w:rPr>
          <w:vertAlign w:val="subscript"/>
          <w:lang w:val="en-GB"/>
        </w:rPr>
        <w:t>2</w:t>
      </w:r>
      <w:r w:rsidR="00560879" w:rsidRPr="00604117">
        <w:rPr>
          <w:lang w:val="en-GB"/>
        </w:rPr>
        <w:t xml:space="preserve"> and also takes into account the costs of each IL. </w:t>
      </w:r>
      <w:r w:rsidRPr="00604117">
        <w:rPr>
          <w:lang w:val="en-GB"/>
        </w:rPr>
        <w:t>Other known techniques make use of solvation free energy, thermodynamic integration,</w:t>
      </w:r>
      <w:r w:rsidR="00B811A7" w:rsidRPr="00604117">
        <w:rPr>
          <w:lang w:val="en-GB"/>
        </w:rPr>
        <w:t xml:space="preserve"> </w:t>
      </w:r>
      <w:r w:rsidRPr="00604117">
        <w:rPr>
          <w:lang w:val="en-GB"/>
        </w:rPr>
        <w:t>equations of state, etc. to calculate solubility. These techniques should be explored in the future.</w:t>
      </w:r>
    </w:p>
    <w:p w14:paraId="144DE6BF" w14:textId="608D0AD6" w:rsidR="008D2649" w:rsidRPr="00604117" w:rsidRDefault="008D2649" w:rsidP="008D2649">
      <w:pPr>
        <w:pStyle w:val="Els-reference-head"/>
      </w:pPr>
      <w:r w:rsidRPr="00604117">
        <w:t>References</w:t>
      </w:r>
    </w:p>
    <w:p w14:paraId="58F3EB25" w14:textId="26462209" w:rsidR="00926E1E" w:rsidRPr="00604117" w:rsidRDefault="00926E1E" w:rsidP="00745D25">
      <w:pPr>
        <w:autoSpaceDE w:val="0"/>
        <w:autoSpaceDN w:val="0"/>
        <w:ind w:left="284" w:hanging="284"/>
        <w:jc w:val="both"/>
        <w:rPr>
          <w:sz w:val="18"/>
          <w:szCs w:val="18"/>
          <w:lang w:val="en-US"/>
        </w:rPr>
      </w:pPr>
      <w:proofErr w:type="spellStart"/>
      <w:r w:rsidRPr="00604117">
        <w:rPr>
          <w:sz w:val="18"/>
          <w:szCs w:val="18"/>
          <w:lang w:val="en-US"/>
        </w:rPr>
        <w:t>Babarao</w:t>
      </w:r>
      <w:proofErr w:type="spellEnd"/>
      <w:r w:rsidRPr="00604117">
        <w:rPr>
          <w:sz w:val="18"/>
          <w:szCs w:val="18"/>
          <w:lang w:val="en-US"/>
        </w:rPr>
        <w:t xml:space="preserve">, R., Dai, S., &amp; Jiang, D. (2011). Understanding the High Solubility of CO 2 in an Ionic Liquid with the </w:t>
      </w:r>
      <w:proofErr w:type="spellStart"/>
      <w:r w:rsidRPr="00604117">
        <w:rPr>
          <w:sz w:val="18"/>
          <w:szCs w:val="18"/>
          <w:lang w:val="en-US"/>
        </w:rPr>
        <w:t>Tetracyanoborate</w:t>
      </w:r>
      <w:proofErr w:type="spellEnd"/>
      <w:r w:rsidRPr="00604117">
        <w:rPr>
          <w:sz w:val="18"/>
          <w:szCs w:val="18"/>
          <w:lang w:val="en-US"/>
        </w:rPr>
        <w:t xml:space="preserve"> Anion. The Journal of Physical Chemistry B, 115(32), 9789–9794. </w:t>
      </w:r>
      <w:hyperlink r:id="rId17" w:history="1">
        <w:r w:rsidRPr="00604117">
          <w:rPr>
            <w:rStyle w:val="Hipervnculo"/>
            <w:color w:val="auto"/>
            <w:sz w:val="18"/>
            <w:szCs w:val="18"/>
            <w:u w:val="none"/>
            <w:lang w:val="en-US"/>
          </w:rPr>
          <w:t>https://doi.org/10.1021/jp205399r</w:t>
        </w:r>
      </w:hyperlink>
    </w:p>
    <w:p w14:paraId="28DE08FA" w14:textId="432E367E" w:rsidR="00926E1E" w:rsidRPr="00604117" w:rsidRDefault="00926E1E" w:rsidP="00745D25">
      <w:pPr>
        <w:autoSpaceDE w:val="0"/>
        <w:autoSpaceDN w:val="0"/>
        <w:ind w:left="284" w:hanging="284"/>
        <w:jc w:val="both"/>
        <w:rPr>
          <w:sz w:val="18"/>
          <w:szCs w:val="18"/>
          <w:lang w:val="en-US"/>
        </w:rPr>
      </w:pPr>
      <w:r w:rsidRPr="00604117">
        <w:rPr>
          <w:sz w:val="18"/>
          <w:szCs w:val="18"/>
          <w:lang w:val="en-US"/>
        </w:rPr>
        <w:t xml:space="preserve">Blanchard, L. A., </w:t>
      </w:r>
      <w:proofErr w:type="spellStart"/>
      <w:r w:rsidRPr="00604117">
        <w:rPr>
          <w:sz w:val="18"/>
          <w:szCs w:val="18"/>
          <w:lang w:val="en-US"/>
        </w:rPr>
        <w:t>Hancu</w:t>
      </w:r>
      <w:proofErr w:type="spellEnd"/>
      <w:r w:rsidRPr="00604117">
        <w:rPr>
          <w:sz w:val="18"/>
          <w:szCs w:val="18"/>
          <w:lang w:val="en-US"/>
        </w:rPr>
        <w:t>, D., Beckman, E. J., &amp; Brennecke, J. F. (1999). Green processing using ionic liquids and CO2. Nature, 399(6731), 28–29. https://doi.org/10.1038/19887</w:t>
      </w:r>
    </w:p>
    <w:p w14:paraId="6ECB9A17" w14:textId="2C62C74B" w:rsidR="00926E1E" w:rsidRPr="00604117" w:rsidRDefault="00926E1E" w:rsidP="00745D25">
      <w:pPr>
        <w:autoSpaceDE w:val="0"/>
        <w:autoSpaceDN w:val="0"/>
        <w:ind w:left="284" w:hanging="284"/>
        <w:jc w:val="both"/>
        <w:rPr>
          <w:sz w:val="18"/>
          <w:szCs w:val="18"/>
          <w:lang w:val="en-US"/>
        </w:rPr>
      </w:pPr>
      <w:proofErr w:type="spellStart"/>
      <w:r w:rsidRPr="00604117">
        <w:rPr>
          <w:sz w:val="18"/>
          <w:szCs w:val="18"/>
          <w:lang w:val="en-US"/>
        </w:rPr>
        <w:t>Canongia</w:t>
      </w:r>
      <w:proofErr w:type="spellEnd"/>
      <w:r w:rsidRPr="00604117">
        <w:rPr>
          <w:sz w:val="18"/>
          <w:szCs w:val="18"/>
          <w:lang w:val="en-US"/>
        </w:rPr>
        <w:t xml:space="preserve"> Lopes, J. N., &amp; Pádua, A. A. H. (2012). CL&amp;P: A generic and systematic force field for ionic liquids modeling. In Theoretical Chemistry Accounts (Vol. 131, Issue 3, pp. 1–11). Springer New York LLC. https://doi.org/10.1007/s00214-012-1129-7</w:t>
      </w:r>
    </w:p>
    <w:p w14:paraId="072B99CE" w14:textId="690B3A61" w:rsidR="009C6171" w:rsidRPr="00604117" w:rsidRDefault="00D10C1D" w:rsidP="005C285E">
      <w:pPr>
        <w:autoSpaceDE w:val="0"/>
        <w:autoSpaceDN w:val="0"/>
        <w:jc w:val="both"/>
        <w:rPr>
          <w:sz w:val="18"/>
          <w:szCs w:val="18"/>
          <w:lang w:val="en-US"/>
        </w:rPr>
      </w:pPr>
      <w:r w:rsidRPr="001B289B">
        <w:rPr>
          <w:sz w:val="18"/>
          <w:szCs w:val="18"/>
          <w:lang w:val="fr-FR"/>
        </w:rPr>
        <w:t xml:space="preserve">Figueroa, J. D., Fout, T., </w:t>
      </w:r>
      <w:proofErr w:type="spellStart"/>
      <w:r w:rsidRPr="001B289B">
        <w:rPr>
          <w:sz w:val="18"/>
          <w:szCs w:val="18"/>
          <w:lang w:val="fr-FR"/>
        </w:rPr>
        <w:t>Plasynski</w:t>
      </w:r>
      <w:proofErr w:type="spellEnd"/>
      <w:r w:rsidRPr="001B289B">
        <w:rPr>
          <w:sz w:val="18"/>
          <w:szCs w:val="18"/>
          <w:lang w:val="fr-FR"/>
        </w:rPr>
        <w:t xml:space="preserve">, S., </w:t>
      </w:r>
      <w:proofErr w:type="spellStart"/>
      <w:r w:rsidRPr="001B289B">
        <w:rPr>
          <w:sz w:val="18"/>
          <w:szCs w:val="18"/>
          <w:lang w:val="fr-FR"/>
        </w:rPr>
        <w:t>McIlvried</w:t>
      </w:r>
      <w:proofErr w:type="spellEnd"/>
      <w:r w:rsidRPr="001B289B">
        <w:rPr>
          <w:sz w:val="18"/>
          <w:szCs w:val="18"/>
          <w:lang w:val="fr-FR"/>
        </w:rPr>
        <w:t xml:space="preserve">, H., &amp; Srivastava, R. D. (2008). </w:t>
      </w:r>
      <w:r w:rsidRPr="00604117">
        <w:rPr>
          <w:sz w:val="18"/>
          <w:szCs w:val="18"/>
          <w:lang w:val="en-US"/>
        </w:rPr>
        <w:t xml:space="preserve">Advances in CO2 </w:t>
      </w:r>
    </w:p>
    <w:p w14:paraId="3D8F7D3C" w14:textId="726B985F" w:rsidR="009C6171" w:rsidRPr="00604117" w:rsidRDefault="00D10C1D" w:rsidP="005C285E">
      <w:pPr>
        <w:autoSpaceDE w:val="0"/>
        <w:autoSpaceDN w:val="0"/>
        <w:ind w:left="567" w:hanging="284"/>
        <w:jc w:val="both"/>
        <w:rPr>
          <w:sz w:val="18"/>
          <w:szCs w:val="18"/>
          <w:lang w:val="en-US"/>
        </w:rPr>
      </w:pPr>
      <w:r w:rsidRPr="00604117">
        <w:rPr>
          <w:sz w:val="18"/>
          <w:szCs w:val="18"/>
          <w:lang w:val="en-US"/>
        </w:rPr>
        <w:t xml:space="preserve">capture technology-The U.S. DOE’s Carbon Sequestration Program. International Journal of </w:t>
      </w:r>
    </w:p>
    <w:p w14:paraId="3261A4CC" w14:textId="2A86B132" w:rsidR="00D10C1D" w:rsidRPr="00604117" w:rsidRDefault="00D10C1D" w:rsidP="005C285E">
      <w:pPr>
        <w:autoSpaceDE w:val="0"/>
        <w:autoSpaceDN w:val="0"/>
        <w:ind w:left="567" w:hanging="284"/>
        <w:jc w:val="both"/>
        <w:rPr>
          <w:sz w:val="18"/>
          <w:szCs w:val="18"/>
          <w:lang w:val="en-US"/>
        </w:rPr>
      </w:pPr>
      <w:r w:rsidRPr="00604117">
        <w:rPr>
          <w:sz w:val="18"/>
          <w:szCs w:val="18"/>
          <w:lang w:val="en-US"/>
        </w:rPr>
        <w:t>Greenhouse Gas Control, 2, (1), 9–20.</w:t>
      </w:r>
    </w:p>
    <w:p w14:paraId="2812EA0C" w14:textId="1A25FD92" w:rsidR="00DB790B" w:rsidRPr="00604117" w:rsidRDefault="00DB790B" w:rsidP="005C285E">
      <w:pPr>
        <w:autoSpaceDE w:val="0"/>
        <w:autoSpaceDN w:val="0"/>
        <w:jc w:val="both"/>
        <w:rPr>
          <w:sz w:val="18"/>
          <w:szCs w:val="18"/>
          <w:lang w:val="en-US"/>
        </w:rPr>
      </w:pPr>
      <w:r w:rsidRPr="00604117">
        <w:rPr>
          <w:sz w:val="18"/>
          <w:szCs w:val="18"/>
          <w:lang w:val="en-US"/>
        </w:rPr>
        <w:t>Frazier, P. I. (2018). A Tutorial on Bayesian Optimization.</w:t>
      </w:r>
    </w:p>
    <w:p w14:paraId="628CD65A" w14:textId="77777777" w:rsidR="00DB790B" w:rsidRPr="00604117" w:rsidRDefault="00DB790B" w:rsidP="005C285E">
      <w:pPr>
        <w:autoSpaceDE w:val="0"/>
        <w:autoSpaceDN w:val="0"/>
        <w:jc w:val="both"/>
        <w:rPr>
          <w:sz w:val="18"/>
          <w:szCs w:val="18"/>
          <w:lang w:val="en-US"/>
        </w:rPr>
      </w:pPr>
      <w:proofErr w:type="spellStart"/>
      <w:r w:rsidRPr="00604117">
        <w:rPr>
          <w:sz w:val="18"/>
          <w:szCs w:val="18"/>
          <w:lang w:val="en-US"/>
        </w:rPr>
        <w:t>Friedlingstein</w:t>
      </w:r>
      <w:proofErr w:type="spellEnd"/>
      <w:r w:rsidRPr="00604117">
        <w:rPr>
          <w:sz w:val="18"/>
          <w:szCs w:val="18"/>
          <w:lang w:val="en-US"/>
        </w:rPr>
        <w:t xml:space="preserve">, P., O’Sullivan, M., Jones, M. W., Andrew, R. M., Gregor, L., Hauck, J., Le Quéré,  </w:t>
      </w:r>
    </w:p>
    <w:p w14:paraId="500832F4" w14:textId="766F0470" w:rsidR="00DB790B" w:rsidRPr="00604117" w:rsidRDefault="00DB790B" w:rsidP="005C285E">
      <w:pPr>
        <w:autoSpaceDE w:val="0"/>
        <w:autoSpaceDN w:val="0"/>
        <w:ind w:left="284"/>
        <w:jc w:val="both"/>
        <w:rPr>
          <w:sz w:val="18"/>
          <w:szCs w:val="18"/>
          <w:lang w:val="en-US"/>
        </w:rPr>
      </w:pPr>
      <w:r w:rsidRPr="00604117">
        <w:rPr>
          <w:sz w:val="18"/>
          <w:szCs w:val="18"/>
          <w:lang w:val="en-US"/>
        </w:rPr>
        <w:t xml:space="preserve">C., </w:t>
      </w:r>
      <w:proofErr w:type="spellStart"/>
      <w:r w:rsidRPr="00604117">
        <w:rPr>
          <w:sz w:val="18"/>
          <w:szCs w:val="18"/>
          <w:lang w:val="en-US"/>
        </w:rPr>
        <w:t>Luijkx</w:t>
      </w:r>
      <w:proofErr w:type="spellEnd"/>
      <w:r w:rsidRPr="00604117">
        <w:rPr>
          <w:sz w:val="18"/>
          <w:szCs w:val="18"/>
          <w:lang w:val="en-US"/>
        </w:rPr>
        <w:t xml:space="preserve">, I. T., Olsen, A., Peters, G. P., Peters, W., Pongratz, J., </w:t>
      </w:r>
      <w:proofErr w:type="spellStart"/>
      <w:r w:rsidRPr="00604117">
        <w:rPr>
          <w:sz w:val="18"/>
          <w:szCs w:val="18"/>
          <w:lang w:val="en-US"/>
        </w:rPr>
        <w:t>Schwingshackl</w:t>
      </w:r>
      <w:proofErr w:type="spellEnd"/>
      <w:r w:rsidRPr="00604117">
        <w:rPr>
          <w:sz w:val="18"/>
          <w:szCs w:val="18"/>
          <w:lang w:val="en-US"/>
        </w:rPr>
        <w:t xml:space="preserve">, C., Sitch, S., </w:t>
      </w:r>
    </w:p>
    <w:p w14:paraId="6597A8EF" w14:textId="4151F0B6" w:rsidR="00DB790B" w:rsidRPr="00604117" w:rsidRDefault="00DB790B" w:rsidP="005C285E">
      <w:pPr>
        <w:autoSpaceDE w:val="0"/>
        <w:autoSpaceDN w:val="0"/>
        <w:ind w:left="284"/>
        <w:jc w:val="both"/>
        <w:rPr>
          <w:sz w:val="18"/>
          <w:szCs w:val="18"/>
          <w:lang w:val="en-US"/>
        </w:rPr>
      </w:pPr>
      <w:proofErr w:type="spellStart"/>
      <w:r w:rsidRPr="00604117">
        <w:rPr>
          <w:sz w:val="18"/>
          <w:szCs w:val="18"/>
          <w:lang w:val="en-US"/>
        </w:rPr>
        <w:t>Canadell</w:t>
      </w:r>
      <w:proofErr w:type="spellEnd"/>
      <w:r w:rsidRPr="00604117">
        <w:rPr>
          <w:sz w:val="18"/>
          <w:szCs w:val="18"/>
          <w:lang w:val="en-US"/>
        </w:rPr>
        <w:t xml:space="preserve">, J. G., Ciais, P., Jackson, R. B., Alin, S. R., </w:t>
      </w:r>
      <w:proofErr w:type="spellStart"/>
      <w:r w:rsidRPr="00604117">
        <w:rPr>
          <w:sz w:val="18"/>
          <w:szCs w:val="18"/>
          <w:lang w:val="en-US"/>
        </w:rPr>
        <w:t>Alkama</w:t>
      </w:r>
      <w:proofErr w:type="spellEnd"/>
      <w:r w:rsidRPr="00604117">
        <w:rPr>
          <w:sz w:val="18"/>
          <w:szCs w:val="18"/>
          <w:lang w:val="en-US"/>
        </w:rPr>
        <w:t xml:space="preserve">, R., Zheng, B. (2022). Global </w:t>
      </w:r>
    </w:p>
    <w:p w14:paraId="0FFC7122" w14:textId="733FD946" w:rsidR="00DB790B" w:rsidRPr="00604117" w:rsidRDefault="00DB790B" w:rsidP="005C285E">
      <w:pPr>
        <w:autoSpaceDE w:val="0"/>
        <w:autoSpaceDN w:val="0"/>
        <w:ind w:left="284"/>
        <w:jc w:val="both"/>
        <w:rPr>
          <w:sz w:val="18"/>
          <w:szCs w:val="18"/>
          <w:lang w:val="en-US"/>
        </w:rPr>
      </w:pPr>
      <w:r w:rsidRPr="00604117">
        <w:rPr>
          <w:sz w:val="18"/>
          <w:szCs w:val="18"/>
          <w:lang w:val="en-US"/>
        </w:rPr>
        <w:t>Carbon Budget 2022. Earth System Science Data, 14(11), 4811–4900</w:t>
      </w:r>
      <w:r w:rsidR="005C285E" w:rsidRPr="00604117">
        <w:rPr>
          <w:sz w:val="18"/>
          <w:szCs w:val="18"/>
          <w:lang w:val="en-US"/>
        </w:rPr>
        <w:t>.</w:t>
      </w:r>
    </w:p>
    <w:p w14:paraId="58768A22" w14:textId="7D3B9E96" w:rsidR="00507ED7" w:rsidRPr="00604117" w:rsidRDefault="00507ED7" w:rsidP="005C285E">
      <w:pPr>
        <w:autoSpaceDE w:val="0"/>
        <w:autoSpaceDN w:val="0"/>
        <w:ind w:left="284" w:hanging="284"/>
        <w:jc w:val="both"/>
        <w:rPr>
          <w:sz w:val="18"/>
          <w:szCs w:val="18"/>
          <w:lang w:val="en-US"/>
        </w:rPr>
      </w:pPr>
      <w:r w:rsidRPr="00604117">
        <w:rPr>
          <w:sz w:val="18"/>
          <w:szCs w:val="18"/>
          <w:lang w:val="en-US"/>
        </w:rPr>
        <w:t xml:space="preserve">Hossain, S., </w:t>
      </w:r>
      <w:proofErr w:type="spellStart"/>
      <w:r w:rsidRPr="00604117">
        <w:rPr>
          <w:sz w:val="18"/>
          <w:szCs w:val="18"/>
          <w:lang w:val="en-US"/>
        </w:rPr>
        <w:t>Kabedev</w:t>
      </w:r>
      <w:proofErr w:type="spellEnd"/>
      <w:r w:rsidRPr="00604117">
        <w:rPr>
          <w:sz w:val="18"/>
          <w:szCs w:val="18"/>
          <w:lang w:val="en-US"/>
        </w:rPr>
        <w:t>, A., Parrow, A., Bergström, C. A. S., &amp; Larsson, P. (2019). Molecular simulation as a computational pharmaceutics tool to predict drug solubility, solubilization processes and partitioning. European Journal of Pharmaceutics and Biopharmaceutics, 137, 46–55.</w:t>
      </w:r>
    </w:p>
    <w:p w14:paraId="47FD9226" w14:textId="6D179A46" w:rsidR="00DB790B" w:rsidRPr="00604117" w:rsidRDefault="00DB790B" w:rsidP="005C285E">
      <w:pPr>
        <w:autoSpaceDE w:val="0"/>
        <w:autoSpaceDN w:val="0"/>
        <w:jc w:val="both"/>
        <w:rPr>
          <w:sz w:val="18"/>
          <w:szCs w:val="18"/>
          <w:lang w:val="en-US"/>
        </w:rPr>
      </w:pPr>
      <w:r w:rsidRPr="00604117">
        <w:rPr>
          <w:sz w:val="18"/>
          <w:szCs w:val="18"/>
          <w:lang w:val="en-US"/>
        </w:rPr>
        <w:t>Jia, X., Hu, X., Su, K., Wang, W., &amp; Du, C. (2022a). Molecular screening of ionic liquids for CO</w:t>
      </w:r>
      <w:r w:rsidRPr="00604117">
        <w:rPr>
          <w:sz w:val="18"/>
          <w:szCs w:val="18"/>
          <w:vertAlign w:val="subscript"/>
          <w:lang w:val="en-US"/>
        </w:rPr>
        <w:t>2</w:t>
      </w:r>
      <w:r w:rsidRPr="00604117">
        <w:rPr>
          <w:sz w:val="18"/>
          <w:szCs w:val="18"/>
          <w:lang w:val="en-US"/>
        </w:rPr>
        <w:t xml:space="preserve"> </w:t>
      </w:r>
    </w:p>
    <w:p w14:paraId="6FFC956E" w14:textId="4B6B43DF" w:rsidR="00DB790B" w:rsidRPr="00604117" w:rsidRDefault="00DB790B" w:rsidP="005C285E">
      <w:pPr>
        <w:autoSpaceDE w:val="0"/>
        <w:autoSpaceDN w:val="0"/>
        <w:ind w:left="284"/>
        <w:jc w:val="both"/>
        <w:rPr>
          <w:sz w:val="18"/>
          <w:szCs w:val="18"/>
          <w:lang w:val="en-US"/>
        </w:rPr>
      </w:pPr>
      <w:r w:rsidRPr="00604117">
        <w:rPr>
          <w:sz w:val="18"/>
          <w:szCs w:val="18"/>
          <w:lang w:val="en-US"/>
        </w:rPr>
        <w:t>absorption and molecular dynamic simulation. Open Chemistry, 20(1), 379–387.</w:t>
      </w:r>
    </w:p>
    <w:p w14:paraId="5E9E38EA" w14:textId="28A7D92B" w:rsidR="00745D25" w:rsidRPr="00604117" w:rsidRDefault="00745D25" w:rsidP="005C285E">
      <w:pPr>
        <w:autoSpaceDE w:val="0"/>
        <w:autoSpaceDN w:val="0"/>
        <w:ind w:left="284" w:hanging="284"/>
        <w:jc w:val="both"/>
        <w:rPr>
          <w:sz w:val="18"/>
          <w:szCs w:val="18"/>
          <w:lang w:val="en-US"/>
        </w:rPr>
      </w:pPr>
      <w:r w:rsidRPr="00401E5E">
        <w:rPr>
          <w:sz w:val="18"/>
          <w:szCs w:val="18"/>
          <w:lang w:val="en-US"/>
        </w:rPr>
        <w:t xml:space="preserve">Jia, X., Hu, X., Su, K., Wang, W., &amp; Du, C. (2022b). </w:t>
      </w:r>
      <w:r w:rsidRPr="00604117">
        <w:rPr>
          <w:sz w:val="18"/>
          <w:szCs w:val="18"/>
          <w:lang w:val="en-US"/>
        </w:rPr>
        <w:t>Molecular screening of ionic liquids for CO2absorption and molecular dynamic simulation. Open Chemistry, 20(1), 379–387. https://doi.org/10.1515/chem-2022-0154</w:t>
      </w:r>
    </w:p>
    <w:p w14:paraId="05AD8C0D" w14:textId="48EA0A89" w:rsidR="00745D25" w:rsidRPr="00604117" w:rsidRDefault="00745D25" w:rsidP="005C285E">
      <w:pPr>
        <w:autoSpaceDE w:val="0"/>
        <w:autoSpaceDN w:val="0"/>
        <w:ind w:left="284" w:hanging="284"/>
        <w:jc w:val="both"/>
        <w:rPr>
          <w:sz w:val="18"/>
          <w:szCs w:val="18"/>
          <w:lang w:val="en-US"/>
        </w:rPr>
      </w:pPr>
      <w:r w:rsidRPr="00604117">
        <w:rPr>
          <w:sz w:val="18"/>
          <w:szCs w:val="18"/>
          <w:lang w:val="en-US"/>
        </w:rPr>
        <w:t>Lim, B.-H., Choe, W.-H., Shim, J.-J., Ra, C. S., Tuma, D., Lee, H., &amp; Lee, C. S. (2009). High-pressure solubility of carbon dioxide in imidazolium-based ionic liquids with anions [PF6] and [BF4]. Korean Journal of Chemical Engineering, 26(4), 1130–1136. https://doi.org/10.1007/s11814-009-0188-5</w:t>
      </w:r>
    </w:p>
    <w:p w14:paraId="387DFA46" w14:textId="73510158" w:rsidR="003B0E65" w:rsidRPr="00604117" w:rsidRDefault="00981C6C" w:rsidP="005C285E">
      <w:pPr>
        <w:autoSpaceDE w:val="0"/>
        <w:autoSpaceDN w:val="0"/>
        <w:ind w:left="284" w:hanging="284"/>
        <w:jc w:val="both"/>
        <w:rPr>
          <w:sz w:val="18"/>
          <w:szCs w:val="18"/>
          <w:lang w:val="en-US"/>
        </w:rPr>
      </w:pPr>
      <w:r w:rsidRPr="00604117">
        <w:rPr>
          <w:sz w:val="18"/>
          <w:szCs w:val="18"/>
          <w:lang w:val="en-US"/>
        </w:rPr>
        <w:t xml:space="preserve">Mahurin, S. M., Lee, J. S., Baker, G. A., Luo, H., &amp; Dai, S. (2010). Performance of nitrile-containing anions in task-specific ionic liquids for improved CO2/N2 separation. Journal of Membrane Science, 353(1–2), 177–183. </w:t>
      </w:r>
      <w:hyperlink r:id="rId18" w:history="1">
        <w:r w:rsidRPr="00604117">
          <w:rPr>
            <w:rStyle w:val="Hipervnculo"/>
            <w:color w:val="auto"/>
            <w:sz w:val="18"/>
            <w:szCs w:val="18"/>
            <w:u w:val="none"/>
            <w:lang w:val="en-US"/>
          </w:rPr>
          <w:t>https://doi.org/10.1016/j.memsci.2010.02.045</w:t>
        </w:r>
      </w:hyperlink>
      <w:r w:rsidR="005C285E" w:rsidRPr="00604117">
        <w:rPr>
          <w:sz w:val="18"/>
          <w:szCs w:val="18"/>
          <w:lang w:val="en-US"/>
        </w:rPr>
        <w:t>.</w:t>
      </w:r>
    </w:p>
    <w:p w14:paraId="6473164A" w14:textId="2055674F" w:rsidR="00981C6C" w:rsidRPr="00604117" w:rsidRDefault="00981C6C" w:rsidP="005C285E">
      <w:pPr>
        <w:autoSpaceDE w:val="0"/>
        <w:autoSpaceDN w:val="0"/>
        <w:ind w:left="284" w:hanging="284"/>
        <w:jc w:val="both"/>
        <w:rPr>
          <w:sz w:val="18"/>
          <w:szCs w:val="18"/>
          <w:lang w:val="en-US"/>
        </w:rPr>
      </w:pPr>
      <w:proofErr w:type="spellStart"/>
      <w:r w:rsidRPr="00604117">
        <w:rPr>
          <w:sz w:val="18"/>
          <w:szCs w:val="18"/>
          <w:lang w:val="en-US"/>
        </w:rPr>
        <w:t>Močkus</w:t>
      </w:r>
      <w:proofErr w:type="spellEnd"/>
      <w:r w:rsidRPr="00604117">
        <w:rPr>
          <w:sz w:val="18"/>
          <w:szCs w:val="18"/>
          <w:lang w:val="en-US"/>
        </w:rPr>
        <w:t xml:space="preserve">, J. (1975). On </w:t>
      </w:r>
      <w:proofErr w:type="spellStart"/>
      <w:r w:rsidRPr="00604117">
        <w:rPr>
          <w:sz w:val="18"/>
          <w:szCs w:val="18"/>
          <w:lang w:val="en-US"/>
        </w:rPr>
        <w:t>bayesian</w:t>
      </w:r>
      <w:proofErr w:type="spellEnd"/>
      <w:r w:rsidRPr="00604117">
        <w:rPr>
          <w:sz w:val="18"/>
          <w:szCs w:val="18"/>
          <w:lang w:val="en-US"/>
        </w:rPr>
        <w:t xml:space="preserve"> methods for seeking the extremum (pp. 400–404). </w:t>
      </w:r>
      <w:hyperlink r:id="rId19" w:history="1">
        <w:r w:rsidRPr="00604117">
          <w:rPr>
            <w:rStyle w:val="Hipervnculo"/>
            <w:color w:val="auto"/>
            <w:sz w:val="18"/>
            <w:szCs w:val="18"/>
            <w:u w:val="none"/>
            <w:lang w:val="en-US"/>
          </w:rPr>
          <w:t>https://doi.org/10.1007/3-540-07165-2_55</w:t>
        </w:r>
      </w:hyperlink>
      <w:r w:rsidR="005C285E" w:rsidRPr="00604117">
        <w:rPr>
          <w:sz w:val="18"/>
          <w:szCs w:val="18"/>
          <w:lang w:val="en-US"/>
        </w:rPr>
        <w:t>.</w:t>
      </w:r>
    </w:p>
    <w:p w14:paraId="2916EFAB" w14:textId="42AD08D2" w:rsidR="00DB790B" w:rsidRPr="00604117" w:rsidRDefault="00DB790B" w:rsidP="005C285E">
      <w:pPr>
        <w:pStyle w:val="Default"/>
        <w:ind w:left="284" w:hanging="284"/>
        <w:jc w:val="both"/>
        <w:rPr>
          <w:color w:val="auto"/>
          <w:sz w:val="18"/>
          <w:szCs w:val="18"/>
          <w:lang w:val="en-US"/>
        </w:rPr>
      </w:pPr>
      <w:r w:rsidRPr="00604117">
        <w:rPr>
          <w:color w:val="auto"/>
          <w:sz w:val="18"/>
          <w:szCs w:val="18"/>
          <w:lang w:val="en-US"/>
        </w:rPr>
        <w:t>Nogueira, F., Bayesian Optimization: Open source constrained global optimization tool for Python, 2014, https://github.com/fmfn/ByesianOptimization</w:t>
      </w:r>
      <w:r w:rsidR="005C285E" w:rsidRPr="00604117">
        <w:rPr>
          <w:color w:val="auto"/>
          <w:sz w:val="18"/>
          <w:szCs w:val="18"/>
          <w:lang w:val="en-US"/>
        </w:rPr>
        <w:t>.</w:t>
      </w:r>
      <w:r w:rsidRPr="00604117">
        <w:rPr>
          <w:color w:val="auto"/>
          <w:sz w:val="18"/>
          <w:szCs w:val="18"/>
          <w:lang w:val="en-US"/>
        </w:rPr>
        <w:t xml:space="preserve"> </w:t>
      </w:r>
    </w:p>
    <w:p w14:paraId="400C2792" w14:textId="79111B68" w:rsidR="00DB790B" w:rsidRPr="00604117" w:rsidRDefault="00DB790B" w:rsidP="005C285E">
      <w:pPr>
        <w:autoSpaceDE w:val="0"/>
        <w:autoSpaceDN w:val="0"/>
        <w:ind w:left="284" w:hanging="284"/>
        <w:jc w:val="both"/>
        <w:rPr>
          <w:sz w:val="18"/>
          <w:szCs w:val="18"/>
        </w:rPr>
      </w:pPr>
      <w:r w:rsidRPr="00604117">
        <w:rPr>
          <w:sz w:val="18"/>
          <w:szCs w:val="18"/>
        </w:rPr>
        <w:t>Silva-Beard, A., Flores-Tlacuahuac, A., Rivera-Toledo, M., (2022) Computers and Chemical Engineering,157, 107622</w:t>
      </w:r>
      <w:r w:rsidR="005C285E" w:rsidRPr="00604117">
        <w:rPr>
          <w:sz w:val="18"/>
          <w:szCs w:val="18"/>
        </w:rPr>
        <w:t>.</w:t>
      </w:r>
    </w:p>
    <w:p w14:paraId="6D12FF1C" w14:textId="2C4472A9" w:rsidR="00DB790B" w:rsidRPr="00604117" w:rsidRDefault="00DB790B" w:rsidP="005C285E">
      <w:pPr>
        <w:pStyle w:val="Default"/>
        <w:ind w:left="284" w:hanging="284"/>
        <w:jc w:val="both"/>
        <w:rPr>
          <w:color w:val="auto"/>
          <w:sz w:val="18"/>
          <w:szCs w:val="18"/>
          <w:lang w:val="en-US"/>
        </w:rPr>
      </w:pPr>
      <w:r w:rsidRPr="00604117">
        <w:rPr>
          <w:color w:val="auto"/>
          <w:sz w:val="18"/>
          <w:szCs w:val="18"/>
          <w:lang w:val="en-US"/>
        </w:rPr>
        <w:t>Valencia-Marquez, D., Flores-Tlacuahuac, A., Vazquez-Medrano, R. (2017) Journal of Cleaner</w:t>
      </w:r>
      <w:r w:rsidR="005C285E" w:rsidRPr="00604117">
        <w:rPr>
          <w:color w:val="auto"/>
          <w:sz w:val="18"/>
          <w:szCs w:val="18"/>
          <w:lang w:val="en-US"/>
        </w:rPr>
        <w:t xml:space="preserve"> </w:t>
      </w:r>
      <w:r w:rsidRPr="00604117">
        <w:rPr>
          <w:color w:val="auto"/>
          <w:sz w:val="18"/>
          <w:szCs w:val="18"/>
          <w:lang w:val="en-US"/>
        </w:rPr>
        <w:t>Production, 168, 1652-1667</w:t>
      </w:r>
      <w:r w:rsidR="005C285E" w:rsidRPr="00604117">
        <w:rPr>
          <w:color w:val="auto"/>
          <w:sz w:val="18"/>
          <w:szCs w:val="18"/>
          <w:lang w:val="en-US"/>
        </w:rPr>
        <w:t>.</w:t>
      </w:r>
    </w:p>
    <w:sectPr w:rsidR="00DB790B" w:rsidRPr="00604117" w:rsidSect="008B0184">
      <w:headerReference w:type="even" r:id="rId20"/>
      <w:headerReference w:type="default" r:id="rId21"/>
      <w:headerReference w:type="first" r:id="rId2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AD6E" w14:textId="77777777" w:rsidR="00E879B8" w:rsidRDefault="00E879B8">
      <w:r>
        <w:separator/>
      </w:r>
    </w:p>
  </w:endnote>
  <w:endnote w:type="continuationSeparator" w:id="0">
    <w:p w14:paraId="3CB870C6" w14:textId="77777777" w:rsidR="00E879B8" w:rsidRDefault="00E8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9001" w14:textId="77777777" w:rsidR="00E879B8" w:rsidRDefault="00E879B8">
      <w:r>
        <w:separator/>
      </w:r>
    </w:p>
  </w:footnote>
  <w:footnote w:type="continuationSeparator" w:id="0">
    <w:p w14:paraId="38682C0C" w14:textId="77777777" w:rsidR="00E879B8" w:rsidRDefault="00E8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29B4A50" w:rsidR="00DD3D9E" w:rsidRPr="003D356D" w:rsidRDefault="00DD3D9E">
    <w:pPr>
      <w:pStyle w:val="Encabezado"/>
      <w:tabs>
        <w:tab w:val="clear" w:pos="7200"/>
        <w:tab w:val="right" w:pos="7088"/>
      </w:tabs>
      <w:rPr>
        <w:lang w:val="es-MX"/>
      </w:rPr>
    </w:pPr>
    <w:r>
      <w:rPr>
        <w:rStyle w:val="Nmerodepgina"/>
      </w:rPr>
      <w:tab/>
    </w:r>
    <w:r>
      <w:rPr>
        <w:rStyle w:val="Nmerodepgina"/>
        <w:i/>
      </w:rPr>
      <w:tab/>
    </w:r>
    <w:r w:rsidR="003D356D" w:rsidRPr="003D356D">
      <w:rPr>
        <w:i/>
        <w:lang w:val="es-MX"/>
      </w:rPr>
      <w:t>D. M. De la Torre-Cano</w:t>
    </w:r>
    <w:r w:rsidR="003D356D">
      <w:rPr>
        <w:i/>
        <w:lang w:val="es-MX"/>
      </w:rPr>
      <w: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6FB5A40" w:rsidR="00DD3D9E" w:rsidRDefault="003D356D">
    <w:pPr>
      <w:pStyle w:val="Encabezado"/>
      <w:tabs>
        <w:tab w:val="clear" w:pos="7200"/>
        <w:tab w:val="right" w:pos="7088"/>
      </w:tabs>
      <w:jc w:val="right"/>
      <w:rPr>
        <w:sz w:val="24"/>
      </w:rPr>
    </w:pPr>
    <w:r>
      <w:rPr>
        <w:i/>
      </w:rPr>
      <w:t>An Ionic Liquid Mixture Design for CO</w:t>
    </w:r>
    <w:r w:rsidRPr="003D356D">
      <w:rPr>
        <w:i/>
        <w:vertAlign w:val="subscript"/>
      </w:rPr>
      <w:t>2</w:t>
    </w:r>
    <w:r>
      <w:rPr>
        <w:i/>
      </w:rPr>
      <w:t xml:space="preserve"> Capture through BO and MDS </w:t>
    </w:r>
    <w:r w:rsidR="00DD3D9E">
      <w:rPr>
        <w:rStyle w:val="Nmerodepgina"/>
        <w:i/>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3D9B"/>
    <w:rsid w:val="001359C1"/>
    <w:rsid w:val="00156951"/>
    <w:rsid w:val="0016032F"/>
    <w:rsid w:val="00172936"/>
    <w:rsid w:val="001760A9"/>
    <w:rsid w:val="001879F6"/>
    <w:rsid w:val="001B289B"/>
    <w:rsid w:val="001C0148"/>
    <w:rsid w:val="001C757E"/>
    <w:rsid w:val="0020390F"/>
    <w:rsid w:val="002070E3"/>
    <w:rsid w:val="00264926"/>
    <w:rsid w:val="00276D8B"/>
    <w:rsid w:val="00280034"/>
    <w:rsid w:val="003014C8"/>
    <w:rsid w:val="00301645"/>
    <w:rsid w:val="003016E4"/>
    <w:rsid w:val="0030724D"/>
    <w:rsid w:val="003101EE"/>
    <w:rsid w:val="00363C46"/>
    <w:rsid w:val="003B0E65"/>
    <w:rsid w:val="003D1582"/>
    <w:rsid w:val="003D356D"/>
    <w:rsid w:val="003D7E4C"/>
    <w:rsid w:val="003E41C2"/>
    <w:rsid w:val="003F6556"/>
    <w:rsid w:val="00401E5E"/>
    <w:rsid w:val="0042510E"/>
    <w:rsid w:val="00447C1C"/>
    <w:rsid w:val="004508BA"/>
    <w:rsid w:val="00481C21"/>
    <w:rsid w:val="0048426C"/>
    <w:rsid w:val="0049772C"/>
    <w:rsid w:val="00507ED7"/>
    <w:rsid w:val="00552EEB"/>
    <w:rsid w:val="00560879"/>
    <w:rsid w:val="0056664D"/>
    <w:rsid w:val="00594A9A"/>
    <w:rsid w:val="005C285E"/>
    <w:rsid w:val="005F6F6C"/>
    <w:rsid w:val="00604117"/>
    <w:rsid w:val="006275BC"/>
    <w:rsid w:val="00633B9E"/>
    <w:rsid w:val="00650B52"/>
    <w:rsid w:val="006A69BF"/>
    <w:rsid w:val="006B164E"/>
    <w:rsid w:val="006F282A"/>
    <w:rsid w:val="00711DF4"/>
    <w:rsid w:val="0072027D"/>
    <w:rsid w:val="00745D25"/>
    <w:rsid w:val="007B3427"/>
    <w:rsid w:val="007B4402"/>
    <w:rsid w:val="007D70A1"/>
    <w:rsid w:val="008132E8"/>
    <w:rsid w:val="00823407"/>
    <w:rsid w:val="00893A89"/>
    <w:rsid w:val="008B0184"/>
    <w:rsid w:val="008C5D02"/>
    <w:rsid w:val="008D2649"/>
    <w:rsid w:val="00904E5B"/>
    <w:rsid w:val="0090568D"/>
    <w:rsid w:val="009125C9"/>
    <w:rsid w:val="00913879"/>
    <w:rsid w:val="00917661"/>
    <w:rsid w:val="00920C51"/>
    <w:rsid w:val="00926E1E"/>
    <w:rsid w:val="00937277"/>
    <w:rsid w:val="009668E5"/>
    <w:rsid w:val="00970E5D"/>
    <w:rsid w:val="009713B7"/>
    <w:rsid w:val="0097701C"/>
    <w:rsid w:val="00980A65"/>
    <w:rsid w:val="00981C6C"/>
    <w:rsid w:val="0099516F"/>
    <w:rsid w:val="009C6171"/>
    <w:rsid w:val="00A02335"/>
    <w:rsid w:val="00A06E3C"/>
    <w:rsid w:val="00A11F99"/>
    <w:rsid w:val="00A25E70"/>
    <w:rsid w:val="00A33765"/>
    <w:rsid w:val="00A470F6"/>
    <w:rsid w:val="00A63269"/>
    <w:rsid w:val="00A64A4F"/>
    <w:rsid w:val="00A92377"/>
    <w:rsid w:val="00AA0D84"/>
    <w:rsid w:val="00AB29ED"/>
    <w:rsid w:val="00AD337F"/>
    <w:rsid w:val="00AD5384"/>
    <w:rsid w:val="00AD66AA"/>
    <w:rsid w:val="00AE4BD8"/>
    <w:rsid w:val="00B016C5"/>
    <w:rsid w:val="00B16C43"/>
    <w:rsid w:val="00B4388F"/>
    <w:rsid w:val="00B46BAC"/>
    <w:rsid w:val="00B63237"/>
    <w:rsid w:val="00B74DEE"/>
    <w:rsid w:val="00B811A7"/>
    <w:rsid w:val="00BB3ACE"/>
    <w:rsid w:val="00BE60B1"/>
    <w:rsid w:val="00BF2D29"/>
    <w:rsid w:val="00BF57F2"/>
    <w:rsid w:val="00C4726D"/>
    <w:rsid w:val="00C67F7B"/>
    <w:rsid w:val="00C8627D"/>
    <w:rsid w:val="00C92C15"/>
    <w:rsid w:val="00C960DC"/>
    <w:rsid w:val="00CE3405"/>
    <w:rsid w:val="00D02C75"/>
    <w:rsid w:val="00D10C1D"/>
    <w:rsid w:val="00D10E22"/>
    <w:rsid w:val="00D13D2C"/>
    <w:rsid w:val="00D21199"/>
    <w:rsid w:val="00D34B7B"/>
    <w:rsid w:val="00D44806"/>
    <w:rsid w:val="00D4546D"/>
    <w:rsid w:val="00DA7C8C"/>
    <w:rsid w:val="00DB790B"/>
    <w:rsid w:val="00DC2F94"/>
    <w:rsid w:val="00DC6007"/>
    <w:rsid w:val="00DD3D9E"/>
    <w:rsid w:val="00DD3E51"/>
    <w:rsid w:val="00DD7908"/>
    <w:rsid w:val="00E21AF8"/>
    <w:rsid w:val="00E34DAC"/>
    <w:rsid w:val="00E82297"/>
    <w:rsid w:val="00E879B8"/>
    <w:rsid w:val="00EA792B"/>
    <w:rsid w:val="00EF39FD"/>
    <w:rsid w:val="00F06842"/>
    <w:rsid w:val="00F107FD"/>
    <w:rsid w:val="00F20811"/>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val="0"/>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aconcuadrcula">
    <w:name w:val="Table Grid"/>
    <w:basedOn w:val="Tablanormal"/>
    <w:uiPriority w:val="39"/>
    <w:rsid w:val="00BE60B1"/>
    <w:rPr>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3F6556"/>
    <w:rPr>
      <w:rFonts w:asciiTheme="minorHAnsi" w:eastAsiaTheme="minorHAnsi" w:hAnsiTheme="minorHAnsi" w:cstheme="minorBidi"/>
      <w:kern w:val="2"/>
      <w:sz w:val="22"/>
      <w:szCs w:val="22"/>
      <w:lang w:val="es-MX"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cinsinresolver">
    <w:name w:val="Unresolved Mention"/>
    <w:basedOn w:val="Fuentedeprrafopredeter"/>
    <w:uiPriority w:val="99"/>
    <w:semiHidden/>
    <w:unhideWhenUsed/>
    <w:rsid w:val="00D10C1D"/>
    <w:rPr>
      <w:color w:val="605E5C"/>
      <w:shd w:val="clear" w:color="auto" w:fill="E1DFDD"/>
    </w:rPr>
  </w:style>
  <w:style w:type="paragraph" w:customStyle="1" w:styleId="Default">
    <w:name w:val="Default"/>
    <w:rsid w:val="003B0E65"/>
    <w:pPr>
      <w:autoSpaceDE w:val="0"/>
      <w:autoSpaceDN w:val="0"/>
      <w:adjustRightInd w:val="0"/>
    </w:pPr>
    <w:rPr>
      <w:color w:val="000000"/>
      <w:sz w:val="24"/>
      <w:szCs w:val="24"/>
      <w:lang w:val="es-MX"/>
    </w:rPr>
  </w:style>
  <w:style w:type="paragraph" w:styleId="HTMLconformatoprevio">
    <w:name w:val="HTML Preformatted"/>
    <w:basedOn w:val="Normal"/>
    <w:link w:val="HTMLconformatoprevioCar"/>
    <w:uiPriority w:val="99"/>
    <w:unhideWhenUsed/>
    <w:rsid w:val="00DB7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MX" w:eastAsia="es-MX"/>
    </w:rPr>
  </w:style>
  <w:style w:type="character" w:customStyle="1" w:styleId="HTMLconformatoprevioCar">
    <w:name w:val="HTML con formato previo Car"/>
    <w:basedOn w:val="Fuentedeprrafopredeter"/>
    <w:link w:val="HTMLconformatoprevio"/>
    <w:uiPriority w:val="99"/>
    <w:rsid w:val="00DB790B"/>
    <w:rPr>
      <w:rFonts w:ascii="Courier New" w:hAnsi="Courier New" w:cs="Courier New"/>
      <w:lang w:val="es-MX" w:eastAsia="es-MX"/>
    </w:rPr>
  </w:style>
  <w:style w:type="character" w:styleId="CdigoHTML">
    <w:name w:val="HTML Code"/>
    <w:basedOn w:val="Fuentedeprrafopredeter"/>
    <w:uiPriority w:val="99"/>
    <w:semiHidden/>
    <w:unhideWhenUsed/>
    <w:rsid w:val="00DB790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0899">
      <w:bodyDiv w:val="1"/>
      <w:marLeft w:val="0"/>
      <w:marRight w:val="0"/>
      <w:marTop w:val="0"/>
      <w:marBottom w:val="0"/>
      <w:divBdr>
        <w:top w:val="none" w:sz="0" w:space="0" w:color="auto"/>
        <w:left w:val="none" w:sz="0" w:space="0" w:color="auto"/>
        <w:bottom w:val="none" w:sz="0" w:space="0" w:color="auto"/>
        <w:right w:val="none" w:sz="0" w:space="0" w:color="auto"/>
      </w:divBdr>
    </w:div>
    <w:div w:id="824737776">
      <w:bodyDiv w:val="1"/>
      <w:marLeft w:val="0"/>
      <w:marRight w:val="0"/>
      <w:marTop w:val="0"/>
      <w:marBottom w:val="0"/>
      <w:divBdr>
        <w:top w:val="none" w:sz="0" w:space="0" w:color="auto"/>
        <w:left w:val="none" w:sz="0" w:space="0" w:color="auto"/>
        <w:bottom w:val="none" w:sz="0" w:space="0" w:color="auto"/>
        <w:right w:val="none" w:sz="0" w:space="0" w:color="auto"/>
      </w:divBdr>
    </w:div>
    <w:div w:id="1383677747">
      <w:bodyDiv w:val="1"/>
      <w:marLeft w:val="0"/>
      <w:marRight w:val="0"/>
      <w:marTop w:val="0"/>
      <w:marBottom w:val="0"/>
      <w:divBdr>
        <w:top w:val="none" w:sz="0" w:space="0" w:color="auto"/>
        <w:left w:val="none" w:sz="0" w:space="0" w:color="auto"/>
        <w:bottom w:val="none" w:sz="0" w:space="0" w:color="auto"/>
        <w:right w:val="none" w:sz="0" w:space="0" w:color="auto"/>
      </w:divBdr>
    </w:div>
    <w:div w:id="157871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21/jp205399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AE3805A7BD41CDBF3AA2E4A35D4B27"/>
        <w:category>
          <w:name w:val="General"/>
          <w:gallery w:val="placeholder"/>
        </w:category>
        <w:types>
          <w:type w:val="bbPlcHdr"/>
        </w:types>
        <w:behaviors>
          <w:behavior w:val="content"/>
        </w:behaviors>
        <w:guid w:val="{06B15AF1-4C56-4917-91CE-7F105D8A1C93}"/>
      </w:docPartPr>
      <w:docPartBody>
        <w:p w:rsidR="00151DA5" w:rsidRDefault="00F74C8C" w:rsidP="00F74C8C">
          <w:pPr>
            <w:pStyle w:val="EEAE3805A7BD41CDBF3AA2E4A35D4B27"/>
          </w:pPr>
          <w:r w:rsidRPr="00A7455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39"/>
    <w:rsid w:val="00055D6B"/>
    <w:rsid w:val="00097004"/>
    <w:rsid w:val="00151DA5"/>
    <w:rsid w:val="00180865"/>
    <w:rsid w:val="0028269B"/>
    <w:rsid w:val="003337B1"/>
    <w:rsid w:val="003F6BD5"/>
    <w:rsid w:val="00485197"/>
    <w:rsid w:val="00535C99"/>
    <w:rsid w:val="00692D39"/>
    <w:rsid w:val="008E7ABA"/>
    <w:rsid w:val="00B9366E"/>
    <w:rsid w:val="00E62D8A"/>
    <w:rsid w:val="00EE300B"/>
    <w:rsid w:val="00F74C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74C8C"/>
    <w:rPr>
      <w:color w:val="808080"/>
    </w:rPr>
  </w:style>
  <w:style w:type="paragraph" w:customStyle="1" w:styleId="EEAE3805A7BD41CDBF3AA2E4A35D4B27">
    <w:name w:val="EEAE3805A7BD41CDBF3AA2E4A35D4B27"/>
    <w:rsid w:val="00F74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9D7F71-D566-4FE2-97B3-296EF231FC07}">
  <we:reference id="wa104382081" version="1.55.1.0" store="es-HN" storeType="OMEX"/>
  <we:alternateReferences>
    <we:reference id="wa104382081" version="1.55.1.0" store="es-HN" storeType="OMEX"/>
  </we:alternateReferences>
  <we:properties>
    <we:property name="MENDELEY_CITATIONS" value="[{&quot;citationID&quot;:&quot;MENDELEY_CITATION_4449564f-0c16-4480-adfa-6a14693206e9&quot;,&quot;properties&quot;:{&quot;noteIndex&quot;:0},&quot;isEdited&quot;:false,&quot;manualOverride&quot;:{&quot;isManuallyOverridden&quot;:false,&quot;citeprocText&quot;:&quot;(Thompson et al., 2022)&quot;,&quot;manualOverrideText&quot;:&quot;&quot;},&quot;citationItems&quot;:[{&quot;id&quot;:&quot;c0124388-3e72-335e-860d-944e5f820a69&quot;,&quot;itemData&quot;:{&quot;type&quot;:&quot;article-journal&quot;,&quot;id&quot;:&quot;c0124388-3e72-335e-860d-944e5f820a69&quot;,&quot;title&quot;:&quot;LAMMPS - a flexible simulation tool for particle-based materials modeling at the atomic, meso, and continuum scales&quot;,&quot;author&quot;:[{&quot;family&quot;:&quot;Thompson&quot;,&quot;given&quot;:&quot;Aidan P.&quot;,&quot;parse-names&quot;:false,&quot;dropping-particle&quot;:&quot;&quot;,&quot;non-dropping-particle&quot;:&quot;&quot;},{&quot;family&quot;:&quot;Aktulga&quot;,&quot;given&quot;:&quot;H. Metin&quot;,&quot;parse-names&quot;:false,&quot;dropping-particle&quot;:&quot;&quot;,&quot;non-dropping-particle&quot;:&quot;&quot;},{&quot;family&quot;:&quot;Berger&quot;,&quot;given&quot;:&quot;Richard&quot;,&quot;parse-names&quot;:false,&quot;dropping-particle&quot;:&quot;&quot;,&quot;non-dropping-particle&quot;:&quot;&quot;},{&quot;family&quot;:&quot;Bolintineanu&quot;,&quot;given&quot;:&quot;Dan S.&quot;,&quot;parse-names&quot;:false,&quot;dropping-particle&quot;:&quot;&quot;,&quot;non-dropping-particle&quot;:&quot;&quot;},{&quot;family&quot;:&quot;Brown&quot;,&quot;given&quot;:&quot;W. Michael&quot;,&quot;parse-names&quot;:false,&quot;dropping-particle&quot;:&quot;&quot;,&quot;non-dropping-particle&quot;:&quot;&quot;},{&quot;family&quot;:&quot;Crozier&quot;,&quot;given&quot;:&quot;Paul S.&quot;,&quot;parse-names&quot;:false,&quot;dropping-particle&quot;:&quot;&quot;,&quot;non-dropping-particle&quot;:&quot;&quot;},{&quot;family&quot;:&quot;Veld&quot;,&quot;given&quot;:&quot;Pieter J.&quot;,&quot;parse-names&quot;:false,&quot;dropping-particle&quot;:&quot;&quot;,&quot;non-dropping-particle&quot;:&quot;in 't&quot;},{&quot;family&quot;:&quot;Kohlmeyer&quot;,&quot;given&quot;:&quot;Axel&quot;,&quot;parse-names&quot;:false,&quot;dropping-particle&quot;:&quot;&quot;,&quot;non-dropping-particle&quot;:&quot;&quot;},{&quot;family&quot;:&quot;Moore&quot;,&quot;given&quot;:&quot;Stan G.&quot;,&quot;parse-names&quot;:false,&quot;dropping-particle&quot;:&quot;&quot;,&quot;non-dropping-particle&quot;:&quot;&quot;},{&quot;family&quot;:&quot;Nguyen&quot;,&quot;given&quot;:&quot;Trung Dac&quot;,&quot;parse-names&quot;:false,&quot;dropping-particle&quot;:&quot;&quot;,&quot;non-dropping-particle&quot;:&quot;&quot;},{&quot;family&quot;:&quot;Shan&quot;,&quot;given&quot;:&quot;Ray&quot;,&quot;parse-names&quot;:false,&quot;dropping-particle&quot;:&quot;&quot;,&quot;non-dropping-particle&quot;:&quot;&quot;},{&quot;family&quot;:&quot;Stevens&quot;,&quot;given&quot;:&quot;Mark J.&quot;,&quot;parse-names&quot;:false,&quot;dropping-particle&quot;:&quot;&quot;,&quot;non-dropping-particle&quot;:&quot;&quot;},{&quot;family&quot;:&quot;Tranchida&quot;,&quot;given&quot;:&quot;Julien&quot;,&quot;parse-names&quot;:false,&quot;dropping-particle&quot;:&quot;&quot;,&quot;non-dropping-particle&quot;:&quot;&quot;},{&quot;family&quot;:&quot;Trott&quot;,&quot;given&quot;:&quot;Christian&quot;,&quot;parse-names&quot;:false,&quot;dropping-particle&quot;:&quot;&quot;,&quot;non-dropping-particle&quot;:&quot;&quot;},{&quot;family&quot;:&quot;Plimpton&quot;,&quot;given&quot;:&quot;Steven J.&quot;,&quot;parse-names&quot;:false,&quot;dropping-particle&quot;:&quot;&quot;,&quot;non-dropping-particle&quot;:&quot;&quot;}],&quot;container-title&quot;:&quot;Computer Physics Communications&quot;,&quot;container-title-short&quot;:&quot;Comput Phys Commun&quot;,&quot;DOI&quot;:&quot;10.1016/j.cpc.2021.108171&quot;,&quot;ISSN&quot;:&quot;00104655&quot;,&quot;issued&quot;:{&quot;date-parts&quot;:[[2022,2]]},&quot;page&quot;:&quot;108171&quot;,&quot;volume&quot;:&quot;271&quot;},&quot;isTemporary&quot;:false}],&quot;citationTag&quot;:&quot;MENDELEY_CITATION_v3_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6</Pages>
  <Words>2591</Words>
  <Characters>14253</Characters>
  <Application>Microsoft Office Word</Application>
  <DocSecurity>0</DocSecurity>
  <Lines>118</Lines>
  <Paragraphs>33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Miguel Gutierrez</cp:lastModifiedBy>
  <cp:revision>19</cp:revision>
  <cp:lastPrinted>2004-12-17T09:20:00Z</cp:lastPrinted>
  <dcterms:created xsi:type="dcterms:W3CDTF">2023-12-15T20:21:00Z</dcterms:created>
  <dcterms:modified xsi:type="dcterms:W3CDTF">2023-12-30T16:20:00Z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