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7CFE76CF" w:rsidR="00DD3D9E" w:rsidRPr="000C2BBD" w:rsidRDefault="00460027">
      <w:pPr>
        <w:pStyle w:val="Els-Title"/>
        <w:rPr>
          <w:color w:val="000000" w:themeColor="text1"/>
        </w:rPr>
      </w:pPr>
      <w:r w:rsidRPr="000C2BBD">
        <w:rPr>
          <w:color w:val="000000" w:themeColor="text1"/>
        </w:rPr>
        <w:t>Simulation of Hydrogen-Methane Separation with Pressure Swing Adsorption</w:t>
      </w:r>
    </w:p>
    <w:p w14:paraId="144DE680" w14:textId="4FD2A04F" w:rsidR="00DD3D9E" w:rsidRPr="000C2BBD" w:rsidRDefault="00460027">
      <w:pPr>
        <w:pStyle w:val="Els-Author"/>
        <w:rPr>
          <w:lang w:val="en-US"/>
        </w:rPr>
      </w:pPr>
      <w:r w:rsidRPr="000C2BBD">
        <w:rPr>
          <w:lang w:val="en-US"/>
        </w:rPr>
        <w:t>Viktor Kalman</w:t>
      </w:r>
      <w:r w:rsidR="00E90D4F" w:rsidRPr="000C2BBD">
        <w:rPr>
          <w:lang w:val="en-US"/>
        </w:rPr>
        <w:t xml:space="preserve"> </w:t>
      </w:r>
      <w:r w:rsidRPr="000C2BBD">
        <w:rPr>
          <w:vertAlign w:val="superscript"/>
          <w:lang w:val="en-US"/>
        </w:rPr>
        <w:t>a</w:t>
      </w:r>
      <w:r w:rsidR="00E90D4F" w:rsidRPr="000C2BBD">
        <w:rPr>
          <w:vertAlign w:val="superscript"/>
          <w:lang w:val="en-US"/>
        </w:rPr>
        <w:t xml:space="preserve"> </w:t>
      </w:r>
      <w:r w:rsidR="009A36D8" w:rsidRPr="000C2BBD">
        <w:rPr>
          <w:lang w:val="en-US"/>
        </w:rPr>
        <w:t>*</w:t>
      </w:r>
      <w:r w:rsidRPr="000C2BBD">
        <w:rPr>
          <w:lang w:val="en-US"/>
        </w:rPr>
        <w:t>,</w:t>
      </w:r>
      <w:r w:rsidR="009A36D8" w:rsidRPr="000C2BBD">
        <w:rPr>
          <w:lang w:val="en-US"/>
        </w:rPr>
        <w:t xml:space="preserve"> Aleksander Makaruk </w:t>
      </w:r>
      <w:r w:rsidR="009A36D8" w:rsidRPr="000C2BBD">
        <w:rPr>
          <w:vertAlign w:val="superscript"/>
          <w:lang w:val="en-US"/>
        </w:rPr>
        <w:t>b</w:t>
      </w:r>
      <w:r w:rsidR="009A36D8" w:rsidRPr="000C2BBD">
        <w:rPr>
          <w:lang w:val="en-US"/>
        </w:rPr>
        <w:t xml:space="preserve">, Ezgi Engin </w:t>
      </w:r>
      <w:r w:rsidR="009A36D8" w:rsidRPr="000C2BBD">
        <w:rPr>
          <w:vertAlign w:val="superscript"/>
          <w:lang w:val="en-US"/>
        </w:rPr>
        <w:t>c</w:t>
      </w:r>
      <w:r w:rsidR="009A36D8" w:rsidRPr="000C2BBD">
        <w:rPr>
          <w:lang w:val="en-US"/>
        </w:rPr>
        <w:t xml:space="preserve">, </w:t>
      </w:r>
      <w:r w:rsidR="00BE5FF1" w:rsidRPr="000C2BBD">
        <w:rPr>
          <w:lang w:val="en-US"/>
        </w:rPr>
        <w:t xml:space="preserve">Anton Balla </w:t>
      </w:r>
      <w:r w:rsidR="00BE5FF1" w:rsidRPr="000C2BBD">
        <w:rPr>
          <w:vertAlign w:val="superscript"/>
          <w:lang w:val="en-US"/>
        </w:rPr>
        <w:t>c</w:t>
      </w:r>
      <w:r w:rsidR="00BE5FF1" w:rsidRPr="000C2BBD">
        <w:rPr>
          <w:lang w:val="en-US"/>
        </w:rPr>
        <w:t xml:space="preserve">, </w:t>
      </w:r>
      <w:r w:rsidRPr="000C2BBD">
        <w:rPr>
          <w:lang w:val="en-US"/>
        </w:rPr>
        <w:t>Michael Harasek</w:t>
      </w:r>
      <w:r w:rsidR="00E90D4F" w:rsidRPr="000C2BBD">
        <w:rPr>
          <w:lang w:val="en-US"/>
        </w:rPr>
        <w:t xml:space="preserve"> </w:t>
      </w:r>
      <w:r w:rsidRPr="000C2BBD">
        <w:rPr>
          <w:vertAlign w:val="superscript"/>
          <w:lang w:val="en-US"/>
        </w:rPr>
        <w:t>a</w:t>
      </w:r>
    </w:p>
    <w:p w14:paraId="144DE681" w14:textId="3E5D5BB3" w:rsidR="00DD3D9E" w:rsidRPr="000C2BBD" w:rsidRDefault="00460027">
      <w:pPr>
        <w:pStyle w:val="Els-Affiliation"/>
      </w:pPr>
      <w:r w:rsidRPr="000C2BBD">
        <w:rPr>
          <w:vertAlign w:val="superscript"/>
        </w:rPr>
        <w:t>a</w:t>
      </w:r>
      <w:r w:rsidRPr="000C2BBD">
        <w:t>Technische Universität Wien</w:t>
      </w:r>
      <w:r w:rsidR="004C61E4" w:rsidRPr="000C2BBD">
        <w:t>, Institute of Chemical, Environmental and Bioscience Engineering</w:t>
      </w:r>
      <w:r w:rsidRPr="000C2BBD">
        <w:t xml:space="preserve">, Getreidemarkt </w:t>
      </w:r>
      <w:r w:rsidR="004C61E4" w:rsidRPr="000C2BBD">
        <w:t>9</w:t>
      </w:r>
      <w:r w:rsidRPr="000C2BBD">
        <w:t>/166</w:t>
      </w:r>
      <w:r w:rsidR="004C61E4" w:rsidRPr="000C2BBD">
        <w:t>-2</w:t>
      </w:r>
      <w:r w:rsidRPr="000C2BBD">
        <w:t>, Vienna 1060, Austria</w:t>
      </w:r>
    </w:p>
    <w:p w14:paraId="1E93AAEF" w14:textId="482EE9B5" w:rsidR="009A36D8" w:rsidRPr="000C2BBD" w:rsidRDefault="009A36D8">
      <w:pPr>
        <w:pStyle w:val="Els-Affiliation"/>
        <w:rPr>
          <w:lang w:val="de-AT"/>
        </w:rPr>
      </w:pPr>
      <w:r w:rsidRPr="000C2BBD">
        <w:rPr>
          <w:vertAlign w:val="superscript"/>
          <w:lang w:val="de-AT"/>
        </w:rPr>
        <w:t>b</w:t>
      </w:r>
      <w:r w:rsidRPr="000C2BBD">
        <w:rPr>
          <w:lang w:val="de-AT"/>
        </w:rPr>
        <w:t>Axiom angewandte Prozesstechnik GmbH, Wienerstraße 114, Ebreichsdorf 2483, Austria</w:t>
      </w:r>
    </w:p>
    <w:p w14:paraId="3070891D" w14:textId="37E93114" w:rsidR="009A36D8" w:rsidRPr="000C2BBD" w:rsidRDefault="009A36D8">
      <w:pPr>
        <w:pStyle w:val="Els-Affiliation"/>
        <w:rPr>
          <w:lang w:val="en-US"/>
        </w:rPr>
      </w:pPr>
      <w:r w:rsidRPr="000C2BBD">
        <w:rPr>
          <w:vertAlign w:val="superscript"/>
          <w:lang w:val="en-US"/>
        </w:rPr>
        <w:t>c</w:t>
      </w:r>
      <w:r w:rsidRPr="000C2BBD">
        <w:rPr>
          <w:lang w:val="en-US"/>
        </w:rPr>
        <w:t>Verbund Green Hydrogen GmbH, Am Hof 6a, Vienna 1010, Austria</w:t>
      </w:r>
    </w:p>
    <w:p w14:paraId="144DE683" w14:textId="0911C881" w:rsidR="008D2649" w:rsidRPr="000C2BBD" w:rsidRDefault="00611CE2" w:rsidP="008D2649">
      <w:pPr>
        <w:pStyle w:val="Els-Affiliation"/>
        <w:spacing w:after="120"/>
        <w:rPr>
          <w:lang w:val="en-US"/>
        </w:rPr>
      </w:pPr>
      <w:r w:rsidRPr="000C2BBD">
        <w:rPr>
          <w:lang w:val="en-US"/>
        </w:rPr>
        <w:t>*</w:t>
      </w:r>
      <w:r w:rsidR="009A36D8" w:rsidRPr="000C2BBD">
        <w:rPr>
          <w:lang w:val="en-US"/>
        </w:rPr>
        <w:t>viktor.kalman</w:t>
      </w:r>
      <w:r w:rsidR="00460027" w:rsidRPr="000C2BBD">
        <w:rPr>
          <w:lang w:val="en-US"/>
        </w:rPr>
        <w:t>@tuwien.ac.at</w:t>
      </w:r>
    </w:p>
    <w:p w14:paraId="144DE684" w14:textId="77777777" w:rsidR="008D2649" w:rsidRPr="000C2BBD" w:rsidRDefault="008D2649" w:rsidP="008D2649">
      <w:pPr>
        <w:pStyle w:val="Els-Abstract"/>
      </w:pPr>
      <w:r w:rsidRPr="000C2BBD">
        <w:t>Abstract</w:t>
      </w:r>
    </w:p>
    <w:p w14:paraId="48B065B5" w14:textId="64A35527" w:rsidR="003A0976" w:rsidRPr="000C2BBD" w:rsidRDefault="003A0976" w:rsidP="003A0976">
      <w:pPr>
        <w:pStyle w:val="Els-body-text"/>
        <w:spacing w:after="120"/>
        <w:rPr>
          <w:lang w:val="en-GB"/>
        </w:rPr>
      </w:pPr>
      <w:r w:rsidRPr="000C2BBD">
        <w:rPr>
          <w:lang w:val="en-GB"/>
        </w:rPr>
        <w:t xml:space="preserve">The global energy landscape is </w:t>
      </w:r>
      <w:r w:rsidR="00A65856" w:rsidRPr="000C2BBD">
        <w:rPr>
          <w:lang w:val="en-GB"/>
        </w:rPr>
        <w:t>transforming as it</w:t>
      </w:r>
      <w:r w:rsidRPr="000C2BBD">
        <w:rPr>
          <w:lang w:val="en-GB"/>
        </w:rPr>
        <w:t xml:space="preserve"> shift</w:t>
      </w:r>
      <w:r w:rsidR="00A65856" w:rsidRPr="000C2BBD">
        <w:rPr>
          <w:lang w:val="en-GB"/>
        </w:rPr>
        <w:t>s</w:t>
      </w:r>
      <w:r w:rsidRPr="000C2BBD">
        <w:rPr>
          <w:lang w:val="en-GB"/>
        </w:rPr>
        <w:t xml:space="preserve"> towards sustainability, with a growing emphasis on harnessing renewable energy sources and advancing energy storage technologies. Hydrogen</w:t>
      </w:r>
      <w:r w:rsidR="00455D49">
        <w:rPr>
          <w:lang w:val="en-GB"/>
        </w:rPr>
        <w:t xml:space="preserve"> plays a pivotal role in this transition as a versatile and potentially clean energy carrier</w:t>
      </w:r>
      <w:r w:rsidRPr="000C2BBD">
        <w:rPr>
          <w:lang w:val="en-GB"/>
        </w:rPr>
        <w:t xml:space="preserve">. To address the seasonal variability of renewable energy generation, surplus renewable energy is converted to hydrogen during the summer, which is subsequently stored in depleted natural gas reservoirs for winter recovery, enabling </w:t>
      </w:r>
      <w:r w:rsidR="00455D49">
        <w:rPr>
          <w:lang w:val="en-GB"/>
        </w:rPr>
        <w:t>electricity generation</w:t>
      </w:r>
      <w:r w:rsidRPr="000C2BBD">
        <w:rPr>
          <w:lang w:val="en-GB"/>
        </w:rPr>
        <w:t xml:space="preserve"> or direct use. A high-pressure, 4-bed Pressure Swing Adsorption (PSA) system was designed to separate hydrogen from the cushion gas</w:t>
      </w:r>
      <w:r w:rsidR="00455D49">
        <w:rPr>
          <w:lang w:val="en-GB"/>
        </w:rPr>
        <w:t xml:space="preserve"> containing</w:t>
      </w:r>
      <w:r w:rsidRPr="000C2BBD">
        <w:rPr>
          <w:lang w:val="en-GB"/>
        </w:rPr>
        <w:t xml:space="preserve"> varying amount</w:t>
      </w:r>
      <w:r w:rsidR="00455D49">
        <w:rPr>
          <w:lang w:val="en-GB"/>
        </w:rPr>
        <w:t>s</w:t>
      </w:r>
      <w:r w:rsidRPr="000C2BBD">
        <w:rPr>
          <w:lang w:val="en-GB"/>
        </w:rPr>
        <w:t xml:space="preserve"> of methane. The main challenge lies in the fluctuating feed conditions encountered during winter recovery, where hydrogen concentration in the stream varies from 70% to 98% at pressures ranging from 25 to 60 bar</w:t>
      </w:r>
      <w:r w:rsidR="00455D49">
        <w:rPr>
          <w:lang w:val="en-GB"/>
        </w:rPr>
        <w:t>,</w:t>
      </w:r>
      <w:r w:rsidRPr="000C2BBD">
        <w:rPr>
          <w:lang w:val="en-GB"/>
        </w:rPr>
        <w:t xml:space="preserve"> as direct feed pressurization is eliminated in </w:t>
      </w:r>
      <w:r w:rsidR="00DD3BC4" w:rsidRPr="000C2BBD">
        <w:rPr>
          <w:lang w:val="en-GB"/>
        </w:rPr>
        <w:t>favour</w:t>
      </w:r>
      <w:r w:rsidRPr="000C2BBD">
        <w:rPr>
          <w:lang w:val="en-GB"/>
        </w:rPr>
        <w:t xml:space="preserve"> of energy efficiency. A lab-scale PSA system has been constructed, and its experimental results for hydrogen-methane separation are employed to validate a simulation model and support the scale-up. The simulator</w:t>
      </w:r>
      <w:r w:rsidR="00455D49">
        <w:rPr>
          <w:lang w:val="en-GB"/>
        </w:rPr>
        <w:t>,</w:t>
      </w:r>
      <w:r w:rsidRPr="000C2BBD">
        <w:rPr>
          <w:lang w:val="en-GB"/>
        </w:rPr>
        <w:t xml:space="preserve"> developed as open-source software in MATLAB</w:t>
      </w:r>
      <w:r w:rsidR="00455D49">
        <w:rPr>
          <w:lang w:val="en-GB"/>
        </w:rPr>
        <w:t>,</w:t>
      </w:r>
      <w:r w:rsidRPr="000C2BBD">
        <w:rPr>
          <w:lang w:val="en-GB"/>
        </w:rPr>
        <w:t xml:space="preserve"> accurately captures the dynamic </w:t>
      </w:r>
      <w:r w:rsidR="00DD3BC4" w:rsidRPr="000C2BBD">
        <w:rPr>
          <w:lang w:val="en-GB"/>
        </w:rPr>
        <w:t>behaviour</w:t>
      </w:r>
      <w:r w:rsidRPr="000C2BBD">
        <w:rPr>
          <w:lang w:val="en-GB"/>
        </w:rPr>
        <w:t xml:space="preserve"> of the high-pressure PSA system, providing insights into breakthrough curves and system performance under realistic conditions. This research contributes to </w:t>
      </w:r>
      <w:r w:rsidR="00455D49">
        <w:rPr>
          <w:lang w:val="en-GB"/>
        </w:rPr>
        <w:t>developing</w:t>
      </w:r>
      <w:r w:rsidRPr="000C2BBD">
        <w:rPr>
          <w:lang w:val="en-GB"/>
        </w:rPr>
        <w:t xml:space="preserve"> efficient and reliable hydrogen storage solutions</w:t>
      </w:r>
      <w:r w:rsidR="00455D49">
        <w:rPr>
          <w:lang w:val="en-GB"/>
        </w:rPr>
        <w:t xml:space="preserve"> that align</w:t>
      </w:r>
      <w:r w:rsidRPr="000C2BBD">
        <w:rPr>
          <w:lang w:val="en-GB"/>
        </w:rPr>
        <w:t xml:space="preserve"> with the current trends in the evolving energy economy, where hydrogen emerges as a key player in achieving a sustainable and resilient energy future.</w:t>
      </w:r>
    </w:p>
    <w:p w14:paraId="144DE687" w14:textId="42FCF856" w:rsidR="008D2649" w:rsidRPr="000C2BBD" w:rsidRDefault="008D2649" w:rsidP="008D2649">
      <w:pPr>
        <w:pStyle w:val="Els-body-text"/>
        <w:spacing w:after="120"/>
        <w:rPr>
          <w:lang w:val="en-GB"/>
        </w:rPr>
      </w:pPr>
      <w:r w:rsidRPr="000C2BBD">
        <w:rPr>
          <w:b/>
          <w:bCs/>
          <w:lang w:val="en-GB"/>
        </w:rPr>
        <w:t>Keywords</w:t>
      </w:r>
      <w:r w:rsidRPr="000C2BBD">
        <w:rPr>
          <w:lang w:val="en-GB"/>
        </w:rPr>
        <w:t xml:space="preserve">: </w:t>
      </w:r>
      <w:r w:rsidR="00DD3BC4" w:rsidRPr="000C2BBD">
        <w:rPr>
          <w:lang w:val="en-GB"/>
        </w:rPr>
        <w:t>adsorption, hydrogen purification, modelling</w:t>
      </w:r>
    </w:p>
    <w:p w14:paraId="144DE689" w14:textId="1F79BE68" w:rsidR="008D2649" w:rsidRPr="000C2BBD" w:rsidRDefault="006A1BFD" w:rsidP="008D2649">
      <w:pPr>
        <w:pStyle w:val="Els-1storder-head"/>
      </w:pPr>
      <w:r w:rsidRPr="000C2BBD">
        <w:t>Introduction</w:t>
      </w:r>
    </w:p>
    <w:p w14:paraId="5A171300" w14:textId="074F1C83" w:rsidR="00535F9D" w:rsidRPr="000C2BBD" w:rsidRDefault="00455D49" w:rsidP="00535F9D">
      <w:pPr>
        <w:pStyle w:val="Els-body-text"/>
        <w:rPr>
          <w:lang w:val="en-GB"/>
        </w:rPr>
      </w:pPr>
      <w:r>
        <w:t>The need for efficient and scalable energy storage solutions is growing as global efforts intensify to transition towards renewable energy sources</w:t>
      </w:r>
      <w:r w:rsidR="00535F9D" w:rsidRPr="000C2BBD">
        <w:t>. The seasonal intermittency of renewable resources, such as solar and wind, necessitates the development of storage technologies capable of accommodating large quantities of energy over extended periods.</w:t>
      </w:r>
      <w:r w:rsidR="0071611B" w:rsidRPr="000C2BBD">
        <w:t xml:space="preserve"> Hydrogen</w:t>
      </w:r>
      <w:r>
        <w:t xml:space="preserve"> has the</w:t>
      </w:r>
      <w:r w:rsidR="0071611B" w:rsidRPr="000C2BBD">
        <w:t xml:space="preserve"> potential to serve as a clean and versatile energy carrier</w:t>
      </w:r>
      <w:r>
        <w:t xml:space="preserve"> and</w:t>
      </w:r>
      <w:r w:rsidR="0071611B" w:rsidRPr="000C2BBD">
        <w:t xml:space="preserve"> offers a promising solution for long-term storage. Subsurface geological formations such as salt caverns, aquifers, or depleted oil and gas reservoirs are being investigated globally for this purpose.</w:t>
      </w:r>
      <w:r w:rsidR="00622796" w:rsidRPr="000C2BBD">
        <w:t xml:space="preserve"> </w:t>
      </w:r>
      <w:r w:rsidR="001E22BD" w:rsidRPr="000C2BBD">
        <w:t xml:space="preserve">Porous rock </w:t>
      </w:r>
      <w:r w:rsidR="000A13AE" w:rsidRPr="000C2BBD">
        <w:t>formations</w:t>
      </w:r>
      <w:r w:rsidR="001E22BD" w:rsidRPr="000C2BBD">
        <w:t>, like depleted oil and gas fields and aquifers</w:t>
      </w:r>
      <w:r>
        <w:t>, are widely available,</w:t>
      </w:r>
      <w:r w:rsidR="0076366E" w:rsidRPr="000C2BBD">
        <w:t xml:space="preserve"> so several projects</w:t>
      </w:r>
      <w:r>
        <w:t>,</w:t>
      </w:r>
      <w:r w:rsidR="00F304CD" w:rsidRPr="000C2BBD">
        <w:t xml:space="preserve"> such as HyUnder and </w:t>
      </w:r>
      <w:proofErr w:type="spellStart"/>
      <w:r w:rsidR="00F304CD" w:rsidRPr="000C2BBD">
        <w:t>HyStories</w:t>
      </w:r>
      <w:proofErr w:type="spellEnd"/>
      <w:r>
        <w:t>,</w:t>
      </w:r>
      <w:r w:rsidR="0076366E" w:rsidRPr="000C2BBD">
        <w:t xml:space="preserve"> ha</w:t>
      </w:r>
      <w:r w:rsidR="00F304CD" w:rsidRPr="000C2BBD">
        <w:t xml:space="preserve">ve </w:t>
      </w:r>
      <w:r w:rsidR="0076366E" w:rsidRPr="000C2BBD">
        <w:t>been undertaken in Europe to assess the potential sites</w:t>
      </w:r>
      <w:r w:rsidR="00F304CD" w:rsidRPr="000C2BBD">
        <w:t xml:space="preserve"> for hydrogen storage.</w:t>
      </w:r>
      <w:r w:rsidR="00EE4869" w:rsidRPr="000C2BBD">
        <w:t xml:space="preserve"> (Cihlar et al., </w:t>
      </w:r>
      <w:r w:rsidR="00EE4869" w:rsidRPr="000C2BBD">
        <w:lastRenderedPageBreak/>
        <w:t>2021) found 80 suitable depleted gas field</w:t>
      </w:r>
      <w:r>
        <w:t>s</w:t>
      </w:r>
      <w:r w:rsidR="00EE4869" w:rsidRPr="000C2BBD">
        <w:t xml:space="preserve"> around Europe with a total working capacity of 792 TWh.</w:t>
      </w:r>
      <w:r w:rsidR="000A13AE" w:rsidRPr="000C2BBD">
        <w:t xml:space="preserve"> </w:t>
      </w:r>
      <w:r w:rsidR="00CB3D1D" w:rsidRPr="000C2BBD">
        <w:rPr>
          <w:lang w:val="en-GB"/>
        </w:rPr>
        <w:t>Pure hydrogen or a hydrogen-methane mix can be injected into the porous rock</w:t>
      </w:r>
      <w:r>
        <w:rPr>
          <w:lang w:val="en-GB"/>
        </w:rPr>
        <w:t xml:space="preserve"> so that</w:t>
      </w:r>
      <w:r w:rsidR="00CB3D1D" w:rsidRPr="000C2BBD">
        <w:rPr>
          <w:lang w:val="en-GB"/>
        </w:rPr>
        <w:t xml:space="preserve"> the hydrogen content may vary from a few per cent to 100 per cent</w:t>
      </w:r>
      <w:r w:rsidR="0094207E">
        <w:rPr>
          <w:lang w:val="en-GB"/>
        </w:rPr>
        <w:t xml:space="preserve"> (</w:t>
      </w:r>
      <w:proofErr w:type="spellStart"/>
      <w:r w:rsidR="0094207E">
        <w:rPr>
          <w:lang w:val="en-GB"/>
        </w:rPr>
        <w:t>Londe</w:t>
      </w:r>
      <w:proofErr w:type="spellEnd"/>
      <w:r w:rsidR="0094207E">
        <w:rPr>
          <w:lang w:val="en-GB"/>
        </w:rPr>
        <w:t>, 2021)</w:t>
      </w:r>
      <w:r w:rsidR="00CB3D1D" w:rsidRPr="000C2BBD">
        <w:rPr>
          <w:lang w:val="en-GB"/>
        </w:rPr>
        <w:t xml:space="preserve">. Ongoing pilot and demonstration projects were collected by (Sambo et al., </w:t>
      </w:r>
      <w:r w:rsidR="00691FE2" w:rsidRPr="000C2BBD">
        <w:rPr>
          <w:lang w:val="en-GB"/>
        </w:rPr>
        <w:t>2020</w:t>
      </w:r>
      <w:r w:rsidR="00CB3D1D" w:rsidRPr="000C2BBD">
        <w:rPr>
          <w:lang w:val="en-GB"/>
        </w:rPr>
        <w:t>). Recent projects in Austria and Argentina showed that injection and storage with up to 20 % hydrogen can be safely done</w:t>
      </w:r>
      <w:r>
        <w:rPr>
          <w:lang w:val="en-GB"/>
        </w:rPr>
        <w:t>. M</w:t>
      </w:r>
      <w:r w:rsidR="00CB3D1D" w:rsidRPr="000C2BBD">
        <w:rPr>
          <w:lang w:val="en-GB"/>
        </w:rPr>
        <w:t>eanwhile</w:t>
      </w:r>
      <w:r>
        <w:rPr>
          <w:lang w:val="en-GB"/>
        </w:rPr>
        <w:t>,</w:t>
      </w:r>
      <w:r w:rsidR="00CB3D1D" w:rsidRPr="000C2BBD">
        <w:rPr>
          <w:lang w:val="en-GB"/>
        </w:rPr>
        <w:t xml:space="preserve"> </w:t>
      </w:r>
      <w:r>
        <w:rPr>
          <w:lang w:val="en-GB"/>
        </w:rPr>
        <w:t xml:space="preserve">the </w:t>
      </w:r>
      <w:r w:rsidR="00CB3D1D" w:rsidRPr="000C2BBD">
        <w:rPr>
          <w:lang w:val="en-GB"/>
        </w:rPr>
        <w:t>storage of pure hydrogen is currently being investigated in Austria</w:t>
      </w:r>
      <w:r w:rsidR="00442754" w:rsidRPr="000C2BBD">
        <w:rPr>
          <w:lang w:val="en-GB"/>
        </w:rPr>
        <w:t xml:space="preserve"> in the Underground Sun Storage 2030 project</w:t>
      </w:r>
      <w:r w:rsidR="00CB3D1D" w:rsidRPr="000C2BBD">
        <w:rPr>
          <w:lang w:val="en-GB"/>
        </w:rPr>
        <w:t>. (</w:t>
      </w:r>
      <w:proofErr w:type="spellStart"/>
      <w:r w:rsidR="00CB3D1D" w:rsidRPr="000C2BBD">
        <w:rPr>
          <w:lang w:val="en-GB"/>
        </w:rPr>
        <w:t>Zamehrian</w:t>
      </w:r>
      <w:proofErr w:type="spellEnd"/>
      <w:r w:rsidR="00CB3D1D" w:rsidRPr="000C2BBD">
        <w:rPr>
          <w:lang w:val="en-GB"/>
        </w:rPr>
        <w:t xml:space="preserve"> and </w:t>
      </w:r>
      <w:proofErr w:type="spellStart"/>
      <w:r w:rsidR="00CB3D1D" w:rsidRPr="000C2BBD">
        <w:rPr>
          <w:lang w:val="en-GB"/>
        </w:rPr>
        <w:t>Sedaee</w:t>
      </w:r>
      <w:proofErr w:type="spellEnd"/>
      <w:r w:rsidR="00CB3D1D" w:rsidRPr="000C2BBD">
        <w:rPr>
          <w:lang w:val="en-GB"/>
        </w:rPr>
        <w:t>, 202</w:t>
      </w:r>
      <w:r w:rsidR="00611CE2" w:rsidRPr="000C2BBD">
        <w:rPr>
          <w:lang w:val="en-GB"/>
        </w:rPr>
        <w:t>2</w:t>
      </w:r>
      <w:r w:rsidR="00CB3D1D" w:rsidRPr="000C2BBD">
        <w:rPr>
          <w:lang w:val="en-GB"/>
        </w:rPr>
        <w:t>) investigated the effect of cushion gas on underground hydrogen storage in a partially depleted gas reser</w:t>
      </w:r>
      <w:r w:rsidR="00442754" w:rsidRPr="000C2BBD">
        <w:rPr>
          <w:lang w:val="en-GB"/>
        </w:rPr>
        <w:t xml:space="preserve">voir and concluded that the highest purity can be achieved if nitrogen is used as a cushion gas. </w:t>
      </w:r>
      <w:r w:rsidR="00CB3D1D" w:rsidRPr="000C2BBD">
        <w:rPr>
          <w:lang w:val="en-GB"/>
        </w:rPr>
        <w:t>(Lyssy et al</w:t>
      </w:r>
      <w:r>
        <w:rPr>
          <w:lang w:val="en-GB"/>
        </w:rPr>
        <w:t>.</w:t>
      </w:r>
      <w:r w:rsidR="00CB3D1D" w:rsidRPr="000C2BBD">
        <w:rPr>
          <w:lang w:val="en-GB"/>
        </w:rPr>
        <w:t xml:space="preserve">, 2021) showed that </w:t>
      </w:r>
      <w:r w:rsidR="005D192C" w:rsidRPr="000C2BBD">
        <w:rPr>
          <w:lang w:val="en-GB"/>
        </w:rPr>
        <w:t>different levels of hydrogen injection have different challenges. Pure hydrogen injection resulted in low recovery because most hydrogen remained underground as cushion gas</w:t>
      </w:r>
      <w:r w:rsidR="00F95546" w:rsidRPr="000C2BBD">
        <w:rPr>
          <w:lang w:val="en-GB"/>
        </w:rPr>
        <w:t>. Recovery can only be increased at the expense of purity, but the impurity levels in the withdrawn gas vary during cyclic operation</w:t>
      </w:r>
      <w:r w:rsidR="005D192C" w:rsidRPr="000C2BBD">
        <w:rPr>
          <w:lang w:val="en-GB"/>
        </w:rPr>
        <w:t xml:space="preserve">. </w:t>
      </w:r>
      <w:r w:rsidR="00EF62C7" w:rsidRPr="000C2BBD">
        <w:rPr>
          <w:lang w:val="en-GB"/>
        </w:rPr>
        <w:t>(</w:t>
      </w:r>
      <w:proofErr w:type="spellStart"/>
      <w:r w:rsidR="00EF62C7" w:rsidRPr="000C2BBD">
        <w:rPr>
          <w:lang w:val="en-GB"/>
        </w:rPr>
        <w:t>Juez</w:t>
      </w:r>
      <w:proofErr w:type="spellEnd"/>
      <w:r w:rsidR="00EF62C7" w:rsidRPr="000C2BBD">
        <w:rPr>
          <w:lang w:val="en-GB"/>
        </w:rPr>
        <w:t>-Larr</w:t>
      </w:r>
      <w:r w:rsidR="00EF62C7" w:rsidRPr="000C2BBD">
        <w:rPr>
          <w:lang w:val="hu-HU"/>
        </w:rPr>
        <w:t>é</w:t>
      </w:r>
      <w:r w:rsidR="00EF62C7" w:rsidRPr="000C2BBD">
        <w:t xml:space="preserve"> et al</w:t>
      </w:r>
      <w:r w:rsidR="00EF62C7" w:rsidRPr="000C2BBD">
        <w:rPr>
          <w:lang w:val="en-GB"/>
        </w:rPr>
        <w:t>., 2023) used numerical modelling to conduct a feasibility study to quantify the efficiency of different operating strategies at three potential sites for underground hydrogen storage.</w:t>
      </w:r>
    </w:p>
    <w:p w14:paraId="7C10A562" w14:textId="3745BC36" w:rsidR="00E84BFB" w:rsidRPr="000C2BBD" w:rsidRDefault="00691FE2" w:rsidP="00535F9D">
      <w:pPr>
        <w:pStyle w:val="Els-body-text"/>
      </w:pPr>
      <w:r w:rsidRPr="000C2BBD">
        <w:t>Most</w:t>
      </w:r>
      <w:r w:rsidR="005D192C" w:rsidRPr="000C2BBD">
        <w:t xml:space="preserve"> depleted gas reservoirs are not empty and contain significant amounts of natural gas as cushion gas because the porous structure relies – to some extent – on the gas pressure to prevent the strata from crumbling. The injected hydrogen (pure or </w:t>
      </w:r>
      <w:r w:rsidR="00336D93" w:rsidRPr="000C2BBD">
        <w:t>mixed</w:t>
      </w:r>
      <w:r w:rsidR="005D192C" w:rsidRPr="000C2BBD">
        <w:t xml:space="preserve"> form) will </w:t>
      </w:r>
      <w:r w:rsidR="007C0E7E" w:rsidRPr="000C2BBD">
        <w:t>blend</w:t>
      </w:r>
      <w:r w:rsidR="005D192C" w:rsidRPr="000C2BBD">
        <w:t xml:space="preserve"> with the existing cushion gas, especially when stored for an extended period. The hydrogen-natural gas mixture can be withdrawn and injected into the network if local regulations allow it. Alternatively, hydrogen can be separated at the wellhead</w:t>
      </w:r>
      <w:r w:rsidR="00455D49">
        <w:t>,</w:t>
      </w:r>
      <w:r w:rsidR="00E84BFB" w:rsidRPr="000C2BBD">
        <w:t xml:space="preserve"> for example</w:t>
      </w:r>
      <w:r w:rsidR="00455D49">
        <w:t>,</w:t>
      </w:r>
      <w:r w:rsidR="00E84BFB" w:rsidRPr="000C2BBD">
        <w:t xml:space="preserve"> using pressure swing adsorption (PSA) technology</w:t>
      </w:r>
      <w:r w:rsidR="005D192C" w:rsidRPr="000C2BBD">
        <w:t xml:space="preserve">, </w:t>
      </w:r>
      <w:r w:rsidR="00E84BFB" w:rsidRPr="000C2BBD">
        <w:t xml:space="preserve">to be </w:t>
      </w:r>
      <w:r w:rsidR="005D192C" w:rsidRPr="000C2BBD">
        <w:t>used directly in mobility application</w:t>
      </w:r>
      <w:r w:rsidR="00455D49">
        <w:t>s</w:t>
      </w:r>
      <w:r w:rsidR="005D192C" w:rsidRPr="000C2BBD">
        <w:t xml:space="preserve">, transported </w:t>
      </w:r>
      <w:r w:rsidR="00E84BFB" w:rsidRPr="000C2BBD">
        <w:t>separately,</w:t>
      </w:r>
      <w:r w:rsidR="005D192C" w:rsidRPr="000C2BBD">
        <w:t xml:space="preserve"> or transformed into electricity.</w:t>
      </w:r>
    </w:p>
    <w:p w14:paraId="4A488B97" w14:textId="029E337C" w:rsidR="00E84BFB" w:rsidRPr="000C2BBD" w:rsidRDefault="00E84BFB" w:rsidP="00535F9D">
      <w:pPr>
        <w:pStyle w:val="Els-body-text"/>
      </w:pPr>
      <w:r w:rsidRPr="000C2BBD">
        <w:t xml:space="preserve">PSA is </w:t>
      </w:r>
      <w:r w:rsidR="005B7ADF" w:rsidRPr="000C2BBD">
        <w:t>a cyclic</w:t>
      </w:r>
      <w:r w:rsidRPr="000C2BBD">
        <w:t xml:space="preserve"> separation process with one or more fixed beds going through </w:t>
      </w:r>
      <w:r w:rsidR="005B7ADF" w:rsidRPr="000C2BBD">
        <w:t>several</w:t>
      </w:r>
      <w:r w:rsidRPr="000C2BBD">
        <w:t xml:space="preserve"> pressure-varying and constant pressure steps</w:t>
      </w:r>
      <w:r w:rsidR="00FF3C7A" w:rsidRPr="000C2BBD">
        <w:t xml:space="preserve"> (Ruthven</w:t>
      </w:r>
      <w:r w:rsidR="00D3624B" w:rsidRPr="000C2BBD">
        <w:t xml:space="preserve"> et al.</w:t>
      </w:r>
      <w:r w:rsidR="00FF3C7A" w:rsidRPr="000C2BBD">
        <w:t>, 19</w:t>
      </w:r>
      <w:r w:rsidR="00D3624B" w:rsidRPr="000C2BBD">
        <w:t>93</w:t>
      </w:r>
      <w:r w:rsidR="00FF3C7A" w:rsidRPr="000C2BBD">
        <w:t>)</w:t>
      </w:r>
      <w:r w:rsidRPr="000C2BBD">
        <w:t>.</w:t>
      </w:r>
      <w:r w:rsidR="005B7ADF" w:rsidRPr="000C2BBD">
        <w:t xml:space="preserve"> The beds are filled with porous material such as activated carbon, molecular sieve, or metal-organic frameworks (MOFs) on which some species are preferentially adsorbed from the gas mixture at high pressure, allowing the light component to be collected as the product. Before the breakthrough of the impurities</w:t>
      </w:r>
      <w:r w:rsidR="00455D49">
        <w:t>,</w:t>
      </w:r>
      <w:r w:rsidR="005B7ADF" w:rsidRPr="000C2BBD">
        <w:t xml:space="preserve"> the feed is </w:t>
      </w:r>
      <w:r w:rsidR="007275F9" w:rsidRPr="000C2BBD">
        <w:t>stopped,</w:t>
      </w:r>
      <w:r w:rsidR="005B7ADF" w:rsidRPr="000C2BBD">
        <w:t xml:space="preserve"> and the pressure is decreased to regenerate the bed. </w:t>
      </w:r>
      <w:r w:rsidRPr="000C2BBD">
        <w:t xml:space="preserve">The number of beds can go up to 12 in </w:t>
      </w:r>
      <w:r w:rsidR="007275F9" w:rsidRPr="000C2BBD">
        <w:t>P</w:t>
      </w:r>
      <w:r w:rsidRPr="000C2BBD">
        <w:t>olybed systems</w:t>
      </w:r>
      <w:r w:rsidR="005B7ADF" w:rsidRPr="000C2BBD">
        <w:t xml:space="preserve">, while the number of steps in a single cycle </w:t>
      </w:r>
      <w:r w:rsidR="007275F9" w:rsidRPr="000C2BBD">
        <w:t xml:space="preserve">usually </w:t>
      </w:r>
      <w:r w:rsidR="005B7ADF" w:rsidRPr="000C2BBD">
        <w:t>range</w:t>
      </w:r>
      <w:r w:rsidR="007275F9" w:rsidRPr="000C2BBD">
        <w:t>s</w:t>
      </w:r>
      <w:r w:rsidR="005B7ADF" w:rsidRPr="000C2BBD">
        <w:t xml:space="preserve"> from 4 to </w:t>
      </w:r>
      <w:r w:rsidR="007275F9" w:rsidRPr="000C2BBD">
        <w:t>12</w:t>
      </w:r>
      <w:r w:rsidR="005B7ADF" w:rsidRPr="000C2BBD">
        <w:t>, depending on the complexity and number of pressure equalization steps.</w:t>
      </w:r>
      <w:r w:rsidR="007275F9" w:rsidRPr="000C2BBD">
        <w:t xml:space="preserve"> Polybed systems are complex, large-scale units that can produce ultrapure H</w:t>
      </w:r>
      <w:r w:rsidR="007275F9" w:rsidRPr="000C2BBD">
        <w:rPr>
          <w:vertAlign w:val="subscript"/>
        </w:rPr>
        <w:t>2</w:t>
      </w:r>
      <w:r w:rsidR="007275F9" w:rsidRPr="000C2BBD">
        <w:t xml:space="preserve"> with more than 90 % recovery</w:t>
      </w:r>
      <w:r w:rsidR="005B7ADF" w:rsidRPr="000C2BBD">
        <w:t xml:space="preserve"> </w:t>
      </w:r>
      <w:r w:rsidR="007275F9" w:rsidRPr="000C2BBD">
        <w:t>(</w:t>
      </w:r>
      <w:proofErr w:type="spellStart"/>
      <w:r w:rsidR="007275F9" w:rsidRPr="000C2BBD">
        <w:t>Luberti</w:t>
      </w:r>
      <w:proofErr w:type="spellEnd"/>
      <w:r w:rsidR="007275F9" w:rsidRPr="000C2BBD">
        <w:t xml:space="preserve"> and Ahn, 2022). </w:t>
      </w:r>
      <w:r w:rsidR="00FF3C7A" w:rsidRPr="000C2BBD">
        <w:t>Hydrogen purification is a common use of PSA</w:t>
      </w:r>
      <w:r w:rsidR="00455D49">
        <w:t xml:space="preserve"> bu</w:t>
      </w:r>
      <w:r w:rsidR="00FF3C7A" w:rsidRPr="000C2BBD">
        <w:t xml:space="preserve">t </w:t>
      </w:r>
      <w:r w:rsidR="007275F9" w:rsidRPr="000C2BBD">
        <w:t xml:space="preserve">is </w:t>
      </w:r>
      <w:r w:rsidR="00FF3C7A" w:rsidRPr="000C2BBD">
        <w:t xml:space="preserve">also </w:t>
      </w:r>
      <w:r w:rsidR="007275F9" w:rsidRPr="000C2BBD">
        <w:t>used for air separation</w:t>
      </w:r>
      <w:r w:rsidR="00455D49">
        <w:t>,</w:t>
      </w:r>
      <w:r w:rsidR="007275F9" w:rsidRPr="000C2BBD">
        <w:t xml:space="preserve"> </w:t>
      </w:r>
      <w:r w:rsidR="00455D49">
        <w:t>biogas upgrading, and</w:t>
      </w:r>
      <w:r w:rsidR="002125B8" w:rsidRPr="000C2BBD">
        <w:t xml:space="preserve"> spacesuit life support systems (Papale et al., 2006).</w:t>
      </w:r>
    </w:p>
    <w:p w14:paraId="5D8BF407" w14:textId="7AAEE09A" w:rsidR="00F12E09" w:rsidRPr="000C2BBD" w:rsidRDefault="00974C28" w:rsidP="00C57B0F">
      <w:pPr>
        <w:pStyle w:val="Els-body-text"/>
      </w:pPr>
      <w:r w:rsidRPr="000C2BBD">
        <w:t xml:space="preserve">In this work, </w:t>
      </w:r>
      <w:r w:rsidR="00B40674" w:rsidRPr="000C2BBD">
        <w:t>experimental results</w:t>
      </w:r>
      <w:r w:rsidR="00D313C3" w:rsidRPr="000C2BBD">
        <w:t xml:space="preserve"> from (Kalman et al. 2022)</w:t>
      </w:r>
      <w:r w:rsidR="00B40674" w:rsidRPr="000C2BBD">
        <w:t xml:space="preserve"> are used to validate a simulation model of </w:t>
      </w:r>
      <w:r w:rsidRPr="000C2BBD">
        <w:t>a</w:t>
      </w:r>
      <w:r w:rsidR="00B40674" w:rsidRPr="000C2BBD">
        <w:t xml:space="preserve"> 4-bed</w:t>
      </w:r>
      <w:r w:rsidRPr="000C2BBD">
        <w:t xml:space="preserve"> pressure swing adsorption process to address the challenges from varying hydrogen fraction</w:t>
      </w:r>
      <w:r w:rsidR="00455D49">
        <w:t>s</w:t>
      </w:r>
      <w:r w:rsidRPr="000C2BBD">
        <w:t xml:space="preserve"> in the withdrawn gas during cyclic </w:t>
      </w:r>
      <w:r w:rsidR="007E3F75" w:rsidRPr="000C2BBD">
        <w:t>operation,</w:t>
      </w:r>
      <w:r w:rsidR="00176939" w:rsidRPr="000C2BBD">
        <w:t xml:space="preserve"> contributing to </w:t>
      </w:r>
      <w:r w:rsidR="00176939" w:rsidRPr="000C2BBD">
        <w:rPr>
          <w:lang w:val="en-GB"/>
        </w:rPr>
        <w:t>the development of efficient and reliable hydrogen storage solutions.</w:t>
      </w:r>
    </w:p>
    <w:p w14:paraId="278DED73" w14:textId="4A8B6436" w:rsidR="001E578A" w:rsidRPr="000C2BBD" w:rsidRDefault="00E67D02" w:rsidP="00AF1330">
      <w:pPr>
        <w:pStyle w:val="Els-1storder-head"/>
      </w:pPr>
      <w:r w:rsidRPr="000C2BBD">
        <w:t>Models</w:t>
      </w:r>
      <w:r w:rsidR="00F12E09" w:rsidRPr="000C2BBD">
        <w:t xml:space="preserve"> and Methods</w:t>
      </w:r>
    </w:p>
    <w:p w14:paraId="54BB8A96" w14:textId="60D0C7C1" w:rsidR="00E67D02" w:rsidRPr="000C2BBD" w:rsidRDefault="001437CD" w:rsidP="00E67D02">
      <w:pPr>
        <w:pStyle w:val="Els-body-text"/>
      </w:pPr>
      <w:r w:rsidRPr="000C2BBD">
        <w:t>The simulations</w:t>
      </w:r>
      <w:r w:rsidR="00EF62C7" w:rsidRPr="000C2BBD">
        <w:t xml:space="preserve"> </w:t>
      </w:r>
      <w:r w:rsidRPr="000C2BBD">
        <w:t xml:space="preserve">are </w:t>
      </w:r>
      <w:r w:rsidR="001E578A" w:rsidRPr="000C2BBD">
        <w:t>performed in MATLAB</w:t>
      </w:r>
      <w:r w:rsidR="00B40674" w:rsidRPr="000C2BBD">
        <w:rPr>
          <w:vertAlign w:val="superscript"/>
        </w:rPr>
        <w:t>®</w:t>
      </w:r>
      <w:r w:rsidR="001E578A" w:rsidRPr="000C2BBD">
        <w:t xml:space="preserve"> with the Totally Open Pressure Swing Adsorption Intensification Laboratory (</w:t>
      </w:r>
      <w:proofErr w:type="spellStart"/>
      <w:r w:rsidR="001E578A" w:rsidRPr="000C2BBD">
        <w:t>toPSAil</w:t>
      </w:r>
      <w:proofErr w:type="spellEnd"/>
      <w:r w:rsidR="001E578A" w:rsidRPr="000C2BBD">
        <w:t>) simulation code from</w:t>
      </w:r>
      <w:r w:rsidR="000A13AE" w:rsidRPr="000C2BBD">
        <w:t xml:space="preserve"> (Kim and Scott, 2023)</w:t>
      </w:r>
      <w:r w:rsidR="001E578A" w:rsidRPr="000C2BBD">
        <w:t xml:space="preserve"> </w:t>
      </w:r>
      <w:r w:rsidR="000A13AE" w:rsidRPr="000C2BBD">
        <w:t xml:space="preserve">at </w:t>
      </w:r>
      <w:r w:rsidR="001E578A" w:rsidRPr="000C2BBD">
        <w:t xml:space="preserve">the Georgia Institute of Technology. </w:t>
      </w:r>
      <w:proofErr w:type="spellStart"/>
      <w:r w:rsidR="001E578A" w:rsidRPr="000C2BBD">
        <w:t>toPSAil</w:t>
      </w:r>
      <w:proofErr w:type="spellEnd"/>
      <w:r w:rsidR="001E578A" w:rsidRPr="000C2BBD">
        <w:t xml:space="preserve"> is an open-source simulation framework for dynamic modeling and simulation of pressure swing adsorption (PSA) processes.</w:t>
      </w:r>
      <w:r w:rsidR="0036460C" w:rsidRPr="000C2BBD">
        <w:t xml:space="preserve"> </w:t>
      </w:r>
      <w:r w:rsidR="00721A25" w:rsidRPr="000C2BBD">
        <w:t xml:space="preserve">The simulator </w:t>
      </w:r>
      <w:r w:rsidR="00250D00" w:rsidRPr="000C2BBD">
        <w:t xml:space="preserve">is based on a CSTRs-in-series (CIS) model that </w:t>
      </w:r>
      <w:r w:rsidR="00721A25" w:rsidRPr="000C2BBD">
        <w:t xml:space="preserve">describes the adsorbers as a series of </w:t>
      </w:r>
      <w:r w:rsidR="00250D00" w:rsidRPr="000C2BBD">
        <w:t>continuously stirred</w:t>
      </w:r>
      <w:r w:rsidR="00721A25" w:rsidRPr="000C2BBD">
        <w:t xml:space="preserve"> tank reactors (CSTRs) </w:t>
      </w:r>
      <w:r w:rsidR="00250D00" w:rsidRPr="000C2BBD">
        <w:t xml:space="preserve">in </w:t>
      </w:r>
      <w:r w:rsidR="00721A25" w:rsidRPr="000C2BBD">
        <w:t xml:space="preserve">1-dimensional </w:t>
      </w:r>
      <w:r w:rsidR="00250D00" w:rsidRPr="000C2BBD">
        <w:t>form</w:t>
      </w:r>
      <w:r w:rsidR="006A0872" w:rsidRPr="000C2BBD">
        <w:t>. It has a variety of adsorption isotherm models implemented</w:t>
      </w:r>
      <w:r w:rsidR="00250D00" w:rsidRPr="000C2BBD">
        <w:t xml:space="preserve"> and uses Linear Driving Force </w:t>
      </w:r>
      <w:r w:rsidR="006A0872" w:rsidRPr="000C2BBD">
        <w:t>approximation for mass transfer description</w:t>
      </w:r>
      <w:r w:rsidR="00721A25" w:rsidRPr="000C2BBD">
        <w:t>.</w:t>
      </w:r>
      <w:r w:rsidR="00250D00" w:rsidRPr="000C2BBD">
        <w:t xml:space="preserve"> The resulting system of differential-</w:t>
      </w:r>
      <w:r w:rsidR="00250D00" w:rsidRPr="000C2BBD">
        <w:lastRenderedPageBreak/>
        <w:t xml:space="preserve">algebraic equations </w:t>
      </w:r>
      <w:r w:rsidR="00455D49">
        <w:t>is</w:t>
      </w:r>
      <w:r w:rsidR="00250D00" w:rsidRPr="000C2BBD">
        <w:t xml:space="preserve"> solved by built-in solvers from MATLAB</w:t>
      </w:r>
      <w:r w:rsidR="00250D00" w:rsidRPr="000C2BBD">
        <w:rPr>
          <w:vertAlign w:val="superscript"/>
        </w:rPr>
        <w:t>®</w:t>
      </w:r>
      <w:r w:rsidR="00250D00" w:rsidRPr="000C2BBD">
        <w:t>.</w:t>
      </w:r>
      <w:r w:rsidR="00721A25" w:rsidRPr="000C2BBD">
        <w:t xml:space="preserve"> The complete </w:t>
      </w:r>
      <w:r w:rsidR="0036460C" w:rsidRPr="000C2BBD">
        <w:t xml:space="preserve">modelling </w:t>
      </w:r>
      <w:r w:rsidR="00721A25" w:rsidRPr="000C2BBD">
        <w:t>and simulation framework and its implementation are found</w:t>
      </w:r>
      <w:r w:rsidR="0036460C" w:rsidRPr="000C2BBD">
        <w:t xml:space="preserve"> </w:t>
      </w:r>
      <w:r w:rsidR="0006273B" w:rsidRPr="000C2BBD">
        <w:t xml:space="preserve">in the original </w:t>
      </w:r>
      <w:r w:rsidR="00B8353F" w:rsidRPr="000C2BBD">
        <w:t>publication (Kim and Scott, 2023)</w:t>
      </w:r>
      <w:r w:rsidR="0006273B" w:rsidRPr="000C2BBD">
        <w:t>.</w:t>
      </w:r>
    </w:p>
    <w:p w14:paraId="6F4F70B9" w14:textId="722D6B0B" w:rsidR="00850795" w:rsidRPr="000C2BBD" w:rsidRDefault="00850795" w:rsidP="007275F9">
      <w:pPr>
        <w:pStyle w:val="Els-2ndorder-head"/>
      </w:pPr>
      <w:r w:rsidRPr="000C2BBD">
        <w:t>Lab</w:t>
      </w:r>
      <w:r w:rsidR="00A25031" w:rsidRPr="000C2BBD">
        <w:t>-Scale</w:t>
      </w:r>
      <w:r w:rsidRPr="000C2BBD">
        <w:t xml:space="preserve"> Rig</w:t>
      </w:r>
    </w:p>
    <w:p w14:paraId="26AE5058" w14:textId="350134C2" w:rsidR="00850795" w:rsidRPr="000C2BBD" w:rsidRDefault="009B7FA6" w:rsidP="00850795">
      <w:pPr>
        <w:pStyle w:val="Els-body-text"/>
      </w:pPr>
      <w:r w:rsidRPr="000C2BBD">
        <w:t>The breakthrough experiments and PSA cycles were carried out in a self-assembled rig. The flow</w:t>
      </w:r>
      <w:r w:rsidR="00455D49">
        <w:t xml:space="preserve"> </w:t>
      </w:r>
      <w:r w:rsidRPr="000C2BBD">
        <w:t>rates and the mixture ratio of feed gases were controlled by mass flow rate controllers. The high pressure in the bed was maintained by a manual back pressure regulator</w:t>
      </w:r>
      <w:r w:rsidR="00455D49">
        <w:t>, and the adsorption columns were custom-manufactured and certified to</w:t>
      </w:r>
      <w:r w:rsidRPr="000C2BBD">
        <w:t xml:space="preserve"> up to 100</w:t>
      </w:r>
      <w:r w:rsidR="00F12E09" w:rsidRPr="000C2BBD">
        <w:t xml:space="preserve"> bar</w:t>
      </w:r>
      <w:r w:rsidRPr="000C2BBD">
        <w:t xml:space="preserve">. </w:t>
      </w:r>
      <w:r w:rsidR="00832831" w:rsidRPr="000C2BBD">
        <w:t>The columns were filled with cylindrical activated carbon from Donau Carbon. The adsorbent and t</w:t>
      </w:r>
      <w:r w:rsidRPr="000C2BBD">
        <w:t xml:space="preserve">he packed bed </w:t>
      </w:r>
      <w:r w:rsidR="00832831" w:rsidRPr="000C2BBD">
        <w:t>properties</w:t>
      </w:r>
      <w:r w:rsidRPr="000C2BBD">
        <w:t xml:space="preserve"> are listed in Table 1. </w:t>
      </w:r>
    </w:p>
    <w:p w14:paraId="02BEF2C3" w14:textId="77777777" w:rsidR="00832831" w:rsidRPr="000C2BBD" w:rsidRDefault="00832831" w:rsidP="00832831">
      <w:pPr>
        <w:pStyle w:val="Els-body-text"/>
      </w:pPr>
    </w:p>
    <w:p w14:paraId="45D32000" w14:textId="3903C94D" w:rsidR="00832831" w:rsidRPr="000C2BBD" w:rsidRDefault="00832831" w:rsidP="00832831">
      <w:pPr>
        <w:pStyle w:val="Els-body-text"/>
        <w:jc w:val="center"/>
      </w:pPr>
      <w:r w:rsidRPr="000C2BBD">
        <w:t xml:space="preserve">Table </w:t>
      </w:r>
      <w:r w:rsidR="009B4A6D" w:rsidRPr="000C2BBD">
        <w:t>1:</w:t>
      </w:r>
      <w:r w:rsidRPr="000C2BBD">
        <w:t xml:space="preserve"> Packed bed properties</w:t>
      </w:r>
    </w:p>
    <w:tbl>
      <w:tblPr>
        <w:tblStyle w:val="PlainTable2"/>
        <w:tblW w:w="0" w:type="auto"/>
        <w:tblLook w:val="0480" w:firstRow="0" w:lastRow="0" w:firstColumn="1" w:lastColumn="0" w:noHBand="0" w:noVBand="1"/>
      </w:tblPr>
      <w:tblGrid>
        <w:gridCol w:w="3538"/>
        <w:gridCol w:w="3538"/>
      </w:tblGrid>
      <w:tr w:rsidR="00832831" w:rsidRPr="000C2BBD" w14:paraId="275D6CC5" w14:textId="77777777" w:rsidTr="00162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8" w:type="dxa"/>
          </w:tcPr>
          <w:p w14:paraId="6DBF2676" w14:textId="4C9A44D9" w:rsidR="00832831" w:rsidRPr="000C2BBD" w:rsidRDefault="0090526B" w:rsidP="00832831">
            <w:pPr>
              <w:pStyle w:val="Els-body-text"/>
            </w:pPr>
            <w:r w:rsidRPr="000C2BBD">
              <w:t>Packed</w:t>
            </w:r>
            <w:r w:rsidR="003A76BB" w:rsidRPr="000C2BBD">
              <w:t xml:space="preserve"> bed</w:t>
            </w:r>
            <w:r w:rsidR="00832831" w:rsidRPr="000C2BBD">
              <w:t xml:space="preserve"> height [m</w:t>
            </w:r>
            <w:r w:rsidR="00D625DE" w:rsidRPr="000C2BBD">
              <w:t>m</w:t>
            </w:r>
            <w:r w:rsidR="00832831" w:rsidRPr="000C2BBD">
              <w:t>]</w:t>
            </w:r>
          </w:p>
        </w:tc>
        <w:tc>
          <w:tcPr>
            <w:tcW w:w="3538" w:type="dxa"/>
          </w:tcPr>
          <w:p w14:paraId="59337D5E" w14:textId="5681F294" w:rsidR="00832831" w:rsidRPr="000C2BBD" w:rsidRDefault="0090526B" w:rsidP="003611BC">
            <w:pPr>
              <w:pStyle w:val="Els-body-text"/>
              <w:jc w:val="center"/>
              <w:cnfStyle w:val="000000100000" w:firstRow="0" w:lastRow="0" w:firstColumn="0" w:lastColumn="0" w:oddVBand="0" w:evenVBand="0" w:oddHBand="1" w:evenHBand="0" w:firstRowFirstColumn="0" w:firstRowLastColumn="0" w:lastRowFirstColumn="0" w:lastRowLastColumn="0"/>
            </w:pPr>
            <w:r w:rsidRPr="000C2BBD">
              <w:t>1</w:t>
            </w:r>
            <w:r w:rsidR="00D253C7" w:rsidRPr="000C2BBD">
              <w:t>8</w:t>
            </w:r>
            <w:r w:rsidRPr="000C2BBD">
              <w:t>00</w:t>
            </w:r>
          </w:p>
        </w:tc>
      </w:tr>
      <w:tr w:rsidR="00832831" w:rsidRPr="000C2BBD" w14:paraId="23BF5613" w14:textId="77777777" w:rsidTr="00162CEC">
        <w:tc>
          <w:tcPr>
            <w:cnfStyle w:val="001000000000" w:firstRow="0" w:lastRow="0" w:firstColumn="1" w:lastColumn="0" w:oddVBand="0" w:evenVBand="0" w:oddHBand="0" w:evenHBand="0" w:firstRowFirstColumn="0" w:firstRowLastColumn="0" w:lastRowFirstColumn="0" w:lastRowLastColumn="0"/>
            <w:tcW w:w="3538" w:type="dxa"/>
          </w:tcPr>
          <w:p w14:paraId="46229171" w14:textId="4DE6024D" w:rsidR="00832831" w:rsidRPr="000C2BBD" w:rsidRDefault="00832831" w:rsidP="00832831">
            <w:pPr>
              <w:pStyle w:val="Els-body-text"/>
            </w:pPr>
            <w:r w:rsidRPr="000C2BBD">
              <w:t>Column internal diameter [mm]</w:t>
            </w:r>
          </w:p>
        </w:tc>
        <w:tc>
          <w:tcPr>
            <w:tcW w:w="3538" w:type="dxa"/>
          </w:tcPr>
          <w:p w14:paraId="373267A7" w14:textId="48478E1F" w:rsidR="00832831" w:rsidRPr="000C2BBD" w:rsidRDefault="00052EF5" w:rsidP="003611BC">
            <w:pPr>
              <w:pStyle w:val="Els-body-text"/>
              <w:jc w:val="center"/>
              <w:cnfStyle w:val="000000000000" w:firstRow="0" w:lastRow="0" w:firstColumn="0" w:lastColumn="0" w:oddVBand="0" w:evenVBand="0" w:oddHBand="0" w:evenHBand="0" w:firstRowFirstColumn="0" w:firstRowLastColumn="0" w:lastRowFirstColumn="0" w:lastRowLastColumn="0"/>
            </w:pPr>
            <w:r w:rsidRPr="000C2BBD">
              <w:t>25</w:t>
            </w:r>
          </w:p>
        </w:tc>
      </w:tr>
      <w:tr w:rsidR="00832831" w:rsidRPr="000C2BBD" w14:paraId="211571E2" w14:textId="77777777" w:rsidTr="00162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8" w:type="dxa"/>
          </w:tcPr>
          <w:p w14:paraId="7E55D9A9" w14:textId="4CCF1B6F" w:rsidR="00832831" w:rsidRPr="000C2BBD" w:rsidRDefault="00832831" w:rsidP="00832831">
            <w:pPr>
              <w:pStyle w:val="Els-body-text"/>
            </w:pPr>
            <w:r w:rsidRPr="000C2BBD">
              <w:t>Bed porosity [</w:t>
            </w:r>
            <w:r w:rsidR="00D625DE" w:rsidRPr="000C2BBD">
              <w:t>-</w:t>
            </w:r>
            <w:r w:rsidRPr="000C2BBD">
              <w:t>]</w:t>
            </w:r>
          </w:p>
        </w:tc>
        <w:tc>
          <w:tcPr>
            <w:tcW w:w="3538" w:type="dxa"/>
          </w:tcPr>
          <w:p w14:paraId="3E8C2287" w14:textId="0DE2D712" w:rsidR="00832831" w:rsidRPr="000C2BBD" w:rsidRDefault="00052EF5" w:rsidP="003611BC">
            <w:pPr>
              <w:pStyle w:val="Els-body-text"/>
              <w:jc w:val="center"/>
              <w:cnfStyle w:val="000000100000" w:firstRow="0" w:lastRow="0" w:firstColumn="0" w:lastColumn="0" w:oddVBand="0" w:evenVBand="0" w:oddHBand="1" w:evenHBand="0" w:firstRowFirstColumn="0" w:firstRowLastColumn="0" w:lastRowFirstColumn="0" w:lastRowLastColumn="0"/>
            </w:pPr>
            <w:r w:rsidRPr="000C2BBD">
              <w:t>0.315</w:t>
            </w:r>
          </w:p>
        </w:tc>
      </w:tr>
      <w:tr w:rsidR="00052EF5" w:rsidRPr="000C2BBD" w14:paraId="362B76DE" w14:textId="77777777" w:rsidTr="00162CEC">
        <w:tc>
          <w:tcPr>
            <w:cnfStyle w:val="001000000000" w:firstRow="0" w:lastRow="0" w:firstColumn="1" w:lastColumn="0" w:oddVBand="0" w:evenVBand="0" w:oddHBand="0" w:evenHBand="0" w:firstRowFirstColumn="0" w:firstRowLastColumn="0" w:lastRowFirstColumn="0" w:lastRowLastColumn="0"/>
            <w:tcW w:w="3538" w:type="dxa"/>
          </w:tcPr>
          <w:p w14:paraId="6A202A14" w14:textId="41E5D506" w:rsidR="00052EF5" w:rsidRPr="000C2BBD" w:rsidRDefault="00052EF5" w:rsidP="00832831">
            <w:pPr>
              <w:pStyle w:val="Els-body-text"/>
            </w:pPr>
            <w:r w:rsidRPr="000C2BBD">
              <w:t>Adsorbent mass [g]</w:t>
            </w:r>
          </w:p>
        </w:tc>
        <w:tc>
          <w:tcPr>
            <w:tcW w:w="3538" w:type="dxa"/>
          </w:tcPr>
          <w:p w14:paraId="6EFB34F4" w14:textId="4E6CF78E" w:rsidR="00052EF5" w:rsidRPr="000C2BBD" w:rsidRDefault="00052EF5" w:rsidP="003611BC">
            <w:pPr>
              <w:pStyle w:val="Els-body-text"/>
              <w:jc w:val="center"/>
              <w:cnfStyle w:val="000000000000" w:firstRow="0" w:lastRow="0" w:firstColumn="0" w:lastColumn="0" w:oddVBand="0" w:evenVBand="0" w:oddHBand="0" w:evenHBand="0" w:firstRowFirstColumn="0" w:firstRowLastColumn="0" w:lastRowFirstColumn="0" w:lastRowLastColumn="0"/>
            </w:pPr>
            <w:r w:rsidRPr="000C2BBD">
              <w:t>480</w:t>
            </w:r>
          </w:p>
        </w:tc>
      </w:tr>
      <w:tr w:rsidR="00832831" w:rsidRPr="000C2BBD" w14:paraId="3A6B7E20" w14:textId="77777777" w:rsidTr="00162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8" w:type="dxa"/>
          </w:tcPr>
          <w:p w14:paraId="4EBEA09A" w14:textId="223907E5" w:rsidR="00832831" w:rsidRPr="000C2BBD" w:rsidRDefault="00832831" w:rsidP="00832831">
            <w:pPr>
              <w:pStyle w:val="Els-body-text"/>
            </w:pPr>
            <w:r w:rsidRPr="000C2BBD">
              <w:t>Bulk density [</w:t>
            </w:r>
            <w:r w:rsidR="00D625DE" w:rsidRPr="000C2BBD">
              <w:t>kg/m3</w:t>
            </w:r>
            <w:r w:rsidRPr="000C2BBD">
              <w:t>]</w:t>
            </w:r>
          </w:p>
        </w:tc>
        <w:tc>
          <w:tcPr>
            <w:tcW w:w="3538" w:type="dxa"/>
          </w:tcPr>
          <w:p w14:paraId="022401F3" w14:textId="6650322A" w:rsidR="00832831" w:rsidRPr="000C2BBD" w:rsidRDefault="00052EF5" w:rsidP="003611BC">
            <w:pPr>
              <w:pStyle w:val="Els-body-text"/>
              <w:jc w:val="center"/>
              <w:cnfStyle w:val="000000100000" w:firstRow="0" w:lastRow="0" w:firstColumn="0" w:lastColumn="0" w:oddVBand="0" w:evenVBand="0" w:oddHBand="1" w:evenHBand="0" w:firstRowFirstColumn="0" w:firstRowLastColumn="0" w:lastRowFirstColumn="0" w:lastRowLastColumn="0"/>
            </w:pPr>
            <w:r w:rsidRPr="000C2BBD">
              <w:t>795</w:t>
            </w:r>
          </w:p>
        </w:tc>
      </w:tr>
      <w:tr w:rsidR="002A5B11" w:rsidRPr="000C2BBD" w14:paraId="39F0491E" w14:textId="77777777" w:rsidTr="00162CEC">
        <w:tc>
          <w:tcPr>
            <w:cnfStyle w:val="001000000000" w:firstRow="0" w:lastRow="0" w:firstColumn="1" w:lastColumn="0" w:oddVBand="0" w:evenVBand="0" w:oddHBand="0" w:evenHBand="0" w:firstRowFirstColumn="0" w:firstRowLastColumn="0" w:lastRowFirstColumn="0" w:lastRowLastColumn="0"/>
            <w:tcW w:w="3538" w:type="dxa"/>
          </w:tcPr>
          <w:p w14:paraId="5870C857" w14:textId="5CAC4EE4" w:rsidR="002A5B11" w:rsidRPr="000C2BBD" w:rsidRDefault="002A5B11" w:rsidP="00832831">
            <w:pPr>
              <w:pStyle w:val="Els-body-text"/>
            </w:pPr>
            <w:r w:rsidRPr="000C2BBD">
              <w:t>Particle diameter [mm]</w:t>
            </w:r>
          </w:p>
        </w:tc>
        <w:tc>
          <w:tcPr>
            <w:tcW w:w="3538" w:type="dxa"/>
          </w:tcPr>
          <w:p w14:paraId="79C29C3A" w14:textId="595B6A8D" w:rsidR="002A5B11" w:rsidRPr="000C2BBD" w:rsidRDefault="002A5B11" w:rsidP="003611BC">
            <w:pPr>
              <w:pStyle w:val="Els-body-text"/>
              <w:jc w:val="center"/>
              <w:cnfStyle w:val="000000000000" w:firstRow="0" w:lastRow="0" w:firstColumn="0" w:lastColumn="0" w:oddVBand="0" w:evenVBand="0" w:oddHBand="0" w:evenHBand="0" w:firstRowFirstColumn="0" w:firstRowLastColumn="0" w:lastRowFirstColumn="0" w:lastRowLastColumn="0"/>
            </w:pPr>
            <w:r w:rsidRPr="000C2BBD">
              <w:t>3</w:t>
            </w:r>
          </w:p>
        </w:tc>
      </w:tr>
      <w:tr w:rsidR="00832831" w:rsidRPr="000C2BBD" w14:paraId="431CFACB" w14:textId="77777777" w:rsidTr="00162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8" w:type="dxa"/>
          </w:tcPr>
          <w:p w14:paraId="48D269F8" w14:textId="1CAF1CA0" w:rsidR="00832831" w:rsidRPr="000C2BBD" w:rsidRDefault="00832831" w:rsidP="00832831">
            <w:pPr>
              <w:pStyle w:val="Els-body-text"/>
            </w:pPr>
            <w:r w:rsidRPr="000C2BBD">
              <w:t xml:space="preserve">Particle porosity </w:t>
            </w:r>
            <w:r w:rsidR="00D625DE" w:rsidRPr="000C2BBD">
              <w:t>[-]</w:t>
            </w:r>
          </w:p>
        </w:tc>
        <w:tc>
          <w:tcPr>
            <w:tcW w:w="3538" w:type="dxa"/>
          </w:tcPr>
          <w:p w14:paraId="4B381F7E" w14:textId="3E5EFFCA" w:rsidR="00832831" w:rsidRPr="000C2BBD" w:rsidRDefault="00052EF5" w:rsidP="003611BC">
            <w:pPr>
              <w:pStyle w:val="Els-body-text"/>
              <w:jc w:val="center"/>
              <w:cnfStyle w:val="000000100000" w:firstRow="0" w:lastRow="0" w:firstColumn="0" w:lastColumn="0" w:oddVBand="0" w:evenVBand="0" w:oddHBand="1" w:evenHBand="0" w:firstRowFirstColumn="0" w:firstRowLastColumn="0" w:lastRowFirstColumn="0" w:lastRowLastColumn="0"/>
            </w:pPr>
            <w:r w:rsidRPr="000C2BBD">
              <w:t>0.83</w:t>
            </w:r>
          </w:p>
        </w:tc>
      </w:tr>
    </w:tbl>
    <w:p w14:paraId="5D5282BF" w14:textId="77777777" w:rsidR="00832831" w:rsidRPr="000C2BBD" w:rsidRDefault="00832831" w:rsidP="00832831">
      <w:pPr>
        <w:pStyle w:val="Els-body-text"/>
      </w:pPr>
    </w:p>
    <w:p w14:paraId="7273D9AF" w14:textId="77777777" w:rsidR="00832831" w:rsidRPr="000C2BBD" w:rsidRDefault="00832831" w:rsidP="00832831">
      <w:pPr>
        <w:pStyle w:val="Els-3rdorder-head"/>
      </w:pPr>
      <w:r w:rsidRPr="000C2BBD">
        <w:t>Adsorption Isotherm</w:t>
      </w:r>
    </w:p>
    <w:p w14:paraId="61730D47" w14:textId="48A4299A" w:rsidR="00832831" w:rsidRPr="000C2BBD" w:rsidRDefault="00832831" w:rsidP="00832831">
      <w:pPr>
        <w:pStyle w:val="Els-body-text"/>
      </w:pPr>
      <w:proofErr w:type="spellStart"/>
      <w:r w:rsidRPr="000C2BBD">
        <w:t>Desorex</w:t>
      </w:r>
      <w:proofErr w:type="spellEnd"/>
      <w:r w:rsidRPr="000C2BBD">
        <w:t xml:space="preserve"> C33 (</w:t>
      </w:r>
      <w:r w:rsidR="00F12E09" w:rsidRPr="000C2BBD">
        <w:t xml:space="preserve">from </w:t>
      </w:r>
      <w:r w:rsidRPr="000C2BBD">
        <w:t xml:space="preserve">Donau Carbon) was used to fill the bed. The adsorption isotherms were measured in different pressure ranges at 20 °C with </w:t>
      </w:r>
      <w:r w:rsidR="00F12E09" w:rsidRPr="000C2BBD">
        <w:t xml:space="preserve">the </w:t>
      </w:r>
      <w:r w:rsidRPr="000C2BBD">
        <w:t>Dynamic Column Breakthrough</w:t>
      </w:r>
      <w:r w:rsidR="00F12E09" w:rsidRPr="000C2BBD">
        <w:t xml:space="preserve"> </w:t>
      </w:r>
      <w:r w:rsidRPr="000C2BBD">
        <w:t xml:space="preserve">method </w:t>
      </w:r>
      <w:r w:rsidR="00172EF6" w:rsidRPr="000C2BBD">
        <w:t>as described by</w:t>
      </w:r>
      <w:r w:rsidRPr="000C2BBD">
        <w:t xml:space="preserve"> (</w:t>
      </w:r>
      <w:r w:rsidR="0090526B" w:rsidRPr="000C2BBD">
        <w:t>Malek and Farooq, 1996</w:t>
      </w:r>
      <w:r w:rsidRPr="000C2BBD">
        <w:t xml:space="preserve">). The results were fitted with the Extended Langmuir Model as in Eq. 1, where </w:t>
      </w:r>
      <w:proofErr w:type="spellStart"/>
      <w:r w:rsidRPr="000C2BBD">
        <w:rPr>
          <w:i/>
          <w:iCs/>
        </w:rPr>
        <w:t>n</w:t>
      </w:r>
      <w:r w:rsidRPr="000C2BBD">
        <w:rPr>
          <w:i/>
          <w:iCs/>
          <w:vertAlign w:val="subscript"/>
        </w:rPr>
        <w:t>i</w:t>
      </w:r>
      <w:proofErr w:type="spellEnd"/>
      <w:r w:rsidRPr="000C2BBD">
        <w:t xml:space="preserve"> is the adsorbed quantity, </w:t>
      </w:r>
      <w:r w:rsidRPr="000C2BBD">
        <w:rPr>
          <w:i/>
          <w:iCs/>
        </w:rPr>
        <w:t>q</w:t>
      </w:r>
      <w:r w:rsidRPr="000C2BBD">
        <w:rPr>
          <w:i/>
          <w:iCs/>
          <w:vertAlign w:val="subscript"/>
        </w:rPr>
        <w:t>i</w:t>
      </w:r>
      <w:r w:rsidRPr="000C2BBD">
        <w:rPr>
          <w:i/>
          <w:iCs/>
          <w:vertAlign w:val="superscript"/>
        </w:rPr>
        <w:t>*</w:t>
      </w:r>
      <w:r w:rsidRPr="000C2BBD">
        <w:t xml:space="preserve"> and </w:t>
      </w:r>
      <w:r w:rsidRPr="000C2BBD">
        <w:rPr>
          <w:i/>
          <w:iCs/>
        </w:rPr>
        <w:t>b</w:t>
      </w:r>
      <w:r w:rsidRPr="000C2BBD">
        <w:rPr>
          <w:i/>
          <w:iCs/>
          <w:vertAlign w:val="subscript"/>
        </w:rPr>
        <w:t>i</w:t>
      </w:r>
      <w:r w:rsidRPr="000C2BBD">
        <w:t xml:space="preserve"> are isotherm parameters, </w:t>
      </w:r>
      <w:r w:rsidRPr="000C2BBD">
        <w:rPr>
          <w:i/>
          <w:iCs/>
        </w:rPr>
        <w:t>N</w:t>
      </w:r>
      <w:r w:rsidRPr="000C2BBD">
        <w:t xml:space="preserve"> is the number of adsorbing species, </w:t>
      </w:r>
      <w:r w:rsidRPr="000C2BBD">
        <w:rPr>
          <w:i/>
          <w:iCs/>
        </w:rPr>
        <w:t>P</w:t>
      </w:r>
      <w:r w:rsidRPr="000C2BBD">
        <w:t xml:space="preserve"> is total pressure and </w:t>
      </w:r>
      <w:r w:rsidRPr="000C2BBD">
        <w:rPr>
          <w:i/>
          <w:iCs/>
        </w:rPr>
        <w:t>y</w:t>
      </w:r>
      <w:r w:rsidRPr="000C2BBD">
        <w:t xml:space="preserve"> is the mol fraction in the gas phase. The resulting parameters are listed in Table </w:t>
      </w:r>
      <w:r w:rsidR="00A74FF2" w:rsidRPr="000C2BBD">
        <w:t>2</w:t>
      </w:r>
      <w:r w:rsidRPr="000C2BBD">
        <w:t>.</w:t>
      </w:r>
    </w:p>
    <w:tbl>
      <w:tblPr>
        <w:tblW w:w="0" w:type="auto"/>
        <w:tblLook w:val="04A0" w:firstRow="1" w:lastRow="0" w:firstColumn="1" w:lastColumn="0" w:noHBand="0" w:noVBand="1"/>
      </w:tblPr>
      <w:tblGrid>
        <w:gridCol w:w="6122"/>
        <w:gridCol w:w="964"/>
      </w:tblGrid>
      <w:tr w:rsidR="00832831" w:rsidRPr="000C2BBD" w14:paraId="1F77B5DE" w14:textId="77777777" w:rsidTr="0070402F">
        <w:tc>
          <w:tcPr>
            <w:tcW w:w="6317" w:type="dxa"/>
            <w:shd w:val="clear" w:color="auto" w:fill="auto"/>
            <w:vAlign w:val="center"/>
          </w:tcPr>
          <w:p w14:paraId="15D1538F" w14:textId="77777777" w:rsidR="00832831" w:rsidRPr="000C2BBD" w:rsidRDefault="001834E2" w:rsidP="0070402F">
            <w:pPr>
              <w:pStyle w:val="Els-body-text"/>
              <w:spacing w:before="120" w:after="120" w:line="264" w:lineRule="auto"/>
              <w:rPr>
                <w:i/>
                <w:lang w:val="en-GB"/>
              </w:rPr>
            </w:pPr>
            <m:oMathPara>
              <m:oMathParaPr>
                <m:jc m:val="left"/>
              </m:oMathParaP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i</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q</m:t>
                    </m:r>
                  </m:e>
                  <m:sub>
                    <m:r>
                      <w:rPr>
                        <w:rFonts w:ascii="Cambria Math" w:hAnsi="Cambria Math"/>
                        <w:lang w:val="en-GB"/>
                      </w:rPr>
                      <m:t>i</m:t>
                    </m:r>
                  </m:sub>
                  <m:sup>
                    <m:r>
                      <w:rPr>
                        <w:rFonts w:ascii="Cambria Math" w:hAnsi="Cambria Math"/>
                        <w:lang w:val="en-GB"/>
                      </w:rPr>
                      <m:t>*</m:t>
                    </m:r>
                  </m:sup>
                </m:sSubSup>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b</m:t>
                        </m:r>
                      </m:e>
                      <m:sub>
                        <m:r>
                          <w:rPr>
                            <w:rFonts w:ascii="Cambria Math" w:hAnsi="Cambria Math"/>
                            <w:lang w:val="en-GB"/>
                          </w:rPr>
                          <m:t>i</m:t>
                        </m:r>
                      </m:sub>
                    </m:sSub>
                    <m:r>
                      <w:rPr>
                        <w:rFonts w:ascii="Cambria Math" w:hAnsi="Cambria Math"/>
                        <w:lang w:val="en-GB"/>
                      </w:rPr>
                      <m:t>P</m:t>
                    </m:r>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i</m:t>
                        </m:r>
                      </m:sub>
                    </m:sSub>
                  </m:num>
                  <m:den>
                    <m:r>
                      <w:rPr>
                        <w:rFonts w:ascii="Cambria Math" w:hAnsi="Cambria Math"/>
                        <w:lang w:val="en-GB"/>
                      </w:rPr>
                      <m:t>1+</m:t>
                    </m:r>
                    <m:nary>
                      <m:naryPr>
                        <m:chr m:val="∑"/>
                        <m:limLoc m:val="undOvr"/>
                        <m:ctrlPr>
                          <w:rPr>
                            <w:rFonts w:ascii="Cambria Math" w:hAnsi="Cambria Math"/>
                            <w:i/>
                            <w:lang w:val="en-GB"/>
                          </w:rPr>
                        </m:ctrlPr>
                      </m:naryPr>
                      <m:sub>
                        <m:r>
                          <w:rPr>
                            <w:rFonts w:ascii="Cambria Math" w:hAnsi="Cambria Math"/>
                            <w:lang w:val="en-GB"/>
                          </w:rPr>
                          <m:t>j</m:t>
                        </m:r>
                      </m:sub>
                      <m:sup>
                        <m:r>
                          <w:rPr>
                            <w:rFonts w:ascii="Cambria Math" w:hAnsi="Cambria Math"/>
                            <w:lang w:val="en-GB"/>
                          </w:rPr>
                          <m:t>N</m:t>
                        </m:r>
                      </m:sup>
                      <m:e>
                        <m:sSub>
                          <m:sSubPr>
                            <m:ctrlPr>
                              <w:rPr>
                                <w:rFonts w:ascii="Cambria Math" w:hAnsi="Cambria Math"/>
                                <w:i/>
                                <w:lang w:val="en-GB"/>
                              </w:rPr>
                            </m:ctrlPr>
                          </m:sSubPr>
                          <m:e>
                            <m:r>
                              <w:rPr>
                                <w:rFonts w:ascii="Cambria Math" w:hAnsi="Cambria Math"/>
                                <w:lang w:val="en-GB"/>
                              </w:rPr>
                              <m:t>b</m:t>
                            </m:r>
                          </m:e>
                          <m:sub>
                            <m:r>
                              <w:rPr>
                                <w:rFonts w:ascii="Cambria Math" w:hAnsi="Cambria Math"/>
                                <w:lang w:val="en-GB"/>
                              </w:rPr>
                              <m:t>j</m:t>
                            </m:r>
                          </m:sub>
                        </m:sSub>
                        <m:r>
                          <w:rPr>
                            <w:rFonts w:ascii="Cambria Math" w:hAnsi="Cambria Math"/>
                            <w:lang w:val="en-GB"/>
                          </w:rPr>
                          <m:t>P</m:t>
                        </m:r>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j</m:t>
                            </m:r>
                          </m:sub>
                        </m:sSub>
                      </m:e>
                    </m:nary>
                  </m:den>
                </m:f>
              </m:oMath>
            </m:oMathPara>
          </w:p>
        </w:tc>
        <w:tc>
          <w:tcPr>
            <w:tcW w:w="985" w:type="dxa"/>
            <w:shd w:val="clear" w:color="auto" w:fill="auto"/>
            <w:vAlign w:val="center"/>
          </w:tcPr>
          <w:p w14:paraId="1A7F449B" w14:textId="77777777" w:rsidR="00832831" w:rsidRPr="000C2BBD" w:rsidRDefault="00832831" w:rsidP="0070402F">
            <w:pPr>
              <w:pStyle w:val="Els-body-text"/>
              <w:spacing w:before="120" w:after="120" w:line="264" w:lineRule="auto"/>
              <w:jc w:val="right"/>
              <w:rPr>
                <w:lang w:val="en-GB"/>
              </w:rPr>
            </w:pPr>
            <w:r w:rsidRPr="000C2BBD">
              <w:rPr>
                <w:lang w:val="en-GB"/>
              </w:rPr>
              <w:t>(1)</w:t>
            </w:r>
          </w:p>
        </w:tc>
      </w:tr>
    </w:tbl>
    <w:p w14:paraId="70E1D363" w14:textId="36811FD4" w:rsidR="00832831" w:rsidRPr="000C2BBD" w:rsidRDefault="00832831" w:rsidP="00832831">
      <w:pPr>
        <w:pStyle w:val="Els-body-text"/>
        <w:jc w:val="center"/>
      </w:pPr>
      <w:r w:rsidRPr="000C2BBD">
        <w:t xml:space="preserve">Table </w:t>
      </w:r>
      <w:r w:rsidR="00A74FF2" w:rsidRPr="000C2BBD">
        <w:t>2</w:t>
      </w:r>
      <w:r w:rsidR="009B4A6D" w:rsidRPr="000C2BBD">
        <w:t>:</w:t>
      </w:r>
      <w:r w:rsidRPr="000C2BBD">
        <w:t xml:space="preserve"> Adsorption isotherm parameters</w:t>
      </w:r>
    </w:p>
    <w:tbl>
      <w:tblPr>
        <w:tblStyle w:val="PlainTable2"/>
        <w:tblW w:w="0" w:type="auto"/>
        <w:tblLook w:val="04A0" w:firstRow="1" w:lastRow="0" w:firstColumn="1" w:lastColumn="0" w:noHBand="0" w:noVBand="1"/>
      </w:tblPr>
      <w:tblGrid>
        <w:gridCol w:w="2358"/>
        <w:gridCol w:w="2359"/>
        <w:gridCol w:w="2359"/>
      </w:tblGrid>
      <w:tr w:rsidR="00832831" w:rsidRPr="000C2BBD" w14:paraId="051B4E46" w14:textId="77777777" w:rsidTr="00162C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14:paraId="227762DF" w14:textId="77777777" w:rsidR="00832831" w:rsidRPr="000C2BBD" w:rsidRDefault="00832831" w:rsidP="0070402F">
            <w:pPr>
              <w:pStyle w:val="Els-body-text"/>
            </w:pPr>
            <w:r w:rsidRPr="000C2BBD">
              <w:t>Langmuir parameters</w:t>
            </w:r>
          </w:p>
        </w:tc>
        <w:tc>
          <w:tcPr>
            <w:tcW w:w="2359" w:type="dxa"/>
          </w:tcPr>
          <w:p w14:paraId="5918B9AF" w14:textId="77777777" w:rsidR="00832831" w:rsidRPr="000C2BBD" w:rsidRDefault="00832831" w:rsidP="0070402F">
            <w:pPr>
              <w:pStyle w:val="Els-body-text"/>
              <w:cnfStyle w:val="100000000000" w:firstRow="1" w:lastRow="0" w:firstColumn="0" w:lastColumn="0" w:oddVBand="0" w:evenVBand="0" w:oddHBand="0" w:evenHBand="0" w:firstRowFirstColumn="0" w:firstRowLastColumn="0" w:lastRowFirstColumn="0" w:lastRowLastColumn="0"/>
            </w:pPr>
            <w:r w:rsidRPr="000C2BBD">
              <w:t>CH</w:t>
            </w:r>
            <w:r w:rsidRPr="000C2BBD">
              <w:rPr>
                <w:vertAlign w:val="subscript"/>
              </w:rPr>
              <w:t>4</w:t>
            </w:r>
          </w:p>
        </w:tc>
        <w:tc>
          <w:tcPr>
            <w:tcW w:w="2359" w:type="dxa"/>
          </w:tcPr>
          <w:p w14:paraId="24986304" w14:textId="77777777" w:rsidR="00832831" w:rsidRPr="000C2BBD" w:rsidRDefault="00832831" w:rsidP="0070402F">
            <w:pPr>
              <w:pStyle w:val="Els-body-text"/>
              <w:cnfStyle w:val="100000000000" w:firstRow="1" w:lastRow="0" w:firstColumn="0" w:lastColumn="0" w:oddVBand="0" w:evenVBand="0" w:oddHBand="0" w:evenHBand="0" w:firstRowFirstColumn="0" w:firstRowLastColumn="0" w:lastRowFirstColumn="0" w:lastRowLastColumn="0"/>
            </w:pPr>
            <w:r w:rsidRPr="000C2BBD">
              <w:t>H</w:t>
            </w:r>
            <w:r w:rsidRPr="000C2BBD">
              <w:rPr>
                <w:vertAlign w:val="subscript"/>
              </w:rPr>
              <w:t>2</w:t>
            </w:r>
          </w:p>
        </w:tc>
      </w:tr>
      <w:tr w:rsidR="00832831" w:rsidRPr="000C2BBD" w14:paraId="1B5F9EED" w14:textId="77777777" w:rsidTr="00162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14:paraId="0396814A" w14:textId="77777777" w:rsidR="00832831" w:rsidRPr="000C2BBD" w:rsidRDefault="00832831" w:rsidP="0070402F">
            <w:pPr>
              <w:pStyle w:val="Els-body-text"/>
            </w:pPr>
            <w:r w:rsidRPr="000C2BBD">
              <w:t>q</w:t>
            </w:r>
            <w:proofErr w:type="gramStart"/>
            <w:r w:rsidRPr="000C2BBD">
              <w:rPr>
                <w:vertAlign w:val="superscript"/>
              </w:rPr>
              <w:t>*</w:t>
            </w:r>
            <w:r w:rsidRPr="000C2BBD">
              <w:t xml:space="preserve">  [</w:t>
            </w:r>
            <w:proofErr w:type="gramEnd"/>
            <w:r w:rsidRPr="000C2BBD">
              <w:t>mol/g]</w:t>
            </w:r>
          </w:p>
        </w:tc>
        <w:tc>
          <w:tcPr>
            <w:tcW w:w="2359" w:type="dxa"/>
          </w:tcPr>
          <w:p w14:paraId="3FEAADA7" w14:textId="77777777" w:rsidR="00832831" w:rsidRPr="000C2BBD" w:rsidRDefault="00832831" w:rsidP="0070402F">
            <w:pPr>
              <w:pStyle w:val="Els-body-text"/>
              <w:cnfStyle w:val="000000100000" w:firstRow="0" w:lastRow="0" w:firstColumn="0" w:lastColumn="0" w:oddVBand="0" w:evenVBand="0" w:oddHBand="1" w:evenHBand="0" w:firstRowFirstColumn="0" w:firstRowLastColumn="0" w:lastRowFirstColumn="0" w:lastRowLastColumn="0"/>
            </w:pPr>
            <w:r w:rsidRPr="000C2BBD">
              <w:t>8.9452</w:t>
            </w:r>
          </w:p>
        </w:tc>
        <w:tc>
          <w:tcPr>
            <w:tcW w:w="2359" w:type="dxa"/>
          </w:tcPr>
          <w:p w14:paraId="2914BB3B" w14:textId="77777777" w:rsidR="00832831" w:rsidRPr="000C2BBD" w:rsidRDefault="00832831" w:rsidP="0070402F">
            <w:pPr>
              <w:pStyle w:val="Els-body-text"/>
              <w:cnfStyle w:val="000000100000" w:firstRow="0" w:lastRow="0" w:firstColumn="0" w:lastColumn="0" w:oddVBand="0" w:evenVBand="0" w:oddHBand="1" w:evenHBand="0" w:firstRowFirstColumn="0" w:firstRowLastColumn="0" w:lastRowFirstColumn="0" w:lastRowLastColumn="0"/>
            </w:pPr>
            <w:r w:rsidRPr="000C2BBD">
              <w:t>1.0982</w:t>
            </w:r>
          </w:p>
        </w:tc>
      </w:tr>
      <w:tr w:rsidR="00832831" w:rsidRPr="000C2BBD" w14:paraId="37532D35" w14:textId="77777777" w:rsidTr="00162CEC">
        <w:tc>
          <w:tcPr>
            <w:cnfStyle w:val="001000000000" w:firstRow="0" w:lastRow="0" w:firstColumn="1" w:lastColumn="0" w:oddVBand="0" w:evenVBand="0" w:oddHBand="0" w:evenHBand="0" w:firstRowFirstColumn="0" w:firstRowLastColumn="0" w:lastRowFirstColumn="0" w:lastRowLastColumn="0"/>
            <w:tcW w:w="2358" w:type="dxa"/>
          </w:tcPr>
          <w:p w14:paraId="3E60B16E" w14:textId="77777777" w:rsidR="00832831" w:rsidRPr="000C2BBD" w:rsidRDefault="00832831" w:rsidP="0070402F">
            <w:pPr>
              <w:pStyle w:val="Els-body-text"/>
            </w:pPr>
            <w:r w:rsidRPr="000C2BBD">
              <w:t>b</w:t>
            </w:r>
            <w:r w:rsidRPr="000C2BBD">
              <w:rPr>
                <w:vertAlign w:val="superscript"/>
              </w:rPr>
              <w:t xml:space="preserve"> </w:t>
            </w:r>
            <w:proofErr w:type="gramStart"/>
            <w:r w:rsidRPr="000C2BBD">
              <w:rPr>
                <w:vertAlign w:val="superscript"/>
              </w:rPr>
              <w:t xml:space="preserve"> </w:t>
            </w:r>
            <w:r w:rsidRPr="000C2BBD">
              <w:t xml:space="preserve">  [</w:t>
            </w:r>
            <w:proofErr w:type="gramEnd"/>
            <w:r w:rsidRPr="000C2BBD">
              <w:t>1/bar]</w:t>
            </w:r>
          </w:p>
        </w:tc>
        <w:tc>
          <w:tcPr>
            <w:tcW w:w="2359" w:type="dxa"/>
          </w:tcPr>
          <w:p w14:paraId="1E839FCE" w14:textId="77777777" w:rsidR="00832831" w:rsidRPr="000C2BBD" w:rsidRDefault="00832831" w:rsidP="0070402F">
            <w:pPr>
              <w:pStyle w:val="Els-body-text"/>
              <w:cnfStyle w:val="000000000000" w:firstRow="0" w:lastRow="0" w:firstColumn="0" w:lastColumn="0" w:oddVBand="0" w:evenVBand="0" w:oddHBand="0" w:evenHBand="0" w:firstRowFirstColumn="0" w:firstRowLastColumn="0" w:lastRowFirstColumn="0" w:lastRowLastColumn="0"/>
            </w:pPr>
            <w:r w:rsidRPr="000C2BBD">
              <w:t>0.00375</w:t>
            </w:r>
          </w:p>
        </w:tc>
        <w:tc>
          <w:tcPr>
            <w:tcW w:w="2359" w:type="dxa"/>
          </w:tcPr>
          <w:p w14:paraId="3A966951" w14:textId="77777777" w:rsidR="00832831" w:rsidRPr="000C2BBD" w:rsidRDefault="00832831" w:rsidP="0070402F">
            <w:pPr>
              <w:pStyle w:val="Els-body-text"/>
              <w:cnfStyle w:val="000000000000" w:firstRow="0" w:lastRow="0" w:firstColumn="0" w:lastColumn="0" w:oddVBand="0" w:evenVBand="0" w:oddHBand="0" w:evenHBand="0" w:firstRowFirstColumn="0" w:firstRowLastColumn="0" w:lastRowFirstColumn="0" w:lastRowLastColumn="0"/>
            </w:pPr>
            <w:r w:rsidRPr="000C2BBD">
              <w:t>0.073962</w:t>
            </w:r>
          </w:p>
        </w:tc>
      </w:tr>
    </w:tbl>
    <w:p w14:paraId="4220BA08" w14:textId="1845825B" w:rsidR="00F12E09" w:rsidRPr="000C2BBD" w:rsidRDefault="00F12E09">
      <w:pPr>
        <w:rPr>
          <w:i/>
          <w:lang w:val="en-US"/>
        </w:rPr>
      </w:pPr>
    </w:p>
    <w:p w14:paraId="34CDB918" w14:textId="30C9A08B" w:rsidR="007275F9" w:rsidRPr="000C2BBD" w:rsidRDefault="00B40674" w:rsidP="007275F9">
      <w:pPr>
        <w:pStyle w:val="Els-2ndorder-head"/>
      </w:pPr>
      <w:r w:rsidRPr="000C2BBD">
        <w:t>Cycle Design</w:t>
      </w:r>
    </w:p>
    <w:p w14:paraId="5342A1DD" w14:textId="36110EBB" w:rsidR="007275F9" w:rsidRPr="000C2BBD" w:rsidRDefault="00641D88" w:rsidP="007275F9">
      <w:pPr>
        <w:pStyle w:val="Els-body-text"/>
      </w:pPr>
      <w:r w:rsidRPr="000C2BBD">
        <w:t xml:space="preserve">The proposed PSA cycle in this study has </w:t>
      </w:r>
      <w:r w:rsidR="00C80936" w:rsidRPr="000C2BBD">
        <w:t>12</w:t>
      </w:r>
      <w:r w:rsidRPr="000C2BBD">
        <w:t xml:space="preserve"> steps, </w:t>
      </w:r>
      <w:r w:rsidR="00832831" w:rsidRPr="000C2BBD">
        <w:t xml:space="preserve">including </w:t>
      </w:r>
      <w:r w:rsidRPr="000C2BBD">
        <w:t>two pressure equalization steps to improve efficienc</w:t>
      </w:r>
      <w:r w:rsidR="00832831" w:rsidRPr="000C2BBD">
        <w:t>y</w:t>
      </w:r>
      <w:r w:rsidRPr="000C2BBD">
        <w:t>.</w:t>
      </w:r>
      <w:r w:rsidR="00832831" w:rsidRPr="000C2BBD">
        <w:t xml:space="preserve"> The step sequence for all beds is shown in Figure 1.</w:t>
      </w:r>
    </w:p>
    <w:p w14:paraId="58AE1DE1" w14:textId="77777777" w:rsidR="00D253C7" w:rsidRPr="000C2BBD" w:rsidRDefault="00D253C7" w:rsidP="00D253C7">
      <w:pPr>
        <w:pStyle w:val="Els-2ndorder-head"/>
      </w:pPr>
      <w:r w:rsidRPr="000C2BBD">
        <w:t>Simulation Conditions</w:t>
      </w:r>
    </w:p>
    <w:p w14:paraId="2ABD219F" w14:textId="74F76FD7" w:rsidR="00D253C7" w:rsidRPr="000C2BBD" w:rsidRDefault="00D253C7" w:rsidP="00D253C7">
      <w:pPr>
        <w:pStyle w:val="Els-body-text"/>
      </w:pPr>
      <w:r w:rsidRPr="000C2BBD">
        <w:t>Hydrogen content and overall gas pressure were assumed to decrease through a withdrawal period</w:t>
      </w:r>
      <w:r w:rsidR="00455D49">
        <w:t>,</w:t>
      </w:r>
      <w:r w:rsidRPr="000C2BBD">
        <w:t xml:space="preserve"> and four scenarios in accordance with the four stages from the previously published experimental results were selected (Kalman et al., 2022). The lab-scale columns were assumed to be isothermal</w:t>
      </w:r>
      <w:r w:rsidR="00455D49">
        <w:t>,</w:t>
      </w:r>
      <w:r w:rsidRPr="000C2BBD">
        <w:t xml:space="preserve"> and the mass transfer rate </w:t>
      </w:r>
      <w:r w:rsidR="00455D49">
        <w:t xml:space="preserve">was </w:t>
      </w:r>
      <w:r w:rsidRPr="000C2BBD">
        <w:t>constant.</w:t>
      </w:r>
    </w:p>
    <w:p w14:paraId="7CF4DC23" w14:textId="0A29D871" w:rsidR="00D253C7" w:rsidRPr="000C2BBD" w:rsidRDefault="00D253C7" w:rsidP="00D253C7">
      <w:pPr>
        <w:pStyle w:val="Els-body-text"/>
      </w:pPr>
      <w:r w:rsidRPr="000C2BBD">
        <w:t xml:space="preserve">The breakthrough curves were evaluated for breakthrough times and compared to experimental results. Breakthrough was defined as the time from feed gas injection to where methane concentration in the product reached 0.1 %. The cyclic simulations were evaluated for hydrogen purity and recovery and compared to experimental results, where </w:t>
      </w:r>
      <w:r w:rsidRPr="000C2BBD">
        <w:lastRenderedPageBreak/>
        <w:t xml:space="preserve">applicable. All simulations were conducted on a </w:t>
      </w:r>
      <w:r w:rsidRPr="000C2BBD">
        <w:rPr>
          <w:i/>
        </w:rPr>
        <w:t>Lenovo ThinkCentre M75q Gen 2</w:t>
      </w:r>
      <w:r w:rsidRPr="000C2BBD">
        <w:t xml:space="preserve"> desktop computer in MATLAB</w:t>
      </w:r>
      <w:r w:rsidRPr="000C2BBD">
        <w:rPr>
          <w:vertAlign w:val="superscript"/>
        </w:rPr>
        <w:t>®</w:t>
      </w:r>
      <w:r w:rsidRPr="000C2BBD">
        <w:t xml:space="preserve"> 2023a.</w:t>
      </w:r>
    </w:p>
    <w:p w14:paraId="43D876E2" w14:textId="77777777" w:rsidR="00C57B0F" w:rsidRPr="000C2BBD" w:rsidRDefault="00C57B0F" w:rsidP="009A36D8">
      <w:pPr>
        <w:pStyle w:val="Els-body-text"/>
        <w:keepNext/>
        <w:jc w:val="center"/>
      </w:pPr>
      <w:r w:rsidRPr="000C2BBD">
        <w:rPr>
          <w:noProof/>
        </w:rPr>
        <w:drawing>
          <wp:inline distT="0" distB="0" distL="0" distR="0" wp14:anchorId="09716433" wp14:editId="4D62FA9F">
            <wp:extent cx="3915278" cy="1677725"/>
            <wp:effectExtent l="0" t="0" r="9525" b="0"/>
            <wp:docPr id="1246533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533618" name="Picture 1" descr="A diagram of a machine&#10;&#10;Description automatically generated with medium confidence"/>
                    <pic:cNvPicPr/>
                  </pic:nvPicPr>
                  <pic:blipFill rotWithShape="1">
                    <a:blip r:embed="rId8" cstate="print">
                      <a:extLst>
                        <a:ext uri="{28A0092B-C50C-407E-A947-70E740481C1C}">
                          <a14:useLocalDpi xmlns:a14="http://schemas.microsoft.com/office/drawing/2010/main" val="0"/>
                        </a:ext>
                      </a:extLst>
                    </a:blip>
                    <a:srcRect t="23156" b="665"/>
                    <a:stretch/>
                  </pic:blipFill>
                  <pic:spPr bwMode="auto">
                    <a:xfrm>
                      <a:off x="0" y="0"/>
                      <a:ext cx="4053550" cy="1736975"/>
                    </a:xfrm>
                    <a:prstGeom prst="rect">
                      <a:avLst/>
                    </a:prstGeom>
                    <a:ln>
                      <a:noFill/>
                    </a:ln>
                    <a:extLst>
                      <a:ext uri="{53640926-AAD7-44D8-BBD7-CCE9431645EC}">
                        <a14:shadowObscured xmlns:a14="http://schemas.microsoft.com/office/drawing/2010/main"/>
                      </a:ext>
                    </a:extLst>
                  </pic:spPr>
                </pic:pic>
              </a:graphicData>
            </a:graphic>
          </wp:inline>
        </w:drawing>
      </w:r>
    </w:p>
    <w:p w14:paraId="2832E719" w14:textId="7341027A" w:rsidR="00C57B0F" w:rsidRPr="000C2BBD" w:rsidRDefault="00C57B0F" w:rsidP="00BB2EE3">
      <w:pPr>
        <w:pStyle w:val="Caption"/>
        <w:jc w:val="center"/>
      </w:pPr>
      <w:r w:rsidRPr="000C2BBD">
        <w:t xml:space="preserve">Figure </w:t>
      </w:r>
      <w:r w:rsidRPr="000C2BBD">
        <w:fldChar w:fldCharType="begin"/>
      </w:r>
      <w:r w:rsidRPr="000C2BBD">
        <w:instrText xml:space="preserve"> SEQ Figure \* ARABIC </w:instrText>
      </w:r>
      <w:r w:rsidRPr="000C2BBD">
        <w:fldChar w:fldCharType="separate"/>
      </w:r>
      <w:r w:rsidR="007231CB">
        <w:rPr>
          <w:noProof/>
        </w:rPr>
        <w:t>1</w:t>
      </w:r>
      <w:r w:rsidRPr="000C2BBD">
        <w:fldChar w:fldCharType="end"/>
      </w:r>
      <w:r w:rsidR="009A36D8" w:rsidRPr="000C2BBD">
        <w:t>:</w:t>
      </w:r>
      <w:r w:rsidRPr="000C2BBD">
        <w:t xml:space="preserve"> Cyclic configuration of PSA process for hydrogen purification</w:t>
      </w:r>
      <w:r w:rsidR="009A36D8" w:rsidRPr="000C2BBD">
        <w:t>.</w:t>
      </w:r>
    </w:p>
    <w:p w14:paraId="6285B65B" w14:textId="795EF1F3" w:rsidR="00AF1330" w:rsidRPr="000C2BBD" w:rsidRDefault="006D4356" w:rsidP="00AF1330">
      <w:pPr>
        <w:pStyle w:val="Els-1storder-head"/>
      </w:pPr>
      <w:r w:rsidRPr="000C2BBD">
        <w:rPr>
          <w:noProof/>
        </w:rPr>
        <w:drawing>
          <wp:anchor distT="0" distB="0" distL="114300" distR="114300" simplePos="0" relativeHeight="251662848" behindDoc="0" locked="0" layoutInCell="1" allowOverlap="1" wp14:anchorId="7DC8B23F" wp14:editId="1F01EA5B">
            <wp:simplePos x="0" y="0"/>
            <wp:positionH relativeFrom="margin">
              <wp:posOffset>1619885</wp:posOffset>
            </wp:positionH>
            <wp:positionV relativeFrom="paragraph">
              <wp:posOffset>228904</wp:posOffset>
            </wp:positionV>
            <wp:extent cx="2879725" cy="2159635"/>
            <wp:effectExtent l="0" t="0" r="0" b="0"/>
            <wp:wrapSquare wrapText="bothSides"/>
            <wp:docPr id="194911628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879725"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6A1BFD" w:rsidRPr="000C2BBD">
        <w:t>Results</w:t>
      </w:r>
    </w:p>
    <w:p w14:paraId="77887449" w14:textId="338E6900" w:rsidR="00C80936" w:rsidRPr="000C2BBD" w:rsidRDefault="00E67D02" w:rsidP="00C80936">
      <w:pPr>
        <w:pStyle w:val="Els-2ndorder-head"/>
      </w:pPr>
      <w:r w:rsidRPr="000C2BBD">
        <w:t>Breakthrough Result</w:t>
      </w:r>
      <w:r w:rsidR="00C80936" w:rsidRPr="000C2BBD">
        <w:t>s</w:t>
      </w:r>
    </w:p>
    <w:tbl>
      <w:tblPr>
        <w:tblStyle w:val="PlainTable2"/>
        <w:tblpPr w:leftFromText="180" w:rightFromText="180" w:vertAnchor="text" w:horzAnchor="margin" w:tblpY="5349"/>
        <w:tblW w:w="5000" w:type="pct"/>
        <w:tblLook w:val="04A0" w:firstRow="1" w:lastRow="0" w:firstColumn="1" w:lastColumn="0" w:noHBand="0" w:noVBand="1"/>
      </w:tblPr>
      <w:tblGrid>
        <w:gridCol w:w="993"/>
        <w:gridCol w:w="3046"/>
        <w:gridCol w:w="3047"/>
      </w:tblGrid>
      <w:tr w:rsidR="00C57B0F" w:rsidRPr="000C2BBD" w14:paraId="2E6B9669" w14:textId="77777777" w:rsidTr="00BB2E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0AEC8309" w14:textId="53C08416" w:rsidR="00C57B0F" w:rsidRPr="000C2BBD" w:rsidRDefault="00C57B0F" w:rsidP="00BB2EE3">
            <w:pPr>
              <w:pStyle w:val="Els-body-text"/>
              <w:jc w:val="center"/>
            </w:pPr>
            <w:r w:rsidRPr="000C2BBD">
              <w:t>Breakthrough time [s]</w:t>
            </w:r>
          </w:p>
        </w:tc>
      </w:tr>
      <w:tr w:rsidR="0081639E" w:rsidRPr="000C2BBD" w14:paraId="78A3F6E5" w14:textId="77777777" w:rsidTr="00BB2E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 w:type="pct"/>
          </w:tcPr>
          <w:p w14:paraId="7075FF13" w14:textId="77777777" w:rsidR="00C57B0F" w:rsidRPr="000C2BBD" w:rsidRDefault="00C57B0F" w:rsidP="00BB2EE3">
            <w:pPr>
              <w:pStyle w:val="Els-body-text"/>
            </w:pPr>
          </w:p>
        </w:tc>
        <w:tc>
          <w:tcPr>
            <w:tcW w:w="2149" w:type="pct"/>
          </w:tcPr>
          <w:p w14:paraId="79C7804C" w14:textId="77777777" w:rsidR="00C57B0F" w:rsidRPr="000C2BBD" w:rsidRDefault="00C57B0F" w:rsidP="00BB2EE3">
            <w:pPr>
              <w:pStyle w:val="Els-body-text"/>
              <w:jc w:val="center"/>
              <w:cnfStyle w:val="000000100000" w:firstRow="0" w:lastRow="0" w:firstColumn="0" w:lastColumn="0" w:oddVBand="0" w:evenVBand="0" w:oddHBand="1" w:evenHBand="0" w:firstRowFirstColumn="0" w:firstRowLastColumn="0" w:lastRowFirstColumn="0" w:lastRowLastColumn="0"/>
            </w:pPr>
            <w:r w:rsidRPr="000C2BBD">
              <w:t>Experiment</w:t>
            </w:r>
          </w:p>
        </w:tc>
        <w:tc>
          <w:tcPr>
            <w:tcW w:w="2150" w:type="pct"/>
          </w:tcPr>
          <w:p w14:paraId="7591E24F" w14:textId="2DEFD927" w:rsidR="00C57B0F" w:rsidRPr="000C2BBD" w:rsidRDefault="00BB2EE3" w:rsidP="00BB2EE3">
            <w:pPr>
              <w:pStyle w:val="Els-body-text"/>
              <w:jc w:val="center"/>
              <w:cnfStyle w:val="000000100000" w:firstRow="0" w:lastRow="0" w:firstColumn="0" w:lastColumn="0" w:oddVBand="0" w:evenVBand="0" w:oddHBand="1" w:evenHBand="0" w:firstRowFirstColumn="0" w:firstRowLastColumn="0" w:lastRowFirstColumn="0" w:lastRowLastColumn="0"/>
            </w:pPr>
            <w:r w:rsidRPr="000C2BBD">
              <w:t>Simulation</w:t>
            </w:r>
          </w:p>
        </w:tc>
      </w:tr>
      <w:tr w:rsidR="0081639E" w:rsidRPr="000C2BBD" w14:paraId="504EF3E6" w14:textId="77777777" w:rsidTr="00BB2EE3">
        <w:tc>
          <w:tcPr>
            <w:cnfStyle w:val="001000000000" w:firstRow="0" w:lastRow="0" w:firstColumn="1" w:lastColumn="0" w:oddVBand="0" w:evenVBand="0" w:oddHBand="0" w:evenHBand="0" w:firstRowFirstColumn="0" w:firstRowLastColumn="0" w:lastRowFirstColumn="0" w:lastRowLastColumn="0"/>
            <w:tcW w:w="701" w:type="pct"/>
          </w:tcPr>
          <w:p w14:paraId="45439552" w14:textId="77777777" w:rsidR="00C57B0F" w:rsidRPr="000C2BBD" w:rsidRDefault="00C57B0F" w:rsidP="00BB2EE3">
            <w:pPr>
              <w:pStyle w:val="Els-body-text"/>
              <w:jc w:val="right"/>
            </w:pPr>
            <w:r w:rsidRPr="000C2BBD">
              <w:t>Stage 1</w:t>
            </w:r>
          </w:p>
        </w:tc>
        <w:tc>
          <w:tcPr>
            <w:tcW w:w="2149" w:type="pct"/>
          </w:tcPr>
          <w:p w14:paraId="4CC43471" w14:textId="77777777" w:rsidR="00C57B0F" w:rsidRPr="000C2BBD" w:rsidRDefault="00C57B0F" w:rsidP="00BB2EE3">
            <w:pPr>
              <w:pStyle w:val="Els-body-text"/>
              <w:jc w:val="center"/>
              <w:cnfStyle w:val="000000000000" w:firstRow="0" w:lastRow="0" w:firstColumn="0" w:lastColumn="0" w:oddVBand="0" w:evenVBand="0" w:oddHBand="0" w:evenHBand="0" w:firstRowFirstColumn="0" w:firstRowLastColumn="0" w:lastRowFirstColumn="0" w:lastRowLastColumn="0"/>
            </w:pPr>
            <w:r w:rsidRPr="000C2BBD">
              <w:t>1175</w:t>
            </w:r>
          </w:p>
        </w:tc>
        <w:tc>
          <w:tcPr>
            <w:tcW w:w="2150" w:type="pct"/>
          </w:tcPr>
          <w:p w14:paraId="1E1CC219" w14:textId="027F7003" w:rsidR="00C57B0F" w:rsidRPr="000C2BBD" w:rsidRDefault="00C57B0F" w:rsidP="00BB2EE3">
            <w:pPr>
              <w:pStyle w:val="Els-body-text"/>
              <w:jc w:val="center"/>
              <w:cnfStyle w:val="000000000000" w:firstRow="0" w:lastRow="0" w:firstColumn="0" w:lastColumn="0" w:oddVBand="0" w:evenVBand="0" w:oddHBand="0" w:evenHBand="0" w:firstRowFirstColumn="0" w:firstRowLastColumn="0" w:lastRowFirstColumn="0" w:lastRowLastColumn="0"/>
            </w:pPr>
            <w:r w:rsidRPr="000C2BBD">
              <w:t>1106</w:t>
            </w:r>
          </w:p>
        </w:tc>
      </w:tr>
      <w:tr w:rsidR="0081639E" w:rsidRPr="000C2BBD" w14:paraId="3CE64A7A" w14:textId="77777777" w:rsidTr="00BB2E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 w:type="pct"/>
          </w:tcPr>
          <w:p w14:paraId="7FEFAEF2" w14:textId="77777777" w:rsidR="00C57B0F" w:rsidRPr="000C2BBD" w:rsidRDefault="00C57B0F" w:rsidP="00BB2EE3">
            <w:pPr>
              <w:pStyle w:val="Els-body-text"/>
              <w:jc w:val="right"/>
            </w:pPr>
            <w:r w:rsidRPr="000C2BBD">
              <w:t>Stage 2</w:t>
            </w:r>
          </w:p>
        </w:tc>
        <w:tc>
          <w:tcPr>
            <w:tcW w:w="2149" w:type="pct"/>
          </w:tcPr>
          <w:p w14:paraId="29176570" w14:textId="77777777" w:rsidR="00C57B0F" w:rsidRPr="000C2BBD" w:rsidRDefault="00C57B0F" w:rsidP="00BB2EE3">
            <w:pPr>
              <w:pStyle w:val="Els-body-text"/>
              <w:jc w:val="center"/>
              <w:cnfStyle w:val="000000100000" w:firstRow="0" w:lastRow="0" w:firstColumn="0" w:lastColumn="0" w:oddVBand="0" w:evenVBand="0" w:oddHBand="1" w:evenHBand="0" w:firstRowFirstColumn="0" w:firstRowLastColumn="0" w:lastRowFirstColumn="0" w:lastRowLastColumn="0"/>
            </w:pPr>
            <w:r w:rsidRPr="000C2BBD">
              <w:t>723</w:t>
            </w:r>
          </w:p>
        </w:tc>
        <w:tc>
          <w:tcPr>
            <w:tcW w:w="2150" w:type="pct"/>
          </w:tcPr>
          <w:p w14:paraId="019B4658" w14:textId="77777777" w:rsidR="00C57B0F" w:rsidRPr="000C2BBD" w:rsidRDefault="00C57B0F" w:rsidP="00BB2EE3">
            <w:pPr>
              <w:pStyle w:val="Els-body-text"/>
              <w:jc w:val="center"/>
              <w:cnfStyle w:val="000000100000" w:firstRow="0" w:lastRow="0" w:firstColumn="0" w:lastColumn="0" w:oddVBand="0" w:evenVBand="0" w:oddHBand="1" w:evenHBand="0" w:firstRowFirstColumn="0" w:firstRowLastColumn="0" w:lastRowFirstColumn="0" w:lastRowLastColumn="0"/>
            </w:pPr>
            <w:r w:rsidRPr="000C2BBD">
              <w:t>733</w:t>
            </w:r>
          </w:p>
        </w:tc>
      </w:tr>
      <w:tr w:rsidR="0081639E" w:rsidRPr="000C2BBD" w14:paraId="1A08B6BA" w14:textId="77777777" w:rsidTr="00BB2EE3">
        <w:tc>
          <w:tcPr>
            <w:cnfStyle w:val="001000000000" w:firstRow="0" w:lastRow="0" w:firstColumn="1" w:lastColumn="0" w:oddVBand="0" w:evenVBand="0" w:oddHBand="0" w:evenHBand="0" w:firstRowFirstColumn="0" w:firstRowLastColumn="0" w:lastRowFirstColumn="0" w:lastRowLastColumn="0"/>
            <w:tcW w:w="701" w:type="pct"/>
          </w:tcPr>
          <w:p w14:paraId="69C4001D" w14:textId="77777777" w:rsidR="00C57B0F" w:rsidRPr="000C2BBD" w:rsidRDefault="00C57B0F" w:rsidP="00BB2EE3">
            <w:pPr>
              <w:pStyle w:val="Els-body-text"/>
              <w:jc w:val="right"/>
            </w:pPr>
            <w:r w:rsidRPr="000C2BBD">
              <w:t>Stage 3</w:t>
            </w:r>
          </w:p>
        </w:tc>
        <w:tc>
          <w:tcPr>
            <w:tcW w:w="2149" w:type="pct"/>
          </w:tcPr>
          <w:p w14:paraId="1F453D04" w14:textId="53F560CD" w:rsidR="00C57B0F" w:rsidRPr="000C2BBD" w:rsidRDefault="00C57B0F" w:rsidP="00BB2EE3">
            <w:pPr>
              <w:pStyle w:val="Els-body-text"/>
              <w:jc w:val="center"/>
              <w:cnfStyle w:val="000000000000" w:firstRow="0" w:lastRow="0" w:firstColumn="0" w:lastColumn="0" w:oddVBand="0" w:evenVBand="0" w:oddHBand="0" w:evenHBand="0" w:firstRowFirstColumn="0" w:firstRowLastColumn="0" w:lastRowFirstColumn="0" w:lastRowLastColumn="0"/>
            </w:pPr>
            <w:r w:rsidRPr="000C2BBD">
              <w:t>521</w:t>
            </w:r>
          </w:p>
        </w:tc>
        <w:tc>
          <w:tcPr>
            <w:tcW w:w="2150" w:type="pct"/>
          </w:tcPr>
          <w:p w14:paraId="3E428C2F" w14:textId="77777777" w:rsidR="00C57B0F" w:rsidRPr="000C2BBD" w:rsidRDefault="00C57B0F" w:rsidP="00BB2EE3">
            <w:pPr>
              <w:pStyle w:val="Els-body-text"/>
              <w:jc w:val="center"/>
              <w:cnfStyle w:val="000000000000" w:firstRow="0" w:lastRow="0" w:firstColumn="0" w:lastColumn="0" w:oddVBand="0" w:evenVBand="0" w:oddHBand="0" w:evenHBand="0" w:firstRowFirstColumn="0" w:firstRowLastColumn="0" w:lastRowFirstColumn="0" w:lastRowLastColumn="0"/>
            </w:pPr>
            <w:r w:rsidRPr="000C2BBD">
              <w:t>510</w:t>
            </w:r>
          </w:p>
        </w:tc>
      </w:tr>
      <w:tr w:rsidR="0081639E" w:rsidRPr="000C2BBD" w14:paraId="63E5898D" w14:textId="77777777" w:rsidTr="00BB2E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 w:type="pct"/>
          </w:tcPr>
          <w:p w14:paraId="5B56B444" w14:textId="77777777" w:rsidR="00C57B0F" w:rsidRPr="000C2BBD" w:rsidRDefault="00C57B0F" w:rsidP="00BB2EE3">
            <w:pPr>
              <w:pStyle w:val="Els-body-text"/>
              <w:jc w:val="right"/>
            </w:pPr>
            <w:r w:rsidRPr="000C2BBD">
              <w:t>Stage 4</w:t>
            </w:r>
          </w:p>
        </w:tc>
        <w:tc>
          <w:tcPr>
            <w:tcW w:w="2149" w:type="pct"/>
          </w:tcPr>
          <w:p w14:paraId="284E8579" w14:textId="77777777" w:rsidR="00C57B0F" w:rsidRPr="000C2BBD" w:rsidRDefault="00C57B0F" w:rsidP="00BB2EE3">
            <w:pPr>
              <w:pStyle w:val="Els-body-text"/>
              <w:jc w:val="center"/>
              <w:cnfStyle w:val="000000100000" w:firstRow="0" w:lastRow="0" w:firstColumn="0" w:lastColumn="0" w:oddVBand="0" w:evenVBand="0" w:oddHBand="1" w:evenHBand="0" w:firstRowFirstColumn="0" w:firstRowLastColumn="0" w:lastRowFirstColumn="0" w:lastRowLastColumn="0"/>
            </w:pPr>
            <w:r w:rsidRPr="000C2BBD">
              <w:t>495</w:t>
            </w:r>
          </w:p>
        </w:tc>
        <w:tc>
          <w:tcPr>
            <w:tcW w:w="2150" w:type="pct"/>
          </w:tcPr>
          <w:p w14:paraId="67633498" w14:textId="77777777" w:rsidR="00C57B0F" w:rsidRPr="000C2BBD" w:rsidRDefault="00C57B0F" w:rsidP="00BB2EE3">
            <w:pPr>
              <w:pStyle w:val="Els-body-text"/>
              <w:jc w:val="center"/>
              <w:cnfStyle w:val="000000100000" w:firstRow="0" w:lastRow="0" w:firstColumn="0" w:lastColumn="0" w:oddVBand="0" w:evenVBand="0" w:oddHBand="1" w:evenHBand="0" w:firstRowFirstColumn="0" w:firstRowLastColumn="0" w:lastRowFirstColumn="0" w:lastRowLastColumn="0"/>
            </w:pPr>
            <w:r w:rsidRPr="000C2BBD">
              <w:t>489</w:t>
            </w:r>
          </w:p>
        </w:tc>
      </w:tr>
    </w:tbl>
    <w:p w14:paraId="1A79411B" w14:textId="65454D40" w:rsidR="00BB2EE3" w:rsidRPr="000C2BBD" w:rsidRDefault="006D4356" w:rsidP="00162CEC">
      <w:pPr>
        <w:pStyle w:val="Els-body-text"/>
      </w:pPr>
      <w:r w:rsidRPr="000C2BBD">
        <w:rPr>
          <w:noProof/>
        </w:rPr>
        <mc:AlternateContent>
          <mc:Choice Requires="wps">
            <w:drawing>
              <wp:anchor distT="0" distB="0" distL="114300" distR="114300" simplePos="0" relativeHeight="251660288" behindDoc="0" locked="0" layoutInCell="1" allowOverlap="1" wp14:anchorId="65B4CE31" wp14:editId="0B4DEC23">
                <wp:simplePos x="0" y="0"/>
                <wp:positionH relativeFrom="column">
                  <wp:posOffset>1619885</wp:posOffset>
                </wp:positionH>
                <wp:positionV relativeFrom="paragraph">
                  <wp:posOffset>1928799</wp:posOffset>
                </wp:positionV>
                <wp:extent cx="2879725" cy="635"/>
                <wp:effectExtent l="0" t="0" r="0" b="0"/>
                <wp:wrapSquare wrapText="bothSides"/>
                <wp:docPr id="337642880" name="Text Box 1"/>
                <wp:cNvGraphicFramePr/>
                <a:graphic xmlns:a="http://schemas.openxmlformats.org/drawingml/2006/main">
                  <a:graphicData uri="http://schemas.microsoft.com/office/word/2010/wordprocessingShape">
                    <wps:wsp>
                      <wps:cNvSpPr txBox="1"/>
                      <wps:spPr>
                        <a:xfrm>
                          <a:off x="0" y="0"/>
                          <a:ext cx="2879725" cy="635"/>
                        </a:xfrm>
                        <a:prstGeom prst="rect">
                          <a:avLst/>
                        </a:prstGeom>
                        <a:solidFill>
                          <a:prstClr val="white"/>
                        </a:solidFill>
                        <a:ln>
                          <a:noFill/>
                        </a:ln>
                      </wps:spPr>
                      <wps:txbx>
                        <w:txbxContent>
                          <w:p w14:paraId="0F7F4B0D" w14:textId="4BEC88DB" w:rsidR="000C79B9" w:rsidRPr="000C79B9" w:rsidRDefault="000C79B9" w:rsidP="000C79B9">
                            <w:pPr>
                              <w:pStyle w:val="Caption"/>
                              <w:jc w:val="center"/>
                            </w:pPr>
                            <w:r>
                              <w:t xml:space="preserve">Figure </w:t>
                            </w:r>
                            <w:r>
                              <w:fldChar w:fldCharType="begin"/>
                            </w:r>
                            <w:r>
                              <w:instrText xml:space="preserve"> SEQ Figure \* ARABIC </w:instrText>
                            </w:r>
                            <w:r>
                              <w:fldChar w:fldCharType="separate"/>
                            </w:r>
                            <w:r w:rsidR="007231CB">
                              <w:rPr>
                                <w:noProof/>
                              </w:rPr>
                              <w:t>2</w:t>
                            </w:r>
                            <w:r>
                              <w:fldChar w:fldCharType="end"/>
                            </w:r>
                            <w:r w:rsidR="009B4A6D">
                              <w:t>:</w:t>
                            </w:r>
                            <w:r>
                              <w:t xml:space="preserve"> Breakthrough curves for all stages; methane concentration at the end of bed</w:t>
                            </w:r>
                            <w:r w:rsidR="009B4A6D">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5B4CE31" id="_x0000_t202" coordsize="21600,21600" o:spt="202" path="m,l,21600r21600,l21600,xe">
                <v:stroke joinstyle="miter"/>
                <v:path gradientshapeok="t" o:connecttype="rect"/>
              </v:shapetype>
              <v:shape id="Text Box 1" o:spid="_x0000_s1026" type="#_x0000_t202" style="position:absolute;left:0;text-align:left;margin-left:127.55pt;margin-top:151.85pt;width:226.7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fH/MwIAAGUEAAAOAAAAZHJzL2Uyb0RvYy54bWysVE2P2jAQvVfqf7B8L+GjCxQRVpQVVSW0&#10;uxJUezaOQyzZHtc2JPTXd+wkbLvtqerFGc+Mn/3mzWR532hFLsJ5CSano8GQEmE4FNKccvrtsP0w&#10;p8QHZgqmwIicXoWn96v375a1XYgxVKAK4QiCGL+obU6rEOwiyzyvhGZ+AFYYDJbgNAu4daescKxG&#10;dK2y8XA4zWpwhXXAhffofWiDdJXwy1Lw8FSWXgSicopvC2l1aT3GNVst2eLkmK0k757B/uEVmkmD&#10;l96gHlhg5OzkH1BacgceyjDgoDMoS8lF4oBsRsM3bPYVsyJxweJ4eyuT/3+w/PHy7IgscjqZzKYf&#10;x/M5VskwjVIdRBPIZ2jIKFaptn6ByXuL6aFBN6rd+z06I/mmdDp+kRbBOCJdbzWOYByd4/ns02x8&#10;RwnH2HRyFzGy16PW+fBFgCbRyKlDAVNd2WXnQ5vap8SbPChZbKVScRMDG+XIhaHYdSWD6MB/y1Im&#10;5hqIp1rA6Mkiv5ZHtEJzbDrSRyiuyNlB2zve8q3Ei3bMh2fmsFmQJg5AeMKlVFDnFDqLkgrcj7/5&#10;Yz5qiFFKamy+nPrvZ+YEJeqrQXVjp/aG641jb5iz3gBSHOFoWZ5MPOCC6s3SgX7BuVjHWzDEDMe7&#10;chp6cxPaEcC54mK9TknYj5aFndlbHqH7gh6aF+ZsJ0dAFR+hb0u2eKNKm5t0setzwBInyWJB2yp2&#10;dcZeTqJ3cxeH5dd9ynr9O6x+AgAA//8DAFBLAwQUAAYACAAAACEAyBL8mOIAAAALAQAADwAAAGRy&#10;cy9kb3ducmV2LnhtbEyPsU7DMBCGdyTewTokFkTtNm0ahThVVcEAS0XowubG1zgQn6PYacPbY1hg&#10;vLtP/31/sZlsx844+NaRhPlMAEOqnW6pkXB4e7rPgPmgSKvOEUr4Qg+b8vqqULl2F3rFcxUaFkPI&#10;50qCCaHPOfe1Qav8zPVI8XZyg1UhjkPD9aAuMdx2fCFEyq1qKX4wqsedwfqzGq2E/fJ9b+7G0+PL&#10;dpkMz4dxl340lZS3N9P2AVjAKfzB8KMf1aGMTkc3kvask7BYreYRlZCIZA0sEmuRpcCOv5sMeFnw&#10;/x3KbwAAAP//AwBQSwECLQAUAAYACAAAACEAtoM4kv4AAADhAQAAEwAAAAAAAAAAAAAAAAAAAAAA&#10;W0NvbnRlbnRfVHlwZXNdLnhtbFBLAQItABQABgAIAAAAIQA4/SH/1gAAAJQBAAALAAAAAAAAAAAA&#10;AAAAAC8BAABfcmVscy8ucmVsc1BLAQItABQABgAIAAAAIQB5WfH/MwIAAGUEAAAOAAAAAAAAAAAA&#10;AAAAAC4CAABkcnMvZTJvRG9jLnhtbFBLAQItABQABgAIAAAAIQDIEvyY4gAAAAsBAAAPAAAAAAAA&#10;AAAAAAAAAI0EAABkcnMvZG93bnJldi54bWxQSwUGAAAAAAQABADzAAAAnAUAAAAA&#10;" stroked="f">
                <v:textbox style="mso-fit-shape-to-text:t" inset="0,0,0,0">
                  <w:txbxContent>
                    <w:p w14:paraId="0F7F4B0D" w14:textId="4BEC88DB" w:rsidR="000C79B9" w:rsidRPr="000C79B9" w:rsidRDefault="000C79B9" w:rsidP="000C79B9">
                      <w:pPr>
                        <w:pStyle w:val="Caption"/>
                        <w:jc w:val="center"/>
                      </w:pPr>
                      <w:r>
                        <w:t xml:space="preserve">Figure </w:t>
                      </w:r>
                      <w:r>
                        <w:fldChar w:fldCharType="begin"/>
                      </w:r>
                      <w:r>
                        <w:instrText xml:space="preserve"> SEQ Figure \* ARABIC </w:instrText>
                      </w:r>
                      <w:r>
                        <w:fldChar w:fldCharType="separate"/>
                      </w:r>
                      <w:r w:rsidR="007231CB">
                        <w:rPr>
                          <w:noProof/>
                        </w:rPr>
                        <w:t>2</w:t>
                      </w:r>
                      <w:r>
                        <w:fldChar w:fldCharType="end"/>
                      </w:r>
                      <w:r w:rsidR="009B4A6D">
                        <w:t>:</w:t>
                      </w:r>
                      <w:r>
                        <w:t xml:space="preserve"> Breakthrough curves for all stages; methane concentration at the end of bed</w:t>
                      </w:r>
                      <w:r w:rsidR="009B4A6D">
                        <w:t>.</w:t>
                      </w:r>
                    </w:p>
                  </w:txbxContent>
                </v:textbox>
                <w10:wrap type="square"/>
              </v:shape>
            </w:pict>
          </mc:Fallback>
        </mc:AlternateContent>
      </w:r>
      <w:r w:rsidR="00305E28" w:rsidRPr="000C2BBD">
        <w:t xml:space="preserve">Results of breakthrough experiments from (Kalman et al., 2022) were used to validate the kinetic and equilibria model of the simulation. In Fig. </w:t>
      </w:r>
      <w:r w:rsidR="00A74FF2" w:rsidRPr="000C2BBD">
        <w:t>2.</w:t>
      </w:r>
      <w:r w:rsidR="00772E13" w:rsidRPr="000C2BBD">
        <w:t xml:space="preserve"> the experimental breakthrough curves are compared to isothermal simulations. </w:t>
      </w:r>
      <w:r w:rsidR="004B17AD" w:rsidRPr="000C2BBD">
        <w:t xml:space="preserve">The low mass transfer resistance, indicated by the sharp initial rise (front), is captured accurately in </w:t>
      </w:r>
      <w:r w:rsidR="00A65856" w:rsidRPr="000C2BBD">
        <w:t>all four scenarios</w:t>
      </w:r>
      <w:r w:rsidR="004B17AD" w:rsidRPr="000C2BBD">
        <w:t xml:space="preserve">. </w:t>
      </w:r>
      <w:r w:rsidR="00A661EA" w:rsidRPr="000C2BBD">
        <w:t>The</w:t>
      </w:r>
      <w:r w:rsidR="00772E13" w:rsidRPr="000C2BBD">
        <w:t xml:space="preserve"> isothermal assumption for the lab-scale columns is acceptable, although the experimental values flatten and show slowing kinetics near equilibrium. This could be due to the increased temperature</w:t>
      </w:r>
      <w:r w:rsidR="00455D49">
        <w:t>,</w:t>
      </w:r>
      <w:r w:rsidR="00772E13" w:rsidRPr="000C2BBD">
        <w:t xml:space="preserve"> which favors desorption in the dynamic equilibrium</w:t>
      </w:r>
      <w:r w:rsidR="00455D49">
        <w:t>. However,</w:t>
      </w:r>
      <w:r w:rsidR="00772E13" w:rsidRPr="000C2BBD">
        <w:t xml:space="preserve"> at this scale</w:t>
      </w:r>
      <w:r w:rsidR="00455D49">
        <w:t>,</w:t>
      </w:r>
      <w:r w:rsidR="00772E13" w:rsidRPr="000C2BBD">
        <w:t xml:space="preserve"> the isothermal assumption is valid as it only introduces a small error in the equilibration time but has no effect on the breakthrough </w:t>
      </w:r>
      <w:r w:rsidR="003A76BB" w:rsidRPr="000C2BBD">
        <w:t>t</w:t>
      </w:r>
      <w:r w:rsidR="00772E13" w:rsidRPr="000C2BBD">
        <w:t>imes</w:t>
      </w:r>
      <w:r w:rsidR="004B0097">
        <w:t>, the focus of this investigat</w:t>
      </w:r>
      <w:r>
        <w:t>ion</w:t>
      </w:r>
      <w:r w:rsidR="00772E13" w:rsidRPr="000C2BBD">
        <w:t>.</w:t>
      </w:r>
    </w:p>
    <w:p w14:paraId="684EFDB7" w14:textId="77777777" w:rsidR="006B5A7A" w:rsidRPr="000C2BBD" w:rsidRDefault="006B5A7A" w:rsidP="00162CEC">
      <w:pPr>
        <w:pStyle w:val="Els-body-text"/>
      </w:pPr>
    </w:p>
    <w:p w14:paraId="650C74D0" w14:textId="5C503429" w:rsidR="00BB2EE3" w:rsidRPr="000C2BBD" w:rsidRDefault="00BB2EE3" w:rsidP="006B5A7A">
      <w:pPr>
        <w:pStyle w:val="Els-body-text"/>
        <w:jc w:val="center"/>
      </w:pPr>
      <w:r w:rsidRPr="000C2BBD">
        <w:t>Table 3</w:t>
      </w:r>
      <w:r w:rsidR="009B4A6D" w:rsidRPr="000C2BBD">
        <w:t>:</w:t>
      </w:r>
      <w:r w:rsidRPr="000C2BBD">
        <w:t xml:space="preserve"> Breakthrough results</w:t>
      </w:r>
    </w:p>
    <w:p w14:paraId="37887089" w14:textId="21C0B914" w:rsidR="00580C7A" w:rsidRPr="000C2BBD" w:rsidRDefault="001C1FA5" w:rsidP="00580C7A">
      <w:pPr>
        <w:pStyle w:val="Els-2ndorder-head"/>
      </w:pPr>
      <w:r w:rsidRPr="000C2BBD">
        <w:lastRenderedPageBreak/>
        <w:t>Results of Cyclic Simulation</w:t>
      </w:r>
      <w:r w:rsidR="00580C7A" w:rsidRPr="000C2BBD">
        <w:t>s</w:t>
      </w:r>
    </w:p>
    <w:p w14:paraId="2C3DBC7B" w14:textId="6A6A623D" w:rsidR="00BA5C8A" w:rsidRPr="000C2BBD" w:rsidRDefault="009A4008" w:rsidP="00215300">
      <w:pPr>
        <w:pStyle w:val="Els-body-text"/>
      </w:pPr>
      <w:r w:rsidRPr="000C2BBD">
        <w:t xml:space="preserve">After the model validation with breakthrough curves, the cyclic tests from (Kalman et al., 2023) were modelled and </w:t>
      </w:r>
      <w:r w:rsidR="00455D49">
        <w:t>correlated well</w:t>
      </w:r>
      <w:r w:rsidRPr="000C2BBD">
        <w:t xml:space="preserve"> with experimental results.</w:t>
      </w:r>
      <w:r w:rsidR="00395827" w:rsidRPr="000C2BBD">
        <w:t xml:space="preserve"> Due to </w:t>
      </w:r>
      <w:r w:rsidR="00455D49">
        <w:t xml:space="preserve">the </w:t>
      </w:r>
      <w:r w:rsidR="00395827" w:rsidRPr="000C2BBD">
        <w:t xml:space="preserve">isothermal solution, </w:t>
      </w:r>
      <w:r w:rsidR="00455D49">
        <w:t xml:space="preserve">a </w:t>
      </w:r>
      <w:r w:rsidR="00395827" w:rsidRPr="000C2BBD">
        <w:t>cyclic steady</w:t>
      </w:r>
      <w:r w:rsidRPr="000C2BBD">
        <w:t xml:space="preserve"> </w:t>
      </w:r>
      <w:r w:rsidR="00395827" w:rsidRPr="000C2BBD">
        <w:t xml:space="preserve">state was reached in tens of cycles. </w:t>
      </w:r>
      <w:r w:rsidRPr="000C2BBD">
        <w:t>The pressure profile of one column in a full cycle in cyclic steady state (CSS) is shown in Fig. 3</w:t>
      </w:r>
      <w:r w:rsidR="00A65856" w:rsidRPr="000C2BBD">
        <w:t>a</w:t>
      </w:r>
      <w:r w:rsidRPr="000C2BBD">
        <w:t>. The rate of pressure decrease in the equalization steps is higher than the theoretical rate. This occurrence could be mitigated by adjusting the valve coefficients</w:t>
      </w:r>
      <w:r w:rsidR="00455D49">
        <w:t>. However,</w:t>
      </w:r>
      <w:r w:rsidRPr="000C2BBD">
        <w:t xml:space="preserve"> </w:t>
      </w:r>
      <w:r w:rsidR="00BA5C8A" w:rsidRPr="000C2BBD">
        <w:t xml:space="preserve">this behavior is consistent with </w:t>
      </w:r>
      <w:r w:rsidRPr="000C2BBD">
        <w:t xml:space="preserve">the experimental setup </w:t>
      </w:r>
      <w:r w:rsidR="00BA5C8A" w:rsidRPr="000C2BBD">
        <w:t xml:space="preserve">where </w:t>
      </w:r>
      <w:r w:rsidRPr="000C2BBD">
        <w:t>solenoid valves</w:t>
      </w:r>
      <w:r w:rsidR="00BA5C8A" w:rsidRPr="000C2BBD">
        <w:t xml:space="preserve"> </w:t>
      </w:r>
      <w:r w:rsidR="00455D49">
        <w:t>we</w:t>
      </w:r>
      <w:r w:rsidR="00BA5C8A" w:rsidRPr="000C2BBD">
        <w:t>re installed</w:t>
      </w:r>
      <w:r w:rsidR="00455D49">
        <w:t>,</w:t>
      </w:r>
      <w:r w:rsidR="00BA5C8A" w:rsidRPr="000C2BBD">
        <w:t xml:space="preserve"> and precise flow control was </w:t>
      </w:r>
      <w:r w:rsidR="00455D49">
        <w:t>un</w:t>
      </w:r>
      <w:r w:rsidR="00BA5C8A" w:rsidRPr="000C2BBD">
        <w:t>available</w:t>
      </w:r>
      <w:r w:rsidRPr="000C2BBD">
        <w:t>.</w:t>
      </w:r>
    </w:p>
    <w:p w14:paraId="7AE6F11B" w14:textId="4BC1D749" w:rsidR="00215300" w:rsidRPr="000C2BBD" w:rsidRDefault="00BA5C8A" w:rsidP="00215300">
      <w:pPr>
        <w:pStyle w:val="Els-body-text"/>
      </w:pPr>
      <w:r w:rsidRPr="000C2BBD">
        <w:t>Fig.</w:t>
      </w:r>
      <w:r w:rsidR="00A65856" w:rsidRPr="000C2BBD">
        <w:t xml:space="preserve"> 3b</w:t>
      </w:r>
      <w:r w:rsidRPr="000C2BBD">
        <w:t xml:space="preserve">. </w:t>
      </w:r>
      <w:r w:rsidR="009A4008" w:rsidRPr="000C2BBD">
        <w:t>show</w:t>
      </w:r>
      <w:r w:rsidRPr="000C2BBD">
        <w:t>s the adsorbed amount of methane along the bed at the end of the adsorption, pressure equalization (PE)</w:t>
      </w:r>
      <w:r w:rsidR="00455D49">
        <w:t>,</w:t>
      </w:r>
      <w:r w:rsidRPr="000C2BBD">
        <w:t xml:space="preserve"> and purging steps.</w:t>
      </w:r>
      <w:r w:rsidR="009A4008" w:rsidRPr="000C2BBD">
        <w:t xml:space="preserve"> </w:t>
      </w:r>
      <w:r w:rsidRPr="000C2BBD">
        <w:t>Full solid</w:t>
      </w:r>
      <w:r w:rsidR="009A4008" w:rsidRPr="000C2BBD">
        <w:t xml:space="preserve"> loading and equilibrium </w:t>
      </w:r>
      <w:r w:rsidR="00455D49">
        <w:t>are</w:t>
      </w:r>
      <w:r w:rsidR="009A4008" w:rsidRPr="000C2BBD">
        <w:t xml:space="preserve"> not reached in CSS.</w:t>
      </w:r>
      <w:r w:rsidRPr="000C2BBD">
        <w:t xml:space="preserve"> At the end of the bed, only 1/6</w:t>
      </w:r>
      <w:r w:rsidRPr="000C2BBD">
        <w:rPr>
          <w:vertAlign w:val="superscript"/>
        </w:rPr>
        <w:t>th</w:t>
      </w:r>
      <w:r w:rsidRPr="000C2BBD">
        <w:t xml:space="preserve"> of the full methane capacity is adsorbed. </w:t>
      </w:r>
      <w:r w:rsidR="00162CEC" w:rsidRPr="000C2BBD">
        <w:t>This allows methane to re-adsorb d</w:t>
      </w:r>
      <w:r w:rsidR="009A4008" w:rsidRPr="000C2BBD">
        <w:t xml:space="preserve">uring the </w:t>
      </w:r>
      <w:r w:rsidRPr="000C2BBD">
        <w:rPr>
          <w:lang w:val="hu-HU"/>
        </w:rPr>
        <w:t>subsequent</w:t>
      </w:r>
      <w:r w:rsidRPr="000C2BBD">
        <w:t xml:space="preserve"> </w:t>
      </w:r>
      <w:r w:rsidR="009A4008" w:rsidRPr="000C2BBD">
        <w:t xml:space="preserve">pressure equalization </w:t>
      </w:r>
      <w:r w:rsidRPr="000C2BBD">
        <w:t xml:space="preserve">(PE) steps </w:t>
      </w:r>
      <w:r w:rsidR="00162CEC" w:rsidRPr="000C2BBD">
        <w:t>despite the lowered maximum capacity</w:t>
      </w:r>
      <w:r w:rsidR="00455D49">
        <w:t>. It</w:t>
      </w:r>
      <w:r w:rsidR="00162CEC" w:rsidRPr="000C2BBD">
        <w:t xml:space="preserve"> ensures that the connected bed is not contaminated before its adsorption cycle</w:t>
      </w:r>
      <w:r w:rsidR="00455D49">
        <w:t>, and b</w:t>
      </w:r>
      <w:r w:rsidR="00162CEC" w:rsidRPr="000C2BBD">
        <w:t xml:space="preserve">y the end of the purging step, </w:t>
      </w:r>
      <w:r w:rsidR="00455D49">
        <w:t>no methane is</w:t>
      </w:r>
      <w:r w:rsidR="00162CEC" w:rsidRPr="000C2BBD">
        <w:t xml:space="preserve"> adsorbed</w:t>
      </w:r>
      <w:r w:rsidR="00455D49">
        <w:t>,</w:t>
      </w:r>
      <w:r w:rsidR="00162CEC" w:rsidRPr="000C2BBD">
        <w:t xml:space="preserve"> and the clean bed is ready for the next adsorption cycle.</w:t>
      </w:r>
    </w:p>
    <w:p w14:paraId="2E7966A8" w14:textId="4272837D" w:rsidR="00D253C7" w:rsidRPr="000C2BBD" w:rsidRDefault="00361541" w:rsidP="00D253C7">
      <w:pPr>
        <w:pStyle w:val="Els-body-text"/>
        <w:keepNext/>
      </w:pPr>
      <w:r w:rsidRPr="000C2BBD">
        <w:rPr>
          <w:noProof/>
        </w:rPr>
        <mc:AlternateContent>
          <mc:Choice Requires="wps">
            <w:drawing>
              <wp:anchor distT="45720" distB="45720" distL="114300" distR="114300" simplePos="0" relativeHeight="251659776" behindDoc="0" locked="0" layoutInCell="1" allowOverlap="1" wp14:anchorId="0AFBB2AA" wp14:editId="167625A5">
                <wp:simplePos x="0" y="0"/>
                <wp:positionH relativeFrom="margin">
                  <wp:posOffset>2425553</wp:posOffset>
                </wp:positionH>
                <wp:positionV relativeFrom="paragraph">
                  <wp:posOffset>1477694</wp:posOffset>
                </wp:positionV>
                <wp:extent cx="304800" cy="1404620"/>
                <wp:effectExtent l="0" t="0" r="0" b="0"/>
                <wp:wrapNone/>
                <wp:docPr id="909072250"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3C021D1" w14:textId="74E567FB" w:rsidR="00361541" w:rsidRPr="009A36D8" w:rsidRDefault="00361541" w:rsidP="00361541">
                            <w:pPr>
                              <w:rPr>
                                <w:b/>
                              </w:rPr>
                            </w:pPr>
                            <w:r w:rsidRPr="009A36D8">
                              <w:rPr>
                                <w:b/>
                              </w:rPr>
                              <w:t xml:space="preserve">b.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FBB2AA" id="Szövegdoboz 2" o:spid="_x0000_s1027" type="#_x0000_t202" style="position:absolute;left:0;text-align:left;margin-left:191pt;margin-top:116.35pt;width:24pt;height:110.6pt;z-index:251659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T0UQIAANkEAAAOAAAAZHJzL2Uyb0RvYy54bWysVFlu2zAQ/S/QOxD8ryWrzmLBcpA6cFEg&#10;XVC3B6AoakEkDjukLTkHywV6sQ4p23HbrxT9IaiZeY9vNi1uhq5lO4W2AZ3x6STmTGkJRaOrjH//&#10;tn5zzZl1QheiBa0yvleW3yxfv1r0JlUJ1NAWChmRaJv2JuO1cyaNIitr1Qk7AaM0OUvATjj6xCoq&#10;UPTE3rVREseXUQ9YGASprCXr3ejky8Bflkq6z2VplWNtxkmbCyeGM/dntFyItEJh6kYeZIh/UNGJ&#10;RtOjJ6o74QTbYvMXVddIBAulm0joIijLRqqQA2Uzjf/IZlMLo0IuVBxrTmWy/49Wftp9QdYUGZ/H&#10;8/gqSS6oSlp01KrN48+nnaoKyOGRJb5SvbEpATaGIG54BwN1PGRtzT3IB8s0rGqhK3WLCH2tREFK&#10;px4ZnUFHHutJ8v4jFPSU2DoIREOJnS8jFYYRO2nZn7qkBsckGd/Gs+uYPJJc01k8u0xCGyORHtEG&#10;rXuvoGP+knGkKQjsYndvnVcj0mOIf0zDumnbMAmt/s1Agd4S1HvBB+lu3yof1+qvqqTiBaXeYCVW&#10;+apFNk4YrQDpPM5ZICOADyzpwRdiDxCPVmGwX4g/gcL7oN0J3zUacOyjXzvlE9gJWpjiYWwe6R3j&#10;j6UYC+B76oZ8COMTIr0lh2JPrUUYd43+DXSpAR8562nPMm5/bAUqztoPmsZjPp3NqEgufMwurqiZ&#10;DM89+blHaElUGXecjdeVC6UOxTe3NEbrJnT4WclBM+1PaPxh1/2Cnn+HqOc/0vIXAAAA//8DAFBL&#10;AwQUAAYACAAAACEAsbwOzuAAAAALAQAADwAAAGRycy9kb3ducmV2LnhtbEyPwU7DMBBE70j8g7VI&#10;3KiNA7QNcaoKteVYKFHPbmySiHhtxW4a/p7lBLfdndHsm2I1uZ6NdoidRwX3MwHMYu1Nh42C6mN7&#10;twAWk0aje49WwbeNsCqvrwqdG3/BdzseUsMoBGOuFbQphZzzWLfW6TjzwSJpn35wOtE6NNwM+kLh&#10;rudSiCfudIf0odXBvrS2/jqcnYKQwm7+Ouzf1pvtKKrjrpJds1Hq9mZaPwNLdkp/ZvjFJ3Qoienk&#10;z2gi6xVkC0ldkgKZyTkwcjxkgi4nGh6zJfCy4P87lD8AAAD//wMAUEsBAi0AFAAGAAgAAAAhALaD&#10;OJL+AAAA4QEAABMAAAAAAAAAAAAAAAAAAAAAAFtDb250ZW50X1R5cGVzXS54bWxQSwECLQAUAAYA&#10;CAAAACEAOP0h/9YAAACUAQAACwAAAAAAAAAAAAAAAAAvAQAAX3JlbHMvLnJlbHNQSwECLQAUAAYA&#10;CAAAACEAX0SU9FECAADZBAAADgAAAAAAAAAAAAAAAAAuAgAAZHJzL2Uyb0RvYy54bWxQSwECLQAU&#10;AAYACAAAACEAsbwOzuAAAAALAQAADwAAAAAAAAAAAAAAAACrBAAAZHJzL2Rvd25yZXYueG1sUEsF&#10;BgAAAAAEAAQA8wAAALgFAAAAAA==&#10;" filled="f" stroked="f">
                <v:textbox style="mso-fit-shape-to-text:t">
                  <w:txbxContent>
                    <w:p w14:paraId="33C021D1" w14:textId="74E567FB" w:rsidR="00361541" w:rsidRPr="009A36D8" w:rsidRDefault="00361541" w:rsidP="00361541">
                      <w:pPr>
                        <w:rPr>
                          <w:b/>
                        </w:rPr>
                      </w:pPr>
                      <w:r w:rsidRPr="009A36D8">
                        <w:rPr>
                          <w:b/>
                        </w:rPr>
                        <w:t xml:space="preserve">b. </w:t>
                      </w:r>
                    </w:p>
                  </w:txbxContent>
                </v:textbox>
                <w10:wrap anchorx="margin"/>
              </v:shape>
            </w:pict>
          </mc:Fallback>
        </mc:AlternateContent>
      </w:r>
      <w:r w:rsidR="0081639E" w:rsidRPr="000C2BBD">
        <w:rPr>
          <w:noProof/>
        </w:rPr>
        <mc:AlternateContent>
          <mc:Choice Requires="wps">
            <w:drawing>
              <wp:anchor distT="45720" distB="45720" distL="114300" distR="114300" simplePos="0" relativeHeight="251657728" behindDoc="0" locked="0" layoutInCell="1" allowOverlap="1" wp14:anchorId="0230FD56" wp14:editId="7B8640E0">
                <wp:simplePos x="0" y="0"/>
                <wp:positionH relativeFrom="margin">
                  <wp:posOffset>216877</wp:posOffset>
                </wp:positionH>
                <wp:positionV relativeFrom="paragraph">
                  <wp:posOffset>1478476</wp:posOffset>
                </wp:positionV>
                <wp:extent cx="304800" cy="1404620"/>
                <wp:effectExtent l="0" t="0" r="0" b="0"/>
                <wp:wrapNone/>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95CA726" w14:textId="0D064550" w:rsidR="0081639E" w:rsidRPr="009A36D8" w:rsidRDefault="00361541" w:rsidP="0081639E">
                            <w:pPr>
                              <w:rPr>
                                <w:b/>
                              </w:rPr>
                            </w:pPr>
                            <w:r w:rsidRPr="009A36D8">
                              <w:rPr>
                                <w:b/>
                              </w:rPr>
                              <w:t xml:space="preserve">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0FD56" id="_x0000_s1028" type="#_x0000_t202" style="position:absolute;left:0;text-align:left;margin-left:17.1pt;margin-top:116.4pt;width:24pt;height:110.6pt;z-index:25165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x1vTAIAANMEAAAOAAAAZHJzL2Uyb0RvYy54bWysVNuO0zAQfUfiHyy/0yQl7C5R09XSVRHS&#10;chGFD3Ac56JNPGbsNmk/jB/gxxg7bSnwtIgXy/bMHJ+ZM+PF7dh3bKfQtqBznsxizpSWULa6zvnX&#10;L+sXN5xZJ3QpOtAq53tl+e3y+bPFYDI1hwa6UiEjEG2zweS8cc5kUWRlo3phZ2CUJmMF2AtHR6yj&#10;EsVA6H0XzeP4KhoAS4MglbV0ez8Z+TLgV5WS7mNVWeVYl3Pi5sKKYS38Gi0XIqtRmKaVRxriH1j0&#10;otX06BnqXjjBttj+BdW3EsFC5WYS+giqqpUq5EDZJPEf2WwaYVTIhYpjzblM9v/Byg+7T8jaMufz&#10;5JozLXoSaXP48X2n6hIKOLC5r9FgbEauG0PObnwDI2kd8rXmAeSjZRpWjdC1ukOEoVGiJI6Jj4wu&#10;Qicc60GK4T2U9JTYOghAY4W9LyCVhBE6abU/66NGxyRdvozTm5gskkxJGqdX8yBgJLJTtEHr3iro&#10;md/kHEn/gC52D9Z5NiI7ufjHNKzbrgs90OnfLsjR3wT2nvCRutt3yvt1+rOqqGyBqb+wEuti1SGb&#10;eouan3ieOiyAUYB3rOjBJ8YeQ3y0Ci39xPhzUHgftDvH960GnHT0A6d8AjtBo1I+TuIR38n/VIqp&#10;AF5TNxbj1DinBimg3JO0CNOU0a9AmwbwwNlAE5Zz+20rUHHWvdPUHq+TNPUjGQ7pq2sSk+Glpbi0&#10;CC0JKueOs2m7cqHUofjmjtpo3QaFPbeJyZEzTU4Q/jjlfjQvz8Hr11+0/AkAAP//AwBQSwMEFAAG&#10;AAgAAAAhALtCjYzdAAAACQEAAA8AAABkcnMvZG93bnJldi54bWxMj8tOwzAQRfdI/IM1SOyojRug&#10;CplUFWrLEigRazc2SUT8kO2m4e8ZVrCcmaM751br2Y5sMjEN3iHcLgQw41qvB9chNO+7mxWwlJXT&#10;avTOIHybBOv68qJSpfZn92amQ+4YhbhUKoQ+51ByntreWJUWPhhHt08frco0xo7rqM4Ubkcuhbjn&#10;Vg2OPvQqmKfetF+Hk0UIOewfnuPL62a7m0TzsW/k0G0Rr6/mzSOwbOb8B8OvPqlDTU5Hf3I6sRFh&#10;WUgiEeRSUgUCVpIWR4TirhDA64r/b1D/AAAA//8DAFBLAQItABQABgAIAAAAIQC2gziS/gAAAOEB&#10;AAATAAAAAAAAAAAAAAAAAAAAAABbQ29udGVudF9UeXBlc10ueG1sUEsBAi0AFAAGAAgAAAAhADj9&#10;If/WAAAAlAEAAAsAAAAAAAAAAAAAAAAALwEAAF9yZWxzLy5yZWxzUEsBAi0AFAAGAAgAAAAhAAND&#10;HW9MAgAA0wQAAA4AAAAAAAAAAAAAAAAALgIAAGRycy9lMm9Eb2MueG1sUEsBAi0AFAAGAAgAAAAh&#10;ALtCjYzdAAAACQEAAA8AAAAAAAAAAAAAAAAApgQAAGRycy9kb3ducmV2LnhtbFBLBQYAAAAABAAE&#10;APMAAACwBQAAAAA=&#10;" filled="f" stroked="f">
                <v:textbox style="mso-fit-shape-to-text:t">
                  <w:txbxContent>
                    <w:p w14:paraId="795CA726" w14:textId="0D064550" w:rsidR="0081639E" w:rsidRPr="009A36D8" w:rsidRDefault="00361541" w:rsidP="0081639E">
                      <w:pPr>
                        <w:rPr>
                          <w:b/>
                        </w:rPr>
                      </w:pPr>
                      <w:r w:rsidRPr="009A36D8">
                        <w:rPr>
                          <w:b/>
                        </w:rPr>
                        <w:t xml:space="preserve">a. </w:t>
                      </w:r>
                    </w:p>
                  </w:txbxContent>
                </v:textbox>
                <w10:wrap anchorx="margin"/>
              </v:shape>
            </w:pict>
          </mc:Fallback>
        </mc:AlternateContent>
      </w:r>
      <w:r w:rsidR="00FC48E2" w:rsidRPr="000C2BBD">
        <w:rPr>
          <w:noProof/>
        </w:rPr>
        <w:drawing>
          <wp:inline distT="0" distB="0" distL="0" distR="0" wp14:anchorId="1F38474D" wp14:editId="5E782B9E">
            <wp:extent cx="2250000" cy="19084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690" r="6855"/>
                    <a:stretch/>
                  </pic:blipFill>
                  <pic:spPr bwMode="auto">
                    <a:xfrm>
                      <a:off x="0" y="0"/>
                      <a:ext cx="2250000" cy="1908422"/>
                    </a:xfrm>
                    <a:prstGeom prst="rect">
                      <a:avLst/>
                    </a:prstGeom>
                    <a:noFill/>
                    <a:ln>
                      <a:noFill/>
                    </a:ln>
                    <a:extLst>
                      <a:ext uri="{53640926-AAD7-44D8-BBD7-CCE9431645EC}">
                        <a14:shadowObscured xmlns:a14="http://schemas.microsoft.com/office/drawing/2010/main"/>
                      </a:ext>
                    </a:extLst>
                  </pic:spPr>
                </pic:pic>
              </a:graphicData>
            </a:graphic>
          </wp:inline>
        </w:drawing>
      </w:r>
      <w:r w:rsidR="00395827" w:rsidRPr="000C2BBD">
        <w:rPr>
          <w:noProof/>
        </w:rPr>
        <w:drawing>
          <wp:inline distT="0" distB="0" distL="0" distR="0" wp14:anchorId="424BCDEE" wp14:editId="2A256504">
            <wp:extent cx="2250000" cy="1918377"/>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029" r="5975"/>
                    <a:stretch/>
                  </pic:blipFill>
                  <pic:spPr bwMode="auto">
                    <a:xfrm>
                      <a:off x="0" y="0"/>
                      <a:ext cx="2250000" cy="1918377"/>
                    </a:xfrm>
                    <a:prstGeom prst="rect">
                      <a:avLst/>
                    </a:prstGeom>
                    <a:noFill/>
                    <a:ln>
                      <a:noFill/>
                    </a:ln>
                    <a:extLst>
                      <a:ext uri="{53640926-AAD7-44D8-BBD7-CCE9431645EC}">
                        <a14:shadowObscured xmlns:a14="http://schemas.microsoft.com/office/drawing/2010/main"/>
                      </a:ext>
                    </a:extLst>
                  </pic:spPr>
                </pic:pic>
              </a:graphicData>
            </a:graphic>
          </wp:inline>
        </w:drawing>
      </w:r>
    </w:p>
    <w:p w14:paraId="706D3E12" w14:textId="66D98C35" w:rsidR="00D253C7" w:rsidRPr="000C2BBD" w:rsidRDefault="00D253C7" w:rsidP="00395827">
      <w:pPr>
        <w:pStyle w:val="Caption"/>
      </w:pPr>
      <w:r w:rsidRPr="000C2BBD">
        <w:t xml:space="preserve">Figure </w:t>
      </w:r>
      <w:r w:rsidRPr="000C2BBD">
        <w:fldChar w:fldCharType="begin"/>
      </w:r>
      <w:r w:rsidRPr="000C2BBD">
        <w:instrText xml:space="preserve"> SEQ Figure \* ARABIC </w:instrText>
      </w:r>
      <w:r w:rsidRPr="000C2BBD">
        <w:fldChar w:fldCharType="separate"/>
      </w:r>
      <w:r w:rsidR="007231CB">
        <w:rPr>
          <w:noProof/>
        </w:rPr>
        <w:t>3</w:t>
      </w:r>
      <w:r w:rsidRPr="000C2BBD">
        <w:fldChar w:fldCharType="end"/>
      </w:r>
      <w:r w:rsidR="009A36D8" w:rsidRPr="000C2BBD">
        <w:t>:</w:t>
      </w:r>
      <w:r w:rsidR="00DE2932" w:rsidRPr="000C2BBD">
        <w:t xml:space="preserve"> Example results from cyclic simulation</w:t>
      </w:r>
      <w:r w:rsidR="009A36D8" w:rsidRPr="000C2BBD">
        <w:t>.</w:t>
      </w:r>
      <w:r w:rsidRPr="000C2BBD">
        <w:t xml:space="preserve"> </w:t>
      </w:r>
      <w:r w:rsidR="00361541" w:rsidRPr="000C2BBD">
        <w:rPr>
          <w:b/>
        </w:rPr>
        <w:t>a.</w:t>
      </w:r>
      <w:r w:rsidR="00361541" w:rsidRPr="000C2BBD">
        <w:t xml:space="preserve"> </w:t>
      </w:r>
      <w:r w:rsidRPr="000C2BBD">
        <w:t>Pressure profile of a single column in cyclic steady state</w:t>
      </w:r>
      <w:r w:rsidR="009A36D8" w:rsidRPr="000C2BBD">
        <w:t>.</w:t>
      </w:r>
      <w:r w:rsidR="00361541" w:rsidRPr="000C2BBD">
        <w:t xml:space="preserve"> </w:t>
      </w:r>
      <w:r w:rsidR="00361541" w:rsidRPr="000C2BBD">
        <w:rPr>
          <w:b/>
        </w:rPr>
        <w:t>b.</w:t>
      </w:r>
      <w:r w:rsidR="00361541" w:rsidRPr="000C2BBD">
        <w:t xml:space="preserve"> Adsorbed amount of methane along the bed</w:t>
      </w:r>
      <w:r w:rsidR="00A03E61" w:rsidRPr="000C2BBD">
        <w:t>.</w:t>
      </w:r>
    </w:p>
    <w:p w14:paraId="174CD9A9" w14:textId="1E6A89D1" w:rsidR="00580C7A" w:rsidRPr="000C2BBD" w:rsidRDefault="006D4356" w:rsidP="00580C7A">
      <w:pPr>
        <w:pStyle w:val="Els-2ndorder-head"/>
      </w:pPr>
      <w:r w:rsidRPr="000C2BBD">
        <w:rPr>
          <w:noProof/>
        </w:rPr>
        <w:drawing>
          <wp:anchor distT="0" distB="0" distL="114300" distR="114300" simplePos="0" relativeHeight="251661824" behindDoc="0" locked="0" layoutInCell="1" allowOverlap="1" wp14:anchorId="4205A6BF" wp14:editId="3C2EA39C">
            <wp:simplePos x="0" y="0"/>
            <wp:positionH relativeFrom="margin">
              <wp:posOffset>2023110</wp:posOffset>
            </wp:positionH>
            <wp:positionV relativeFrom="paragraph">
              <wp:posOffset>15544</wp:posOffset>
            </wp:positionV>
            <wp:extent cx="2527935" cy="1987550"/>
            <wp:effectExtent l="0" t="0" r="5715" b="0"/>
            <wp:wrapSquare wrapText="bothSides"/>
            <wp:docPr id="81370818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708187" name="Picture 9" descr="A diagram of a recovery&#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442" t="3846" r="6841"/>
                    <a:stretch/>
                  </pic:blipFill>
                  <pic:spPr bwMode="auto">
                    <a:xfrm>
                      <a:off x="0" y="0"/>
                      <a:ext cx="2527935" cy="1987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80C7A" w:rsidRPr="000C2BBD">
        <w:t>Optimization</w:t>
      </w:r>
    </w:p>
    <w:p w14:paraId="29C94616" w14:textId="097E6C03" w:rsidR="006B5A7A" w:rsidRPr="000C2BBD" w:rsidRDefault="000C2BBD" w:rsidP="00580C7A">
      <w:pPr>
        <w:pStyle w:val="Els-body-text"/>
      </w:pPr>
      <w:r w:rsidRPr="000C2BBD">
        <w:rPr>
          <w:noProof/>
        </w:rPr>
        <mc:AlternateContent>
          <mc:Choice Requires="wps">
            <w:drawing>
              <wp:anchor distT="0" distB="0" distL="114300" distR="114300" simplePos="0" relativeHeight="251653631" behindDoc="1" locked="0" layoutInCell="1" allowOverlap="1" wp14:anchorId="3851CA1D" wp14:editId="66307B73">
                <wp:simplePos x="0" y="0"/>
                <wp:positionH relativeFrom="margin">
                  <wp:align>right</wp:align>
                </wp:positionH>
                <wp:positionV relativeFrom="paragraph">
                  <wp:posOffset>1807210</wp:posOffset>
                </wp:positionV>
                <wp:extent cx="2464435" cy="635"/>
                <wp:effectExtent l="0" t="0" r="0" b="0"/>
                <wp:wrapThrough wrapText="bothSides">
                  <wp:wrapPolygon edited="0">
                    <wp:start x="0" y="0"/>
                    <wp:lineTo x="0" y="20442"/>
                    <wp:lineTo x="21372" y="20442"/>
                    <wp:lineTo x="21372" y="0"/>
                    <wp:lineTo x="0" y="0"/>
                  </wp:wrapPolygon>
                </wp:wrapThrough>
                <wp:docPr id="1296643610" name="Text Box 1"/>
                <wp:cNvGraphicFramePr/>
                <a:graphic xmlns:a="http://schemas.openxmlformats.org/drawingml/2006/main">
                  <a:graphicData uri="http://schemas.microsoft.com/office/word/2010/wordprocessingShape">
                    <wps:wsp>
                      <wps:cNvSpPr txBox="1"/>
                      <wps:spPr>
                        <a:xfrm>
                          <a:off x="0" y="0"/>
                          <a:ext cx="2464435" cy="635"/>
                        </a:xfrm>
                        <a:prstGeom prst="rect">
                          <a:avLst/>
                        </a:prstGeom>
                        <a:solidFill>
                          <a:prstClr val="white"/>
                        </a:solidFill>
                        <a:ln>
                          <a:noFill/>
                        </a:ln>
                      </wps:spPr>
                      <wps:txbx>
                        <w:txbxContent>
                          <w:p w14:paraId="02E0EBC3" w14:textId="40831F12" w:rsidR="00D30BB2" w:rsidRPr="000E469F" w:rsidRDefault="00D30BB2" w:rsidP="000C2BBD">
                            <w:pPr>
                              <w:pStyle w:val="Caption"/>
                              <w:jc w:val="center"/>
                              <w:rPr>
                                <w:noProof/>
                                <w:sz w:val="20"/>
                              </w:rPr>
                            </w:pPr>
                            <w:r>
                              <w:t>Figure 4</w:t>
                            </w:r>
                            <w:r w:rsidR="009B4A6D">
                              <w:t>:</w:t>
                            </w:r>
                            <w:r>
                              <w:t xml:space="preserve"> Optimization results of the 12-step PSA process for </w:t>
                            </w:r>
                            <w:r w:rsidR="000C2BBD">
                              <w:t>Stages 1/2/3.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851CA1D" id="_x0000_s1029" type="#_x0000_t202" style="position:absolute;left:0;text-align:left;margin-left:142.85pt;margin-top:142.3pt;width:194.05pt;height:.05pt;z-index:-2516628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Wa2NAIAAG0EAAAOAAAAZHJzL2Uyb0RvYy54bWysVE2P2yAQvVfqf0DcG+erVteKs0qzSlUp&#10;2l0pqfZMMI6RgKFAYqe/vgOOs+22p6oXPMwMD968GS/uO63IWTgvwZR0MhpTIgyHSppjSb/tNx8+&#10;UeIDMxVTYERJL8LT++X7d4vWFmIKDahKOIIgxhetLWkTgi2yzPNGaOZHYIXBYA1Os4Bbd8wqx1pE&#10;1yqbjsd51oKrrAMuvEfvQx+ky4Rf14KHp7r2IhBVUnxbSKtL6yGu2XLBiqNjtpH8+gz2D6/QTBq8&#10;9Ab1wAIjJyf/gNKSO/BQhxEHnUFdSy4SB2QzGb9hs2uYFYkLFsfbW5n8/4Plj+dnR2SF2k3v8nw+&#10;yydYJsM0arUXXSCfoSOTWKbW+gKzdxbzQ4duPDL4PToj+652On6RF8E4Il1uRY5gHJ3TeT6fzz5S&#10;wjGWo4HY2etR63z4IkCTaJTUoYKpsOy89aFPHVLiTR6UrDZSqbiJgbVy5MxQ7baRQVzBf8tSJuYa&#10;iKd6wOjJIr+eR7RCd+hSWWYDxwNUF6TuoO8hb/lG4n1b5sMzc9g0yBYHITzhUitoSwpXi5IG3I+/&#10;+WM+aolRSlpswpL67yfmBCXqq0GVY8cOhhuMw2CYk14DMp3giFmeTDzgghrM2oF+wflYxVswxAzH&#10;u0oaBnMd+lHA+eJitUpJ2JeWha3ZWR6hh7ruuxfm7FWVgGI+wtCerHgjTp+b5LGrU8BKJ+ViXfsq&#10;XsuNPZ20v85fHJpf9ynr9S+x/AkAAP//AwBQSwMEFAAGAAgAAAAhAFVecAbfAAAACAEAAA8AAABk&#10;cnMvZG93bnJldi54bWxMj8FOwzAQRO9I/IO1SFwQddpGIUrjVFUFB7hUDb305sbbOBCvI9tpw99j&#10;uMBxdlYzb8r1ZHp2Qec7SwLmswQYUmNVR62Aw/vLYw7MB0lK9pZQwBd6WFe3N6UslL3SHi91aFkM&#10;IV9IATqEoeDcNxqN9DM7IEXvbJ2RIUrXcuXkNYabni+SJONGdhQbtBxwq7H5rEcjYJced/phPD+/&#10;bdKlez2M2+yjrYW4v5s2K2ABp/D3DD/4ER2qyHSyIynPegFxSBCwyNMMWLSXeT4Hdvq9PAGvSv5/&#10;QPUNAAD//wMAUEsBAi0AFAAGAAgAAAAhALaDOJL+AAAA4QEAABMAAAAAAAAAAAAAAAAAAAAAAFtD&#10;b250ZW50X1R5cGVzXS54bWxQSwECLQAUAAYACAAAACEAOP0h/9YAAACUAQAACwAAAAAAAAAAAAAA&#10;AAAvAQAAX3JlbHMvLnJlbHNQSwECLQAUAAYACAAAACEAXB1mtjQCAABtBAAADgAAAAAAAAAAAAAA&#10;AAAuAgAAZHJzL2Uyb0RvYy54bWxQSwECLQAUAAYACAAAACEAVV5wBt8AAAAIAQAADwAAAAAAAAAA&#10;AAAAAACOBAAAZHJzL2Rvd25yZXYueG1sUEsFBgAAAAAEAAQA8wAAAJoFAAAAAA==&#10;" stroked="f">
                <v:textbox style="mso-fit-shape-to-text:t" inset="0,0,0,0">
                  <w:txbxContent>
                    <w:p w14:paraId="02E0EBC3" w14:textId="40831F12" w:rsidR="00D30BB2" w:rsidRPr="000E469F" w:rsidRDefault="00D30BB2" w:rsidP="000C2BBD">
                      <w:pPr>
                        <w:pStyle w:val="Caption"/>
                        <w:jc w:val="center"/>
                        <w:rPr>
                          <w:noProof/>
                          <w:sz w:val="20"/>
                        </w:rPr>
                      </w:pPr>
                      <w:r>
                        <w:t>Figure 4</w:t>
                      </w:r>
                      <w:r w:rsidR="009B4A6D">
                        <w:t>:</w:t>
                      </w:r>
                      <w:r>
                        <w:t xml:space="preserve"> Optimization results of the 12-step PSA process for </w:t>
                      </w:r>
                      <w:r w:rsidR="000C2BBD">
                        <w:t>Stages 1/2/3.</w:t>
                      </w:r>
                    </w:p>
                  </w:txbxContent>
                </v:textbox>
                <w10:wrap type="through" anchorx="margin"/>
              </v:shape>
            </w:pict>
          </mc:Fallback>
        </mc:AlternateContent>
      </w:r>
      <w:r w:rsidR="00580C7A" w:rsidRPr="000C2BBD">
        <w:t xml:space="preserve">For all stages, the step times were adjusted </w:t>
      </w:r>
      <w:r w:rsidR="00403EA0" w:rsidRPr="000C2BBD">
        <w:t xml:space="preserve">from the </w:t>
      </w:r>
      <w:r w:rsidR="00162CEC" w:rsidRPr="000C2BBD">
        <w:t xml:space="preserve">experimental </w:t>
      </w:r>
      <w:r w:rsidR="00403EA0" w:rsidRPr="000C2BBD">
        <w:t xml:space="preserve">baseline </w:t>
      </w:r>
      <w:r w:rsidR="00580C7A" w:rsidRPr="000C2BBD">
        <w:t xml:space="preserve">to </w:t>
      </w:r>
      <w:r w:rsidR="00162CEC" w:rsidRPr="000C2BBD">
        <w:t xml:space="preserve">find </w:t>
      </w:r>
      <w:r w:rsidR="00403EA0" w:rsidRPr="000C2BBD">
        <w:t xml:space="preserve">the </w:t>
      </w:r>
      <w:r w:rsidR="00455D49">
        <w:t>P</w:t>
      </w:r>
      <w:r w:rsidR="00403EA0" w:rsidRPr="000C2BBD">
        <w:t>areto front for each stage where</w:t>
      </w:r>
      <w:r w:rsidR="00580C7A" w:rsidRPr="000C2BBD">
        <w:t xml:space="preserve"> purity </w:t>
      </w:r>
      <w:r w:rsidR="00403EA0" w:rsidRPr="000C2BBD">
        <w:t xml:space="preserve">is the highest possible </w:t>
      </w:r>
      <w:r w:rsidR="00580C7A" w:rsidRPr="000C2BBD">
        <w:t xml:space="preserve">while maintaining at least 80 % hydrogen recovery. </w:t>
      </w:r>
      <w:r w:rsidR="00403EA0" w:rsidRPr="000C2BBD">
        <w:t xml:space="preserve">Results are collected in Table </w:t>
      </w:r>
      <w:r w:rsidR="007821B9" w:rsidRPr="000C2BBD">
        <w:t>4</w:t>
      </w:r>
      <w:r w:rsidR="007C0E7E" w:rsidRPr="000C2BBD">
        <w:t>.</w:t>
      </w:r>
      <w:r w:rsidR="00403EA0" w:rsidRPr="000C2BBD">
        <w:t xml:space="preserve"> and the </w:t>
      </w:r>
      <w:r w:rsidR="00455D49">
        <w:t>P</w:t>
      </w:r>
      <w:r w:rsidR="00403EA0" w:rsidRPr="000C2BBD">
        <w:t xml:space="preserve">areto front is shown in Fig. </w:t>
      </w:r>
      <w:r w:rsidR="00A65856" w:rsidRPr="000C2BBD">
        <w:t>4</w:t>
      </w:r>
      <w:r w:rsidR="00403EA0" w:rsidRPr="000C2BBD">
        <w:t xml:space="preserve">. </w:t>
      </w:r>
      <w:r w:rsidR="00A65856" w:rsidRPr="000C2BBD">
        <w:t>The trade-off between purity and recovery is</w:t>
      </w:r>
      <w:r w:rsidR="0044236C" w:rsidRPr="000C2BBD">
        <w:t xml:space="preserve"> more challenging in scenarios where </w:t>
      </w:r>
      <w:r w:rsidR="00455D49">
        <w:t xml:space="preserve">the </w:t>
      </w:r>
      <w:r w:rsidR="0044236C" w:rsidRPr="000C2BBD">
        <w:t>feed concentration of the contaminant is high</w:t>
      </w:r>
      <w:r w:rsidR="00455D49">
        <w:t>. However,</w:t>
      </w:r>
      <w:r w:rsidR="0044236C" w:rsidRPr="000C2BBD">
        <w:t xml:space="preserve"> the results show that </w:t>
      </w:r>
      <w:r w:rsidR="00455D49">
        <w:t>the performance can be optimized with careful selection of step times,</w:t>
      </w:r>
      <w:r w:rsidR="0044236C" w:rsidRPr="000C2BBD">
        <w:t xml:space="preserve"> and the target values can still be achieved. Unfortunately, s</w:t>
      </w:r>
      <w:r w:rsidR="00A65856" w:rsidRPr="000C2BBD">
        <w:t xml:space="preserve">tage 4 results </w:t>
      </w:r>
      <w:r w:rsidR="0044236C" w:rsidRPr="000C2BBD">
        <w:t xml:space="preserve">(where feed methane concentration is highest) </w:t>
      </w:r>
      <w:r w:rsidR="00A65856" w:rsidRPr="000C2BBD">
        <w:t xml:space="preserve">were not recoverable due to </w:t>
      </w:r>
      <w:r w:rsidR="0044236C" w:rsidRPr="000C2BBD">
        <w:t>technical issues during the simulation</w:t>
      </w:r>
      <w:r w:rsidR="006D4356">
        <w:t>.</w:t>
      </w:r>
    </w:p>
    <w:p w14:paraId="67A4A79E" w14:textId="77777777" w:rsidR="00D25342" w:rsidRDefault="00D25342" w:rsidP="007821B9">
      <w:pPr>
        <w:pStyle w:val="Els-body-text"/>
        <w:jc w:val="center"/>
      </w:pPr>
    </w:p>
    <w:p w14:paraId="78E8E79A" w14:textId="3A479825" w:rsidR="009A4008" w:rsidRPr="000C2BBD" w:rsidRDefault="007821B9" w:rsidP="007821B9">
      <w:pPr>
        <w:pStyle w:val="Els-body-text"/>
        <w:jc w:val="center"/>
      </w:pPr>
      <w:r w:rsidRPr="000C2BBD">
        <w:lastRenderedPageBreak/>
        <w:t>Table 4</w:t>
      </w:r>
      <w:r w:rsidR="009B4A6D" w:rsidRPr="000C2BBD">
        <w:t>:</w:t>
      </w:r>
      <w:r w:rsidRPr="000C2BBD">
        <w:t xml:space="preserve"> PSA process optimization results</w:t>
      </w:r>
    </w:p>
    <w:tbl>
      <w:tblPr>
        <w:tblStyle w:val="PlainTable2"/>
        <w:tblW w:w="5000" w:type="pct"/>
        <w:tblLayout w:type="fixed"/>
        <w:tblLook w:val="04A0" w:firstRow="1" w:lastRow="0" w:firstColumn="1" w:lastColumn="0" w:noHBand="0" w:noVBand="1"/>
      </w:tblPr>
      <w:tblGrid>
        <w:gridCol w:w="850"/>
        <w:gridCol w:w="780"/>
        <w:gridCol w:w="779"/>
        <w:gridCol w:w="779"/>
        <w:gridCol w:w="784"/>
        <w:gridCol w:w="779"/>
        <w:gridCol w:w="779"/>
        <w:gridCol w:w="779"/>
        <w:gridCol w:w="777"/>
      </w:tblGrid>
      <w:tr w:rsidR="002A5B11" w:rsidRPr="000C2BBD" w14:paraId="26D8A5C1" w14:textId="52A9F948" w:rsidTr="00162C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9" w:type="pct"/>
          </w:tcPr>
          <w:p w14:paraId="254CEA58" w14:textId="77777777" w:rsidR="002A5B11" w:rsidRPr="000C2BBD" w:rsidRDefault="002A5B11" w:rsidP="00C823C8">
            <w:pPr>
              <w:pStyle w:val="Els-body-text"/>
              <w:jc w:val="center"/>
            </w:pPr>
          </w:p>
        </w:tc>
        <w:tc>
          <w:tcPr>
            <w:tcW w:w="2203" w:type="pct"/>
            <w:gridSpan w:val="4"/>
          </w:tcPr>
          <w:p w14:paraId="3079A362" w14:textId="11D3217A" w:rsidR="002A5B11" w:rsidRPr="000C2BBD" w:rsidRDefault="002A5B11" w:rsidP="00C823C8">
            <w:pPr>
              <w:pStyle w:val="Els-body-text"/>
              <w:jc w:val="center"/>
              <w:cnfStyle w:val="100000000000" w:firstRow="1" w:lastRow="0" w:firstColumn="0" w:lastColumn="0" w:oddVBand="0" w:evenVBand="0" w:oddHBand="0" w:evenHBand="0" w:firstRowFirstColumn="0" w:firstRowLastColumn="0" w:lastRowFirstColumn="0" w:lastRowLastColumn="0"/>
            </w:pPr>
            <w:r w:rsidRPr="000C2BBD">
              <w:t>Experimental</w:t>
            </w:r>
          </w:p>
        </w:tc>
        <w:tc>
          <w:tcPr>
            <w:tcW w:w="2199" w:type="pct"/>
            <w:gridSpan w:val="4"/>
          </w:tcPr>
          <w:p w14:paraId="5DCD1B8B" w14:textId="32C54423" w:rsidR="002A5B11" w:rsidRPr="000C2BBD" w:rsidRDefault="002A5B11" w:rsidP="00C823C8">
            <w:pPr>
              <w:pStyle w:val="Els-body-text"/>
              <w:jc w:val="center"/>
              <w:cnfStyle w:val="100000000000" w:firstRow="1" w:lastRow="0" w:firstColumn="0" w:lastColumn="0" w:oddVBand="0" w:evenVBand="0" w:oddHBand="0" w:evenHBand="0" w:firstRowFirstColumn="0" w:firstRowLastColumn="0" w:lastRowFirstColumn="0" w:lastRowLastColumn="0"/>
            </w:pPr>
            <w:r w:rsidRPr="000C2BBD">
              <w:t>Optimization</w:t>
            </w:r>
          </w:p>
        </w:tc>
      </w:tr>
      <w:tr w:rsidR="00162CEC" w:rsidRPr="000C2BBD" w14:paraId="4A2F4A21" w14:textId="20A67BEA" w:rsidTr="00162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9" w:type="pct"/>
          </w:tcPr>
          <w:p w14:paraId="605BA232" w14:textId="77777777" w:rsidR="002A5B11" w:rsidRPr="000C2BBD" w:rsidRDefault="002A5B11" w:rsidP="002A5B11">
            <w:pPr>
              <w:pStyle w:val="Els-body-text"/>
              <w:jc w:val="center"/>
            </w:pPr>
          </w:p>
        </w:tc>
        <w:tc>
          <w:tcPr>
            <w:tcW w:w="550" w:type="pct"/>
            <w:vAlign w:val="center"/>
          </w:tcPr>
          <w:p w14:paraId="366A4423" w14:textId="266E084A" w:rsidR="002A5B11" w:rsidRPr="000C2BBD" w:rsidRDefault="002A5B11" w:rsidP="00162CEC">
            <w:pPr>
              <w:pStyle w:val="Els-body-text"/>
              <w:jc w:val="center"/>
              <w:cnfStyle w:val="000000100000" w:firstRow="0" w:lastRow="0" w:firstColumn="0" w:lastColumn="0" w:oddVBand="0" w:evenVBand="0" w:oddHBand="1" w:evenHBand="0" w:firstRowFirstColumn="0" w:firstRowLastColumn="0" w:lastRowFirstColumn="0" w:lastRowLastColumn="0"/>
            </w:pPr>
            <w:r w:rsidRPr="000C2BBD">
              <w:t>Cycle Time</w:t>
            </w:r>
          </w:p>
        </w:tc>
        <w:tc>
          <w:tcPr>
            <w:tcW w:w="550" w:type="pct"/>
            <w:vAlign w:val="center"/>
          </w:tcPr>
          <w:p w14:paraId="25C4C2BD" w14:textId="04A9A851" w:rsidR="002A5B11" w:rsidRPr="000C2BBD" w:rsidRDefault="002A5B11" w:rsidP="00162CEC">
            <w:pPr>
              <w:pStyle w:val="Els-body-text"/>
              <w:jc w:val="center"/>
              <w:cnfStyle w:val="000000100000" w:firstRow="0" w:lastRow="0" w:firstColumn="0" w:lastColumn="0" w:oddVBand="0" w:evenVBand="0" w:oddHBand="1" w:evenHBand="0" w:firstRowFirstColumn="0" w:firstRowLastColumn="0" w:lastRowFirstColumn="0" w:lastRowLastColumn="0"/>
            </w:pPr>
            <w:r w:rsidRPr="000C2BBD">
              <w:t>P/F</w:t>
            </w:r>
          </w:p>
        </w:tc>
        <w:tc>
          <w:tcPr>
            <w:tcW w:w="550" w:type="pct"/>
            <w:vAlign w:val="center"/>
          </w:tcPr>
          <w:p w14:paraId="086FA634" w14:textId="460D85FF" w:rsidR="002A5B11" w:rsidRPr="000C2BBD" w:rsidRDefault="002A5B11" w:rsidP="00162CEC">
            <w:pPr>
              <w:pStyle w:val="Els-body-text"/>
              <w:jc w:val="center"/>
              <w:cnfStyle w:val="000000100000" w:firstRow="0" w:lastRow="0" w:firstColumn="0" w:lastColumn="0" w:oddVBand="0" w:evenVBand="0" w:oddHBand="1" w:evenHBand="0" w:firstRowFirstColumn="0" w:firstRowLastColumn="0" w:lastRowFirstColumn="0" w:lastRowLastColumn="0"/>
            </w:pPr>
            <w:r w:rsidRPr="000C2BBD">
              <w:t>Purity</w:t>
            </w:r>
          </w:p>
        </w:tc>
        <w:tc>
          <w:tcPr>
            <w:tcW w:w="550" w:type="pct"/>
            <w:vAlign w:val="center"/>
          </w:tcPr>
          <w:p w14:paraId="3E47CEB1" w14:textId="280CBC86" w:rsidR="002A5B11" w:rsidRPr="000C2BBD" w:rsidRDefault="002A5B11" w:rsidP="00162CEC">
            <w:pPr>
              <w:pStyle w:val="Els-body-text"/>
              <w:jc w:val="center"/>
              <w:cnfStyle w:val="000000100000" w:firstRow="0" w:lastRow="0" w:firstColumn="0" w:lastColumn="0" w:oddVBand="0" w:evenVBand="0" w:oddHBand="1" w:evenHBand="0" w:firstRowFirstColumn="0" w:firstRowLastColumn="0" w:lastRowFirstColumn="0" w:lastRowLastColumn="0"/>
            </w:pPr>
            <w:r w:rsidRPr="000C2BBD">
              <w:t>Recovery</w:t>
            </w:r>
          </w:p>
        </w:tc>
        <w:tc>
          <w:tcPr>
            <w:tcW w:w="550" w:type="pct"/>
            <w:vAlign w:val="center"/>
          </w:tcPr>
          <w:p w14:paraId="63D11FCF" w14:textId="68C85C55" w:rsidR="002A5B11" w:rsidRPr="000C2BBD" w:rsidRDefault="002A5B11" w:rsidP="00162CEC">
            <w:pPr>
              <w:pStyle w:val="Els-body-text"/>
              <w:jc w:val="center"/>
              <w:cnfStyle w:val="000000100000" w:firstRow="0" w:lastRow="0" w:firstColumn="0" w:lastColumn="0" w:oddVBand="0" w:evenVBand="0" w:oddHBand="1" w:evenHBand="0" w:firstRowFirstColumn="0" w:firstRowLastColumn="0" w:lastRowFirstColumn="0" w:lastRowLastColumn="0"/>
              <w:rPr>
                <w:iCs/>
              </w:rPr>
            </w:pPr>
            <w:r w:rsidRPr="000C2BBD">
              <w:t>Cycle Time</w:t>
            </w:r>
          </w:p>
        </w:tc>
        <w:tc>
          <w:tcPr>
            <w:tcW w:w="550" w:type="pct"/>
            <w:vAlign w:val="center"/>
          </w:tcPr>
          <w:p w14:paraId="68BE3B49" w14:textId="698B2628" w:rsidR="002A5B11" w:rsidRPr="000C2BBD" w:rsidRDefault="002A5B11" w:rsidP="00162CEC">
            <w:pPr>
              <w:pStyle w:val="Els-body-text"/>
              <w:jc w:val="center"/>
              <w:cnfStyle w:val="000000100000" w:firstRow="0" w:lastRow="0" w:firstColumn="0" w:lastColumn="0" w:oddVBand="0" w:evenVBand="0" w:oddHBand="1" w:evenHBand="0" w:firstRowFirstColumn="0" w:firstRowLastColumn="0" w:lastRowFirstColumn="0" w:lastRowLastColumn="0"/>
              <w:rPr>
                <w:iCs/>
              </w:rPr>
            </w:pPr>
            <w:r w:rsidRPr="000C2BBD">
              <w:t>P/F</w:t>
            </w:r>
          </w:p>
        </w:tc>
        <w:tc>
          <w:tcPr>
            <w:tcW w:w="550" w:type="pct"/>
            <w:vAlign w:val="center"/>
          </w:tcPr>
          <w:p w14:paraId="64F55FB8" w14:textId="374E6B86" w:rsidR="002A5B11" w:rsidRPr="000C2BBD" w:rsidRDefault="002A5B11" w:rsidP="00162CEC">
            <w:pPr>
              <w:pStyle w:val="Els-body-text"/>
              <w:jc w:val="center"/>
              <w:cnfStyle w:val="000000100000" w:firstRow="0" w:lastRow="0" w:firstColumn="0" w:lastColumn="0" w:oddVBand="0" w:evenVBand="0" w:oddHBand="1" w:evenHBand="0" w:firstRowFirstColumn="0" w:firstRowLastColumn="0" w:lastRowFirstColumn="0" w:lastRowLastColumn="0"/>
              <w:rPr>
                <w:iCs/>
              </w:rPr>
            </w:pPr>
            <w:r w:rsidRPr="000C2BBD">
              <w:rPr>
                <w:iCs/>
              </w:rPr>
              <w:t>Purity</w:t>
            </w:r>
          </w:p>
        </w:tc>
        <w:tc>
          <w:tcPr>
            <w:tcW w:w="552" w:type="pct"/>
            <w:vAlign w:val="center"/>
          </w:tcPr>
          <w:p w14:paraId="2DEC805F" w14:textId="20FACE2F" w:rsidR="002A5B11" w:rsidRPr="000C2BBD" w:rsidRDefault="002A5B11" w:rsidP="00162CEC">
            <w:pPr>
              <w:pStyle w:val="Els-body-text"/>
              <w:jc w:val="center"/>
              <w:cnfStyle w:val="000000100000" w:firstRow="0" w:lastRow="0" w:firstColumn="0" w:lastColumn="0" w:oddVBand="0" w:evenVBand="0" w:oddHBand="1" w:evenHBand="0" w:firstRowFirstColumn="0" w:firstRowLastColumn="0" w:lastRowFirstColumn="0" w:lastRowLastColumn="0"/>
              <w:rPr>
                <w:iCs/>
              </w:rPr>
            </w:pPr>
            <w:r w:rsidRPr="000C2BBD">
              <w:rPr>
                <w:iCs/>
              </w:rPr>
              <w:t>Recovery</w:t>
            </w:r>
          </w:p>
        </w:tc>
      </w:tr>
      <w:tr w:rsidR="00162CEC" w:rsidRPr="000C2BBD" w14:paraId="4CA8C7D0" w14:textId="65059779" w:rsidTr="00162CEC">
        <w:tc>
          <w:tcPr>
            <w:cnfStyle w:val="001000000000" w:firstRow="0" w:lastRow="0" w:firstColumn="1" w:lastColumn="0" w:oddVBand="0" w:evenVBand="0" w:oddHBand="0" w:evenHBand="0" w:firstRowFirstColumn="0" w:firstRowLastColumn="0" w:lastRowFirstColumn="0" w:lastRowLastColumn="0"/>
            <w:tcW w:w="599" w:type="pct"/>
          </w:tcPr>
          <w:p w14:paraId="133BA237" w14:textId="4FDCC78D" w:rsidR="002A5B11" w:rsidRPr="000C2BBD" w:rsidRDefault="002A5B11" w:rsidP="002A5B11">
            <w:pPr>
              <w:pStyle w:val="Els-body-text"/>
              <w:jc w:val="right"/>
            </w:pPr>
            <w:r w:rsidRPr="000C2BBD">
              <w:t>Stage 1</w:t>
            </w:r>
          </w:p>
        </w:tc>
        <w:tc>
          <w:tcPr>
            <w:tcW w:w="550" w:type="pct"/>
            <w:vAlign w:val="center"/>
          </w:tcPr>
          <w:p w14:paraId="71CAE3BB" w14:textId="3220B78E" w:rsidR="002A5B11" w:rsidRPr="000C2BBD" w:rsidRDefault="002A5B11" w:rsidP="00162CEC">
            <w:pPr>
              <w:pStyle w:val="Els-body-text"/>
              <w:jc w:val="center"/>
              <w:cnfStyle w:val="000000000000" w:firstRow="0" w:lastRow="0" w:firstColumn="0" w:lastColumn="0" w:oddVBand="0" w:evenVBand="0" w:oddHBand="0" w:evenHBand="0" w:firstRowFirstColumn="0" w:firstRowLastColumn="0" w:lastRowFirstColumn="0" w:lastRowLastColumn="0"/>
            </w:pPr>
            <w:r w:rsidRPr="000C2BBD">
              <w:t>2320</w:t>
            </w:r>
          </w:p>
        </w:tc>
        <w:tc>
          <w:tcPr>
            <w:tcW w:w="550" w:type="pct"/>
            <w:vAlign w:val="center"/>
          </w:tcPr>
          <w:p w14:paraId="0F8F6F47" w14:textId="22F25B1A" w:rsidR="002A5B11" w:rsidRPr="000C2BBD" w:rsidRDefault="002A5B11" w:rsidP="00162CEC">
            <w:pPr>
              <w:pStyle w:val="Els-body-text"/>
              <w:jc w:val="center"/>
              <w:cnfStyle w:val="000000000000" w:firstRow="0" w:lastRow="0" w:firstColumn="0" w:lastColumn="0" w:oddVBand="0" w:evenVBand="0" w:oddHBand="0" w:evenHBand="0" w:firstRowFirstColumn="0" w:firstRowLastColumn="0" w:lastRowFirstColumn="0" w:lastRowLastColumn="0"/>
            </w:pPr>
            <w:r w:rsidRPr="000C2BBD">
              <w:t>0.12</w:t>
            </w:r>
          </w:p>
        </w:tc>
        <w:tc>
          <w:tcPr>
            <w:tcW w:w="550" w:type="pct"/>
            <w:vAlign w:val="center"/>
          </w:tcPr>
          <w:p w14:paraId="0CACB177" w14:textId="462F52DA" w:rsidR="002A5B11" w:rsidRPr="000C2BBD" w:rsidRDefault="0090526B" w:rsidP="00162CEC">
            <w:pPr>
              <w:pStyle w:val="Els-body-text"/>
              <w:jc w:val="center"/>
              <w:cnfStyle w:val="000000000000" w:firstRow="0" w:lastRow="0" w:firstColumn="0" w:lastColumn="0" w:oddVBand="0" w:evenVBand="0" w:oddHBand="0" w:evenHBand="0" w:firstRowFirstColumn="0" w:firstRowLastColumn="0" w:lastRowFirstColumn="0" w:lastRowLastColumn="0"/>
            </w:pPr>
            <w:r w:rsidRPr="000C2BBD">
              <w:t>99.5 +</w:t>
            </w:r>
          </w:p>
        </w:tc>
        <w:tc>
          <w:tcPr>
            <w:tcW w:w="550" w:type="pct"/>
            <w:vAlign w:val="center"/>
          </w:tcPr>
          <w:p w14:paraId="5820DE52" w14:textId="221A03F6" w:rsidR="002A5B11" w:rsidRPr="000C2BBD" w:rsidRDefault="0090526B" w:rsidP="00162CEC">
            <w:pPr>
              <w:pStyle w:val="Els-body-text"/>
              <w:jc w:val="center"/>
              <w:cnfStyle w:val="000000000000" w:firstRow="0" w:lastRow="0" w:firstColumn="0" w:lastColumn="0" w:oddVBand="0" w:evenVBand="0" w:oddHBand="0" w:evenHBand="0" w:firstRowFirstColumn="0" w:firstRowLastColumn="0" w:lastRowFirstColumn="0" w:lastRowLastColumn="0"/>
            </w:pPr>
            <w:r w:rsidRPr="000C2BBD">
              <w:t>80.9</w:t>
            </w:r>
          </w:p>
        </w:tc>
        <w:tc>
          <w:tcPr>
            <w:tcW w:w="550" w:type="pct"/>
            <w:vAlign w:val="center"/>
          </w:tcPr>
          <w:p w14:paraId="7FFDE38D" w14:textId="1A43C159" w:rsidR="002A5B11" w:rsidRPr="000C2BBD" w:rsidRDefault="002A5B11" w:rsidP="00162CEC">
            <w:pPr>
              <w:pStyle w:val="Els-body-text"/>
              <w:jc w:val="center"/>
              <w:cnfStyle w:val="000000000000" w:firstRow="0" w:lastRow="0" w:firstColumn="0" w:lastColumn="0" w:oddVBand="0" w:evenVBand="0" w:oddHBand="0" w:evenHBand="0" w:firstRowFirstColumn="0" w:firstRowLastColumn="0" w:lastRowFirstColumn="0" w:lastRowLastColumn="0"/>
            </w:pPr>
            <w:r w:rsidRPr="000C2BBD">
              <w:t>2254</w:t>
            </w:r>
          </w:p>
        </w:tc>
        <w:tc>
          <w:tcPr>
            <w:tcW w:w="550" w:type="pct"/>
            <w:vAlign w:val="center"/>
          </w:tcPr>
          <w:p w14:paraId="4A0F8A6A" w14:textId="345D2DA1" w:rsidR="002A5B11" w:rsidRPr="000C2BBD" w:rsidRDefault="002A5B11" w:rsidP="00162CEC">
            <w:pPr>
              <w:pStyle w:val="Els-body-text"/>
              <w:jc w:val="center"/>
              <w:cnfStyle w:val="000000000000" w:firstRow="0" w:lastRow="0" w:firstColumn="0" w:lastColumn="0" w:oddVBand="0" w:evenVBand="0" w:oddHBand="0" w:evenHBand="0" w:firstRowFirstColumn="0" w:firstRowLastColumn="0" w:lastRowFirstColumn="0" w:lastRowLastColumn="0"/>
            </w:pPr>
            <w:r w:rsidRPr="000C2BBD">
              <w:t>0.15</w:t>
            </w:r>
          </w:p>
        </w:tc>
        <w:tc>
          <w:tcPr>
            <w:tcW w:w="550" w:type="pct"/>
            <w:vAlign w:val="center"/>
          </w:tcPr>
          <w:p w14:paraId="513DD774" w14:textId="374D8850" w:rsidR="002A5B11" w:rsidRPr="000C2BBD" w:rsidRDefault="0090526B" w:rsidP="00162CEC">
            <w:pPr>
              <w:pStyle w:val="Els-body-text"/>
              <w:jc w:val="center"/>
              <w:cnfStyle w:val="000000000000" w:firstRow="0" w:lastRow="0" w:firstColumn="0" w:lastColumn="0" w:oddVBand="0" w:evenVBand="0" w:oddHBand="0" w:evenHBand="0" w:firstRowFirstColumn="0" w:firstRowLastColumn="0" w:lastRowFirstColumn="0" w:lastRowLastColumn="0"/>
            </w:pPr>
            <w:r w:rsidRPr="000C2BBD">
              <w:t>99.99</w:t>
            </w:r>
          </w:p>
        </w:tc>
        <w:tc>
          <w:tcPr>
            <w:tcW w:w="552" w:type="pct"/>
            <w:vAlign w:val="center"/>
          </w:tcPr>
          <w:p w14:paraId="2290EA6E" w14:textId="3185577B" w:rsidR="002A5B11" w:rsidRPr="000C2BBD" w:rsidRDefault="0090526B" w:rsidP="00162CEC">
            <w:pPr>
              <w:pStyle w:val="Els-body-text"/>
              <w:jc w:val="center"/>
              <w:cnfStyle w:val="000000000000" w:firstRow="0" w:lastRow="0" w:firstColumn="0" w:lastColumn="0" w:oddVBand="0" w:evenVBand="0" w:oddHBand="0" w:evenHBand="0" w:firstRowFirstColumn="0" w:firstRowLastColumn="0" w:lastRowFirstColumn="0" w:lastRowLastColumn="0"/>
            </w:pPr>
            <w:r w:rsidRPr="000C2BBD">
              <w:t>80.37</w:t>
            </w:r>
          </w:p>
        </w:tc>
      </w:tr>
      <w:tr w:rsidR="00162CEC" w:rsidRPr="000C2BBD" w14:paraId="4810E96B" w14:textId="2C7E3FE6" w:rsidTr="00162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9" w:type="pct"/>
          </w:tcPr>
          <w:p w14:paraId="020648B0" w14:textId="0BE91DCE" w:rsidR="002A5B11" w:rsidRPr="000C2BBD" w:rsidRDefault="002A5B11" w:rsidP="002A5B11">
            <w:pPr>
              <w:pStyle w:val="Els-body-text"/>
              <w:jc w:val="right"/>
            </w:pPr>
            <w:r w:rsidRPr="000C2BBD">
              <w:t>Stage 2</w:t>
            </w:r>
          </w:p>
        </w:tc>
        <w:tc>
          <w:tcPr>
            <w:tcW w:w="550" w:type="pct"/>
            <w:vAlign w:val="center"/>
          </w:tcPr>
          <w:p w14:paraId="461F3E69" w14:textId="24CCCAC3" w:rsidR="002A5B11" w:rsidRPr="000C2BBD" w:rsidRDefault="002A5B11" w:rsidP="00162CEC">
            <w:pPr>
              <w:pStyle w:val="Els-body-text"/>
              <w:jc w:val="center"/>
              <w:cnfStyle w:val="000000100000" w:firstRow="0" w:lastRow="0" w:firstColumn="0" w:lastColumn="0" w:oddVBand="0" w:evenVBand="0" w:oddHBand="1" w:evenHBand="0" w:firstRowFirstColumn="0" w:firstRowLastColumn="0" w:lastRowFirstColumn="0" w:lastRowLastColumn="0"/>
            </w:pPr>
            <w:r w:rsidRPr="000C2BBD">
              <w:t>1496</w:t>
            </w:r>
          </w:p>
        </w:tc>
        <w:tc>
          <w:tcPr>
            <w:tcW w:w="550" w:type="pct"/>
            <w:vAlign w:val="center"/>
          </w:tcPr>
          <w:p w14:paraId="37AA1E03" w14:textId="268B36B3" w:rsidR="002A5B11" w:rsidRPr="000C2BBD" w:rsidRDefault="002A5B11" w:rsidP="00162CEC">
            <w:pPr>
              <w:pStyle w:val="Els-body-text"/>
              <w:jc w:val="center"/>
              <w:cnfStyle w:val="000000100000" w:firstRow="0" w:lastRow="0" w:firstColumn="0" w:lastColumn="0" w:oddVBand="0" w:evenVBand="0" w:oddHBand="1" w:evenHBand="0" w:firstRowFirstColumn="0" w:firstRowLastColumn="0" w:lastRowFirstColumn="0" w:lastRowLastColumn="0"/>
            </w:pPr>
            <w:r w:rsidRPr="000C2BBD">
              <w:t>0.38</w:t>
            </w:r>
          </w:p>
        </w:tc>
        <w:tc>
          <w:tcPr>
            <w:tcW w:w="550" w:type="pct"/>
            <w:vAlign w:val="center"/>
          </w:tcPr>
          <w:p w14:paraId="144E17BC" w14:textId="730A14D4" w:rsidR="002A5B11" w:rsidRPr="000C2BBD" w:rsidRDefault="0090526B" w:rsidP="00162CEC">
            <w:pPr>
              <w:pStyle w:val="Els-body-text"/>
              <w:jc w:val="center"/>
              <w:cnfStyle w:val="000000100000" w:firstRow="0" w:lastRow="0" w:firstColumn="0" w:lastColumn="0" w:oddVBand="0" w:evenVBand="0" w:oddHBand="1" w:evenHBand="0" w:firstRowFirstColumn="0" w:firstRowLastColumn="0" w:lastRowFirstColumn="0" w:lastRowLastColumn="0"/>
            </w:pPr>
            <w:r w:rsidRPr="000C2BBD">
              <w:t>99.5 +</w:t>
            </w:r>
          </w:p>
        </w:tc>
        <w:tc>
          <w:tcPr>
            <w:tcW w:w="550" w:type="pct"/>
            <w:vAlign w:val="center"/>
          </w:tcPr>
          <w:p w14:paraId="12F13515" w14:textId="42CF693F" w:rsidR="002A5B11" w:rsidRPr="000C2BBD" w:rsidRDefault="0090526B" w:rsidP="00162CEC">
            <w:pPr>
              <w:pStyle w:val="Els-body-text"/>
              <w:jc w:val="center"/>
              <w:cnfStyle w:val="000000100000" w:firstRow="0" w:lastRow="0" w:firstColumn="0" w:lastColumn="0" w:oddVBand="0" w:evenVBand="0" w:oddHBand="1" w:evenHBand="0" w:firstRowFirstColumn="0" w:firstRowLastColumn="0" w:lastRowFirstColumn="0" w:lastRowLastColumn="0"/>
            </w:pPr>
            <w:r w:rsidRPr="000C2BBD">
              <w:t>73.3</w:t>
            </w:r>
          </w:p>
        </w:tc>
        <w:tc>
          <w:tcPr>
            <w:tcW w:w="550" w:type="pct"/>
            <w:vAlign w:val="center"/>
          </w:tcPr>
          <w:p w14:paraId="4A8E196E" w14:textId="75AC3919" w:rsidR="002A5B11" w:rsidRPr="000C2BBD" w:rsidRDefault="002A5B11" w:rsidP="00162CEC">
            <w:pPr>
              <w:pStyle w:val="Els-body-text"/>
              <w:jc w:val="center"/>
              <w:cnfStyle w:val="000000100000" w:firstRow="0" w:lastRow="0" w:firstColumn="0" w:lastColumn="0" w:oddVBand="0" w:evenVBand="0" w:oddHBand="1" w:evenHBand="0" w:firstRowFirstColumn="0" w:firstRowLastColumn="0" w:lastRowFirstColumn="0" w:lastRowLastColumn="0"/>
            </w:pPr>
            <w:r w:rsidRPr="000C2BBD">
              <w:t>1777</w:t>
            </w:r>
          </w:p>
        </w:tc>
        <w:tc>
          <w:tcPr>
            <w:tcW w:w="550" w:type="pct"/>
            <w:vAlign w:val="center"/>
          </w:tcPr>
          <w:p w14:paraId="487270A5" w14:textId="6B177C73" w:rsidR="002A5B11" w:rsidRPr="000C2BBD" w:rsidRDefault="002A5B11" w:rsidP="00162CEC">
            <w:pPr>
              <w:pStyle w:val="Els-body-text"/>
              <w:jc w:val="center"/>
              <w:cnfStyle w:val="000000100000" w:firstRow="0" w:lastRow="0" w:firstColumn="0" w:lastColumn="0" w:oddVBand="0" w:evenVBand="0" w:oddHBand="1" w:evenHBand="0" w:firstRowFirstColumn="0" w:firstRowLastColumn="0" w:lastRowFirstColumn="0" w:lastRowLastColumn="0"/>
            </w:pPr>
            <w:r w:rsidRPr="000C2BBD">
              <w:t>0.32</w:t>
            </w:r>
          </w:p>
        </w:tc>
        <w:tc>
          <w:tcPr>
            <w:tcW w:w="550" w:type="pct"/>
            <w:vAlign w:val="center"/>
          </w:tcPr>
          <w:p w14:paraId="6958420E" w14:textId="2715EC38" w:rsidR="002A5B11" w:rsidRPr="000C2BBD" w:rsidRDefault="002A5B11" w:rsidP="00162CEC">
            <w:pPr>
              <w:pStyle w:val="Els-body-text"/>
              <w:jc w:val="center"/>
              <w:cnfStyle w:val="000000100000" w:firstRow="0" w:lastRow="0" w:firstColumn="0" w:lastColumn="0" w:oddVBand="0" w:evenVBand="0" w:oddHBand="1" w:evenHBand="0" w:firstRowFirstColumn="0" w:firstRowLastColumn="0" w:lastRowFirstColumn="0" w:lastRowLastColumn="0"/>
            </w:pPr>
            <w:r w:rsidRPr="000C2BBD">
              <w:t>99.91</w:t>
            </w:r>
          </w:p>
        </w:tc>
        <w:tc>
          <w:tcPr>
            <w:tcW w:w="552" w:type="pct"/>
            <w:vAlign w:val="center"/>
          </w:tcPr>
          <w:p w14:paraId="02662E67" w14:textId="2FA79BBA" w:rsidR="002A5B11" w:rsidRPr="000C2BBD" w:rsidRDefault="002A5B11" w:rsidP="00162CEC">
            <w:pPr>
              <w:pStyle w:val="Els-body-text"/>
              <w:jc w:val="center"/>
              <w:cnfStyle w:val="000000100000" w:firstRow="0" w:lastRow="0" w:firstColumn="0" w:lastColumn="0" w:oddVBand="0" w:evenVBand="0" w:oddHBand="1" w:evenHBand="0" w:firstRowFirstColumn="0" w:firstRowLastColumn="0" w:lastRowFirstColumn="0" w:lastRowLastColumn="0"/>
            </w:pPr>
            <w:r w:rsidRPr="000C2BBD">
              <w:t>81.13</w:t>
            </w:r>
          </w:p>
        </w:tc>
      </w:tr>
      <w:tr w:rsidR="00162CEC" w:rsidRPr="000C2BBD" w14:paraId="06592CF4" w14:textId="250EE2B6" w:rsidTr="00162CEC">
        <w:tc>
          <w:tcPr>
            <w:cnfStyle w:val="001000000000" w:firstRow="0" w:lastRow="0" w:firstColumn="1" w:lastColumn="0" w:oddVBand="0" w:evenVBand="0" w:oddHBand="0" w:evenHBand="0" w:firstRowFirstColumn="0" w:firstRowLastColumn="0" w:lastRowFirstColumn="0" w:lastRowLastColumn="0"/>
            <w:tcW w:w="599" w:type="pct"/>
          </w:tcPr>
          <w:p w14:paraId="4BD799FE" w14:textId="1875A59E" w:rsidR="002A5B11" w:rsidRPr="000C2BBD" w:rsidRDefault="002A5B11" w:rsidP="002A5B11">
            <w:pPr>
              <w:pStyle w:val="Els-body-text"/>
              <w:jc w:val="right"/>
            </w:pPr>
            <w:r w:rsidRPr="000C2BBD">
              <w:t>Stage 3</w:t>
            </w:r>
          </w:p>
        </w:tc>
        <w:tc>
          <w:tcPr>
            <w:tcW w:w="550" w:type="pct"/>
            <w:vAlign w:val="center"/>
          </w:tcPr>
          <w:p w14:paraId="293B833C" w14:textId="2AC59612" w:rsidR="002A5B11" w:rsidRPr="000C2BBD" w:rsidRDefault="002A5B11" w:rsidP="00162CEC">
            <w:pPr>
              <w:pStyle w:val="Els-body-text"/>
              <w:jc w:val="center"/>
              <w:cnfStyle w:val="000000000000" w:firstRow="0" w:lastRow="0" w:firstColumn="0" w:lastColumn="0" w:oddVBand="0" w:evenVBand="0" w:oddHBand="0" w:evenHBand="0" w:firstRowFirstColumn="0" w:firstRowLastColumn="0" w:lastRowFirstColumn="0" w:lastRowLastColumn="0"/>
            </w:pPr>
            <w:r w:rsidRPr="000C2BBD">
              <w:t>1152</w:t>
            </w:r>
          </w:p>
        </w:tc>
        <w:tc>
          <w:tcPr>
            <w:tcW w:w="550" w:type="pct"/>
            <w:vAlign w:val="center"/>
          </w:tcPr>
          <w:p w14:paraId="6B266617" w14:textId="78ED8953" w:rsidR="002A5B11" w:rsidRPr="000C2BBD" w:rsidRDefault="002A5B11" w:rsidP="00162CEC">
            <w:pPr>
              <w:pStyle w:val="Els-body-text"/>
              <w:jc w:val="center"/>
              <w:cnfStyle w:val="000000000000" w:firstRow="0" w:lastRow="0" w:firstColumn="0" w:lastColumn="0" w:oddVBand="0" w:evenVBand="0" w:oddHBand="0" w:evenHBand="0" w:firstRowFirstColumn="0" w:firstRowLastColumn="0" w:lastRowFirstColumn="0" w:lastRowLastColumn="0"/>
            </w:pPr>
            <w:r w:rsidRPr="000C2BBD">
              <w:t>0.30</w:t>
            </w:r>
          </w:p>
        </w:tc>
        <w:tc>
          <w:tcPr>
            <w:tcW w:w="550" w:type="pct"/>
            <w:vAlign w:val="center"/>
          </w:tcPr>
          <w:p w14:paraId="3B2783A1" w14:textId="64CE094A" w:rsidR="002A5B11" w:rsidRPr="000C2BBD" w:rsidRDefault="0090526B" w:rsidP="00162CEC">
            <w:pPr>
              <w:pStyle w:val="Els-body-text"/>
              <w:jc w:val="center"/>
              <w:cnfStyle w:val="000000000000" w:firstRow="0" w:lastRow="0" w:firstColumn="0" w:lastColumn="0" w:oddVBand="0" w:evenVBand="0" w:oddHBand="0" w:evenHBand="0" w:firstRowFirstColumn="0" w:firstRowLastColumn="0" w:lastRowFirstColumn="0" w:lastRowLastColumn="0"/>
            </w:pPr>
            <w:r w:rsidRPr="000C2BBD">
              <w:t>99.5 +</w:t>
            </w:r>
          </w:p>
        </w:tc>
        <w:tc>
          <w:tcPr>
            <w:tcW w:w="550" w:type="pct"/>
            <w:vAlign w:val="center"/>
          </w:tcPr>
          <w:p w14:paraId="75F19A51" w14:textId="20D56934" w:rsidR="002A5B11" w:rsidRPr="000C2BBD" w:rsidRDefault="0090526B" w:rsidP="00162CEC">
            <w:pPr>
              <w:pStyle w:val="Els-body-text"/>
              <w:jc w:val="center"/>
              <w:cnfStyle w:val="000000000000" w:firstRow="0" w:lastRow="0" w:firstColumn="0" w:lastColumn="0" w:oddVBand="0" w:evenVBand="0" w:oddHBand="0" w:evenHBand="0" w:firstRowFirstColumn="0" w:firstRowLastColumn="0" w:lastRowFirstColumn="0" w:lastRowLastColumn="0"/>
            </w:pPr>
            <w:r w:rsidRPr="000C2BBD">
              <w:t>73.1</w:t>
            </w:r>
          </w:p>
        </w:tc>
        <w:tc>
          <w:tcPr>
            <w:tcW w:w="550" w:type="pct"/>
            <w:vAlign w:val="center"/>
          </w:tcPr>
          <w:p w14:paraId="50BA05AB" w14:textId="09C4325E" w:rsidR="002A5B11" w:rsidRPr="000C2BBD" w:rsidRDefault="0090526B" w:rsidP="00162CEC">
            <w:pPr>
              <w:pStyle w:val="Els-body-text"/>
              <w:jc w:val="center"/>
              <w:cnfStyle w:val="000000000000" w:firstRow="0" w:lastRow="0" w:firstColumn="0" w:lastColumn="0" w:oddVBand="0" w:evenVBand="0" w:oddHBand="0" w:evenHBand="0" w:firstRowFirstColumn="0" w:firstRowLastColumn="0" w:lastRowFirstColumn="0" w:lastRowLastColumn="0"/>
            </w:pPr>
            <w:r w:rsidRPr="000C2BBD">
              <w:t>1644</w:t>
            </w:r>
          </w:p>
        </w:tc>
        <w:tc>
          <w:tcPr>
            <w:tcW w:w="550" w:type="pct"/>
            <w:vAlign w:val="center"/>
          </w:tcPr>
          <w:p w14:paraId="0B784EDC" w14:textId="542D5A87" w:rsidR="002A5B11" w:rsidRPr="000C2BBD" w:rsidRDefault="0090526B" w:rsidP="00162CEC">
            <w:pPr>
              <w:pStyle w:val="Els-body-text"/>
              <w:jc w:val="center"/>
              <w:cnfStyle w:val="000000000000" w:firstRow="0" w:lastRow="0" w:firstColumn="0" w:lastColumn="0" w:oddVBand="0" w:evenVBand="0" w:oddHBand="0" w:evenHBand="0" w:firstRowFirstColumn="0" w:firstRowLastColumn="0" w:lastRowFirstColumn="0" w:lastRowLastColumn="0"/>
            </w:pPr>
            <w:r w:rsidRPr="000C2BBD">
              <w:t>0.36</w:t>
            </w:r>
          </w:p>
        </w:tc>
        <w:tc>
          <w:tcPr>
            <w:tcW w:w="550" w:type="pct"/>
            <w:vAlign w:val="center"/>
          </w:tcPr>
          <w:p w14:paraId="21760A51" w14:textId="485631EE" w:rsidR="002A5B11" w:rsidRPr="000C2BBD" w:rsidRDefault="0090526B" w:rsidP="00162CEC">
            <w:pPr>
              <w:pStyle w:val="Els-body-text"/>
              <w:jc w:val="center"/>
              <w:cnfStyle w:val="000000000000" w:firstRow="0" w:lastRow="0" w:firstColumn="0" w:lastColumn="0" w:oddVBand="0" w:evenVBand="0" w:oddHBand="0" w:evenHBand="0" w:firstRowFirstColumn="0" w:firstRowLastColumn="0" w:lastRowFirstColumn="0" w:lastRowLastColumn="0"/>
            </w:pPr>
            <w:r w:rsidRPr="000C2BBD">
              <w:t>99.88</w:t>
            </w:r>
          </w:p>
        </w:tc>
        <w:tc>
          <w:tcPr>
            <w:tcW w:w="552" w:type="pct"/>
            <w:vAlign w:val="center"/>
          </w:tcPr>
          <w:p w14:paraId="471C29EC" w14:textId="0559F24C" w:rsidR="002A5B11" w:rsidRPr="000C2BBD" w:rsidRDefault="0090526B" w:rsidP="00162CEC">
            <w:pPr>
              <w:pStyle w:val="Els-body-text"/>
              <w:jc w:val="center"/>
              <w:cnfStyle w:val="000000000000" w:firstRow="0" w:lastRow="0" w:firstColumn="0" w:lastColumn="0" w:oddVBand="0" w:evenVBand="0" w:oddHBand="0" w:evenHBand="0" w:firstRowFirstColumn="0" w:firstRowLastColumn="0" w:lastRowFirstColumn="0" w:lastRowLastColumn="0"/>
            </w:pPr>
            <w:r w:rsidRPr="000C2BBD">
              <w:t>80.51</w:t>
            </w:r>
          </w:p>
        </w:tc>
      </w:tr>
      <w:tr w:rsidR="00162CEC" w:rsidRPr="000C2BBD" w14:paraId="6A664CB1" w14:textId="1E81305B" w:rsidTr="00162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9" w:type="pct"/>
          </w:tcPr>
          <w:p w14:paraId="261E3AB9" w14:textId="7E314F24" w:rsidR="002A5B11" w:rsidRPr="000C2BBD" w:rsidRDefault="002A5B11" w:rsidP="002A5B11">
            <w:pPr>
              <w:pStyle w:val="Els-body-text"/>
              <w:jc w:val="right"/>
            </w:pPr>
            <w:r w:rsidRPr="000C2BBD">
              <w:t>Stage 4</w:t>
            </w:r>
          </w:p>
        </w:tc>
        <w:tc>
          <w:tcPr>
            <w:tcW w:w="550" w:type="pct"/>
            <w:vAlign w:val="center"/>
          </w:tcPr>
          <w:p w14:paraId="70BF99E1" w14:textId="5078F4ED" w:rsidR="002A5B11" w:rsidRPr="000C2BBD" w:rsidRDefault="002A5B11" w:rsidP="00162CEC">
            <w:pPr>
              <w:pStyle w:val="Els-body-text"/>
              <w:jc w:val="center"/>
              <w:cnfStyle w:val="000000100000" w:firstRow="0" w:lastRow="0" w:firstColumn="0" w:lastColumn="0" w:oddVBand="0" w:evenVBand="0" w:oddHBand="1" w:evenHBand="0" w:firstRowFirstColumn="0" w:firstRowLastColumn="0" w:lastRowFirstColumn="0" w:lastRowLastColumn="0"/>
            </w:pPr>
            <w:r w:rsidRPr="000C2BBD">
              <w:t>688</w:t>
            </w:r>
          </w:p>
        </w:tc>
        <w:tc>
          <w:tcPr>
            <w:tcW w:w="550" w:type="pct"/>
            <w:vAlign w:val="center"/>
          </w:tcPr>
          <w:p w14:paraId="017F424E" w14:textId="50583F97" w:rsidR="002A5B11" w:rsidRPr="000C2BBD" w:rsidRDefault="002A5B11" w:rsidP="00162CEC">
            <w:pPr>
              <w:pStyle w:val="Els-body-text"/>
              <w:jc w:val="center"/>
              <w:cnfStyle w:val="000000100000" w:firstRow="0" w:lastRow="0" w:firstColumn="0" w:lastColumn="0" w:oddVBand="0" w:evenVBand="0" w:oddHBand="1" w:evenHBand="0" w:firstRowFirstColumn="0" w:firstRowLastColumn="0" w:lastRowFirstColumn="0" w:lastRowLastColumn="0"/>
            </w:pPr>
            <w:r w:rsidRPr="000C2BBD">
              <w:t>0.30</w:t>
            </w:r>
          </w:p>
        </w:tc>
        <w:tc>
          <w:tcPr>
            <w:tcW w:w="550" w:type="pct"/>
            <w:vAlign w:val="center"/>
          </w:tcPr>
          <w:p w14:paraId="0A1F5DAA" w14:textId="4F475AE3" w:rsidR="002A5B11" w:rsidRPr="000C2BBD" w:rsidRDefault="0090526B" w:rsidP="00162CEC">
            <w:pPr>
              <w:pStyle w:val="Els-body-text"/>
              <w:jc w:val="center"/>
              <w:cnfStyle w:val="000000100000" w:firstRow="0" w:lastRow="0" w:firstColumn="0" w:lastColumn="0" w:oddVBand="0" w:evenVBand="0" w:oddHBand="1" w:evenHBand="0" w:firstRowFirstColumn="0" w:firstRowLastColumn="0" w:lastRowFirstColumn="0" w:lastRowLastColumn="0"/>
            </w:pPr>
            <w:r w:rsidRPr="000C2BBD">
              <w:t>99.5 +</w:t>
            </w:r>
          </w:p>
        </w:tc>
        <w:tc>
          <w:tcPr>
            <w:tcW w:w="550" w:type="pct"/>
            <w:vAlign w:val="center"/>
          </w:tcPr>
          <w:p w14:paraId="7059067E" w14:textId="2B4F080F" w:rsidR="002A5B11" w:rsidRPr="000C2BBD" w:rsidRDefault="0090526B" w:rsidP="00162CEC">
            <w:pPr>
              <w:pStyle w:val="Els-body-text"/>
              <w:jc w:val="center"/>
              <w:cnfStyle w:val="000000100000" w:firstRow="0" w:lastRow="0" w:firstColumn="0" w:lastColumn="0" w:oddVBand="0" w:evenVBand="0" w:oddHBand="1" w:evenHBand="0" w:firstRowFirstColumn="0" w:firstRowLastColumn="0" w:lastRowFirstColumn="0" w:lastRowLastColumn="0"/>
            </w:pPr>
            <w:r w:rsidRPr="000C2BBD">
              <w:t>76</w:t>
            </w:r>
          </w:p>
        </w:tc>
        <w:tc>
          <w:tcPr>
            <w:tcW w:w="550" w:type="pct"/>
            <w:vAlign w:val="center"/>
          </w:tcPr>
          <w:p w14:paraId="225AFCE9" w14:textId="5BE034DC" w:rsidR="002A5B11" w:rsidRPr="000C2BBD" w:rsidRDefault="0090526B" w:rsidP="00162CEC">
            <w:pPr>
              <w:pStyle w:val="Els-body-text"/>
              <w:jc w:val="center"/>
              <w:cnfStyle w:val="000000100000" w:firstRow="0" w:lastRow="0" w:firstColumn="0" w:lastColumn="0" w:oddVBand="0" w:evenVBand="0" w:oddHBand="1" w:evenHBand="0" w:firstRowFirstColumn="0" w:firstRowLastColumn="0" w:lastRowFirstColumn="0" w:lastRowLastColumn="0"/>
            </w:pPr>
            <w:r w:rsidRPr="000C2BBD">
              <w:t>N/A</w:t>
            </w:r>
          </w:p>
        </w:tc>
        <w:tc>
          <w:tcPr>
            <w:tcW w:w="550" w:type="pct"/>
            <w:vAlign w:val="center"/>
          </w:tcPr>
          <w:p w14:paraId="17A52C85" w14:textId="197DAC6D" w:rsidR="002A5B11" w:rsidRPr="000C2BBD" w:rsidRDefault="0090526B" w:rsidP="00162CEC">
            <w:pPr>
              <w:pStyle w:val="Els-body-text"/>
              <w:jc w:val="center"/>
              <w:cnfStyle w:val="000000100000" w:firstRow="0" w:lastRow="0" w:firstColumn="0" w:lastColumn="0" w:oddVBand="0" w:evenVBand="0" w:oddHBand="1" w:evenHBand="0" w:firstRowFirstColumn="0" w:firstRowLastColumn="0" w:lastRowFirstColumn="0" w:lastRowLastColumn="0"/>
            </w:pPr>
            <w:r w:rsidRPr="000C2BBD">
              <w:t>N/A</w:t>
            </w:r>
          </w:p>
        </w:tc>
        <w:tc>
          <w:tcPr>
            <w:tcW w:w="550" w:type="pct"/>
            <w:vAlign w:val="center"/>
          </w:tcPr>
          <w:p w14:paraId="36A9B4CC" w14:textId="5E4F9A3F" w:rsidR="002A5B11" w:rsidRPr="000C2BBD" w:rsidRDefault="0090526B" w:rsidP="00162CEC">
            <w:pPr>
              <w:pStyle w:val="Els-body-text"/>
              <w:jc w:val="center"/>
              <w:cnfStyle w:val="000000100000" w:firstRow="0" w:lastRow="0" w:firstColumn="0" w:lastColumn="0" w:oddVBand="0" w:evenVBand="0" w:oddHBand="1" w:evenHBand="0" w:firstRowFirstColumn="0" w:firstRowLastColumn="0" w:lastRowFirstColumn="0" w:lastRowLastColumn="0"/>
            </w:pPr>
            <w:r w:rsidRPr="000C2BBD">
              <w:t>N/A</w:t>
            </w:r>
          </w:p>
        </w:tc>
        <w:tc>
          <w:tcPr>
            <w:tcW w:w="552" w:type="pct"/>
            <w:vAlign w:val="center"/>
          </w:tcPr>
          <w:p w14:paraId="5D28E2EE" w14:textId="40672424" w:rsidR="002A5B11" w:rsidRPr="000C2BBD" w:rsidRDefault="0090526B" w:rsidP="00162CEC">
            <w:pPr>
              <w:pStyle w:val="Els-body-text"/>
              <w:jc w:val="center"/>
              <w:cnfStyle w:val="000000100000" w:firstRow="0" w:lastRow="0" w:firstColumn="0" w:lastColumn="0" w:oddVBand="0" w:evenVBand="0" w:oddHBand="1" w:evenHBand="0" w:firstRowFirstColumn="0" w:firstRowLastColumn="0" w:lastRowFirstColumn="0" w:lastRowLastColumn="0"/>
            </w:pPr>
            <w:r w:rsidRPr="000C2BBD">
              <w:t>N/A</w:t>
            </w:r>
          </w:p>
        </w:tc>
      </w:tr>
    </w:tbl>
    <w:p w14:paraId="46831446" w14:textId="4EDB33C3" w:rsidR="00AF1330" w:rsidRPr="000C2BBD" w:rsidRDefault="006A1BFD" w:rsidP="00AF1330">
      <w:pPr>
        <w:pStyle w:val="Els-1storder-head"/>
      </w:pPr>
      <w:r w:rsidRPr="000C2BBD">
        <w:t>Conclusion</w:t>
      </w:r>
    </w:p>
    <w:p w14:paraId="770824CC" w14:textId="5BF425A3" w:rsidR="00AF1330" w:rsidRPr="000C2BBD" w:rsidRDefault="00455D49" w:rsidP="00AF1330">
      <w:pPr>
        <w:pStyle w:val="Els-body-text"/>
      </w:pPr>
      <w:r>
        <w:t xml:space="preserve">This study used the open-source </w:t>
      </w:r>
      <w:proofErr w:type="spellStart"/>
      <w:r>
        <w:t>toPSAil</w:t>
      </w:r>
      <w:proofErr w:type="spellEnd"/>
      <w:r>
        <w:t xml:space="preserve"> software package</w:t>
      </w:r>
      <w:r w:rsidR="00E10C9E" w:rsidRPr="000C2BBD">
        <w:t xml:space="preserve"> to simulate hydrogen-methane separation at four pressures (25, 35, 50, 60 bar) with varying methane concentrations (2 – 3</w:t>
      </w:r>
      <w:r w:rsidR="00A74FF2" w:rsidRPr="000C2BBD">
        <w:t>0</w:t>
      </w:r>
      <w:r w:rsidR="00E10C9E" w:rsidRPr="000C2BBD">
        <w:t xml:space="preserve"> %)</w:t>
      </w:r>
      <w:r w:rsidR="00A74FF2" w:rsidRPr="000C2BBD">
        <w:t xml:space="preserve"> in a 4-bed PSA process</w:t>
      </w:r>
      <w:r w:rsidR="00E10C9E" w:rsidRPr="000C2BBD">
        <w:t xml:space="preserve">. Previous experimental results were used to validate the model with breakthrough </w:t>
      </w:r>
      <w:r w:rsidR="00A74FF2" w:rsidRPr="000C2BBD">
        <w:t xml:space="preserve">and cyclic </w:t>
      </w:r>
      <w:r w:rsidR="00E10C9E" w:rsidRPr="000C2BBD">
        <w:t>simulations</w:t>
      </w:r>
      <w:r w:rsidR="00A74FF2" w:rsidRPr="000C2BBD">
        <w:t>, both of which showed good correlation. The proposed 12-step PSA process was successfully optimized in three out of the four scenarios.</w:t>
      </w:r>
      <w:r w:rsidR="007C0E7E" w:rsidRPr="000C2BBD">
        <w:t xml:space="preserve"> This work demonstrates the capabilities of </w:t>
      </w:r>
      <w:proofErr w:type="spellStart"/>
      <w:r w:rsidR="007C0E7E" w:rsidRPr="000C2BBD">
        <w:t>toPSAil</w:t>
      </w:r>
      <w:proofErr w:type="spellEnd"/>
      <w:r w:rsidR="007C0E7E" w:rsidRPr="000C2BBD">
        <w:t>, an open-source process simulation package</w:t>
      </w:r>
      <w:r>
        <w:t>,</w:t>
      </w:r>
      <w:r w:rsidR="007C0E7E" w:rsidRPr="000C2BBD">
        <w:t xml:space="preserve"> and contributes to </w:t>
      </w:r>
      <w:r>
        <w:t>developing</w:t>
      </w:r>
      <w:r w:rsidR="007C0E7E" w:rsidRPr="000C2BBD">
        <w:t xml:space="preserve"> efficient and modular separation systems for hydrogen purification.</w:t>
      </w:r>
    </w:p>
    <w:p w14:paraId="144DE6BF" w14:textId="608D0AD6" w:rsidR="008D2649" w:rsidRPr="000C2BBD" w:rsidRDefault="008D2649" w:rsidP="008D2649">
      <w:pPr>
        <w:pStyle w:val="Els-reference-head"/>
      </w:pPr>
      <w:r w:rsidRPr="000C2BBD">
        <w:t>References</w:t>
      </w:r>
    </w:p>
    <w:p w14:paraId="3A8ECDBC" w14:textId="1E365CF3" w:rsidR="00F95546" w:rsidRPr="000C2BBD" w:rsidRDefault="00EE4869" w:rsidP="002125B8">
      <w:pPr>
        <w:pStyle w:val="Els-referenceno-number"/>
        <w:jc w:val="both"/>
        <w:rPr>
          <w:lang w:val="en-US"/>
        </w:rPr>
      </w:pPr>
      <w:r w:rsidRPr="000C2BBD">
        <w:rPr>
          <w:lang w:val="en-US"/>
        </w:rPr>
        <w:t>J. Cihlar, D. Mavins, K. van der Leun, 2021, Picturing the Value of Underground Gas Storage to the European Hydrogen System, The Netherlands,</w:t>
      </w:r>
      <w:r w:rsidR="00455D49">
        <w:rPr>
          <w:lang w:val="en-US"/>
        </w:rPr>
        <w:t xml:space="preserve"> </w:t>
      </w:r>
      <w:r w:rsidRPr="000C2BBD">
        <w:rPr>
          <w:lang w:val="en-US"/>
        </w:rPr>
        <w:t>Gas Infrastructure Europe</w:t>
      </w:r>
    </w:p>
    <w:p w14:paraId="5C983A68" w14:textId="570593FA" w:rsidR="00C97DB4" w:rsidRPr="000C2BBD" w:rsidRDefault="00C97DB4" w:rsidP="002125B8">
      <w:pPr>
        <w:pStyle w:val="Els-referenceno-number"/>
        <w:jc w:val="both"/>
      </w:pPr>
      <w:r w:rsidRPr="000C2BBD">
        <w:rPr>
          <w:lang w:val="en-US"/>
        </w:rPr>
        <w:t xml:space="preserve">J. Juez-Larré, C.G. Machado, H. Yousefi, T.-K. Wang, R. Groenenberg, S. Van Gessel, 2023, (Pre)feasibility Study of Underground Hydrogen Storage Potential in Depleted Gas Fields and Salt Caverns in the Netherlands, EGU General Assembly 2023, DOI: </w:t>
      </w:r>
      <w:r w:rsidRPr="000C2BBD">
        <w:t>10.5194/egusphere-egu23-10005</w:t>
      </w:r>
    </w:p>
    <w:p w14:paraId="5DFDBEEA" w14:textId="26988629" w:rsidR="00D313C3" w:rsidRPr="000C2BBD" w:rsidRDefault="00D313C3" w:rsidP="002125B8">
      <w:pPr>
        <w:pStyle w:val="Els-referenceno-number"/>
        <w:jc w:val="both"/>
        <w:rPr>
          <w:lang w:val="en-US"/>
        </w:rPr>
      </w:pPr>
      <w:r w:rsidRPr="000C2BBD">
        <w:t>V. Kalman, J. Voigt, C. Jordan, M. Harasek, 2022, Hydrogen Purification by Pressure Swing Adsorption: High-Pressure PSA Performance</w:t>
      </w:r>
      <w:r w:rsidR="00455D49">
        <w:t xml:space="preserve"> </w:t>
      </w:r>
      <w:r w:rsidRPr="000C2BBD">
        <w:t>in Recovery from Seasonal Storage, Sustainability, 14, 14037, DOI: 10.3390/su142114037</w:t>
      </w:r>
    </w:p>
    <w:p w14:paraId="0A0B61C2" w14:textId="01058364" w:rsidR="00F95546" w:rsidRDefault="00F95546" w:rsidP="002125B8">
      <w:pPr>
        <w:pStyle w:val="Els-referenceno-number"/>
        <w:jc w:val="both"/>
        <w:rPr>
          <w:lang w:val="en-US"/>
        </w:rPr>
      </w:pPr>
      <w:r w:rsidRPr="000C2BBD">
        <w:rPr>
          <w:lang w:val="en-US"/>
        </w:rPr>
        <w:t>T. Kim</w:t>
      </w:r>
      <w:r w:rsidR="00D313C3" w:rsidRPr="000C2BBD">
        <w:rPr>
          <w:lang w:val="en-US"/>
        </w:rPr>
        <w:t>,</w:t>
      </w:r>
      <w:r w:rsidRPr="000C2BBD">
        <w:rPr>
          <w:lang w:val="en-US"/>
        </w:rPr>
        <w:t xml:space="preserve"> J.K. Scott, 2023, Dynamic Modeling and Simulation of Pressure S</w:t>
      </w:r>
      <w:r w:rsidR="00611CE2" w:rsidRPr="000C2BBD">
        <w:rPr>
          <w:lang w:val="en-US"/>
        </w:rPr>
        <w:t>w</w:t>
      </w:r>
      <w:r w:rsidRPr="000C2BBD">
        <w:rPr>
          <w:lang w:val="en-US"/>
        </w:rPr>
        <w:t xml:space="preserve">ing Adsorption Processes </w:t>
      </w:r>
      <w:r w:rsidR="00611CE2" w:rsidRPr="000C2BBD">
        <w:rPr>
          <w:lang w:val="en-US"/>
        </w:rPr>
        <w:t>U</w:t>
      </w:r>
      <w:r w:rsidRPr="000C2BBD">
        <w:rPr>
          <w:lang w:val="en-US"/>
        </w:rPr>
        <w:t>sing toPSAil</w:t>
      </w:r>
      <w:r w:rsidR="00611CE2" w:rsidRPr="000C2BBD">
        <w:rPr>
          <w:lang w:val="en-US"/>
        </w:rPr>
        <w:t>, Computers and Chemical Engineering, 176, 108309, DOI: 10.1016/j.compchemeng.2023.108309</w:t>
      </w:r>
    </w:p>
    <w:p w14:paraId="4B8E56D7" w14:textId="1340C599" w:rsidR="0094207E" w:rsidRPr="000C2BBD" w:rsidRDefault="0094207E" w:rsidP="002125B8">
      <w:pPr>
        <w:pStyle w:val="Els-referenceno-number"/>
        <w:jc w:val="both"/>
        <w:rPr>
          <w:lang w:val="en-US"/>
        </w:rPr>
      </w:pPr>
      <w:r>
        <w:rPr>
          <w:lang w:val="en-US"/>
        </w:rPr>
        <w:t>L. Londe, 2021, Four Ways to Store Large Quantities of Hydrogen, Paper presented at the Abu Dhabi International Petroleum Exhibition and Conference, Abu Dhabi, UAE, DOI: 10/2118/208178-MS</w:t>
      </w:r>
    </w:p>
    <w:p w14:paraId="2D6E0D5E" w14:textId="0D8C4A9C" w:rsidR="00C97DB4" w:rsidRPr="000C2BBD" w:rsidRDefault="00C97DB4" w:rsidP="002125B8">
      <w:pPr>
        <w:pStyle w:val="Els-referenceno-number"/>
        <w:jc w:val="both"/>
        <w:rPr>
          <w:lang w:val="en-US"/>
        </w:rPr>
      </w:pPr>
      <w:r w:rsidRPr="000C2BBD">
        <w:rPr>
          <w:lang w:val="en-US"/>
        </w:rPr>
        <w:t>M. Lysyy, M. Fernø, G. Ersland, 2021, Seasonal Hydrogen Storage in a Depleted Oil and Gas Field, Int. J. Hydr. Energy, 46, 25160-25174, DOI: 10.1016/j.ijhydene.2021.05.030</w:t>
      </w:r>
    </w:p>
    <w:p w14:paraId="5A16FFAA" w14:textId="3D86C8C8" w:rsidR="007821B9" w:rsidRPr="000C2BBD" w:rsidRDefault="007821B9" w:rsidP="002125B8">
      <w:pPr>
        <w:pStyle w:val="Els-referenceno-number"/>
        <w:jc w:val="both"/>
        <w:rPr>
          <w:lang w:val="en-US"/>
        </w:rPr>
      </w:pPr>
      <w:r w:rsidRPr="000C2BBD">
        <w:rPr>
          <w:lang w:val="en-US"/>
        </w:rPr>
        <w:t>A. Malek, S. Farooq,</w:t>
      </w:r>
      <w:r w:rsidR="00732539" w:rsidRPr="000C2BBD">
        <w:rPr>
          <w:lang w:val="en-US"/>
        </w:rPr>
        <w:t xml:space="preserve"> 1996, Determination of Equilibrium Isotherms Using Dynamic Column Breakthrough and Constant Flow Equilibrium Desorption, J. Chem. Eng. Data, 41, 25-32, DOI: </w:t>
      </w:r>
      <w:r w:rsidR="00732539" w:rsidRPr="000C2BBD">
        <w:t>10.1021/je950178e</w:t>
      </w:r>
    </w:p>
    <w:p w14:paraId="6345E57C" w14:textId="2C26F36A" w:rsidR="002125B8" w:rsidRPr="000C2BBD" w:rsidRDefault="002125B8" w:rsidP="002125B8">
      <w:pPr>
        <w:pStyle w:val="Els-referenceno-number"/>
        <w:jc w:val="both"/>
        <w:rPr>
          <w:lang w:val="en-US"/>
        </w:rPr>
      </w:pPr>
      <w:r w:rsidRPr="000C2BBD">
        <w:rPr>
          <w:lang w:val="en-US"/>
        </w:rPr>
        <w:t>W. Papale, H. Paul, G. Thomas, 2006, Development of Pressure Swing Adsorption Technology for Spacesuit Carbon Dioxide and Humidity Removal, SAE Technical Paper 2006-01-2203, DOI: 10.4271/2006-01-2203</w:t>
      </w:r>
    </w:p>
    <w:p w14:paraId="7B533A64" w14:textId="1569E0A6" w:rsidR="00D3624B" w:rsidRPr="000C2BBD" w:rsidRDefault="00D3624B" w:rsidP="002125B8">
      <w:pPr>
        <w:pStyle w:val="Els-referenceno-number"/>
        <w:jc w:val="both"/>
        <w:rPr>
          <w:lang w:val="en-US"/>
        </w:rPr>
      </w:pPr>
      <w:r w:rsidRPr="000C2BBD">
        <w:rPr>
          <w:lang w:val="en-US"/>
        </w:rPr>
        <w:t>D.M. Ruthven, S. Farooq, K.S. Knaebel, 1993, Pressure Swing Adsorption, VCH Publisher Inc., USA</w:t>
      </w:r>
    </w:p>
    <w:p w14:paraId="7B24C69D" w14:textId="4CE45E9C" w:rsidR="00C97DB4" w:rsidRPr="000C2BBD" w:rsidRDefault="00C97DB4" w:rsidP="002125B8">
      <w:pPr>
        <w:pStyle w:val="Els-referenceno-number"/>
        <w:jc w:val="both"/>
        <w:rPr>
          <w:lang w:val="en-US"/>
        </w:rPr>
      </w:pPr>
      <w:r w:rsidRPr="000C2BBD">
        <w:t>C. Sambo, A. Dudun, S.A. Samuel, P. Esenenjor, N.S. Muhammed, B. Haq, 2022, A Review on Worldwide underground hydrogen Storage Operating and Potential Fields, Int. J. Hydr. Energy, 47, 22840-22880, DOI: 10.1016/j.ijhydene.2022.05.126</w:t>
      </w:r>
    </w:p>
    <w:p w14:paraId="20D8D112" w14:textId="394AE0DE" w:rsidR="00611CE2" w:rsidRPr="000C2BBD" w:rsidRDefault="00611CE2" w:rsidP="002125B8">
      <w:pPr>
        <w:pStyle w:val="Els-referenceno-number"/>
        <w:jc w:val="both"/>
        <w:rPr>
          <w:lang w:val="en-US"/>
        </w:rPr>
      </w:pPr>
      <w:r w:rsidRPr="000C2BBD">
        <w:rPr>
          <w:lang w:val="en-US"/>
        </w:rPr>
        <w:t>M. Zamehrian, B. Sedaee, 2022, Underground Hydrogen Storage in a Partially Depleted Gas Condensate Reservoir: Influence of Cushion Gas, Journal of Petroleum Science and Engineering, 212, 110304, DOI: 10.1016/j.petrol.2022.110304</w:t>
      </w:r>
    </w:p>
    <w:p w14:paraId="5B72C5E9" w14:textId="201757A9" w:rsidR="00611CE2" w:rsidRPr="000C2BBD" w:rsidRDefault="00C97DB4" w:rsidP="008C02D3">
      <w:pPr>
        <w:pStyle w:val="Els-referenceno-number"/>
        <w:jc w:val="both"/>
        <w:rPr>
          <w:lang w:val="en-US"/>
        </w:rPr>
      </w:pPr>
      <w:r w:rsidRPr="000C2BBD">
        <w:rPr>
          <w:lang w:val="en-US"/>
        </w:rPr>
        <w:t xml:space="preserve">M. Zijp, S. Nelskamp, H. Doornenbal, 2017, European Unconventional Oil and </w:t>
      </w:r>
      <w:r w:rsidR="00455D49">
        <w:rPr>
          <w:lang w:val="en-US"/>
        </w:rPr>
        <w:t>G</w:t>
      </w:r>
      <w:r w:rsidRPr="000C2BBD">
        <w:rPr>
          <w:lang w:val="en-US"/>
        </w:rPr>
        <w:t>as Assessment (EUOGA): Resource Estimation of Shale Gas and Shale Oil in Europe, Technical Report</w:t>
      </w:r>
    </w:p>
    <w:sectPr w:rsidR="00611CE2" w:rsidRPr="000C2BBD" w:rsidSect="00D25342">
      <w:headerReference w:type="even" r:id="rId13"/>
      <w:headerReference w:type="default" r:id="rId14"/>
      <w:headerReference w:type="first" r:id="rId15"/>
      <w:type w:val="continuous"/>
      <w:pgSz w:w="11906" w:h="16838" w:code="9"/>
      <w:pgMar w:top="2377" w:right="2410" w:bottom="2694"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CBB2D" w14:textId="77777777" w:rsidR="009172AF" w:rsidRDefault="009172AF">
      <w:r>
        <w:separator/>
      </w:r>
    </w:p>
  </w:endnote>
  <w:endnote w:type="continuationSeparator" w:id="0">
    <w:p w14:paraId="7B2FE47F" w14:textId="77777777" w:rsidR="009172AF" w:rsidRDefault="0091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8BC43" w14:textId="77777777" w:rsidR="009172AF" w:rsidRDefault="009172AF">
      <w:r>
        <w:separator/>
      </w:r>
    </w:p>
  </w:footnote>
  <w:footnote w:type="continuationSeparator" w:id="0">
    <w:p w14:paraId="3C706476" w14:textId="77777777" w:rsidR="009172AF" w:rsidRDefault="00917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22E5257C" w:rsidR="00DD3D9E" w:rsidRDefault="00DD3D9E">
    <w:pPr>
      <w:pStyle w:val="Header"/>
      <w:tabs>
        <w:tab w:val="clear" w:pos="7200"/>
        <w:tab w:val="right" w:pos="7088"/>
      </w:tabs>
    </w:pPr>
    <w:r>
      <w:rPr>
        <w:rStyle w:val="PageNumber"/>
      </w:rPr>
      <w:tab/>
    </w:r>
    <w:r>
      <w:rPr>
        <w:rStyle w:val="PageNumber"/>
        <w:i/>
      </w:rPr>
      <w:tab/>
    </w:r>
    <w:r w:rsidR="00611CE2">
      <w:rPr>
        <w:i/>
      </w:rPr>
      <w:t>V. Kalman and M. Harasek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7C15C9EC" w:rsidR="00DD3D9E" w:rsidRDefault="00611CE2">
    <w:pPr>
      <w:pStyle w:val="Header"/>
      <w:tabs>
        <w:tab w:val="clear" w:pos="7200"/>
        <w:tab w:val="right" w:pos="7088"/>
      </w:tabs>
      <w:jc w:val="right"/>
      <w:rPr>
        <w:sz w:val="24"/>
      </w:rPr>
    </w:pPr>
    <w:r>
      <w:rPr>
        <w:i/>
      </w:rPr>
      <w:t>Simulation of Hydrogen-Methane Separation with Pressure Swing Adsorption</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393771496">
    <w:abstractNumId w:val="11"/>
  </w:num>
  <w:num w:numId="2" w16cid:durableId="1088578081">
    <w:abstractNumId w:val="11"/>
  </w:num>
  <w:num w:numId="3" w16cid:durableId="298416666">
    <w:abstractNumId w:val="11"/>
  </w:num>
  <w:num w:numId="4" w16cid:durableId="149833019">
    <w:abstractNumId w:val="11"/>
  </w:num>
  <w:num w:numId="5" w16cid:durableId="510220190">
    <w:abstractNumId w:val="0"/>
  </w:num>
  <w:num w:numId="6" w16cid:durableId="1345403408">
    <w:abstractNumId w:val="6"/>
  </w:num>
  <w:num w:numId="7" w16cid:durableId="2112896800">
    <w:abstractNumId w:val="12"/>
  </w:num>
  <w:num w:numId="8" w16cid:durableId="1523127856">
    <w:abstractNumId w:val="1"/>
  </w:num>
  <w:num w:numId="9" w16cid:durableId="831726529">
    <w:abstractNumId w:val="10"/>
  </w:num>
  <w:num w:numId="10" w16cid:durableId="1198085524">
    <w:abstractNumId w:val="14"/>
  </w:num>
  <w:num w:numId="11" w16cid:durableId="1150756256">
    <w:abstractNumId w:val="13"/>
  </w:num>
  <w:num w:numId="12" w16cid:durableId="1839149156">
    <w:abstractNumId w:val="5"/>
  </w:num>
  <w:num w:numId="13" w16cid:durableId="2126651240">
    <w:abstractNumId w:val="8"/>
  </w:num>
  <w:num w:numId="14" w16cid:durableId="2030137593">
    <w:abstractNumId w:val="2"/>
  </w:num>
  <w:num w:numId="15" w16cid:durableId="1163663590">
    <w:abstractNumId w:val="7"/>
  </w:num>
  <w:num w:numId="16" w16cid:durableId="931553152">
    <w:abstractNumId w:val="3"/>
  </w:num>
  <w:num w:numId="17" w16cid:durableId="1844079421">
    <w:abstractNumId w:val="4"/>
  </w:num>
  <w:num w:numId="18" w16cid:durableId="3712727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YwMjYxM7cwMDAwtjBT0lEKTi0uzszPAymwrAUAXzOA8CwAAAA="/>
  </w:docVars>
  <w:rsids>
    <w:rsidRoot w:val="00B63237"/>
    <w:rsid w:val="00045E9C"/>
    <w:rsid w:val="00052EF5"/>
    <w:rsid w:val="00053DD0"/>
    <w:rsid w:val="0006273B"/>
    <w:rsid w:val="0009010E"/>
    <w:rsid w:val="000A13AE"/>
    <w:rsid w:val="000C2BBD"/>
    <w:rsid w:val="000C79B9"/>
    <w:rsid w:val="000D224D"/>
    <w:rsid w:val="000D3D9B"/>
    <w:rsid w:val="000F0C56"/>
    <w:rsid w:val="00134E3D"/>
    <w:rsid w:val="001437CD"/>
    <w:rsid w:val="00144402"/>
    <w:rsid w:val="00150DCE"/>
    <w:rsid w:val="0016032F"/>
    <w:rsid w:val="00162CEC"/>
    <w:rsid w:val="00172EF6"/>
    <w:rsid w:val="00176939"/>
    <w:rsid w:val="001834E2"/>
    <w:rsid w:val="001879F6"/>
    <w:rsid w:val="001C0148"/>
    <w:rsid w:val="001C1F69"/>
    <w:rsid w:val="001C1FA5"/>
    <w:rsid w:val="001C757E"/>
    <w:rsid w:val="001E22BD"/>
    <w:rsid w:val="001E578A"/>
    <w:rsid w:val="001F05AF"/>
    <w:rsid w:val="00201682"/>
    <w:rsid w:val="0020390F"/>
    <w:rsid w:val="002110C5"/>
    <w:rsid w:val="002125B8"/>
    <w:rsid w:val="00215300"/>
    <w:rsid w:val="00242D2E"/>
    <w:rsid w:val="00250D00"/>
    <w:rsid w:val="00264926"/>
    <w:rsid w:val="0027589B"/>
    <w:rsid w:val="00276903"/>
    <w:rsid w:val="002910F1"/>
    <w:rsid w:val="002A5B11"/>
    <w:rsid w:val="002A7003"/>
    <w:rsid w:val="002D3C09"/>
    <w:rsid w:val="002F5913"/>
    <w:rsid w:val="00305E28"/>
    <w:rsid w:val="00336D93"/>
    <w:rsid w:val="003567D4"/>
    <w:rsid w:val="003611BC"/>
    <w:rsid w:val="00361541"/>
    <w:rsid w:val="0036460C"/>
    <w:rsid w:val="00395827"/>
    <w:rsid w:val="003A0976"/>
    <w:rsid w:val="003A76BB"/>
    <w:rsid w:val="003D1582"/>
    <w:rsid w:val="003D7E4C"/>
    <w:rsid w:val="003E41C2"/>
    <w:rsid w:val="00403EA0"/>
    <w:rsid w:val="0041178B"/>
    <w:rsid w:val="00436700"/>
    <w:rsid w:val="0044236C"/>
    <w:rsid w:val="00442754"/>
    <w:rsid w:val="00455D49"/>
    <w:rsid w:val="00460027"/>
    <w:rsid w:val="0049772C"/>
    <w:rsid w:val="004B0097"/>
    <w:rsid w:val="004B17AD"/>
    <w:rsid w:val="004C61E4"/>
    <w:rsid w:val="004E7AD7"/>
    <w:rsid w:val="00521F7D"/>
    <w:rsid w:val="00535F9D"/>
    <w:rsid w:val="00552EEB"/>
    <w:rsid w:val="005610B3"/>
    <w:rsid w:val="00580C7A"/>
    <w:rsid w:val="0059728A"/>
    <w:rsid w:val="005B036B"/>
    <w:rsid w:val="005B7ADF"/>
    <w:rsid w:val="005D192C"/>
    <w:rsid w:val="005E241C"/>
    <w:rsid w:val="00611CE2"/>
    <w:rsid w:val="00622796"/>
    <w:rsid w:val="006354E6"/>
    <w:rsid w:val="00641D88"/>
    <w:rsid w:val="00691FE2"/>
    <w:rsid w:val="006A0872"/>
    <w:rsid w:val="006A1BFD"/>
    <w:rsid w:val="006A69BF"/>
    <w:rsid w:val="006B517B"/>
    <w:rsid w:val="006B5A7A"/>
    <w:rsid w:val="006D4356"/>
    <w:rsid w:val="006E03E9"/>
    <w:rsid w:val="006E3B95"/>
    <w:rsid w:val="00710C3E"/>
    <w:rsid w:val="00711C90"/>
    <w:rsid w:val="00711DF4"/>
    <w:rsid w:val="0071611B"/>
    <w:rsid w:val="00721A25"/>
    <w:rsid w:val="007231CB"/>
    <w:rsid w:val="007275F9"/>
    <w:rsid w:val="00732539"/>
    <w:rsid w:val="00735472"/>
    <w:rsid w:val="0076366E"/>
    <w:rsid w:val="00772E13"/>
    <w:rsid w:val="007821B9"/>
    <w:rsid w:val="007C0E7E"/>
    <w:rsid w:val="007C20B7"/>
    <w:rsid w:val="007D70A1"/>
    <w:rsid w:val="007E3F75"/>
    <w:rsid w:val="008132E8"/>
    <w:rsid w:val="0081639E"/>
    <w:rsid w:val="008209C5"/>
    <w:rsid w:val="00823407"/>
    <w:rsid w:val="00832831"/>
    <w:rsid w:val="0084177A"/>
    <w:rsid w:val="00850795"/>
    <w:rsid w:val="008B0184"/>
    <w:rsid w:val="008C02D3"/>
    <w:rsid w:val="008C5D02"/>
    <w:rsid w:val="008D2649"/>
    <w:rsid w:val="0090526B"/>
    <w:rsid w:val="0090568D"/>
    <w:rsid w:val="009125C9"/>
    <w:rsid w:val="00913879"/>
    <w:rsid w:val="009172AF"/>
    <w:rsid w:val="00917661"/>
    <w:rsid w:val="0094207E"/>
    <w:rsid w:val="00952E0B"/>
    <w:rsid w:val="00970E5D"/>
    <w:rsid w:val="00974C28"/>
    <w:rsid w:val="0097701C"/>
    <w:rsid w:val="00980A65"/>
    <w:rsid w:val="009A36D8"/>
    <w:rsid w:val="009A4008"/>
    <w:rsid w:val="009B4A6D"/>
    <w:rsid w:val="009B7FA6"/>
    <w:rsid w:val="00A03E61"/>
    <w:rsid w:val="00A25031"/>
    <w:rsid w:val="00A25E70"/>
    <w:rsid w:val="00A33765"/>
    <w:rsid w:val="00A63269"/>
    <w:rsid w:val="00A65856"/>
    <w:rsid w:val="00A661EA"/>
    <w:rsid w:val="00A74FF2"/>
    <w:rsid w:val="00A92377"/>
    <w:rsid w:val="00A9525E"/>
    <w:rsid w:val="00AB29ED"/>
    <w:rsid w:val="00AC42A4"/>
    <w:rsid w:val="00AD34E2"/>
    <w:rsid w:val="00AE4AF8"/>
    <w:rsid w:val="00AE4BD8"/>
    <w:rsid w:val="00AF1330"/>
    <w:rsid w:val="00B01C8A"/>
    <w:rsid w:val="00B40674"/>
    <w:rsid w:val="00B4388F"/>
    <w:rsid w:val="00B63237"/>
    <w:rsid w:val="00B74A74"/>
    <w:rsid w:val="00B8353F"/>
    <w:rsid w:val="00BA5C8A"/>
    <w:rsid w:val="00BB2EE3"/>
    <w:rsid w:val="00BE5FF1"/>
    <w:rsid w:val="00C101B1"/>
    <w:rsid w:val="00C4036B"/>
    <w:rsid w:val="00C57B0F"/>
    <w:rsid w:val="00C76EE0"/>
    <w:rsid w:val="00C80936"/>
    <w:rsid w:val="00C823C8"/>
    <w:rsid w:val="00C960DC"/>
    <w:rsid w:val="00C97DB4"/>
    <w:rsid w:val="00CB3D1D"/>
    <w:rsid w:val="00CD1B8A"/>
    <w:rsid w:val="00CF431D"/>
    <w:rsid w:val="00D00F5B"/>
    <w:rsid w:val="00D02C75"/>
    <w:rsid w:val="00D045BE"/>
    <w:rsid w:val="00D10E22"/>
    <w:rsid w:val="00D13D2C"/>
    <w:rsid w:val="00D25342"/>
    <w:rsid w:val="00D253C7"/>
    <w:rsid w:val="00D30BB2"/>
    <w:rsid w:val="00D313C3"/>
    <w:rsid w:val="00D3624B"/>
    <w:rsid w:val="00D625DE"/>
    <w:rsid w:val="00DB5ADB"/>
    <w:rsid w:val="00DC138A"/>
    <w:rsid w:val="00DC2F94"/>
    <w:rsid w:val="00DD3BC4"/>
    <w:rsid w:val="00DD3D9E"/>
    <w:rsid w:val="00DD7908"/>
    <w:rsid w:val="00DE09CE"/>
    <w:rsid w:val="00DE13D2"/>
    <w:rsid w:val="00DE2932"/>
    <w:rsid w:val="00E10C9E"/>
    <w:rsid w:val="00E27290"/>
    <w:rsid w:val="00E67D02"/>
    <w:rsid w:val="00E82297"/>
    <w:rsid w:val="00E84BFB"/>
    <w:rsid w:val="00E90D4F"/>
    <w:rsid w:val="00E94057"/>
    <w:rsid w:val="00EE4869"/>
    <w:rsid w:val="00EF39FD"/>
    <w:rsid w:val="00EF62C7"/>
    <w:rsid w:val="00F0571A"/>
    <w:rsid w:val="00F06842"/>
    <w:rsid w:val="00F107FD"/>
    <w:rsid w:val="00F12E09"/>
    <w:rsid w:val="00F304CD"/>
    <w:rsid w:val="00F354D3"/>
    <w:rsid w:val="00F365D7"/>
    <w:rsid w:val="00F95546"/>
    <w:rsid w:val="00FB64A8"/>
    <w:rsid w:val="00FC48E2"/>
    <w:rsid w:val="00FF24D0"/>
    <w:rsid w:val="00FF3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customStyle="1" w:styleId="anchor-text">
    <w:name w:val="anchor-text"/>
    <w:basedOn w:val="DefaultParagraphFont"/>
    <w:rsid w:val="0076366E"/>
  </w:style>
  <w:style w:type="table" w:styleId="TableGrid">
    <w:name w:val="Table Grid"/>
    <w:basedOn w:val="TableNormal"/>
    <w:rsid w:val="00CD1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A9525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0F0C56"/>
    <w:rPr>
      <w:color w:val="666666"/>
    </w:rPr>
  </w:style>
  <w:style w:type="table" w:styleId="PlainTable3">
    <w:name w:val="Plain Table 3"/>
    <w:basedOn w:val="TableNormal"/>
    <w:uiPriority w:val="43"/>
    <w:rsid w:val="007C20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162CE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459532">
      <w:bodyDiv w:val="1"/>
      <w:marLeft w:val="0"/>
      <w:marRight w:val="0"/>
      <w:marTop w:val="0"/>
      <w:marBottom w:val="0"/>
      <w:divBdr>
        <w:top w:val="none" w:sz="0" w:space="0" w:color="auto"/>
        <w:left w:val="none" w:sz="0" w:space="0" w:color="auto"/>
        <w:bottom w:val="none" w:sz="0" w:space="0" w:color="auto"/>
        <w:right w:val="none" w:sz="0" w:space="0" w:color="auto"/>
      </w:divBdr>
    </w:div>
    <w:div w:id="2133395793">
      <w:bodyDiv w:val="1"/>
      <w:marLeft w:val="0"/>
      <w:marRight w:val="0"/>
      <w:marTop w:val="0"/>
      <w:marBottom w:val="0"/>
      <w:divBdr>
        <w:top w:val="none" w:sz="0" w:space="0" w:color="auto"/>
        <w:left w:val="none" w:sz="0" w:space="0" w:color="auto"/>
        <w:bottom w:val="none" w:sz="0" w:space="0" w:color="auto"/>
        <w:right w:val="none" w:sz="0" w:space="0" w:color="auto"/>
      </w:divBdr>
      <w:divsChild>
        <w:div w:id="398482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40E99-67A0-4E5F-8F01-9463BDC8C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21</TotalTime>
  <Pages>6</Pages>
  <Words>2458</Words>
  <Characters>13990</Characters>
  <Application>Microsoft Office Word</Application>
  <DocSecurity>0</DocSecurity>
  <Lines>116</Lines>
  <Paragraphs>32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Viktor Kalman</dc:creator>
  <cp:lastModifiedBy>Viktor Kalman</cp:lastModifiedBy>
  <cp:revision>16</cp:revision>
  <cp:lastPrinted>2023-12-15T14:58:00Z</cp:lastPrinted>
  <dcterms:created xsi:type="dcterms:W3CDTF">2023-11-29T10:11:00Z</dcterms:created>
  <dcterms:modified xsi:type="dcterms:W3CDTF">2023-12-22T11:04:00Z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