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C4A0CCA" w:rsidR="00DD3D9E" w:rsidRPr="009A626A" w:rsidRDefault="009A626A">
      <w:pPr>
        <w:pStyle w:val="Els-Title"/>
        <w:rPr>
          <w:color w:val="000000" w:themeColor="text1"/>
          <w:lang w:val="en-GB"/>
        </w:rPr>
      </w:pPr>
      <w:r w:rsidRPr="009A626A">
        <w:rPr>
          <w:color w:val="000000" w:themeColor="text1"/>
        </w:rPr>
        <w:t xml:space="preserve">Absolute </w:t>
      </w:r>
      <w:r>
        <w:rPr>
          <w:color w:val="000000" w:themeColor="text1"/>
        </w:rPr>
        <w:t>S</w:t>
      </w:r>
      <w:r w:rsidRPr="009A626A">
        <w:rPr>
          <w:color w:val="000000" w:themeColor="text1"/>
        </w:rPr>
        <w:t xml:space="preserve">ustainability </w:t>
      </w:r>
      <w:r>
        <w:rPr>
          <w:color w:val="000000" w:themeColor="text1"/>
        </w:rPr>
        <w:t>A</w:t>
      </w:r>
      <w:r w:rsidRPr="009A626A">
        <w:rPr>
          <w:color w:val="000000" w:themeColor="text1"/>
        </w:rPr>
        <w:t xml:space="preserve">ssessment of </w:t>
      </w:r>
      <w:r>
        <w:rPr>
          <w:color w:val="000000" w:themeColor="text1"/>
        </w:rPr>
        <w:t>N</w:t>
      </w:r>
      <w:r w:rsidRPr="009A626A">
        <w:rPr>
          <w:color w:val="000000" w:themeColor="text1"/>
        </w:rPr>
        <w:t>ovel</w:t>
      </w:r>
      <w:r>
        <w:rPr>
          <w:color w:val="000000" w:themeColor="text1"/>
        </w:rPr>
        <w:t xml:space="preserve"> B</w:t>
      </w:r>
      <w:r w:rsidRPr="009A626A">
        <w:rPr>
          <w:color w:val="000000" w:themeColor="text1"/>
        </w:rPr>
        <w:t xml:space="preserve">iobased </w:t>
      </w:r>
      <w:r>
        <w:rPr>
          <w:color w:val="000000" w:themeColor="text1"/>
        </w:rPr>
        <w:t>C</w:t>
      </w:r>
      <w:r w:rsidRPr="009A626A">
        <w:rPr>
          <w:color w:val="000000" w:themeColor="text1"/>
        </w:rPr>
        <w:t xml:space="preserve">hemicals and </w:t>
      </w:r>
      <w:r>
        <w:rPr>
          <w:color w:val="000000" w:themeColor="text1"/>
        </w:rPr>
        <w:t>M</w:t>
      </w:r>
      <w:r w:rsidRPr="009A626A">
        <w:rPr>
          <w:color w:val="000000" w:themeColor="text1"/>
        </w:rPr>
        <w:t>aterials</w:t>
      </w:r>
    </w:p>
    <w:p w14:paraId="09BE9109" w14:textId="47558164" w:rsidR="009A626A" w:rsidRPr="009A626A" w:rsidRDefault="009A626A" w:rsidP="009A626A">
      <w:pPr>
        <w:pStyle w:val="Els-Author"/>
        <w:rPr>
          <w:vertAlign w:val="superscript"/>
        </w:rPr>
      </w:pPr>
      <w:r w:rsidRPr="009A626A">
        <w:t>Marie J. Jones</w:t>
      </w:r>
      <w:r w:rsidRPr="009A626A">
        <w:rPr>
          <w:vertAlign w:val="superscript"/>
        </w:rPr>
        <w:t>a,b</w:t>
      </w:r>
      <w:r w:rsidRPr="009A626A">
        <w:t>*, Lorenz P. Manker</w:t>
      </w:r>
      <w:r w:rsidRPr="009A626A">
        <w:rPr>
          <w:vertAlign w:val="superscript"/>
        </w:rPr>
        <w:t>b</w:t>
      </w:r>
      <w:r w:rsidRPr="009A626A">
        <w:t>, Zezhong John Li</w:t>
      </w:r>
      <w:r w:rsidRPr="009A626A">
        <w:rPr>
          <w:vertAlign w:val="superscript"/>
        </w:rPr>
        <w:t>b</w:t>
      </w:r>
      <w:r w:rsidRPr="009A626A">
        <w:t xml:space="preserve">, Anastasiia </w:t>
      </w:r>
      <w:r w:rsidR="008C5E02">
        <w:t xml:space="preserve">O. </w:t>
      </w:r>
      <w:r w:rsidRPr="009A626A">
        <w:t>Komarova</w:t>
      </w:r>
      <w:r w:rsidRPr="009A626A">
        <w:rPr>
          <w:vertAlign w:val="superscript"/>
        </w:rPr>
        <w:t>b</w:t>
      </w:r>
      <w:r w:rsidRPr="009A626A">
        <w:t>, Jeremy S. Luterbacher</w:t>
      </w:r>
      <w:r w:rsidRPr="009A626A">
        <w:rPr>
          <w:vertAlign w:val="superscript"/>
        </w:rPr>
        <w:t>b</w:t>
      </w:r>
      <w:r w:rsidRPr="009A626A">
        <w:t>, François Maréchal</w:t>
      </w:r>
      <w:r w:rsidRPr="009A626A">
        <w:rPr>
          <w:vertAlign w:val="superscript"/>
        </w:rPr>
        <w:t>a</w:t>
      </w:r>
    </w:p>
    <w:p w14:paraId="6ECEBA91" w14:textId="19252C62" w:rsidR="009A626A" w:rsidRPr="00631DAD" w:rsidRDefault="009A626A" w:rsidP="009A626A">
      <w:pPr>
        <w:rPr>
          <w:i/>
          <w:sz w:val="20"/>
          <w:szCs w:val="20"/>
        </w:rPr>
      </w:pPr>
      <w:r w:rsidRPr="00631DAD">
        <w:rPr>
          <w:sz w:val="20"/>
          <w:szCs w:val="20"/>
          <w:vertAlign w:val="superscript"/>
        </w:rPr>
        <w:t>a</w:t>
      </w:r>
      <w:r w:rsidRPr="00631DAD">
        <w:rPr>
          <w:i/>
          <w:sz w:val="20"/>
          <w:szCs w:val="20"/>
        </w:rPr>
        <w:t>Industrial Energy Systems Laboratory, École Polytechnique Fédérale de Lausanne (EPFL)</w:t>
      </w:r>
      <w:r w:rsidRPr="00631DAD">
        <w:rPr>
          <w:sz w:val="20"/>
          <w:szCs w:val="20"/>
        </w:rPr>
        <w:t>,</w:t>
      </w:r>
      <w:r w:rsidRPr="00631DAD">
        <w:rPr>
          <w:i/>
          <w:sz w:val="20"/>
          <w:szCs w:val="20"/>
        </w:rPr>
        <w:t xml:space="preserve"> Valais</w:t>
      </w:r>
      <w:r w:rsidRPr="00631DAD">
        <w:rPr>
          <w:sz w:val="20"/>
          <w:szCs w:val="20"/>
        </w:rPr>
        <w:t>-</w:t>
      </w:r>
      <w:r w:rsidRPr="00631DAD">
        <w:rPr>
          <w:i/>
          <w:sz w:val="20"/>
          <w:szCs w:val="20"/>
        </w:rPr>
        <w:t>Wallis</w:t>
      </w:r>
      <w:r w:rsidRPr="00631DAD">
        <w:rPr>
          <w:sz w:val="20"/>
          <w:szCs w:val="20"/>
        </w:rPr>
        <w:t xml:space="preserve">, </w:t>
      </w:r>
      <w:r w:rsidRPr="00631DAD">
        <w:rPr>
          <w:i/>
          <w:iCs/>
          <w:sz w:val="20"/>
          <w:szCs w:val="20"/>
        </w:rPr>
        <w:t>1950 Sion, Switzerland</w:t>
      </w:r>
      <w:bookmarkStart w:id="0" w:name="_GoBack"/>
      <w:bookmarkEnd w:id="0"/>
    </w:p>
    <w:p w14:paraId="0BD844A4" w14:textId="42247B40" w:rsidR="009A626A" w:rsidRPr="00631DAD" w:rsidRDefault="009A626A" w:rsidP="009A626A">
      <w:pPr>
        <w:rPr>
          <w:i/>
          <w:sz w:val="20"/>
          <w:szCs w:val="20"/>
        </w:rPr>
      </w:pPr>
      <w:r w:rsidRPr="00631DAD">
        <w:rPr>
          <w:sz w:val="20"/>
          <w:szCs w:val="20"/>
          <w:vertAlign w:val="superscript"/>
        </w:rPr>
        <w:t>b</w:t>
      </w:r>
      <w:r w:rsidRPr="00631DAD">
        <w:rPr>
          <w:i/>
          <w:sz w:val="20"/>
          <w:szCs w:val="20"/>
        </w:rPr>
        <w:t>Laboratory of Sustainable and Catalytic Processing, École Polytechnique Fédérale de Lausanne, 1015 Lausanne, Switzerland</w:t>
      </w:r>
    </w:p>
    <w:p w14:paraId="69EC7E77" w14:textId="6DF5C4F4" w:rsidR="009A626A" w:rsidRPr="00631DAD" w:rsidRDefault="008C5E02" w:rsidP="00631DAD">
      <w:pPr>
        <w:pStyle w:val="Els-Affiliation"/>
        <w:rPr>
          <w:i w:val="0"/>
        </w:rPr>
      </w:pPr>
      <w:hyperlink r:id="rId8" w:history="1">
        <w:r w:rsidR="009A626A" w:rsidRPr="00631DAD">
          <w:rPr>
            <w:rStyle w:val="Collegamentoipertestuale"/>
          </w:rPr>
          <w:t>marie.jones@epfl.ch</w:t>
        </w:r>
      </w:hyperlink>
      <w:r w:rsidR="009A626A" w:rsidRPr="00631DAD">
        <w:t xml:space="preserve"> </w:t>
      </w:r>
    </w:p>
    <w:p w14:paraId="5FE6152D" w14:textId="7245B2AE" w:rsidR="009A626A" w:rsidRPr="009A626A" w:rsidRDefault="008D2649" w:rsidP="007D78E4">
      <w:pPr>
        <w:pStyle w:val="Els-Abstract"/>
        <w:spacing w:before="120"/>
      </w:pPr>
      <w:r>
        <w:t>Abstract</w:t>
      </w:r>
    </w:p>
    <w:p w14:paraId="742E1DAB" w14:textId="30E4B37B" w:rsidR="009D4105" w:rsidRPr="009D4105" w:rsidRDefault="009A626A" w:rsidP="00D92239">
      <w:pPr>
        <w:pStyle w:val="Els-body-text"/>
      </w:pPr>
      <w:r w:rsidRPr="009A626A">
        <w:rPr>
          <w:lang w:val="en-GB"/>
        </w:rPr>
        <w:t>Biomass is a promising feedstock to source renewable carbon needed to produce biobased chemicals and materials.</w:t>
      </w:r>
      <w:r w:rsidR="00E137AD">
        <w:rPr>
          <w:lang w:val="en-GB"/>
        </w:rPr>
        <w:t xml:space="preserve"> </w:t>
      </w:r>
      <w:r w:rsidR="00E137AD" w:rsidRPr="00E137AD">
        <w:t>Whilst the focus has mostly been the development of processes for drop-in replacements of petrochemicals, there is a shift towards the design of new molecules which retain as much biogenic atoms as possible.</w:t>
      </w:r>
      <w:r w:rsidR="00E137AD">
        <w:t xml:space="preserve"> </w:t>
      </w:r>
      <w:r w:rsidR="00F77A3E">
        <w:t xml:space="preserve">The </w:t>
      </w:r>
      <w:r w:rsidR="00F77A3E" w:rsidRPr="00F77A3E">
        <w:t xml:space="preserve">Aldehyde-Assisted Fractionation (AAF) </w:t>
      </w:r>
      <w:r w:rsidR="00F77A3E">
        <w:t xml:space="preserve">of biomass </w:t>
      </w:r>
      <w:r w:rsidR="00F77A3E" w:rsidRPr="00F77A3E">
        <w:t xml:space="preserve">yields </w:t>
      </w:r>
      <w:r w:rsidR="00F77A3E">
        <w:t>functionalized</w:t>
      </w:r>
      <w:r w:rsidR="00F77A3E" w:rsidRPr="00F77A3E">
        <w:t xml:space="preserve"> xyloses</w:t>
      </w:r>
      <w:r w:rsidR="00F77A3E">
        <w:t xml:space="preserve"> with high biomass utilization efficiencies. By changing the functionalization of the aldehyde, the properties can be tuned to produce a wide range of products. In this work, we perform an early assessment of the environmental impacts of producing a green solvent and </w:t>
      </w:r>
      <w:r w:rsidR="009D4105">
        <w:t>two</w:t>
      </w:r>
      <w:r w:rsidR="00F77A3E">
        <w:t xml:space="preserve"> bioplastic</w:t>
      </w:r>
      <w:r w:rsidR="009D4105">
        <w:t>s</w:t>
      </w:r>
      <w:r w:rsidR="00F77A3E">
        <w:t>, starting from pure xylose or agricultural wastes. Process inventories, retrieved from Aspen Plus</w:t>
      </w:r>
      <w:r w:rsidR="00F77A3E" w:rsidRPr="0094699A">
        <w:rPr>
          <w:vertAlign w:val="superscript"/>
        </w:rPr>
        <w:t>®</w:t>
      </w:r>
      <w:r w:rsidR="00F77A3E">
        <w:t xml:space="preserve"> simulations, are the basis of a cradle-to-grave life cycle analysis</w:t>
      </w:r>
      <w:r w:rsidR="000F58EF">
        <w:t>,</w:t>
      </w:r>
      <w:r w:rsidR="00F77A3E">
        <w:t xml:space="preserve"> which is further complemented by </w:t>
      </w:r>
      <w:r w:rsidR="000F58EF">
        <w:t>evaluating the</w:t>
      </w:r>
      <w:r w:rsidR="00F77A3E">
        <w:t xml:space="preserve"> </w:t>
      </w:r>
      <w:r w:rsidR="000F58EF">
        <w:t xml:space="preserve">transgression levels of Planetary Boundaries. </w:t>
      </w:r>
      <w:r w:rsidR="009D4105">
        <w:t xml:space="preserve">Whilst a </w:t>
      </w:r>
      <w:r w:rsidR="009D4105" w:rsidRPr="00F77A3E">
        <w:rPr>
          <w:lang w:val="en-GB"/>
        </w:rPr>
        <w:t>significant reduction of CO</w:t>
      </w:r>
      <w:r w:rsidR="009D4105" w:rsidRPr="00726AAE">
        <w:rPr>
          <w:vertAlign w:val="subscript"/>
          <w:lang w:val="en-GB"/>
        </w:rPr>
        <w:t>2</w:t>
      </w:r>
      <w:r w:rsidR="009D4105" w:rsidRPr="00F77A3E">
        <w:rPr>
          <w:lang w:val="en-GB"/>
        </w:rPr>
        <w:t xml:space="preserve"> footprint compared to petrochemical alternatives</w:t>
      </w:r>
      <w:r w:rsidR="00BB56AD">
        <w:rPr>
          <w:lang w:val="en-GB"/>
        </w:rPr>
        <w:t xml:space="preserve"> can be achieved</w:t>
      </w:r>
      <w:r w:rsidR="009D4105">
        <w:rPr>
          <w:lang w:val="en-GB"/>
        </w:rPr>
        <w:t xml:space="preserve">, especially when starting from non-edible biomass, can be achieved, the absolute sustainability analysis revealed that we remain far from the ecological budget. Our results highlight that a transition to a biobased economy requires changes across the whole chemical industry to decarbonise the utility systems and all the reagents. Prolonged use-phase and efficient recycling </w:t>
      </w:r>
      <w:r w:rsidR="00F816B0">
        <w:rPr>
          <w:lang w:val="en-GB"/>
        </w:rPr>
        <w:t>are included in the</w:t>
      </w:r>
      <w:r w:rsidR="009D4105">
        <w:rPr>
          <w:lang w:val="en-GB"/>
        </w:rPr>
        <w:t xml:space="preserve"> necessary measures to go hand in hand with the development of new molecules designed to improve biomass utilization efficiency.</w:t>
      </w:r>
    </w:p>
    <w:p w14:paraId="144DE687" w14:textId="6D965078" w:rsidR="008D2649" w:rsidRDefault="008D2649" w:rsidP="007D78E4">
      <w:pPr>
        <w:pStyle w:val="Els-body-text"/>
        <w:rPr>
          <w:lang w:val="en-GB"/>
        </w:rPr>
      </w:pPr>
      <w:r>
        <w:rPr>
          <w:b/>
          <w:bCs/>
          <w:lang w:val="en-GB"/>
        </w:rPr>
        <w:t>Keywords</w:t>
      </w:r>
      <w:r>
        <w:rPr>
          <w:lang w:val="en-GB"/>
        </w:rPr>
        <w:t xml:space="preserve">: </w:t>
      </w:r>
      <w:r w:rsidR="009A626A" w:rsidRPr="009A626A">
        <w:rPr>
          <w:lang w:val="en-GB"/>
        </w:rPr>
        <w:t>Sustainability,</w:t>
      </w:r>
      <w:r w:rsidR="009A626A">
        <w:rPr>
          <w:lang w:val="en-GB"/>
        </w:rPr>
        <w:t xml:space="preserve"> biorefinery,</w:t>
      </w:r>
      <w:r w:rsidR="009A626A" w:rsidRPr="009A626A">
        <w:rPr>
          <w:lang w:val="en-GB"/>
        </w:rPr>
        <w:t xml:space="preserve"> bioplastics, planetary boundaries</w:t>
      </w:r>
      <w:r w:rsidR="001E3315">
        <w:rPr>
          <w:lang w:val="en-GB"/>
        </w:rPr>
        <w:t>.</w:t>
      </w:r>
    </w:p>
    <w:p w14:paraId="144DE689" w14:textId="3D21E69C" w:rsidR="008D2649" w:rsidRDefault="009A626A" w:rsidP="007D78E4">
      <w:pPr>
        <w:pStyle w:val="Els-1storder-head"/>
        <w:spacing w:before="120"/>
      </w:pPr>
      <w:r>
        <w:t>Introduction</w:t>
      </w:r>
    </w:p>
    <w:p w14:paraId="56A0700D" w14:textId="39B37E1E" w:rsidR="004D47CF" w:rsidRDefault="009317E8" w:rsidP="004D47CF">
      <w:pPr>
        <w:pStyle w:val="Els-body-text"/>
        <w:rPr>
          <w:lang w:val="en-GB"/>
        </w:rPr>
      </w:pPr>
      <w:r>
        <w:t>T</w:t>
      </w:r>
      <w:r w:rsidRPr="00E137AD">
        <w:t>o keep global warming below 2</w:t>
      </w:r>
      <w:r w:rsidR="008126A5">
        <w:t xml:space="preserve"> </w:t>
      </w:r>
      <w:r w:rsidRPr="00E137AD">
        <w:t>ºC above pre-industrial levels, greener production schemes starting from renewable carbon sources have to be adopted</w:t>
      </w:r>
      <w:r>
        <w:t xml:space="preserve"> by the chemical industry</w:t>
      </w:r>
      <w:r w:rsidRPr="00E137AD">
        <w:t>. Lignocellulosic biomass</w:t>
      </w:r>
      <w:r>
        <w:t xml:space="preserve"> </w:t>
      </w:r>
      <w:r w:rsidRPr="00E137AD">
        <w:t>is a promising feedstock to produce biobased fuels, chemicals and materials</w:t>
      </w:r>
      <w:r>
        <w:t xml:space="preserve">. </w:t>
      </w:r>
      <w:r w:rsidRPr="00D542E6">
        <w:rPr>
          <w:sz w:val="21"/>
          <w:szCs w:val="21"/>
          <w:lang w:val="en-GB"/>
        </w:rPr>
        <w:t>A major focus so far has been the development of technologies towards the fractionation and conversion of cellulose</w:t>
      </w:r>
      <w:r>
        <w:rPr>
          <w:sz w:val="21"/>
          <w:szCs w:val="21"/>
          <w:lang w:val="en-GB"/>
        </w:rPr>
        <w:t xml:space="preserve"> into</w:t>
      </w:r>
      <w:r w:rsidR="004D47CF">
        <w:rPr>
          <w:sz w:val="21"/>
          <w:szCs w:val="21"/>
          <w:lang w:val="en-GB"/>
        </w:rPr>
        <w:t xml:space="preserve"> direct</w:t>
      </w:r>
      <w:r>
        <w:rPr>
          <w:sz w:val="21"/>
          <w:szCs w:val="21"/>
          <w:lang w:val="en-GB"/>
        </w:rPr>
        <w:t xml:space="preserve"> petrochemical replacements. However, biomass is a highly oxygenated feedstock </w:t>
      </w:r>
      <w:r>
        <w:rPr>
          <w:sz w:val="21"/>
          <w:szCs w:val="21"/>
          <w:lang w:val="en-GB"/>
        </w:rPr>
        <w:lastRenderedPageBreak/>
        <w:t>which must undergo several processing steps to yield conventional, carbon-rich, building blocks. Retrofitting biobased molecules to fossil-based molecules thus results in complex processes with low biomass utilisation efficiencies</w:t>
      </w:r>
      <w:r w:rsidR="001F59DB">
        <w:rPr>
          <w:sz w:val="21"/>
          <w:szCs w:val="21"/>
          <w:lang w:val="en-GB"/>
        </w:rPr>
        <w:t xml:space="preserve"> (Manker </w:t>
      </w:r>
      <w:r w:rsidR="001F59DB" w:rsidRPr="001F59DB">
        <w:rPr>
          <w:i/>
          <w:iCs/>
          <w:sz w:val="21"/>
          <w:szCs w:val="21"/>
          <w:lang w:val="en-GB"/>
        </w:rPr>
        <w:t>et al.,</w:t>
      </w:r>
      <w:r w:rsidR="001F59DB">
        <w:rPr>
          <w:sz w:val="21"/>
          <w:szCs w:val="21"/>
          <w:lang w:val="en-GB"/>
        </w:rPr>
        <w:t xml:space="preserve"> 2023a)</w:t>
      </w:r>
      <w:r>
        <w:rPr>
          <w:sz w:val="21"/>
          <w:szCs w:val="21"/>
          <w:lang w:val="en-GB"/>
        </w:rPr>
        <w:t>. A</w:t>
      </w:r>
      <w:r w:rsidR="004D47CF">
        <w:rPr>
          <w:sz w:val="21"/>
          <w:szCs w:val="21"/>
          <w:lang w:val="en-GB"/>
        </w:rPr>
        <w:t xml:space="preserve">n </w:t>
      </w:r>
      <w:r>
        <w:rPr>
          <w:sz w:val="21"/>
          <w:szCs w:val="21"/>
          <w:lang w:val="en-GB"/>
        </w:rPr>
        <w:t xml:space="preserve">alternative biorefining strategy is to design </w:t>
      </w:r>
      <w:r w:rsidR="004D47CF">
        <w:rPr>
          <w:sz w:val="21"/>
          <w:szCs w:val="21"/>
          <w:lang w:val="en-GB"/>
        </w:rPr>
        <w:t xml:space="preserve">molecules retaining as much native-atoms as possible and tune their properties to become functionality substitutes of petrochemicals. One such </w:t>
      </w:r>
      <w:r w:rsidR="004D47CF" w:rsidRPr="00E137AD">
        <w:t>innovative strategy</w:t>
      </w:r>
      <w:r w:rsidR="004D47CF">
        <w:t>,</w:t>
      </w:r>
      <w:r w:rsidR="004D47CF" w:rsidRPr="00E137AD">
        <w:t xml:space="preserve"> relying on aldehydes to stabilize reactive intermediates during the fractionation of lignocellulosic biomass</w:t>
      </w:r>
      <w:r w:rsidR="004D47CF">
        <w:t>,</w:t>
      </w:r>
      <w:r w:rsidR="004D47CF" w:rsidRPr="00E137AD">
        <w:t xml:space="preserve"> has recently </w:t>
      </w:r>
      <w:r w:rsidR="004D47CF">
        <w:t xml:space="preserve">emerged. </w:t>
      </w:r>
      <w:r w:rsidR="004D47CF" w:rsidRPr="00E137AD">
        <w:t>In addition to producing a highly digestible cellulose pulp and an uncondensed acetal-stabilized lignin which can be efficiently depolymerized, Aldehyde-Assisted Fractionation (AAF) yields acetal-stabili</w:t>
      </w:r>
      <w:r w:rsidR="00E66F9B">
        <w:t>z</w:t>
      </w:r>
      <w:r w:rsidR="004D47CF" w:rsidRPr="00E137AD">
        <w:t>ed xyloses</w:t>
      </w:r>
      <w:r w:rsidR="001F59DB">
        <w:t xml:space="preserve">. </w:t>
      </w:r>
      <w:r w:rsidR="00E66F9B" w:rsidRPr="00F77A3E">
        <w:rPr>
          <w:lang w:val="en-GB"/>
        </w:rPr>
        <w:t xml:space="preserve">By using a carboxylic acid-functionalized aldehyde, we can also directly produce a bioplastic </w:t>
      </w:r>
      <w:r w:rsidR="00E66F9B">
        <w:rPr>
          <w:lang w:val="en-GB"/>
        </w:rPr>
        <w:t>precursor</w:t>
      </w:r>
      <w:r w:rsidR="00E66F9B" w:rsidRPr="00F77A3E">
        <w:rPr>
          <w:lang w:val="en-GB"/>
        </w:rPr>
        <w:t xml:space="preserve">, </w:t>
      </w:r>
      <w:proofErr w:type="spellStart"/>
      <w:r w:rsidR="00E66F9B" w:rsidRPr="00F77A3E">
        <w:rPr>
          <w:lang w:val="en-GB"/>
        </w:rPr>
        <w:t>dimethylglyoxylate</w:t>
      </w:r>
      <w:proofErr w:type="spellEnd"/>
      <w:r w:rsidR="00E66F9B" w:rsidRPr="00F77A3E">
        <w:rPr>
          <w:lang w:val="en-GB"/>
        </w:rPr>
        <w:t xml:space="preserve"> xylose (DMGX</w:t>
      </w:r>
      <w:r w:rsidR="00E66F9B">
        <w:rPr>
          <w:lang w:val="en-GB"/>
        </w:rPr>
        <w:t>)</w:t>
      </w:r>
      <w:r w:rsidR="001F59DB">
        <w:rPr>
          <w:lang w:val="en-GB"/>
        </w:rPr>
        <w:t xml:space="preserve"> (</w:t>
      </w:r>
      <w:proofErr w:type="spellStart"/>
      <w:r w:rsidR="001F59DB">
        <w:rPr>
          <w:lang w:val="en-GB"/>
        </w:rPr>
        <w:t>Manker</w:t>
      </w:r>
      <w:proofErr w:type="spellEnd"/>
      <w:r w:rsidR="001F59DB">
        <w:rPr>
          <w:lang w:val="en-GB"/>
        </w:rPr>
        <w:t xml:space="preserve"> </w:t>
      </w:r>
      <w:r w:rsidR="001F59DB" w:rsidRPr="001F59DB">
        <w:rPr>
          <w:i/>
          <w:iCs/>
          <w:lang w:val="en-GB"/>
        </w:rPr>
        <w:t>et al.,</w:t>
      </w:r>
      <w:r w:rsidR="001F59DB">
        <w:rPr>
          <w:lang w:val="en-GB"/>
        </w:rPr>
        <w:t xml:space="preserve"> 2022)</w:t>
      </w:r>
      <w:r w:rsidR="00E66F9B">
        <w:rPr>
          <w:lang w:val="en-GB"/>
        </w:rPr>
        <w:t>, which</w:t>
      </w:r>
      <w:r w:rsidR="00E66F9B" w:rsidRPr="00F77A3E">
        <w:rPr>
          <w:lang w:val="en-GB"/>
        </w:rPr>
        <w:t xml:space="preserve"> could substitute </w:t>
      </w:r>
      <w:proofErr w:type="spellStart"/>
      <w:r w:rsidR="00E66F9B" w:rsidRPr="00F77A3E">
        <w:rPr>
          <w:lang w:val="en-GB"/>
        </w:rPr>
        <w:t>petro</w:t>
      </w:r>
      <w:proofErr w:type="spellEnd"/>
      <w:r w:rsidR="00E66F9B">
        <w:rPr>
          <w:lang w:val="en-GB"/>
        </w:rPr>
        <w:t>-</w:t>
      </w:r>
      <w:r w:rsidR="00E66F9B" w:rsidRPr="00F77A3E">
        <w:rPr>
          <w:lang w:val="en-GB"/>
        </w:rPr>
        <w:t>based monomers in various polymers, such as</w:t>
      </w:r>
      <w:r w:rsidR="00631DAD">
        <w:rPr>
          <w:lang w:val="en-GB"/>
        </w:rPr>
        <w:t xml:space="preserve"> PA-</w:t>
      </w:r>
      <w:proofErr w:type="gramStart"/>
      <w:r w:rsidR="00631DAD">
        <w:rPr>
          <w:lang w:val="en-GB"/>
        </w:rPr>
        <w:t>8,DGX</w:t>
      </w:r>
      <w:proofErr w:type="gramEnd"/>
      <w:r w:rsidR="00E66F9B" w:rsidRPr="00F77A3E">
        <w:rPr>
          <w:lang w:val="en-GB"/>
        </w:rPr>
        <w:t xml:space="preserve"> polyamides</w:t>
      </w:r>
      <w:r w:rsidR="00E66F9B">
        <w:rPr>
          <w:lang w:val="en-GB"/>
        </w:rPr>
        <w:t xml:space="preserve"> </w:t>
      </w:r>
      <w:r w:rsidR="001F59DB">
        <w:rPr>
          <w:lang w:val="en-GB"/>
        </w:rPr>
        <w:t xml:space="preserve">(Manker </w:t>
      </w:r>
      <w:r w:rsidR="001F59DB" w:rsidRPr="001F59DB">
        <w:rPr>
          <w:i/>
          <w:iCs/>
          <w:lang w:val="en-GB"/>
        </w:rPr>
        <w:t>et al.,</w:t>
      </w:r>
      <w:r w:rsidR="001F59DB">
        <w:rPr>
          <w:lang w:val="en-GB"/>
        </w:rPr>
        <w:t xml:space="preserve"> 2023b). </w:t>
      </w:r>
      <w:proofErr w:type="spellStart"/>
      <w:r w:rsidR="00E66F9B" w:rsidRPr="00F77A3E">
        <w:rPr>
          <w:lang w:val="en-GB"/>
        </w:rPr>
        <w:t>Diformylxylose</w:t>
      </w:r>
      <w:proofErr w:type="spellEnd"/>
      <w:r w:rsidR="00E66F9B" w:rsidRPr="00F77A3E">
        <w:rPr>
          <w:lang w:val="en-GB"/>
        </w:rPr>
        <w:t xml:space="preserve"> (DFX), a new polar aprotic solvent</w:t>
      </w:r>
      <w:r w:rsidR="00E66F9B">
        <w:rPr>
          <w:lang w:val="en-GB"/>
        </w:rPr>
        <w:t xml:space="preserve"> </w:t>
      </w:r>
      <w:r w:rsidR="001F59DB">
        <w:rPr>
          <w:lang w:val="en-GB"/>
        </w:rPr>
        <w:t>(</w:t>
      </w:r>
      <w:proofErr w:type="spellStart"/>
      <w:r w:rsidR="001F59DB">
        <w:rPr>
          <w:lang w:val="en-GB"/>
        </w:rPr>
        <w:t>Komarova</w:t>
      </w:r>
      <w:proofErr w:type="spellEnd"/>
      <w:r w:rsidR="001F59DB">
        <w:rPr>
          <w:lang w:val="en-GB"/>
        </w:rPr>
        <w:t xml:space="preserve"> </w:t>
      </w:r>
      <w:r w:rsidR="001F59DB" w:rsidRPr="001F59DB">
        <w:rPr>
          <w:i/>
          <w:iCs/>
          <w:lang w:val="en-GB"/>
        </w:rPr>
        <w:t>et al.,</w:t>
      </w:r>
      <w:r w:rsidR="001F59DB">
        <w:rPr>
          <w:lang w:val="en-GB"/>
        </w:rPr>
        <w:t xml:space="preserve"> 2021)</w:t>
      </w:r>
      <w:r w:rsidR="00E66F9B" w:rsidRPr="00F77A3E">
        <w:rPr>
          <w:lang w:val="en-GB"/>
        </w:rPr>
        <w:t>, can be produced in a single</w:t>
      </w:r>
      <w:r w:rsidR="00E66F9B">
        <w:rPr>
          <w:lang w:val="en-GB"/>
        </w:rPr>
        <w:t>-</w:t>
      </w:r>
      <w:r w:rsidR="00E66F9B" w:rsidRPr="00F77A3E">
        <w:rPr>
          <w:lang w:val="en-GB"/>
        </w:rPr>
        <w:t xml:space="preserve">step from agricultural wastes. </w:t>
      </w:r>
    </w:p>
    <w:p w14:paraId="321D0503" w14:textId="160B79DF" w:rsidR="00E66F9B" w:rsidRPr="0038594F" w:rsidRDefault="00E66F9B" w:rsidP="0038594F">
      <w:pPr>
        <w:pStyle w:val="Els-body-text"/>
        <w:ind w:firstLine="720"/>
        <w:rPr>
          <w:lang w:val="en-GB"/>
        </w:rPr>
      </w:pPr>
      <w:r w:rsidRPr="00E137AD">
        <w:t xml:space="preserve">To determine the ability of </w:t>
      </w:r>
      <w:r>
        <w:t xml:space="preserve">those </w:t>
      </w:r>
      <w:r w:rsidRPr="00E137AD">
        <w:t>novel biobased products to be sustainable substitutes to existing petrochemical products, we must assess early the environmental impacts of their production process.</w:t>
      </w:r>
      <w:r>
        <w:t xml:space="preserve"> </w:t>
      </w:r>
      <w:r w:rsidRPr="00F77A3E">
        <w:rPr>
          <w:lang w:val="en-GB"/>
        </w:rPr>
        <w:t>Life cycle analysis (LCA) is a necessary starting point but it does not assess the absolute sustainability of a product. The Planetary Boundary (PB) framework offers this possibility</w:t>
      </w:r>
      <w:r>
        <w:rPr>
          <w:lang w:val="en-GB"/>
        </w:rPr>
        <w:t>,</w:t>
      </w:r>
      <w:r w:rsidRPr="00F77A3E">
        <w:rPr>
          <w:lang w:val="en-GB"/>
        </w:rPr>
        <w:t xml:space="preserve"> by defining global limits which should not be crossed to avoid destabilising the Earth system.</w:t>
      </w:r>
      <w:r>
        <w:rPr>
          <w:lang w:val="en-GB"/>
        </w:rPr>
        <w:t xml:space="preserve"> </w:t>
      </w:r>
      <w:proofErr w:type="spellStart"/>
      <w:r w:rsidR="00635024" w:rsidRPr="00635024">
        <w:rPr>
          <w:lang w:val="en-GB"/>
        </w:rPr>
        <w:t>Guillén-Gosálbez</w:t>
      </w:r>
      <w:proofErr w:type="spellEnd"/>
      <w:r w:rsidR="00635024">
        <w:rPr>
          <w:lang w:val="en-GB"/>
        </w:rPr>
        <w:t xml:space="preserve"> and co-workers developed a methodology to link </w:t>
      </w:r>
      <w:r w:rsidR="0038594F">
        <w:rPr>
          <w:lang w:val="en-GB"/>
        </w:rPr>
        <w:t xml:space="preserve">process synthesis with the estimation of the PB transgression levels </w:t>
      </w:r>
      <w:r w:rsidR="001F59DB">
        <w:rPr>
          <w:lang w:val="en-GB"/>
        </w:rPr>
        <w:t xml:space="preserve">(Vázquez and </w:t>
      </w:r>
      <w:proofErr w:type="spellStart"/>
      <w:r w:rsidR="001F59DB">
        <w:rPr>
          <w:lang w:val="en-GB"/>
        </w:rPr>
        <w:t>Guillén</w:t>
      </w:r>
      <w:r w:rsidR="00690F5B">
        <w:rPr>
          <w:lang w:val="en-GB"/>
        </w:rPr>
        <w:t>-Gosálbez</w:t>
      </w:r>
      <w:proofErr w:type="spellEnd"/>
      <w:r w:rsidR="00690F5B">
        <w:rPr>
          <w:lang w:val="en-GB"/>
        </w:rPr>
        <w:t>, 2021)</w:t>
      </w:r>
      <w:r w:rsidR="0038594F">
        <w:rPr>
          <w:lang w:val="en-GB"/>
        </w:rPr>
        <w:t xml:space="preserve"> using characterisation factors and economic downscaling. Recent studies on CO</w:t>
      </w:r>
      <w:r w:rsidR="0038594F" w:rsidRPr="0038594F">
        <w:rPr>
          <w:vertAlign w:val="subscript"/>
          <w:lang w:val="en-GB"/>
        </w:rPr>
        <w:t>2</w:t>
      </w:r>
      <w:r w:rsidR="0038594F">
        <w:rPr>
          <w:lang w:val="en-GB"/>
        </w:rPr>
        <w:t xml:space="preserve"> utilisation </w:t>
      </w:r>
      <w:r w:rsidR="001F59DB">
        <w:rPr>
          <w:lang w:val="en-GB"/>
        </w:rPr>
        <w:t>(</w:t>
      </w:r>
      <w:proofErr w:type="spellStart"/>
      <w:r w:rsidR="001F59DB">
        <w:rPr>
          <w:lang w:val="en-GB"/>
        </w:rPr>
        <w:t>Ioannou</w:t>
      </w:r>
      <w:proofErr w:type="spellEnd"/>
      <w:r w:rsidR="001F59DB">
        <w:rPr>
          <w:lang w:val="en-GB"/>
        </w:rPr>
        <w:t xml:space="preserve"> </w:t>
      </w:r>
      <w:r w:rsidR="001F59DB" w:rsidRPr="001F59DB">
        <w:rPr>
          <w:i/>
          <w:iCs/>
          <w:lang w:val="en-GB"/>
        </w:rPr>
        <w:t>et al.,</w:t>
      </w:r>
      <w:r w:rsidR="001F59DB">
        <w:rPr>
          <w:lang w:val="en-GB"/>
        </w:rPr>
        <w:t xml:space="preserve"> 2023)</w:t>
      </w:r>
      <w:r w:rsidR="0038594F">
        <w:rPr>
          <w:lang w:val="en-GB"/>
        </w:rPr>
        <w:t xml:space="preserve"> and the plastic industry </w:t>
      </w:r>
      <w:r w:rsidR="001F59DB">
        <w:rPr>
          <w:lang w:val="en-GB"/>
        </w:rPr>
        <w:t xml:space="preserve">(Bachmann </w:t>
      </w:r>
      <w:r w:rsidR="001F59DB" w:rsidRPr="001F59DB">
        <w:rPr>
          <w:i/>
          <w:iCs/>
          <w:lang w:val="en-GB"/>
        </w:rPr>
        <w:t>et al.,</w:t>
      </w:r>
      <w:r w:rsidR="001F59DB">
        <w:rPr>
          <w:lang w:val="en-GB"/>
        </w:rPr>
        <w:t xml:space="preserve"> 2023)</w:t>
      </w:r>
      <w:r w:rsidR="0038594F">
        <w:rPr>
          <w:lang w:val="en-GB"/>
        </w:rPr>
        <w:t xml:space="preserve"> provide guidelines towards absolute sustainability but </w:t>
      </w:r>
      <w:r w:rsidR="00631DAD">
        <w:rPr>
          <w:lang w:val="en-GB"/>
        </w:rPr>
        <w:t xml:space="preserve">did not take into consideration </w:t>
      </w:r>
      <w:r w:rsidR="0038594F">
        <w:rPr>
          <w:lang w:val="en-GB"/>
        </w:rPr>
        <w:t xml:space="preserve">new bio-based molecules. </w:t>
      </w:r>
      <w:r w:rsidRPr="00F77A3E">
        <w:rPr>
          <w:lang w:val="en-GB"/>
        </w:rPr>
        <w:t>In this work, w</w:t>
      </w:r>
      <w:r>
        <w:rPr>
          <w:lang w:val="en-GB"/>
        </w:rPr>
        <w:t>e</w:t>
      </w:r>
      <w:r w:rsidRPr="00F77A3E">
        <w:rPr>
          <w:lang w:val="en-GB"/>
        </w:rPr>
        <w:t xml:space="preserve"> buil</w:t>
      </w:r>
      <w:r>
        <w:rPr>
          <w:lang w:val="en-GB"/>
        </w:rPr>
        <w:t>d</w:t>
      </w:r>
      <w:r w:rsidRPr="00F77A3E">
        <w:rPr>
          <w:lang w:val="en-GB"/>
        </w:rPr>
        <w:t xml:space="preserve"> upon a comparative LCA of </w:t>
      </w:r>
      <w:r w:rsidR="009D4105">
        <w:rPr>
          <w:lang w:val="en-GB"/>
        </w:rPr>
        <w:t>three</w:t>
      </w:r>
      <w:r w:rsidRPr="00F77A3E">
        <w:rPr>
          <w:lang w:val="en-GB"/>
        </w:rPr>
        <w:t xml:space="preserve"> xylose-derived molecules to assess their transgression levels of PBs</w:t>
      </w:r>
      <w:r w:rsidR="009D4105">
        <w:rPr>
          <w:lang w:val="en-GB"/>
        </w:rPr>
        <w:t>, depending on whether they are produced from pure xylose sugars or from raw corn cobs</w:t>
      </w:r>
      <w:r w:rsidRPr="00F77A3E">
        <w:rPr>
          <w:lang w:val="en-GB"/>
        </w:rPr>
        <w:t>.</w:t>
      </w:r>
    </w:p>
    <w:p w14:paraId="144DE699" w14:textId="2FAB30EE" w:rsidR="008D2649" w:rsidRDefault="009A626A" w:rsidP="008D2649">
      <w:pPr>
        <w:pStyle w:val="Els-1storder-head"/>
      </w:pPr>
      <w:r>
        <w:t>Materials and Methods</w:t>
      </w:r>
    </w:p>
    <w:p w14:paraId="144DE69A" w14:textId="0D5B119A" w:rsidR="008D2649" w:rsidRDefault="001E3315" w:rsidP="008D2649">
      <w:pPr>
        <w:pStyle w:val="Els-2ndorder-head"/>
      </w:pPr>
      <w:r>
        <w:t>Process Descriptions</w:t>
      </w:r>
    </w:p>
    <w:p w14:paraId="144DE69B" w14:textId="3A21446D" w:rsidR="008D2649" w:rsidRDefault="00631DAD" w:rsidP="009D4105">
      <w:pPr>
        <w:pStyle w:val="Els-body-text"/>
      </w:pPr>
      <w:r>
        <w:t xml:space="preserve">Two alternative feedstocks </w:t>
      </w:r>
      <w:r w:rsidR="009D4105">
        <w:t xml:space="preserve">can </w:t>
      </w:r>
      <w:r>
        <w:t xml:space="preserve">be used to obtain </w:t>
      </w:r>
      <w:r w:rsidR="009D4105">
        <w:t>3 products</w:t>
      </w:r>
      <w:r>
        <w:t xml:space="preserve">, for which five different processes have been modelled </w:t>
      </w:r>
      <w:r w:rsidR="00F71CB4">
        <w:t>(Fig. 1)</w:t>
      </w:r>
      <w:r w:rsidR="009D4105">
        <w:t>: (1) DMGX from xylose, (2) DMGX from corn cobs, (3) PA-</w:t>
      </w:r>
      <w:proofErr w:type="gramStart"/>
      <w:r w:rsidR="009D4105">
        <w:t>8,DGX</w:t>
      </w:r>
      <w:proofErr w:type="gramEnd"/>
      <w:r w:rsidR="003D46FA">
        <w:t xml:space="preserve"> </w:t>
      </w:r>
      <w:r w:rsidR="009D4105">
        <w:t>from DMGX, (4) DFX from xylose and (5) DFX from corn cobs.</w:t>
      </w:r>
      <w:r w:rsidR="00F816B0">
        <w:t xml:space="preserve"> </w:t>
      </w:r>
    </w:p>
    <w:p w14:paraId="0E1D776E" w14:textId="011A7C6D" w:rsidR="00CE1EC0" w:rsidRDefault="00B14E36" w:rsidP="008D2649">
      <w:pPr>
        <w:pStyle w:val="Els-body-text"/>
      </w:pPr>
      <w:r>
        <w:rPr>
          <w:noProof/>
        </w:rPr>
        <w:drawing>
          <wp:inline distT="0" distB="0" distL="0" distR="0" wp14:anchorId="736BBE86" wp14:editId="331B0C8F">
            <wp:extent cx="4499610" cy="1593850"/>
            <wp:effectExtent l="0" t="0" r="0" b="6350"/>
            <wp:docPr id="1143800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00888" name=""/>
                    <pic:cNvPicPr/>
                  </pic:nvPicPr>
                  <pic:blipFill>
                    <a:blip r:embed="rId9"/>
                    <a:stretch>
                      <a:fillRect/>
                    </a:stretch>
                  </pic:blipFill>
                  <pic:spPr>
                    <a:xfrm>
                      <a:off x="0" y="0"/>
                      <a:ext cx="4499610" cy="1593850"/>
                    </a:xfrm>
                    <a:prstGeom prst="rect">
                      <a:avLst/>
                    </a:prstGeom>
                  </pic:spPr>
                </pic:pic>
              </a:graphicData>
            </a:graphic>
          </wp:inline>
        </w:drawing>
      </w:r>
    </w:p>
    <w:p w14:paraId="0D2F7AC1" w14:textId="5B981826" w:rsidR="00CE1EC0" w:rsidRDefault="00F71CB4" w:rsidP="008D2649">
      <w:pPr>
        <w:pStyle w:val="Els-body-text"/>
      </w:pPr>
      <w:r w:rsidRPr="00F71CB4">
        <w:rPr>
          <w:b/>
          <w:bCs/>
        </w:rPr>
        <w:t>Figure 1</w:t>
      </w:r>
      <w:r>
        <w:t xml:space="preserve"> | Block flow diagram of the five processes modelled with Aspen Plus</w:t>
      </w:r>
      <w:r w:rsidRPr="00F71CB4">
        <w:rPr>
          <w:vertAlign w:val="superscript"/>
        </w:rPr>
        <w:t>®</w:t>
      </w:r>
      <w:r>
        <w:t>.</w:t>
      </w:r>
      <w:r w:rsidR="00F816B0">
        <w:t xml:space="preserve"> Dashed lines indicate streams only for the processes starting from pure xylose.</w:t>
      </w:r>
    </w:p>
    <w:p w14:paraId="6D6C7ECF" w14:textId="29129905" w:rsidR="009D4105" w:rsidRDefault="009D4105" w:rsidP="009D4105">
      <w:pPr>
        <w:pStyle w:val="Els-body-text"/>
        <w:spacing w:before="120" w:after="120"/>
      </w:pPr>
      <w:r w:rsidRPr="009D4105">
        <w:rPr>
          <w:i/>
          <w:iCs/>
        </w:rPr>
        <w:lastRenderedPageBreak/>
        <w:t>(1) DMGX from xylose</w:t>
      </w:r>
      <w:r>
        <w:t xml:space="preserve"> - </w:t>
      </w:r>
      <w:r w:rsidR="007E496D">
        <w:t xml:space="preserve">The production of the bioplastic follows five main steps: the protection of xylose with glyoxylic acid; </w:t>
      </w:r>
      <w:r w:rsidR="007E496D" w:rsidRPr="004A104E">
        <w:t xml:space="preserve">the esterification of </w:t>
      </w:r>
      <w:r w:rsidR="007E496D">
        <w:t>the di-acid</w:t>
      </w:r>
      <w:r w:rsidR="007E496D" w:rsidRPr="004A104E">
        <w:t xml:space="preserve"> with methanol to produce </w:t>
      </w:r>
      <w:r w:rsidR="007E496D">
        <w:t xml:space="preserve">the easily distillable </w:t>
      </w:r>
      <w:r w:rsidR="007E496D" w:rsidRPr="004A104E">
        <w:t>DMGX</w:t>
      </w:r>
      <w:r w:rsidR="007E496D">
        <w:t xml:space="preserve"> platform</w:t>
      </w:r>
      <w:r w:rsidR="007E496D" w:rsidRPr="004A104E">
        <w:t xml:space="preserve">; the </w:t>
      </w:r>
      <w:r w:rsidR="007E496D" w:rsidRPr="00883763">
        <w:t xml:space="preserve">separation of DMGX via distillation coupled with solvent recycling and glyoxylic acid </w:t>
      </w:r>
      <w:r w:rsidR="007E496D" w:rsidRPr="007E496D">
        <w:t>recovery by esterification, distillation and hydrolysis; the crystalli</w:t>
      </w:r>
      <w:r w:rsidR="000705F2">
        <w:t>z</w:t>
      </w:r>
      <w:r w:rsidR="007E496D" w:rsidRPr="007E496D">
        <w:t>ation of DMGX in ethanol</w:t>
      </w:r>
      <w:r w:rsidR="007E496D">
        <w:t xml:space="preserve">; and the polymerization with a diamine </w:t>
      </w:r>
      <w:r w:rsidR="00690F5B">
        <w:rPr>
          <w:lang w:val="en-GB"/>
        </w:rPr>
        <w:t xml:space="preserve">(Manker </w:t>
      </w:r>
      <w:r w:rsidR="00690F5B" w:rsidRPr="001F59DB">
        <w:rPr>
          <w:i/>
          <w:iCs/>
          <w:lang w:val="en-GB"/>
        </w:rPr>
        <w:t>et al.,</w:t>
      </w:r>
      <w:r w:rsidR="00690F5B">
        <w:rPr>
          <w:lang w:val="en-GB"/>
        </w:rPr>
        <w:t xml:space="preserve"> 2022 and 2023b)</w:t>
      </w:r>
      <w:r w:rsidR="007E496D" w:rsidRPr="007E496D">
        <w:t>.</w:t>
      </w:r>
      <w:r w:rsidR="007E496D">
        <w:t xml:space="preserve"> Xylose, 50 </w:t>
      </w:r>
      <w:proofErr w:type="spellStart"/>
      <w:r w:rsidR="007E496D">
        <w:t>wt</w:t>
      </w:r>
      <w:proofErr w:type="spellEnd"/>
      <w:r w:rsidR="007E496D">
        <w:t>% aqueous solution of glyoxylic acid and sulfuric acid are reacted under reduced pressure to remove the water formed during the reaction, which favors the deprotection reaction. C</w:t>
      </w:r>
      <w:r w:rsidR="007E496D" w:rsidRPr="007E496D">
        <w:t xml:space="preserve">omplete </w:t>
      </w:r>
      <w:r w:rsidR="007E496D">
        <w:t>esterification with methanol</w:t>
      </w:r>
      <w:r w:rsidR="007E496D" w:rsidRPr="007E496D">
        <w:t xml:space="preserve"> is</w:t>
      </w:r>
      <w:r w:rsidR="007E496D">
        <w:t xml:space="preserve"> then</w:t>
      </w:r>
      <w:r w:rsidR="007E496D" w:rsidRPr="007E496D">
        <w:t xml:space="preserve"> reached </w:t>
      </w:r>
      <w:r w:rsidR="007E496D">
        <w:t>and t</w:t>
      </w:r>
      <w:r w:rsidR="007E496D" w:rsidRPr="007E496D">
        <w:t xml:space="preserve">he excess glyoxylic acid </w:t>
      </w:r>
      <w:r w:rsidR="007E496D">
        <w:t>is</w:t>
      </w:r>
      <w:r w:rsidR="007E496D" w:rsidRPr="007E496D">
        <w:t xml:space="preserve"> converted with a selectivity of 60</w:t>
      </w:r>
      <w:r w:rsidR="00685C07">
        <w:t xml:space="preserve"> </w:t>
      </w:r>
      <w:r w:rsidR="007E496D" w:rsidRPr="007E496D">
        <w:t>% and 40</w:t>
      </w:r>
      <w:r w:rsidR="00685C07">
        <w:t xml:space="preserve"> </w:t>
      </w:r>
      <w:r w:rsidR="007E496D" w:rsidRPr="007E496D">
        <w:t xml:space="preserve">% respectively to methyl glyoxylate and methyl </w:t>
      </w:r>
      <w:proofErr w:type="spellStart"/>
      <w:r w:rsidR="007E496D" w:rsidRPr="007E496D">
        <w:t>dimethoxyacetate</w:t>
      </w:r>
      <w:proofErr w:type="spellEnd"/>
      <w:r w:rsidR="007E496D" w:rsidRPr="007E496D">
        <w:t>. Following neutrali</w:t>
      </w:r>
      <w:r w:rsidR="000705F2">
        <w:t>z</w:t>
      </w:r>
      <w:r w:rsidR="007E496D" w:rsidRPr="007E496D">
        <w:t xml:space="preserve">ation, the methanol is distilled </w:t>
      </w:r>
      <w:r w:rsidR="007E496D">
        <w:t>to be recycled</w:t>
      </w:r>
      <w:r w:rsidR="007E496D" w:rsidRPr="007E496D">
        <w:t xml:space="preserve">. The methyl glyoxylate, methyl dimethoxy acetate, and water are subsequently flashed off using two </w:t>
      </w:r>
      <w:r w:rsidR="007E496D">
        <w:t xml:space="preserve">vacuum </w:t>
      </w:r>
      <w:r w:rsidR="007E496D" w:rsidRPr="007E496D">
        <w:t xml:space="preserve">flash drums in series. To recover the aldehyde, the </w:t>
      </w:r>
      <w:proofErr w:type="spellStart"/>
      <w:r w:rsidR="007E496D" w:rsidRPr="007E496D">
        <w:t>vaporised</w:t>
      </w:r>
      <w:proofErr w:type="spellEnd"/>
      <w:r w:rsidR="007E496D" w:rsidRPr="007E496D">
        <w:t xml:space="preserve"> glyoxylates are condensed and hydrolyz</w:t>
      </w:r>
      <w:r w:rsidR="007E496D">
        <w:t xml:space="preserve">ed </w:t>
      </w:r>
      <w:r w:rsidR="007E496D" w:rsidRPr="007E496D">
        <w:t xml:space="preserve">with sulfuric acid as catalyst. The methanol produced during the reaction is stripped to be recycled to the esterification section. The glyoxylic acid and sulfuric acid mixture is </w:t>
      </w:r>
      <w:r w:rsidR="007E496D">
        <w:t xml:space="preserve">also recycled to the </w:t>
      </w:r>
      <w:r w:rsidR="007E496D" w:rsidRPr="007E496D">
        <w:t xml:space="preserve">protection step. The final polishing steps consist in removing xylose degradation products </w:t>
      </w:r>
      <w:r w:rsidR="002F7E3C">
        <w:t>under high vacuum</w:t>
      </w:r>
      <w:r w:rsidR="007E496D" w:rsidRPr="007E496D">
        <w:t>, and crystalli</w:t>
      </w:r>
      <w:r w:rsidR="002F7E3C">
        <w:t>z</w:t>
      </w:r>
      <w:r w:rsidR="000705F2">
        <w:t>ing</w:t>
      </w:r>
      <w:r w:rsidR="007E496D" w:rsidRPr="007E496D">
        <w:t xml:space="preserve"> DMGX at </w:t>
      </w:r>
      <w:r w:rsidR="00526DBF">
        <w:t>-</w:t>
      </w:r>
      <w:r w:rsidR="007E496D" w:rsidRPr="007E496D">
        <w:t>20</w:t>
      </w:r>
      <w:r w:rsidR="00685C07">
        <w:t xml:space="preserve"> </w:t>
      </w:r>
      <w:r w:rsidR="007E496D" w:rsidRPr="007E496D">
        <w:t>ºC with ethanol fed at 60</w:t>
      </w:r>
      <w:r w:rsidR="00685C07">
        <w:t xml:space="preserve"> </w:t>
      </w:r>
      <w:r w:rsidR="007E496D" w:rsidRPr="007E496D">
        <w:t>ºC</w:t>
      </w:r>
      <w:r w:rsidR="002F7E3C">
        <w:t xml:space="preserve">. </w:t>
      </w:r>
    </w:p>
    <w:p w14:paraId="24E9A320" w14:textId="4C2770D0" w:rsidR="007E496D" w:rsidRDefault="009D4105" w:rsidP="009D4105">
      <w:pPr>
        <w:pStyle w:val="Els-body-text"/>
        <w:spacing w:before="120" w:after="120"/>
        <w:rPr>
          <w:lang w:val="en-GB"/>
        </w:rPr>
      </w:pPr>
      <w:r w:rsidRPr="009D4105">
        <w:rPr>
          <w:i/>
          <w:iCs/>
        </w:rPr>
        <w:t>(</w:t>
      </w:r>
      <w:r>
        <w:rPr>
          <w:i/>
          <w:iCs/>
        </w:rPr>
        <w:t>2</w:t>
      </w:r>
      <w:r w:rsidRPr="009D4105">
        <w:rPr>
          <w:i/>
          <w:iCs/>
        </w:rPr>
        <w:t xml:space="preserve">) DMGX from </w:t>
      </w:r>
      <w:r>
        <w:rPr>
          <w:i/>
          <w:iCs/>
        </w:rPr>
        <w:t xml:space="preserve">corn cobs </w:t>
      </w:r>
      <w:r>
        <w:t xml:space="preserve">- </w:t>
      </w:r>
      <w:r w:rsidR="00254540">
        <w:t>To produce DMGX from corn cobs, biomass is first fractionated at 110</w:t>
      </w:r>
      <w:r w:rsidR="00685C07">
        <w:t xml:space="preserve"> </w:t>
      </w:r>
      <w:r w:rsidR="00254540">
        <w:t xml:space="preserve">ºC in a mixture with glyoxylic acid and sulfuric acid. Upon filtration, the solid fraction (51 </w:t>
      </w:r>
      <w:proofErr w:type="spellStart"/>
      <w:r w:rsidR="00254540">
        <w:t>wt</w:t>
      </w:r>
      <w:proofErr w:type="spellEnd"/>
      <w:r w:rsidR="00254540">
        <w:t xml:space="preserve">% cellulose) is filtered out. Further washing and </w:t>
      </w:r>
      <w:proofErr w:type="spellStart"/>
      <w:r w:rsidR="00254540">
        <w:t>neutralisation</w:t>
      </w:r>
      <w:proofErr w:type="spellEnd"/>
      <w:r w:rsidR="00254540">
        <w:t xml:space="preserve"> steps were excluded from this model. Water is added to the filtrate to precipitate the lignin which is also recovered through filtration. To drive the protection reaction, water must be </w:t>
      </w:r>
      <w:r w:rsidR="007E496D">
        <w:t xml:space="preserve">removed in an evaporator with </w:t>
      </w:r>
      <w:proofErr w:type="spellStart"/>
      <w:r w:rsidR="007E496D">
        <w:t>vapour</w:t>
      </w:r>
      <w:proofErr w:type="spellEnd"/>
      <w:r w:rsidR="007E496D">
        <w:t xml:space="preserve"> recompression to </w:t>
      </w:r>
      <w:r w:rsidR="00254540">
        <w:t>reduce the heating duty</w:t>
      </w:r>
      <w:r w:rsidR="007E496D">
        <w:t xml:space="preserve">. </w:t>
      </w:r>
      <w:r w:rsidR="00254540">
        <w:t xml:space="preserve">Xylose protection can then proceed. The evaporated water from the reaction is mixed with the </w:t>
      </w:r>
      <w:proofErr w:type="spellStart"/>
      <w:r w:rsidR="00254540">
        <w:t>vapour</w:t>
      </w:r>
      <w:proofErr w:type="spellEnd"/>
      <w:r w:rsidR="00254540">
        <w:t xml:space="preserve"> of the feed dryer before recompression. The recovered water is cooled down to be recycled for lignin precipitation. The product stream of the protection reactor </w:t>
      </w:r>
      <w:r w:rsidR="007E496D">
        <w:t xml:space="preserve">then </w:t>
      </w:r>
      <w:r w:rsidR="00254540">
        <w:t>undergoes the same steps as the process developed starting from xylose</w:t>
      </w:r>
      <w:r w:rsidR="007E496D">
        <w:t>. Yields up to 83</w:t>
      </w:r>
      <w:r w:rsidR="00685C07">
        <w:t xml:space="preserve"> </w:t>
      </w:r>
      <w:r w:rsidR="007E496D">
        <w:t xml:space="preserve">% based on initial xylan content have been achieved experimentally by Manker </w:t>
      </w:r>
      <w:r w:rsidR="007E496D" w:rsidRPr="007E496D">
        <w:rPr>
          <w:i/>
          <w:iCs/>
        </w:rPr>
        <w:t>et al.</w:t>
      </w:r>
      <w:r w:rsidR="007E496D">
        <w:t xml:space="preserve"> from which the loading ratios are retrieved </w:t>
      </w:r>
      <w:r w:rsidR="00690F5B">
        <w:rPr>
          <w:lang w:val="en-GB"/>
        </w:rPr>
        <w:t xml:space="preserve">(Manker </w:t>
      </w:r>
      <w:r w:rsidR="00690F5B" w:rsidRPr="001F59DB">
        <w:rPr>
          <w:i/>
          <w:iCs/>
          <w:lang w:val="en-GB"/>
        </w:rPr>
        <w:t>et al.,</w:t>
      </w:r>
      <w:r w:rsidR="00690F5B">
        <w:rPr>
          <w:lang w:val="en-GB"/>
        </w:rPr>
        <w:t xml:space="preserve"> 2022).</w:t>
      </w:r>
    </w:p>
    <w:p w14:paraId="06E587A0" w14:textId="74B0434B" w:rsidR="009D4105" w:rsidRDefault="009D4105" w:rsidP="009D4105">
      <w:pPr>
        <w:pStyle w:val="Els-body-text"/>
        <w:spacing w:before="120" w:after="120"/>
      </w:pPr>
      <w:r w:rsidRPr="009D4105">
        <w:rPr>
          <w:i/>
          <w:iCs/>
          <w:lang w:val="en-GB"/>
        </w:rPr>
        <w:t xml:space="preserve">(3) </w:t>
      </w:r>
      <w:r w:rsidRPr="009D4105">
        <w:rPr>
          <w:i/>
          <w:iCs/>
        </w:rPr>
        <w:t>PA-</w:t>
      </w:r>
      <w:proofErr w:type="gramStart"/>
      <w:r w:rsidRPr="009D4105">
        <w:rPr>
          <w:i/>
          <w:iCs/>
        </w:rPr>
        <w:t>8,DGX</w:t>
      </w:r>
      <w:proofErr w:type="gramEnd"/>
      <w:r w:rsidRPr="009D4105">
        <w:rPr>
          <w:i/>
          <w:iCs/>
        </w:rPr>
        <w:t xml:space="preserve"> from DMGX -</w:t>
      </w:r>
      <w:r>
        <w:t xml:space="preserve"> DMGX can then be polymerized </w:t>
      </w:r>
      <w:r w:rsidRPr="00714687">
        <w:t>with 1,8-diaminooctane</w:t>
      </w:r>
      <w:r>
        <w:t xml:space="preserve"> in two steps, the second under vacuum to fully evaporate the methanol released by the condensation reaction.</w:t>
      </w:r>
      <w:r w:rsidRPr="00714687">
        <w:t xml:space="preserve"> PA-</w:t>
      </w:r>
      <w:proofErr w:type="gramStart"/>
      <w:r w:rsidRPr="00714687">
        <w:t>8,DGX</w:t>
      </w:r>
      <w:proofErr w:type="gramEnd"/>
      <w:r>
        <w:t xml:space="preserve">, obtained with a yield &gt;98 % from DMGX, is finally extruded and pelletized. </w:t>
      </w:r>
    </w:p>
    <w:p w14:paraId="61867615" w14:textId="77777777" w:rsidR="009D4105" w:rsidRDefault="009D4105" w:rsidP="009D4105">
      <w:pPr>
        <w:pStyle w:val="Els-body-text"/>
        <w:spacing w:before="120" w:after="120"/>
      </w:pPr>
      <w:r w:rsidRPr="009D4105">
        <w:rPr>
          <w:i/>
          <w:iCs/>
        </w:rPr>
        <w:t>(4) DFX from xylose -</w:t>
      </w:r>
      <w:r>
        <w:t xml:space="preserve"> </w:t>
      </w:r>
      <w:r w:rsidR="00C458DB">
        <w:t xml:space="preserve">DFX is obtained from xylose through acetal protection with paraformaldehyde in 2-methyltetrahydrofuran (2-MeTHF) with </w:t>
      </w:r>
      <w:r w:rsidR="00631DAD">
        <w:t xml:space="preserve">sulfuric acid </w:t>
      </w:r>
      <w:r w:rsidR="00C458DB">
        <w:t xml:space="preserve">as catalyst. The reactor outlet is neutralized with sodium hydroxide and </w:t>
      </w:r>
      <w:r w:rsidR="00BA664B">
        <w:t>salts</w:t>
      </w:r>
      <w:r w:rsidR="00C458DB">
        <w:t xml:space="preserve"> </w:t>
      </w:r>
      <w:r w:rsidR="00BA664B">
        <w:t>are</w:t>
      </w:r>
      <w:r w:rsidR="00C458DB">
        <w:t xml:space="preserve"> filtered out. The solvent </w:t>
      </w:r>
      <w:r w:rsidR="00BA664B">
        <w:t>and produced water are</w:t>
      </w:r>
      <w:r w:rsidR="00C458DB">
        <w:t xml:space="preserve"> evaporated leading to the crystallization of DFX. Those crystals are further washed with ethanol. Ethanol and residual 2-MeTHF are separated in three distillation columns prior to recycling. The evaporated protection solvent is led to </w:t>
      </w:r>
      <w:r w:rsidR="00B07BE7">
        <w:t>phase separat</w:t>
      </w:r>
      <w:r w:rsidR="00685C07">
        <w:t>ion</w:t>
      </w:r>
      <w:r w:rsidR="00C458DB">
        <w:t xml:space="preserve"> and then purified in two distillation column</w:t>
      </w:r>
      <w:r w:rsidR="00B07BE7">
        <w:t>s</w:t>
      </w:r>
      <w:r w:rsidR="00C458DB">
        <w:t xml:space="preserve"> and a flash drum. </w:t>
      </w:r>
    </w:p>
    <w:p w14:paraId="72692975" w14:textId="02EDD1F7" w:rsidR="003D46FA" w:rsidRDefault="009D4105" w:rsidP="009D4105">
      <w:pPr>
        <w:pStyle w:val="Els-body-text"/>
        <w:spacing w:before="120" w:after="120"/>
      </w:pPr>
      <w:r w:rsidRPr="009D4105">
        <w:rPr>
          <w:i/>
          <w:iCs/>
        </w:rPr>
        <w:t>(</w:t>
      </w:r>
      <w:r>
        <w:rPr>
          <w:i/>
          <w:iCs/>
        </w:rPr>
        <w:t>5</w:t>
      </w:r>
      <w:r w:rsidRPr="009D4105">
        <w:rPr>
          <w:i/>
          <w:iCs/>
        </w:rPr>
        <w:t xml:space="preserve">) DFX from </w:t>
      </w:r>
      <w:r>
        <w:rPr>
          <w:i/>
          <w:iCs/>
        </w:rPr>
        <w:t>corn cobs</w:t>
      </w:r>
      <w:r w:rsidRPr="009D4105">
        <w:rPr>
          <w:i/>
          <w:iCs/>
        </w:rPr>
        <w:t xml:space="preserve"> -</w:t>
      </w:r>
      <w:r>
        <w:t xml:space="preserve"> </w:t>
      </w:r>
      <w:r w:rsidR="00B07BE7">
        <w:t xml:space="preserve">The production of DFX from raw corn cobs requires a biomass pretreatment step where sulfuric acid is substituted by HCl. The solid cellulose is filtered out first. No neutralization of the reaction liquor is needed and instead </w:t>
      </w:r>
      <w:r w:rsidR="00B07BE7" w:rsidRPr="00B07BE7">
        <w:t xml:space="preserve">di-n-butyl ether </w:t>
      </w:r>
      <w:r w:rsidR="00B07BE7">
        <w:t xml:space="preserve">is added </w:t>
      </w:r>
      <w:r w:rsidR="00B07BE7" w:rsidRPr="00B07BE7">
        <w:t>as an anti-solvent</w:t>
      </w:r>
      <w:r w:rsidR="00B07BE7">
        <w:t xml:space="preserve"> to precipitate functionalized lignin. The remaining HCl is evaporated and DFX crystallizes upon removal of the solvent via distillation. Washing with ethanol </w:t>
      </w:r>
      <w:r w:rsidR="00631DAD">
        <w:t xml:space="preserve">proceeds </w:t>
      </w:r>
      <w:r w:rsidR="00B07BE7">
        <w:t>similarly to the xylose process but only two distillation column</w:t>
      </w:r>
      <w:r w:rsidR="00685C07">
        <w:t>s</w:t>
      </w:r>
      <w:r w:rsidR="00B07BE7">
        <w:t xml:space="preserve"> </w:t>
      </w:r>
      <w:r w:rsidR="00B07BE7">
        <w:lastRenderedPageBreak/>
        <w:t>and four flash drums are used for purification of ethanol and 2-MeTHF. Overall,</w:t>
      </w:r>
      <w:r w:rsidR="00BA664B">
        <w:t xml:space="preserve"> isolated DFX yield</w:t>
      </w:r>
      <w:r w:rsidR="00714687">
        <w:t>s</w:t>
      </w:r>
      <w:r w:rsidR="00BA664B">
        <w:t xml:space="preserve"> of 71</w:t>
      </w:r>
      <w:r w:rsidR="00B07BE7">
        <w:t xml:space="preserve"> </w:t>
      </w:r>
      <w:r w:rsidR="00BA664B">
        <w:t>mol</w:t>
      </w:r>
      <w:r w:rsidR="00685C07">
        <w:t xml:space="preserve"> </w:t>
      </w:r>
      <w:r w:rsidR="00BA664B">
        <w:t xml:space="preserve">% </w:t>
      </w:r>
      <w:r w:rsidR="00714687">
        <w:t>and 78</w:t>
      </w:r>
      <w:r w:rsidR="00685C07">
        <w:t xml:space="preserve"> </w:t>
      </w:r>
      <w:r w:rsidR="00714687">
        <w:t xml:space="preserve">% </w:t>
      </w:r>
      <w:r w:rsidR="00BA664B">
        <w:t>could be achieved experimentally</w:t>
      </w:r>
      <w:r w:rsidR="00714687">
        <w:t xml:space="preserve"> from pure xylose and corn cob</w:t>
      </w:r>
      <w:r w:rsidR="00685C07">
        <w:t>s</w:t>
      </w:r>
      <w:r w:rsidR="00714687">
        <w:t xml:space="preserve"> respectively</w:t>
      </w:r>
      <w:r w:rsidR="00690F5B">
        <w:t xml:space="preserve"> </w:t>
      </w:r>
      <w:r w:rsidR="00690F5B">
        <w:rPr>
          <w:lang w:val="en-GB"/>
        </w:rPr>
        <w:t>(</w:t>
      </w:r>
      <w:proofErr w:type="spellStart"/>
      <w:r w:rsidR="00690F5B">
        <w:rPr>
          <w:lang w:val="en-GB"/>
        </w:rPr>
        <w:t>Komarova</w:t>
      </w:r>
      <w:proofErr w:type="spellEnd"/>
      <w:r w:rsidR="00690F5B">
        <w:rPr>
          <w:lang w:val="en-GB"/>
        </w:rPr>
        <w:t xml:space="preserve"> </w:t>
      </w:r>
      <w:r w:rsidR="00690F5B" w:rsidRPr="001F59DB">
        <w:rPr>
          <w:i/>
          <w:iCs/>
          <w:lang w:val="en-GB"/>
        </w:rPr>
        <w:t>et al.,</w:t>
      </w:r>
      <w:r w:rsidR="00690F5B">
        <w:rPr>
          <w:lang w:val="en-GB"/>
        </w:rPr>
        <w:t xml:space="preserve"> 2021)</w:t>
      </w:r>
      <w:r w:rsidR="00BA664B">
        <w:t xml:space="preserve">. </w:t>
      </w:r>
      <w:r w:rsidR="00690F5B">
        <w:t xml:space="preserve"> </w:t>
      </w:r>
    </w:p>
    <w:p w14:paraId="144DE69D" w14:textId="448D0F18" w:rsidR="008D2649" w:rsidRDefault="001E3315" w:rsidP="008D2649">
      <w:pPr>
        <w:pStyle w:val="Els-2ndorder-head"/>
      </w:pPr>
      <w:r>
        <w:t>Sustainability Assessment</w:t>
      </w:r>
    </w:p>
    <w:p w14:paraId="144DE69E" w14:textId="5286FABD" w:rsidR="008D2649" w:rsidRDefault="001E3315" w:rsidP="008D2649">
      <w:pPr>
        <w:pStyle w:val="Els-3rdorder-head"/>
      </w:pPr>
      <w:r>
        <w:t>Cradle-to-grave Life Cycle Analysis</w:t>
      </w:r>
    </w:p>
    <w:p w14:paraId="4EA2D3A6" w14:textId="467FBB20" w:rsidR="001A3E58" w:rsidRPr="003A5A75" w:rsidRDefault="006D0B58" w:rsidP="001A3E58">
      <w:pPr>
        <w:pStyle w:val="Els-body-text"/>
      </w:pPr>
      <w:r w:rsidRPr="006D0B58">
        <w:t xml:space="preserve">The environmental impacts of the </w:t>
      </w:r>
      <w:r>
        <w:t xml:space="preserve">AAF </w:t>
      </w:r>
      <w:r w:rsidRPr="006D0B58">
        <w:t>biorefiner</w:t>
      </w:r>
      <w:r>
        <w:t>ies</w:t>
      </w:r>
      <w:r w:rsidRPr="006D0B58">
        <w:t xml:space="preserve"> are evaluated following the ISO 14040/44 standards. The functional unit is defined as 1 kg of </w:t>
      </w:r>
      <w:r>
        <w:t>xylose</w:t>
      </w:r>
      <w:r w:rsidR="003C4A9C">
        <w:t>-based</w:t>
      </w:r>
      <w:r>
        <w:t xml:space="preserve"> product</w:t>
      </w:r>
      <w:r w:rsidRPr="006D0B58">
        <w:t>. Emissions are assigned by mass allocation</w:t>
      </w:r>
      <w:r>
        <w:t xml:space="preserve"> across the by-products (lignin and cellulose pulp)</w:t>
      </w:r>
      <w:r w:rsidRPr="006D0B58">
        <w:t>. A cradle-to-g</w:t>
      </w:r>
      <w:r>
        <w:t>rave</w:t>
      </w:r>
      <w:r w:rsidRPr="006D0B58">
        <w:t xml:space="preserve"> system boundary is adopted following a cut-off attributional approach</w:t>
      </w:r>
      <w:r>
        <w:t>, where w</w:t>
      </w:r>
      <w:r w:rsidRPr="006D0B58">
        <w:t xml:space="preserve">aste treatment </w:t>
      </w:r>
      <w:r>
        <w:t>is</w:t>
      </w:r>
      <w:r w:rsidRPr="006D0B58">
        <w:t xml:space="preserve"> included in the LCA-scope. Data for the background system, including all upstream activities, are retrieved from the </w:t>
      </w:r>
      <w:proofErr w:type="spellStart"/>
      <w:r w:rsidRPr="006D0B58">
        <w:t>Ecoinvent</w:t>
      </w:r>
      <w:proofErr w:type="spellEnd"/>
      <w:r w:rsidRPr="006D0B58">
        <w:t xml:space="preserve"> </w:t>
      </w:r>
      <w:bookmarkStart w:id="1" w:name="_Hlk152228946"/>
      <w:r w:rsidRPr="006D0B58">
        <w:t xml:space="preserve">v3.9.1 </w:t>
      </w:r>
      <w:bookmarkEnd w:id="1"/>
      <w:r w:rsidRPr="006D0B58">
        <w:t>database</w:t>
      </w:r>
      <w:r>
        <w:t xml:space="preserve"> </w:t>
      </w:r>
      <w:r w:rsidRPr="006D0B58">
        <w:t>using the Python extension Brightway2.</w:t>
      </w:r>
      <w:r w:rsidR="003A352F" w:rsidRPr="003A352F">
        <w:t xml:space="preserve"> We assumed the use of biobased ethanol and methanol. We consider the usage of an electricity mix based on renewable energy sources. </w:t>
      </w:r>
      <w:r w:rsidRPr="006D0B58">
        <w:t>The foreground system is modelled using the material and energy flows of the processes simulated with Aspen Plus</w:t>
      </w:r>
      <w:r w:rsidRPr="006D0B58">
        <w:rPr>
          <w:vertAlign w:val="superscript"/>
        </w:rPr>
        <w:t>®</w:t>
      </w:r>
      <w:r w:rsidRPr="006D0B58">
        <w:t xml:space="preserve">, considering heat </w:t>
      </w:r>
      <w:r w:rsidRPr="009D4105">
        <w:t xml:space="preserve">integration. </w:t>
      </w:r>
      <w:r w:rsidR="0004162E" w:rsidRPr="009D4105">
        <w:t>T</w:t>
      </w:r>
      <w:r w:rsidR="00C94496" w:rsidRPr="009D4105">
        <w:t>wo</w:t>
      </w:r>
      <w:r w:rsidR="0004162E" w:rsidRPr="009D4105">
        <w:t xml:space="preserve"> scenarios are developed</w:t>
      </w:r>
      <w:r w:rsidR="00C94496" w:rsidRPr="009D4105">
        <w:t xml:space="preserve">: </w:t>
      </w:r>
      <w:r w:rsidR="0004162E" w:rsidRPr="009D4105">
        <w:t>a short-term scenario (</w:t>
      </w:r>
      <w:r w:rsidR="009B4F07" w:rsidRPr="009D4105">
        <w:t>‘Xylose’</w:t>
      </w:r>
      <w:r w:rsidR="0004162E" w:rsidRPr="009D4105">
        <w:t>) using purified xylose</w:t>
      </w:r>
      <w:r w:rsidR="00C94496" w:rsidRPr="009D4105">
        <w:t xml:space="preserve"> from edible biomass</w:t>
      </w:r>
      <w:r w:rsidR="0004162E" w:rsidRPr="009D4105">
        <w:t xml:space="preserve"> </w:t>
      </w:r>
      <w:r w:rsidR="00C94496" w:rsidRPr="009D4105">
        <w:t>and a</w:t>
      </w:r>
      <w:r w:rsidR="0004162E" w:rsidRPr="009D4105">
        <w:t xml:space="preserve"> mid-term scenario (</w:t>
      </w:r>
      <w:r w:rsidR="009B4F07" w:rsidRPr="009D4105">
        <w:t>‘Corn cob’</w:t>
      </w:r>
      <w:r w:rsidR="0004162E" w:rsidRPr="009D4105">
        <w:t>) where a supply chain for raw corn cobs is established</w:t>
      </w:r>
      <w:r w:rsidR="00C94496" w:rsidRPr="009D4105">
        <w:t>.</w:t>
      </w:r>
      <w:r w:rsidR="0004162E" w:rsidRPr="009D4105">
        <w:t xml:space="preserve"> </w:t>
      </w:r>
      <w:r w:rsidR="00E23A86" w:rsidRPr="009D4105">
        <w:t xml:space="preserve">The carbon neutrality principle is applied: no </w:t>
      </w:r>
      <w:r w:rsidR="007F134B" w:rsidRPr="009D4105">
        <w:t>carbon</w:t>
      </w:r>
      <w:r w:rsidR="00547112" w:rsidRPr="009D4105">
        <w:rPr>
          <w:iCs/>
          <w:sz w:val="21"/>
          <w:szCs w:val="21"/>
          <w:lang w:val="en-GB"/>
        </w:rPr>
        <w:t xml:space="preserve"> credits are assigned to the carbon</w:t>
      </w:r>
      <w:r w:rsidR="00547112">
        <w:rPr>
          <w:iCs/>
          <w:sz w:val="21"/>
          <w:szCs w:val="21"/>
          <w:lang w:val="en-GB"/>
        </w:rPr>
        <w:t xml:space="preserve"> sequestrated by photosynthesis during the growth of the wood feedstock</w:t>
      </w:r>
      <w:r w:rsidR="00E23A86">
        <w:rPr>
          <w:iCs/>
          <w:sz w:val="21"/>
          <w:szCs w:val="21"/>
          <w:lang w:val="en-GB"/>
        </w:rPr>
        <w:t>, but at the end-of-life, the emissions from combustion are set to zero</w:t>
      </w:r>
      <w:r w:rsidR="00547112">
        <w:rPr>
          <w:iCs/>
          <w:sz w:val="21"/>
          <w:szCs w:val="21"/>
          <w:lang w:val="en-GB"/>
        </w:rPr>
        <w:t xml:space="preserve">. </w:t>
      </w:r>
      <w:r w:rsidR="007F134B">
        <w:rPr>
          <w:iCs/>
          <w:sz w:val="21"/>
          <w:szCs w:val="21"/>
          <w:lang w:val="en-GB"/>
        </w:rPr>
        <w:t xml:space="preserve">Since corn cobs are a waste from maize production, its impact is also set to zero. </w:t>
      </w:r>
      <w:r w:rsidR="003A352F" w:rsidRPr="001A3E58">
        <w:rPr>
          <w:color w:val="000000" w:themeColor="text1"/>
        </w:rPr>
        <w:t xml:space="preserve">To </w:t>
      </w:r>
      <w:r w:rsidR="003A352F" w:rsidRPr="001A3E58">
        <w:rPr>
          <w:color w:val="000000" w:themeColor="text1"/>
          <w:lang w:val="en-GB"/>
        </w:rPr>
        <w:t xml:space="preserve">fill data gaps in the background data, </w:t>
      </w:r>
      <w:r w:rsidR="001A3E58" w:rsidRPr="001A3E58">
        <w:rPr>
          <w:color w:val="000000" w:themeColor="text1"/>
          <w:lang w:val="en-GB"/>
        </w:rPr>
        <w:t xml:space="preserve">we </w:t>
      </w:r>
      <w:r w:rsidR="007F134B">
        <w:rPr>
          <w:color w:val="000000" w:themeColor="text1"/>
          <w:lang w:val="en-GB"/>
        </w:rPr>
        <w:t>resort to proxy where available (</w:t>
      </w:r>
      <w:r w:rsidR="007F134B" w:rsidRPr="007F134B">
        <w:rPr>
          <w:i/>
          <w:iCs/>
          <w:color w:val="000000" w:themeColor="text1"/>
          <w:lang w:val="en-GB"/>
        </w:rPr>
        <w:t>e</w:t>
      </w:r>
      <w:r w:rsidR="007F134B">
        <w:rPr>
          <w:i/>
          <w:iCs/>
          <w:color w:val="000000" w:themeColor="text1"/>
          <w:lang w:val="en-GB"/>
        </w:rPr>
        <w:t>.</w:t>
      </w:r>
      <w:r w:rsidR="007F134B" w:rsidRPr="007F134B">
        <w:rPr>
          <w:i/>
          <w:iCs/>
          <w:color w:val="000000" w:themeColor="text1"/>
          <w:lang w:val="en-GB"/>
        </w:rPr>
        <w:t>g.</w:t>
      </w:r>
      <w:r w:rsidR="007F134B">
        <w:rPr>
          <w:color w:val="000000" w:themeColor="text1"/>
          <w:lang w:val="en-GB"/>
        </w:rPr>
        <w:t xml:space="preserve"> xylose is modelled as glucose), or we </w:t>
      </w:r>
      <w:r w:rsidR="001A3E58" w:rsidRPr="001A3E58">
        <w:rPr>
          <w:color w:val="000000" w:themeColor="text1"/>
          <w:lang w:val="en-GB"/>
        </w:rPr>
        <w:t>create inventories from Aspen Plus</w:t>
      </w:r>
      <w:r w:rsidR="001A3E58" w:rsidRPr="001A3E58">
        <w:rPr>
          <w:color w:val="000000" w:themeColor="text1"/>
          <w:vertAlign w:val="superscript"/>
          <w:lang w:val="en-GB"/>
        </w:rPr>
        <w:t>®</w:t>
      </w:r>
      <w:r w:rsidR="001A3E58" w:rsidRPr="001A3E58">
        <w:rPr>
          <w:color w:val="000000" w:themeColor="text1"/>
          <w:lang w:val="en-GB"/>
        </w:rPr>
        <w:t xml:space="preserve"> simulations of upstream activities</w:t>
      </w:r>
      <w:r w:rsidR="007F134B">
        <w:rPr>
          <w:color w:val="000000" w:themeColor="text1"/>
          <w:lang w:val="en-GB"/>
        </w:rPr>
        <w:t xml:space="preserve">, such as </w:t>
      </w:r>
      <w:r w:rsidR="001A3E58" w:rsidRPr="001A3E58">
        <w:rPr>
          <w:color w:val="000000" w:themeColor="text1"/>
          <w:lang w:val="en-GB"/>
        </w:rPr>
        <w:t>for 2-MeTHF manufacturing from sugarcane bagasse</w:t>
      </w:r>
      <w:r w:rsidR="007F134B">
        <w:rPr>
          <w:color w:val="000000" w:themeColor="text1"/>
          <w:lang w:val="en-GB"/>
        </w:rPr>
        <w:t xml:space="preserve"> </w:t>
      </w:r>
      <w:r w:rsidR="00690F5B">
        <w:rPr>
          <w:color w:val="000000" w:themeColor="text1"/>
          <w:lang w:val="en-GB"/>
        </w:rPr>
        <w:t xml:space="preserve">(Leal Silva </w:t>
      </w:r>
      <w:r w:rsidR="00690F5B" w:rsidRPr="00690F5B">
        <w:rPr>
          <w:i/>
          <w:iCs/>
          <w:color w:val="000000" w:themeColor="text1"/>
          <w:lang w:val="en-GB"/>
        </w:rPr>
        <w:t>et al.,</w:t>
      </w:r>
      <w:r w:rsidR="00690F5B">
        <w:rPr>
          <w:color w:val="000000" w:themeColor="text1"/>
          <w:lang w:val="en-GB"/>
        </w:rPr>
        <w:t xml:space="preserve"> 2018).</w:t>
      </w:r>
    </w:p>
    <w:p w14:paraId="298DD6B0" w14:textId="0C37D44D" w:rsidR="00E66F9B" w:rsidRDefault="001E3315" w:rsidP="00E66F9B">
      <w:pPr>
        <w:pStyle w:val="Els-3rdorder-head"/>
      </w:pPr>
      <w:r>
        <w:t>Transgression</w:t>
      </w:r>
      <w:r w:rsidR="003A352F">
        <w:t xml:space="preserve"> Levels</w:t>
      </w:r>
      <w:r>
        <w:t xml:space="preserve"> of Planetary Boundaries</w:t>
      </w:r>
      <w:r w:rsidR="00493DA9">
        <w:t xml:space="preserve"> (PB)</w:t>
      </w:r>
    </w:p>
    <w:p w14:paraId="3FE60751" w14:textId="2185703D" w:rsidR="00493DA9" w:rsidRDefault="00493DA9" w:rsidP="00E66F9B">
      <w:pPr>
        <w:pStyle w:val="Els-body-text"/>
        <w:rPr>
          <w:lang w:val="en-GB"/>
        </w:rPr>
      </w:pPr>
      <w:r>
        <w:rPr>
          <w:lang w:val="en-GB"/>
        </w:rPr>
        <w:t xml:space="preserve">Through the EF methodology recommended by the European commission, we quantify 18 LCA indicators, which were related to the 9 PBs and 5 Sustainable Development Goals (SDG) by Sala </w:t>
      </w:r>
      <w:r w:rsidRPr="00493DA9">
        <w:rPr>
          <w:i/>
          <w:iCs/>
          <w:lang w:val="en-GB"/>
        </w:rPr>
        <w:t>et al</w:t>
      </w:r>
      <w:r w:rsidR="00486F07">
        <w:rPr>
          <w:i/>
          <w:iCs/>
          <w:lang w:val="en-GB"/>
        </w:rPr>
        <w:t>.</w:t>
      </w:r>
      <w:r w:rsidR="00690F5B">
        <w:rPr>
          <w:i/>
          <w:iCs/>
          <w:lang w:val="en-GB"/>
        </w:rPr>
        <w:t xml:space="preserve"> </w:t>
      </w:r>
      <w:r w:rsidR="00690F5B" w:rsidRPr="00690F5B">
        <w:rPr>
          <w:lang w:val="en-GB"/>
        </w:rPr>
        <w:t>(2020</w:t>
      </w:r>
      <w:r w:rsidR="00690F5B">
        <w:rPr>
          <w:lang w:val="en-GB"/>
        </w:rPr>
        <w:t>)</w:t>
      </w:r>
      <w:r w:rsidRPr="00486F07">
        <w:rPr>
          <w:lang w:val="en-GB"/>
        </w:rPr>
        <w:t>.</w:t>
      </w:r>
      <w:r>
        <w:rPr>
          <w:lang w:val="en-GB"/>
        </w:rPr>
        <w:t xml:space="preserve"> The transgression level is calculated as the ratio between the estimated impact value and the ecological budget dictated by the PBs. The ecological budget allocated to the product </w:t>
      </w:r>
      <w:r w:rsidR="007F134B">
        <w:rPr>
          <w:lang w:val="en-GB"/>
        </w:rPr>
        <w:t>–</w:t>
      </w:r>
      <w:r>
        <w:rPr>
          <w:lang w:val="en-GB"/>
        </w:rPr>
        <w:t xml:space="preserve"> </w:t>
      </w:r>
      <w:r w:rsidR="007F134B">
        <w:rPr>
          <w:lang w:val="en-GB"/>
        </w:rPr>
        <w:t xml:space="preserve">the </w:t>
      </w:r>
      <w:r>
        <w:rPr>
          <w:lang w:val="en-GB"/>
        </w:rPr>
        <w:t xml:space="preserve">safe operating space (SOS) - is estimated via economic downscaling </w:t>
      </w:r>
      <w:r w:rsidR="00690F5B">
        <w:rPr>
          <w:lang w:val="en-GB"/>
        </w:rPr>
        <w:t xml:space="preserve">(Vázquez and </w:t>
      </w:r>
      <w:proofErr w:type="spellStart"/>
      <w:r w:rsidR="00690F5B">
        <w:rPr>
          <w:lang w:val="en-GB"/>
        </w:rPr>
        <w:t>Guillén-Gosálbez</w:t>
      </w:r>
      <w:proofErr w:type="spellEnd"/>
      <w:r w:rsidR="00690F5B">
        <w:rPr>
          <w:lang w:val="en-GB"/>
        </w:rPr>
        <w:t>, 2021)</w:t>
      </w:r>
      <w:r>
        <w:rPr>
          <w:lang w:val="en-GB"/>
        </w:rPr>
        <w:t xml:space="preserve">: </w:t>
      </w:r>
      <w:r w:rsidR="00175C5A">
        <w:rPr>
          <w:lang w:val="en-GB"/>
        </w:rPr>
        <w:t>we assume that the usefulness of a product is proportional to its market value, therefore to maximize welfare, a product with a higher market size is allocated a bigger share of the global ecological budget. In practice, the SOS is defined as the ratio of market size divided by the world Gross Value Added. In future work, we aim at exploring different downscaling methods, in response to the lack of consensus in the scientific literature.</w:t>
      </w:r>
      <w:r w:rsidR="002151FA">
        <w:rPr>
          <w:lang w:val="en-GB"/>
        </w:rPr>
        <w:t xml:space="preserve"> </w:t>
      </w:r>
      <w:r w:rsidR="00D92239">
        <w:rPr>
          <w:lang w:val="en-GB"/>
        </w:rPr>
        <w:t>Since xylose-based chemicals do not have a market yet, we assume complet</w:t>
      </w:r>
      <w:r w:rsidR="00685C07">
        <w:rPr>
          <w:lang w:val="en-GB"/>
        </w:rPr>
        <w:t>e</w:t>
      </w:r>
      <w:r w:rsidR="00D92239">
        <w:rPr>
          <w:lang w:val="en-GB"/>
        </w:rPr>
        <w:t xml:space="preserve"> substitution of petrochemicals with similar properties: the </w:t>
      </w:r>
      <w:r w:rsidR="00D92239" w:rsidRPr="00D92239">
        <w:rPr>
          <w:color w:val="000000" w:themeColor="text1"/>
          <w:lang w:val="en-GB"/>
        </w:rPr>
        <w:t>polyamide could replace Nylon 6 and DFX is a polar aprotic solvent similar to Dimethylformamide (</w:t>
      </w:r>
      <w:r w:rsidR="00690F5B" w:rsidRPr="00D92239">
        <w:rPr>
          <w:color w:val="000000" w:themeColor="text1"/>
          <w:lang w:val="en-GB"/>
        </w:rPr>
        <w:t>DMF</w:t>
      </w:r>
      <w:r w:rsidR="00D92239" w:rsidRPr="00D92239">
        <w:rPr>
          <w:color w:val="000000" w:themeColor="text1"/>
          <w:lang w:val="en-GB"/>
        </w:rPr>
        <w:t>).</w:t>
      </w:r>
    </w:p>
    <w:p w14:paraId="1186AA03" w14:textId="4CC22DB7" w:rsidR="00EC50D2" w:rsidRDefault="009A626A" w:rsidP="00EC50D2">
      <w:pPr>
        <w:pStyle w:val="Els-1storder-head"/>
        <w:spacing w:after="120"/>
        <w:rPr>
          <w:lang w:val="en-GB"/>
        </w:rPr>
      </w:pPr>
      <w:r>
        <w:rPr>
          <w:lang w:val="en-GB"/>
        </w:rPr>
        <w:t>Results and Discussions</w:t>
      </w:r>
    </w:p>
    <w:p w14:paraId="0969F03F" w14:textId="6BCBFDD5" w:rsidR="00810846" w:rsidRPr="00810846" w:rsidRDefault="00EC50D2" w:rsidP="00810846">
      <w:pPr>
        <w:pStyle w:val="Els-body-text"/>
        <w:spacing w:after="120"/>
        <w:rPr>
          <w:color w:val="000000" w:themeColor="text1"/>
          <w:lang w:val="en-GB"/>
        </w:rPr>
      </w:pPr>
      <w:r w:rsidRPr="00810846">
        <w:rPr>
          <w:color w:val="000000" w:themeColor="text1"/>
          <w:lang w:val="en-GB"/>
        </w:rPr>
        <w:t>Designed to reduce CO</w:t>
      </w:r>
      <w:r w:rsidRPr="00810846">
        <w:rPr>
          <w:color w:val="000000" w:themeColor="text1"/>
          <w:vertAlign w:val="subscript"/>
          <w:lang w:val="en-GB"/>
        </w:rPr>
        <w:t>2</w:t>
      </w:r>
      <w:r w:rsidRPr="00810846">
        <w:rPr>
          <w:color w:val="000000" w:themeColor="text1"/>
          <w:lang w:val="en-GB"/>
        </w:rPr>
        <w:t xml:space="preserve"> emissions, the xylose-based products obtained via AAF exhibit a significant reduction in global warming potential (GWP) compared to their </w:t>
      </w:r>
      <w:r w:rsidR="00813302">
        <w:rPr>
          <w:color w:val="000000" w:themeColor="text1"/>
          <w:lang w:val="en-GB"/>
        </w:rPr>
        <w:t>fossil</w:t>
      </w:r>
      <w:r w:rsidRPr="00810846">
        <w:rPr>
          <w:color w:val="000000" w:themeColor="text1"/>
          <w:lang w:val="en-GB"/>
        </w:rPr>
        <w:t>-based equivalents (Fig. 2), on a mass basis. More specifically, DFX</w:t>
      </w:r>
      <w:r w:rsidR="00810846" w:rsidRPr="00810846">
        <w:rPr>
          <w:color w:val="000000" w:themeColor="text1"/>
          <w:lang w:val="en-GB"/>
        </w:rPr>
        <w:t xml:space="preserve"> and DMGX</w:t>
      </w:r>
      <w:r w:rsidRPr="00810846">
        <w:rPr>
          <w:color w:val="000000" w:themeColor="text1"/>
          <w:lang w:val="en-GB"/>
        </w:rPr>
        <w:t xml:space="preserve"> produced from </w:t>
      </w:r>
      <w:r w:rsidR="00FC39E4" w:rsidRPr="00810846">
        <w:rPr>
          <w:color w:val="000000" w:themeColor="text1"/>
          <w:lang w:val="en-GB"/>
        </w:rPr>
        <w:t xml:space="preserve">corn cobs could decrease the GHG emissions of </w:t>
      </w:r>
      <w:r w:rsidR="00810846" w:rsidRPr="00810846">
        <w:rPr>
          <w:color w:val="000000" w:themeColor="text1"/>
          <w:lang w:val="en-GB"/>
        </w:rPr>
        <w:t>their fossil-based counterpart (DMF and PTA)</w:t>
      </w:r>
      <w:r w:rsidR="00FC39E4" w:rsidRPr="00810846">
        <w:rPr>
          <w:color w:val="000000" w:themeColor="text1"/>
          <w:lang w:val="en-GB"/>
        </w:rPr>
        <w:t xml:space="preserve"> </w:t>
      </w:r>
      <w:r w:rsidR="00FC39E4" w:rsidRPr="00395EE2">
        <w:rPr>
          <w:color w:val="000000" w:themeColor="text1"/>
          <w:lang w:val="en-GB"/>
        </w:rPr>
        <w:t xml:space="preserve">by </w:t>
      </w:r>
      <w:r w:rsidR="00395EE2" w:rsidRPr="00395EE2">
        <w:rPr>
          <w:color w:val="000000" w:themeColor="text1"/>
          <w:lang w:val="en-GB"/>
        </w:rPr>
        <w:t>67</w:t>
      </w:r>
      <w:r w:rsidR="00D6625C">
        <w:rPr>
          <w:color w:val="000000" w:themeColor="text1"/>
          <w:lang w:val="en-GB"/>
        </w:rPr>
        <w:t xml:space="preserve"> </w:t>
      </w:r>
      <w:r w:rsidR="00395EE2" w:rsidRPr="00395EE2">
        <w:rPr>
          <w:color w:val="000000" w:themeColor="text1"/>
          <w:lang w:val="en-GB"/>
        </w:rPr>
        <w:t>%</w:t>
      </w:r>
      <w:r w:rsidR="00810846" w:rsidRPr="00395EE2">
        <w:rPr>
          <w:color w:val="000000" w:themeColor="text1"/>
          <w:lang w:val="en-GB"/>
        </w:rPr>
        <w:t xml:space="preserve"> and </w:t>
      </w:r>
      <w:r w:rsidR="00395EE2" w:rsidRPr="00395EE2">
        <w:rPr>
          <w:color w:val="000000" w:themeColor="text1"/>
          <w:lang w:val="en-GB"/>
        </w:rPr>
        <w:t>42</w:t>
      </w:r>
      <w:r w:rsidR="00D6625C">
        <w:rPr>
          <w:color w:val="000000" w:themeColor="text1"/>
          <w:lang w:val="en-GB"/>
        </w:rPr>
        <w:t xml:space="preserve"> </w:t>
      </w:r>
      <w:r w:rsidR="00395EE2" w:rsidRPr="00395EE2">
        <w:rPr>
          <w:color w:val="000000" w:themeColor="text1"/>
          <w:lang w:val="en-GB"/>
        </w:rPr>
        <w:t>%</w:t>
      </w:r>
      <w:r w:rsidR="00810846" w:rsidRPr="00395EE2">
        <w:rPr>
          <w:color w:val="000000" w:themeColor="text1"/>
          <w:lang w:val="en-GB"/>
        </w:rPr>
        <w:t>, respectively</w:t>
      </w:r>
      <w:r w:rsidR="00FC39E4" w:rsidRPr="00395EE2">
        <w:rPr>
          <w:color w:val="000000" w:themeColor="text1"/>
          <w:lang w:val="en-GB"/>
        </w:rPr>
        <w:t xml:space="preserve">. </w:t>
      </w:r>
      <w:r w:rsidR="00810846" w:rsidRPr="00395EE2">
        <w:rPr>
          <w:color w:val="000000" w:themeColor="text1"/>
          <w:lang w:val="en-GB"/>
        </w:rPr>
        <w:t xml:space="preserve">Whilst the protection aldehyde of DMGX (glyoxylic acid) represents the main </w:t>
      </w:r>
      <w:r w:rsidR="00810846" w:rsidRPr="00810846">
        <w:rPr>
          <w:color w:val="000000" w:themeColor="text1"/>
          <w:lang w:val="en-GB"/>
        </w:rPr>
        <w:t xml:space="preserve">environmental burden, formaldehyde is less of a </w:t>
      </w:r>
      <w:r w:rsidR="00810846" w:rsidRPr="00810846">
        <w:rPr>
          <w:color w:val="000000" w:themeColor="text1"/>
          <w:lang w:val="en-GB"/>
        </w:rPr>
        <w:lastRenderedPageBreak/>
        <w:t>driver in DFX production. Instead, utilities, especially heating, are the main contributor to CO</w:t>
      </w:r>
      <w:r w:rsidR="00810846" w:rsidRPr="00810846">
        <w:rPr>
          <w:color w:val="000000" w:themeColor="text1"/>
          <w:vertAlign w:val="subscript"/>
          <w:lang w:val="en-GB"/>
        </w:rPr>
        <w:t>2</w:t>
      </w:r>
      <w:r w:rsidR="00810846" w:rsidRPr="00810846">
        <w:rPr>
          <w:color w:val="000000" w:themeColor="text1"/>
          <w:lang w:val="en-GB"/>
        </w:rPr>
        <w:t xml:space="preserve"> emissions. Through further heat integration and optimisation of the utility system, those energy related emissions are expected to decrease. </w:t>
      </w:r>
      <w:r w:rsidR="00FC39E4" w:rsidRPr="00810846">
        <w:rPr>
          <w:color w:val="000000" w:themeColor="text1"/>
          <w:lang w:val="en-GB"/>
        </w:rPr>
        <w:t xml:space="preserve">Using </w:t>
      </w:r>
      <w:r w:rsidR="00810846" w:rsidRPr="00810846">
        <w:rPr>
          <w:color w:val="000000" w:themeColor="text1"/>
          <w:lang w:val="en-GB"/>
        </w:rPr>
        <w:t xml:space="preserve">waste </w:t>
      </w:r>
      <w:r w:rsidR="00FC39E4" w:rsidRPr="00810846">
        <w:rPr>
          <w:color w:val="000000" w:themeColor="text1"/>
          <w:lang w:val="en-GB"/>
        </w:rPr>
        <w:t>lignocellulosic biomass instead of xylose crystals</w:t>
      </w:r>
      <w:r w:rsidR="00D96A26" w:rsidRPr="00810846">
        <w:rPr>
          <w:color w:val="000000" w:themeColor="text1"/>
          <w:lang w:val="en-GB"/>
        </w:rPr>
        <w:t xml:space="preserve"> obtained from edible sugars</w:t>
      </w:r>
      <w:r w:rsidR="00FC39E4" w:rsidRPr="00810846">
        <w:rPr>
          <w:color w:val="000000" w:themeColor="text1"/>
          <w:lang w:val="en-GB"/>
        </w:rPr>
        <w:t xml:space="preserve"> </w:t>
      </w:r>
      <w:r w:rsidR="00810846" w:rsidRPr="00810846">
        <w:rPr>
          <w:color w:val="000000" w:themeColor="text1"/>
          <w:lang w:val="en-GB"/>
        </w:rPr>
        <w:t>equally plays an important role in decreasing the CO</w:t>
      </w:r>
      <w:r w:rsidR="00810846" w:rsidRPr="00810846">
        <w:rPr>
          <w:color w:val="000000" w:themeColor="text1"/>
          <w:vertAlign w:val="subscript"/>
          <w:lang w:val="en-GB"/>
        </w:rPr>
        <w:t>2</w:t>
      </w:r>
      <w:r w:rsidR="00810846" w:rsidRPr="00810846">
        <w:rPr>
          <w:color w:val="000000" w:themeColor="text1"/>
          <w:lang w:val="en-GB"/>
        </w:rPr>
        <w:t xml:space="preserve"> footprint of the process</w:t>
      </w:r>
      <w:r w:rsidR="00FC39E4" w:rsidRPr="00810846">
        <w:rPr>
          <w:color w:val="000000" w:themeColor="text1"/>
          <w:lang w:val="en-GB"/>
        </w:rPr>
        <w:t xml:space="preserve">. </w:t>
      </w:r>
    </w:p>
    <w:p w14:paraId="61CA9104" w14:textId="74AC530D" w:rsidR="009B4F07" w:rsidRDefault="009B4F07" w:rsidP="00EC50D2">
      <w:pPr>
        <w:pStyle w:val="Els-body-text"/>
        <w:rPr>
          <w:color w:val="FF0000"/>
          <w:lang w:val="en-GB"/>
        </w:rPr>
      </w:pPr>
      <w:r>
        <w:rPr>
          <w:noProof/>
          <w:color w:val="FF0000"/>
          <w:lang w:val="en-GB"/>
        </w:rPr>
        <w:drawing>
          <wp:inline distT="0" distB="0" distL="0" distR="0" wp14:anchorId="11FB0C84" wp14:editId="43877CD4">
            <wp:extent cx="4499610" cy="1883979"/>
            <wp:effectExtent l="0" t="0" r="0" b="0"/>
            <wp:docPr id="1234139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39688" name="Picture 123413968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6727" cy="1886959"/>
                    </a:xfrm>
                    <a:prstGeom prst="rect">
                      <a:avLst/>
                    </a:prstGeom>
                  </pic:spPr>
                </pic:pic>
              </a:graphicData>
            </a:graphic>
          </wp:inline>
        </w:drawing>
      </w:r>
    </w:p>
    <w:p w14:paraId="0129E4DD" w14:textId="7B74A0E5" w:rsidR="00EC50D2" w:rsidRPr="003A5A75" w:rsidRDefault="005A2CFE" w:rsidP="00EC50D2">
      <w:pPr>
        <w:pStyle w:val="Els-body-text"/>
      </w:pPr>
      <w:r w:rsidRPr="00F71CB4">
        <w:rPr>
          <w:b/>
          <w:bCs/>
        </w:rPr>
        <w:t xml:space="preserve">Figure </w:t>
      </w:r>
      <w:r>
        <w:rPr>
          <w:b/>
          <w:bCs/>
        </w:rPr>
        <w:t>2</w:t>
      </w:r>
      <w:r>
        <w:t xml:space="preserve"> | Cradle-to-grave global warming potential for three xylose-based products.</w:t>
      </w:r>
    </w:p>
    <w:p w14:paraId="0439CACA" w14:textId="0C98229F" w:rsidR="00EC50D2" w:rsidRDefault="00726AAE" w:rsidP="003A5A75">
      <w:pPr>
        <w:pStyle w:val="Els-body-text"/>
        <w:spacing w:before="120"/>
        <w:rPr>
          <w:lang w:val="en-GB"/>
        </w:rPr>
      </w:pPr>
      <w:r>
        <w:rPr>
          <w:lang w:val="en-GB"/>
        </w:rPr>
        <w:tab/>
      </w:r>
      <w:r w:rsidR="001F59DB">
        <w:rPr>
          <w:lang w:val="en-GB"/>
        </w:rPr>
        <w:t xml:space="preserve">Despite a significant reduction in the </w:t>
      </w:r>
      <w:r w:rsidR="00E2341E">
        <w:rPr>
          <w:lang w:val="en-GB"/>
        </w:rPr>
        <w:t>GWP</w:t>
      </w:r>
      <w:r w:rsidR="00810846">
        <w:rPr>
          <w:lang w:val="en-GB"/>
        </w:rPr>
        <w:t xml:space="preserve"> of biobased alternatives, the comparison to fossil-based alternatives </w:t>
      </w:r>
      <w:r w:rsidR="00E2341E">
        <w:rPr>
          <w:lang w:val="en-GB"/>
        </w:rPr>
        <w:t>tells little about the absolute sustainability of new products. In the case of DFX from corn cobs, the GHG emissions</w:t>
      </w:r>
      <w:r w:rsidR="00810846">
        <w:rPr>
          <w:lang w:val="en-GB"/>
        </w:rPr>
        <w:t xml:space="preserve"> </w:t>
      </w:r>
      <w:r w:rsidR="00E2341E">
        <w:rPr>
          <w:lang w:val="en-GB"/>
        </w:rPr>
        <w:t>exceed by 20-fold the safe operating s</w:t>
      </w:r>
      <w:r w:rsidR="00D6625C">
        <w:rPr>
          <w:lang w:val="en-GB"/>
        </w:rPr>
        <w:t>pace</w:t>
      </w:r>
      <w:r w:rsidR="00E2341E">
        <w:rPr>
          <w:lang w:val="en-GB"/>
        </w:rPr>
        <w:t xml:space="preserve"> assigned based on the market size of DMF. With biobased chemicals, we also notice a higher transgression level for land and water use, and particulate matter formation due to farming. The effect is even stronger for the process starting from edible sugars. Surprisingly</w:t>
      </w:r>
      <w:r w:rsidR="00D6625C">
        <w:rPr>
          <w:lang w:val="en-GB"/>
        </w:rPr>
        <w:t>,</w:t>
      </w:r>
      <w:r w:rsidR="00E2341E">
        <w:rPr>
          <w:lang w:val="en-GB"/>
        </w:rPr>
        <w:t xml:space="preserve"> the route from corn cob leads to the largest transgression, for freshwater ecotoxicity because of the use of </w:t>
      </w:r>
      <w:r w:rsidR="00E2341E" w:rsidRPr="00B07BE7">
        <w:t>di-n-butyl ether</w:t>
      </w:r>
      <w:r w:rsidR="00E2341E">
        <w:t xml:space="preserve"> as solvent.</w:t>
      </w:r>
      <w:r w:rsidR="00631DAD">
        <w:t xml:space="preserve"> By identifying it as a burden of high concern, </w:t>
      </w:r>
      <w:r w:rsidR="003B0481">
        <w:t xml:space="preserve">alternative </w:t>
      </w:r>
      <w:r w:rsidR="00631DAD">
        <w:t xml:space="preserve">lignin precipitation </w:t>
      </w:r>
      <w:r w:rsidR="003B0481">
        <w:t xml:space="preserve">solvents should be explored. </w:t>
      </w:r>
    </w:p>
    <w:p w14:paraId="647647C7" w14:textId="4F5C6F31" w:rsidR="00EC50D2" w:rsidRDefault="00D92239" w:rsidP="003B0481">
      <w:pPr>
        <w:pStyle w:val="Els-body-text"/>
        <w:jc w:val="center"/>
        <w:rPr>
          <w:lang w:val="en-GB"/>
        </w:rPr>
      </w:pPr>
      <w:r>
        <w:rPr>
          <w:noProof/>
          <w:lang w:val="en-GB"/>
        </w:rPr>
        <w:drawing>
          <wp:inline distT="0" distB="0" distL="0" distR="0" wp14:anchorId="5965B1BA" wp14:editId="743F82BD">
            <wp:extent cx="3803283" cy="2737870"/>
            <wp:effectExtent l="0" t="0" r="0" b="0"/>
            <wp:docPr id="299423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23238" name="Picture 2994232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9979" cy="2749889"/>
                    </a:xfrm>
                    <a:prstGeom prst="rect">
                      <a:avLst/>
                    </a:prstGeom>
                  </pic:spPr>
                </pic:pic>
              </a:graphicData>
            </a:graphic>
          </wp:inline>
        </w:drawing>
      </w:r>
    </w:p>
    <w:p w14:paraId="37F27D78" w14:textId="051E3E0F" w:rsidR="003E1B90" w:rsidRDefault="003E1B90" w:rsidP="003E1B90">
      <w:pPr>
        <w:pStyle w:val="Els-body-text"/>
        <w:jc w:val="left"/>
      </w:pPr>
      <w:r w:rsidRPr="00F71CB4">
        <w:rPr>
          <w:b/>
          <w:bCs/>
        </w:rPr>
        <w:t xml:space="preserve">Figure </w:t>
      </w:r>
      <w:r>
        <w:rPr>
          <w:b/>
          <w:bCs/>
        </w:rPr>
        <w:t>3</w:t>
      </w:r>
      <w:r>
        <w:t xml:space="preserve"> | Transgression levels of the Safe Operating Space for </w:t>
      </w:r>
      <w:r w:rsidR="001F59DB">
        <w:t>DMF and DFX</w:t>
      </w:r>
      <w:r>
        <w:t>.</w:t>
      </w:r>
    </w:p>
    <w:p w14:paraId="265FC283" w14:textId="50C64EEC" w:rsidR="00631DAD" w:rsidRDefault="00526DBF" w:rsidP="00631DAD">
      <w:pPr>
        <w:pStyle w:val="Testocommento"/>
        <w:jc w:val="both"/>
      </w:pPr>
      <w:r>
        <w:lastRenderedPageBreak/>
        <w:tab/>
      </w:r>
      <w:r w:rsidR="008C0A7A">
        <w:t xml:space="preserve">In addition to </w:t>
      </w:r>
      <w:r w:rsidR="005554EC">
        <w:t>decarboniz</w:t>
      </w:r>
      <w:r w:rsidR="00047C5F">
        <w:t>ation</w:t>
      </w:r>
      <w:r w:rsidR="005554EC">
        <w:t xml:space="preserve"> </w:t>
      </w:r>
      <w:r w:rsidR="008C0A7A">
        <w:t>of the whole chemical industry, starting by the utility generation, one of the only technical solutions to stay with</w:t>
      </w:r>
      <w:r w:rsidR="00D6625C">
        <w:t>in</w:t>
      </w:r>
      <w:r w:rsidR="008C0A7A">
        <w:t xml:space="preserve"> the ecological budget is to effectively recycle the products to prolong their life-time and reduce demand.</w:t>
      </w:r>
      <w:r w:rsidR="00631DAD">
        <w:t xml:space="preserve"> Internalizing the cost for the environmental damages would improve the accuracy of the downscaling method. Introducing mass equivalents for the comparison of different molecules with similar properties or basing the analysis on other functional units (e.g. solvent intensity) would be an interesting area for further investigation.</w:t>
      </w:r>
    </w:p>
    <w:p w14:paraId="144DE6BA" w14:textId="77777777" w:rsidR="008D2649" w:rsidRPr="00A94774" w:rsidRDefault="008D2649" w:rsidP="008D2649">
      <w:pPr>
        <w:pStyle w:val="Els-1storder-head"/>
        <w:spacing w:after="120"/>
        <w:rPr>
          <w:lang w:val="en-GB"/>
        </w:rPr>
      </w:pPr>
      <w:r w:rsidRPr="00A94774">
        <w:rPr>
          <w:lang w:val="en-GB"/>
        </w:rPr>
        <w:t>Conclusions</w:t>
      </w:r>
    </w:p>
    <w:p w14:paraId="72F1975E" w14:textId="3948ECA2" w:rsidR="00F24CE6" w:rsidRPr="00F24CE6" w:rsidRDefault="008D72AF" w:rsidP="00F24CE6">
      <w:pPr>
        <w:pStyle w:val="Els-body-text"/>
        <w:rPr>
          <w:lang w:val="en-GB"/>
        </w:rPr>
      </w:pPr>
      <w:r>
        <w:rPr>
          <w:lang w:val="en-GB"/>
        </w:rPr>
        <w:t xml:space="preserve">This work aimed at standardizing the sustainability assessment of xylose-based products obtained via acetal-protection. </w:t>
      </w:r>
      <w:r w:rsidR="0094710B">
        <w:rPr>
          <w:lang w:val="en-GB"/>
        </w:rPr>
        <w:t xml:space="preserve">Those novel molecules could enable </w:t>
      </w:r>
      <w:r w:rsidR="00E66F9B" w:rsidRPr="00F77A3E">
        <w:rPr>
          <w:lang w:val="en-GB"/>
        </w:rPr>
        <w:t>a significant reduction of CO</w:t>
      </w:r>
      <w:r w:rsidR="00E66F9B" w:rsidRPr="00726AAE">
        <w:rPr>
          <w:vertAlign w:val="subscript"/>
          <w:lang w:val="en-GB"/>
        </w:rPr>
        <w:t>2</w:t>
      </w:r>
      <w:r w:rsidR="00E66F9B" w:rsidRPr="00F77A3E">
        <w:rPr>
          <w:lang w:val="en-GB"/>
        </w:rPr>
        <w:t xml:space="preserve"> footprint compared to petrochemical alternatives</w:t>
      </w:r>
      <w:r w:rsidR="0094710B">
        <w:rPr>
          <w:lang w:val="en-GB"/>
        </w:rPr>
        <w:t xml:space="preserve"> with similar properties, especially when using waste non-edible biomass as feedstock</w:t>
      </w:r>
      <w:r w:rsidR="00726AAE">
        <w:rPr>
          <w:lang w:val="en-GB"/>
        </w:rPr>
        <w:t xml:space="preserve">. </w:t>
      </w:r>
      <w:r w:rsidR="00E66F9B" w:rsidRPr="00F77A3E">
        <w:rPr>
          <w:lang w:val="en-GB"/>
        </w:rPr>
        <w:t xml:space="preserve">However, </w:t>
      </w:r>
      <w:r w:rsidR="0094710B">
        <w:rPr>
          <w:lang w:val="en-GB"/>
        </w:rPr>
        <w:t xml:space="preserve">the absolute sustainability analysis revealed that we remain far from the Safe Operating Space. In addition to decarbonizing both the feedstocks and the utility systems of the chemical industry, prolonged use-phase and efficient recycling appear as necessary measures to stay within our ecological budget. Despite the longer </w:t>
      </w:r>
      <w:r w:rsidR="00F24CE6">
        <w:rPr>
          <w:lang w:val="en-GB"/>
        </w:rPr>
        <w:t xml:space="preserve">commercialisation times for non-drop-in products due to the inexistence of supply chains, </w:t>
      </w:r>
      <w:r w:rsidR="0094710B">
        <w:rPr>
          <w:lang w:val="en-GB"/>
        </w:rPr>
        <w:t>designing new molecules with high</w:t>
      </w:r>
      <w:r w:rsidR="00F24CE6">
        <w:rPr>
          <w:lang w:val="en-GB"/>
        </w:rPr>
        <w:t>er</w:t>
      </w:r>
      <w:r w:rsidR="0094710B">
        <w:rPr>
          <w:lang w:val="en-GB"/>
        </w:rPr>
        <w:t xml:space="preserve"> biomass utilization efficiency is a promising avenue to </w:t>
      </w:r>
      <w:r w:rsidR="00F24CE6">
        <w:rPr>
          <w:lang w:val="en-GB"/>
        </w:rPr>
        <w:t>target zero transgression levels of planetary boundaries.</w:t>
      </w:r>
    </w:p>
    <w:p w14:paraId="144DE6BF" w14:textId="608D0AD6" w:rsidR="008D2649" w:rsidRDefault="008D2649" w:rsidP="008D2649">
      <w:pPr>
        <w:pStyle w:val="Els-reference-head"/>
      </w:pPr>
      <w:r>
        <w:t>References</w:t>
      </w:r>
    </w:p>
    <w:p w14:paraId="3B3C32C7" w14:textId="7F6775E3" w:rsidR="00A51B35" w:rsidRPr="00A51B35" w:rsidRDefault="00A51B35" w:rsidP="00F24CE6">
      <w:pPr>
        <w:spacing w:after="120"/>
        <w:rPr>
          <w:sz w:val="18"/>
          <w:szCs w:val="18"/>
          <w:lang w:val="en-US"/>
        </w:rPr>
      </w:pPr>
      <w:r w:rsidRPr="00A51B35">
        <w:rPr>
          <w:sz w:val="18"/>
          <w:szCs w:val="18"/>
        </w:rPr>
        <w:t xml:space="preserve">M. Bachmann </w:t>
      </w:r>
      <w:r w:rsidRPr="00A51B35">
        <w:rPr>
          <w:i/>
          <w:iCs/>
          <w:sz w:val="18"/>
          <w:szCs w:val="18"/>
        </w:rPr>
        <w:t>et al.</w:t>
      </w:r>
      <w:r w:rsidRPr="00A51B35">
        <w:rPr>
          <w:sz w:val="18"/>
          <w:szCs w:val="18"/>
        </w:rPr>
        <w:t>, “Towards circular plastics within planetary boundaries”</w:t>
      </w:r>
      <w:r w:rsidR="006913AD">
        <w:rPr>
          <w:sz w:val="18"/>
          <w:szCs w:val="18"/>
          <w:lang w:val="en-US"/>
        </w:rPr>
        <w:t>,</w:t>
      </w:r>
      <w:r w:rsidRPr="00A51B35">
        <w:rPr>
          <w:sz w:val="18"/>
          <w:szCs w:val="18"/>
        </w:rPr>
        <w:t xml:space="preserve"> </w:t>
      </w:r>
      <w:r w:rsidRPr="00A51B35">
        <w:rPr>
          <w:i/>
          <w:iCs/>
          <w:sz w:val="18"/>
          <w:szCs w:val="18"/>
        </w:rPr>
        <w:t>Nat Sustain</w:t>
      </w:r>
      <w:r w:rsidRPr="00A51B35">
        <w:rPr>
          <w:sz w:val="18"/>
          <w:szCs w:val="18"/>
        </w:rPr>
        <w:t>, vol. 6, no. 5, Art. no. 5, 2023</w:t>
      </w:r>
      <w:r>
        <w:rPr>
          <w:sz w:val="18"/>
          <w:szCs w:val="18"/>
          <w:lang w:val="en-US"/>
        </w:rPr>
        <w:t>.</w:t>
      </w:r>
    </w:p>
    <w:p w14:paraId="28D0C93E" w14:textId="27D3E0E0" w:rsidR="00A51B35" w:rsidRPr="00A51B35" w:rsidRDefault="00A51B35" w:rsidP="00F24CE6">
      <w:pPr>
        <w:spacing w:after="120"/>
        <w:rPr>
          <w:sz w:val="18"/>
          <w:szCs w:val="18"/>
        </w:rPr>
      </w:pPr>
      <w:r w:rsidRPr="00A51B35">
        <w:rPr>
          <w:sz w:val="18"/>
          <w:szCs w:val="18"/>
        </w:rPr>
        <w:t>I. Ioannou, Á. Galán-Martín, J. Pérez-Ramírez, and G. Guillén-Gosálbez, “Trade-offs between Sustainable Development Goals in carbon capture and utilisation”</w:t>
      </w:r>
      <w:r w:rsidR="006913AD">
        <w:rPr>
          <w:sz w:val="18"/>
          <w:szCs w:val="18"/>
          <w:lang w:val="en-US"/>
        </w:rPr>
        <w:t>,</w:t>
      </w:r>
      <w:r w:rsidRPr="00A51B35">
        <w:rPr>
          <w:sz w:val="18"/>
          <w:szCs w:val="18"/>
        </w:rPr>
        <w:t xml:space="preserve"> </w:t>
      </w:r>
      <w:r w:rsidRPr="00A51B35">
        <w:rPr>
          <w:i/>
          <w:iCs/>
          <w:sz w:val="18"/>
          <w:szCs w:val="18"/>
        </w:rPr>
        <w:t>Energy &amp; Environmental Science</w:t>
      </w:r>
      <w:r w:rsidRPr="00A51B35">
        <w:rPr>
          <w:sz w:val="18"/>
          <w:szCs w:val="18"/>
        </w:rPr>
        <w:t>, vol. 16, no. 1, 2023</w:t>
      </w:r>
      <w:r w:rsidRPr="00A51B35">
        <w:rPr>
          <w:sz w:val="18"/>
          <w:szCs w:val="18"/>
          <w:lang w:val="en-US"/>
        </w:rPr>
        <w:t>.</w:t>
      </w:r>
    </w:p>
    <w:p w14:paraId="3E2679C0" w14:textId="2B562ACA" w:rsidR="00A51B35" w:rsidRPr="00A51B35" w:rsidRDefault="00A51B35" w:rsidP="00F24CE6">
      <w:pPr>
        <w:spacing w:after="120"/>
        <w:rPr>
          <w:sz w:val="18"/>
          <w:szCs w:val="18"/>
          <w:lang w:val="en-US"/>
        </w:rPr>
      </w:pPr>
      <w:r w:rsidRPr="00A51B35">
        <w:rPr>
          <w:sz w:val="18"/>
          <w:szCs w:val="18"/>
        </w:rPr>
        <w:t>A. O. Komarova, G. R. Dick, and J. S. Luterbacher, “Diformylxylose as a new polar aprotic solvent produced from renewable biomass”</w:t>
      </w:r>
      <w:r w:rsidR="006913AD">
        <w:rPr>
          <w:sz w:val="18"/>
          <w:szCs w:val="18"/>
          <w:lang w:val="en-US"/>
        </w:rPr>
        <w:t>,</w:t>
      </w:r>
      <w:r w:rsidRPr="00A51B35">
        <w:rPr>
          <w:sz w:val="18"/>
          <w:szCs w:val="18"/>
        </w:rPr>
        <w:t xml:space="preserve"> </w:t>
      </w:r>
      <w:r w:rsidRPr="00A51B35">
        <w:rPr>
          <w:i/>
          <w:iCs/>
          <w:sz w:val="18"/>
          <w:szCs w:val="18"/>
        </w:rPr>
        <w:t>Green Chem.</w:t>
      </w:r>
      <w:r w:rsidRPr="00A51B35">
        <w:rPr>
          <w:sz w:val="18"/>
          <w:szCs w:val="18"/>
        </w:rPr>
        <w:t>, vol. 23, no. 13, 2021</w:t>
      </w:r>
      <w:r>
        <w:rPr>
          <w:sz w:val="18"/>
          <w:szCs w:val="18"/>
          <w:lang w:val="en-US"/>
        </w:rPr>
        <w:t>.</w:t>
      </w:r>
    </w:p>
    <w:p w14:paraId="18B247A3" w14:textId="59A97D63" w:rsidR="00A51B35" w:rsidRPr="00A51B35" w:rsidRDefault="00A51B35" w:rsidP="00F24CE6">
      <w:pPr>
        <w:spacing w:after="120"/>
        <w:rPr>
          <w:sz w:val="18"/>
          <w:szCs w:val="18"/>
          <w:lang w:val="en-US"/>
        </w:rPr>
      </w:pPr>
      <w:r w:rsidRPr="00A51B35">
        <w:rPr>
          <w:sz w:val="18"/>
          <w:szCs w:val="18"/>
        </w:rPr>
        <w:t xml:space="preserve">L. P. Manker </w:t>
      </w:r>
      <w:r w:rsidRPr="00A51B35">
        <w:rPr>
          <w:i/>
          <w:iCs/>
          <w:sz w:val="18"/>
          <w:szCs w:val="18"/>
        </w:rPr>
        <w:t>et al.</w:t>
      </w:r>
      <w:r w:rsidRPr="00A51B35">
        <w:rPr>
          <w:sz w:val="18"/>
          <w:szCs w:val="18"/>
        </w:rPr>
        <w:t>, “Sustainable polyesters via direct functionalization of lignocellulosic sugars”</w:t>
      </w:r>
      <w:r w:rsidR="006913AD">
        <w:rPr>
          <w:sz w:val="18"/>
          <w:szCs w:val="18"/>
          <w:lang w:val="en-US"/>
        </w:rPr>
        <w:t>,</w:t>
      </w:r>
      <w:r w:rsidRPr="00A51B35">
        <w:rPr>
          <w:sz w:val="18"/>
          <w:szCs w:val="18"/>
        </w:rPr>
        <w:t xml:space="preserve"> </w:t>
      </w:r>
      <w:r w:rsidRPr="00A51B35">
        <w:rPr>
          <w:i/>
          <w:iCs/>
          <w:sz w:val="18"/>
          <w:szCs w:val="18"/>
        </w:rPr>
        <w:t>Nat. Chem.</w:t>
      </w:r>
      <w:r w:rsidRPr="00A51B35">
        <w:rPr>
          <w:sz w:val="18"/>
          <w:szCs w:val="18"/>
        </w:rPr>
        <w:t>, 2022</w:t>
      </w:r>
      <w:r>
        <w:rPr>
          <w:sz w:val="18"/>
          <w:szCs w:val="18"/>
          <w:lang w:val="en-US"/>
        </w:rPr>
        <w:t>.</w:t>
      </w:r>
    </w:p>
    <w:p w14:paraId="3DBA8276" w14:textId="5C64F36D" w:rsidR="00A51B35" w:rsidRDefault="00A51B35" w:rsidP="00F24CE6">
      <w:pPr>
        <w:spacing w:after="120"/>
        <w:rPr>
          <w:sz w:val="18"/>
          <w:szCs w:val="18"/>
          <w:lang w:val="en-US"/>
        </w:rPr>
      </w:pPr>
      <w:r w:rsidRPr="00A51B35">
        <w:rPr>
          <w:sz w:val="18"/>
          <w:szCs w:val="18"/>
        </w:rPr>
        <w:t>L. P. Manker, M. J. Jones, S. Bertella, J. Behaghel de Bueren, and J. S. Luterbacher, “Current strategies for industrial plastic production from non-edible biomass”</w:t>
      </w:r>
      <w:r w:rsidR="006913AD">
        <w:rPr>
          <w:sz w:val="18"/>
          <w:szCs w:val="18"/>
          <w:lang w:val="en-US"/>
        </w:rPr>
        <w:t>,</w:t>
      </w:r>
      <w:r w:rsidRPr="00A51B35">
        <w:rPr>
          <w:sz w:val="18"/>
          <w:szCs w:val="18"/>
        </w:rPr>
        <w:t xml:space="preserve"> </w:t>
      </w:r>
      <w:r w:rsidRPr="00A51B35">
        <w:rPr>
          <w:i/>
          <w:iCs/>
          <w:sz w:val="18"/>
          <w:szCs w:val="18"/>
        </w:rPr>
        <w:t>Current Opinion in Green and Sustainable Chemistry</w:t>
      </w:r>
      <w:r w:rsidRPr="00A51B35">
        <w:rPr>
          <w:sz w:val="18"/>
          <w:szCs w:val="18"/>
        </w:rPr>
        <w:t>, vol. 41, 2023</w:t>
      </w:r>
      <w:r>
        <w:rPr>
          <w:sz w:val="18"/>
          <w:szCs w:val="18"/>
          <w:lang w:val="en-US"/>
        </w:rPr>
        <w:t>.</w:t>
      </w:r>
    </w:p>
    <w:p w14:paraId="3645138B" w14:textId="5C2E82B1" w:rsidR="006913AD" w:rsidRPr="00A51B35" w:rsidRDefault="006913AD" w:rsidP="00F24CE6">
      <w:pPr>
        <w:spacing w:after="120"/>
        <w:rPr>
          <w:sz w:val="18"/>
          <w:szCs w:val="18"/>
          <w:lang w:val="en-US"/>
        </w:rPr>
      </w:pPr>
      <w:r w:rsidRPr="00A51B35">
        <w:rPr>
          <w:sz w:val="18"/>
          <w:szCs w:val="18"/>
        </w:rPr>
        <w:t xml:space="preserve">L. P. Manker </w:t>
      </w:r>
      <w:r w:rsidRPr="00A51B35">
        <w:rPr>
          <w:i/>
          <w:iCs/>
          <w:sz w:val="18"/>
          <w:szCs w:val="18"/>
        </w:rPr>
        <w:t xml:space="preserve">et </w:t>
      </w:r>
      <w:r w:rsidRPr="00D92239">
        <w:rPr>
          <w:i/>
          <w:iCs/>
          <w:color w:val="000000" w:themeColor="text1"/>
          <w:sz w:val="18"/>
          <w:szCs w:val="18"/>
        </w:rPr>
        <w:t>al.</w:t>
      </w:r>
      <w:r w:rsidRPr="00D92239">
        <w:rPr>
          <w:color w:val="000000" w:themeColor="text1"/>
          <w:sz w:val="18"/>
          <w:szCs w:val="18"/>
        </w:rPr>
        <w:t>, “</w:t>
      </w:r>
      <w:r w:rsidR="00D92239" w:rsidRPr="00D92239">
        <w:rPr>
          <w:color w:val="000000" w:themeColor="text1"/>
          <w:sz w:val="18"/>
          <w:szCs w:val="18"/>
        </w:rPr>
        <w:t>Performance polyamides built on a sustainable carbohydrate core</w:t>
      </w:r>
      <w:r w:rsidRPr="00D92239">
        <w:rPr>
          <w:color w:val="000000" w:themeColor="text1"/>
          <w:sz w:val="18"/>
          <w:szCs w:val="18"/>
        </w:rPr>
        <w:t>”</w:t>
      </w:r>
      <w:r w:rsidRPr="00D92239">
        <w:rPr>
          <w:color w:val="000000" w:themeColor="text1"/>
          <w:sz w:val="18"/>
          <w:szCs w:val="18"/>
          <w:lang w:val="en-US"/>
        </w:rPr>
        <w:t>,</w:t>
      </w:r>
      <w:r w:rsidRPr="00D92239">
        <w:rPr>
          <w:color w:val="000000" w:themeColor="text1"/>
          <w:sz w:val="18"/>
          <w:szCs w:val="18"/>
        </w:rPr>
        <w:t xml:space="preserve"> </w:t>
      </w:r>
      <w:r w:rsidRPr="00D92239">
        <w:rPr>
          <w:i/>
          <w:iCs/>
          <w:color w:val="000000" w:themeColor="text1"/>
          <w:sz w:val="18"/>
          <w:szCs w:val="18"/>
        </w:rPr>
        <w:t xml:space="preserve">Nat. </w:t>
      </w:r>
      <w:r w:rsidRPr="00D92239">
        <w:rPr>
          <w:i/>
          <w:iCs/>
          <w:color w:val="000000" w:themeColor="text1"/>
          <w:sz w:val="18"/>
          <w:szCs w:val="18"/>
          <w:lang w:val="en-US"/>
        </w:rPr>
        <w:t>Sustain</w:t>
      </w:r>
      <w:r w:rsidRPr="00D92239">
        <w:rPr>
          <w:i/>
          <w:iCs/>
          <w:color w:val="000000" w:themeColor="text1"/>
          <w:sz w:val="18"/>
          <w:szCs w:val="18"/>
        </w:rPr>
        <w:t>.</w:t>
      </w:r>
      <w:r w:rsidRPr="00D92239">
        <w:rPr>
          <w:color w:val="000000" w:themeColor="text1"/>
          <w:sz w:val="18"/>
          <w:szCs w:val="18"/>
        </w:rPr>
        <w:t xml:space="preserve"> </w:t>
      </w:r>
      <w:r w:rsidRPr="00D92239">
        <w:rPr>
          <w:color w:val="000000" w:themeColor="text1"/>
          <w:sz w:val="18"/>
          <w:szCs w:val="18"/>
          <w:lang w:val="en-US"/>
        </w:rPr>
        <w:t>(in press).</w:t>
      </w:r>
    </w:p>
    <w:p w14:paraId="144DE6C3" w14:textId="2C1BB8AD" w:rsidR="008D2649" w:rsidRPr="00A84A0C" w:rsidRDefault="00A84A0C" w:rsidP="00F24CE6">
      <w:pPr>
        <w:spacing w:after="120"/>
        <w:rPr>
          <w:sz w:val="18"/>
          <w:szCs w:val="18"/>
          <w:lang w:val="en-US"/>
        </w:rPr>
      </w:pPr>
      <w:r w:rsidRPr="00A84A0C">
        <w:rPr>
          <w:sz w:val="18"/>
          <w:szCs w:val="18"/>
        </w:rPr>
        <w:t>J. F. Leal Silva, A. P. Mariano, and R. Maciel Filho, “Economic potential of 2-methyltetrahydrofuran (MTHF) and ethyl levulinate (EL) produced from hemicelluloses-derived furfural”</w:t>
      </w:r>
      <w:r w:rsidR="006913AD">
        <w:rPr>
          <w:sz w:val="18"/>
          <w:szCs w:val="18"/>
          <w:lang w:val="en-US"/>
        </w:rPr>
        <w:t>,</w:t>
      </w:r>
      <w:r w:rsidRPr="00A84A0C">
        <w:rPr>
          <w:sz w:val="18"/>
          <w:szCs w:val="18"/>
        </w:rPr>
        <w:t xml:space="preserve"> </w:t>
      </w:r>
      <w:r w:rsidRPr="00A84A0C">
        <w:rPr>
          <w:i/>
          <w:iCs/>
          <w:sz w:val="18"/>
          <w:szCs w:val="18"/>
        </w:rPr>
        <w:t>Biomass and Bioenergy</w:t>
      </w:r>
      <w:r w:rsidRPr="00A84A0C">
        <w:rPr>
          <w:sz w:val="18"/>
          <w:szCs w:val="18"/>
        </w:rPr>
        <w:t>, vol. 119, 2018</w:t>
      </w:r>
      <w:r>
        <w:rPr>
          <w:sz w:val="18"/>
          <w:szCs w:val="18"/>
          <w:lang w:val="en-US"/>
        </w:rPr>
        <w:t>.</w:t>
      </w:r>
    </w:p>
    <w:p w14:paraId="3F4461A8" w14:textId="1856CD78" w:rsidR="00A84A0C" w:rsidRDefault="00A84A0C" w:rsidP="00F24CE6">
      <w:pPr>
        <w:spacing w:after="120"/>
        <w:rPr>
          <w:noProof/>
          <w:sz w:val="18"/>
          <w:szCs w:val="20"/>
          <w:lang w:val="en-US" w:eastAsia="en-US"/>
        </w:rPr>
      </w:pPr>
      <w:r w:rsidRPr="00A84A0C">
        <w:rPr>
          <w:noProof/>
          <w:sz w:val="18"/>
          <w:szCs w:val="20"/>
          <w:lang w:val="en-US" w:eastAsia="en-US"/>
        </w:rPr>
        <w:t>S. Sala, E. Crenna, M. Secchi, and E. Sanyé-Mengual, “Environmental sustainability of European production and consumption assessed against planetary boundaries”</w:t>
      </w:r>
      <w:r w:rsidR="006913AD">
        <w:rPr>
          <w:noProof/>
          <w:sz w:val="18"/>
          <w:szCs w:val="20"/>
          <w:lang w:val="en-US" w:eastAsia="en-US"/>
        </w:rPr>
        <w:t>,</w:t>
      </w:r>
      <w:r w:rsidRPr="00A84A0C">
        <w:rPr>
          <w:noProof/>
          <w:sz w:val="18"/>
          <w:szCs w:val="20"/>
          <w:lang w:val="en-US" w:eastAsia="en-US"/>
        </w:rPr>
        <w:t xml:space="preserve"> </w:t>
      </w:r>
      <w:r w:rsidRPr="00A84A0C">
        <w:rPr>
          <w:i/>
          <w:iCs/>
          <w:noProof/>
          <w:sz w:val="18"/>
          <w:szCs w:val="20"/>
          <w:lang w:val="en-US" w:eastAsia="en-US"/>
        </w:rPr>
        <w:t>Journal of Environmental Management</w:t>
      </w:r>
      <w:r w:rsidRPr="00A84A0C">
        <w:rPr>
          <w:noProof/>
          <w:sz w:val="18"/>
          <w:szCs w:val="20"/>
          <w:lang w:val="en-US" w:eastAsia="en-US"/>
        </w:rPr>
        <w:t>, vol. 269, 2020.</w:t>
      </w:r>
    </w:p>
    <w:p w14:paraId="27FCF2AB" w14:textId="095D3641" w:rsidR="00A84A0C" w:rsidRPr="007764AE" w:rsidRDefault="00A84A0C" w:rsidP="00F24CE6">
      <w:pPr>
        <w:spacing w:after="120"/>
        <w:rPr>
          <w:sz w:val="18"/>
          <w:szCs w:val="18"/>
          <w:lang w:val="en-US"/>
        </w:rPr>
      </w:pPr>
      <w:r w:rsidRPr="00A84A0C">
        <w:rPr>
          <w:sz w:val="18"/>
          <w:szCs w:val="18"/>
        </w:rPr>
        <w:t>D. Vázquez and G. Guillén-Gosálbez, “Process design within planetary boundaries: Application to CO</w:t>
      </w:r>
      <w:r w:rsidRPr="007764AE">
        <w:rPr>
          <w:sz w:val="18"/>
          <w:szCs w:val="18"/>
          <w:vertAlign w:val="subscript"/>
        </w:rPr>
        <w:t>2</w:t>
      </w:r>
      <w:r w:rsidRPr="00A84A0C">
        <w:rPr>
          <w:sz w:val="18"/>
          <w:szCs w:val="18"/>
        </w:rPr>
        <w:t xml:space="preserve"> based methanol production”</w:t>
      </w:r>
      <w:r w:rsidR="006913AD">
        <w:rPr>
          <w:sz w:val="18"/>
          <w:szCs w:val="18"/>
          <w:lang w:val="en-US"/>
        </w:rPr>
        <w:t>,</w:t>
      </w:r>
      <w:r w:rsidRPr="00A84A0C">
        <w:rPr>
          <w:sz w:val="18"/>
          <w:szCs w:val="18"/>
        </w:rPr>
        <w:t xml:space="preserve"> </w:t>
      </w:r>
      <w:r w:rsidRPr="00A84A0C">
        <w:rPr>
          <w:i/>
          <w:iCs/>
          <w:sz w:val="18"/>
          <w:szCs w:val="18"/>
        </w:rPr>
        <w:t>Chemical Engineering Science</w:t>
      </w:r>
      <w:r w:rsidRPr="00A84A0C">
        <w:rPr>
          <w:sz w:val="18"/>
          <w:szCs w:val="18"/>
        </w:rPr>
        <w:t>, vol. 246, p. 116891, 2021</w:t>
      </w:r>
      <w:r>
        <w:rPr>
          <w:sz w:val="18"/>
          <w:szCs w:val="18"/>
          <w:lang w:val="en-US"/>
        </w:rPr>
        <w:t>.</w:t>
      </w:r>
    </w:p>
    <w:sectPr w:rsidR="00A84A0C" w:rsidRPr="007764AE" w:rsidSect="008B018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16EFE" w14:textId="77777777" w:rsidR="009B0445" w:rsidRDefault="009B0445">
      <w:r>
        <w:separator/>
      </w:r>
    </w:p>
  </w:endnote>
  <w:endnote w:type="continuationSeparator" w:id="0">
    <w:p w14:paraId="35F80CCB" w14:textId="77777777" w:rsidR="009B0445" w:rsidRDefault="009B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FF6043" w:rsidRDefault="00FF6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FF6043" w:rsidRDefault="00FF60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FF6043" w:rsidRDefault="00FF6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EF95D" w14:textId="77777777" w:rsidR="009B0445" w:rsidRDefault="009B0445">
      <w:r>
        <w:separator/>
      </w:r>
    </w:p>
  </w:footnote>
  <w:footnote w:type="continuationSeparator" w:id="0">
    <w:p w14:paraId="41629412" w14:textId="77777777" w:rsidR="009B0445" w:rsidRDefault="009B0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9291AB6"/>
    <w:multiLevelType w:val="hybridMultilevel"/>
    <w:tmpl w:val="9806AEE0"/>
    <w:lvl w:ilvl="0" w:tplc="254E72A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E7D76"/>
    <w:multiLevelType w:val="hybridMultilevel"/>
    <w:tmpl w:val="305CBD4A"/>
    <w:lvl w:ilvl="0" w:tplc="1A0CC2F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1EEF7DA4"/>
    <w:multiLevelType w:val="hybridMultilevel"/>
    <w:tmpl w:val="F260F3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83A6700"/>
    <w:multiLevelType w:val="hybridMultilevel"/>
    <w:tmpl w:val="B82876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5F11D3"/>
    <w:multiLevelType w:val="hybridMultilevel"/>
    <w:tmpl w:val="6018E990"/>
    <w:lvl w:ilvl="0" w:tplc="11D8C71E">
      <w:start w:val="1"/>
      <w:numFmt w:val="none"/>
      <w:lvlText w:val="2.2.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6"/>
  </w:num>
  <w:num w:numId="3">
    <w:abstractNumId w:val="16"/>
  </w:num>
  <w:num w:numId="4">
    <w:abstractNumId w:val="16"/>
  </w:num>
  <w:num w:numId="5">
    <w:abstractNumId w:val="0"/>
  </w:num>
  <w:num w:numId="6">
    <w:abstractNumId w:val="10"/>
  </w:num>
  <w:num w:numId="7">
    <w:abstractNumId w:val="17"/>
  </w:num>
  <w:num w:numId="8">
    <w:abstractNumId w:val="3"/>
  </w:num>
  <w:num w:numId="9">
    <w:abstractNumId w:val="15"/>
  </w:num>
  <w:num w:numId="10">
    <w:abstractNumId w:val="19"/>
  </w:num>
  <w:num w:numId="11">
    <w:abstractNumId w:val="18"/>
  </w:num>
  <w:num w:numId="12">
    <w:abstractNumId w:val="8"/>
  </w:num>
  <w:num w:numId="13">
    <w:abstractNumId w:val="13"/>
  </w:num>
  <w:num w:numId="14">
    <w:abstractNumId w:val="4"/>
  </w:num>
  <w:num w:numId="15">
    <w:abstractNumId w:val="11"/>
  </w:num>
  <w:num w:numId="16">
    <w:abstractNumId w:val="6"/>
  </w:num>
  <w:num w:numId="17">
    <w:abstractNumId w:val="7"/>
  </w:num>
  <w:num w:numId="18">
    <w:abstractNumId w:val="14"/>
  </w:num>
  <w:num w:numId="19">
    <w:abstractNumId w:val="12"/>
  </w:num>
  <w:num w:numId="20">
    <w:abstractNumId w:val="5"/>
  </w:num>
  <w:num w:numId="21">
    <w:abstractNumId w:val="9"/>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4162E"/>
    <w:rsid w:val="00047C5F"/>
    <w:rsid w:val="00061909"/>
    <w:rsid w:val="000705F2"/>
    <w:rsid w:val="000718CA"/>
    <w:rsid w:val="00087EEE"/>
    <w:rsid w:val="000D3D9B"/>
    <w:rsid w:val="000F58EF"/>
    <w:rsid w:val="00117E6A"/>
    <w:rsid w:val="0016032F"/>
    <w:rsid w:val="00175C5A"/>
    <w:rsid w:val="0018267B"/>
    <w:rsid w:val="001879F6"/>
    <w:rsid w:val="001957AC"/>
    <w:rsid w:val="001A3E58"/>
    <w:rsid w:val="001B1DE3"/>
    <w:rsid w:val="001C0148"/>
    <w:rsid w:val="001C757E"/>
    <w:rsid w:val="001E3315"/>
    <w:rsid w:val="001F59DB"/>
    <w:rsid w:val="001F624A"/>
    <w:rsid w:val="0020390F"/>
    <w:rsid w:val="002151FA"/>
    <w:rsid w:val="002227FF"/>
    <w:rsid w:val="002378C9"/>
    <w:rsid w:val="00254540"/>
    <w:rsid w:val="00264926"/>
    <w:rsid w:val="002F7E3C"/>
    <w:rsid w:val="003312D2"/>
    <w:rsid w:val="00344D01"/>
    <w:rsid w:val="0035743A"/>
    <w:rsid w:val="0038594F"/>
    <w:rsid w:val="00392AEA"/>
    <w:rsid w:val="00395EE2"/>
    <w:rsid w:val="003A352F"/>
    <w:rsid w:val="003A5A75"/>
    <w:rsid w:val="003B0481"/>
    <w:rsid w:val="003C4A9C"/>
    <w:rsid w:val="003D1582"/>
    <w:rsid w:val="003D46FA"/>
    <w:rsid w:val="003D7E4C"/>
    <w:rsid w:val="003E1B90"/>
    <w:rsid w:val="003E41C2"/>
    <w:rsid w:val="00402827"/>
    <w:rsid w:val="004121AB"/>
    <w:rsid w:val="00442606"/>
    <w:rsid w:val="00446F6B"/>
    <w:rsid w:val="004628E9"/>
    <w:rsid w:val="00486F07"/>
    <w:rsid w:val="00493DA9"/>
    <w:rsid w:val="0049772C"/>
    <w:rsid w:val="004D47CF"/>
    <w:rsid w:val="004E6C4A"/>
    <w:rsid w:val="00507CB7"/>
    <w:rsid w:val="00526DBF"/>
    <w:rsid w:val="00545AA3"/>
    <w:rsid w:val="00547112"/>
    <w:rsid w:val="00552EEB"/>
    <w:rsid w:val="005554EC"/>
    <w:rsid w:val="00567D93"/>
    <w:rsid w:val="005A2CFE"/>
    <w:rsid w:val="00607D18"/>
    <w:rsid w:val="00631DAD"/>
    <w:rsid w:val="00635024"/>
    <w:rsid w:val="00685C07"/>
    <w:rsid w:val="00690F5B"/>
    <w:rsid w:val="006913AD"/>
    <w:rsid w:val="006A69BF"/>
    <w:rsid w:val="006C11D1"/>
    <w:rsid w:val="006D0B58"/>
    <w:rsid w:val="00711DF4"/>
    <w:rsid w:val="00714687"/>
    <w:rsid w:val="00726AAE"/>
    <w:rsid w:val="007764AE"/>
    <w:rsid w:val="007C79B6"/>
    <w:rsid w:val="007D70A1"/>
    <w:rsid w:val="007D78E4"/>
    <w:rsid w:val="007E496D"/>
    <w:rsid w:val="007F0038"/>
    <w:rsid w:val="007F134B"/>
    <w:rsid w:val="00810846"/>
    <w:rsid w:val="008126A5"/>
    <w:rsid w:val="008132E8"/>
    <w:rsid w:val="00813302"/>
    <w:rsid w:val="00823407"/>
    <w:rsid w:val="0084633A"/>
    <w:rsid w:val="00851AC3"/>
    <w:rsid w:val="008A2523"/>
    <w:rsid w:val="008B0184"/>
    <w:rsid w:val="008C0A7A"/>
    <w:rsid w:val="008C5D02"/>
    <w:rsid w:val="008C5E02"/>
    <w:rsid w:val="008D2649"/>
    <w:rsid w:val="008D72AF"/>
    <w:rsid w:val="008E7DA3"/>
    <w:rsid w:val="0090568D"/>
    <w:rsid w:val="00910B28"/>
    <w:rsid w:val="009125C9"/>
    <w:rsid w:val="00913879"/>
    <w:rsid w:val="00917661"/>
    <w:rsid w:val="009317E8"/>
    <w:rsid w:val="009379E9"/>
    <w:rsid w:val="0094699A"/>
    <w:rsid w:val="0094710B"/>
    <w:rsid w:val="00970E5D"/>
    <w:rsid w:val="0097701C"/>
    <w:rsid w:val="00980A65"/>
    <w:rsid w:val="009A626A"/>
    <w:rsid w:val="009B0445"/>
    <w:rsid w:val="009B4F07"/>
    <w:rsid w:val="009D4105"/>
    <w:rsid w:val="00A00CAA"/>
    <w:rsid w:val="00A25E70"/>
    <w:rsid w:val="00A27879"/>
    <w:rsid w:val="00A33765"/>
    <w:rsid w:val="00A51B35"/>
    <w:rsid w:val="00A63269"/>
    <w:rsid w:val="00A84A0C"/>
    <w:rsid w:val="00A92377"/>
    <w:rsid w:val="00AB1C76"/>
    <w:rsid w:val="00AB29ED"/>
    <w:rsid w:val="00AE4BD8"/>
    <w:rsid w:val="00B07BE7"/>
    <w:rsid w:val="00B14E36"/>
    <w:rsid w:val="00B16F21"/>
    <w:rsid w:val="00B4388F"/>
    <w:rsid w:val="00B55E34"/>
    <w:rsid w:val="00B63237"/>
    <w:rsid w:val="00B723D9"/>
    <w:rsid w:val="00BA664B"/>
    <w:rsid w:val="00BB56AD"/>
    <w:rsid w:val="00BF0842"/>
    <w:rsid w:val="00C13D15"/>
    <w:rsid w:val="00C458DB"/>
    <w:rsid w:val="00C94496"/>
    <w:rsid w:val="00C960DC"/>
    <w:rsid w:val="00CE1EC0"/>
    <w:rsid w:val="00D01453"/>
    <w:rsid w:val="00D02C75"/>
    <w:rsid w:val="00D10E22"/>
    <w:rsid w:val="00D13D2C"/>
    <w:rsid w:val="00D6625C"/>
    <w:rsid w:val="00D92239"/>
    <w:rsid w:val="00D96A26"/>
    <w:rsid w:val="00DC1AE8"/>
    <w:rsid w:val="00DC2F94"/>
    <w:rsid w:val="00DD3D9E"/>
    <w:rsid w:val="00DD7908"/>
    <w:rsid w:val="00DF1350"/>
    <w:rsid w:val="00E137AD"/>
    <w:rsid w:val="00E2341E"/>
    <w:rsid w:val="00E23A86"/>
    <w:rsid w:val="00E66F9B"/>
    <w:rsid w:val="00E7279C"/>
    <w:rsid w:val="00E74D85"/>
    <w:rsid w:val="00E82297"/>
    <w:rsid w:val="00EC50D2"/>
    <w:rsid w:val="00EF39FD"/>
    <w:rsid w:val="00F06842"/>
    <w:rsid w:val="00F107FD"/>
    <w:rsid w:val="00F24CE6"/>
    <w:rsid w:val="00F30486"/>
    <w:rsid w:val="00F30710"/>
    <w:rsid w:val="00F333DB"/>
    <w:rsid w:val="00F62B12"/>
    <w:rsid w:val="00F71CB4"/>
    <w:rsid w:val="00F77A3E"/>
    <w:rsid w:val="00F816B0"/>
    <w:rsid w:val="00FB64A8"/>
    <w:rsid w:val="00FC39E4"/>
    <w:rsid w:val="00FE24EE"/>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84A0C"/>
    <w:rPr>
      <w:sz w:val="24"/>
      <w:szCs w:val="24"/>
      <w:lang/>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sz w:val="20"/>
      <w:szCs w:val="20"/>
      <w:lang w:val="en-GB" w:eastAsia="en-US"/>
    </w:rPr>
  </w:style>
  <w:style w:type="character" w:styleId="Collegamentoipertestuale">
    <w:name w:val="Hyperlink"/>
    <w:basedOn w:val="Carpredefinitoparagrafo"/>
    <w:uiPriority w:val="99"/>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rPr>
      <w:sz w:val="20"/>
      <w:szCs w:val="20"/>
      <w:lang w:val="en-GB" w:eastAsia="en-US"/>
    </w:rPr>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lang w:val="en-GB" w:eastAsia="en-US"/>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lang w:val="en-US" w:eastAsia="en-US"/>
    </w:rPr>
  </w:style>
  <w:style w:type="character" w:styleId="Menzionenonrisolta">
    <w:name w:val="Unresolved Mention"/>
    <w:basedOn w:val="Carpredefinitoparagrafo"/>
    <w:uiPriority w:val="99"/>
    <w:semiHidden/>
    <w:unhideWhenUsed/>
    <w:rsid w:val="009A626A"/>
    <w:rPr>
      <w:color w:val="605E5C"/>
      <w:shd w:val="clear" w:color="auto" w:fill="E1DFDD"/>
    </w:rPr>
  </w:style>
  <w:style w:type="character" w:styleId="Collegamentovisitato">
    <w:name w:val="FollowedHyperlink"/>
    <w:basedOn w:val="Carpredefinitoparagrafo"/>
    <w:semiHidden/>
    <w:unhideWhenUsed/>
    <w:rsid w:val="009A626A"/>
    <w:rPr>
      <w:color w:val="800080" w:themeColor="followedHyperlink"/>
      <w:u w:val="single"/>
    </w:rPr>
  </w:style>
  <w:style w:type="paragraph" w:styleId="Revisione">
    <w:name w:val="Revision"/>
    <w:hidden/>
    <w:uiPriority w:val="99"/>
    <w:semiHidden/>
    <w:rsid w:val="00631DAD"/>
    <w:rPr>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1665">
      <w:bodyDiv w:val="1"/>
      <w:marLeft w:val="0"/>
      <w:marRight w:val="0"/>
      <w:marTop w:val="0"/>
      <w:marBottom w:val="0"/>
      <w:divBdr>
        <w:top w:val="none" w:sz="0" w:space="0" w:color="auto"/>
        <w:left w:val="none" w:sz="0" w:space="0" w:color="auto"/>
        <w:bottom w:val="none" w:sz="0" w:space="0" w:color="auto"/>
        <w:right w:val="none" w:sz="0" w:space="0" w:color="auto"/>
      </w:divBdr>
      <w:divsChild>
        <w:div w:id="112986506">
          <w:marLeft w:val="0"/>
          <w:marRight w:val="0"/>
          <w:marTop w:val="0"/>
          <w:marBottom w:val="0"/>
          <w:divBdr>
            <w:top w:val="none" w:sz="0" w:space="0" w:color="auto"/>
            <w:left w:val="none" w:sz="0" w:space="0" w:color="auto"/>
            <w:bottom w:val="none" w:sz="0" w:space="0" w:color="auto"/>
            <w:right w:val="none" w:sz="0" w:space="0" w:color="auto"/>
          </w:divBdr>
          <w:divsChild>
            <w:div w:id="574897386">
              <w:marLeft w:val="0"/>
              <w:marRight w:val="0"/>
              <w:marTop w:val="0"/>
              <w:marBottom w:val="0"/>
              <w:divBdr>
                <w:top w:val="none" w:sz="0" w:space="0" w:color="auto"/>
                <w:left w:val="none" w:sz="0" w:space="0" w:color="auto"/>
                <w:bottom w:val="none" w:sz="0" w:space="0" w:color="auto"/>
                <w:right w:val="none" w:sz="0" w:space="0" w:color="auto"/>
              </w:divBdr>
              <w:divsChild>
                <w:div w:id="7895890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40302948">
      <w:bodyDiv w:val="1"/>
      <w:marLeft w:val="0"/>
      <w:marRight w:val="0"/>
      <w:marTop w:val="0"/>
      <w:marBottom w:val="0"/>
      <w:divBdr>
        <w:top w:val="none" w:sz="0" w:space="0" w:color="auto"/>
        <w:left w:val="none" w:sz="0" w:space="0" w:color="auto"/>
        <w:bottom w:val="none" w:sz="0" w:space="0" w:color="auto"/>
        <w:right w:val="none" w:sz="0" w:space="0" w:color="auto"/>
      </w:divBdr>
    </w:div>
    <w:div w:id="519049795">
      <w:bodyDiv w:val="1"/>
      <w:marLeft w:val="0"/>
      <w:marRight w:val="0"/>
      <w:marTop w:val="0"/>
      <w:marBottom w:val="0"/>
      <w:divBdr>
        <w:top w:val="none" w:sz="0" w:space="0" w:color="auto"/>
        <w:left w:val="none" w:sz="0" w:space="0" w:color="auto"/>
        <w:bottom w:val="none" w:sz="0" w:space="0" w:color="auto"/>
        <w:right w:val="none" w:sz="0" w:space="0" w:color="auto"/>
      </w:divBdr>
      <w:divsChild>
        <w:div w:id="513422394">
          <w:marLeft w:val="0"/>
          <w:marRight w:val="0"/>
          <w:marTop w:val="0"/>
          <w:marBottom w:val="0"/>
          <w:divBdr>
            <w:top w:val="none" w:sz="0" w:space="0" w:color="auto"/>
            <w:left w:val="none" w:sz="0" w:space="0" w:color="auto"/>
            <w:bottom w:val="none" w:sz="0" w:space="0" w:color="auto"/>
            <w:right w:val="none" w:sz="0" w:space="0" w:color="auto"/>
          </w:divBdr>
          <w:divsChild>
            <w:div w:id="990063917">
              <w:marLeft w:val="0"/>
              <w:marRight w:val="0"/>
              <w:marTop w:val="0"/>
              <w:marBottom w:val="0"/>
              <w:divBdr>
                <w:top w:val="none" w:sz="0" w:space="0" w:color="auto"/>
                <w:left w:val="none" w:sz="0" w:space="0" w:color="auto"/>
                <w:bottom w:val="none" w:sz="0" w:space="0" w:color="auto"/>
                <w:right w:val="none" w:sz="0" w:space="0" w:color="auto"/>
              </w:divBdr>
              <w:divsChild>
                <w:div w:id="114085205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65207087">
      <w:bodyDiv w:val="1"/>
      <w:marLeft w:val="0"/>
      <w:marRight w:val="0"/>
      <w:marTop w:val="0"/>
      <w:marBottom w:val="0"/>
      <w:divBdr>
        <w:top w:val="none" w:sz="0" w:space="0" w:color="auto"/>
        <w:left w:val="none" w:sz="0" w:space="0" w:color="auto"/>
        <w:bottom w:val="none" w:sz="0" w:space="0" w:color="auto"/>
        <w:right w:val="none" w:sz="0" w:space="0" w:color="auto"/>
      </w:divBdr>
      <w:divsChild>
        <w:div w:id="1770157542">
          <w:marLeft w:val="0"/>
          <w:marRight w:val="0"/>
          <w:marTop w:val="0"/>
          <w:marBottom w:val="0"/>
          <w:divBdr>
            <w:top w:val="none" w:sz="0" w:space="0" w:color="auto"/>
            <w:left w:val="none" w:sz="0" w:space="0" w:color="auto"/>
            <w:bottom w:val="none" w:sz="0" w:space="0" w:color="auto"/>
            <w:right w:val="none" w:sz="0" w:space="0" w:color="auto"/>
          </w:divBdr>
          <w:divsChild>
            <w:div w:id="1065491991">
              <w:marLeft w:val="0"/>
              <w:marRight w:val="0"/>
              <w:marTop w:val="0"/>
              <w:marBottom w:val="0"/>
              <w:divBdr>
                <w:top w:val="none" w:sz="0" w:space="0" w:color="auto"/>
                <w:left w:val="none" w:sz="0" w:space="0" w:color="auto"/>
                <w:bottom w:val="none" w:sz="0" w:space="0" w:color="auto"/>
                <w:right w:val="none" w:sz="0" w:space="0" w:color="auto"/>
              </w:divBdr>
              <w:divsChild>
                <w:div w:id="3488785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40298343">
      <w:bodyDiv w:val="1"/>
      <w:marLeft w:val="0"/>
      <w:marRight w:val="0"/>
      <w:marTop w:val="0"/>
      <w:marBottom w:val="0"/>
      <w:divBdr>
        <w:top w:val="none" w:sz="0" w:space="0" w:color="auto"/>
        <w:left w:val="none" w:sz="0" w:space="0" w:color="auto"/>
        <w:bottom w:val="none" w:sz="0" w:space="0" w:color="auto"/>
        <w:right w:val="none" w:sz="0" w:space="0" w:color="auto"/>
      </w:divBdr>
      <w:divsChild>
        <w:div w:id="1830175376">
          <w:marLeft w:val="0"/>
          <w:marRight w:val="0"/>
          <w:marTop w:val="0"/>
          <w:marBottom w:val="0"/>
          <w:divBdr>
            <w:top w:val="none" w:sz="0" w:space="0" w:color="auto"/>
            <w:left w:val="none" w:sz="0" w:space="0" w:color="auto"/>
            <w:bottom w:val="none" w:sz="0" w:space="0" w:color="auto"/>
            <w:right w:val="none" w:sz="0" w:space="0" w:color="auto"/>
          </w:divBdr>
          <w:divsChild>
            <w:div w:id="1016806190">
              <w:marLeft w:val="0"/>
              <w:marRight w:val="0"/>
              <w:marTop w:val="0"/>
              <w:marBottom w:val="0"/>
              <w:divBdr>
                <w:top w:val="none" w:sz="0" w:space="0" w:color="auto"/>
                <w:left w:val="none" w:sz="0" w:space="0" w:color="auto"/>
                <w:bottom w:val="none" w:sz="0" w:space="0" w:color="auto"/>
                <w:right w:val="none" w:sz="0" w:space="0" w:color="auto"/>
              </w:divBdr>
              <w:divsChild>
                <w:div w:id="4480837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04809230">
      <w:bodyDiv w:val="1"/>
      <w:marLeft w:val="0"/>
      <w:marRight w:val="0"/>
      <w:marTop w:val="0"/>
      <w:marBottom w:val="0"/>
      <w:divBdr>
        <w:top w:val="none" w:sz="0" w:space="0" w:color="auto"/>
        <w:left w:val="none" w:sz="0" w:space="0" w:color="auto"/>
        <w:bottom w:val="none" w:sz="0" w:space="0" w:color="auto"/>
        <w:right w:val="none" w:sz="0" w:space="0" w:color="auto"/>
      </w:divBdr>
      <w:divsChild>
        <w:div w:id="2094541945">
          <w:marLeft w:val="0"/>
          <w:marRight w:val="0"/>
          <w:marTop w:val="0"/>
          <w:marBottom w:val="0"/>
          <w:divBdr>
            <w:top w:val="none" w:sz="0" w:space="0" w:color="auto"/>
            <w:left w:val="none" w:sz="0" w:space="0" w:color="auto"/>
            <w:bottom w:val="none" w:sz="0" w:space="0" w:color="auto"/>
            <w:right w:val="none" w:sz="0" w:space="0" w:color="auto"/>
          </w:divBdr>
          <w:divsChild>
            <w:div w:id="1452703613">
              <w:marLeft w:val="0"/>
              <w:marRight w:val="0"/>
              <w:marTop w:val="0"/>
              <w:marBottom w:val="0"/>
              <w:divBdr>
                <w:top w:val="none" w:sz="0" w:space="0" w:color="auto"/>
                <w:left w:val="none" w:sz="0" w:space="0" w:color="auto"/>
                <w:bottom w:val="none" w:sz="0" w:space="0" w:color="auto"/>
                <w:right w:val="none" w:sz="0" w:space="0" w:color="auto"/>
              </w:divBdr>
              <w:divsChild>
                <w:div w:id="986906830">
                  <w:marLeft w:val="360"/>
                  <w:marRight w:val="96"/>
                  <w:marTop w:val="0"/>
                  <w:marBottom w:val="0"/>
                  <w:divBdr>
                    <w:top w:val="none" w:sz="0" w:space="0" w:color="auto"/>
                    <w:left w:val="none" w:sz="0" w:space="0" w:color="auto"/>
                    <w:bottom w:val="none" w:sz="0" w:space="0" w:color="auto"/>
                    <w:right w:val="none" w:sz="0" w:space="0" w:color="auto"/>
                  </w:divBdr>
                </w:div>
              </w:divsChild>
            </w:div>
            <w:div w:id="1772428824">
              <w:marLeft w:val="0"/>
              <w:marRight w:val="0"/>
              <w:marTop w:val="0"/>
              <w:marBottom w:val="0"/>
              <w:divBdr>
                <w:top w:val="none" w:sz="0" w:space="0" w:color="auto"/>
                <w:left w:val="none" w:sz="0" w:space="0" w:color="auto"/>
                <w:bottom w:val="none" w:sz="0" w:space="0" w:color="auto"/>
                <w:right w:val="none" w:sz="0" w:space="0" w:color="auto"/>
              </w:divBdr>
              <w:divsChild>
                <w:div w:id="3442135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98340965">
      <w:bodyDiv w:val="1"/>
      <w:marLeft w:val="0"/>
      <w:marRight w:val="0"/>
      <w:marTop w:val="0"/>
      <w:marBottom w:val="0"/>
      <w:divBdr>
        <w:top w:val="none" w:sz="0" w:space="0" w:color="auto"/>
        <w:left w:val="none" w:sz="0" w:space="0" w:color="auto"/>
        <w:bottom w:val="none" w:sz="0" w:space="0" w:color="auto"/>
        <w:right w:val="none" w:sz="0" w:space="0" w:color="auto"/>
      </w:divBdr>
      <w:divsChild>
        <w:div w:id="2016225728">
          <w:marLeft w:val="0"/>
          <w:marRight w:val="0"/>
          <w:marTop w:val="0"/>
          <w:marBottom w:val="0"/>
          <w:divBdr>
            <w:top w:val="none" w:sz="0" w:space="0" w:color="auto"/>
            <w:left w:val="none" w:sz="0" w:space="0" w:color="auto"/>
            <w:bottom w:val="none" w:sz="0" w:space="0" w:color="auto"/>
            <w:right w:val="none" w:sz="0" w:space="0" w:color="auto"/>
          </w:divBdr>
          <w:divsChild>
            <w:div w:id="1344746486">
              <w:marLeft w:val="0"/>
              <w:marRight w:val="0"/>
              <w:marTop w:val="0"/>
              <w:marBottom w:val="0"/>
              <w:divBdr>
                <w:top w:val="none" w:sz="0" w:space="0" w:color="auto"/>
                <w:left w:val="none" w:sz="0" w:space="0" w:color="auto"/>
                <w:bottom w:val="none" w:sz="0" w:space="0" w:color="auto"/>
                <w:right w:val="none" w:sz="0" w:space="0" w:color="auto"/>
              </w:divBdr>
              <w:divsChild>
                <w:div w:id="5312638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22430688">
      <w:bodyDiv w:val="1"/>
      <w:marLeft w:val="0"/>
      <w:marRight w:val="0"/>
      <w:marTop w:val="0"/>
      <w:marBottom w:val="0"/>
      <w:divBdr>
        <w:top w:val="none" w:sz="0" w:space="0" w:color="auto"/>
        <w:left w:val="none" w:sz="0" w:space="0" w:color="auto"/>
        <w:bottom w:val="none" w:sz="0" w:space="0" w:color="auto"/>
        <w:right w:val="none" w:sz="0" w:space="0" w:color="auto"/>
      </w:divBdr>
      <w:divsChild>
        <w:div w:id="1160852039">
          <w:marLeft w:val="480"/>
          <w:marRight w:val="0"/>
          <w:marTop w:val="0"/>
          <w:marBottom w:val="0"/>
          <w:divBdr>
            <w:top w:val="none" w:sz="0" w:space="0" w:color="auto"/>
            <w:left w:val="none" w:sz="0" w:space="0" w:color="auto"/>
            <w:bottom w:val="none" w:sz="0" w:space="0" w:color="auto"/>
            <w:right w:val="none" w:sz="0" w:space="0" w:color="auto"/>
          </w:divBdr>
          <w:divsChild>
            <w:div w:id="15111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1778">
      <w:bodyDiv w:val="1"/>
      <w:marLeft w:val="0"/>
      <w:marRight w:val="0"/>
      <w:marTop w:val="0"/>
      <w:marBottom w:val="0"/>
      <w:divBdr>
        <w:top w:val="none" w:sz="0" w:space="0" w:color="auto"/>
        <w:left w:val="none" w:sz="0" w:space="0" w:color="auto"/>
        <w:bottom w:val="none" w:sz="0" w:space="0" w:color="auto"/>
        <w:right w:val="none" w:sz="0" w:space="0" w:color="auto"/>
      </w:divBdr>
      <w:divsChild>
        <w:div w:id="1929803063">
          <w:marLeft w:val="0"/>
          <w:marRight w:val="0"/>
          <w:marTop w:val="0"/>
          <w:marBottom w:val="0"/>
          <w:divBdr>
            <w:top w:val="none" w:sz="0" w:space="0" w:color="auto"/>
            <w:left w:val="none" w:sz="0" w:space="0" w:color="auto"/>
            <w:bottom w:val="none" w:sz="0" w:space="0" w:color="auto"/>
            <w:right w:val="none" w:sz="0" w:space="0" w:color="auto"/>
          </w:divBdr>
          <w:divsChild>
            <w:div w:id="884875936">
              <w:marLeft w:val="0"/>
              <w:marRight w:val="0"/>
              <w:marTop w:val="0"/>
              <w:marBottom w:val="0"/>
              <w:divBdr>
                <w:top w:val="none" w:sz="0" w:space="0" w:color="auto"/>
                <w:left w:val="none" w:sz="0" w:space="0" w:color="auto"/>
                <w:bottom w:val="none" w:sz="0" w:space="0" w:color="auto"/>
                <w:right w:val="none" w:sz="0" w:space="0" w:color="auto"/>
              </w:divBdr>
              <w:divsChild>
                <w:div w:id="15335716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3911419">
      <w:bodyDiv w:val="1"/>
      <w:marLeft w:val="0"/>
      <w:marRight w:val="0"/>
      <w:marTop w:val="0"/>
      <w:marBottom w:val="0"/>
      <w:divBdr>
        <w:top w:val="none" w:sz="0" w:space="0" w:color="auto"/>
        <w:left w:val="none" w:sz="0" w:space="0" w:color="auto"/>
        <w:bottom w:val="none" w:sz="0" w:space="0" w:color="auto"/>
        <w:right w:val="none" w:sz="0" w:space="0" w:color="auto"/>
      </w:divBdr>
      <w:divsChild>
        <w:div w:id="374737159">
          <w:marLeft w:val="0"/>
          <w:marRight w:val="0"/>
          <w:marTop w:val="0"/>
          <w:marBottom w:val="0"/>
          <w:divBdr>
            <w:top w:val="none" w:sz="0" w:space="0" w:color="auto"/>
            <w:left w:val="none" w:sz="0" w:space="0" w:color="auto"/>
            <w:bottom w:val="none" w:sz="0" w:space="0" w:color="auto"/>
            <w:right w:val="none" w:sz="0" w:space="0" w:color="auto"/>
          </w:divBdr>
          <w:divsChild>
            <w:div w:id="1498693890">
              <w:marLeft w:val="0"/>
              <w:marRight w:val="0"/>
              <w:marTop w:val="0"/>
              <w:marBottom w:val="0"/>
              <w:divBdr>
                <w:top w:val="none" w:sz="0" w:space="0" w:color="auto"/>
                <w:left w:val="none" w:sz="0" w:space="0" w:color="auto"/>
                <w:bottom w:val="none" w:sz="0" w:space="0" w:color="auto"/>
                <w:right w:val="none" w:sz="0" w:space="0" w:color="auto"/>
              </w:divBdr>
              <w:divsChild>
                <w:div w:id="21472359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jones@epfl.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B980-A86C-4C40-AF85-37FFD9B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6</TotalTime>
  <Pages>6</Pages>
  <Words>2574</Words>
  <Characters>14980</Characters>
  <Application>Microsoft Office Word</Application>
  <DocSecurity>0</DocSecurity>
  <Lines>124</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cp:revision>
  <cp:lastPrinted>2023-11-30T09:57:00Z</cp:lastPrinted>
  <dcterms:created xsi:type="dcterms:W3CDTF">2023-12-21T09:24:00Z</dcterms:created>
  <dcterms:modified xsi:type="dcterms:W3CDTF">2024-01-21T11:09:00Z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