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3211D887" w:rsidR="00DD3D9E" w:rsidRPr="000F560C" w:rsidRDefault="003B71BE" w:rsidP="003B71BE">
      <w:pPr>
        <w:pStyle w:val="Els-Title"/>
        <w:rPr>
          <w:color w:val="000000" w:themeColor="text1"/>
        </w:rPr>
      </w:pPr>
      <w:r w:rsidRPr="000F560C">
        <w:rPr>
          <w:color w:val="000000" w:themeColor="text1"/>
        </w:rPr>
        <w:t xml:space="preserve">Potential </w:t>
      </w:r>
      <w:r w:rsidR="0037278E">
        <w:rPr>
          <w:color w:val="000000" w:themeColor="text1"/>
        </w:rPr>
        <w:t>for</w:t>
      </w:r>
      <w:r w:rsidRPr="000F560C">
        <w:rPr>
          <w:color w:val="000000" w:themeColor="text1"/>
        </w:rPr>
        <w:t xml:space="preserve"> Counterfactual Explanations </w:t>
      </w:r>
      <w:r w:rsidR="009B3C03">
        <w:rPr>
          <w:color w:val="000000" w:themeColor="text1"/>
        </w:rPr>
        <w:t>to</w:t>
      </w:r>
      <w:r w:rsidR="0037278E">
        <w:rPr>
          <w:color w:val="000000" w:themeColor="text1"/>
        </w:rPr>
        <w:t xml:space="preserve"> Support </w:t>
      </w:r>
      <w:r w:rsidRPr="000F560C">
        <w:rPr>
          <w:color w:val="000000" w:themeColor="text1"/>
        </w:rPr>
        <w:t xml:space="preserve">Digitalized </w:t>
      </w:r>
      <w:r w:rsidR="00FD1D43">
        <w:rPr>
          <w:color w:val="000000" w:themeColor="text1"/>
        </w:rPr>
        <w:t>Plant Operations</w:t>
      </w:r>
    </w:p>
    <w:p w14:paraId="144DE680" w14:textId="333330CA" w:rsidR="00DD3D9E" w:rsidRPr="000F560C" w:rsidRDefault="00E96E30">
      <w:pPr>
        <w:pStyle w:val="Els-Author"/>
      </w:pPr>
      <w:r w:rsidRPr="000F560C">
        <w:t>Abhijit Bhakte,</w:t>
      </w:r>
      <w:r w:rsidR="003B71BE" w:rsidRPr="000F560C">
        <w:rPr>
          <w:vertAlign w:val="superscript"/>
        </w:rPr>
        <w:t>a</w:t>
      </w:r>
      <w:r w:rsidR="003B71BE" w:rsidRPr="000F560C">
        <w:t xml:space="preserve"> </w:t>
      </w:r>
      <w:r w:rsidRPr="000F560C">
        <w:t>Rajagopalan Srinivasan,</w:t>
      </w:r>
      <w:r w:rsidR="003B71BE" w:rsidRPr="000F560C">
        <w:rPr>
          <w:vertAlign w:val="superscript"/>
        </w:rPr>
        <w:t>a,b,*</w:t>
      </w:r>
    </w:p>
    <w:p w14:paraId="144DE681" w14:textId="1F4F8DFF" w:rsidR="00DD3D9E" w:rsidRPr="000F560C" w:rsidRDefault="006B0106" w:rsidP="006B0106">
      <w:pPr>
        <w:pStyle w:val="Els-Affiliation"/>
      </w:pPr>
      <w:r w:rsidRPr="000F560C">
        <w:rPr>
          <w:vertAlign w:val="superscript"/>
        </w:rPr>
        <w:t>a</w:t>
      </w:r>
      <w:r w:rsidRPr="000F560C">
        <w:t>Department</w:t>
      </w:r>
      <w:r w:rsidR="003B71BE" w:rsidRPr="000F560C">
        <w:t xml:space="preserve"> of Chemical Engineering, Indian Institute of Technology Madras, Chennai 600036, India</w:t>
      </w:r>
    </w:p>
    <w:p w14:paraId="1290E025" w14:textId="7619D333" w:rsidR="003B71BE" w:rsidRPr="000F560C" w:rsidRDefault="006B0106" w:rsidP="006B0106">
      <w:pPr>
        <w:pStyle w:val="Els-Affiliation"/>
      </w:pPr>
      <w:r w:rsidRPr="000F560C">
        <w:rPr>
          <w:vertAlign w:val="superscript"/>
        </w:rPr>
        <w:t>b</w:t>
      </w:r>
      <w:r w:rsidR="003B71BE" w:rsidRPr="000F560C">
        <w:t>American Express Lab for Data Analytics, Risk &amp; Technology, Indian Institute of Technology Madras, Chennai 600036, India</w:t>
      </w:r>
    </w:p>
    <w:p w14:paraId="79899CEC" w14:textId="4464D00D" w:rsidR="003B71BE" w:rsidRPr="000F560C" w:rsidRDefault="000B7CEA" w:rsidP="008D2649">
      <w:pPr>
        <w:pStyle w:val="Els-Affiliation"/>
        <w:spacing w:after="120"/>
      </w:pPr>
      <w:r w:rsidRPr="000F560C">
        <w:t>*</w:t>
      </w:r>
      <w:hyperlink r:id="rId8" w:history="1">
        <w:r w:rsidR="003B71BE" w:rsidRPr="000F560C">
          <w:rPr>
            <w:rStyle w:val="Hyperlink"/>
          </w:rPr>
          <w:t>raj@iitm.ac.in</w:t>
        </w:r>
      </w:hyperlink>
    </w:p>
    <w:p w14:paraId="144DE684" w14:textId="5395872D" w:rsidR="008D2649" w:rsidRPr="000F560C" w:rsidRDefault="008D2649" w:rsidP="008D2649">
      <w:pPr>
        <w:pStyle w:val="Els-Abstract"/>
      </w:pPr>
      <w:r w:rsidRPr="000F560C">
        <w:t>Abstract</w:t>
      </w:r>
    </w:p>
    <w:p w14:paraId="49B2B883" w14:textId="6078D02D" w:rsidR="00577E21" w:rsidRPr="000F560C" w:rsidRDefault="00E37B4F" w:rsidP="00E37B4F">
      <w:pPr>
        <w:pStyle w:val="Els-body-text"/>
      </w:pPr>
      <w:r w:rsidRPr="000F560C">
        <w:t xml:space="preserve">The advent of digitalization in the chemical industry has begun a new era of technological advancements, where artificial intelligence (AI) methods play a pivotal role in diverse applications, from process optimization to product development. However, a major challenge persists </w:t>
      </w:r>
      <w:r w:rsidR="00396586">
        <w:t>–</w:t>
      </w:r>
      <w:r w:rsidRPr="000F560C">
        <w:t xml:space="preserve"> operators</w:t>
      </w:r>
      <w:r w:rsidR="00396586">
        <w:t xml:space="preserve"> </w:t>
      </w:r>
      <w:r w:rsidRPr="000F560C">
        <w:t xml:space="preserve">and stakeholders often find it challenging to comprehend the </w:t>
      </w:r>
      <w:r w:rsidR="003F66D1">
        <w:t>outputs</w:t>
      </w:r>
      <w:r w:rsidRPr="000F560C">
        <w:t xml:space="preserve"> </w:t>
      </w:r>
      <w:r w:rsidR="00396586">
        <w:t>provided</w:t>
      </w:r>
      <w:r w:rsidRPr="000F560C">
        <w:t xml:space="preserve"> by AI models due to their inherent complexity. </w:t>
      </w:r>
      <w:r w:rsidR="00592954">
        <w:t>C</w:t>
      </w:r>
      <w:r w:rsidRPr="000F560C">
        <w:t>ounterfactual explanations (CF</w:t>
      </w:r>
      <w:r w:rsidR="00BF7A52">
        <w:t>s</w:t>
      </w:r>
      <w:r w:rsidRPr="000F560C">
        <w:t xml:space="preserve">) </w:t>
      </w:r>
      <w:r w:rsidR="00E736CD">
        <w:t xml:space="preserve">are </w:t>
      </w:r>
      <w:r w:rsidRPr="000F560C">
        <w:t>emerg</w:t>
      </w:r>
      <w:r w:rsidR="00E736CD">
        <w:t>ing</w:t>
      </w:r>
      <w:r w:rsidRPr="000F560C">
        <w:t xml:space="preserve"> as a promising approach to demystify AI predictions</w:t>
      </w:r>
      <w:r w:rsidR="00577E21" w:rsidRPr="000F560C">
        <w:t xml:space="preserve">. </w:t>
      </w:r>
      <w:r w:rsidR="003D6F4A" w:rsidRPr="003D6F4A">
        <w:t xml:space="preserve">A counterfactual explanation tells you what changes could have been made in a situation to get a </w:t>
      </w:r>
      <w:r w:rsidR="00B03877">
        <w:t>div</w:t>
      </w:r>
      <w:r w:rsidR="003D6F4A">
        <w:t>erse outcome.</w:t>
      </w:r>
      <w:r w:rsidR="00D06F2F">
        <w:t xml:space="preserve"> </w:t>
      </w:r>
      <w:r w:rsidR="0018311E">
        <w:t>CF</w:t>
      </w:r>
      <w:r w:rsidR="00C46AB8">
        <w:t xml:space="preserve"> </w:t>
      </w:r>
      <w:r w:rsidR="00340D54">
        <w:t xml:space="preserve">is </w:t>
      </w:r>
      <w:r w:rsidR="006106D0">
        <w:t>r</w:t>
      </w:r>
      <w:r w:rsidR="006106D0" w:rsidRPr="000F560C">
        <w:t>ooted in causal inference</w:t>
      </w:r>
      <w:r w:rsidR="006106D0">
        <w:t xml:space="preserve"> </w:t>
      </w:r>
      <w:r w:rsidR="00340D54">
        <w:t xml:space="preserve">and thus </w:t>
      </w:r>
      <w:r w:rsidR="00C46AB8">
        <w:t>ha</w:t>
      </w:r>
      <w:r w:rsidR="006106D0">
        <w:t>s</w:t>
      </w:r>
      <w:r w:rsidR="00C46AB8">
        <w:t xml:space="preserve"> the potential </w:t>
      </w:r>
      <w:r w:rsidR="00183404">
        <w:t>to</w:t>
      </w:r>
      <w:r w:rsidRPr="000F560C">
        <w:t xml:space="preserve"> </w:t>
      </w:r>
      <w:r w:rsidR="003C5083">
        <w:t>provide insights</w:t>
      </w:r>
      <w:r w:rsidR="006106D0">
        <w:t>,</w:t>
      </w:r>
      <w:r w:rsidR="00C74775">
        <w:t xml:space="preserve"> </w:t>
      </w:r>
      <w:r w:rsidR="009014CA">
        <w:t>especially related to operations</w:t>
      </w:r>
      <w:r w:rsidR="009014CA" w:rsidRPr="000F560C">
        <w:t xml:space="preserve"> </w:t>
      </w:r>
      <w:r w:rsidR="009014CA">
        <w:t xml:space="preserve">in </w:t>
      </w:r>
      <w:r w:rsidRPr="000F560C">
        <w:t xml:space="preserve">complex chemical processes. </w:t>
      </w:r>
      <w:r w:rsidR="00653AE5">
        <w:t xml:space="preserve">Using process monitoring as an </w:t>
      </w:r>
      <w:r w:rsidR="006106D0">
        <w:t xml:space="preserve">example </w:t>
      </w:r>
      <w:r w:rsidR="00653AE5">
        <w:t>application, t</w:t>
      </w:r>
      <w:r w:rsidR="00577E21" w:rsidRPr="000F560C">
        <w:t xml:space="preserve">his paper </w:t>
      </w:r>
      <w:r w:rsidR="00B06E9B">
        <w:t xml:space="preserve">demonstrates </w:t>
      </w:r>
      <w:r w:rsidR="00653AE5">
        <w:t>that CF</w:t>
      </w:r>
      <w:r w:rsidR="0094465B">
        <w:t xml:space="preserve"> can be used for </w:t>
      </w:r>
      <w:r w:rsidR="00DE6C04">
        <w:t>various</w:t>
      </w:r>
      <w:r w:rsidR="0094465B">
        <w:t xml:space="preserve"> use cases – </w:t>
      </w:r>
      <w:r w:rsidR="00577E21" w:rsidRPr="000F560C">
        <w:t>aid</w:t>
      </w:r>
      <w:r w:rsidR="009B6C16">
        <w:t>ing</w:t>
      </w:r>
      <w:r w:rsidR="00577E21" w:rsidRPr="000F560C">
        <w:t xml:space="preserve"> model developers during the training phase </w:t>
      </w:r>
      <w:r w:rsidR="0094465B">
        <w:t xml:space="preserve">of AI applications, </w:t>
      </w:r>
      <w:r w:rsidR="00577E21" w:rsidRPr="000F560C">
        <w:t>empower</w:t>
      </w:r>
      <w:r w:rsidR="009B6C16">
        <w:t>ing</w:t>
      </w:r>
      <w:r w:rsidR="00577E21" w:rsidRPr="000F560C">
        <w:t xml:space="preserve"> plant operators to </w:t>
      </w:r>
      <w:r w:rsidR="0094465B">
        <w:t xml:space="preserve">better </w:t>
      </w:r>
      <w:r w:rsidR="00577E21" w:rsidRPr="000F560C">
        <w:t>interpret AI predictions, and t</w:t>
      </w:r>
      <w:r w:rsidRPr="000F560C">
        <w:t>rain</w:t>
      </w:r>
      <w:r w:rsidR="009B6C16">
        <w:t>ing</w:t>
      </w:r>
      <w:r w:rsidRPr="000F560C">
        <w:t xml:space="preserve"> new personnel effectively.</w:t>
      </w:r>
      <w:r w:rsidR="00D06F2F">
        <w:t xml:space="preserve"> </w:t>
      </w:r>
    </w:p>
    <w:p w14:paraId="3133CB7F" w14:textId="77777777" w:rsidR="00577E21" w:rsidRPr="000F560C" w:rsidRDefault="00577E21" w:rsidP="00A4165E">
      <w:pPr>
        <w:pStyle w:val="Els-body-text"/>
      </w:pPr>
    </w:p>
    <w:p w14:paraId="1E4B0FEA" w14:textId="6DEA9937" w:rsidR="001F5611" w:rsidRPr="000F560C" w:rsidRDefault="008D2649" w:rsidP="001F5611">
      <w:pPr>
        <w:pStyle w:val="Els-body-text"/>
        <w:rPr>
          <w:lang w:val="en-GB"/>
        </w:rPr>
      </w:pPr>
      <w:r w:rsidRPr="000F560C">
        <w:rPr>
          <w:b/>
          <w:bCs/>
          <w:lang w:val="en-GB"/>
        </w:rPr>
        <w:t>Keywords</w:t>
      </w:r>
      <w:r w:rsidRPr="000F560C">
        <w:rPr>
          <w:lang w:val="en-GB"/>
        </w:rPr>
        <w:t xml:space="preserve">: </w:t>
      </w:r>
      <w:r w:rsidR="00577E21" w:rsidRPr="000F560C">
        <w:rPr>
          <w:lang w:val="en-GB"/>
        </w:rPr>
        <w:t>Explainable Artificial Intelligence, Deep Learning,</w:t>
      </w:r>
      <w:r w:rsidR="00F944DC" w:rsidRPr="000F560C">
        <w:rPr>
          <w:lang w:val="en-GB"/>
        </w:rPr>
        <w:t xml:space="preserve"> </w:t>
      </w:r>
      <w:r w:rsidR="0098090E">
        <w:rPr>
          <w:lang w:val="en-GB"/>
        </w:rPr>
        <w:t xml:space="preserve">Chemical </w:t>
      </w:r>
      <w:r w:rsidR="0098090E" w:rsidRPr="000F560C">
        <w:rPr>
          <w:lang w:val="en-GB"/>
        </w:rPr>
        <w:t>Industry</w:t>
      </w:r>
      <w:r w:rsidR="0098090E">
        <w:rPr>
          <w:lang w:val="en-GB"/>
        </w:rPr>
        <w:t>,</w:t>
      </w:r>
      <w:r w:rsidR="0098090E" w:rsidRPr="000F560C">
        <w:rPr>
          <w:lang w:val="en-GB"/>
        </w:rPr>
        <w:t xml:space="preserve"> </w:t>
      </w:r>
      <w:r w:rsidR="00F944DC" w:rsidRPr="000F560C">
        <w:rPr>
          <w:lang w:val="en-GB"/>
        </w:rPr>
        <w:t>Process</w:t>
      </w:r>
      <w:r w:rsidR="001F5611">
        <w:rPr>
          <w:lang w:val="en-GB"/>
        </w:rPr>
        <w:t xml:space="preserve"> Operations</w:t>
      </w:r>
    </w:p>
    <w:p w14:paraId="3817B1AE" w14:textId="41A22269" w:rsidR="008B1F98" w:rsidRPr="000F560C" w:rsidRDefault="002D6C3A" w:rsidP="001F5611">
      <w:pPr>
        <w:pStyle w:val="Els-1storder-head"/>
      </w:pPr>
      <w:r w:rsidRPr="000F560C">
        <w:t>Introduction</w:t>
      </w:r>
    </w:p>
    <w:p w14:paraId="327B8B2B" w14:textId="3028DFD8" w:rsidR="00F112B5" w:rsidRDefault="00A2737C" w:rsidP="00561E96">
      <w:pPr>
        <w:pStyle w:val="Els-body-text"/>
      </w:pPr>
      <w:r w:rsidRPr="000F560C">
        <w:t xml:space="preserve">The advent of </w:t>
      </w:r>
      <w:r w:rsidR="00183404">
        <w:t>Industry</w:t>
      </w:r>
      <w:r w:rsidRPr="000F560C">
        <w:t xml:space="preserve"> 4.0, improved instrumentation</w:t>
      </w:r>
      <w:r w:rsidR="00183404">
        <w:t>,</w:t>
      </w:r>
      <w:r w:rsidRPr="000F560C">
        <w:t xml:space="preserve"> and ubiquitous sensor data play a pivotal role in </w:t>
      </w:r>
      <w:r w:rsidR="00183404">
        <w:t xml:space="preserve">the </w:t>
      </w:r>
      <w:r w:rsidRPr="000F560C">
        <w:t xml:space="preserve">development of </w:t>
      </w:r>
      <w:r w:rsidR="00A030A1" w:rsidRPr="000F560C">
        <w:t>AI</w:t>
      </w:r>
      <w:r w:rsidRPr="000F560C">
        <w:t xml:space="preserve">. However, despite the better performance, these algorithms often lack </w:t>
      </w:r>
      <w:r w:rsidR="00592251">
        <w:t>interpretability</w:t>
      </w:r>
      <w:r w:rsidRPr="000F560C">
        <w:t xml:space="preserve"> in their decision-making processes. </w:t>
      </w:r>
      <w:r w:rsidR="001B30CE" w:rsidRPr="000F560C">
        <w:t xml:space="preserve">Therefore, domain experts in </w:t>
      </w:r>
      <w:r w:rsidR="00AF1C05">
        <w:t xml:space="preserve">the </w:t>
      </w:r>
      <w:r w:rsidR="001B30CE" w:rsidRPr="000F560C">
        <w:t xml:space="preserve">chemical </w:t>
      </w:r>
      <w:r w:rsidR="00215AAF">
        <w:t xml:space="preserve">industry </w:t>
      </w:r>
      <w:r w:rsidR="001B30CE" w:rsidRPr="000F560C">
        <w:t xml:space="preserve">may find it hard to </w:t>
      </w:r>
      <w:r w:rsidR="0061564A">
        <w:t xml:space="preserve">understand or </w:t>
      </w:r>
      <w:r w:rsidR="001B30CE" w:rsidRPr="000F560C">
        <w:t xml:space="preserve">trust the </w:t>
      </w:r>
      <w:r w:rsidR="0061564A">
        <w:t xml:space="preserve">outputs </w:t>
      </w:r>
      <w:r w:rsidR="001B30CE" w:rsidRPr="000F560C">
        <w:t xml:space="preserve">and </w:t>
      </w:r>
      <w:r w:rsidR="00183404">
        <w:t>recommendations</w:t>
      </w:r>
      <w:r w:rsidR="001B30CE" w:rsidRPr="000F560C">
        <w:t xml:space="preserve"> </w:t>
      </w:r>
      <w:r w:rsidR="0061564A">
        <w:t xml:space="preserve">provided </w:t>
      </w:r>
      <w:r w:rsidR="001B30CE" w:rsidRPr="000F560C">
        <w:t xml:space="preserve">by </w:t>
      </w:r>
      <w:r w:rsidR="00183404">
        <w:t>AI-based</w:t>
      </w:r>
      <w:r w:rsidR="001B30CE" w:rsidRPr="000F560C">
        <w:t xml:space="preserve"> m</w:t>
      </w:r>
      <w:r w:rsidR="00A030A1" w:rsidRPr="000F560C">
        <w:t>odels</w:t>
      </w:r>
      <w:r w:rsidR="001B30CE" w:rsidRPr="000F560C">
        <w:t xml:space="preserve">. </w:t>
      </w:r>
      <w:r w:rsidR="00AF1C05">
        <w:t>This</w:t>
      </w:r>
      <w:r w:rsidRPr="000F560C">
        <w:t xml:space="preserve"> poses a significant barrier to the adoption of </w:t>
      </w:r>
      <w:r w:rsidR="00A030A1" w:rsidRPr="000F560C">
        <w:t>AI</w:t>
      </w:r>
      <w:r w:rsidRPr="000F560C">
        <w:t xml:space="preserve"> in real-world </w:t>
      </w:r>
      <w:r w:rsidR="00AF1C05">
        <w:t>plant operations</w:t>
      </w:r>
      <w:r w:rsidRPr="000F560C">
        <w:t xml:space="preserve">, where safety and reliability </w:t>
      </w:r>
      <w:r w:rsidR="00183404">
        <w:t>are</w:t>
      </w:r>
      <w:r w:rsidRPr="000F560C">
        <w:t xml:space="preserve"> paramount. </w:t>
      </w:r>
      <w:r w:rsidR="00A030A1" w:rsidRPr="000F560C">
        <w:t xml:space="preserve">In response to the </w:t>
      </w:r>
      <w:r w:rsidR="000764A2">
        <w:t xml:space="preserve">broad </w:t>
      </w:r>
      <w:r w:rsidR="00A030A1" w:rsidRPr="000F560C">
        <w:t xml:space="preserve">interpretability challenge </w:t>
      </w:r>
      <w:r w:rsidR="000764A2">
        <w:t>of</w:t>
      </w:r>
      <w:r w:rsidR="00A030A1" w:rsidRPr="000F560C">
        <w:t xml:space="preserve"> AI models, </w:t>
      </w:r>
      <w:r w:rsidR="000764A2">
        <w:t xml:space="preserve">there is a </w:t>
      </w:r>
      <w:r w:rsidR="00A030A1" w:rsidRPr="000F560C">
        <w:t xml:space="preserve">recent emergence of Explainable Artificial Intelligence (XAI). </w:t>
      </w:r>
    </w:p>
    <w:p w14:paraId="67497FCB" w14:textId="4507B5B9" w:rsidR="00AE4DFE" w:rsidRDefault="001B30CE" w:rsidP="00561E96">
      <w:pPr>
        <w:pStyle w:val="Els-body-text"/>
        <w:spacing w:before="240" w:after="240"/>
      </w:pPr>
      <w:r w:rsidRPr="000F560C">
        <w:t xml:space="preserve">XAI </w:t>
      </w:r>
      <w:r w:rsidR="00BF7A52">
        <w:t>offers</w:t>
      </w:r>
      <w:r w:rsidRPr="000F560C">
        <w:t xml:space="preserve"> tools and techniques to generate high-quality</w:t>
      </w:r>
      <w:r w:rsidR="00183404">
        <w:t>,</w:t>
      </w:r>
      <w:r w:rsidRPr="000F560C">
        <w:t xml:space="preserve"> interpretable, intuitive, human-understandable explanations for </w:t>
      </w:r>
      <w:r w:rsidR="00AB0BF4" w:rsidRPr="000F560C">
        <w:t>AI</w:t>
      </w:r>
      <w:r w:rsidRPr="000F560C">
        <w:t xml:space="preserve"> prediction. </w:t>
      </w:r>
      <w:r w:rsidR="00A030A1" w:rsidRPr="000F560C">
        <w:t xml:space="preserve">The common ways </w:t>
      </w:r>
      <w:r w:rsidR="002F0A5C">
        <w:t xml:space="preserve">to enable </w:t>
      </w:r>
      <w:r w:rsidR="00183404">
        <w:t>humans</w:t>
      </w:r>
      <w:r w:rsidR="00A030A1" w:rsidRPr="000F560C">
        <w:t xml:space="preserve"> </w:t>
      </w:r>
      <w:r w:rsidR="002F0A5C">
        <w:t xml:space="preserve">to </w:t>
      </w:r>
      <w:r w:rsidR="00AB2737">
        <w:t xml:space="preserve">interpret any </w:t>
      </w:r>
      <w:r w:rsidR="00656506">
        <w:t xml:space="preserve">situation </w:t>
      </w:r>
      <w:r w:rsidR="00C45AD8">
        <w:t xml:space="preserve">are </w:t>
      </w:r>
      <w:r w:rsidR="00A030A1" w:rsidRPr="000F560C">
        <w:t>visual explanation, explanation</w:t>
      </w:r>
      <w:r w:rsidR="009A22CE">
        <w:t>-</w:t>
      </w:r>
      <w:r w:rsidR="00A030A1" w:rsidRPr="000F560C">
        <w:t>by</w:t>
      </w:r>
      <w:r w:rsidR="009A22CE">
        <w:t>-</w:t>
      </w:r>
      <w:r w:rsidR="00A030A1" w:rsidRPr="000F560C">
        <w:t>simplification,</w:t>
      </w:r>
      <w:r w:rsidR="00656506">
        <w:t xml:space="preserve"> </w:t>
      </w:r>
      <w:r w:rsidR="00A030A1" w:rsidRPr="000F560C">
        <w:t>rule-based explanation, feature relevance explanation, and explanation</w:t>
      </w:r>
      <w:r w:rsidR="007B4548">
        <w:t>-</w:t>
      </w:r>
      <w:r w:rsidR="00A030A1" w:rsidRPr="000F560C">
        <w:t>by</w:t>
      </w:r>
      <w:r w:rsidR="007B4548">
        <w:t>-</w:t>
      </w:r>
      <w:r w:rsidR="00A030A1" w:rsidRPr="000F560C">
        <w:t>example</w:t>
      </w:r>
      <w:r w:rsidR="000C3A32" w:rsidRPr="000F560C">
        <w:t>s</w:t>
      </w:r>
      <w:r w:rsidR="00B17D24">
        <w:t xml:space="preserve"> </w:t>
      </w:r>
      <w:r w:rsidR="00145214" w:rsidRPr="000F560C">
        <w:fldChar w:fldCharType="begin"/>
      </w:r>
      <w:r w:rsidR="00145214" w:rsidRPr="000F560C">
        <w:instrText xml:space="preserve"> ADDIN ZOTERO_ITEM CSL_CITATION {"citationID":"PcKeLtye","properties":{"formattedCitation":"(Arrieta et al., 2020)","plainCitation":"(Arrieta et al., 2020)","noteIndex":0},"citationItems":[{"id":25,"uris":["http://zotero.org/users/local/TEc0y3pJ/items/F6IFZG6W"],"itemData":{"id":25,"type":"article-journal","abstract":"In the last few years, Artificial Intelligence (AI) has achieved a notable momentum that, if harnessed appropriately, may deliver the best of expectations over many application sectors across the field. For this to occur shortly in Machine Learning, the entire community stands in front of the barrier of explainability, an inherent problem of the latest techniques brought by sub-symbolism (e.g. ensembles or Deep Neural Networks) that were not present in the last hype of AI (namely, expert systems and rule based models). Paradigms underlying this problem fall within the so-called eXplainable AI (XAI) field, which is widely acknowledged as a crucial feature for the practical deployment of AI models. The overview presented in this article examines the existing literature and contributions already done in the field of XAI, including a prospect toward what is yet to be reached. For this purpose we summarize previous efforts made to define explainability in Machine Learning, establishing a novel definition of explainable Machine Learning that covers such prior conceptual propositions with a major focus on the audience for which the explainability is sought. Departing from this definition, we propose and discuss about a taxonomy of recent contributions related to the explainability of different Machine Learning models, including those aimed at explaining Deep Learning methods for which a second dedicated taxonomy is built and examined in detail. This critical literature analysis serves as the motivating background for a series of challenges faced by XAI, such as the interesting crossroads of data fusion and explainability. Our prospects lead toward the concept of Responsible Artificial Intelligence, namely, a methodology for the large-scale implementation of AI methods in real organizations with fairness, model explainability and accountability at its core. Our ultimate goal is to provide newcomers to the field of XAI with a thorough taxonomy that can serve as reference material in order to stimulate future research advances, but also to encourage experts and professionals from other disciplines to embrace the benefits of AI in their activity sectors, without any prior bias for its lack of interpretability.","container-title":"Information Fusion","DOI":"https://doi.org/10.1016/j.inffus.2019.12.012","ISSN":"1566-2535","page":"82-115","title":"Explainable Artificial Intelligence (XAI): Concepts, taxonomies, opportunities and challenges toward responsible AI","volume":"58","author":[{"family":"Arrieta","given":"Alejandro Barredo"},{"family":"Díaz-Rodríguez","given":"Natalia"},{"family":"Ser","given":"Javier Del"},{"family":"Bennetot","given":"Adrien"},{"family":"Tabik","given":"Siham"},{"family":"Barbado","given":"Alberto"},{"family":"Garcia","given":"Salvador"},{"family":"Gil-Lopez","given":"Sergio"},{"family":"Molina","given":"Daniel"},{"family":"Benjamins","given":"Richard"},{"family":"Chatila","given":"Raja"},{"family":"Herrera","given":"Francisco"}],"issued":{"date-parts":[["2020"]]}}}],"schema":"https://github.com/citation-style-language/schema/raw/master/csl-citation.json"} </w:instrText>
      </w:r>
      <w:r w:rsidR="00145214" w:rsidRPr="000F560C">
        <w:fldChar w:fldCharType="separate"/>
      </w:r>
      <w:r w:rsidR="00145214" w:rsidRPr="000F560C">
        <w:t>(Arrieta et al., 2020)</w:t>
      </w:r>
      <w:r w:rsidR="00145214" w:rsidRPr="000F560C">
        <w:fldChar w:fldCharType="end"/>
      </w:r>
      <w:r w:rsidR="00C627BD">
        <w:t>.</w:t>
      </w:r>
      <w:r w:rsidR="000C3A32" w:rsidRPr="000F560C">
        <w:t xml:space="preserve"> </w:t>
      </w:r>
      <w:r w:rsidR="009916AB" w:rsidRPr="000F560C">
        <w:t xml:space="preserve">In </w:t>
      </w:r>
      <w:r w:rsidR="00183404">
        <w:t xml:space="preserve">the </w:t>
      </w:r>
      <w:r w:rsidR="009916AB" w:rsidRPr="000F560C">
        <w:t xml:space="preserve">chemical industry, </w:t>
      </w:r>
      <w:r w:rsidR="004F4BCB" w:rsidRPr="000F560C">
        <w:t xml:space="preserve">where sensor data is </w:t>
      </w:r>
      <w:r w:rsidR="00183404">
        <w:t>predominant</w:t>
      </w:r>
      <w:r w:rsidR="004F4BCB" w:rsidRPr="000F560C">
        <w:t>,</w:t>
      </w:r>
      <w:r w:rsidR="009916AB" w:rsidRPr="000F560C">
        <w:t xml:space="preserve"> </w:t>
      </w:r>
      <w:r w:rsidR="004F4BCB" w:rsidRPr="000F560C">
        <w:t>the m</w:t>
      </w:r>
      <w:r w:rsidR="006B59A2">
        <w:t>ajor</w:t>
      </w:r>
      <w:r w:rsidR="004F4BCB" w:rsidRPr="000F560C">
        <w:t xml:space="preserve"> utilization of feature relevance and explanation</w:t>
      </w:r>
      <w:r w:rsidR="009A22CE">
        <w:t>-</w:t>
      </w:r>
      <w:r w:rsidR="004F4BCB" w:rsidRPr="000F560C">
        <w:t>by</w:t>
      </w:r>
      <w:r w:rsidR="009A22CE">
        <w:t>-</w:t>
      </w:r>
      <w:r w:rsidR="004F4BCB" w:rsidRPr="000F560C">
        <w:t>simplification is observed</w:t>
      </w:r>
      <w:r w:rsidR="009916AB" w:rsidRPr="000F560C">
        <w:t xml:space="preserve">. For example, </w:t>
      </w:r>
      <w:r w:rsidR="00145214" w:rsidRPr="000F560C">
        <w:fldChar w:fldCharType="begin"/>
      </w:r>
      <w:r w:rsidR="00145214" w:rsidRPr="000F560C">
        <w:instrText xml:space="preserve"> ADDIN ZOTERO_ITEM CSL_CITATION {"citationID":"z2LOc0ks","properties":{"formattedCitation":"(Bhakte et al., 2022)","plainCitation":"(Bhakte et al., 2022)","noteIndex":0},"citationItems":[{"id":6,"uris":["http://zotero.org/users/local/TEc0y3pJ/items/WZFULJPM"],"itemData":{"id":6,"type":"article-journal","abstract":"Process monitoring is crucial to ensure operational reliability and to prevent industrial accidents. Data-driven methods have become the preferred approach for fault detection and diagnosis. Specifically, deep learning algorithms such as Deep Neural Networks (DNNs) show good potential even in complex processes. A key shortcoming of DNNs is the difficulty in interpreting their classification result. Emerging approaches from explainable Artificial Intelligence (XAI) seek to address this shortcoming. This paper proposes a method based on the Shapley value framework and its implementation using integrated gradients to identify those variables which lead a DNN to classify an input as a fault. The method estimates the marginal contribution of each variable to the DNN, averaged over the path from the baseline (in this case, the process’ normal state) to the current sample. We illustrate the resulting variable attribution using a numerical example and the benchmark Tennessee Eastman process. Our results show that the proposed methodology provides accurate, sample-specific explanations of the DNN’s prediction. These can be used by the offline model developer to improve the DNN if necessary. It can also be used by the plant operator in real-time to understand the black-box DNN’s predictions and decide on operational strategies.","container-title":"Chemical Engineering Science","DOI":"https://doi.org/10.1016/j.ces.2021.117373","ISSN":"0009-2509","page":"117373","title":"An explainable artificial intelligence based approach for interpretation of fault classification results from deep neural networks","volume":"250","author":[{"family":"Bhakte","given":"Abhijit"},{"family":"Pakkiriswamy","given":"Venkatesh"},{"family":"Srinivasan","given":"Rajagopalan"}],"issued":{"date-parts":[["2022"]]}}}],"schema":"https://github.com/citation-style-language/schema/raw/master/csl-citation.json"} </w:instrText>
      </w:r>
      <w:r w:rsidR="00145214" w:rsidRPr="000F560C">
        <w:fldChar w:fldCharType="separate"/>
      </w:r>
      <w:r w:rsidR="00145214" w:rsidRPr="000F560C">
        <w:t>Bhakte et al. (2022)</w:t>
      </w:r>
      <w:r w:rsidR="00145214" w:rsidRPr="000F560C">
        <w:fldChar w:fldCharType="end"/>
      </w:r>
      <w:r w:rsidR="005D71B7" w:rsidRPr="000F560C">
        <w:t xml:space="preserve"> propose</w:t>
      </w:r>
      <w:r w:rsidR="007B4548">
        <w:t>d</w:t>
      </w:r>
      <w:r w:rsidR="005D71B7" w:rsidRPr="000F560C">
        <w:t xml:space="preserve"> an attribution-based XAI method that identifies key variables responsible for fault occurrence </w:t>
      </w:r>
      <w:r w:rsidR="00183404">
        <w:t>as</w:t>
      </w:r>
      <w:r w:rsidR="005D71B7" w:rsidRPr="000F560C">
        <w:t xml:space="preserve"> </w:t>
      </w:r>
      <w:r w:rsidR="004F4BCB" w:rsidRPr="000F560C">
        <w:t xml:space="preserve">a </w:t>
      </w:r>
      <w:r w:rsidR="005D71B7" w:rsidRPr="000F560C">
        <w:t xml:space="preserve">feature relevance method. </w:t>
      </w:r>
      <w:r w:rsidR="00145214" w:rsidRPr="000F560C">
        <w:fldChar w:fldCharType="begin"/>
      </w:r>
      <w:r w:rsidR="00145214" w:rsidRPr="000F560C">
        <w:instrText xml:space="preserve"> ADDIN ZOTERO_ITEM CSL_CITATION {"citationID":"WnfKioYW","properties":{"formattedCitation":"(Bhakte et al., 2023)","plainCitation":"(Bhakte et al., 2023)","noteIndex":0},"citationItems":[{"id":97,"uris":["http://zotero.org/users/local/TEc0y3pJ/items/JM9HF75G"],"itemData":{"id":97,"type":"article-journal","container-title":"Computers &amp; Chemical Engineering","DOI":"10.1016/j.compchemeng.2023.108442","page":"108442","title":"Alarm-based Explanations of Process Monitoring Results from Deep Neural Networks","volume":"179","author":[{"family":"Bhakte","given":"Abhijit"},{"family":"Chakane","given":"Mangesh"},{"family":"Srinivasan","given":"Rajagopalan"}],"issued":{"date-parts":[["2023",10]]}}}],"schema":"https://github.com/citation-style-language/schema/raw/master/csl-citation.json"} </w:instrText>
      </w:r>
      <w:r w:rsidR="00145214" w:rsidRPr="000F560C">
        <w:fldChar w:fldCharType="separate"/>
      </w:r>
      <w:r w:rsidR="00145214" w:rsidRPr="000F560C">
        <w:t>Bhakte et al. (2023)</w:t>
      </w:r>
      <w:r w:rsidR="00145214" w:rsidRPr="000F560C">
        <w:fldChar w:fldCharType="end"/>
      </w:r>
      <w:r w:rsidR="005D71B7" w:rsidRPr="000F560C">
        <w:t xml:space="preserve"> </w:t>
      </w:r>
      <w:r w:rsidR="005D71B7" w:rsidRPr="000F560C">
        <w:lastRenderedPageBreak/>
        <w:t>propose</w:t>
      </w:r>
      <w:r w:rsidR="004F4BCB" w:rsidRPr="000F560C">
        <w:t>d</w:t>
      </w:r>
      <w:r w:rsidR="005D71B7" w:rsidRPr="000F560C">
        <w:t xml:space="preserve"> the </w:t>
      </w:r>
      <w:r w:rsidR="00517E1D" w:rsidRPr="000F560C">
        <w:t>Limit-based Expl</w:t>
      </w:r>
      <w:r w:rsidR="004F4BCB" w:rsidRPr="000F560C">
        <w:t>anations for Monitoring (LEMON)</w:t>
      </w:r>
      <w:r w:rsidR="005D71B7" w:rsidRPr="000F560C">
        <w:t xml:space="preserve"> method</w:t>
      </w:r>
      <w:r w:rsidR="00592251">
        <w:t>,</w:t>
      </w:r>
      <w:r w:rsidR="005D71B7" w:rsidRPr="000F560C">
        <w:t xml:space="preserve"> </w:t>
      </w:r>
      <w:r w:rsidR="00326E22">
        <w:t>emphasizing</w:t>
      </w:r>
      <w:r w:rsidR="00D11A26">
        <w:t xml:space="preserve"> </w:t>
      </w:r>
      <w:r w:rsidR="00D11A26" w:rsidRPr="00D11A26">
        <w:t xml:space="preserve">model simplification </w:t>
      </w:r>
      <w:r w:rsidR="00D11A26">
        <w:t xml:space="preserve">with </w:t>
      </w:r>
      <w:r w:rsidR="00592251">
        <w:t xml:space="preserve">the </w:t>
      </w:r>
      <w:r w:rsidR="00D11A26">
        <w:t>process</w:t>
      </w:r>
      <w:r w:rsidR="000623A1">
        <w:t xml:space="preserve"> knowledge</w:t>
      </w:r>
      <w:r w:rsidR="00517E1D" w:rsidRPr="000F560C">
        <w:t>.</w:t>
      </w:r>
      <w:r w:rsidR="006B59A2">
        <w:t xml:space="preserve"> </w:t>
      </w:r>
      <w:r w:rsidR="00AE4DFE" w:rsidRPr="00AE4DFE">
        <w:t xml:space="preserve">Explanation-by-example </w:t>
      </w:r>
      <w:r w:rsidR="00592251">
        <w:t xml:space="preserve">is </w:t>
      </w:r>
      <w:r w:rsidR="00AE4DFE" w:rsidRPr="00AE4DFE">
        <w:t xml:space="preserve">a method </w:t>
      </w:r>
      <w:r w:rsidR="00592251">
        <w:t>that involves</w:t>
      </w:r>
      <w:r w:rsidR="00AE4DFE" w:rsidRPr="00AE4DFE">
        <w:t xml:space="preserve"> the extraction of data examples closely tied to the results </w:t>
      </w:r>
      <w:r w:rsidR="00AE4DFE">
        <w:t>generated</w:t>
      </w:r>
      <w:r w:rsidR="00AE4DFE" w:rsidRPr="00AE4DFE">
        <w:t xml:space="preserve"> by a specific model</w:t>
      </w:r>
      <w:r w:rsidR="00AE4DFE">
        <w:t>.</w:t>
      </w:r>
      <w:r w:rsidR="00AE4DFE" w:rsidRPr="00AE4DFE">
        <w:t xml:space="preserve"> These techniques include: 1) Prototype explan</w:t>
      </w:r>
      <w:r w:rsidR="00AE4DFE">
        <w:t>ations</w:t>
      </w:r>
      <w:r w:rsidR="00D106CA">
        <w:t xml:space="preserve"> </w:t>
      </w:r>
      <w:r w:rsidR="000623A1">
        <w:t>that involves</w:t>
      </w:r>
      <w:r w:rsidR="00D106CA">
        <w:t xml:space="preserve"> “instances </w:t>
      </w:r>
      <w:r w:rsidR="00D106CA" w:rsidRPr="00D106CA">
        <w:t>other than predefined inputs</w:t>
      </w:r>
      <w:r w:rsidR="00D106CA">
        <w:t xml:space="preserve"> that effectively </w:t>
      </w:r>
      <w:r w:rsidR="00592251">
        <w:t>represent</w:t>
      </w:r>
      <w:r w:rsidR="00D106CA">
        <w:t xml:space="preserve"> the model predictions</w:t>
      </w:r>
      <w:r w:rsidR="00592251">
        <w:t>.”</w:t>
      </w:r>
      <w:r w:rsidR="00D106CA" w:rsidRPr="00D106CA">
        <w:t xml:space="preserve"> </w:t>
      </w:r>
      <w:r w:rsidR="00D106CA" w:rsidRPr="000F560C">
        <w:t xml:space="preserve">2) Counterfactual explanations </w:t>
      </w:r>
      <w:r w:rsidR="00D106CA">
        <w:t>involve</w:t>
      </w:r>
      <w:r w:rsidR="00D106CA" w:rsidRPr="000F560C">
        <w:t xml:space="preserve"> the "smallest change to the feature value that changes the prediction to a predefined output"</w:t>
      </w:r>
      <w:r w:rsidR="00D106CA">
        <w:t xml:space="preserve"> </w:t>
      </w:r>
      <w:r w:rsidR="00D106CA" w:rsidRPr="000F560C">
        <w:fldChar w:fldCharType="begin"/>
      </w:r>
      <w:r w:rsidR="00D106CA" w:rsidRPr="000F560C">
        <w:instrText xml:space="preserve"> ADDIN ZOTERO_ITEM CSL_CITATION {"citationID":"CuPfX4hp","properties":{"formattedCitation":"(Molnar, 2022)","plainCitation":"(Molnar, 2022)","noteIndex":0},"citationItems":[{"id":12,"uris":["http://zotero.org/users/local/TEc0y3pJ/items/QMVTTLCW"],"itemData":{"id":12,"type":"book","title":"Interpretable Machine Learning: A Guide for Making Black Box Models Explainable","URL":"https://christophm.github.io/interpretable-ml-book","author":[{"family":"Molnar","given":"Christoph"}],"issued":{"date-parts":[["2022"]]}}}],"schema":"https://github.com/citation-style-language/schema/raw/master/csl-citation.json"} </w:instrText>
      </w:r>
      <w:r w:rsidR="00D106CA" w:rsidRPr="000F560C">
        <w:fldChar w:fldCharType="separate"/>
      </w:r>
      <w:r w:rsidR="00D106CA" w:rsidRPr="000F560C">
        <w:t>(Molnar, 2022)</w:t>
      </w:r>
      <w:r w:rsidR="00D106CA" w:rsidRPr="000F560C">
        <w:fldChar w:fldCharType="end"/>
      </w:r>
      <w:r w:rsidR="00D106CA" w:rsidRPr="000F560C">
        <w:t xml:space="preserve">. </w:t>
      </w:r>
    </w:p>
    <w:p w14:paraId="2AE6854E" w14:textId="1933D1BE" w:rsidR="004978B7" w:rsidRPr="000F560C" w:rsidRDefault="00613161" w:rsidP="00EE0875">
      <w:pPr>
        <w:pStyle w:val="Els-body-text"/>
      </w:pPr>
      <w:r w:rsidRPr="000F560C">
        <w:t>Counterfactual explanations</w:t>
      </w:r>
      <w:r w:rsidR="006F135E" w:rsidRPr="000F560C">
        <w:t>,</w:t>
      </w:r>
      <w:r w:rsidRPr="000F560C">
        <w:t xml:space="preserve"> rooted in casual inference, </w:t>
      </w:r>
      <w:r w:rsidR="006F135E" w:rsidRPr="000F560C">
        <w:t>enable stakeholders to comprehend why a</w:t>
      </w:r>
      <w:r w:rsidR="006263C9">
        <w:t>n</w:t>
      </w:r>
      <w:r w:rsidR="006F135E" w:rsidRPr="000F560C">
        <w:t xml:space="preserve"> </w:t>
      </w:r>
      <w:r w:rsidR="006263C9" w:rsidRPr="000F560C">
        <w:t>AI</w:t>
      </w:r>
      <w:r w:rsidR="00762977">
        <w:t xml:space="preserve"> model </w:t>
      </w:r>
      <w:r w:rsidR="006263C9">
        <w:t xml:space="preserve">generated a </w:t>
      </w:r>
      <w:r w:rsidR="006F135E" w:rsidRPr="000F560C">
        <w:t>particular</w:t>
      </w:r>
      <w:r w:rsidRPr="000F560C">
        <w:t xml:space="preserve"> </w:t>
      </w:r>
      <w:r w:rsidR="006F135E" w:rsidRPr="000F560C">
        <w:t>out</w:t>
      </w:r>
      <w:r w:rsidR="006263C9">
        <w:t>put</w:t>
      </w:r>
      <w:r w:rsidR="006F135E" w:rsidRPr="000F560C">
        <w:t xml:space="preserve">, what factors contributed to it, and how </w:t>
      </w:r>
      <w:r w:rsidR="006263C9">
        <w:t>changes to</w:t>
      </w:r>
      <w:r w:rsidR="006F135E" w:rsidRPr="000F560C">
        <w:t xml:space="preserve"> these factors </w:t>
      </w:r>
      <w:r w:rsidR="006263C9">
        <w:t>can affect the</w:t>
      </w:r>
      <w:r w:rsidR="00BA43BB">
        <w:t xml:space="preserve"> results</w:t>
      </w:r>
      <w:r w:rsidR="00183404">
        <w:t>.</w:t>
      </w:r>
      <w:r w:rsidR="00EE0875">
        <w:t xml:space="preserve"> CF has been applied in various domains, from finance to healthcare, yet its potential remains underexplored in chemical engineering.</w:t>
      </w:r>
      <w:r w:rsidR="00C1228C" w:rsidRPr="000F560C">
        <w:t xml:space="preserve"> </w:t>
      </w:r>
      <w:r w:rsidR="00EE0875">
        <w:t>Specifically, within</w:t>
      </w:r>
      <w:r w:rsidR="00C1228C" w:rsidRPr="000F560C">
        <w:t xml:space="preserve"> </w:t>
      </w:r>
      <w:r w:rsidR="00762977">
        <w:t>process operations</w:t>
      </w:r>
      <w:r w:rsidRPr="000F560C">
        <w:t xml:space="preserve">, </w:t>
      </w:r>
      <w:r w:rsidR="00183404">
        <w:t xml:space="preserve">the </w:t>
      </w:r>
      <w:r w:rsidRPr="000F560C">
        <w:t xml:space="preserve">application of </w:t>
      </w:r>
      <w:r w:rsidR="00183404">
        <w:t>CFs</w:t>
      </w:r>
      <w:r w:rsidR="00C1228C" w:rsidRPr="000F560C">
        <w:t xml:space="preserve"> </w:t>
      </w:r>
      <w:r w:rsidR="00604B47" w:rsidRPr="000F560C">
        <w:t>enables</w:t>
      </w:r>
      <w:r w:rsidR="00C1228C" w:rsidRPr="000F560C">
        <w:t xml:space="preserve"> us to envision what would occur </w:t>
      </w:r>
      <w:r w:rsidRPr="000F560C">
        <w:t>in various scenarios</w:t>
      </w:r>
      <w:r w:rsidR="00C1228C" w:rsidRPr="000F560C">
        <w:t xml:space="preserve">. While factual explanations aid in logical reasoning for a process operator, counterfactuals offer additional insights beyond </w:t>
      </w:r>
      <w:r w:rsidR="00C522F6">
        <w:t xml:space="preserve">the </w:t>
      </w:r>
      <w:r w:rsidR="00C1228C" w:rsidRPr="000F560C">
        <w:t xml:space="preserve">known facts. </w:t>
      </w:r>
      <w:r w:rsidRPr="000F560C">
        <w:t>Hence, they are more informative</w:t>
      </w:r>
      <w:r w:rsidR="00C1228C" w:rsidRPr="000F560C">
        <w:t xml:space="preserve"> and </w:t>
      </w:r>
      <w:r w:rsidR="00183404">
        <w:t>facilitate</w:t>
      </w:r>
      <w:r w:rsidR="00C1228C" w:rsidRPr="000F560C">
        <w:t xml:space="preserve"> creative problem-solving.</w:t>
      </w:r>
      <w:r w:rsidR="006263C9">
        <w:t xml:space="preserve"> </w:t>
      </w:r>
      <w:r w:rsidR="005A4BDA">
        <w:t>Thus</w:t>
      </w:r>
      <w:r w:rsidR="00C1228C" w:rsidRPr="000F560C">
        <w:t xml:space="preserve">, </w:t>
      </w:r>
      <w:r w:rsidR="00183404">
        <w:t>CFs</w:t>
      </w:r>
      <w:r w:rsidR="004D1825">
        <w:t xml:space="preserve"> can be used for</w:t>
      </w:r>
      <w:r w:rsidR="006F135E" w:rsidRPr="000F560C">
        <w:t xml:space="preserve"> numerous </w:t>
      </w:r>
      <w:r w:rsidR="0013062B">
        <w:t>applications</w:t>
      </w:r>
      <w:r w:rsidR="00592251">
        <w:t>,</w:t>
      </w:r>
      <w:r w:rsidR="006B59A2">
        <w:t xml:space="preserve"> </w:t>
      </w:r>
      <w:r w:rsidR="0013062B">
        <w:t>such as</w:t>
      </w:r>
      <w:r w:rsidR="006F135E" w:rsidRPr="000F560C">
        <w:t xml:space="preserve"> </w:t>
      </w:r>
      <w:r w:rsidR="00592251">
        <w:t>predicting the remaining useful life</w:t>
      </w:r>
      <w:r w:rsidR="006B59A2">
        <w:t xml:space="preserve"> </w:t>
      </w:r>
      <w:r w:rsidR="007345A2">
        <w:t>and d</w:t>
      </w:r>
      <w:r w:rsidR="0013062B">
        <w:t>ynamic planning of</w:t>
      </w:r>
      <w:r w:rsidR="0013062B" w:rsidRPr="000F560C">
        <w:t xml:space="preserve"> </w:t>
      </w:r>
      <w:r w:rsidR="0013062B">
        <w:t>operations</w:t>
      </w:r>
      <w:r w:rsidR="00F31C21" w:rsidRPr="000F560C">
        <w:t xml:space="preserve">. </w:t>
      </w:r>
      <w:r w:rsidR="00C45AD8">
        <w:t xml:space="preserve">This work </w:t>
      </w:r>
      <w:r w:rsidR="00E26FF2">
        <w:t>describes</w:t>
      </w:r>
      <w:r w:rsidR="00F31C21" w:rsidRPr="000F560C">
        <w:t xml:space="preserve"> </w:t>
      </w:r>
      <w:r w:rsidR="00E26FF2">
        <w:t>a</w:t>
      </w:r>
      <w:r w:rsidR="00F31C21" w:rsidRPr="000F560C">
        <w:t xml:space="preserve"> </w:t>
      </w:r>
      <w:r w:rsidR="00604B47" w:rsidRPr="000F560C">
        <w:t xml:space="preserve">methodology to generate </w:t>
      </w:r>
      <w:r w:rsidR="002159B3" w:rsidRPr="000F560C">
        <w:t xml:space="preserve">CF explanations </w:t>
      </w:r>
      <w:r w:rsidR="00604B47" w:rsidRPr="000F560C">
        <w:t xml:space="preserve">and </w:t>
      </w:r>
      <w:r w:rsidR="007345A2">
        <w:t>explores its</w:t>
      </w:r>
      <w:r w:rsidR="00604B47" w:rsidRPr="000F560C">
        <w:t xml:space="preserve"> </w:t>
      </w:r>
      <w:r w:rsidR="00AB2737">
        <w:t>potential</w:t>
      </w:r>
      <w:r w:rsidR="00F31C21" w:rsidRPr="000F560C">
        <w:t xml:space="preserve"> </w:t>
      </w:r>
      <w:r w:rsidR="00183404">
        <w:t>to</w:t>
      </w:r>
      <w:r w:rsidR="00F31C21" w:rsidRPr="000F560C">
        <w:t xml:space="preserve"> </w:t>
      </w:r>
      <w:r w:rsidR="00183404">
        <w:t>help</w:t>
      </w:r>
      <w:r w:rsidR="00F31C21" w:rsidRPr="000F560C">
        <w:t xml:space="preserve"> </w:t>
      </w:r>
      <w:r w:rsidR="00183404">
        <w:t>decision-making</w:t>
      </w:r>
      <w:r w:rsidR="00AF78C6" w:rsidRPr="000F560C">
        <w:t xml:space="preserve"> during process monitoring</w:t>
      </w:r>
      <w:r w:rsidR="00F31C21" w:rsidRPr="000F560C">
        <w:t>.</w:t>
      </w:r>
    </w:p>
    <w:p w14:paraId="144DE699" w14:textId="62FA59A9" w:rsidR="008D2649" w:rsidRPr="000F560C" w:rsidRDefault="003B71BE" w:rsidP="00CC1661">
      <w:pPr>
        <w:pStyle w:val="Els-1storder-head"/>
        <w:spacing w:after="0"/>
      </w:pPr>
      <w:r w:rsidRPr="000F560C">
        <w:t>Methodology</w:t>
      </w:r>
    </w:p>
    <w:p w14:paraId="3FC5CA1C" w14:textId="410A53EF" w:rsidR="00CF250F" w:rsidRPr="000F560C" w:rsidRDefault="002159B3" w:rsidP="00561E96">
      <w:pPr>
        <w:pStyle w:val="Els-1storder-head"/>
        <w:numPr>
          <w:ilvl w:val="0"/>
          <w:numId w:val="0"/>
        </w:numPr>
        <w:spacing w:before="0"/>
        <w:rPr>
          <w:b w:val="0"/>
          <w:sz w:val="20"/>
        </w:rPr>
      </w:pPr>
      <w:r w:rsidRPr="000F560C">
        <w:rPr>
          <w:b w:val="0"/>
          <w:sz w:val="20"/>
        </w:rPr>
        <w:t>Consider a</w:t>
      </w:r>
      <w:r w:rsidRPr="00FD2F4B">
        <w:rPr>
          <w:b w:val="0"/>
          <w:sz w:val="20"/>
        </w:rPr>
        <w:t xml:space="preserve"> chemical process </w:t>
      </w:r>
      <w:r w:rsidR="00183404" w:rsidRPr="00FD2F4B">
        <w:rPr>
          <w:b w:val="0"/>
          <w:sz w:val="20"/>
        </w:rPr>
        <w:t>that</w:t>
      </w:r>
      <w:r w:rsidR="00E7459A" w:rsidRPr="00FD2F4B">
        <w:rPr>
          <w:b w:val="0"/>
          <w:sz w:val="20"/>
        </w:rPr>
        <w:t xml:space="preserve"> is </w:t>
      </w:r>
      <w:r w:rsidRPr="00FD2F4B">
        <w:rPr>
          <w:b w:val="0"/>
          <w:sz w:val="20"/>
        </w:rPr>
        <w:t xml:space="preserve">being monitored </w:t>
      </w:r>
      <w:r w:rsidR="00E7459A" w:rsidRPr="00FD2F4B">
        <w:rPr>
          <w:b w:val="0"/>
          <w:sz w:val="20"/>
        </w:rPr>
        <w:t xml:space="preserve">by </w:t>
      </w:r>
      <w:r w:rsidR="005A4BDA" w:rsidRPr="00FD2F4B">
        <w:rPr>
          <w:b w:val="0"/>
          <w:sz w:val="20"/>
        </w:rPr>
        <w:t>a</w:t>
      </w:r>
      <w:r w:rsidR="00183404" w:rsidRPr="00FD2F4B">
        <w:rPr>
          <w:b w:val="0"/>
          <w:sz w:val="20"/>
        </w:rPr>
        <w:t xml:space="preserve"> </w:t>
      </w:r>
      <w:r w:rsidR="00E7459A" w:rsidRPr="00FD2F4B">
        <w:rPr>
          <w:b w:val="0"/>
          <w:sz w:val="20"/>
        </w:rPr>
        <w:t xml:space="preserve">DNN model </w:t>
      </w:r>
      <m:oMath>
        <m:r>
          <m:rPr>
            <m:sty m:val="bi"/>
          </m:rPr>
          <w:rPr>
            <w:rFonts w:ascii="Cambria Math" w:hAnsi="Cambria Math"/>
            <w:sz w:val="20"/>
          </w:rPr>
          <m:t>F</m:t>
        </m:r>
      </m:oMath>
      <w:r w:rsidR="00E7459A" w:rsidRPr="00FD2F4B">
        <w:rPr>
          <w:b w:val="0"/>
          <w:sz w:val="20"/>
        </w:rPr>
        <w:t xml:space="preserve">.  </w:t>
      </w:r>
      <w:r w:rsidR="00CF250F" w:rsidRPr="00FD2F4B">
        <w:rPr>
          <w:b w:val="0"/>
          <w:sz w:val="20"/>
        </w:rPr>
        <w:t>The</w:t>
      </w:r>
      <w:r w:rsidR="00E7459A" w:rsidRPr="00FD2F4B">
        <w:rPr>
          <w:b w:val="0"/>
          <w:sz w:val="20"/>
        </w:rPr>
        <w:t xml:space="preserve"> DNN </w:t>
      </w:r>
      <m:oMath>
        <m:r>
          <m:rPr>
            <m:sty m:val="bi"/>
          </m:rPr>
          <w:rPr>
            <w:rFonts w:ascii="Cambria Math" w:hAnsi="Cambria Math"/>
            <w:sz w:val="20"/>
          </w:rPr>
          <m:t>F</m:t>
        </m:r>
      </m:oMath>
      <w:r w:rsidR="00E7459A" w:rsidRPr="00FD2F4B">
        <w:rPr>
          <w:b w:val="0"/>
          <w:sz w:val="20"/>
        </w:rPr>
        <w:t xml:space="preserve"> is trained</w:t>
      </w:r>
      <w:r w:rsidR="00C61468" w:rsidRPr="00FD2F4B">
        <w:rPr>
          <w:b w:val="0"/>
          <w:sz w:val="20"/>
        </w:rPr>
        <w:t xml:space="preserve"> on a dataset</w:t>
      </w:r>
      <w:r w:rsidR="00CF250F" w:rsidRPr="00FD2F4B">
        <w:rPr>
          <w:b w:val="0"/>
          <w:sz w:val="20"/>
        </w:rPr>
        <w:t xml:space="preserve"> </w:t>
      </w:r>
      <m:oMath>
        <m:r>
          <m:rPr>
            <m:sty m:val="bi"/>
          </m:rPr>
          <w:rPr>
            <w:rFonts w:ascii="Cambria Math" w:hAnsi="Cambria Math"/>
            <w:sz w:val="20"/>
          </w:rPr>
          <m:t>XH</m:t>
        </m:r>
      </m:oMath>
      <w:r w:rsidR="00C61468" w:rsidRPr="00FD2F4B">
        <w:rPr>
          <w:b w:val="0"/>
          <w:sz w:val="20"/>
        </w:rPr>
        <w:t xml:space="preserve"> of historic samples with labels </w:t>
      </w:r>
      <m:oMath>
        <m:r>
          <m:rPr>
            <m:sty m:val="bi"/>
          </m:rPr>
          <w:rPr>
            <w:rFonts w:ascii="Cambria Math" w:hAnsi="Cambria Math"/>
            <w:sz w:val="20"/>
          </w:rPr>
          <m:t>YH</m:t>
        </m:r>
      </m:oMath>
      <w:r w:rsidR="00CF250F" w:rsidRPr="00FD2F4B">
        <w:rPr>
          <w:b w:val="0"/>
          <w:sz w:val="20"/>
        </w:rPr>
        <w:t>.</w:t>
      </w:r>
      <w:r w:rsidR="00CC1661" w:rsidRPr="00FD2F4B">
        <w:rPr>
          <w:b w:val="0"/>
          <w:sz w:val="20"/>
        </w:rPr>
        <w:t xml:space="preserve"> Here, </w:t>
      </w:r>
      <m:oMath>
        <m:r>
          <m:rPr>
            <m:sty m:val="bi"/>
          </m:rPr>
          <w:rPr>
            <w:rFonts w:ascii="Cambria Math" w:hAnsi="Cambria Math"/>
            <w:sz w:val="20"/>
          </w:rPr>
          <m:t>X</m:t>
        </m:r>
        <m:sSub>
          <m:sSubPr>
            <m:ctrlPr>
              <w:rPr>
                <w:rFonts w:ascii="Cambria Math" w:hAnsi="Cambria Math"/>
                <w:b w:val="0"/>
                <w:i/>
                <w:sz w:val="20"/>
              </w:rPr>
            </m:ctrlPr>
          </m:sSubPr>
          <m:e>
            <m:r>
              <m:rPr>
                <m:sty m:val="bi"/>
              </m:rPr>
              <w:rPr>
                <w:rFonts w:ascii="Cambria Math" w:hAnsi="Cambria Math"/>
                <w:sz w:val="20"/>
              </w:rPr>
              <m:t>H</m:t>
            </m:r>
          </m:e>
          <m:sub>
            <m:r>
              <m:rPr>
                <m:sty m:val="bi"/>
              </m:rPr>
              <w:rPr>
                <w:rFonts w:ascii="Cambria Math" w:hAnsi="Cambria Math"/>
                <w:sz w:val="20"/>
              </w:rPr>
              <m:t>t</m:t>
            </m:r>
          </m:sub>
        </m:sSub>
      </m:oMath>
      <w:r w:rsidR="00C61468" w:rsidRPr="00FD2F4B">
        <w:rPr>
          <w:b w:val="0"/>
          <w:sz w:val="20"/>
        </w:rPr>
        <w:t xml:space="preserve"> </w:t>
      </w:r>
      <w:r w:rsidR="00CC1661" w:rsidRPr="00FD2F4B">
        <w:rPr>
          <w:b w:val="0"/>
          <w:sz w:val="20"/>
        </w:rPr>
        <w:t xml:space="preserve">is the </w:t>
      </w:r>
      <m:oMath>
        <m:sSup>
          <m:sSupPr>
            <m:ctrlPr>
              <w:rPr>
                <w:rFonts w:ascii="Cambria Math" w:hAnsi="Cambria Math"/>
                <w:b w:val="0"/>
                <w:i/>
                <w:sz w:val="20"/>
              </w:rPr>
            </m:ctrlPr>
          </m:sSupPr>
          <m:e>
            <m:r>
              <m:rPr>
                <m:sty m:val="bi"/>
              </m:rPr>
              <w:rPr>
                <w:rFonts w:ascii="Cambria Math" w:hAnsi="Cambria Math"/>
                <w:sz w:val="20"/>
              </w:rPr>
              <m:t>t</m:t>
            </m:r>
          </m:e>
          <m:sup>
            <m:r>
              <m:rPr>
                <m:sty m:val="bi"/>
              </m:rPr>
              <w:rPr>
                <w:rFonts w:ascii="Cambria Math" w:hAnsi="Cambria Math"/>
                <w:sz w:val="20"/>
              </w:rPr>
              <m:t>th</m:t>
            </m:r>
          </m:sup>
        </m:sSup>
      </m:oMath>
      <w:r w:rsidR="00CC1661" w:rsidRPr="00FD2F4B">
        <w:rPr>
          <w:b w:val="0"/>
          <w:sz w:val="20"/>
        </w:rPr>
        <w:t xml:space="preserve"> training samples with </w:t>
      </w:r>
      <m:oMath>
        <m:r>
          <m:rPr>
            <m:sty m:val="bi"/>
          </m:rPr>
          <w:rPr>
            <w:rFonts w:ascii="Cambria Math" w:hAnsi="Cambria Math"/>
            <w:sz w:val="20"/>
          </w:rPr>
          <m:t>N</m:t>
        </m:r>
      </m:oMath>
      <w:r w:rsidR="00CC1661" w:rsidRPr="00FD2F4B">
        <w:rPr>
          <w:b w:val="0"/>
          <w:sz w:val="20"/>
        </w:rPr>
        <w:t xml:space="preserve"> measurement variables. </w:t>
      </w:r>
      <w:r w:rsidR="00BD29FE" w:rsidRPr="00FD2F4B">
        <w:rPr>
          <w:b w:val="0"/>
          <w:sz w:val="20"/>
        </w:rPr>
        <w:t xml:space="preserve">Given an online process sample </w:t>
      </w:r>
      <m:oMath>
        <m:sSub>
          <m:sSubPr>
            <m:ctrlPr>
              <w:rPr>
                <w:rFonts w:ascii="Cambria Math" w:hAnsi="Cambria Math"/>
                <w:b w:val="0"/>
                <w:i/>
                <w:sz w:val="20"/>
              </w:rPr>
            </m:ctrlPr>
          </m:sSubPr>
          <m:e>
            <m:r>
              <m:rPr>
                <m:sty m:val="bi"/>
              </m:rPr>
              <w:rPr>
                <w:rFonts w:ascii="Cambria Math" w:hAnsi="Cambria Math"/>
                <w:sz w:val="20"/>
              </w:rPr>
              <m:t>X</m:t>
            </m:r>
          </m:e>
          <m:sub>
            <m:r>
              <m:rPr>
                <m:sty m:val="bi"/>
              </m:rPr>
              <w:rPr>
                <w:rFonts w:ascii="Cambria Math" w:hAnsi="Cambria Math"/>
                <w:sz w:val="20"/>
              </w:rPr>
              <m:t>t</m:t>
            </m:r>
          </m:sub>
        </m:sSub>
      </m:oMath>
      <w:r w:rsidR="00BD29FE" w:rsidRPr="00FD2F4B">
        <w:rPr>
          <w:b w:val="0"/>
          <w:sz w:val="20"/>
        </w:rPr>
        <w:t>, the model</w:t>
      </w:r>
      <w:r w:rsidR="00CC1661" w:rsidRPr="00FD2F4B">
        <w:rPr>
          <w:b w:val="0"/>
          <w:sz w:val="20"/>
        </w:rPr>
        <w:t xml:space="preserve"> </w:t>
      </w:r>
      <m:oMath>
        <m:r>
          <m:rPr>
            <m:sty m:val="bi"/>
          </m:rPr>
          <w:rPr>
            <w:rFonts w:ascii="Cambria Math" w:hAnsi="Cambria Math"/>
            <w:sz w:val="20"/>
          </w:rPr>
          <m:t>F</m:t>
        </m:r>
      </m:oMath>
      <w:r w:rsidR="00BD29FE" w:rsidRPr="00FD2F4B">
        <w:rPr>
          <w:b w:val="0"/>
          <w:sz w:val="20"/>
        </w:rPr>
        <w:t xml:space="preserve"> </w:t>
      </w:r>
      <w:r w:rsidR="00B42D31" w:rsidRPr="00FD2F4B">
        <w:rPr>
          <w:b w:val="0"/>
          <w:sz w:val="20"/>
        </w:rPr>
        <w:t xml:space="preserve">outputs </w:t>
      </w:r>
      <w:r w:rsidR="00CC1661" w:rsidRPr="00FD2F4B">
        <w:rPr>
          <w:b w:val="0"/>
          <w:sz w:val="20"/>
        </w:rPr>
        <w:t xml:space="preserve">the </w:t>
      </w:r>
      <w:r w:rsidR="00B42D31" w:rsidRPr="00FD2F4B">
        <w:rPr>
          <w:b w:val="0"/>
          <w:sz w:val="20"/>
        </w:rPr>
        <w:t xml:space="preserve">probability of </w:t>
      </w:r>
      <m:oMath>
        <m:r>
          <m:rPr>
            <m:sty m:val="bi"/>
          </m:rPr>
          <w:rPr>
            <w:rFonts w:ascii="Cambria Math" w:hAnsi="Cambria Math"/>
            <w:sz w:val="20"/>
          </w:rPr>
          <m:t>C</m:t>
        </m:r>
      </m:oMath>
      <w:r w:rsidR="00B42D31" w:rsidRPr="00FD2F4B">
        <w:rPr>
          <w:b w:val="0"/>
          <w:sz w:val="20"/>
        </w:rPr>
        <w:t xml:space="preserve"> process states</w:t>
      </w:r>
      <w:r w:rsidR="00592251">
        <w:rPr>
          <w:b w:val="0"/>
          <w:sz w:val="20"/>
        </w:rPr>
        <w:t>,</w:t>
      </w:r>
      <w:r w:rsidR="00B42D31" w:rsidRPr="00FD2F4B">
        <w:rPr>
          <w:b w:val="0"/>
          <w:sz w:val="20"/>
        </w:rPr>
        <w:t xml:space="preserve"> i.e., </w:t>
      </w:r>
      <m:oMath>
        <m:sSub>
          <m:sSubPr>
            <m:ctrlPr>
              <w:rPr>
                <w:rFonts w:ascii="Cambria Math" w:hAnsi="Cambria Math"/>
                <w:b w:val="0"/>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1</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2</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c</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C</m:t>
            </m:r>
          </m:sup>
        </m:sSubSup>
      </m:oMath>
      <w:r w:rsidR="00B42D31" w:rsidRPr="00FD2F4B">
        <w:rPr>
          <w:b w:val="0"/>
          <w:sz w:val="20"/>
        </w:rPr>
        <w:t xml:space="preserve">]. The end-user is provided with </w:t>
      </w:r>
      <w:r w:rsidR="00183404" w:rsidRPr="00FD2F4B">
        <w:rPr>
          <w:b w:val="0"/>
          <w:sz w:val="20"/>
        </w:rPr>
        <w:t xml:space="preserve">the </w:t>
      </w:r>
      <w:r w:rsidR="00B42D31" w:rsidRPr="00FD2F4B">
        <w:rPr>
          <w:b w:val="0"/>
          <w:sz w:val="20"/>
        </w:rPr>
        <w:t xml:space="preserve">most probable state </w:t>
      </w:r>
      <m:oMath>
        <m:sSub>
          <m:sSubPr>
            <m:ctrlPr>
              <w:rPr>
                <w:rFonts w:ascii="Cambria Math" w:hAnsi="Cambria Math"/>
                <w:b w:val="0"/>
                <w:i/>
                <w:sz w:val="20"/>
              </w:rPr>
            </m:ctrlPr>
          </m:sSubPr>
          <m:e>
            <m:r>
              <m:rPr>
                <m:sty m:val="bi"/>
              </m:rPr>
              <w:rPr>
                <w:rFonts w:ascii="Cambria Math" w:hAnsi="Cambria Math"/>
                <w:sz w:val="20"/>
              </w:rPr>
              <m:t>Y</m:t>
            </m:r>
          </m:e>
          <m:sub>
            <m:r>
              <m:rPr>
                <m:sty m:val="bi"/>
              </m:rPr>
              <w:rPr>
                <w:rFonts w:ascii="Cambria Math" w:hAnsi="Cambria Math"/>
                <w:sz w:val="20"/>
              </w:rPr>
              <m:t>t</m:t>
            </m:r>
          </m:sub>
        </m:sSub>
        <m:r>
          <m:rPr>
            <m:sty m:val="bi"/>
          </m:rPr>
          <w:rPr>
            <w:rFonts w:ascii="Cambria Math" w:hAnsi="Cambria Math"/>
            <w:sz w:val="20"/>
          </w:rPr>
          <m:t>=</m:t>
        </m:r>
        <m:sPre>
          <m:sPrePr>
            <m:ctrlPr>
              <w:rPr>
                <w:rFonts w:ascii="Cambria Math" w:hAnsi="Cambria Math"/>
                <w:b w:val="0"/>
                <w:i/>
                <w:sz w:val="20"/>
              </w:rPr>
            </m:ctrlPr>
          </m:sPrePr>
          <m:sub>
            <m:r>
              <m:rPr>
                <m:sty m:val="bi"/>
              </m:rPr>
              <w:rPr>
                <w:rFonts w:ascii="Cambria Math" w:hAnsi="Cambria Math"/>
                <w:sz w:val="20"/>
              </w:rPr>
              <m:t>c∈</m:t>
            </m:r>
            <m:d>
              <m:dPr>
                <m:begChr m:val="["/>
                <m:endChr m:val="]"/>
                <m:ctrlPr>
                  <w:rPr>
                    <w:rFonts w:ascii="Cambria Math" w:hAnsi="Cambria Math"/>
                    <w:b w:val="0"/>
                    <w:i/>
                    <w:sz w:val="20"/>
                  </w:rPr>
                </m:ctrlPr>
              </m:dPr>
              <m:e>
                <m:r>
                  <m:rPr>
                    <m:sty m:val="bi"/>
                  </m:rPr>
                  <w:rPr>
                    <w:rFonts w:ascii="Cambria Math" w:hAnsi="Cambria Math"/>
                    <w:sz w:val="20"/>
                  </w:rPr>
                  <m:t>1,…,C</m:t>
                </m:r>
              </m:e>
            </m:d>
          </m:sub>
          <m:sup>
            <m:r>
              <m:rPr>
                <m:sty m:val="bi"/>
              </m:rPr>
              <w:rPr>
                <w:rFonts w:ascii="Cambria Math" w:hAnsi="Cambria Math"/>
                <w:sz w:val="20"/>
              </w:rPr>
              <m:t>armax</m:t>
            </m:r>
          </m:sup>
          <m:e>
            <m:d>
              <m:dPr>
                <m:begChr m:val="["/>
                <m:endChr m:val="]"/>
                <m:ctrlPr>
                  <w:rPr>
                    <w:rFonts w:ascii="Cambria Math" w:hAnsi="Cambria Math"/>
                    <w:b w:val="0"/>
                    <w:i/>
                    <w:sz w:val="20"/>
                  </w:rPr>
                </m:ctrlPr>
              </m:dPr>
              <m:e>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1</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2</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c</m:t>
                    </m:r>
                  </m:sup>
                </m:sSubSup>
                <m:r>
                  <m:rPr>
                    <m:sty m:val="bi"/>
                  </m:rPr>
                  <w:rPr>
                    <w:rFonts w:ascii="Cambria Math" w:hAnsi="Cambria Math"/>
                    <w:sz w:val="20"/>
                  </w:rPr>
                  <m:t>,…,</m:t>
                </m:r>
                <m:sSubSup>
                  <m:sSubSupPr>
                    <m:ctrlPr>
                      <w:rPr>
                        <w:rFonts w:ascii="Cambria Math" w:hAnsi="Cambria Math"/>
                        <w:b w:val="0"/>
                        <w:i/>
                        <w:sz w:val="20"/>
                      </w:rPr>
                    </m:ctrlPr>
                  </m:sSubSupPr>
                  <m:e>
                    <m:r>
                      <m:rPr>
                        <m:sty m:val="bi"/>
                      </m:rPr>
                      <w:rPr>
                        <w:rFonts w:ascii="Cambria Math" w:hAnsi="Cambria Math"/>
                        <w:sz w:val="20"/>
                      </w:rPr>
                      <m:t>p</m:t>
                    </m:r>
                  </m:e>
                  <m:sub>
                    <m:r>
                      <m:rPr>
                        <m:sty m:val="bi"/>
                      </m:rPr>
                      <w:rPr>
                        <w:rFonts w:ascii="Cambria Math" w:hAnsi="Cambria Math"/>
                        <w:sz w:val="20"/>
                      </w:rPr>
                      <m:t>t</m:t>
                    </m:r>
                  </m:sub>
                  <m:sup>
                    <m:r>
                      <m:rPr>
                        <m:sty m:val="bi"/>
                      </m:rPr>
                      <w:rPr>
                        <w:rFonts w:ascii="Cambria Math" w:hAnsi="Cambria Math"/>
                        <w:sz w:val="20"/>
                      </w:rPr>
                      <m:t>C</m:t>
                    </m:r>
                  </m:sup>
                </m:sSubSup>
                <m:ctrlPr>
                  <w:rPr>
                    <w:rFonts w:ascii="Cambria Math" w:hAnsi="Cambria Math"/>
                    <w:b w:val="0"/>
                    <w:sz w:val="20"/>
                  </w:rPr>
                </m:ctrlPr>
              </m:e>
            </m:d>
          </m:e>
        </m:sPre>
      </m:oMath>
      <w:r w:rsidR="00CC1661" w:rsidRPr="00FD2F4B">
        <w:rPr>
          <w:b w:val="0"/>
          <w:sz w:val="20"/>
        </w:rPr>
        <w:t xml:space="preserve">. To enable the operator to understand the output </w:t>
      </w:r>
      <m:oMath>
        <m:sSub>
          <m:sSubPr>
            <m:ctrlPr>
              <w:rPr>
                <w:rFonts w:ascii="Cambria Math" w:hAnsi="Cambria Math"/>
                <w:b w:val="0"/>
                <w:i/>
                <w:sz w:val="20"/>
              </w:rPr>
            </m:ctrlPr>
          </m:sSubPr>
          <m:e>
            <m:r>
              <m:rPr>
                <m:sty m:val="bi"/>
              </m:rPr>
              <w:rPr>
                <w:rFonts w:ascii="Cambria Math" w:hAnsi="Cambria Math"/>
                <w:sz w:val="20"/>
              </w:rPr>
              <m:t>Y</m:t>
            </m:r>
          </m:e>
          <m:sub>
            <m:r>
              <m:rPr>
                <m:sty m:val="bi"/>
              </m:rPr>
              <w:rPr>
                <w:rFonts w:ascii="Cambria Math" w:hAnsi="Cambria Math"/>
                <w:sz w:val="20"/>
              </w:rPr>
              <m:t>t,</m:t>
            </m:r>
          </m:sub>
        </m:sSub>
      </m:oMath>
      <w:r w:rsidR="00F44E77" w:rsidRPr="00FD2F4B">
        <w:rPr>
          <w:b w:val="0"/>
          <w:sz w:val="20"/>
        </w:rPr>
        <w:t xml:space="preserve"> we propose </w:t>
      </w:r>
      <w:r w:rsidR="00183404" w:rsidRPr="00FD2F4B">
        <w:rPr>
          <w:b w:val="0"/>
          <w:sz w:val="20"/>
        </w:rPr>
        <w:t>a</w:t>
      </w:r>
      <w:r w:rsidR="00F44E77" w:rsidRPr="00FD2F4B">
        <w:rPr>
          <w:b w:val="0"/>
          <w:sz w:val="20"/>
        </w:rPr>
        <w:t xml:space="preserve"> </w:t>
      </w:r>
      <w:r w:rsidR="00AB2737" w:rsidRPr="00FD2F4B">
        <w:rPr>
          <w:b w:val="0"/>
          <w:sz w:val="20"/>
        </w:rPr>
        <w:t>two-step</w:t>
      </w:r>
      <w:r w:rsidR="00F44E77" w:rsidRPr="00FD2F4B">
        <w:rPr>
          <w:b w:val="0"/>
          <w:sz w:val="20"/>
        </w:rPr>
        <w:t xml:space="preserve"> methodology that generates the </w:t>
      </w:r>
      <w:r w:rsidR="000623A1">
        <w:rPr>
          <w:b w:val="0"/>
          <w:sz w:val="20"/>
        </w:rPr>
        <w:t>explanation-by-example</w:t>
      </w:r>
      <w:r w:rsidR="00F44E77" w:rsidRPr="00FD2F4B">
        <w:rPr>
          <w:b w:val="0"/>
          <w:sz w:val="20"/>
        </w:rPr>
        <w:t>.</w:t>
      </w:r>
    </w:p>
    <w:p w14:paraId="4EA26BE5" w14:textId="4EC57E2A" w:rsidR="00F44E77" w:rsidRPr="00FD2F4B" w:rsidRDefault="00F44E77" w:rsidP="00561E96">
      <w:pPr>
        <w:pStyle w:val="Els-body-text"/>
        <w:spacing w:before="240"/>
        <w:rPr>
          <w:b/>
          <w:i/>
          <w:lang w:val="en-GB"/>
        </w:rPr>
      </w:pPr>
      <w:r w:rsidRPr="00FD2F4B">
        <w:rPr>
          <w:b/>
          <w:i/>
          <w:lang w:val="en-GB"/>
        </w:rPr>
        <w:t>Step 1: Variable Selection</w:t>
      </w:r>
    </w:p>
    <w:p w14:paraId="7E9D3906" w14:textId="3E19F0B5" w:rsidR="00173A30" w:rsidRDefault="002E2C5B" w:rsidP="00FD2F4B">
      <w:pPr>
        <w:pStyle w:val="Els-body-text"/>
      </w:pPr>
      <w:r w:rsidRPr="00FD2F4B">
        <w:rPr>
          <w:lang w:val="en-GB"/>
        </w:rPr>
        <w:t>The trained</w:t>
      </w:r>
      <w:r w:rsidR="000A40A2" w:rsidRPr="00FD2F4B">
        <w:rPr>
          <w:lang w:val="en-GB"/>
        </w:rPr>
        <w:t xml:space="preserve"> DNN </w:t>
      </w:r>
      <m:oMath>
        <m:r>
          <w:rPr>
            <w:rFonts w:ascii="Cambria Math" w:hAnsi="Cambria Math"/>
          </w:rPr>
          <m:t>F</m:t>
        </m:r>
      </m:oMath>
      <w:r w:rsidR="006270A9" w:rsidRPr="00FD2F4B">
        <w:rPr>
          <w:lang w:val="en-GB"/>
        </w:rPr>
        <w:t xml:space="preserve"> is deployed for online process monitoring. Now</w:t>
      </w:r>
      <w:r w:rsidR="00592251">
        <w:rPr>
          <w:lang w:val="en-GB"/>
        </w:rPr>
        <w:t>,</w:t>
      </w:r>
      <w:r w:rsidR="000F41D8">
        <w:rPr>
          <w:lang w:val="en-GB"/>
        </w:rPr>
        <w:t xml:space="preserve"> </w:t>
      </w:r>
      <w:r w:rsidR="00592251">
        <w:rPr>
          <w:lang w:val="en-GB"/>
        </w:rPr>
        <w:t>understanding</w:t>
      </w:r>
      <w:r w:rsidR="00C45AD8" w:rsidRPr="00FD2F4B">
        <w:rPr>
          <w:lang w:val="en-GB"/>
        </w:rPr>
        <w:t xml:space="preserve"> the AI prediction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C45AD8" w:rsidRPr="00FD2F4B">
        <w:rPr>
          <w:lang w:val="en-GB"/>
        </w:rPr>
        <w:t xml:space="preserve"> </w:t>
      </w:r>
      <w:r w:rsidRPr="00FD2F4B">
        <w:rPr>
          <w:lang w:val="en-GB"/>
        </w:rPr>
        <w:t xml:space="preserve">in time, given </w:t>
      </w:r>
      <m:oMath>
        <m:r>
          <w:rPr>
            <w:rFonts w:ascii="Cambria Math" w:hAnsi="Cambria Math"/>
          </w:rPr>
          <m:t>N</m:t>
        </m:r>
      </m:oMath>
      <w:r w:rsidRPr="00FD2F4B">
        <w:rPr>
          <w:lang w:val="en-GB"/>
        </w:rPr>
        <w:t xml:space="preserve"> process variables</w:t>
      </w:r>
      <w:r w:rsidR="00592251">
        <w:rPr>
          <w:lang w:val="en-GB"/>
        </w:rPr>
        <w:t>,</w:t>
      </w:r>
      <w:r w:rsidRPr="00FD2F4B">
        <w:rPr>
          <w:lang w:val="en-GB"/>
        </w:rPr>
        <w:t xml:space="preserve"> becomes challenging. </w:t>
      </w:r>
      <w:r w:rsidR="00197E3A" w:rsidRPr="00FD2F4B">
        <w:rPr>
          <w:lang w:val="en-GB"/>
        </w:rPr>
        <w:t xml:space="preserve">Hence, if </w:t>
      </w:r>
      <w:r w:rsidR="00183404" w:rsidRPr="00FD2F4B">
        <w:rPr>
          <w:lang w:val="en-GB"/>
        </w:rPr>
        <w:t xml:space="preserve">an </w:t>
      </w:r>
      <w:r w:rsidR="00197E3A" w:rsidRPr="00FD2F4B">
        <w:rPr>
          <w:lang w:val="en-GB"/>
        </w:rPr>
        <w:t xml:space="preserve">operator has given the </w:t>
      </w:r>
      <w:r w:rsidR="00173A30" w:rsidRPr="00FD2F4B">
        <w:rPr>
          <w:lang w:val="en-GB"/>
        </w:rPr>
        <w:t xml:space="preserve">subset of </w:t>
      </w:r>
      <m:oMath>
        <m:r>
          <w:rPr>
            <w:rFonts w:ascii="Cambria Math" w:hAnsi="Cambria Math"/>
          </w:rPr>
          <m:t>n</m:t>
        </m:r>
      </m:oMath>
      <w:r w:rsidR="00173A30" w:rsidRPr="00FD2F4B">
        <w:t xml:space="preserve"> </w:t>
      </w:r>
      <w:r w:rsidR="00197E3A" w:rsidRPr="00FD2F4B">
        <w:rPr>
          <w:lang w:val="en-GB"/>
        </w:rPr>
        <w:t>variables responsible for the model output</w:t>
      </w:r>
      <w:r w:rsidR="00C45AD8" w:rsidRPr="00FD2F4B">
        <w:rPr>
          <w:lang w:val="en-GB"/>
        </w:rPr>
        <w:t>, this</w:t>
      </w:r>
      <w:r w:rsidR="00197E3A" w:rsidRPr="00FD2F4B">
        <w:rPr>
          <w:lang w:val="en-GB"/>
        </w:rPr>
        <w:t xml:space="preserve"> makes his job easier and </w:t>
      </w:r>
      <w:r w:rsidR="00183404" w:rsidRPr="00FD2F4B">
        <w:rPr>
          <w:lang w:val="en-GB"/>
        </w:rPr>
        <w:t>aids</w:t>
      </w:r>
      <w:r w:rsidR="00197E3A" w:rsidRPr="00FD2F4B">
        <w:rPr>
          <w:lang w:val="en-GB"/>
        </w:rPr>
        <w:t xml:space="preserve"> in fast process recovery in abnormal </w:t>
      </w:r>
      <w:r w:rsidR="00183404" w:rsidRPr="00FD2F4B">
        <w:rPr>
          <w:lang w:val="en-GB"/>
        </w:rPr>
        <w:t>situations</w:t>
      </w:r>
      <w:r w:rsidR="00197E3A" w:rsidRPr="00FD2F4B">
        <w:rPr>
          <w:lang w:val="en-GB"/>
        </w:rPr>
        <w:t xml:space="preserve">. </w:t>
      </w:r>
      <w:r w:rsidR="00933F97" w:rsidRPr="00FD2F4B">
        <w:rPr>
          <w:lang w:val="en-GB"/>
        </w:rPr>
        <w:t xml:space="preserve">To address this, </w:t>
      </w:r>
      <w:r w:rsidR="00197E3A" w:rsidRPr="00FD2F4B">
        <w:rPr>
          <w:lang w:val="en-GB"/>
        </w:rPr>
        <w:t>Integrated Gradient method</w:t>
      </w:r>
      <w:r w:rsidR="00173A30" w:rsidRPr="00FD2F4B">
        <w:rPr>
          <w:lang w:val="en-GB"/>
        </w:rPr>
        <w:t xml:space="preserve">ology in </w:t>
      </w:r>
      <w:r w:rsidR="00173A30" w:rsidRPr="00FD2F4B">
        <w:rPr>
          <w:lang w:val="en-GB"/>
        </w:rPr>
        <w:fldChar w:fldCharType="begin"/>
      </w:r>
      <w:r w:rsidR="00173A30" w:rsidRPr="00FD2F4B">
        <w:rPr>
          <w:lang w:val="en-GB"/>
        </w:rPr>
        <w:instrText xml:space="preserve"> ADDIN ZOTERO_ITEM CSL_CITATION {"citationID":"ZHpYiMsA","properties":{"formattedCitation":"(Bhakte et al., 2022)","plainCitation":"(Bhakte et al., 2022)","noteIndex":0},"citationItems":[{"id":6,"uris":["http://zotero.org/users/local/TEc0y3pJ/items/WZFULJPM"],"itemData":{"id":6,"type":"article-journal","abstract":"Process monitoring is crucial to ensure operational reliability and to prevent industrial accidents. Data-driven methods have become the preferred approach for fault detection and diagnosis. Specifically, deep learning algorithms such as Deep Neural Networks (DNNs) show good potential even in complex processes. A key shortcoming of DNNs is the difficulty in interpreting their classification result. Emerging approaches from explainable Artificial Intelligence (XAI) seek to address this shortcoming. This paper proposes a method based on the Shapley value framework and its implementation using integrated gradients to identify those variables which lead a DNN to classify an input as a fault. The method estimates the marginal contribution of each variable to the DNN, averaged over the path from the baseline (in this case, the process’ normal state) to the current sample. We illustrate the resulting variable attribution using a numerical example and the benchmark Tennessee Eastman process. Our results show that the proposed methodology provides accurate, sample-specific explanations of the DNN’s prediction. These can be used by the offline model developer to improve the DNN if necessary. It can also be used by the plant operator in real-time to understand the black-box DNN’s predictions and decide on operational strategies.","container-title":"Chemical Engineering Science","DOI":"https://doi.org/10.1016/j.ces.2021.117373","ISSN":"0009-2509","page":"117373","title":"An explainable artificial intelligence based approach for interpretation of fault classification results from deep neural networks","volume":"250","author":[{"family":"Bhakte","given":"Abhijit"},{"family":"Pakkiriswamy","given":"Venkatesh"},{"family":"Srinivasan","given":"Rajagopalan"}],"issued":{"date-parts":[["2022"]]}}}],"schema":"https://github.com/citation-style-language/schema/raw/master/csl-citation.json"} </w:instrText>
      </w:r>
      <w:r w:rsidR="00173A30" w:rsidRPr="00FD2F4B">
        <w:rPr>
          <w:lang w:val="en-GB"/>
        </w:rPr>
        <w:fldChar w:fldCharType="separate"/>
      </w:r>
      <w:r w:rsidR="00173A30" w:rsidRPr="00FD2F4B">
        <w:t>(Bhakte et al., 2022)</w:t>
      </w:r>
      <w:r w:rsidR="00173A30" w:rsidRPr="00FD2F4B">
        <w:rPr>
          <w:lang w:val="en-GB"/>
        </w:rPr>
        <w:fldChar w:fldCharType="end"/>
      </w:r>
      <w:r w:rsidR="00933F97" w:rsidRPr="00FD2F4B">
        <w:rPr>
          <w:lang w:val="en-GB"/>
        </w:rPr>
        <w:t xml:space="preserve"> is used</w:t>
      </w:r>
      <w:r w:rsidRPr="00FD2F4B">
        <w:rPr>
          <w:lang w:val="en-GB"/>
        </w:rPr>
        <w:t xml:space="preserve"> for feature selection</w:t>
      </w:r>
      <w:r w:rsidR="00173A30" w:rsidRPr="00FD2F4B">
        <w:rPr>
          <w:lang w:val="en-GB"/>
        </w:rPr>
        <w:t>.</w:t>
      </w:r>
      <w:r w:rsidR="00197E3A" w:rsidRPr="00FD2F4B">
        <w:rPr>
          <w:lang w:val="en-GB"/>
        </w:rPr>
        <w:t xml:space="preserve"> The IG is a gradient-based </w:t>
      </w:r>
      <w:r w:rsidR="00592251">
        <w:rPr>
          <w:lang w:val="en-GB"/>
        </w:rPr>
        <w:t>attribution</w:t>
      </w:r>
      <w:r w:rsidR="00FD2F4B" w:rsidRPr="00FD2F4B">
        <w:rPr>
          <w:lang w:val="en-GB"/>
        </w:rPr>
        <w:t xml:space="preserve"> motivated by the concept of Shapley value</w:t>
      </w:r>
      <w:r w:rsidR="00197E3A" w:rsidRPr="00FD2F4B">
        <w:rPr>
          <w:lang w:val="en-GB"/>
        </w:rPr>
        <w:t xml:space="preserve">, a technique to explain DNNs </w:t>
      </w:r>
      <w:r w:rsidR="00173A30" w:rsidRPr="00FD2F4B">
        <w:rPr>
          <w:lang w:val="en-GB"/>
        </w:rPr>
        <w:t xml:space="preserve">predictions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173A30" w:rsidRPr="00FD2F4B">
        <w:t xml:space="preserve"> </w:t>
      </w:r>
      <w:r w:rsidR="00197E3A" w:rsidRPr="00FD2F4B">
        <w:rPr>
          <w:lang w:val="en-GB"/>
        </w:rPr>
        <w:t>by attributing them to the neural network's inputs</w:t>
      </w:r>
      <w:r w:rsidR="00173A30" w:rsidRPr="00FD2F4B">
        <w:rPr>
          <w:lang w:val="en-GB"/>
        </w:rPr>
        <w:t xml:space="preserve">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197E3A" w:rsidRPr="00FD2F4B">
        <w:rPr>
          <w:lang w:val="en-GB"/>
        </w:rPr>
        <w:t>.</w:t>
      </w:r>
      <w:r w:rsidR="00173A30" w:rsidRPr="00FD2F4B">
        <w:rPr>
          <w:lang w:val="en-GB"/>
        </w:rPr>
        <w:t xml:space="preserve"> </w:t>
      </w:r>
      <w:r w:rsidRPr="00FD2F4B">
        <w:rPr>
          <w:lang w:val="en-GB"/>
        </w:rPr>
        <w:t>Now</w:t>
      </w:r>
      <w:r w:rsidR="00592251">
        <w:rPr>
          <w:lang w:val="en-GB"/>
        </w:rPr>
        <w:t>,</w:t>
      </w:r>
      <w:r w:rsidR="00194F0F" w:rsidRPr="00FD2F4B">
        <w:rPr>
          <w:lang w:val="en-GB"/>
        </w:rPr>
        <w:t xml:space="preserve"> to select the top </w:t>
      </w:r>
      <m:oMath>
        <m:r>
          <w:rPr>
            <w:rFonts w:ascii="Cambria Math" w:hAnsi="Cambria Math"/>
          </w:rPr>
          <m:t>n</m:t>
        </m:r>
      </m:oMath>
      <w:r w:rsidR="00194F0F" w:rsidRPr="00FD2F4B">
        <w:rPr>
          <w:lang w:val="en-GB"/>
        </w:rPr>
        <w:t xml:space="preserve"> highly attributed variables</w:t>
      </w:r>
      <w:r w:rsidR="00592251">
        <w:rPr>
          <w:lang w:val="en-GB"/>
        </w:rPr>
        <w:t>,</w:t>
      </w:r>
      <w:r w:rsidR="00194F0F" w:rsidRPr="00FD2F4B">
        <w:rPr>
          <w:lang w:val="en-GB"/>
        </w:rPr>
        <w:t xml:space="preserve"> we use the concept of inseparability </w:t>
      </w:r>
      <m:oMath>
        <m:r>
          <w:rPr>
            <w:rFonts w:ascii="Cambria Math" w:hAnsi="Cambria Math"/>
            <w:lang w:val="en-GB"/>
          </w:rPr>
          <m:t>(</m:t>
        </m:r>
        <m:sSub>
          <m:sSubPr>
            <m:ctrlPr>
              <w:rPr>
                <w:rFonts w:ascii="Cambria Math" w:hAnsi="Cambria Math"/>
              </w:rPr>
            </m:ctrlPr>
          </m:sSubPr>
          <m:e>
            <m:r>
              <m:rPr>
                <m:sty m:val="p"/>
              </m:rPr>
              <w:rPr>
                <w:rFonts w:ascii="Cambria Math" w:hAnsi="Cambria Math"/>
              </w:rPr>
              <m:t>π</m:t>
            </m:r>
            <m:ctrlPr>
              <w:rPr>
                <w:rFonts w:ascii="Cambria Math" w:hAnsi="Cambria Math"/>
                <w:i/>
                <w:lang w:val="en-GB"/>
              </w:rPr>
            </m:ctrlPr>
          </m:e>
          <m:sub>
            <m:r>
              <m:rPr>
                <m:sty m:val="p"/>
              </m:rP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j</m:t>
                </m:r>
              </m:sub>
            </m:sSub>
          </m:num>
          <m:den>
            <m:sSub>
              <m:sSubPr>
                <m:ctrlPr>
                  <w:rPr>
                    <w:rFonts w:ascii="Cambria Math" w:hAnsi="Cambria Math"/>
                    <w:i/>
                  </w:rPr>
                </m:ctrlPr>
              </m:sSubPr>
              <m:e>
                <m:r>
                  <w:rPr>
                    <w:rFonts w:ascii="Cambria Math" w:hAnsi="Cambria Math"/>
                  </w:rPr>
                  <m:t>A</m:t>
                </m:r>
              </m:e>
              <m:sub>
                <m:r>
                  <w:rPr>
                    <w:rFonts w:ascii="Cambria Math" w:hAnsi="Cambria Math"/>
                  </w:rPr>
                  <m:t>j+1</m:t>
                </m:r>
              </m:sub>
            </m:sSub>
          </m:den>
        </m:f>
        <m:r>
          <m:rPr>
            <m:sty m:val="p"/>
          </m:rPr>
          <w:rPr>
            <w:rFonts w:ascii="Cambria Math" w:hAnsi="Cambria Math"/>
          </w:rPr>
          <m:t xml:space="preserve"> )</m:t>
        </m:r>
      </m:oMath>
      <w:r w:rsidR="00194F0F" w:rsidRPr="00FD2F4B">
        <w:rPr>
          <w:lang w:val="en-GB"/>
        </w:rPr>
        <w:t xml:space="preserve"> defined </w:t>
      </w:r>
      <w:r w:rsidR="00194F0F" w:rsidRPr="00FD2F4B">
        <w:t xml:space="preserve">as </w:t>
      </w:r>
      <w:r w:rsidR="00183404" w:rsidRPr="00FD2F4B">
        <w:t xml:space="preserve">the </w:t>
      </w:r>
      <w:r w:rsidR="00194F0F" w:rsidRPr="00FD2F4B">
        <w:t>“ratio of the attribution of the variable to that of the next highest attributed variable</w:t>
      </w:r>
      <w:r w:rsidR="00592251">
        <w:t>.”</w:t>
      </w:r>
      <w:r w:rsidR="00933F97" w:rsidRPr="00FD2F4B">
        <w:t xml:space="preserve"> </w:t>
      </w:r>
      <w:r w:rsidR="00FD2F4B" w:rsidRPr="00FD2F4B">
        <w:rPr>
          <w:szCs w:val="24"/>
          <w:lang w:val="en"/>
        </w:rPr>
        <w:t>H</w:t>
      </w:r>
      <w:r w:rsidR="00194F0F" w:rsidRPr="00FD2F4B">
        <w:rPr>
          <w:szCs w:val="24"/>
          <w:lang w:val="en"/>
        </w:rPr>
        <w:t>ere</w:t>
      </w:r>
      <w:r w:rsidR="00FD2F4B" w:rsidRPr="00FD2F4B">
        <w:rPr>
          <w:szCs w:val="24"/>
          <w:lang w:val="en"/>
        </w:rPr>
        <w:t>,</w:t>
      </w:r>
      <w:r w:rsidR="00194F0F" w:rsidRPr="00FD2F4B">
        <w:rPr>
          <w:szCs w:val="24"/>
          <w:lang w:val="en"/>
        </w:rPr>
        <w:t xml:space="preserve"> </w:t>
      </w:r>
      <m:oMath>
        <m:r>
          <w:rPr>
            <w:rFonts w:ascii="Cambria Math" w:hAnsi="Cambria Math"/>
          </w:rPr>
          <m:t>A</m:t>
        </m:r>
      </m:oMath>
      <w:r w:rsidR="00C71EB3" w:rsidRPr="00FD2F4B">
        <w:rPr>
          <w:szCs w:val="24"/>
          <w:lang w:val="en"/>
        </w:rPr>
        <w:t xml:space="preserve"> </w:t>
      </w:r>
      <w:r w:rsidR="00C71EB3">
        <w:rPr>
          <w:szCs w:val="24"/>
          <w:lang w:val="en"/>
        </w:rPr>
        <w:t xml:space="preserve">represents variable attribution </w:t>
      </w:r>
      <w:proofErr w:type="spellStart"/>
      <w:r w:rsidR="00C71EB3">
        <w:rPr>
          <w:szCs w:val="24"/>
          <w:lang w:val="en"/>
        </w:rPr>
        <w:t>wheras</w:t>
      </w:r>
      <w:proofErr w:type="spellEnd"/>
      <w:r w:rsidR="00C71EB3">
        <w:rPr>
          <w:szCs w:val="24"/>
          <w:lang w:val="en"/>
        </w:rPr>
        <w:t xml:space="preserve"> </w:t>
      </w:r>
      <w:r w:rsidR="00194F0F" w:rsidRPr="00FD2F4B">
        <w:rPr>
          <w:szCs w:val="24"/>
          <w:lang w:val="en"/>
        </w:rPr>
        <w:t xml:space="preserve">index </w:t>
      </w:r>
      <m:oMath>
        <m:r>
          <w:rPr>
            <w:rFonts w:ascii="Cambria Math" w:hAnsi="Cambria Math"/>
            <w:szCs w:val="24"/>
            <w:lang w:val="en"/>
          </w:rPr>
          <m:t>j</m:t>
        </m:r>
      </m:oMath>
      <w:r w:rsidR="000D5FD7" w:rsidRPr="00FD2F4B">
        <w:rPr>
          <w:szCs w:val="24"/>
          <w:lang w:val="en"/>
        </w:rPr>
        <w:t xml:space="preserve"> represents </w:t>
      </w:r>
      <w:r w:rsidR="00183404" w:rsidRPr="00FD2F4B">
        <w:rPr>
          <w:szCs w:val="24"/>
          <w:lang w:val="en"/>
        </w:rPr>
        <w:t xml:space="preserve">the </w:t>
      </w:r>
      <w:r w:rsidR="000D5FD7" w:rsidRPr="00FD2F4B">
        <w:rPr>
          <w:szCs w:val="24"/>
          <w:lang w:val="en"/>
        </w:rPr>
        <w:t>ranking</w:t>
      </w:r>
      <w:r w:rsidR="00194F0F" w:rsidRPr="00FD2F4B">
        <w:rPr>
          <w:szCs w:val="24"/>
          <w:lang w:val="en"/>
        </w:rPr>
        <w:t xml:space="preserve"> </w:t>
      </w:r>
      <w:r w:rsidR="000D5FD7" w:rsidRPr="00FD2F4B">
        <w:rPr>
          <w:szCs w:val="24"/>
          <w:lang w:val="en"/>
        </w:rPr>
        <w:t xml:space="preserve">of </w:t>
      </w:r>
      <w:r w:rsidR="00183404" w:rsidRPr="00FD2F4B">
        <w:t>variables'</w:t>
      </w:r>
      <w:r w:rsidR="000D5FD7" w:rsidRPr="00FD2F4B">
        <w:t xml:space="preserve"> </w:t>
      </w:r>
      <w:r w:rsidR="000D5FD7" w:rsidRPr="00FD2F4B">
        <w:rPr>
          <w:szCs w:val="24"/>
          <w:lang w:val="en"/>
        </w:rPr>
        <w:t>attribution value sorted in descending order</w:t>
      </w:r>
      <w:r w:rsidR="00592251">
        <w:rPr>
          <w:szCs w:val="24"/>
          <w:lang w:val="en"/>
        </w:rPr>
        <w:t>;</w:t>
      </w:r>
      <w:r w:rsidR="00183404" w:rsidRPr="00FD2F4B">
        <w:rPr>
          <w:szCs w:val="24"/>
          <w:lang w:val="en"/>
        </w:rPr>
        <w:t xml:space="preserve"> a</w:t>
      </w:r>
      <w:r w:rsidR="00DF1B30" w:rsidRPr="00FD2F4B">
        <w:t xml:space="preserve"> low value </w:t>
      </w:r>
      <m:oMath>
        <m:r>
          <w:rPr>
            <w:rFonts w:ascii="Cambria Math" w:hAnsi="Cambria Math"/>
            <w:lang w:val="en-GB"/>
          </w:rPr>
          <m:t>(</m:t>
        </m:r>
        <m:sSub>
          <m:sSubPr>
            <m:ctrlPr>
              <w:rPr>
                <w:rFonts w:ascii="Cambria Math" w:hAnsi="Cambria Math"/>
              </w:rPr>
            </m:ctrlPr>
          </m:sSubPr>
          <m:e>
            <m:r>
              <m:rPr>
                <m:sty m:val="p"/>
              </m:rPr>
              <w:rPr>
                <w:rFonts w:ascii="Cambria Math" w:hAnsi="Cambria Math"/>
              </w:rPr>
              <m:t>π</m:t>
            </m:r>
            <m:ctrlPr>
              <w:rPr>
                <w:rFonts w:ascii="Cambria Math" w:hAnsi="Cambria Math"/>
                <w:i/>
                <w:lang w:val="en-GB"/>
              </w:rPr>
            </m:ctrlPr>
          </m:e>
          <m:sub>
            <m:r>
              <m:rPr>
                <m:sty m:val="p"/>
              </m:rPr>
              <w:rPr>
                <w:rFonts w:ascii="Cambria Math" w:hAnsi="Cambria Math"/>
              </w:rPr>
              <m:t>j</m:t>
            </m:r>
          </m:sub>
        </m:sSub>
        <m:r>
          <m:rPr>
            <m:sty m:val="p"/>
          </m:rPr>
          <w:rPr>
            <w:rFonts w:ascii="Cambria Math" w:hAnsi="Cambria Math"/>
          </w:rPr>
          <m:t>≈1)</m:t>
        </m:r>
      </m:oMath>
      <w:r w:rsidR="00194F0F" w:rsidRPr="00FD2F4B">
        <w:t xml:space="preserve"> represents that both variables at position</w:t>
      </w:r>
      <m:oMath>
        <m:r>
          <w:rPr>
            <w:rFonts w:ascii="Cambria Math" w:hAnsi="Cambria Math"/>
          </w:rPr>
          <m:t xml:space="preserve"> j</m:t>
        </m:r>
      </m:oMath>
      <w:r w:rsidR="00DF1B30" w:rsidRPr="00FD2F4B">
        <w:t xml:space="preserve"> </w:t>
      </w:r>
      <w:r w:rsidR="00194F0F" w:rsidRPr="00FD2F4B">
        <w:t xml:space="preserve">and </w:t>
      </w:r>
      <m:oMath>
        <m:r>
          <w:rPr>
            <w:rFonts w:ascii="Cambria Math" w:hAnsi="Cambria Math"/>
          </w:rPr>
          <m:t>j+1</m:t>
        </m:r>
      </m:oMath>
      <w:r w:rsidR="00DF1B30" w:rsidRPr="00FD2F4B">
        <w:t xml:space="preserve"> </w:t>
      </w:r>
      <w:r w:rsidR="00194F0F" w:rsidRPr="00FD2F4B">
        <w:t xml:space="preserve">are important, whereas </w:t>
      </w:r>
      <m:oMath>
        <m:r>
          <w:rPr>
            <w:rFonts w:ascii="Cambria Math" w:hAnsi="Cambria Math"/>
            <w:lang w:val="en-GB"/>
          </w:rPr>
          <m:t>(</m:t>
        </m:r>
        <m:sSub>
          <m:sSubPr>
            <m:ctrlPr>
              <w:rPr>
                <w:rFonts w:ascii="Cambria Math" w:hAnsi="Cambria Math"/>
              </w:rPr>
            </m:ctrlPr>
          </m:sSubPr>
          <m:e>
            <m:r>
              <m:rPr>
                <m:sty m:val="p"/>
              </m:rPr>
              <w:rPr>
                <w:rFonts w:ascii="Cambria Math" w:hAnsi="Cambria Math"/>
              </w:rPr>
              <m:t>π</m:t>
            </m:r>
            <m:ctrlPr>
              <w:rPr>
                <w:rFonts w:ascii="Cambria Math" w:hAnsi="Cambria Math"/>
                <w:i/>
                <w:lang w:val="en-GB"/>
              </w:rPr>
            </m:ctrlPr>
          </m:e>
          <m:sub>
            <m:r>
              <m:rPr>
                <m:sty m:val="p"/>
              </m:rPr>
              <w:rPr>
                <w:rFonts w:ascii="Cambria Math" w:hAnsi="Cambria Math"/>
              </w:rPr>
              <m:t>j</m:t>
            </m:r>
          </m:sub>
        </m:sSub>
        <m:r>
          <m:rPr>
            <m:sty m:val="p"/>
          </m:rPr>
          <w:rPr>
            <w:rFonts w:ascii="Cambria Math" w:hAnsi="Cambria Math" w:cs="Cambria Math"/>
          </w:rPr>
          <m:t>≫</m:t>
        </m:r>
        <m:r>
          <m:rPr>
            <m:sty m:val="p"/>
          </m:rPr>
          <w:rPr>
            <w:rFonts w:ascii="Cambria Math" w:hAnsi="Cambria Math"/>
          </w:rPr>
          <m:t>1)</m:t>
        </m:r>
      </m:oMath>
      <w:r w:rsidR="00194F0F" w:rsidRPr="00FD2F4B">
        <w:t xml:space="preserve"> represents</w:t>
      </w:r>
      <w:r w:rsidR="00DF1B30" w:rsidRPr="00FD2F4B">
        <w:t xml:space="preserve"> only the variable at position </w:t>
      </w:r>
      <m:oMath>
        <m:r>
          <w:rPr>
            <w:rFonts w:ascii="Cambria Math" w:hAnsi="Cambria Math"/>
          </w:rPr>
          <m:t>j</m:t>
        </m:r>
      </m:oMath>
      <w:r w:rsidR="00194F0F" w:rsidRPr="00FD2F4B">
        <w:t xml:space="preserve"> is important</w:t>
      </w:r>
      <w:r w:rsidR="00DF1B30" w:rsidRPr="00FD2F4B">
        <w:t xml:space="preserve">. Therefore, a threshold value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min</m:t>
            </m:r>
          </m:sub>
        </m:sSub>
        <m:r>
          <w:rPr>
            <w:rFonts w:ascii="Cambria Math" w:hAnsi="Cambria Math"/>
          </w:rPr>
          <m:t>)</m:t>
        </m:r>
      </m:oMath>
      <w:r w:rsidR="00194F0F" w:rsidRPr="00FD2F4B">
        <w:t xml:space="preserve"> must be chosen to display the key variables to the operator. Her</w:t>
      </w:r>
      <w:r w:rsidR="00347C7A" w:rsidRPr="00FD2F4B">
        <w:t xml:space="preserve">e, we have only </w:t>
      </w:r>
      <w:r w:rsidR="00194F0F" w:rsidRPr="00FD2F4B">
        <w:t>key variables</w:t>
      </w:r>
      <w:r w:rsidR="00347C7A" w:rsidRPr="00FD2F4B">
        <w:t xml:space="preserve"> selected, but more insights can be obtained if distinct ‘if-else’ </w:t>
      </w:r>
      <w:r w:rsidR="00347C7A" w:rsidRPr="000F560C">
        <w:t>scenarios are provided to the operator.</w:t>
      </w:r>
      <w:r w:rsidR="00DF1B30" w:rsidRPr="000F560C">
        <w:t xml:space="preserve"> </w:t>
      </w:r>
    </w:p>
    <w:p w14:paraId="3AD22174" w14:textId="77777777" w:rsidR="00561E96" w:rsidRPr="000F560C" w:rsidRDefault="00561E96" w:rsidP="00FD2F4B">
      <w:pPr>
        <w:pStyle w:val="Els-body-text"/>
      </w:pPr>
    </w:p>
    <w:p w14:paraId="04220BB1" w14:textId="77777777" w:rsidR="00FD2F4B" w:rsidRPr="00FD2F4B" w:rsidRDefault="000E1266" w:rsidP="00561E96">
      <w:pPr>
        <w:pStyle w:val="Els-body-text"/>
        <w:spacing w:before="240"/>
        <w:rPr>
          <w:b/>
          <w:i/>
          <w:lang w:val="en-GB"/>
        </w:rPr>
      </w:pPr>
      <w:r w:rsidRPr="00FD2F4B">
        <w:rPr>
          <w:b/>
          <w:i/>
          <w:lang w:val="en-GB"/>
        </w:rPr>
        <w:lastRenderedPageBreak/>
        <w:t xml:space="preserve">Step 2: Counterfactual Generation </w:t>
      </w:r>
    </w:p>
    <w:p w14:paraId="3225AC5F" w14:textId="4BACC713" w:rsidR="00D2013D" w:rsidRPr="00FD2F4B" w:rsidRDefault="0053324B" w:rsidP="00F44E77">
      <w:pPr>
        <w:pStyle w:val="Els-body-text"/>
        <w:spacing w:after="120"/>
        <w:rPr>
          <w:i/>
          <w:lang w:val="en-GB"/>
        </w:rPr>
      </w:pPr>
      <w:r>
        <w:rPr>
          <w:lang w:val="en-GB"/>
        </w:rPr>
        <w:t xml:space="preserve">The process state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Pre>
          <m:sPrePr>
            <m:ctrlPr>
              <w:rPr>
                <w:rFonts w:ascii="Cambria Math" w:hAnsi="Cambria Math"/>
                <w:i/>
              </w:rPr>
            </m:ctrlPr>
          </m:sPrePr>
          <m:sub>
            <m:r>
              <w:rPr>
                <w:rFonts w:ascii="Cambria Math" w:hAnsi="Cambria Math"/>
              </w:rPr>
              <m:t>c∈</m:t>
            </m:r>
            <m:d>
              <m:dPr>
                <m:begChr m:val="["/>
                <m:endChr m:val="]"/>
                <m:ctrlPr>
                  <w:rPr>
                    <w:rFonts w:ascii="Cambria Math" w:hAnsi="Cambria Math"/>
                    <w:i/>
                  </w:rPr>
                </m:ctrlPr>
              </m:dPr>
              <m:e>
                <m:r>
                  <w:rPr>
                    <w:rFonts w:ascii="Cambria Math" w:hAnsi="Cambria Math"/>
                  </w:rPr>
                  <m:t>1,…,C</m:t>
                </m:r>
              </m:e>
            </m:d>
          </m:sub>
          <m:sup>
            <m:r>
              <w:rPr>
                <w:rFonts w:ascii="Cambria Math" w:hAnsi="Cambria Math"/>
              </w:rPr>
              <m:t>armax</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c</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C</m:t>
                    </m:r>
                  </m:sup>
                </m:sSubSup>
                <m:ctrlPr>
                  <w:rPr>
                    <w:rFonts w:ascii="Cambria Math" w:hAnsi="Cambria Math"/>
                  </w:rPr>
                </m:ctrlPr>
              </m:e>
            </m:d>
          </m:e>
        </m:sPre>
      </m:oMath>
      <w:r>
        <w:t xml:space="preserve"> and the </w:t>
      </w:r>
      <m:oMath>
        <m:r>
          <w:rPr>
            <w:rFonts w:ascii="Cambria Math" w:hAnsi="Cambria Math"/>
          </w:rPr>
          <m:t>c</m:t>
        </m:r>
      </m:oMath>
      <w:r w:rsidRPr="00FD2F4B">
        <w:rPr>
          <w:lang w:val="en-GB"/>
        </w:rPr>
        <w:t xml:space="preserve"> </w:t>
      </w:r>
      <w:r>
        <w:rPr>
          <w:lang w:val="en-GB"/>
        </w:rPr>
        <w:t>subsequent classes with the h</w:t>
      </w:r>
      <w:r w:rsidR="001979B0">
        <w:rPr>
          <w:lang w:val="en-GB"/>
        </w:rPr>
        <w:t xml:space="preserve">ighest probabilities </w:t>
      </w:r>
      <w:r w:rsidR="000F41D8">
        <w:rPr>
          <w:lang w:val="en-GB"/>
        </w:rPr>
        <w:t xml:space="preserve">obtained </w:t>
      </w:r>
      <w:r w:rsidR="001979B0">
        <w:rPr>
          <w:lang w:val="en-GB"/>
        </w:rPr>
        <w:t>from DNN output are stored</w:t>
      </w:r>
      <w:r w:rsidR="009F7C5C" w:rsidRPr="00FD2F4B">
        <w:rPr>
          <w:lang w:val="en-GB"/>
        </w:rPr>
        <w:t>.</w:t>
      </w:r>
      <w:r w:rsidR="001979B0">
        <w:rPr>
          <w:lang w:val="en-GB"/>
        </w:rPr>
        <w:t xml:space="preserve"> </w:t>
      </w:r>
      <w:r w:rsidR="004C0DC2">
        <w:rPr>
          <w:lang w:val="en-GB"/>
        </w:rPr>
        <w:t xml:space="preserve">Next, </w:t>
      </w:r>
      <w:r w:rsidR="00D2013D" w:rsidRPr="00FD2F4B">
        <w:rPr>
          <w:lang w:val="en-GB"/>
        </w:rPr>
        <w:t xml:space="preserve">the </w:t>
      </w:r>
      <m:oMath>
        <m:r>
          <w:rPr>
            <w:rFonts w:ascii="Cambria Math" w:hAnsi="Cambria Math"/>
            <w:lang w:val="en-GB"/>
          </w:rPr>
          <m:t>k</m:t>
        </m:r>
      </m:oMath>
      <w:r w:rsidR="009F7C5C" w:rsidRPr="00FD2F4B">
        <w:rPr>
          <w:lang w:val="en-GB"/>
        </w:rPr>
        <w:t xml:space="preserve"> nearest </w:t>
      </w:r>
      <w:proofErr w:type="spellStart"/>
      <w:r w:rsidR="00183404" w:rsidRPr="00FD2F4B">
        <w:rPr>
          <w:lang w:val="en-GB"/>
        </w:rPr>
        <w:t>neighbors</w:t>
      </w:r>
      <w:proofErr w:type="spellEnd"/>
      <w:r w:rsidR="009F7C5C" w:rsidRPr="00FD2F4B">
        <w:rPr>
          <w:lang w:val="en-GB"/>
        </w:rPr>
        <w:t xml:space="preserve"> </w:t>
      </w:r>
      <w:r w:rsidR="004C0DC2">
        <w:rPr>
          <w:lang w:val="en-GB"/>
        </w:rPr>
        <w:t xml:space="preserve">are </w:t>
      </w:r>
      <w:r w:rsidR="00592251">
        <w:rPr>
          <w:lang w:val="en-GB"/>
        </w:rPr>
        <w:t>searched</w:t>
      </w:r>
      <w:r w:rsidR="004C0DC2">
        <w:rPr>
          <w:lang w:val="en-GB"/>
        </w:rPr>
        <w:t xml:space="preserve"> </w:t>
      </w:r>
      <w:r w:rsidR="009F7C5C" w:rsidRPr="00FD2F4B">
        <w:rPr>
          <w:lang w:val="en-GB"/>
        </w:rPr>
        <w:t xml:space="preserve">from historic data </w:t>
      </w:r>
      <m:oMath>
        <m:r>
          <w:rPr>
            <w:rFonts w:ascii="Cambria Math" w:hAnsi="Cambria Math"/>
          </w:rPr>
          <m:t>XH</m:t>
        </m:r>
      </m:oMath>
      <w:r w:rsidR="009F7C5C" w:rsidRPr="00FD2F4B">
        <w:rPr>
          <w:lang w:val="en-GB"/>
        </w:rPr>
        <w:t xml:space="preserve"> that belongs to class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0F41D8">
        <w:rPr>
          <w:lang w:val="en-GB"/>
        </w:rPr>
        <w:t xml:space="preserve">. This nearest </w:t>
      </w:r>
      <w:proofErr w:type="spellStart"/>
      <w:r w:rsidR="00592251">
        <w:rPr>
          <w:lang w:val="en-GB"/>
        </w:rPr>
        <w:t>neighbor</w:t>
      </w:r>
      <w:proofErr w:type="spellEnd"/>
      <w:r w:rsidR="000F41D8">
        <w:rPr>
          <w:lang w:val="en-GB"/>
        </w:rPr>
        <w:t xml:space="preserve"> </w:t>
      </w:r>
      <w:r w:rsidR="00592251">
        <w:rPr>
          <w:lang w:val="en-GB"/>
        </w:rPr>
        <w:t xml:space="preserve">is </w:t>
      </w:r>
      <w:r w:rsidR="000F41D8">
        <w:rPr>
          <w:lang w:val="en-GB"/>
        </w:rPr>
        <w:t>called</w:t>
      </w:r>
      <w:r w:rsidR="004C0DC2">
        <w:rPr>
          <w:lang w:val="en-GB"/>
        </w:rPr>
        <w:t xml:space="preserve"> prototype</w:t>
      </w:r>
      <w:r w:rsidR="00D2013D" w:rsidRPr="00FD2F4B">
        <w:rPr>
          <w:lang w:val="en-GB"/>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P</m:t>
            </m:r>
          </m:sup>
        </m:sSubSup>
      </m:oMath>
      <w:r w:rsidR="006014E4">
        <w:rPr>
          <w:lang w:val="en-GB"/>
        </w:rPr>
        <w:t xml:space="preserve"> and </w:t>
      </w:r>
      <w:r w:rsidR="0079294F" w:rsidRPr="00FD2F4B">
        <w:rPr>
          <w:lang w:val="en-GB"/>
        </w:rPr>
        <w:t xml:space="preserve">calculated using </w:t>
      </w:r>
      <w:r w:rsidR="00183404" w:rsidRPr="00FD2F4B">
        <w:rPr>
          <w:lang w:val="en-GB"/>
        </w:rPr>
        <w:t xml:space="preserve">the </w:t>
      </w:r>
      <w:r w:rsidR="0079294F" w:rsidRPr="00FD2F4B">
        <w:rPr>
          <w:lang w:val="en-GB"/>
        </w:rPr>
        <w:t>loss function</w:t>
      </w:r>
      <w:r w:rsidR="006014E4">
        <w:rPr>
          <w:lang w:val="en-GB"/>
        </w:rPr>
        <w:t xml:space="preserve"> </w:t>
      </w:r>
      <m:oMath>
        <m:sSub>
          <m:sSubPr>
            <m:ctrlPr>
              <w:rPr>
                <w:rFonts w:ascii="Cambria Math" w:hAnsi="Cambria Math"/>
              </w:rPr>
            </m:ctrlPr>
          </m:sSubPr>
          <m:e>
            <m:r>
              <m:rPr>
                <m:scr m:val="script"/>
                <m:sty m:val="p"/>
              </m:rPr>
              <w:rPr>
                <w:rFonts w:ascii="Cambria Math" w:hAnsi="Cambria Math"/>
              </w:rPr>
              <m:t>L</m:t>
            </m:r>
          </m:e>
          <m:sub>
            <m:r>
              <m:rPr>
                <m:sty m:val="p"/>
              </m:rPr>
              <w:rPr>
                <w:rFonts w:ascii="Cambria Math" w:hAnsi="Cambria Math"/>
              </w:rPr>
              <m:t>P</m:t>
            </m:r>
          </m:sub>
        </m:sSub>
      </m:oMath>
      <w:r w:rsidR="00AB2737" w:rsidRPr="00FD2F4B">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5"/>
      </w:tblGrid>
      <w:tr w:rsidR="0079294F" w:rsidRPr="00FD2F4B" w14:paraId="74F6FA6E" w14:textId="77777777" w:rsidTr="002E695D">
        <w:tc>
          <w:tcPr>
            <w:tcW w:w="6091" w:type="dxa"/>
          </w:tcPr>
          <w:p w14:paraId="1B4AD623" w14:textId="110BC5D2" w:rsidR="0079294F" w:rsidRPr="00FD2F4B" w:rsidRDefault="00525EC5" w:rsidP="00D8541C">
            <w:pPr>
              <w:pStyle w:val="Els-body-text"/>
              <w:spacing w:after="120"/>
            </w:pPr>
            <m:oMath>
              <m:sSub>
                <m:sSubPr>
                  <m:ctrlPr>
                    <w:rPr>
                      <w:rFonts w:ascii="Cambria Math" w:hAnsi="Cambria Math"/>
                    </w:rPr>
                  </m:ctrlPr>
                </m:sSubPr>
                <m:e>
                  <m:r>
                    <m:rPr>
                      <m:scr m:val="script"/>
                      <m:sty m:val="p"/>
                    </m:rPr>
                    <w:rPr>
                      <w:rFonts w:ascii="Cambria Math" w:hAnsi="Cambria Math"/>
                    </w:rPr>
                    <m:t>L</m:t>
                  </m:r>
                </m:e>
                <m:sub>
                  <m:r>
                    <m:rPr>
                      <m:sty m:val="p"/>
                    </m:rPr>
                    <w:rPr>
                      <w:rFonts w:ascii="Cambria Math" w:hAnsi="Cambria Math"/>
                    </w:rPr>
                    <m:t>P</m:t>
                  </m:r>
                </m:sub>
              </m:sSub>
              <m:r>
                <w:rPr>
                  <w:rFonts w:ascii="Cambria Math" w:hAnsi="Cambria Math"/>
                </w:rPr>
                <m:t>=</m:t>
              </m:r>
              <m:sPre>
                <m:sPrePr>
                  <m:ctrlPr>
                    <w:rPr>
                      <w:rFonts w:ascii="Cambria Math" w:hAnsi="Cambria Math"/>
                      <w:i/>
                    </w:rPr>
                  </m:ctrlPr>
                </m:sPrePr>
                <m:sub>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P</m:t>
                      </m:r>
                    </m:sup>
                  </m:sSubSup>
                  <m:r>
                    <w:rPr>
                      <w:rFonts w:ascii="Cambria Math" w:hAnsi="Cambria Math"/>
                    </w:rPr>
                    <m:t>∈ XH</m:t>
                  </m:r>
                </m:sub>
                <m:sup>
                  <m:r>
                    <w:rPr>
                      <w:rFonts w:ascii="Cambria Math" w:hAnsi="Cambria Math"/>
                    </w:rPr>
                    <m:t>armin</m:t>
                  </m:r>
                </m:sup>
                <m:e>
                  <m:d>
                    <m:dPr>
                      <m:begChr m:val="["/>
                      <m:endChr m:val="|"/>
                      <m:ctrlPr>
                        <w:rPr>
                          <w:rFonts w:ascii="Cambria Math" w:hAnsi="Cambria Math"/>
                          <w:i/>
                        </w:rPr>
                      </m:ctrlPr>
                    </m:dPr>
                    <m:e>
                      <m:r>
                        <w:rPr>
                          <w:rFonts w:ascii="Cambria Math" w:hAnsi="Cambria Math"/>
                        </w:rPr>
                        <m:t xml:space="preserve"> d</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P</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 xml:space="preserve"> </m:t>
                      </m:r>
                    </m:e>
                  </m:d>
                  <m:r>
                    <w:rPr>
                      <w:rFonts w:ascii="Cambria Math" w:hAnsi="Cambria Math"/>
                    </w:rPr>
                    <m:t xml:space="preserve"> F</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H</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 xml:space="preserve"> ]</m:t>
                  </m:r>
                </m:e>
              </m:sPre>
            </m:oMath>
            <w:r w:rsidR="0079294F" w:rsidRPr="00FD2F4B">
              <w:t xml:space="preserve"> </w:t>
            </w:r>
          </w:p>
        </w:tc>
        <w:tc>
          <w:tcPr>
            <w:tcW w:w="985" w:type="dxa"/>
          </w:tcPr>
          <w:p w14:paraId="2105C22D" w14:textId="09611EC7" w:rsidR="0079294F" w:rsidRPr="00FD2F4B" w:rsidRDefault="00561E96" w:rsidP="002E695D">
            <w:pPr>
              <w:pStyle w:val="Els-body-text"/>
              <w:spacing w:after="120"/>
              <w:jc w:val="right"/>
            </w:pPr>
            <w:r>
              <w:t>(1</w:t>
            </w:r>
            <w:r w:rsidR="0079294F" w:rsidRPr="00FD2F4B">
              <w:t>)</w:t>
            </w:r>
          </w:p>
        </w:tc>
      </w:tr>
    </w:tbl>
    <w:p w14:paraId="4861709D" w14:textId="3E5A5AF7" w:rsidR="006C60B7" w:rsidRPr="00FD2F4B" w:rsidRDefault="00764F19" w:rsidP="00F44E77">
      <w:pPr>
        <w:pStyle w:val="Els-body-text"/>
        <w:spacing w:after="120"/>
      </w:pPr>
      <w:r w:rsidRPr="00FD2F4B">
        <w:t xml:space="preserve">The training dataset </w:t>
      </w:r>
      <m:oMath>
        <m:r>
          <w:rPr>
            <w:rFonts w:ascii="Cambria Math" w:hAnsi="Cambria Math"/>
          </w:rPr>
          <m:t>XH</m:t>
        </m:r>
      </m:oMath>
      <w:r w:rsidRPr="00FD2F4B">
        <w:t xml:space="preserve"> </w:t>
      </w:r>
      <w:r w:rsidR="00BB430C">
        <w:t xml:space="preserve">is utilized </w:t>
      </w:r>
      <w:r w:rsidRPr="00FD2F4B">
        <w:t xml:space="preserve">to </w:t>
      </w:r>
      <w:r w:rsidR="00BB430C">
        <w:t>select</w:t>
      </w:r>
      <w:r w:rsidRPr="00FD2F4B">
        <w:t xml:space="preserve"> </w:t>
      </w:r>
      <w:r w:rsidR="00592251">
        <w:t xml:space="preserve">the </w:t>
      </w:r>
      <w:r w:rsidR="00BB430C">
        <w:t xml:space="preserve">nearest </w:t>
      </w:r>
      <w:r w:rsidR="00592251">
        <w:t>neighbors</w:t>
      </w:r>
      <w:r w:rsidRPr="00FD2F4B">
        <w:t xml:space="preserve"> </w:t>
      </w:r>
      <w:r w:rsidR="002A656C">
        <w:t>as it</w:t>
      </w:r>
      <w:r w:rsidRPr="00FD2F4B">
        <w:t xml:space="preserve"> </w:t>
      </w:r>
      <w:r w:rsidR="00D52F52" w:rsidRPr="00FD2F4B">
        <w:t xml:space="preserve">automatically </w:t>
      </w:r>
      <w:r w:rsidRPr="00FD2F4B">
        <w:t>incorporate</w:t>
      </w:r>
      <w:r w:rsidR="00BB430C">
        <w:t>s</w:t>
      </w:r>
      <w:r w:rsidR="002906F5" w:rsidRPr="00FD2F4B">
        <w:t xml:space="preserve"> </w:t>
      </w:r>
      <w:r w:rsidRPr="00FD2F4B">
        <w:t>complex causal relations</w:t>
      </w:r>
      <w:r w:rsidR="00D52F52" w:rsidRPr="00FD2F4B">
        <w:t>hips</w:t>
      </w:r>
      <w:r w:rsidRPr="00FD2F4B">
        <w:t xml:space="preserve"> </w:t>
      </w:r>
      <w:r w:rsidR="00D52F52" w:rsidRPr="00FD2F4B">
        <w:t>amongst the</w:t>
      </w:r>
      <w:r w:rsidRPr="00FD2F4B">
        <w:t xml:space="preserve"> process variables. </w:t>
      </w:r>
      <w:r w:rsidR="00D8541C" w:rsidRPr="00FD2F4B">
        <w:rPr>
          <w:lang w:val="en-GB"/>
        </w:rPr>
        <w:t xml:space="preserve">Here, prototypes </w:t>
      </w: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P</m:t>
            </m:r>
          </m:sup>
        </m:sSubSup>
      </m:oMath>
      <w:r w:rsidR="00A21F9F">
        <w:t xml:space="preserve"> </w:t>
      </w:r>
      <w:r w:rsidR="00592251">
        <w:t>help</w:t>
      </w:r>
      <w:r w:rsidR="00D8541C" w:rsidRPr="00FD2F4B">
        <w:t xml:space="preserve"> the operator </w:t>
      </w:r>
      <w:r w:rsidR="00A21F9F">
        <w:t xml:space="preserve">to </w:t>
      </w:r>
      <w:r w:rsidR="00612E24" w:rsidRPr="00FD2F4B">
        <w:t>see</w:t>
      </w:r>
      <w:r w:rsidR="00D8541C" w:rsidRPr="00FD2F4B">
        <w:t xml:space="preserve"> how the </w:t>
      </w:r>
      <w:r w:rsidR="006C60B7" w:rsidRPr="00FD2F4B">
        <w:t>real-time</w:t>
      </w:r>
      <w:r w:rsidR="00D8541C" w:rsidRPr="00FD2F4B">
        <w:t xml:space="preserve"> sample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D8541C" w:rsidRPr="00FD2F4B">
        <w:t xml:space="preserve"> best </w:t>
      </w:r>
      <w:r w:rsidR="00183404" w:rsidRPr="00FD2F4B">
        <w:t>fits</w:t>
      </w:r>
      <w:r w:rsidR="00D8541C" w:rsidRPr="00FD2F4B">
        <w:t xml:space="preserve"> the predicted state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D8541C" w:rsidRPr="00FD2F4B">
        <w:t xml:space="preserve">. </w:t>
      </w:r>
      <w:r w:rsidR="006C60B7" w:rsidRPr="00FD2F4B">
        <w:t>In contrast,</w:t>
      </w:r>
      <w:r w:rsidR="002A656C">
        <w:t xml:space="preserve"> </w:t>
      </w:r>
      <w:r w:rsidR="00183404" w:rsidRPr="00FD2F4B">
        <w:t>CFs</w:t>
      </w:r>
      <w:r w:rsidR="006C60B7" w:rsidRPr="00FD2F4B">
        <w:t xml:space="preserve"> for the </w:t>
      </w:r>
      <m:oMath>
        <m:r>
          <w:rPr>
            <w:rFonts w:ascii="Cambria Math" w:hAnsi="Cambria Math"/>
          </w:rPr>
          <m:t>c</m:t>
        </m:r>
      </m:oMath>
      <w:r w:rsidR="006C60B7" w:rsidRPr="00FD2F4B">
        <w:t xml:space="preserve"> </w:t>
      </w:r>
      <w:r w:rsidR="002A656C" w:rsidRPr="00FD2F4B">
        <w:t xml:space="preserve">subsequent </w:t>
      </w:r>
      <w:r w:rsidR="006C60B7" w:rsidRPr="00FD2F4B">
        <w:t xml:space="preserve">classes with </w:t>
      </w:r>
      <w:r w:rsidR="00183404" w:rsidRPr="00FD2F4B">
        <w:t xml:space="preserve">the </w:t>
      </w:r>
      <w:r w:rsidR="006C60B7" w:rsidRPr="00FD2F4B">
        <w:t>high</w:t>
      </w:r>
      <w:r w:rsidR="00612E24" w:rsidRPr="00FD2F4B">
        <w:t>er</w:t>
      </w:r>
      <w:r w:rsidR="006C60B7" w:rsidRPr="00FD2F4B">
        <w:t xml:space="preserve"> probabilit</w:t>
      </w:r>
      <w:r w:rsidR="00612E24" w:rsidRPr="00FD2F4B">
        <w:t>ies</w:t>
      </w:r>
      <w:r w:rsidR="006C60B7" w:rsidRPr="00FD2F4B">
        <w:t xml:space="preserve"> after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2A656C">
        <w:t xml:space="preserve"> are obtained</w:t>
      </w:r>
      <w:r w:rsidR="00A21F9F">
        <w:t xml:space="preserve"> </w:t>
      </w:r>
      <w:r w:rsidR="006C60B7" w:rsidRPr="00FD2F4B">
        <w:t xml:space="preserve">using </w:t>
      </w:r>
      <w:r w:rsidR="00183404" w:rsidRPr="00FD2F4B">
        <w:t xml:space="preserve">the </w:t>
      </w:r>
      <w:r w:rsidR="006C60B7" w:rsidRPr="00FD2F4B">
        <w:t>loss function</w:t>
      </w:r>
      <w:r w:rsidR="00A21F9F">
        <w:t xml:space="preserve"> </w:t>
      </w:r>
      <m:oMath>
        <m:sSub>
          <m:sSubPr>
            <m:ctrlPr>
              <w:rPr>
                <w:rFonts w:ascii="Cambria Math" w:hAnsi="Cambria Math"/>
              </w:rPr>
            </m:ctrlPr>
          </m:sSubPr>
          <m:e>
            <m:r>
              <m:rPr>
                <m:scr m:val="script"/>
                <m:sty m:val="p"/>
              </m:rPr>
              <w:rPr>
                <w:rFonts w:ascii="Cambria Math" w:hAnsi="Cambria Math"/>
              </w:rPr>
              <m:t>L</m:t>
            </m:r>
          </m:e>
          <m:sub>
            <m:r>
              <m:rPr>
                <m:sty m:val="p"/>
              </m:rPr>
              <w:rPr>
                <w:rFonts w:ascii="Cambria Math" w:hAnsi="Cambria Math"/>
              </w:rPr>
              <m:t>CF</m:t>
            </m:r>
          </m:sub>
        </m:sSub>
      </m:oMath>
      <w:r w:rsidR="00AB2737" w:rsidRPr="00FD2F4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5"/>
      </w:tblGrid>
      <w:tr w:rsidR="006C60B7" w:rsidRPr="00FD2F4B" w14:paraId="2F0ED1B8" w14:textId="77777777" w:rsidTr="002E695D">
        <w:tc>
          <w:tcPr>
            <w:tcW w:w="6091" w:type="dxa"/>
          </w:tcPr>
          <w:p w14:paraId="082A13FF" w14:textId="32DFBA7A" w:rsidR="006C60B7" w:rsidRPr="00FD2F4B" w:rsidRDefault="00525EC5" w:rsidP="002E695D">
            <w:pPr>
              <w:pStyle w:val="Els-body-text"/>
              <w:spacing w:after="120"/>
            </w:pPr>
            <m:oMath>
              <m:sSub>
                <m:sSubPr>
                  <m:ctrlPr>
                    <w:rPr>
                      <w:rFonts w:ascii="Cambria Math" w:hAnsi="Cambria Math"/>
                    </w:rPr>
                  </m:ctrlPr>
                </m:sSubPr>
                <m:e>
                  <m:r>
                    <m:rPr>
                      <m:scr m:val="script"/>
                      <m:sty m:val="p"/>
                    </m:rPr>
                    <w:rPr>
                      <w:rFonts w:ascii="Cambria Math" w:hAnsi="Cambria Math"/>
                    </w:rPr>
                    <m:t>L</m:t>
                  </m:r>
                </m:e>
                <m:sub>
                  <m:r>
                    <m:rPr>
                      <m:sty m:val="p"/>
                    </m:rPr>
                    <w:rPr>
                      <w:rFonts w:ascii="Cambria Math" w:hAnsi="Cambria Math"/>
                    </w:rPr>
                    <m:t>CF</m:t>
                  </m:r>
                </m:sub>
              </m:sSub>
              <m:r>
                <w:rPr>
                  <w:rFonts w:ascii="Cambria Math" w:hAnsi="Cambria Math"/>
                </w:rPr>
                <m:t>=</m:t>
              </m:r>
              <m:sPre>
                <m:sPrePr>
                  <m:ctrlPr>
                    <w:rPr>
                      <w:rFonts w:ascii="Cambria Math" w:hAnsi="Cambria Math"/>
                      <w:i/>
                    </w:rPr>
                  </m:ctrlPr>
                </m:sPrePr>
                <m:sub>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CF</m:t>
                      </m:r>
                    </m:sup>
                  </m:sSubSup>
                  <m:r>
                    <w:rPr>
                      <w:rFonts w:ascii="Cambria Math" w:hAnsi="Cambria Math"/>
                    </w:rPr>
                    <m:t>∈ XH</m:t>
                  </m:r>
                </m:sub>
                <m:sup>
                  <m:r>
                    <w:rPr>
                      <w:rFonts w:ascii="Cambria Math" w:hAnsi="Cambria Math"/>
                    </w:rPr>
                    <m:t>armin</m:t>
                  </m:r>
                </m:sup>
                <m:e>
                  <m:d>
                    <m:dPr>
                      <m:begChr m:val="["/>
                      <m:endChr m:val="|"/>
                      <m:ctrlPr>
                        <w:rPr>
                          <w:rFonts w:ascii="Cambria Math" w:hAnsi="Cambria Math"/>
                          <w:i/>
                        </w:rPr>
                      </m:ctrlPr>
                    </m:dPr>
                    <m:e>
                      <m:r>
                        <w:rPr>
                          <w:rFonts w:ascii="Cambria Math" w:hAnsi="Cambria Math"/>
                        </w:rPr>
                        <m:t xml:space="preserve"> d</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CF</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 xml:space="preserve"> </m:t>
                      </m:r>
                    </m:e>
                  </m:d>
                  <m:r>
                    <w:rPr>
                      <w:rFonts w:ascii="Cambria Math" w:hAnsi="Cambria Math"/>
                    </w:rPr>
                    <m:t xml:space="preserve"> F</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H</m:t>
                          </m:r>
                        </m:e>
                        <m:sub>
                          <m:r>
                            <w:rPr>
                              <w:rFonts w:ascii="Cambria Math" w:hAnsi="Cambria Math"/>
                            </w:rPr>
                            <m:t>t</m:t>
                          </m:r>
                        </m:sub>
                      </m:sSub>
                    </m:e>
                  </m:d>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 xml:space="preserve"> ]</m:t>
                  </m:r>
                </m:e>
              </m:sPre>
            </m:oMath>
            <w:r w:rsidR="006C60B7" w:rsidRPr="00FD2F4B">
              <w:t xml:space="preserve"> </w:t>
            </w:r>
          </w:p>
        </w:tc>
        <w:tc>
          <w:tcPr>
            <w:tcW w:w="985" w:type="dxa"/>
          </w:tcPr>
          <w:p w14:paraId="514DC1C0" w14:textId="6459E3A6" w:rsidR="006C60B7" w:rsidRPr="00FD2F4B" w:rsidRDefault="00561E96" w:rsidP="002E695D">
            <w:pPr>
              <w:pStyle w:val="Els-body-text"/>
              <w:spacing w:after="120"/>
              <w:jc w:val="right"/>
            </w:pPr>
            <w:r>
              <w:t>(2</w:t>
            </w:r>
            <w:r w:rsidR="006C60B7" w:rsidRPr="00FD2F4B">
              <w:t>)</w:t>
            </w:r>
          </w:p>
        </w:tc>
      </w:tr>
    </w:tbl>
    <w:p w14:paraId="2EEECE34" w14:textId="1F7DC590" w:rsidR="003B71BE" w:rsidRPr="000F560C" w:rsidRDefault="006C60B7" w:rsidP="009B5614">
      <w:pPr>
        <w:pStyle w:val="Els-body-text"/>
      </w:pPr>
      <w:r w:rsidRPr="00FD2F4B">
        <w:t xml:space="preserve">These </w:t>
      </w:r>
      <w:r w:rsidR="00183404" w:rsidRPr="00FD2F4B">
        <w:t>CFs</w:t>
      </w:r>
      <w:r w:rsidRPr="00FD2F4B">
        <w:t xml:space="preserve"> </w:t>
      </w:r>
      <w:r w:rsidR="00AB2737" w:rsidRPr="00FD2F4B">
        <w:t>help</w:t>
      </w:r>
      <w:r w:rsidRPr="00FD2F4B">
        <w:t xml:space="preserve"> </w:t>
      </w:r>
      <w:r w:rsidR="00764F19" w:rsidRPr="00FD2F4B">
        <w:t xml:space="preserve">the operator </w:t>
      </w:r>
      <w:r w:rsidR="00C45AD8" w:rsidRPr="00FD2F4B">
        <w:t>understand what distinguishes</w:t>
      </w:r>
      <w:r w:rsidRPr="00FD2F4B">
        <w:t xml:space="preserve"> the real-time sample from the </w:t>
      </w:r>
      <w:r w:rsidR="00764F19" w:rsidRPr="00FD2F4B">
        <w:t xml:space="preserve">other classes. Next, the </w:t>
      </w:r>
      <w:r w:rsidR="004D468A" w:rsidRPr="00FD2F4B">
        <w:t>p</w:t>
      </w:r>
      <w:r w:rsidR="00764F19" w:rsidRPr="00FD2F4B">
        <w:t xml:space="preserve">rototypes and </w:t>
      </w:r>
      <w:r w:rsidR="00183404" w:rsidRPr="00FD2F4B">
        <w:t>CFs</w:t>
      </w:r>
      <w:r w:rsidR="00764F19" w:rsidRPr="00FD2F4B">
        <w:t xml:space="preserve"> </w:t>
      </w:r>
      <w:r w:rsidR="00592251">
        <w:t>for the key variables selected during Step 1 are presented to the operator</w:t>
      </w:r>
      <w:r w:rsidR="00764F19" w:rsidRPr="00FD2F4B">
        <w:t>. This helps the operator</w:t>
      </w:r>
      <w:r w:rsidR="002A656C">
        <w:t xml:space="preserve"> to</w:t>
      </w:r>
      <w:r w:rsidR="00764F19" w:rsidRPr="00FD2F4B">
        <w:t xml:space="preserve"> </w:t>
      </w:r>
      <w:r w:rsidR="00AB2737" w:rsidRPr="00FD2F4B">
        <w:t xml:space="preserve">understand the DNN output by </w:t>
      </w:r>
      <w:r w:rsidR="00D106CA" w:rsidRPr="00FD2F4B">
        <w:t xml:space="preserve">focusing on key </w:t>
      </w:r>
      <w:r w:rsidR="00AB2737" w:rsidRPr="00FD2F4B">
        <w:t xml:space="preserve">variables </w:t>
      </w:r>
      <w:r w:rsidR="00D106CA" w:rsidRPr="00FD2F4B">
        <w:t xml:space="preserve">responsible for </w:t>
      </w:r>
      <w:r w:rsidR="00597901" w:rsidRPr="00FD2F4B">
        <w:t xml:space="preserve">process state </w:t>
      </w:r>
      <w:r w:rsidR="00D106CA" w:rsidRPr="00FD2F4B">
        <w:t>prediction</w:t>
      </w:r>
      <w:r w:rsidR="00764F19" w:rsidRPr="00FD2F4B">
        <w:t xml:space="preserve">. </w:t>
      </w:r>
      <w:r w:rsidR="00180880" w:rsidRPr="00FD2F4B">
        <w:rPr>
          <w:lang w:val="en-GB"/>
        </w:rPr>
        <w:t>Th</w:t>
      </w:r>
      <w:r w:rsidR="00180880" w:rsidRPr="000F560C">
        <w:rPr>
          <w:lang w:val="en-GB"/>
        </w:rPr>
        <w:t>e proposed methodology is demonstrated through a CSTR case study.</w:t>
      </w:r>
    </w:p>
    <w:p w14:paraId="490F1B7B" w14:textId="7574B196" w:rsidR="001D6E8E" w:rsidRPr="000F560C" w:rsidRDefault="001D6E8E" w:rsidP="00561E96">
      <w:pPr>
        <w:pStyle w:val="Els-1storder-head"/>
        <w:spacing w:after="0"/>
      </w:pPr>
      <w:r w:rsidRPr="000F560C">
        <w:t xml:space="preserve">Case Study: </w:t>
      </w:r>
      <w:r w:rsidR="003B71BE" w:rsidRPr="000F560C">
        <w:t>Continuous Stirred Tank Reactor</w:t>
      </w:r>
    </w:p>
    <w:p w14:paraId="1FF6460C" w14:textId="38B77489" w:rsidR="00F56B97" w:rsidRDefault="002D317C" w:rsidP="00561E96">
      <w:pPr>
        <w:pStyle w:val="Els-body-text"/>
        <w:rPr>
          <w:lang w:val="en-GB"/>
        </w:rPr>
      </w:pPr>
      <w:r w:rsidRPr="000F560C">
        <w:t>This section illustrates the proposed methodology</w:t>
      </w:r>
      <w:r w:rsidRPr="000F560C">
        <w:rPr>
          <w:lang w:val="en-GB"/>
        </w:rPr>
        <w:t xml:space="preserve"> using a jacketed CSTR process </w:t>
      </w:r>
      <w:r w:rsidR="00F56B97" w:rsidRPr="000F560C">
        <w:rPr>
          <w:lang w:val="en-GB"/>
        </w:rPr>
        <w:t>featuring the</w:t>
      </w:r>
      <w:r w:rsidRPr="000F560C">
        <w:rPr>
          <w:lang w:val="en-GB"/>
        </w:rPr>
        <w:t xml:space="preserve"> irreversible liquid-phase decomposition of reactant A </w:t>
      </w:r>
      <w:proofErr w:type="gramStart"/>
      <w:r w:rsidRPr="000F560C">
        <w:rPr>
          <w:lang w:val="en-GB"/>
        </w:rPr>
        <w:t>into</w:t>
      </w:r>
      <w:proofErr w:type="gramEnd"/>
      <w:r w:rsidRPr="000F560C">
        <w:rPr>
          <w:lang w:val="en-GB"/>
        </w:rPr>
        <w:t xml:space="preserve"> B, </w:t>
      </w:r>
      <w:r w:rsidR="00F56B97" w:rsidRPr="000F560C">
        <w:rPr>
          <w:lang w:val="en-GB"/>
        </w:rPr>
        <w:t>driven</w:t>
      </w:r>
      <w:r w:rsidRPr="000F560C">
        <w:rPr>
          <w:lang w:val="en-GB"/>
        </w:rPr>
        <w:t xml:space="preserve"> by first-order kinetics. </w:t>
      </w:r>
      <w:r w:rsidRPr="000F560C">
        <w:rPr>
          <w:lang w:val="en-IN"/>
        </w:rPr>
        <w:t xml:space="preserve">The reaction is exothermic; therefore, a cooling jacket is employed to maintain the reactor temperature at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0F560C">
        <w:t>.</w:t>
      </w:r>
      <w:r w:rsidRPr="000F560C">
        <w:rPr>
          <w:lang w:val="en-GB"/>
        </w:rPr>
        <w:t xml:space="preserve"> </w:t>
      </w:r>
      <w:r w:rsidR="00E269C2" w:rsidRPr="000F560C">
        <w:t xml:space="preserve">The process consists of five measurement variables: reactor inflow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oMath>
      <w:r w:rsidR="00E269C2" w:rsidRPr="000F560C">
        <w:t xml:space="preserve">,  reactor outflow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m:t>
            </m:r>
          </m:sub>
        </m:sSub>
        <m:r>
          <w:rPr>
            <w:rFonts w:ascii="Cambria Math" w:hAnsi="Cambria Math"/>
          </w:rPr>
          <m:t>)</m:t>
        </m:r>
      </m:oMath>
      <w:r w:rsidR="00E269C2" w:rsidRPr="000F560C">
        <w:t xml:space="preserve">, outlet concentration </w:t>
      </w:r>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oMath>
      <w:r w:rsidR="00E269C2" w:rsidRPr="000F560C">
        <w:t xml:space="preserve">, reactor temperature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oMath>
      <w:r w:rsidR="00E269C2" w:rsidRPr="000F560C">
        <w:t xml:space="preserve">, Reactor height </w:t>
      </w:r>
      <m:oMath>
        <m:d>
          <m:dPr>
            <m:ctrlPr>
              <w:rPr>
                <w:rFonts w:ascii="Cambria Math" w:hAnsi="Cambria Math"/>
                <w:i/>
              </w:rPr>
            </m:ctrlPr>
          </m:dPr>
          <m:e>
            <m:r>
              <w:rPr>
                <w:rFonts w:ascii="Cambria Math" w:hAnsi="Cambria Math"/>
              </w:rPr>
              <m:t>H</m:t>
            </m:r>
          </m:e>
        </m:d>
      </m:oMath>
      <w:r w:rsidR="00E269C2" w:rsidRPr="000F560C">
        <w:t xml:space="preserve">, and Coolant temperature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m:t>
                </m:r>
              </m:sub>
            </m:sSub>
          </m:e>
        </m:d>
      </m:oMath>
      <w:r w:rsidR="00E269C2" w:rsidRPr="000F560C">
        <w:t>.</w:t>
      </w:r>
      <w:r w:rsidR="00E269C2" w:rsidRPr="000F560C">
        <w:rPr>
          <w:lang w:val="en-GB"/>
        </w:rPr>
        <w:t xml:space="preserve"> </w:t>
      </w:r>
      <w:r w:rsidRPr="000F560C">
        <w:rPr>
          <w:lang w:val="en-GB"/>
        </w:rPr>
        <w:t xml:space="preserve">The process </w:t>
      </w:r>
      <w:r w:rsidR="009B5614" w:rsidRPr="000F560C">
        <w:rPr>
          <w:lang w:val="en-GB"/>
        </w:rPr>
        <w:t>consists of two steady states</w:t>
      </w:r>
      <w:r w:rsidR="00A6249C">
        <w:rPr>
          <w:lang w:val="en-GB"/>
        </w:rPr>
        <w:t>,</w:t>
      </w:r>
      <w:r w:rsidR="009B5614" w:rsidRPr="000F560C">
        <w:rPr>
          <w:lang w:val="en-GB"/>
        </w:rPr>
        <w:t xml:space="preserve"> NS-1 </w:t>
      </w:r>
      <w:r w:rsidR="007F0A26">
        <w:rPr>
          <w:lang w:val="en-GB"/>
        </w:rPr>
        <w:t>and</w:t>
      </w:r>
      <w:r w:rsidR="009B5614" w:rsidRPr="000F560C">
        <w:rPr>
          <w:lang w:val="en-GB"/>
        </w:rPr>
        <w:t xml:space="preserve"> NS-2</w:t>
      </w:r>
      <w:r w:rsidR="00592251">
        <w:rPr>
          <w:lang w:val="en-GB"/>
        </w:rPr>
        <w:t>. It is</w:t>
      </w:r>
      <w:r w:rsidR="00183404">
        <w:rPr>
          <w:lang w:val="en-GB"/>
        </w:rPr>
        <w:t xml:space="preserve"> </w:t>
      </w:r>
      <w:r w:rsidRPr="000F560C">
        <w:rPr>
          <w:lang w:val="en-GB"/>
        </w:rPr>
        <w:t>suscepti</w:t>
      </w:r>
      <w:r w:rsidR="009B5614" w:rsidRPr="000F560C">
        <w:rPr>
          <w:lang w:val="en-GB"/>
        </w:rPr>
        <w:t>ble to five</w:t>
      </w:r>
      <w:r w:rsidRPr="000F560C">
        <w:rPr>
          <w:lang w:val="en-GB"/>
        </w:rPr>
        <w:t xml:space="preserve"> </w:t>
      </w:r>
      <w:r w:rsidR="00E269C2" w:rsidRPr="000F560C">
        <w:rPr>
          <w:lang w:val="en-GB"/>
        </w:rPr>
        <w:t>faults</w:t>
      </w:r>
      <w:r w:rsidR="007F0A26">
        <w:rPr>
          <w:lang w:val="en-GB"/>
        </w:rPr>
        <w:t>,</w:t>
      </w:r>
      <w:r w:rsidR="00E269C2" w:rsidRPr="000F560C">
        <w:rPr>
          <w:lang w:val="en-GB"/>
        </w:rPr>
        <w:t xml:space="preserve"> </w:t>
      </w:r>
      <w:r w:rsidRPr="000F560C">
        <w:rPr>
          <w:lang w:val="en-GB"/>
        </w:rPr>
        <w:t xml:space="preserve">i.e., Catalyst deactivation (F-1), Heat exchanger fouling (F-2), Ramp </w:t>
      </w:r>
      <w:r w:rsidR="00A6249C">
        <w:rPr>
          <w:lang w:val="en-GB"/>
        </w:rPr>
        <w:t>decrease</w:t>
      </w:r>
      <w:r w:rsidRPr="000F560C">
        <w:rPr>
          <w:lang w:val="en-GB"/>
        </w:rPr>
        <w:t xml:space="preserve"> in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7A65A7">
        <w:rPr>
          <w:lang w:val="en-GB"/>
        </w:rPr>
        <w:t xml:space="preserve"> </w:t>
      </w:r>
      <w:r w:rsidRPr="000F560C">
        <w:rPr>
          <w:lang w:val="en-GB"/>
        </w:rPr>
        <w:t xml:space="preserve">(F-3), Ramp </w:t>
      </w:r>
      <w:r w:rsidR="00A6249C">
        <w:rPr>
          <w:lang w:val="en-GB"/>
        </w:rPr>
        <w:t>increase</w:t>
      </w:r>
      <w:r w:rsidRPr="000F560C">
        <w:rPr>
          <w:lang w:val="en-GB"/>
        </w:rPr>
        <w:t xml:space="preserve"> in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EB7979" w:rsidRPr="000F560C">
        <w:rPr>
          <w:lang w:val="en-GB"/>
        </w:rPr>
        <w:t xml:space="preserve"> </w:t>
      </w:r>
      <w:r w:rsidR="00E269C2" w:rsidRPr="000F560C">
        <w:rPr>
          <w:lang w:val="en-GB"/>
        </w:rPr>
        <w:t>(F-4),</w:t>
      </w:r>
      <w:r w:rsidR="009B5614" w:rsidRPr="000F560C">
        <w:rPr>
          <w:lang w:val="en-GB"/>
        </w:rPr>
        <w:t xml:space="preserve"> and</w:t>
      </w:r>
      <w:r w:rsidR="00E269C2" w:rsidRPr="000F560C">
        <w:rPr>
          <w:lang w:val="en-GB"/>
        </w:rPr>
        <w:t xml:space="preserve"> Step </w:t>
      </w:r>
      <w:r w:rsidR="00EB7979">
        <w:rPr>
          <w:lang w:val="en-GB"/>
        </w:rPr>
        <w:t>i</w:t>
      </w:r>
      <w:r w:rsidR="007C2ACE">
        <w:rPr>
          <w:lang w:val="en-GB"/>
        </w:rPr>
        <w:t>ncrease</w:t>
      </w:r>
      <w:r w:rsidR="00E269C2" w:rsidRPr="000F560C">
        <w:rPr>
          <w:lang w:val="en-GB"/>
        </w:rPr>
        <w:t xml:space="preserve"> in </w:t>
      </w:r>
      <w:r w:rsidR="00592251">
        <w:rPr>
          <w:lang w:val="en-GB"/>
        </w:rPr>
        <w:t xml:space="preserve">the </w:t>
      </w:r>
      <w:r w:rsidR="00E269C2" w:rsidRPr="000F560C">
        <w:rPr>
          <w:lang w:val="en-GB"/>
        </w:rPr>
        <w:t>inlet (F-5</w:t>
      </w:r>
      <w:r w:rsidR="009B5614" w:rsidRPr="000F560C">
        <w:rPr>
          <w:lang w:val="en-GB"/>
        </w:rPr>
        <w:t>)</w:t>
      </w:r>
      <w:r w:rsidR="0017075F" w:rsidRPr="000F560C">
        <w:rPr>
          <w:lang w:val="en-GB"/>
        </w:rPr>
        <w:t>. A DNN</w:t>
      </w:r>
      <w:r w:rsidRPr="000F560C">
        <w:rPr>
          <w:lang w:val="en-GB"/>
        </w:rPr>
        <w:t xml:space="preserve"> model is trained </w:t>
      </w:r>
      <w:r w:rsidR="0017075F" w:rsidRPr="000F560C">
        <w:rPr>
          <w:lang w:val="en-GB"/>
        </w:rPr>
        <w:t xml:space="preserve">for monitoring </w:t>
      </w:r>
      <w:r w:rsidRPr="000F560C">
        <w:rPr>
          <w:lang w:val="en-GB"/>
        </w:rPr>
        <w:t xml:space="preserve">using </w:t>
      </w:r>
      <w:r w:rsidR="0017075F" w:rsidRPr="000F560C">
        <w:rPr>
          <w:lang w:val="en-GB"/>
        </w:rPr>
        <w:t xml:space="preserve">the aforementioned </w:t>
      </w:r>
      <w:r w:rsidR="00E269C2" w:rsidRPr="000F560C">
        <w:rPr>
          <w:lang w:val="en-GB"/>
        </w:rPr>
        <w:t>six</w:t>
      </w:r>
      <w:r w:rsidRPr="000F560C">
        <w:rPr>
          <w:lang w:val="en-GB"/>
        </w:rPr>
        <w:t xml:space="preserve"> variables</w:t>
      </w:r>
      <w:r w:rsidR="0017075F" w:rsidRPr="000F560C">
        <w:rPr>
          <w:lang w:val="en-GB"/>
        </w:rPr>
        <w:t>.</w:t>
      </w:r>
      <w:r w:rsidRPr="000F560C">
        <w:rPr>
          <w:lang w:val="en-GB"/>
        </w:rPr>
        <w:t xml:space="preserve"> The training dataset </w:t>
      </w:r>
      <w:r w:rsidR="00183404">
        <w:rPr>
          <w:lang w:val="en-GB"/>
        </w:rPr>
        <w:t>consists</w:t>
      </w:r>
      <w:r w:rsidR="0017075F" w:rsidRPr="000F560C">
        <w:rPr>
          <w:lang w:val="en-GB"/>
        </w:rPr>
        <w:t xml:space="preserve"> of 120 samples </w:t>
      </w:r>
      <w:r w:rsidR="0017075F" w:rsidRPr="000F560C">
        <w:t xml:space="preserve">from six simulation runs where faults were introduced at sample </w:t>
      </w:r>
      <m:oMath>
        <m:r>
          <w:rPr>
            <w:rFonts w:ascii="Cambria Math" w:hAnsi="Cambria Math"/>
          </w:rPr>
          <m:t>t=41</m:t>
        </m:r>
      </m:oMath>
      <w:r w:rsidR="0017075F" w:rsidRPr="000F560C">
        <w:t xml:space="preserve">. In </w:t>
      </w:r>
      <w:r w:rsidR="00183404">
        <w:t xml:space="preserve">the </w:t>
      </w:r>
      <w:r w:rsidR="0017075F" w:rsidRPr="000F560C">
        <w:t xml:space="preserve">testing dataset, each fault test simulation run </w:t>
      </w:r>
      <w:r w:rsidR="00AB2737">
        <w:t>consisted</w:t>
      </w:r>
      <w:r w:rsidR="0017075F" w:rsidRPr="000F560C">
        <w:t xml:space="preserve"> of 100 samples where faults were introduced at sample </w:t>
      </w:r>
      <m:oMath>
        <m:r>
          <w:rPr>
            <w:rFonts w:ascii="Cambria Math" w:hAnsi="Cambria Math"/>
          </w:rPr>
          <m:t>t=31</m:t>
        </m:r>
      </m:oMath>
      <w:r w:rsidR="0017075F" w:rsidRPr="000F560C">
        <w:t>.</w:t>
      </w:r>
      <w:r w:rsidR="00D95282">
        <w:t xml:space="preserve"> </w:t>
      </w:r>
      <w:r w:rsidR="00F56B97" w:rsidRPr="000F560C">
        <w:rPr>
          <w:lang w:val="en-GB"/>
        </w:rPr>
        <w:t>In this work, we seek to provide an explanation</w:t>
      </w:r>
      <w:r w:rsidR="007A65A7">
        <w:rPr>
          <w:lang w:val="en-GB"/>
        </w:rPr>
        <w:t>-by-example</w:t>
      </w:r>
      <w:r w:rsidR="00F56B97" w:rsidRPr="000F560C">
        <w:rPr>
          <w:lang w:val="en-GB"/>
        </w:rPr>
        <w:t xml:space="preserve"> for the </w:t>
      </w:r>
      <w:r w:rsidR="00EF319E" w:rsidRPr="000F560C">
        <w:rPr>
          <w:lang w:val="en-GB"/>
        </w:rPr>
        <w:t>outputs generated by DNN</w:t>
      </w:r>
      <w:r w:rsidR="00F56B97" w:rsidRPr="000F560C">
        <w:rPr>
          <w:lang w:val="en-GB"/>
        </w:rPr>
        <w:t xml:space="preserve">. </w:t>
      </w:r>
      <w:r w:rsidR="00EF319E" w:rsidRPr="000F560C">
        <w:rPr>
          <w:lang w:val="en-GB"/>
        </w:rPr>
        <w:t>To achieve</w:t>
      </w:r>
      <w:r w:rsidR="00F56B97" w:rsidRPr="000F560C">
        <w:rPr>
          <w:lang w:val="en-GB"/>
        </w:rPr>
        <w:t xml:space="preserve"> this, </w:t>
      </w:r>
      <w:r w:rsidR="007C2ACE">
        <w:rPr>
          <w:lang w:val="en-GB"/>
        </w:rPr>
        <w:t>a</w:t>
      </w:r>
      <w:r w:rsidR="00EF319E" w:rsidRPr="000F560C">
        <w:rPr>
          <w:lang w:val="en-GB"/>
        </w:rPr>
        <w:t xml:space="preserve"> </w:t>
      </w:r>
      <w:r w:rsidR="007C2ACE" w:rsidRPr="000F560C">
        <w:rPr>
          <w:lang w:val="en-GB"/>
        </w:rPr>
        <w:t>DNN model (6–50–25–12–7)</w:t>
      </w:r>
      <w:r w:rsidR="007C2ACE">
        <w:rPr>
          <w:lang w:val="en-GB"/>
        </w:rPr>
        <w:t xml:space="preserve"> </w:t>
      </w:r>
      <w:r w:rsidR="00EF319E" w:rsidRPr="000F560C">
        <w:rPr>
          <w:lang w:val="en-GB"/>
        </w:rPr>
        <w:t>is trained using the training dataset, and the resultant model is subsequently deployed for real-time monitoring</w:t>
      </w:r>
      <w:r w:rsidR="00F56B97" w:rsidRPr="000F560C">
        <w:rPr>
          <w:lang w:val="en-GB"/>
        </w:rPr>
        <w:t xml:space="preserve">. </w:t>
      </w:r>
      <w:r w:rsidR="003D0D02">
        <w:rPr>
          <w:lang w:val="en-GB"/>
        </w:rPr>
        <w:t>T</w:t>
      </w:r>
      <w:r w:rsidR="00F56B97" w:rsidRPr="000F560C">
        <w:rPr>
          <w:lang w:val="en-GB"/>
        </w:rPr>
        <w:t>he</w:t>
      </w:r>
      <w:r w:rsidR="00EF319E" w:rsidRPr="000F560C">
        <w:rPr>
          <w:lang w:val="en-GB"/>
        </w:rPr>
        <w:t xml:space="preserve"> proposed methodology is </w:t>
      </w:r>
      <w:r w:rsidR="003D0D02">
        <w:rPr>
          <w:lang w:val="en-GB"/>
        </w:rPr>
        <w:t xml:space="preserve">then </w:t>
      </w:r>
      <w:r w:rsidR="00EF319E" w:rsidRPr="000F560C">
        <w:rPr>
          <w:lang w:val="en-GB"/>
        </w:rPr>
        <w:t>employed</w:t>
      </w:r>
      <w:r w:rsidR="00F56B97" w:rsidRPr="000F560C">
        <w:rPr>
          <w:lang w:val="en-GB"/>
        </w:rPr>
        <w:t xml:space="preserve"> to explain the DNN</w:t>
      </w:r>
      <w:r w:rsidR="003D0D02">
        <w:rPr>
          <w:lang w:val="en-GB"/>
        </w:rPr>
        <w:t>’s</w:t>
      </w:r>
      <w:r w:rsidR="00F56B97" w:rsidRPr="000F560C">
        <w:rPr>
          <w:lang w:val="en-GB"/>
        </w:rPr>
        <w:t xml:space="preserve"> predictions.</w:t>
      </w:r>
    </w:p>
    <w:p w14:paraId="440F8884" w14:textId="77777777" w:rsidR="00A00FE0" w:rsidRDefault="00A00FE0" w:rsidP="00933F97">
      <w:pPr>
        <w:pStyle w:val="Els-body-text"/>
        <w:rPr>
          <w:lang w:val="en-GB"/>
        </w:rPr>
      </w:pPr>
    </w:p>
    <w:p w14:paraId="7835E89A" w14:textId="17EB065A" w:rsidR="002A4D2E" w:rsidRDefault="00162174" w:rsidP="00561E96">
      <w:pPr>
        <w:pStyle w:val="Els-body-text"/>
        <w:rPr>
          <w:lang w:val="en-GB"/>
        </w:rPr>
      </w:pPr>
      <w:r>
        <w:rPr>
          <w:lang w:val="en-GB"/>
        </w:rPr>
        <w:t>In this study</w:t>
      </w:r>
      <w:r w:rsidR="00530F03" w:rsidRPr="000F560C">
        <w:rPr>
          <w:lang w:val="en-GB"/>
        </w:rPr>
        <w:t xml:space="preserve">, </w:t>
      </w:r>
      <w:r w:rsidR="00E86CAB" w:rsidRPr="000F560C">
        <w:rPr>
          <w:lang w:val="en-GB"/>
        </w:rPr>
        <w:t>we consider test run 1</w:t>
      </w:r>
      <w:r w:rsidR="007940A6">
        <w:rPr>
          <w:lang w:val="en-GB"/>
        </w:rPr>
        <w:t xml:space="preserve"> as an illustrative example</w:t>
      </w:r>
      <w:r w:rsidR="00E86CAB" w:rsidRPr="000F560C">
        <w:rPr>
          <w:lang w:val="en-GB"/>
        </w:rPr>
        <w:t xml:space="preserve">. </w:t>
      </w:r>
      <w:r w:rsidR="007940A6">
        <w:rPr>
          <w:lang w:val="en-GB"/>
        </w:rPr>
        <w:t>During</w:t>
      </w:r>
      <w:r w:rsidR="00E86CAB" w:rsidRPr="000F560C">
        <w:rPr>
          <w:lang w:val="en-GB"/>
        </w:rPr>
        <w:t xml:space="preserve"> test run 1, </w:t>
      </w:r>
      <w:r w:rsidR="007940A6">
        <w:rPr>
          <w:lang w:val="en-GB"/>
        </w:rPr>
        <w:t>a</w:t>
      </w:r>
      <w:r w:rsidR="00E86CAB" w:rsidRPr="000F560C">
        <w:rPr>
          <w:lang w:val="en-GB"/>
        </w:rPr>
        <w:t xml:space="preserve"> fault occurred at sample </w:t>
      </w:r>
      <m:oMath>
        <m:r>
          <w:rPr>
            <w:rFonts w:ascii="Cambria Math" w:hAnsi="Cambria Math"/>
          </w:rPr>
          <m:t>t=31,</m:t>
        </m:r>
      </m:oMath>
      <w:r w:rsidR="00AE66DE" w:rsidRPr="000F560C">
        <w:t xml:space="preserve"> </w:t>
      </w:r>
      <w:r w:rsidR="00183404">
        <w:t>causing</w:t>
      </w:r>
      <w:r w:rsidR="00AE66DE" w:rsidRPr="000F560C">
        <w:t xml:space="preserve"> </w:t>
      </w:r>
      <w:r w:rsidR="00AB2737">
        <w:t xml:space="preserve">a </w:t>
      </w:r>
      <w:r w:rsidR="00AE66DE" w:rsidRPr="000F560C">
        <w:t>decrease in</w:t>
      </w:r>
      <w:r w:rsidR="008C5398" w:rsidRPr="000F560C">
        <w:t xml:space="preserve"> coolant temperature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C35E65" w:rsidRPr="000F560C">
        <w:t xml:space="preserve">. </w:t>
      </w:r>
      <w:r w:rsidR="00AE66DE" w:rsidRPr="000F560C">
        <w:t xml:space="preserve">This </w:t>
      </w:r>
      <w:r w:rsidR="007940A6">
        <w:t>increases</w:t>
      </w:r>
      <w:r w:rsidR="00AE66DE" w:rsidRPr="000F560C">
        <w:t xml:space="preserve"> the heat removal rate, resulting in </w:t>
      </w:r>
      <w:r w:rsidR="00183404">
        <w:t xml:space="preserve">a </w:t>
      </w:r>
      <w:r w:rsidR="00AE66DE" w:rsidRPr="000F560C">
        <w:t xml:space="preserve">decrease in reactor temperature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00AE66DE" w:rsidRPr="000F560C">
        <w:t xml:space="preserve">. The </w:t>
      </w:r>
      <w:r w:rsidR="00BA0006" w:rsidRPr="000F560C">
        <w:t xml:space="preserve">decrease </w:t>
      </w:r>
      <w:r w:rsidR="00BA0006">
        <w:t xml:space="preserve">in the </w:t>
      </w:r>
      <w:r w:rsidR="00AE66DE" w:rsidRPr="000F560C">
        <w:t xml:space="preserve">reactor temperature </w:t>
      </w:r>
      <w:r w:rsidR="00BA0006">
        <w:t>causes a</w:t>
      </w:r>
      <w:r w:rsidR="00AE66DE" w:rsidRPr="000F560C">
        <w:t xml:space="preserve"> </w:t>
      </w:r>
      <w:r w:rsidR="00BA0006">
        <w:t>drop</w:t>
      </w:r>
      <w:r w:rsidR="00AE66DE" w:rsidRPr="000F560C">
        <w:t xml:space="preserve"> in </w:t>
      </w:r>
      <w:r w:rsidR="00BA0006">
        <w:t xml:space="preserve">the </w:t>
      </w:r>
      <w:r w:rsidR="00AE66DE" w:rsidRPr="000F560C">
        <w:t xml:space="preserve">reaction rate, leading to </w:t>
      </w:r>
      <w:r w:rsidR="00183404">
        <w:t xml:space="preserve">an </w:t>
      </w:r>
      <w:r w:rsidR="00AE66DE" w:rsidRPr="000F560C">
        <w:t>increase in the concentration of unreacted A (</w:t>
      </w:r>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oMath>
      <w:r w:rsidR="00AE66DE" w:rsidRPr="000F560C">
        <w:t>. The DNN correctly flags F-3 (</w:t>
      </w:r>
      <w:r w:rsidR="007A65A7">
        <w:rPr>
          <w:lang w:val="en-GB"/>
        </w:rPr>
        <w:t>Ramp decrease</w:t>
      </w:r>
      <w:r w:rsidR="00AE66DE" w:rsidRPr="000F560C">
        <w:rPr>
          <w:lang w:val="en-GB"/>
        </w:rPr>
        <w:t xml:space="preserve"> in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E66DE" w:rsidRPr="000F560C">
        <w:rPr>
          <w:lang w:val="en-GB"/>
        </w:rPr>
        <w:t xml:space="preserve">) with </w:t>
      </w:r>
      <w:r w:rsidR="00183404">
        <w:rPr>
          <w:lang w:val="en-GB"/>
        </w:rPr>
        <w:t xml:space="preserve">a </w:t>
      </w:r>
      <w:r w:rsidR="00AE66DE" w:rsidRPr="000F560C">
        <w:rPr>
          <w:lang w:val="en-GB"/>
        </w:rPr>
        <w:t xml:space="preserve">diagnosis delay of 11 samples. </w:t>
      </w:r>
      <w:r w:rsidR="002A4D2E" w:rsidRPr="000F560C">
        <w:t xml:space="preserve">To </w:t>
      </w:r>
      <w:r>
        <w:t>interpret</w:t>
      </w:r>
      <w:r w:rsidR="002A4D2E" w:rsidRPr="000F560C">
        <w:t xml:space="preserve"> the DNN predictions, Prototypes and CF</w:t>
      </w:r>
      <w:r w:rsidR="002A4D2E">
        <w:t>s are</w:t>
      </w:r>
      <w:r w:rsidR="002A4D2E" w:rsidRPr="000F560C">
        <w:t xml:space="preserve"> generated through the proposed methodology</w:t>
      </w:r>
      <w:r>
        <w:t>.</w:t>
      </w:r>
      <w:r w:rsidRPr="00162174">
        <w:t xml:space="preserve"> Figure 1 provides </w:t>
      </w:r>
      <w:r w:rsidR="00C71EB3">
        <w:t>a visual representation of this</w:t>
      </w:r>
      <w:r w:rsidRPr="00162174">
        <w:t xml:space="preserve"> analyses, specifically focusing on key variables</w:t>
      </w:r>
      <w:r w:rsidR="00592251">
        <w:t>,</w:t>
      </w:r>
      <w:r w:rsidRPr="00162174">
        <w:t xml:space="preserve"> </w:t>
      </w:r>
      <w:r w:rsidRPr="000F560C">
        <w:t>i.e.,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A</m:t>
            </m:r>
          </m:sub>
        </m:sSub>
      </m:oMath>
      <w:r w:rsidRPr="000F560C">
        <w:rPr>
          <w:lang w:val="en-GB"/>
        </w:rPr>
        <w:t xml:space="preserve">) </w:t>
      </w:r>
      <w:r w:rsidRPr="00162174">
        <w:t xml:space="preserve">identified </w:t>
      </w:r>
      <w:r w:rsidR="00C71EB3">
        <w:t>through variable selection</w:t>
      </w:r>
      <w:r w:rsidR="002A4D2E" w:rsidRPr="000F560C">
        <w:t xml:space="preserve">. </w:t>
      </w:r>
      <w:r w:rsidR="002A4D2E">
        <w:t xml:space="preserve">Each plot in </w:t>
      </w:r>
      <w:r w:rsidR="002A4D2E" w:rsidRPr="000F560C">
        <w:t xml:space="preserve">Figure 1 </w:t>
      </w:r>
      <w:r>
        <w:t>represents</w:t>
      </w:r>
      <w:r w:rsidR="002A4D2E" w:rsidRPr="000F560C">
        <w:t xml:space="preserve"> </w:t>
      </w:r>
      <w:r w:rsidR="002A4D2E">
        <w:t xml:space="preserve">a </w:t>
      </w:r>
      <w:r w:rsidR="002A4D2E" w:rsidRPr="000F560C">
        <w:t xml:space="preserve">real-time sample, </w:t>
      </w:r>
      <w:r w:rsidR="002A4D2E">
        <w:lastRenderedPageBreak/>
        <w:t>10</w:t>
      </w:r>
      <w:r w:rsidR="002A4D2E" w:rsidRPr="000F560C">
        <w:t xml:space="preserve"> p</w:t>
      </w:r>
      <w:r>
        <w:t>receding</w:t>
      </w:r>
      <w:r w:rsidR="002A4D2E" w:rsidRPr="000F560C">
        <w:t xml:space="preserve"> samples (depicted as </w:t>
      </w:r>
      <w:r w:rsidR="002A4D2E">
        <w:t>lines</w:t>
      </w:r>
      <w:r w:rsidR="002A4D2E" w:rsidRPr="000F560C">
        <w:t>)</w:t>
      </w:r>
      <w:r w:rsidR="002A4D2E">
        <w:t>, 10</w:t>
      </w:r>
      <w:r w:rsidR="002A4D2E" w:rsidRPr="000F560C">
        <w:t xml:space="preserve"> prototype samples (depicted as triangles), </w:t>
      </w:r>
      <w:r w:rsidR="002A4D2E">
        <w:t xml:space="preserve">and </w:t>
      </w:r>
      <w:r w:rsidR="002A4D2E" w:rsidRPr="000F560C">
        <w:t xml:space="preserve">10 CF samples from two </w:t>
      </w:r>
      <w:r w:rsidR="00A00FE0">
        <w:t>subsequent</w:t>
      </w:r>
      <w:r w:rsidR="002A4D2E" w:rsidRPr="000F560C">
        <w:t xml:space="preserve"> classes </w:t>
      </w:r>
      <w:r w:rsidR="00A00FE0">
        <w:t>with</w:t>
      </w:r>
      <w:r w:rsidR="002A4D2E" w:rsidRPr="000F560C">
        <w:t xml:space="preserve"> </w:t>
      </w:r>
      <w:r w:rsidR="00592251">
        <w:t xml:space="preserve">the </w:t>
      </w:r>
      <w:r w:rsidR="002A4D2E" w:rsidRPr="000F560C">
        <w:t>highest prediction probabilities (represented by squares).</w:t>
      </w:r>
      <w:r w:rsidR="00A00FE0">
        <w:t xml:space="preserve"> </w:t>
      </w:r>
      <w:r>
        <w:t>Our analysis yields several insights, offering valuable information for operators to interpret and act upon the DNN predictions:</w:t>
      </w:r>
    </w:p>
    <w:p w14:paraId="66DCBA05" w14:textId="1C44E8CE" w:rsidR="009544C2" w:rsidRDefault="00A00FE0" w:rsidP="00561E96">
      <w:pPr>
        <w:pStyle w:val="Els-body-text"/>
        <w:spacing w:before="240"/>
        <w:rPr>
          <w:lang w:val="en-GB"/>
        </w:rPr>
      </w:pPr>
      <w:r w:rsidRPr="00800E9A">
        <w:rPr>
          <w:b/>
          <w:i/>
          <w:lang w:val="en-GB"/>
        </w:rPr>
        <w:t>Steady</w:t>
      </w:r>
      <w:r w:rsidR="00FF6BA6">
        <w:rPr>
          <w:b/>
          <w:i/>
          <w:lang w:val="en-GB"/>
        </w:rPr>
        <w:t>-</w:t>
      </w:r>
      <w:r w:rsidRPr="00800E9A">
        <w:rPr>
          <w:b/>
          <w:i/>
          <w:lang w:val="en-GB"/>
        </w:rPr>
        <w:t>state insight</w:t>
      </w:r>
      <w:r w:rsidR="002F584C">
        <w:rPr>
          <w:b/>
          <w:i/>
          <w:lang w:val="en-GB"/>
        </w:rPr>
        <w:t>s</w:t>
      </w:r>
      <w:r w:rsidRPr="00A00FE0">
        <w:rPr>
          <w:i/>
          <w:lang w:val="en-GB"/>
        </w:rPr>
        <w:t>:</w:t>
      </w:r>
      <w:r w:rsidRPr="00A00FE0">
        <w:t xml:space="preserve"> </w:t>
      </w:r>
      <w:r w:rsidR="002F584C">
        <w:rPr>
          <w:lang w:val="en-GB"/>
        </w:rPr>
        <w:t>These</w:t>
      </w:r>
      <w:r w:rsidRPr="00A00FE0">
        <w:rPr>
          <w:lang w:val="en-GB"/>
        </w:rPr>
        <w:t xml:space="preserve"> insights involve </w:t>
      </w:r>
      <w:r w:rsidR="00592251">
        <w:rPr>
          <w:lang w:val="en-GB"/>
        </w:rPr>
        <w:t xml:space="preserve">understanding </w:t>
      </w:r>
      <w:r w:rsidR="00304785">
        <w:rPr>
          <w:lang w:val="en-GB"/>
        </w:rPr>
        <w:t>DNN</w:t>
      </w:r>
      <w:r w:rsidRPr="00A00FE0">
        <w:rPr>
          <w:lang w:val="en-GB"/>
        </w:rPr>
        <w:t xml:space="preserve"> when the </w:t>
      </w:r>
      <w:r w:rsidR="00162174">
        <w:rPr>
          <w:lang w:val="en-GB"/>
        </w:rPr>
        <w:t>process</w:t>
      </w:r>
      <w:r w:rsidR="00304785">
        <w:rPr>
          <w:lang w:val="en-GB"/>
        </w:rPr>
        <w:t xml:space="preserve"> operates</w:t>
      </w:r>
      <w:r w:rsidRPr="00A00FE0">
        <w:rPr>
          <w:lang w:val="en-GB"/>
        </w:rPr>
        <w:t xml:space="preserve"> within </w:t>
      </w:r>
      <w:r w:rsidR="00592251">
        <w:rPr>
          <w:lang w:val="en-GB"/>
        </w:rPr>
        <w:t xml:space="preserve">the </w:t>
      </w:r>
      <w:r>
        <w:rPr>
          <w:lang w:val="en-GB"/>
        </w:rPr>
        <w:t>normal operating range</w:t>
      </w:r>
      <w:r w:rsidRPr="00A00FE0">
        <w:rPr>
          <w:lang w:val="en-GB"/>
        </w:rPr>
        <w:t>.</w:t>
      </w:r>
      <w:r>
        <w:rPr>
          <w:lang w:val="en-GB"/>
        </w:rPr>
        <w:t xml:space="preserve"> </w:t>
      </w:r>
      <w:r w:rsidRPr="00A00FE0">
        <w:rPr>
          <w:lang w:val="en-GB"/>
        </w:rPr>
        <w:t xml:space="preserve">During test run 1, </w:t>
      </w:r>
      <w:r w:rsidR="009544C2">
        <w:rPr>
          <w:lang w:val="en-GB"/>
        </w:rPr>
        <w:t>a</w:t>
      </w:r>
      <w:r w:rsidR="009544C2" w:rsidRPr="009544C2">
        <w:rPr>
          <w:lang w:val="en-GB"/>
        </w:rPr>
        <w:t xml:space="preserve">ll process variables </w:t>
      </w:r>
      <w:r w:rsidR="00162174">
        <w:rPr>
          <w:lang w:val="en-GB"/>
        </w:rPr>
        <w:t>remained within</w:t>
      </w:r>
      <w:r w:rsidR="009544C2" w:rsidRPr="009544C2">
        <w:rPr>
          <w:lang w:val="en-GB"/>
        </w:rPr>
        <w:t xml:space="preserve"> normal operating range </w:t>
      </w:r>
      <w:r w:rsidR="00304785">
        <w:rPr>
          <w:lang w:val="en-GB"/>
        </w:rPr>
        <w:t>unti</w:t>
      </w:r>
      <w:r w:rsidR="009544C2" w:rsidRPr="009544C2">
        <w:rPr>
          <w:lang w:val="en-GB"/>
        </w:rPr>
        <w:t xml:space="preserve">l </w:t>
      </w:r>
      <m:oMath>
        <m:r>
          <w:rPr>
            <w:rFonts w:ascii="Cambria Math" w:hAnsi="Cambria Math"/>
          </w:rPr>
          <m:t>t=30</m:t>
        </m:r>
      </m:oMath>
      <w:r w:rsidR="009544C2" w:rsidRPr="009544C2">
        <w:rPr>
          <w:lang w:val="en-GB"/>
        </w:rPr>
        <w:t>, and the DN</w:t>
      </w:r>
      <w:r w:rsidR="00162174">
        <w:rPr>
          <w:lang w:val="en-GB"/>
        </w:rPr>
        <w:t xml:space="preserve">N model classifies these </w:t>
      </w:r>
      <w:r w:rsidR="009544C2" w:rsidRPr="009544C2">
        <w:rPr>
          <w:lang w:val="en-GB"/>
        </w:rPr>
        <w:t>samples correctly</w:t>
      </w:r>
      <w:r w:rsidR="009544C2" w:rsidRPr="00B851B4">
        <w:rPr>
          <w:lang w:val="en-GB"/>
        </w:rPr>
        <w:t>.</w:t>
      </w:r>
      <w:r w:rsidR="00B851B4" w:rsidRPr="00B851B4">
        <w:rPr>
          <w:lang w:val="en-GB"/>
        </w:rPr>
        <w:t xml:space="preserve"> </w:t>
      </w:r>
      <w:r w:rsidR="00B851B4" w:rsidRPr="00B851B4">
        <w:t xml:space="preserve">To understand the DNN predictions, Prototypes and </w:t>
      </w:r>
      <w:r w:rsidR="00B851B4">
        <w:t xml:space="preserve">CF </w:t>
      </w:r>
      <w:r w:rsidR="00B851B4" w:rsidRPr="00B851B4">
        <w:t xml:space="preserve">generated through the proposed methodology are analyzed at sample </w:t>
      </w:r>
      <m:oMath>
        <m:r>
          <w:rPr>
            <w:rFonts w:ascii="Cambria Math" w:hAnsi="Cambria Math"/>
          </w:rPr>
          <m:t>t=25</m:t>
        </m:r>
      </m:oMath>
      <w:r w:rsidR="00B851B4">
        <w:t>. A</w:t>
      </w:r>
      <w:r w:rsidR="00B851B4" w:rsidRPr="000F560C">
        <w:t xml:space="preserve">t </w:t>
      </w:r>
      <m:oMath>
        <m:r>
          <w:rPr>
            <w:rFonts w:ascii="Cambria Math" w:hAnsi="Cambria Math"/>
          </w:rPr>
          <m:t>t=25</m:t>
        </m:r>
      </m:oMath>
      <w:r w:rsidR="00B851B4">
        <w:t>,</w:t>
      </w:r>
      <w:r w:rsidR="00B851B4" w:rsidRPr="000F560C">
        <w:t xml:space="preserve"> the model predicted the given sample as normal with a probability of 0.97</w:t>
      </w:r>
      <w:r w:rsidR="00B851B4">
        <w:t xml:space="preserve">; it also flags </w:t>
      </w:r>
      <w:r w:rsidR="00B851B4" w:rsidRPr="00933F97">
        <w:rPr>
          <w:lang w:val="en-GB"/>
        </w:rPr>
        <w:t>the class F-1 with 0.01 probability as the next likely candidate. The</w:t>
      </w:r>
      <w:r w:rsidR="00304785">
        <w:rPr>
          <w:lang w:val="en-GB"/>
        </w:rPr>
        <w:t>se</w:t>
      </w:r>
      <w:r w:rsidR="00B851B4" w:rsidRPr="00933F97">
        <w:rPr>
          <w:lang w:val="en-GB"/>
        </w:rPr>
        <w:t xml:space="preserve"> probabilities clearly i</w:t>
      </w:r>
      <w:r w:rsidR="00304785">
        <w:rPr>
          <w:lang w:val="en-GB"/>
        </w:rPr>
        <w:t>ndicate that the current state a</w:t>
      </w:r>
      <w:r w:rsidR="00B851B4" w:rsidRPr="00933F97">
        <w:rPr>
          <w:lang w:val="en-GB"/>
        </w:rPr>
        <w:t xml:space="preserve">s normal. This is evident in Figure 1 (a) </w:t>
      </w:r>
      <w:r w:rsidR="00C71EB3">
        <w:rPr>
          <w:lang w:val="en-GB"/>
        </w:rPr>
        <w:t xml:space="preserve">&amp; </w:t>
      </w:r>
      <w:r w:rsidR="00B851B4" w:rsidRPr="00933F97">
        <w:rPr>
          <w:lang w:val="en-GB"/>
        </w:rPr>
        <w:t>(b), where the present samples align within the normal class cluster (prototypes). In contrast, clusters corresponding to abnormal samples</w:t>
      </w:r>
      <w:r w:rsidR="00592251">
        <w:rPr>
          <w:lang w:val="en-GB"/>
        </w:rPr>
        <w:t>,</w:t>
      </w:r>
      <w:r w:rsidR="00B851B4">
        <w:rPr>
          <w:lang w:val="en-GB"/>
        </w:rPr>
        <w:t xml:space="preserve"> i.e., F-1 and F-4</w:t>
      </w:r>
      <w:r w:rsidR="00B851B4" w:rsidRPr="00933F97">
        <w:rPr>
          <w:lang w:val="en-GB"/>
        </w:rPr>
        <w:t xml:space="preserve"> (CF w.r.t. current samples) are far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4"/>
      </w:tblGrid>
      <w:tr w:rsidR="003A41CE" w14:paraId="1D204AB4" w14:textId="77777777" w:rsidTr="000623A1">
        <w:trPr>
          <w:trHeight w:val="3149"/>
        </w:trPr>
        <w:tc>
          <w:tcPr>
            <w:tcW w:w="3538" w:type="dxa"/>
          </w:tcPr>
          <w:p w14:paraId="2F8DDB94" w14:textId="0F54535A" w:rsidR="003A41CE" w:rsidRDefault="003A41CE" w:rsidP="003A41CE">
            <w:pPr>
              <w:pStyle w:val="Els-body-text"/>
              <w:jc w:val="center"/>
            </w:pPr>
            <w:r w:rsidRPr="00357BE7">
              <w:rPr>
                <w:noProof/>
                <w:sz w:val="18"/>
                <w:lang w:val="en-IN" w:eastAsia="en-IN"/>
              </w:rPr>
              <w:drawing>
                <wp:anchor distT="0" distB="0" distL="114300" distR="114300" simplePos="0" relativeHeight="251666432" behindDoc="0" locked="0" layoutInCell="1" allowOverlap="1" wp14:anchorId="127AC59C" wp14:editId="59F443AE">
                  <wp:simplePos x="0" y="0"/>
                  <wp:positionH relativeFrom="column">
                    <wp:posOffset>-1905</wp:posOffset>
                  </wp:positionH>
                  <wp:positionV relativeFrom="paragraph">
                    <wp:posOffset>0</wp:posOffset>
                  </wp:positionV>
                  <wp:extent cx="2159635" cy="1799590"/>
                  <wp:effectExtent l="0" t="0" r="0" b="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59635" cy="1799590"/>
                          </a:xfrm>
                          <a:prstGeom prst="rect">
                            <a:avLst/>
                          </a:prstGeom>
                        </pic:spPr>
                      </pic:pic>
                    </a:graphicData>
                  </a:graphic>
                </wp:anchor>
              </w:drawing>
            </w:r>
            <w:r w:rsidRPr="00357BE7">
              <w:rPr>
                <w:sz w:val="18"/>
              </w:rPr>
              <w:t>(a)</w:t>
            </w:r>
          </w:p>
        </w:tc>
        <w:tc>
          <w:tcPr>
            <w:tcW w:w="3538" w:type="dxa"/>
          </w:tcPr>
          <w:p w14:paraId="702D83A5" w14:textId="310E6A21" w:rsidR="003A41CE" w:rsidRDefault="003A41CE" w:rsidP="00AD36CE">
            <w:pPr>
              <w:pStyle w:val="Els-body-text"/>
              <w:keepNext/>
              <w:jc w:val="center"/>
            </w:pPr>
            <w:r w:rsidRPr="00357BE7">
              <w:rPr>
                <w:noProof/>
                <w:sz w:val="18"/>
                <w:lang w:val="en-IN" w:eastAsia="en-IN"/>
              </w:rPr>
              <w:drawing>
                <wp:anchor distT="0" distB="0" distL="114300" distR="114300" simplePos="0" relativeHeight="251667456" behindDoc="0" locked="0" layoutInCell="1" allowOverlap="1" wp14:anchorId="1A5B1F59" wp14:editId="34CE587F">
                  <wp:simplePos x="0" y="0"/>
                  <wp:positionH relativeFrom="column">
                    <wp:posOffset>3810</wp:posOffset>
                  </wp:positionH>
                  <wp:positionV relativeFrom="paragraph">
                    <wp:posOffset>0</wp:posOffset>
                  </wp:positionV>
                  <wp:extent cx="2159635" cy="179959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635" cy="1799590"/>
                          </a:xfrm>
                          <a:prstGeom prst="rect">
                            <a:avLst/>
                          </a:prstGeom>
                          <a:noFill/>
                        </pic:spPr>
                      </pic:pic>
                    </a:graphicData>
                  </a:graphic>
                </wp:anchor>
              </w:drawing>
            </w:r>
            <w:r w:rsidRPr="00357BE7">
              <w:rPr>
                <w:sz w:val="18"/>
              </w:rPr>
              <w:t>(b)</w:t>
            </w:r>
          </w:p>
        </w:tc>
      </w:tr>
    </w:tbl>
    <w:p w14:paraId="0C8730D3" w14:textId="00677FE9" w:rsidR="00AD36CE" w:rsidRDefault="00AD36C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C279F9">
        <w:t xml:space="preserve">Counterfactuals and prototypes </w:t>
      </w:r>
      <w:r>
        <w:t>for test run 1 at t=25</w:t>
      </w:r>
    </w:p>
    <w:p w14:paraId="70222332" w14:textId="069D3ACD" w:rsidR="003A41CE" w:rsidRDefault="00B851B4" w:rsidP="00561E96">
      <w:pPr>
        <w:pStyle w:val="Els-body-text"/>
        <w:spacing w:before="240"/>
        <w:rPr>
          <w:lang w:val="en-GB"/>
        </w:rPr>
      </w:pPr>
      <w:r w:rsidRPr="00800E9A">
        <w:rPr>
          <w:b/>
          <w:i/>
          <w:lang w:val="en-GB"/>
        </w:rPr>
        <w:t>Target-based insight</w:t>
      </w:r>
      <w:r w:rsidR="00592251">
        <w:rPr>
          <w:b/>
          <w:i/>
          <w:lang w:val="en-GB"/>
        </w:rPr>
        <w:t>s</w:t>
      </w:r>
      <w:r w:rsidRPr="00800E9A">
        <w:rPr>
          <w:b/>
          <w:i/>
          <w:lang w:val="en-GB"/>
        </w:rPr>
        <w:t>:</w:t>
      </w:r>
      <w:r w:rsidR="00800E9A">
        <w:rPr>
          <w:lang w:val="en-GB"/>
        </w:rPr>
        <w:t xml:space="preserve"> </w:t>
      </w:r>
      <w:r w:rsidR="00592251">
        <w:rPr>
          <w:lang w:val="en-GB"/>
        </w:rPr>
        <w:t>These</w:t>
      </w:r>
      <w:r w:rsidR="002E695D">
        <w:rPr>
          <w:lang w:val="en-GB"/>
        </w:rPr>
        <w:t xml:space="preserve"> </w:t>
      </w:r>
      <w:r w:rsidR="00592251">
        <w:rPr>
          <w:lang w:val="en-GB"/>
        </w:rPr>
        <w:t>refer</w:t>
      </w:r>
      <w:r w:rsidR="002E695D" w:rsidRPr="002E695D">
        <w:rPr>
          <w:lang w:val="en-GB"/>
        </w:rPr>
        <w:t xml:space="preserve"> to actionable information provided to operators</w:t>
      </w:r>
      <w:r w:rsidR="00C201C7">
        <w:rPr>
          <w:lang w:val="en-GB"/>
        </w:rPr>
        <w:t xml:space="preserve"> for</w:t>
      </w:r>
      <w:r w:rsidR="002E695D">
        <w:rPr>
          <w:lang w:val="en-GB"/>
        </w:rPr>
        <w:t xml:space="preserve"> </w:t>
      </w:r>
      <w:r w:rsidR="00C201C7">
        <w:rPr>
          <w:lang w:val="en-GB"/>
        </w:rPr>
        <w:t>returning</w:t>
      </w:r>
      <w:r w:rsidR="002E695D">
        <w:rPr>
          <w:lang w:val="en-GB"/>
        </w:rPr>
        <w:t xml:space="preserve"> </w:t>
      </w:r>
      <w:r w:rsidR="00592251">
        <w:rPr>
          <w:lang w:val="en-GB"/>
        </w:rPr>
        <w:t xml:space="preserve">the </w:t>
      </w:r>
      <w:r w:rsidR="002E695D">
        <w:rPr>
          <w:lang w:val="en-GB"/>
        </w:rPr>
        <w:t>system to a desired normal state. In the case study</w:t>
      </w:r>
      <w:r w:rsidR="002E695D" w:rsidRPr="00933F97">
        <w:rPr>
          <w:lang w:val="en-GB"/>
        </w:rPr>
        <w:t>, the emergence of a fault initiates a gradual escalation</w:t>
      </w:r>
      <w:r w:rsidR="002E695D">
        <w:rPr>
          <w:lang w:val="en-GB"/>
        </w:rPr>
        <w:t xml:space="preserve"> a</w:t>
      </w:r>
      <w:r w:rsidR="002E695D" w:rsidRPr="00933F97">
        <w:rPr>
          <w:lang w:val="en-GB"/>
        </w:rPr>
        <w:t xml:space="preserve">t </w:t>
      </w:r>
      <m:oMath>
        <m:r>
          <w:rPr>
            <w:rFonts w:ascii="Cambria Math" w:hAnsi="Cambria Math"/>
            <w:lang w:val="en-GB"/>
          </w:rPr>
          <m:t>t</m:t>
        </m:r>
        <m:r>
          <m:rPr>
            <m:sty m:val="p"/>
          </m:rPr>
          <w:rPr>
            <w:rFonts w:ascii="Cambria Math" w:hAnsi="Cambria Math"/>
            <w:lang w:val="en-GB"/>
          </w:rPr>
          <m:t>=31</m:t>
        </m:r>
      </m:oMath>
      <w:r w:rsidR="002E695D" w:rsidRPr="00933F97">
        <w:rPr>
          <w:lang w:val="en-GB"/>
        </w:rPr>
        <w:t xml:space="preserve">, resulting in the misclassification of the initial five samples as normal by the DNN. Subsequently, at </w:t>
      </w:r>
      <m:oMath>
        <m:r>
          <w:rPr>
            <w:rFonts w:ascii="Cambria Math" w:hAnsi="Cambria Math"/>
            <w:lang w:val="en-GB"/>
          </w:rPr>
          <m:t>t</m:t>
        </m:r>
        <m:r>
          <m:rPr>
            <m:sty m:val="p"/>
          </m:rPr>
          <w:rPr>
            <w:rFonts w:ascii="Cambria Math" w:hAnsi="Cambria Math"/>
            <w:lang w:val="en-GB"/>
          </w:rPr>
          <m:t>=36</m:t>
        </m:r>
      </m:oMath>
      <w:r w:rsidR="002E695D" w:rsidRPr="00933F97">
        <w:rPr>
          <w:lang w:val="en-GB"/>
        </w:rPr>
        <w:t>, the DN</w:t>
      </w:r>
      <w:r w:rsidR="00C201C7">
        <w:rPr>
          <w:lang w:val="en-GB"/>
        </w:rPr>
        <w:t>N identifies the fault as F-1. A</w:t>
      </w:r>
      <w:r w:rsidR="002E695D" w:rsidRPr="00933F97">
        <w:rPr>
          <w:lang w:val="en-GB"/>
        </w:rPr>
        <w:t xml:space="preserve">nalysis of the sample at </w:t>
      </w:r>
      <m:oMath>
        <m:r>
          <w:rPr>
            <w:rFonts w:ascii="Cambria Math" w:hAnsi="Cambria Math"/>
            <w:lang w:val="en-GB"/>
          </w:rPr>
          <m:t>t</m:t>
        </m:r>
        <m:r>
          <m:rPr>
            <m:sty m:val="p"/>
          </m:rPr>
          <w:rPr>
            <w:rFonts w:ascii="Cambria Math" w:hAnsi="Cambria Math"/>
            <w:lang w:val="en-GB"/>
          </w:rPr>
          <m:t>=38</m:t>
        </m:r>
      </m:oMath>
      <w:r w:rsidR="002E695D" w:rsidRPr="00933F97">
        <w:rPr>
          <w:lang w:val="en-GB"/>
        </w:rPr>
        <w:t xml:space="preserve">, the DNN predicted the given sample as F-1 with a probability of 0.42; it also flags the class F-3 and NS-1 with 0.34 and 0.24 probability as the next likely candidate. The corresponding </w:t>
      </w:r>
      <w:r w:rsidR="002E695D">
        <w:rPr>
          <w:lang w:val="en-GB"/>
        </w:rPr>
        <w:t>prototypes and CF</w:t>
      </w:r>
      <w:r w:rsidR="00C71EB3">
        <w:rPr>
          <w:lang w:val="en-GB"/>
        </w:rPr>
        <w:t>s plotted in Figure 2 (a) &amp; (b</w:t>
      </w:r>
      <w:r w:rsidR="002E695D" w:rsidRPr="00933F97">
        <w:rPr>
          <w:lang w:val="en-GB"/>
        </w:rPr>
        <w:t xml:space="preserve">) demonstrate the sample's proximity to the </w:t>
      </w:r>
      <w:r w:rsidR="002E695D">
        <w:rPr>
          <w:lang w:val="en-GB"/>
        </w:rPr>
        <w:t>decision boundaries of F-3 and N</w:t>
      </w:r>
      <w:r w:rsidR="00C71EB3">
        <w:rPr>
          <w:lang w:val="en-GB"/>
        </w:rPr>
        <w:t>S-1</w:t>
      </w:r>
      <w:r w:rsidR="002E695D" w:rsidRPr="00933F97">
        <w:rPr>
          <w:lang w:val="en-GB"/>
        </w:rPr>
        <w:t>, representing diagnostic uncertainty.</w:t>
      </w:r>
      <w:r w:rsidR="002E695D">
        <w:rPr>
          <w:lang w:val="en-GB"/>
        </w:rPr>
        <w:t xml:space="preserve"> In such </w:t>
      </w:r>
      <w:r w:rsidR="00592251">
        <w:rPr>
          <w:lang w:val="en-GB"/>
        </w:rPr>
        <w:t xml:space="preserve">a </w:t>
      </w:r>
      <w:r w:rsidR="002E695D">
        <w:rPr>
          <w:lang w:val="en-GB"/>
        </w:rPr>
        <w:t>situation, t</w:t>
      </w:r>
      <w:r w:rsidR="002E695D" w:rsidRPr="002E695D">
        <w:rPr>
          <w:lang w:val="en-GB"/>
        </w:rPr>
        <w:t>arget-based insights suggest that to restore normal steady state-1 (NS-1),</w:t>
      </w:r>
      <m:oMath>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c</m:t>
            </m:r>
          </m:sub>
        </m:sSub>
      </m:oMath>
      <w:r w:rsidR="00882381" w:rsidRPr="000F560C">
        <w:rPr>
          <w:lang w:val="en-GB"/>
        </w:rPr>
        <w:t xml:space="preserve"> and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R</m:t>
            </m:r>
          </m:sub>
        </m:sSub>
      </m:oMath>
      <w:r w:rsidR="002E695D" w:rsidRPr="002E695D">
        <w:rPr>
          <w:lang w:val="en-GB"/>
        </w:rPr>
        <w:t xml:space="preserve"> need to be increased to 345.20°C and 402.10°C, respectively. These insights provide actionable guidance for operators to rectify deviations from the desired state.</w:t>
      </w:r>
    </w:p>
    <w:p w14:paraId="5087EA91" w14:textId="6395492D" w:rsidR="00882381" w:rsidRDefault="008F23C3" w:rsidP="00561E96">
      <w:pPr>
        <w:pStyle w:val="Els-body-text"/>
        <w:spacing w:before="240"/>
        <w:rPr>
          <w:lang w:val="en-GB"/>
        </w:rPr>
      </w:pPr>
      <w:r>
        <w:rPr>
          <w:b/>
          <w:i/>
          <w:lang w:val="en-GB"/>
        </w:rPr>
        <w:t>Pattern-based insight</w:t>
      </w:r>
      <w:r w:rsidR="00592251">
        <w:rPr>
          <w:b/>
          <w:i/>
          <w:lang w:val="en-GB"/>
        </w:rPr>
        <w:t>s</w:t>
      </w:r>
      <w:r w:rsidR="00882381">
        <w:rPr>
          <w:b/>
          <w:i/>
          <w:lang w:val="en-GB"/>
        </w:rPr>
        <w:t>:</w:t>
      </w:r>
      <w:r w:rsidR="00882381">
        <w:rPr>
          <w:lang w:val="en-GB"/>
        </w:rPr>
        <w:t xml:space="preserve"> </w:t>
      </w:r>
      <w:r w:rsidR="000D7FFD">
        <w:rPr>
          <w:lang w:val="en-GB"/>
        </w:rPr>
        <w:t>The</w:t>
      </w:r>
      <w:r>
        <w:rPr>
          <w:lang w:val="en-GB"/>
        </w:rPr>
        <w:t>s</w:t>
      </w:r>
      <w:r w:rsidR="000D7FFD">
        <w:rPr>
          <w:lang w:val="en-GB"/>
        </w:rPr>
        <w:t>e</w:t>
      </w:r>
      <w:r>
        <w:rPr>
          <w:lang w:val="en-GB"/>
        </w:rPr>
        <w:t xml:space="preserve"> </w:t>
      </w:r>
      <w:r w:rsidRPr="008F23C3">
        <w:rPr>
          <w:lang w:val="en-GB"/>
        </w:rPr>
        <w:t xml:space="preserve">involve the analysis of observed patterns in data, particularly focusing on the historical </w:t>
      </w:r>
      <w:proofErr w:type="spellStart"/>
      <w:r w:rsidRPr="008F23C3">
        <w:rPr>
          <w:lang w:val="en-GB"/>
        </w:rPr>
        <w:t>behavior</w:t>
      </w:r>
      <w:proofErr w:type="spellEnd"/>
      <w:r w:rsidRPr="008F23C3">
        <w:rPr>
          <w:lang w:val="en-GB"/>
        </w:rPr>
        <w:t xml:space="preserve"> of variables within a system</w:t>
      </w:r>
      <w:r>
        <w:rPr>
          <w:lang w:val="en-GB"/>
        </w:rPr>
        <w:t>. In the case study</w:t>
      </w:r>
      <w:r w:rsidR="00FF0A0F">
        <w:rPr>
          <w:lang w:val="en-GB"/>
        </w:rPr>
        <w:t>,</w:t>
      </w:r>
      <w:r w:rsidRPr="008F23C3">
        <w:rPr>
          <w:lang w:val="en-GB"/>
        </w:rPr>
        <w:t xml:space="preserve"> </w:t>
      </w:r>
      <w:r w:rsidRPr="008F23C3">
        <w:t xml:space="preserve">examining the 10 prototypes of fault class F-1 and counterfactuals of class F-3 at </w:t>
      </w:r>
      <m:oMath>
        <m:r>
          <w:rPr>
            <w:rFonts w:ascii="Cambria Math" w:hAnsi="Cambria Math"/>
            <w:lang w:val="en-GB"/>
          </w:rPr>
          <m:t>t</m:t>
        </m:r>
        <m:r>
          <m:rPr>
            <m:sty m:val="p"/>
          </m:rPr>
          <w:rPr>
            <w:rFonts w:ascii="Cambria Math" w:hAnsi="Cambria Math"/>
            <w:lang w:val="en-GB"/>
          </w:rPr>
          <m:t>=38</m:t>
        </m:r>
      </m:oMath>
      <w:r w:rsidR="00FF0A0F">
        <w:rPr>
          <w:lang w:val="en-GB"/>
        </w:rPr>
        <w:t xml:space="preserve"> (see Figure 2)</w:t>
      </w:r>
      <w:r w:rsidR="00732733">
        <w:rPr>
          <w:lang w:val="en-GB"/>
        </w:rPr>
        <w:t xml:space="preserve">, </w:t>
      </w:r>
      <w:r w:rsidR="00732733" w:rsidRPr="000F560C">
        <w:rPr>
          <w:lang w:val="en-GB"/>
        </w:rPr>
        <w:t xml:space="preserve">if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A</m:t>
            </m:r>
          </m:sub>
        </m:sSub>
      </m:oMath>
      <w:r w:rsidR="00732733" w:rsidRPr="00933F97">
        <w:rPr>
          <w:lang w:val="en-GB"/>
        </w:rPr>
        <w:t xml:space="preserve"> </w:t>
      </w:r>
      <w:r w:rsidR="00732733">
        <w:rPr>
          <w:lang w:val="en-GB"/>
        </w:rPr>
        <w:t>alone</w:t>
      </w:r>
      <w:r w:rsidR="00732733" w:rsidRPr="00933F97">
        <w:rPr>
          <w:lang w:val="en-GB"/>
        </w:rPr>
        <w:t xml:space="preserve"> </w:t>
      </w:r>
      <w:r w:rsidR="00592251">
        <w:rPr>
          <w:lang w:val="en-GB"/>
        </w:rPr>
        <w:t>changes</w:t>
      </w:r>
      <w:r w:rsidR="00732733" w:rsidRPr="00933F97">
        <w:rPr>
          <w:lang w:val="en-GB"/>
        </w:rPr>
        <w:t xml:space="preserve"> with time</w:t>
      </w:r>
      <w:r w:rsidR="00732733">
        <w:rPr>
          <w:lang w:val="en-GB"/>
        </w:rPr>
        <w:t xml:space="preserve">, </w:t>
      </w:r>
      <w:r w:rsidR="00732733" w:rsidRPr="00933F97">
        <w:rPr>
          <w:lang w:val="en-GB"/>
        </w:rPr>
        <w:t xml:space="preserve">it confirms the </w:t>
      </w:r>
      <w:r w:rsidR="00732733" w:rsidRPr="000F560C">
        <w:rPr>
          <w:lang w:val="en-GB"/>
        </w:rPr>
        <w:t xml:space="preserve">F-1 </w:t>
      </w:r>
      <w:r w:rsidR="00732733">
        <w:rPr>
          <w:lang w:val="en-GB"/>
        </w:rPr>
        <w:t xml:space="preserve">state. In contrast, </w:t>
      </w:r>
      <w:r w:rsidR="00732733">
        <w:rPr>
          <w:lang w:val="en-GB"/>
        </w:rPr>
        <w:lastRenderedPageBreak/>
        <w:t>if a 1</w:t>
      </w:r>
      <w:r w:rsidR="00732733" w:rsidRPr="002E695D">
        <w:rPr>
          <w:lang w:val="en-GB"/>
        </w:rPr>
        <w:t>°</w:t>
      </w:r>
      <w:r w:rsidR="00732733" w:rsidRPr="00933F97">
        <w:rPr>
          <w:lang w:val="en-GB"/>
        </w:rPr>
        <w:t xml:space="preserve"> </w:t>
      </w:r>
      <m:oMath>
        <m:r>
          <w:rPr>
            <w:rFonts w:ascii="Cambria Math" w:hAnsi="Cambria Math"/>
            <w:lang w:val="en-GB"/>
          </w:rPr>
          <m:t>C</m:t>
        </m:r>
      </m:oMath>
      <w:r w:rsidR="00732733" w:rsidRPr="00933F97">
        <w:rPr>
          <w:lang w:val="en-GB"/>
        </w:rPr>
        <w:t xml:space="preserve"> change in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R</m:t>
            </m:r>
          </m:sub>
        </m:sSub>
      </m:oMath>
      <w:r w:rsidR="00732733" w:rsidRPr="00933F97">
        <w:rPr>
          <w:lang w:val="en-GB"/>
        </w:rPr>
        <w:t xml:space="preserve"> changes 0.0015 mol/L of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A</m:t>
            </m:r>
            <m:r>
              <m:rPr>
                <m:sty m:val="p"/>
              </m:rPr>
              <w:rPr>
                <w:rFonts w:ascii="Cambria Math" w:hAnsi="Cambria Math"/>
                <w:lang w:val="en-GB"/>
              </w:rPr>
              <m:t>,</m:t>
            </m:r>
          </m:sub>
        </m:sSub>
      </m:oMath>
      <w:r w:rsidR="00732733" w:rsidRPr="00933F97">
        <w:rPr>
          <w:lang w:val="en-GB"/>
        </w:rPr>
        <w:t xml:space="preserve"> it confirms the F-3 state</w:t>
      </w:r>
      <w:r w:rsidR="00732733">
        <w:rPr>
          <w:lang w:val="en-GB"/>
        </w:rPr>
        <w:t>.</w:t>
      </w:r>
      <w:r w:rsidR="00806B06">
        <w:rPr>
          <w:lang w:val="en-GB"/>
        </w:rPr>
        <w:t xml:space="preserve"> </w:t>
      </w:r>
      <w:r w:rsidR="000D7FFD">
        <w:rPr>
          <w:lang w:val="en-GB"/>
        </w:rPr>
        <w:t>This</w:t>
      </w:r>
      <w:r w:rsidR="00806B06" w:rsidRPr="00933F97">
        <w:rPr>
          <w:lang w:val="en-GB"/>
        </w:rPr>
        <w:t xml:space="preserve"> knowledge is not explicitly given to the DNN but extracted from the training data in the vicinity of the real-time sample. Utilizing these counterfactuals and prototype explanations proves instrumental for operators navigating diagnostic uncertainties</w:t>
      </w:r>
      <w:r w:rsidR="00806B06">
        <w:rPr>
          <w:lang w:val="en-GB"/>
        </w:rPr>
        <w:t>.</w:t>
      </w:r>
      <w:r w:rsidR="000D7FFD">
        <w:rPr>
          <w:lang w:val="en-GB"/>
        </w:rPr>
        <w:t xml:space="preserve"> </w:t>
      </w:r>
      <w:r w:rsidR="000D7FFD" w:rsidRPr="000D7FFD">
        <w:rPr>
          <w:lang w:val="en-GB"/>
        </w:rPr>
        <w:t>Utilizing these explanations enhances operators' ability to interpret evolving states more comprehensively.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4"/>
      </w:tblGrid>
      <w:tr w:rsidR="003A41CE" w14:paraId="4A3949C5" w14:textId="77777777" w:rsidTr="000623A1">
        <w:tc>
          <w:tcPr>
            <w:tcW w:w="3538" w:type="dxa"/>
          </w:tcPr>
          <w:p w14:paraId="6AF4D14F" w14:textId="53D73036" w:rsidR="003A41CE" w:rsidRDefault="003A41CE" w:rsidP="003A41CE">
            <w:pPr>
              <w:pStyle w:val="Els-body-text"/>
              <w:jc w:val="center"/>
              <w:rPr>
                <w:lang w:val="en-GB"/>
              </w:rPr>
            </w:pPr>
            <w:r>
              <w:rPr>
                <w:noProof/>
                <w:sz w:val="18"/>
                <w:lang w:val="en-IN" w:eastAsia="en-IN"/>
              </w:rPr>
              <w:drawing>
                <wp:anchor distT="0" distB="0" distL="114300" distR="114300" simplePos="0" relativeHeight="251669504" behindDoc="0" locked="0" layoutInCell="1" allowOverlap="1" wp14:anchorId="3391D40D" wp14:editId="7C80C89E">
                  <wp:simplePos x="0" y="0"/>
                  <wp:positionH relativeFrom="column">
                    <wp:posOffset>21590</wp:posOffset>
                  </wp:positionH>
                  <wp:positionV relativeFrom="paragraph">
                    <wp:posOffset>12065</wp:posOffset>
                  </wp:positionV>
                  <wp:extent cx="2159635" cy="179959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35" cy="1799590"/>
                          </a:xfrm>
                          <a:prstGeom prst="rect">
                            <a:avLst/>
                          </a:prstGeom>
                          <a:noFill/>
                        </pic:spPr>
                      </pic:pic>
                    </a:graphicData>
                  </a:graphic>
                </wp:anchor>
              </w:drawing>
            </w:r>
            <w:r w:rsidR="000623A1">
              <w:rPr>
                <w:sz w:val="18"/>
              </w:rPr>
              <w:t>(a</w:t>
            </w:r>
            <w:r w:rsidRPr="00357BE7">
              <w:rPr>
                <w:sz w:val="18"/>
              </w:rPr>
              <w:t>)</w:t>
            </w:r>
          </w:p>
        </w:tc>
        <w:tc>
          <w:tcPr>
            <w:tcW w:w="3538" w:type="dxa"/>
          </w:tcPr>
          <w:p w14:paraId="4D0EC21A" w14:textId="0A4AC428" w:rsidR="003A41CE" w:rsidRDefault="003A41CE" w:rsidP="00AD36CE">
            <w:pPr>
              <w:pStyle w:val="Els-body-text"/>
              <w:keepNext/>
              <w:jc w:val="center"/>
              <w:rPr>
                <w:lang w:val="en-GB"/>
              </w:rPr>
            </w:pPr>
            <w:r w:rsidRPr="00357BE7">
              <w:rPr>
                <w:noProof/>
                <w:sz w:val="18"/>
                <w:lang w:val="en-IN" w:eastAsia="en-IN"/>
              </w:rPr>
              <w:drawing>
                <wp:anchor distT="0" distB="0" distL="114300" distR="114300" simplePos="0" relativeHeight="251670528" behindDoc="0" locked="0" layoutInCell="1" allowOverlap="1" wp14:anchorId="733AC586" wp14:editId="30B898FF">
                  <wp:simplePos x="0" y="0"/>
                  <wp:positionH relativeFrom="column">
                    <wp:posOffset>20743</wp:posOffset>
                  </wp:positionH>
                  <wp:positionV relativeFrom="paragraph">
                    <wp:posOffset>0</wp:posOffset>
                  </wp:positionV>
                  <wp:extent cx="2159635" cy="179959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635" cy="1799590"/>
                          </a:xfrm>
                          <a:prstGeom prst="rect">
                            <a:avLst/>
                          </a:prstGeom>
                          <a:noFill/>
                        </pic:spPr>
                      </pic:pic>
                    </a:graphicData>
                  </a:graphic>
                </wp:anchor>
              </w:drawing>
            </w:r>
            <w:r w:rsidR="000623A1">
              <w:rPr>
                <w:sz w:val="18"/>
              </w:rPr>
              <w:t>(b</w:t>
            </w:r>
            <w:r w:rsidRPr="00357BE7">
              <w:rPr>
                <w:sz w:val="18"/>
              </w:rPr>
              <w:t>)</w:t>
            </w:r>
          </w:p>
        </w:tc>
      </w:tr>
    </w:tbl>
    <w:p w14:paraId="4A422407" w14:textId="33C4E7B6" w:rsidR="00AD36CE" w:rsidRDefault="00AD36CE">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8814BB">
        <w:t>Counterfactuals and p</w:t>
      </w:r>
      <w:r>
        <w:t>rototypes for test run 1 at t=38</w:t>
      </w:r>
    </w:p>
    <w:p w14:paraId="0FC42CAE" w14:textId="70ACE3A6" w:rsidR="00806B06" w:rsidRDefault="00806B06" w:rsidP="00561E96">
      <w:pPr>
        <w:pStyle w:val="Els-body-text"/>
        <w:spacing w:before="240"/>
        <w:rPr>
          <w:lang w:val="en-GB"/>
        </w:rPr>
      </w:pPr>
      <w:r w:rsidRPr="00806B06">
        <w:rPr>
          <w:b/>
          <w:i/>
          <w:lang w:val="en-GB"/>
        </w:rPr>
        <w:t>Counter Insights:</w:t>
      </w:r>
      <w:r>
        <w:rPr>
          <w:b/>
          <w:i/>
          <w:lang w:val="en-GB"/>
        </w:rPr>
        <w:t xml:space="preserve"> </w:t>
      </w:r>
      <w:r w:rsidR="00070FB9">
        <w:rPr>
          <w:lang w:val="en-GB"/>
        </w:rPr>
        <w:t>It</w:t>
      </w:r>
      <w:r>
        <w:rPr>
          <w:lang w:val="en-GB"/>
        </w:rPr>
        <w:t xml:space="preserve"> </w:t>
      </w:r>
      <w:r w:rsidR="00326E22">
        <w:rPr>
          <w:lang w:val="en-GB"/>
        </w:rPr>
        <w:t>explains</w:t>
      </w:r>
      <w:r w:rsidRPr="00806B06">
        <w:rPr>
          <w:lang w:val="en-GB"/>
        </w:rPr>
        <w:t xml:space="preserve"> </w:t>
      </w:r>
      <w:r>
        <w:rPr>
          <w:lang w:val="en-GB"/>
        </w:rPr>
        <w:t>instance</w:t>
      </w:r>
      <w:r w:rsidRPr="00806B06">
        <w:rPr>
          <w:lang w:val="en-GB"/>
        </w:rPr>
        <w:t>s where a model deviates from an expected outcome</w:t>
      </w:r>
      <w:r>
        <w:rPr>
          <w:lang w:val="en-GB"/>
        </w:rPr>
        <w:t xml:space="preserve">. In the case study, </w:t>
      </w:r>
      <w:r w:rsidRPr="00933F97">
        <w:rPr>
          <w:lang w:val="en-GB"/>
        </w:rPr>
        <w:t xml:space="preserve">the fault state F-3 is detected by DNN at sample </w:t>
      </w:r>
      <m:oMath>
        <m:r>
          <w:rPr>
            <w:rFonts w:ascii="Cambria Math" w:hAnsi="Cambria Math"/>
            <w:lang w:val="en-GB"/>
          </w:rPr>
          <m:t>t</m:t>
        </m:r>
        <m:r>
          <m:rPr>
            <m:sty m:val="p"/>
          </m:rPr>
          <w:rPr>
            <w:rFonts w:ascii="Cambria Math" w:hAnsi="Cambria Math"/>
            <w:lang w:val="en-GB"/>
          </w:rPr>
          <m:t>=42</m:t>
        </m:r>
      </m:oMath>
      <w:r w:rsidR="00070FB9">
        <w:rPr>
          <w:lang w:val="en-GB"/>
        </w:rPr>
        <w:t>. O</w:t>
      </w:r>
      <w:r w:rsidR="00070FB9" w:rsidRPr="00933F97">
        <w:rPr>
          <w:lang w:val="en-GB"/>
        </w:rPr>
        <w:t xml:space="preserve">ne such sample at </w:t>
      </w:r>
      <m:oMath>
        <m:r>
          <w:rPr>
            <w:rFonts w:ascii="Cambria Math" w:hAnsi="Cambria Math"/>
            <w:lang w:val="en-GB"/>
          </w:rPr>
          <m:t>t</m:t>
        </m:r>
        <m:r>
          <m:rPr>
            <m:sty m:val="p"/>
          </m:rPr>
          <w:rPr>
            <w:rFonts w:ascii="Cambria Math" w:hAnsi="Cambria Math"/>
            <w:lang w:val="en-GB"/>
          </w:rPr>
          <m:t>=85</m:t>
        </m:r>
      </m:oMath>
      <w:r w:rsidR="00592251">
        <w:rPr>
          <w:lang w:val="en-GB"/>
        </w:rPr>
        <w:t xml:space="preserve"> predicted</w:t>
      </w:r>
      <w:r w:rsidR="00070FB9">
        <w:rPr>
          <w:lang w:val="en-GB"/>
        </w:rPr>
        <w:t xml:space="preserve"> as F-3 by DNN </w:t>
      </w:r>
      <w:r w:rsidRPr="00933F97">
        <w:rPr>
          <w:lang w:val="en-GB"/>
        </w:rPr>
        <w:t xml:space="preserve">with a probability of 0.78; it also flags the class NS-2 with 0.2 probability as the next likely candidate. The CF and prototypes are generated to explain the DNN prediction at </w:t>
      </w:r>
      <m:oMath>
        <m:r>
          <w:rPr>
            <w:rFonts w:ascii="Cambria Math" w:hAnsi="Cambria Math"/>
            <w:lang w:val="en-GB"/>
          </w:rPr>
          <m:t>t</m:t>
        </m:r>
        <m:r>
          <m:rPr>
            <m:sty m:val="p"/>
          </m:rPr>
          <w:rPr>
            <w:rFonts w:ascii="Cambria Math" w:hAnsi="Cambria Math"/>
            <w:lang w:val="en-GB"/>
          </w:rPr>
          <m:t>=85,</m:t>
        </m:r>
      </m:oMath>
      <w:r w:rsidR="00070FB9">
        <w:rPr>
          <w:lang w:val="en-GB"/>
        </w:rPr>
        <w:t xml:space="preserve"> as </w:t>
      </w:r>
      <w:r w:rsidRPr="00933F97">
        <w:rPr>
          <w:lang w:val="en-GB"/>
        </w:rPr>
        <w:t xml:space="preserve">shown </w:t>
      </w:r>
      <w:r w:rsidR="00FF0A0F">
        <w:rPr>
          <w:lang w:val="en-GB"/>
        </w:rPr>
        <w:t>in Figures 3 (a) &amp; (b</w:t>
      </w:r>
      <w:r w:rsidR="00070FB9">
        <w:rPr>
          <w:lang w:val="en-GB"/>
        </w:rPr>
        <w:t>)</w:t>
      </w:r>
      <w:r w:rsidR="00DF08CC">
        <w:rPr>
          <w:lang w:val="en-GB"/>
        </w:rPr>
        <w:t>. At</w:t>
      </w:r>
      <w:r w:rsidR="00DF08CC" w:rsidRPr="00933F97">
        <w:rPr>
          <w:lang w:val="en-GB"/>
        </w:rPr>
        <w:t xml:space="preserve"> </w:t>
      </w:r>
      <m:oMath>
        <m:r>
          <w:rPr>
            <w:rFonts w:ascii="Cambria Math" w:hAnsi="Cambria Math"/>
            <w:lang w:val="en-GB"/>
          </w:rPr>
          <m:t>t</m:t>
        </m:r>
        <m:r>
          <m:rPr>
            <m:sty m:val="p"/>
          </m:rPr>
          <w:rPr>
            <w:rFonts w:ascii="Cambria Math" w:hAnsi="Cambria Math"/>
            <w:lang w:val="en-GB"/>
          </w:rPr>
          <m:t>=85</m:t>
        </m:r>
      </m:oMath>
      <w:r w:rsidR="00DF08CC">
        <w:rPr>
          <w:lang w:val="en-GB"/>
        </w:rPr>
        <w:t>,</w:t>
      </w:r>
      <w:r w:rsidR="00DF08CC" w:rsidRPr="00933F97">
        <w:rPr>
          <w:lang w:val="en-GB"/>
        </w:rPr>
        <w:t xml:space="preserve"> why </w:t>
      </w:r>
      <w:r w:rsidR="00DF08CC">
        <w:rPr>
          <w:lang w:val="en-GB"/>
        </w:rPr>
        <w:t>the</w:t>
      </w:r>
      <w:r w:rsidR="00DF08CC" w:rsidRPr="00933F97">
        <w:rPr>
          <w:lang w:val="en-GB"/>
        </w:rPr>
        <w:t xml:space="preserve"> current sample </w:t>
      </w:r>
      <w:r w:rsidR="00DF08CC">
        <w:rPr>
          <w:lang w:val="en-GB"/>
        </w:rPr>
        <w:t xml:space="preserve">is </w:t>
      </w:r>
      <w:r w:rsidR="00DF08CC" w:rsidRPr="00933F97">
        <w:rPr>
          <w:lang w:val="en-GB"/>
        </w:rPr>
        <w:t>not predicted as F-1</w:t>
      </w:r>
      <w:r w:rsidR="00DF08CC">
        <w:rPr>
          <w:lang w:val="en-GB"/>
        </w:rPr>
        <w:t>,</w:t>
      </w:r>
      <w:r w:rsidR="00DF08CC" w:rsidRPr="00933F97">
        <w:rPr>
          <w:lang w:val="en-GB"/>
        </w:rPr>
        <w:t xml:space="preserve"> even though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A</m:t>
            </m:r>
          </m:sub>
        </m:sSub>
      </m:oMath>
      <w:r w:rsidR="00DF08CC" w:rsidRPr="00933F97">
        <w:rPr>
          <w:lang w:val="en-GB"/>
        </w:rPr>
        <w:t xml:space="preserve"> is within </w:t>
      </w:r>
      <w:r w:rsidR="00592251">
        <w:rPr>
          <w:lang w:val="en-GB"/>
        </w:rPr>
        <w:t xml:space="preserve">the </w:t>
      </w:r>
      <w:r w:rsidR="00DF08CC" w:rsidRPr="00933F97">
        <w:rPr>
          <w:lang w:val="en-GB"/>
        </w:rPr>
        <w:t xml:space="preserve">fault range? The </w:t>
      </w:r>
      <w:r w:rsidR="00DF08CC">
        <w:rPr>
          <w:lang w:val="en-GB"/>
        </w:rPr>
        <w:t>counter insight reveals that the significant drop in</w:t>
      </w:r>
      <w:r w:rsidR="00DF08CC" w:rsidRPr="00933F97">
        <w:rPr>
          <w:lang w:val="en-GB"/>
        </w:rPr>
        <w:t xml:space="preserv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c</m:t>
            </m:r>
          </m:sub>
        </m:sSub>
      </m:oMath>
      <w:r w:rsidR="00DF08CC" w:rsidRPr="00933F97">
        <w:rPr>
          <w:lang w:val="en-GB"/>
        </w:rPr>
        <w:t xml:space="preserve"> and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R</m:t>
            </m:r>
          </m:sub>
        </m:sSub>
      </m:oMath>
      <w:r w:rsidR="00DF08CC" w:rsidRPr="00933F97">
        <w:rPr>
          <w:lang w:val="en-GB"/>
        </w:rPr>
        <w:t xml:space="preserve"> </w:t>
      </w:r>
      <w:r w:rsidR="00DF08CC">
        <w:rPr>
          <w:lang w:val="en-GB"/>
        </w:rPr>
        <w:t>indicates a different fault</w:t>
      </w:r>
      <w:r w:rsidR="00DF08CC" w:rsidRPr="00933F97">
        <w:rPr>
          <w:lang w:val="en-GB"/>
        </w:rPr>
        <w:t xml:space="preserve"> F-3.</w:t>
      </w:r>
      <w:r w:rsidR="00FF6BA6">
        <w:rPr>
          <w:lang w:val="en-GB"/>
        </w:rPr>
        <w:t xml:space="preserve"> </w:t>
      </w:r>
      <w:r w:rsidR="00FF6BA6" w:rsidRPr="00FF6BA6">
        <w:rPr>
          <w:lang w:val="en-GB"/>
        </w:rPr>
        <w:t>Understanding these counter insights is essential for operators navigating diagnostic uncertainties and refining their understanding of the fault detection process.</w:t>
      </w:r>
    </w:p>
    <w:p w14:paraId="4A6D5070" w14:textId="06B6656D" w:rsidR="00FF6BA6" w:rsidRDefault="00FF6BA6" w:rsidP="00561E96">
      <w:pPr>
        <w:pStyle w:val="Els-body-text"/>
        <w:spacing w:before="240"/>
        <w:rPr>
          <w:lang w:val="en-GB"/>
        </w:rPr>
      </w:pPr>
      <w:r w:rsidRPr="006C040D">
        <w:rPr>
          <w:b/>
          <w:i/>
          <w:lang w:val="en-GB"/>
        </w:rPr>
        <w:t>Nearest Optimal Insights</w:t>
      </w:r>
      <w:r w:rsidRPr="006C040D">
        <w:rPr>
          <w:b/>
          <w:lang w:val="en-GB"/>
        </w:rPr>
        <w:t>:</w:t>
      </w:r>
      <w:r>
        <w:rPr>
          <w:lang w:val="en-GB"/>
        </w:rPr>
        <w:t xml:space="preserve"> Th</w:t>
      </w:r>
      <w:r w:rsidR="00070FB9">
        <w:rPr>
          <w:lang w:val="en-GB"/>
        </w:rPr>
        <w:t>ese</w:t>
      </w:r>
      <w:r>
        <w:rPr>
          <w:lang w:val="en-GB"/>
        </w:rPr>
        <w:t xml:space="preserve"> </w:t>
      </w:r>
      <w:r w:rsidR="00592251">
        <w:rPr>
          <w:lang w:val="en-GB"/>
        </w:rPr>
        <w:t>insights</w:t>
      </w:r>
      <w:r>
        <w:rPr>
          <w:lang w:val="en-GB"/>
        </w:rPr>
        <w:t xml:space="preserve"> guide </w:t>
      </w:r>
      <w:r w:rsidR="00592251">
        <w:rPr>
          <w:lang w:val="en-GB"/>
        </w:rPr>
        <w:t xml:space="preserve">the </w:t>
      </w:r>
      <w:r>
        <w:rPr>
          <w:lang w:val="en-GB"/>
        </w:rPr>
        <w:t xml:space="preserve">operator towards the most feasible steady state when </w:t>
      </w:r>
      <w:r w:rsidRPr="00FF6BA6">
        <w:rPr>
          <w:lang w:val="en-GB"/>
        </w:rPr>
        <w:t>returning</w:t>
      </w:r>
      <w:r>
        <w:rPr>
          <w:lang w:val="en-GB"/>
        </w:rPr>
        <w:t xml:space="preserve"> the desired </w:t>
      </w:r>
      <w:r w:rsidRPr="00FF6BA6">
        <w:rPr>
          <w:lang w:val="en-GB"/>
        </w:rPr>
        <w:t>normal steady state is unattainable</w:t>
      </w:r>
      <w:r>
        <w:rPr>
          <w:lang w:val="en-GB"/>
        </w:rPr>
        <w:t xml:space="preserve">. </w:t>
      </w:r>
      <w:r w:rsidR="006C040D" w:rsidRPr="006C040D">
        <w:rPr>
          <w:lang w:val="en-GB"/>
        </w:rPr>
        <w:t>In the case study,</w:t>
      </w:r>
      <w:r w:rsidR="006C040D">
        <w:rPr>
          <w:lang w:val="en-GB"/>
        </w:rPr>
        <w:t xml:space="preserve"> </w:t>
      </w:r>
      <w:r w:rsidR="006C040D" w:rsidRPr="00933F97">
        <w:rPr>
          <w:lang w:val="en-GB"/>
        </w:rPr>
        <w:t xml:space="preserve">if </w:t>
      </w:r>
      <w:r w:rsidR="006C040D">
        <w:rPr>
          <w:lang w:val="en-GB"/>
        </w:rPr>
        <w:t xml:space="preserve">the operator </w:t>
      </w:r>
      <w:r w:rsidR="00070FB9">
        <w:rPr>
          <w:lang w:val="en-GB"/>
        </w:rPr>
        <w:t>aim</w:t>
      </w:r>
      <w:r w:rsidR="006C040D">
        <w:rPr>
          <w:lang w:val="en-GB"/>
        </w:rPr>
        <w:t>s to return</w:t>
      </w:r>
      <w:r w:rsidR="00070FB9">
        <w:rPr>
          <w:lang w:val="en-GB"/>
        </w:rPr>
        <w:t xml:space="preserve"> to</w:t>
      </w:r>
      <w:r w:rsidR="006C040D">
        <w:rPr>
          <w:lang w:val="en-GB"/>
        </w:rPr>
        <w:t xml:space="preserve"> </w:t>
      </w:r>
      <w:r w:rsidR="006C040D" w:rsidRPr="00933F97">
        <w:rPr>
          <w:lang w:val="en-GB"/>
        </w:rPr>
        <w:t>normal steady state-1 (NS-1)</w:t>
      </w:r>
      <w:r w:rsidR="006C040D">
        <w:rPr>
          <w:lang w:val="en-GB"/>
        </w:rPr>
        <w:t xml:space="preserve"> </w:t>
      </w:r>
      <w:proofErr w:type="spellStart"/>
      <w:r w:rsidR="006C040D">
        <w:rPr>
          <w:lang w:val="en-GB"/>
        </w:rPr>
        <w:t>at</w:t>
      </w:r>
      <w:r w:rsidR="006C040D" w:rsidRPr="00933F97">
        <w:rPr>
          <w:lang w:val="en-GB"/>
        </w:rPr>
        <w:t xml:space="preserve"> </w:t>
      </w:r>
      <m:oMath>
        <m:r>
          <w:rPr>
            <w:rFonts w:ascii="Cambria Math" w:hAnsi="Cambria Math"/>
            <w:lang w:val="en-GB"/>
          </w:rPr>
          <m:t>t</m:t>
        </m:r>
        <m:r>
          <m:rPr>
            <m:sty m:val="p"/>
          </m:rPr>
          <w:rPr>
            <w:rFonts w:ascii="Cambria Math" w:hAnsi="Cambria Math"/>
            <w:lang w:val="en-GB"/>
          </w:rPr>
          <m:t>=85</m:t>
        </m:r>
      </m:oMath>
      <w:r w:rsidR="00FF0A0F">
        <w:rPr>
          <w:lang w:val="en-GB"/>
        </w:rPr>
        <w:t xml:space="preserve"> </w:t>
      </w:r>
      <w:proofErr w:type="spellEnd"/>
      <w:r w:rsidR="00FF0A0F">
        <w:rPr>
          <w:lang w:val="en-GB"/>
        </w:rPr>
        <w:t>(see Figure 3)</w:t>
      </w:r>
      <w:r w:rsidR="006C040D">
        <w:rPr>
          <w:lang w:val="en-GB"/>
        </w:rPr>
        <w:t>,</w:t>
      </w:r>
      <w:r w:rsidR="006C040D" w:rsidRPr="00933F97">
        <w:rPr>
          <w:lang w:val="en-GB"/>
        </w:rPr>
        <w:t xml:space="preserve"> he can follow the distinct control moves to reach that state. </w:t>
      </w:r>
      <w:r w:rsidR="00070FB9">
        <w:rPr>
          <w:lang w:val="en-GB"/>
        </w:rPr>
        <w:t>However</w:t>
      </w:r>
      <w:r w:rsidR="006C040D" w:rsidRPr="00933F97">
        <w:rPr>
          <w:lang w:val="en-GB"/>
        </w:rPr>
        <w:t xml:space="preserve">, </w:t>
      </w:r>
      <w:r w:rsidR="006C040D" w:rsidRPr="006C040D">
        <w:rPr>
          <w:lang w:val="en-GB"/>
        </w:rPr>
        <w:t>if returning to NS-1 is impossible</w:t>
      </w:r>
      <w:r w:rsidR="006C040D" w:rsidRPr="00933F97">
        <w:rPr>
          <w:lang w:val="en-GB"/>
        </w:rPr>
        <w:t>, the operator is provided with the nearest normal that can be operated, i.e., normal steady state-2 (NS-2)</w:t>
      </w:r>
      <w:r w:rsidR="00070FB9">
        <w:rPr>
          <w:lang w:val="en-GB"/>
        </w:rPr>
        <w:t xml:space="preserve"> in the current scenario</w:t>
      </w:r>
      <w:r w:rsidR="006C040D" w:rsidRPr="00933F97">
        <w:rPr>
          <w:lang w:val="en-GB"/>
        </w:rPr>
        <w:t>.</w:t>
      </w:r>
      <w:r w:rsidR="006C040D" w:rsidRPr="006C040D">
        <w:t xml:space="preserve"> </w:t>
      </w:r>
      <w:r w:rsidR="006C040D">
        <w:rPr>
          <w:lang w:val="en-GB"/>
        </w:rPr>
        <w:t>Operating</w:t>
      </w:r>
      <w:r w:rsidR="006C040D" w:rsidRPr="006C040D">
        <w:rPr>
          <w:lang w:val="en-GB"/>
        </w:rPr>
        <w:t xml:space="preserve"> the system under </w:t>
      </w:r>
      <w:r w:rsidR="006C040D" w:rsidRPr="00933F97">
        <w:rPr>
          <w:lang w:val="en-GB"/>
        </w:rPr>
        <w:t>NS-2</w:t>
      </w:r>
      <w:r w:rsidR="00487FF9">
        <w:rPr>
          <w:lang w:val="en-GB"/>
        </w:rPr>
        <w:t xml:space="preserve"> ensures</w:t>
      </w:r>
      <w:r w:rsidR="006C040D" w:rsidRPr="006C040D">
        <w:rPr>
          <w:lang w:val="en-GB"/>
        </w:rPr>
        <w:t xml:space="preserve"> stability</w:t>
      </w:r>
      <w:r w:rsidR="00487FF9">
        <w:rPr>
          <w:lang w:val="en-GB"/>
        </w:rPr>
        <w:t xml:space="preserve"> and </w:t>
      </w:r>
      <w:r w:rsidR="00592251">
        <w:rPr>
          <w:lang w:val="en-GB"/>
        </w:rPr>
        <w:t>minimizes</w:t>
      </w:r>
      <w:r w:rsidR="006C040D" w:rsidRPr="006C040D">
        <w:rPr>
          <w:lang w:val="en-GB"/>
        </w:rPr>
        <w:t xml:space="preserve"> potential risks.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478"/>
      </w:tblGrid>
      <w:tr w:rsidR="003A41CE" w14:paraId="50E6683E" w14:textId="77777777" w:rsidTr="000623A1">
        <w:tc>
          <w:tcPr>
            <w:tcW w:w="3538" w:type="dxa"/>
          </w:tcPr>
          <w:p w14:paraId="6C361CA3" w14:textId="3016672E" w:rsidR="003A41CE" w:rsidRDefault="003A41CE" w:rsidP="003A41CE">
            <w:pPr>
              <w:pStyle w:val="Els-body-text"/>
              <w:jc w:val="center"/>
              <w:rPr>
                <w:lang w:val="en-GB"/>
              </w:rPr>
            </w:pPr>
            <w:r w:rsidRPr="00357BE7">
              <w:rPr>
                <w:noProof/>
                <w:sz w:val="18"/>
                <w:lang w:val="en-IN" w:eastAsia="en-IN"/>
              </w:rPr>
              <w:lastRenderedPageBreak/>
              <w:drawing>
                <wp:anchor distT="0" distB="0" distL="114300" distR="114300" simplePos="0" relativeHeight="251672576" behindDoc="0" locked="0" layoutInCell="1" allowOverlap="1" wp14:anchorId="7927960D" wp14:editId="7EB4659B">
                  <wp:simplePos x="0" y="0"/>
                  <wp:positionH relativeFrom="column">
                    <wp:posOffset>-36830</wp:posOffset>
                  </wp:positionH>
                  <wp:positionV relativeFrom="paragraph">
                    <wp:posOffset>0</wp:posOffset>
                  </wp:positionV>
                  <wp:extent cx="2159635" cy="1740975"/>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3">
                            <a:extLst>
                              <a:ext uri="{28A0092B-C50C-407E-A947-70E740481C1C}">
                                <a14:useLocalDpi xmlns:a14="http://schemas.microsoft.com/office/drawing/2010/main" val="0"/>
                              </a:ext>
                            </a:extLst>
                          </a:blip>
                          <a:srcRect t="3257"/>
                          <a:stretch/>
                        </pic:blipFill>
                        <pic:spPr bwMode="auto">
                          <a:xfrm>
                            <a:off x="0" y="0"/>
                            <a:ext cx="2159635" cy="1740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623A1">
              <w:rPr>
                <w:sz w:val="18"/>
                <w:lang w:val="en-IN"/>
              </w:rPr>
              <w:t>(a</w:t>
            </w:r>
            <w:r w:rsidRPr="00357BE7">
              <w:rPr>
                <w:sz w:val="18"/>
                <w:lang w:val="en-IN"/>
              </w:rPr>
              <w:t>)</w:t>
            </w:r>
          </w:p>
        </w:tc>
        <w:tc>
          <w:tcPr>
            <w:tcW w:w="3538" w:type="dxa"/>
          </w:tcPr>
          <w:p w14:paraId="72F58B1A" w14:textId="39AC31E5" w:rsidR="003A41CE" w:rsidRDefault="003A41CE" w:rsidP="00AD36CE">
            <w:pPr>
              <w:pStyle w:val="Els-body-text"/>
              <w:keepNext/>
              <w:jc w:val="center"/>
              <w:rPr>
                <w:lang w:val="en-GB"/>
              </w:rPr>
            </w:pPr>
            <w:r w:rsidRPr="00357BE7">
              <w:rPr>
                <w:noProof/>
                <w:sz w:val="18"/>
                <w:lang w:val="en-IN" w:eastAsia="en-IN"/>
              </w:rPr>
              <w:drawing>
                <wp:anchor distT="0" distB="0" distL="114300" distR="114300" simplePos="0" relativeHeight="251673600" behindDoc="0" locked="0" layoutInCell="1" allowOverlap="1" wp14:anchorId="5F2ABA8A" wp14:editId="06FE4D88">
                  <wp:simplePos x="0" y="0"/>
                  <wp:positionH relativeFrom="column">
                    <wp:posOffset>-68580</wp:posOffset>
                  </wp:positionH>
                  <wp:positionV relativeFrom="paragraph">
                    <wp:posOffset>20320</wp:posOffset>
                  </wp:positionV>
                  <wp:extent cx="2068830" cy="1711325"/>
                  <wp:effectExtent l="0" t="0" r="7620" b="3175"/>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8830" cy="1711325"/>
                          </a:xfrm>
                          <a:prstGeom prst="rect">
                            <a:avLst/>
                          </a:prstGeom>
                          <a:noFill/>
                        </pic:spPr>
                      </pic:pic>
                    </a:graphicData>
                  </a:graphic>
                  <wp14:sizeRelH relativeFrom="margin">
                    <wp14:pctWidth>0</wp14:pctWidth>
                  </wp14:sizeRelH>
                  <wp14:sizeRelV relativeFrom="margin">
                    <wp14:pctHeight>0</wp14:pctHeight>
                  </wp14:sizeRelV>
                </wp:anchor>
              </w:drawing>
            </w:r>
            <w:r w:rsidR="000623A1">
              <w:rPr>
                <w:sz w:val="18"/>
                <w:lang w:val="en-IN"/>
              </w:rPr>
              <w:t>(b</w:t>
            </w:r>
            <w:r w:rsidRPr="00357BE7">
              <w:rPr>
                <w:sz w:val="18"/>
                <w:lang w:val="en-IN"/>
              </w:rPr>
              <w:t>)</w:t>
            </w:r>
          </w:p>
        </w:tc>
      </w:tr>
    </w:tbl>
    <w:p w14:paraId="744C90B3" w14:textId="2E39A35D" w:rsidR="00AD36CE" w:rsidRDefault="00AD36CE">
      <w:pPr>
        <w:pStyle w:val="Caption"/>
      </w:pPr>
      <w:r>
        <w:t xml:space="preserve">Figure </w:t>
      </w:r>
      <w:r>
        <w:fldChar w:fldCharType="begin"/>
      </w:r>
      <w:r>
        <w:instrText xml:space="preserve"> SEQ Figure \* ARABIC </w:instrText>
      </w:r>
      <w:r>
        <w:fldChar w:fldCharType="separate"/>
      </w:r>
      <w:r>
        <w:rPr>
          <w:noProof/>
        </w:rPr>
        <w:t>3</w:t>
      </w:r>
      <w:r>
        <w:fldChar w:fldCharType="end"/>
      </w:r>
      <w:r>
        <w:t>.</w:t>
      </w:r>
      <w:r w:rsidRPr="003D1749">
        <w:t>Counterfactuals and prototypes for test r</w:t>
      </w:r>
      <w:r w:rsidR="000623A1">
        <w:t>un 1 at t=85</w:t>
      </w:r>
    </w:p>
    <w:p w14:paraId="274CFCE1" w14:textId="3E83DDB2" w:rsidR="00AE66DE" w:rsidRPr="000F560C" w:rsidRDefault="00070FB9" w:rsidP="00561E96">
      <w:pPr>
        <w:pStyle w:val="Els-body-text"/>
        <w:spacing w:before="240"/>
      </w:pPr>
      <w:r>
        <w:t xml:space="preserve">In summary, </w:t>
      </w:r>
      <w:proofErr w:type="gramStart"/>
      <w:r w:rsidR="004978B7" w:rsidRPr="00E4389D">
        <w:t>The</w:t>
      </w:r>
      <w:proofErr w:type="gramEnd"/>
      <w:r w:rsidR="004978B7" w:rsidRPr="00E4389D">
        <w:t xml:space="preserve"> case study showcases </w:t>
      </w:r>
      <w:r w:rsidR="00561E96">
        <w:t>five</w:t>
      </w:r>
      <w:r w:rsidR="004978B7" w:rsidRPr="00E4389D">
        <w:t xml:space="preserve"> key </w:t>
      </w:r>
      <w:r w:rsidR="004978B7">
        <w:t xml:space="preserve">potential </w:t>
      </w:r>
      <w:r w:rsidR="004978B7" w:rsidRPr="00E4389D">
        <w:t xml:space="preserve">insights </w:t>
      </w:r>
      <w:r w:rsidR="004978B7">
        <w:t>obta</w:t>
      </w:r>
      <w:r w:rsidR="00FF0A0F">
        <w:t>ined from explanation-by-</w:t>
      </w:r>
      <w:r w:rsidR="004978B7">
        <w:t xml:space="preserve">examples: </w:t>
      </w:r>
      <w:r w:rsidR="00561E96" w:rsidRPr="00561E96">
        <w:rPr>
          <w:i/>
        </w:rPr>
        <w:t xml:space="preserve">steady-state </w:t>
      </w:r>
      <w:r w:rsidR="00592251">
        <w:rPr>
          <w:i/>
        </w:rPr>
        <w:t>insights</w:t>
      </w:r>
      <w:r w:rsidR="00561E96">
        <w:t xml:space="preserve"> for normal state, </w:t>
      </w:r>
      <w:r w:rsidR="004978B7" w:rsidRPr="00E4389D">
        <w:rPr>
          <w:i/>
        </w:rPr>
        <w:t>target-based insights</w:t>
      </w:r>
      <w:r w:rsidR="004978B7" w:rsidRPr="00E4389D">
        <w:t xml:space="preserve"> for returning to normal, </w:t>
      </w:r>
      <w:r w:rsidR="004978B7" w:rsidRPr="00E4389D">
        <w:rPr>
          <w:i/>
        </w:rPr>
        <w:t>pattern-based insights</w:t>
      </w:r>
      <w:r w:rsidR="004978B7" w:rsidRPr="00E4389D">
        <w:t xml:space="preserve"> for unde</w:t>
      </w:r>
      <w:r w:rsidR="004978B7">
        <w:t xml:space="preserve">rstanding evolving states, </w:t>
      </w:r>
      <w:r w:rsidR="004978B7" w:rsidRPr="00E4389D">
        <w:rPr>
          <w:i/>
        </w:rPr>
        <w:t>counter insights</w:t>
      </w:r>
      <w:r w:rsidR="004978B7" w:rsidRPr="00E4389D">
        <w:t xml:space="preserve"> explaining why samples are not predicted as specific faults, </w:t>
      </w:r>
      <w:r w:rsidR="004978B7">
        <w:t xml:space="preserve">and </w:t>
      </w:r>
      <w:r w:rsidR="004978B7" w:rsidRPr="00E4389D">
        <w:rPr>
          <w:i/>
        </w:rPr>
        <w:t>nearest optimal insights</w:t>
      </w:r>
      <w:r w:rsidR="004978B7" w:rsidRPr="00E4389D">
        <w:t xml:space="preserve"> guiding operators to an operable normal</w:t>
      </w:r>
      <w:r w:rsidR="00933F97">
        <w:t xml:space="preserve"> </w:t>
      </w:r>
      <w:r w:rsidR="004978B7" w:rsidRPr="00E4389D">
        <w:t>state</w:t>
      </w:r>
      <w:r w:rsidR="004978B7">
        <w:t xml:space="preserve">. </w:t>
      </w:r>
      <w:r w:rsidR="00592251">
        <w:t>These</w:t>
      </w:r>
      <w:r w:rsidR="004978B7">
        <w:t xml:space="preserve"> insights </w:t>
      </w:r>
      <w:r w:rsidR="00592251">
        <w:t>help</w:t>
      </w:r>
      <w:r w:rsidR="004978B7">
        <w:t xml:space="preserve"> the operator to </w:t>
      </w:r>
      <w:r w:rsidR="004978B7" w:rsidRPr="000F560C">
        <w:t>understand AI decisions more intuitively</w:t>
      </w:r>
      <w:r w:rsidR="004978B7">
        <w:t xml:space="preserve"> and</w:t>
      </w:r>
      <w:r w:rsidR="004978B7" w:rsidRPr="000F560C">
        <w:t xml:space="preserve"> </w:t>
      </w:r>
      <w:r w:rsidR="004978B7">
        <w:t>aid</w:t>
      </w:r>
      <w:r w:rsidR="004978B7" w:rsidRPr="000F560C">
        <w:t xml:space="preserve"> the process recovery. </w:t>
      </w:r>
    </w:p>
    <w:p w14:paraId="49226FA6" w14:textId="77777777" w:rsidR="001174BA" w:rsidRPr="000F560C" w:rsidRDefault="001174BA" w:rsidP="00357BE7">
      <w:pPr>
        <w:pStyle w:val="Els-body-text"/>
      </w:pPr>
    </w:p>
    <w:p w14:paraId="144DE6B5" w14:textId="69B3E8AE" w:rsidR="008D2649" w:rsidRPr="000F560C" w:rsidRDefault="002D6C3A" w:rsidP="00745138">
      <w:pPr>
        <w:pStyle w:val="Els-1storder-head"/>
        <w:spacing w:before="0"/>
      </w:pPr>
      <w:r w:rsidRPr="000F560C">
        <w:t>Conclusion</w:t>
      </w:r>
      <w:r w:rsidR="009A71C4" w:rsidRPr="000F560C">
        <w:t>s</w:t>
      </w:r>
    </w:p>
    <w:p w14:paraId="1B71BC84" w14:textId="043E0E70" w:rsidR="005C49CD" w:rsidRDefault="006077F1" w:rsidP="00357BE7">
      <w:pPr>
        <w:pStyle w:val="Els-body-text"/>
        <w:rPr>
          <w:lang w:val="en-GB"/>
        </w:rPr>
      </w:pPr>
      <w:r w:rsidRPr="000F560C">
        <w:rPr>
          <w:lang w:val="en-GB"/>
        </w:rPr>
        <w:t xml:space="preserve">This </w:t>
      </w:r>
      <w:r w:rsidR="00E90E46" w:rsidRPr="000F560C">
        <w:rPr>
          <w:lang w:val="en-GB"/>
        </w:rPr>
        <w:t>work</w:t>
      </w:r>
      <w:r w:rsidRPr="000F560C">
        <w:rPr>
          <w:lang w:val="en-GB"/>
        </w:rPr>
        <w:t xml:space="preserve"> introduces </w:t>
      </w:r>
      <w:r w:rsidR="00AB2737">
        <w:rPr>
          <w:lang w:val="en-GB"/>
        </w:rPr>
        <w:t>the</w:t>
      </w:r>
      <w:r w:rsidRPr="000F560C">
        <w:rPr>
          <w:lang w:val="en-GB"/>
        </w:rPr>
        <w:t xml:space="preserve"> </w:t>
      </w:r>
      <w:r w:rsidR="00E90E46" w:rsidRPr="000F560C">
        <w:rPr>
          <w:lang w:val="en-GB"/>
        </w:rPr>
        <w:t>potential</w:t>
      </w:r>
      <w:r w:rsidRPr="000F560C">
        <w:rPr>
          <w:lang w:val="en-GB"/>
        </w:rPr>
        <w:t xml:space="preserve"> of </w:t>
      </w:r>
      <w:r w:rsidR="00E90E46" w:rsidRPr="000F560C">
        <w:rPr>
          <w:lang w:val="en-GB"/>
        </w:rPr>
        <w:t>explanations</w:t>
      </w:r>
      <w:r w:rsidR="007A65A7">
        <w:rPr>
          <w:lang w:val="en-GB"/>
        </w:rPr>
        <w:t>-by-example</w:t>
      </w:r>
      <w:r w:rsidR="00E90E46" w:rsidRPr="000F560C">
        <w:rPr>
          <w:lang w:val="en-GB"/>
        </w:rPr>
        <w:t xml:space="preserve"> </w:t>
      </w:r>
      <w:r w:rsidRPr="000F560C">
        <w:rPr>
          <w:lang w:val="en-GB"/>
        </w:rPr>
        <w:t xml:space="preserve">in the chemical industry, addressing the interpretability challenges associated with </w:t>
      </w:r>
      <w:r w:rsidR="00E90E46" w:rsidRPr="000F560C">
        <w:rPr>
          <w:lang w:val="en-GB"/>
        </w:rPr>
        <w:t>AI model results</w:t>
      </w:r>
      <w:r w:rsidRPr="000F560C">
        <w:rPr>
          <w:lang w:val="en-GB"/>
        </w:rPr>
        <w:t>.</w:t>
      </w:r>
      <w:r w:rsidR="00E90E46" w:rsidRPr="000F560C">
        <w:t xml:space="preserve"> T</w:t>
      </w:r>
      <w:r w:rsidR="00E90E46" w:rsidRPr="000F560C">
        <w:rPr>
          <w:lang w:val="en-GB"/>
        </w:rPr>
        <w:t xml:space="preserve">he proposed methodology combines variable selection and counterfactual generation to enhance the understanding of AI predictions for the operator. Using counterfactuals in </w:t>
      </w:r>
      <w:r w:rsidR="00AB2737">
        <w:rPr>
          <w:lang w:val="en-GB"/>
        </w:rPr>
        <w:t xml:space="preserve">the </w:t>
      </w:r>
      <w:r w:rsidR="00E90E46" w:rsidRPr="000F560C">
        <w:rPr>
          <w:lang w:val="en-GB"/>
        </w:rPr>
        <w:t xml:space="preserve">CSTR Case study, we presented </w:t>
      </w:r>
      <w:r w:rsidR="00AB2737">
        <w:rPr>
          <w:lang w:val="en-GB"/>
        </w:rPr>
        <w:t xml:space="preserve">the </w:t>
      </w:r>
      <w:r w:rsidR="00E90E46" w:rsidRPr="000F560C">
        <w:rPr>
          <w:lang w:val="en-GB"/>
        </w:rPr>
        <w:t>distinct potential of prototype and counterfactual to provide insights</w:t>
      </w:r>
      <w:r w:rsidR="00592251">
        <w:rPr>
          <w:lang w:val="en-GB"/>
        </w:rPr>
        <w:t>,</w:t>
      </w:r>
      <w:r w:rsidR="00E90E46" w:rsidRPr="000F560C">
        <w:rPr>
          <w:lang w:val="en-GB"/>
        </w:rPr>
        <w:t xml:space="preserve"> i.e., </w:t>
      </w:r>
      <w:r w:rsidR="00561E96">
        <w:rPr>
          <w:lang w:val="en-GB"/>
        </w:rPr>
        <w:t xml:space="preserve">steady-state, </w:t>
      </w:r>
      <w:r w:rsidR="00E90E46" w:rsidRPr="000F560C">
        <w:rPr>
          <w:lang w:val="en-GB"/>
        </w:rPr>
        <w:t>target-based, pattern-based, counter</w:t>
      </w:r>
      <w:r w:rsidR="009F4B5E" w:rsidRPr="000F560C">
        <w:rPr>
          <w:lang w:val="en-GB"/>
        </w:rPr>
        <w:t xml:space="preserve">, and nearest optimal insights. This </w:t>
      </w:r>
      <w:r w:rsidR="00AB2737">
        <w:rPr>
          <w:lang w:val="en-GB"/>
        </w:rPr>
        <w:t>aids</w:t>
      </w:r>
      <w:r w:rsidR="009F4B5E" w:rsidRPr="000F560C">
        <w:rPr>
          <w:lang w:val="en-GB"/>
        </w:rPr>
        <w:t xml:space="preserve"> in decision-making, pro</w:t>
      </w:r>
      <w:bookmarkStart w:id="0" w:name="_GoBack"/>
      <w:bookmarkEnd w:id="0"/>
      <w:r w:rsidR="009F4B5E" w:rsidRPr="000F560C">
        <w:rPr>
          <w:lang w:val="en-GB"/>
        </w:rPr>
        <w:t>cess recovery, and effective training of plant personnel. This innovative use of CF</w:t>
      </w:r>
      <w:r w:rsidR="00561E96">
        <w:rPr>
          <w:lang w:val="en-GB"/>
        </w:rPr>
        <w:t>s</w:t>
      </w:r>
      <w:r w:rsidR="009F4B5E" w:rsidRPr="000F560C">
        <w:rPr>
          <w:lang w:val="en-GB"/>
        </w:rPr>
        <w:t xml:space="preserve"> holds significant potential for developing trust and facilitating the adoption of AI in real-world chemical industries.</w:t>
      </w:r>
      <w:r w:rsidR="005C49CD">
        <w:rPr>
          <w:lang w:val="en-GB"/>
        </w:rPr>
        <w:t xml:space="preserve"> In the future, we </w:t>
      </w:r>
      <w:r w:rsidR="00326E22">
        <w:rPr>
          <w:lang w:val="en-GB"/>
        </w:rPr>
        <w:t xml:space="preserve">will </w:t>
      </w:r>
      <w:r w:rsidR="005C49CD">
        <w:rPr>
          <w:lang w:val="en-GB"/>
        </w:rPr>
        <w:t xml:space="preserve">focus on </w:t>
      </w:r>
      <w:r w:rsidR="00C45AD8">
        <w:rPr>
          <w:lang w:val="en-GB"/>
        </w:rPr>
        <w:t>providing insights a</w:t>
      </w:r>
      <w:r w:rsidR="001448D1">
        <w:rPr>
          <w:lang w:val="en-GB"/>
        </w:rPr>
        <w:t>s well</w:t>
      </w:r>
      <w:r w:rsidR="005C49CD">
        <w:rPr>
          <w:lang w:val="en-GB"/>
        </w:rPr>
        <w:t xml:space="preserve"> </w:t>
      </w:r>
      <w:r w:rsidR="00C45AD8">
        <w:rPr>
          <w:lang w:val="en-GB"/>
        </w:rPr>
        <w:t>a</w:t>
      </w:r>
      <w:r w:rsidR="001448D1">
        <w:rPr>
          <w:lang w:val="en-GB"/>
        </w:rPr>
        <w:t>s</w:t>
      </w:r>
      <w:r w:rsidR="005C49CD">
        <w:rPr>
          <w:lang w:val="en-GB"/>
        </w:rPr>
        <w:t xml:space="preserve"> systematic mitigation </w:t>
      </w:r>
      <w:r w:rsidR="00592251">
        <w:rPr>
          <w:lang w:val="en-GB"/>
        </w:rPr>
        <w:t>strategies</w:t>
      </w:r>
      <w:r w:rsidR="005C49CD">
        <w:rPr>
          <w:lang w:val="en-GB"/>
        </w:rPr>
        <w:t xml:space="preserve"> to the operator</w:t>
      </w:r>
      <w:r w:rsidR="009950B1">
        <w:rPr>
          <w:lang w:val="en-GB"/>
        </w:rPr>
        <w:t xml:space="preserve"> for process recovery</w:t>
      </w:r>
      <w:r w:rsidR="005C49CD">
        <w:rPr>
          <w:lang w:val="en-GB"/>
        </w:rPr>
        <w:t>.</w:t>
      </w:r>
    </w:p>
    <w:p w14:paraId="39CF5C95" w14:textId="77777777" w:rsidR="001174BA" w:rsidRPr="000F560C" w:rsidRDefault="001174BA" w:rsidP="00357BE7">
      <w:pPr>
        <w:pStyle w:val="Els-body-text"/>
        <w:rPr>
          <w:lang w:val="en-GB"/>
        </w:rPr>
      </w:pPr>
    </w:p>
    <w:p w14:paraId="144DE6BF" w14:textId="62C82813" w:rsidR="008D2649" w:rsidRPr="000F560C" w:rsidRDefault="008D2649" w:rsidP="00745138">
      <w:pPr>
        <w:pStyle w:val="Els-reference-head"/>
        <w:spacing w:before="0"/>
      </w:pPr>
      <w:r w:rsidRPr="000F560C">
        <w:t>References</w:t>
      </w:r>
    </w:p>
    <w:p w14:paraId="65DD0579" w14:textId="77777777" w:rsidR="00BA43BB" w:rsidRPr="00BA43BB" w:rsidRDefault="00727A19" w:rsidP="00BA43BB">
      <w:pPr>
        <w:pStyle w:val="Bibliography"/>
        <w:rPr>
          <w:sz w:val="18"/>
        </w:rPr>
      </w:pPr>
      <w:r w:rsidRPr="000F560C">
        <w:rPr>
          <w:lang w:val="en-US"/>
        </w:rPr>
        <w:fldChar w:fldCharType="begin"/>
      </w:r>
      <w:r w:rsidR="00BA43BB">
        <w:rPr>
          <w:lang w:val="en-US"/>
        </w:rPr>
        <w:instrText xml:space="preserve"> ADDIN ZOTERO_BIBL {"uncited":[],"omitted":[],"custom":[]} CSL_BIBLIOGRAPHY </w:instrText>
      </w:r>
      <w:r w:rsidRPr="000F560C">
        <w:rPr>
          <w:lang w:val="en-US"/>
        </w:rPr>
        <w:fldChar w:fldCharType="separate"/>
      </w:r>
      <w:r w:rsidR="00BA43BB" w:rsidRPr="00BA43BB">
        <w:rPr>
          <w:sz w:val="18"/>
        </w:rPr>
        <w:t>Arrieta, A.B., Díaz-Rodríguez, N., Ser, J.D., Bennetot, A., Tabik, S., Barbado, A., Garcia, S., Gil-Lopez, S., Molina, D., Benjamins, R., Chatila, R., Herrera, F., 2020. Explainable Artificial Intelligence (XAI): Concepts, taxonomies, opportunities and challenges toward responsible AI. Information Fusion 58, 82–115. https://doi.org/10.1016/j.inffus.2019.12.012</w:t>
      </w:r>
    </w:p>
    <w:p w14:paraId="6B27CED1" w14:textId="77777777" w:rsidR="00BA43BB" w:rsidRPr="00BA43BB" w:rsidRDefault="00BA43BB" w:rsidP="00BA43BB">
      <w:pPr>
        <w:pStyle w:val="Bibliography"/>
        <w:rPr>
          <w:sz w:val="18"/>
        </w:rPr>
      </w:pPr>
      <w:r w:rsidRPr="00BA43BB">
        <w:rPr>
          <w:sz w:val="18"/>
        </w:rPr>
        <w:t>Bhakte, A., Chakane, M., Srinivasan, R., 2023. Alarm-based Explanations of Process Monitoring Results from Deep Neural Networks. Computers &amp; Chemical Engineering 179, 108442. https://doi.org/10.1016/j.compchemeng.2023.108442</w:t>
      </w:r>
    </w:p>
    <w:p w14:paraId="71361C49" w14:textId="312E66CA" w:rsidR="00BA43BB" w:rsidRPr="00BA43BB" w:rsidRDefault="00BA43BB" w:rsidP="00BA43BB">
      <w:pPr>
        <w:pStyle w:val="Bibliography"/>
        <w:rPr>
          <w:sz w:val="18"/>
        </w:rPr>
      </w:pPr>
      <w:r w:rsidRPr="00BA43BB">
        <w:rPr>
          <w:sz w:val="18"/>
        </w:rPr>
        <w:t xml:space="preserve">Bhakte, A., Pakkiriswamy, V., Srinivasan, R., 2022. An explainable artificial </w:t>
      </w:r>
      <w:r w:rsidR="00AB2737">
        <w:rPr>
          <w:sz w:val="18"/>
        </w:rPr>
        <w:t>intelligence-based</w:t>
      </w:r>
      <w:r w:rsidRPr="00BA43BB">
        <w:rPr>
          <w:sz w:val="18"/>
        </w:rPr>
        <w:t xml:space="preserve"> approach for interpretation of fault classification results from deep neural networks. Chemical Engineering Science 250, 117373. https://doi.org/10.1016/j.ces.2021.117373</w:t>
      </w:r>
    </w:p>
    <w:p w14:paraId="43E8202B" w14:textId="77777777" w:rsidR="00BA43BB" w:rsidRPr="00BA43BB" w:rsidRDefault="00BA43BB" w:rsidP="00BA43BB">
      <w:pPr>
        <w:pStyle w:val="Bibliography"/>
        <w:rPr>
          <w:sz w:val="18"/>
        </w:rPr>
      </w:pPr>
      <w:r w:rsidRPr="00BA43BB">
        <w:rPr>
          <w:sz w:val="18"/>
        </w:rPr>
        <w:t>Molnar, C., 2022. Interpretable Machine Learning: A Guide for Making Black Box Models Explainable.</w:t>
      </w:r>
    </w:p>
    <w:p w14:paraId="039BA1DD" w14:textId="6D1E314E" w:rsidR="000258A0" w:rsidRPr="00745138" w:rsidRDefault="00727A19" w:rsidP="00745138">
      <w:pPr>
        <w:pStyle w:val="Els-referenceno-number"/>
        <w:ind w:left="0" w:firstLine="0"/>
        <w:rPr>
          <w:lang w:val="en-US"/>
        </w:rPr>
      </w:pPr>
      <w:r w:rsidRPr="000F560C">
        <w:rPr>
          <w:lang w:val="en-US"/>
        </w:rPr>
        <w:fldChar w:fldCharType="end"/>
      </w:r>
    </w:p>
    <w:sectPr w:rsidR="000258A0" w:rsidRPr="00745138"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16420A" w16cex:dateUtc="2023-11-30T18:36:00Z"/>
  <w16cex:commentExtensible w16cex:durableId="37685B3C" w16cex:dateUtc="2023-11-30T18:59:00Z"/>
  <w16cex:commentExtensible w16cex:durableId="1A9A8D8E" w16cex:dateUtc="2023-11-30T19:02:00Z"/>
  <w16cex:commentExtensible w16cex:durableId="30885402" w16cex:dateUtc="2023-11-30T19:02:00Z"/>
  <w16cex:commentExtensible w16cex:durableId="7123F948" w16cex:dateUtc="2023-11-30T19:12:00Z"/>
  <w16cex:commentExtensible w16cex:durableId="25040399" w16cex:dateUtc="2023-11-30T19:14:00Z"/>
  <w16cex:commentExtensible w16cex:durableId="5854B514" w16cex:dateUtc="2023-11-30T19:15:00Z"/>
  <w16cex:commentExtensible w16cex:durableId="0E997EF2" w16cex:dateUtc="2023-11-30T19:16:00Z"/>
  <w16cex:commentExtensible w16cex:durableId="1F1E6648" w16cex:dateUtc="2023-11-30T19:27:00Z"/>
  <w16cex:commentExtensible w16cex:durableId="625E13D0" w16cex:dateUtc="2023-11-30T19:27:00Z"/>
  <w16cex:commentExtensible w16cex:durableId="27F37514" w16cex:dateUtc="2023-11-30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0E6FE" w16cid:durableId="2F16420A"/>
  <w16cid:commentId w16cid:paraId="10EE9264" w16cid:durableId="37685B3C"/>
  <w16cid:commentId w16cid:paraId="104EBE58" w16cid:durableId="1A9A8D8E"/>
  <w16cid:commentId w16cid:paraId="696852E0" w16cid:durableId="30885402"/>
  <w16cid:commentId w16cid:paraId="568839C5" w16cid:durableId="7123F948"/>
  <w16cid:commentId w16cid:paraId="5AD0577A" w16cid:durableId="25040399"/>
  <w16cid:commentId w16cid:paraId="6409987D" w16cid:durableId="5854B514"/>
  <w16cid:commentId w16cid:paraId="1AD7A159" w16cid:durableId="0E997EF2"/>
  <w16cid:commentId w16cid:paraId="1E473ABA" w16cid:durableId="1F1E6648"/>
  <w16cid:commentId w16cid:paraId="33E1742B" w16cid:durableId="625E13D0"/>
  <w16cid:commentId w16cid:paraId="596A07D1" w16cid:durableId="27F375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D751" w14:textId="77777777" w:rsidR="00525EC5" w:rsidRDefault="00525EC5">
      <w:r>
        <w:separator/>
      </w:r>
    </w:p>
  </w:endnote>
  <w:endnote w:type="continuationSeparator" w:id="0">
    <w:p w14:paraId="1187C6CB" w14:textId="77777777" w:rsidR="00525EC5" w:rsidRDefault="0052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E37DA" w14:textId="77777777" w:rsidR="00525EC5" w:rsidRDefault="00525EC5">
      <w:r>
        <w:separator/>
      </w:r>
    </w:p>
  </w:footnote>
  <w:footnote w:type="continuationSeparator" w:id="0">
    <w:p w14:paraId="2149F5A9" w14:textId="77777777" w:rsidR="00525EC5" w:rsidRDefault="00525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02FAAE2E" w:rsidR="002E695D" w:rsidRDefault="002E695D">
    <w:pPr>
      <w:pStyle w:val="Header"/>
      <w:tabs>
        <w:tab w:val="clear" w:pos="7200"/>
        <w:tab w:val="right" w:pos="7088"/>
      </w:tabs>
    </w:pPr>
    <w:r>
      <w:rPr>
        <w:rStyle w:val="PageNumber"/>
      </w:rPr>
      <w:tab/>
    </w:r>
    <w:r>
      <w:rPr>
        <w:rStyle w:val="PageNumber"/>
        <w:i/>
      </w:rPr>
      <w:tab/>
    </w:r>
    <w:r>
      <w:rPr>
        <w:i/>
      </w:rPr>
      <w:t>A.Bhakte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4431A43F" w:rsidR="002E695D" w:rsidRDefault="002E695D" w:rsidP="006D7C0A">
    <w:pPr>
      <w:pStyle w:val="Header"/>
      <w:tabs>
        <w:tab w:val="clear" w:pos="7200"/>
        <w:tab w:val="right" w:pos="7088"/>
      </w:tabs>
      <w:rPr>
        <w:sz w:val="24"/>
      </w:rPr>
    </w:pPr>
    <w:r w:rsidRPr="006D7C0A">
      <w:rPr>
        <w:i/>
      </w:rPr>
      <w:t xml:space="preserve">Unlocking the Potential of </w:t>
    </w:r>
    <w:r>
      <w:rPr>
        <w:i/>
      </w:rPr>
      <w:t>CF</w:t>
    </w:r>
    <w:r w:rsidRPr="006D7C0A">
      <w:rPr>
        <w:i/>
      </w:rPr>
      <w:t xml:space="preserve"> Explanati</w:t>
    </w:r>
    <w:r>
      <w:rPr>
        <w:i/>
      </w:rPr>
      <w:t>ons in the Digtalized. Chemical Industry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2E695D" w:rsidRPr="003B50B5" w:rsidRDefault="002E695D"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2E695D" w:rsidRDefault="002E695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W3MDcyMLc0NzIxN7RU0lEKTi0uzszPAykwqgUAUbxmfiwAAAA="/>
  </w:docVars>
  <w:rsids>
    <w:rsidRoot w:val="00B63237"/>
    <w:rsid w:val="00003BB8"/>
    <w:rsid w:val="00004AD2"/>
    <w:rsid w:val="0001166C"/>
    <w:rsid w:val="0001404D"/>
    <w:rsid w:val="000258A0"/>
    <w:rsid w:val="00031621"/>
    <w:rsid w:val="00044F72"/>
    <w:rsid w:val="000623A1"/>
    <w:rsid w:val="00070FB9"/>
    <w:rsid w:val="00074813"/>
    <w:rsid w:val="0007543B"/>
    <w:rsid w:val="000764A2"/>
    <w:rsid w:val="00081169"/>
    <w:rsid w:val="00087D86"/>
    <w:rsid w:val="00092FC5"/>
    <w:rsid w:val="00095A47"/>
    <w:rsid w:val="000971B0"/>
    <w:rsid w:val="000A40A2"/>
    <w:rsid w:val="000A4A68"/>
    <w:rsid w:val="000A4CAF"/>
    <w:rsid w:val="000A55BF"/>
    <w:rsid w:val="000B2481"/>
    <w:rsid w:val="000B5FB2"/>
    <w:rsid w:val="000B7CEA"/>
    <w:rsid w:val="000C3A32"/>
    <w:rsid w:val="000C5EF0"/>
    <w:rsid w:val="000D2BFA"/>
    <w:rsid w:val="000D3D9B"/>
    <w:rsid w:val="000D48A8"/>
    <w:rsid w:val="000D5FD7"/>
    <w:rsid w:val="000D7FFD"/>
    <w:rsid w:val="000E1266"/>
    <w:rsid w:val="000E6ECA"/>
    <w:rsid w:val="000F41D8"/>
    <w:rsid w:val="000F5026"/>
    <w:rsid w:val="000F560C"/>
    <w:rsid w:val="000F63DB"/>
    <w:rsid w:val="00105E22"/>
    <w:rsid w:val="00110B77"/>
    <w:rsid w:val="00112FED"/>
    <w:rsid w:val="001174BA"/>
    <w:rsid w:val="0013062B"/>
    <w:rsid w:val="001448D1"/>
    <w:rsid w:val="00145214"/>
    <w:rsid w:val="0016032F"/>
    <w:rsid w:val="00162174"/>
    <w:rsid w:val="0017075F"/>
    <w:rsid w:val="00173A30"/>
    <w:rsid w:val="00180880"/>
    <w:rsid w:val="0018311E"/>
    <w:rsid w:val="00183404"/>
    <w:rsid w:val="001879F6"/>
    <w:rsid w:val="0019294F"/>
    <w:rsid w:val="00194F0F"/>
    <w:rsid w:val="001979B0"/>
    <w:rsid w:val="00197E3A"/>
    <w:rsid w:val="001B30CE"/>
    <w:rsid w:val="001B7EED"/>
    <w:rsid w:val="001C0148"/>
    <w:rsid w:val="001C757E"/>
    <w:rsid w:val="001D6E8E"/>
    <w:rsid w:val="001F184E"/>
    <w:rsid w:val="001F5611"/>
    <w:rsid w:val="0020390F"/>
    <w:rsid w:val="0021431E"/>
    <w:rsid w:val="002159B3"/>
    <w:rsid w:val="00215AAF"/>
    <w:rsid w:val="00243BC4"/>
    <w:rsid w:val="00264926"/>
    <w:rsid w:val="002906F5"/>
    <w:rsid w:val="00294EE8"/>
    <w:rsid w:val="002A4D2E"/>
    <w:rsid w:val="002A656C"/>
    <w:rsid w:val="002B144C"/>
    <w:rsid w:val="002B28DE"/>
    <w:rsid w:val="002B71F9"/>
    <w:rsid w:val="002C1578"/>
    <w:rsid w:val="002C3A52"/>
    <w:rsid w:val="002D317C"/>
    <w:rsid w:val="002D6C3A"/>
    <w:rsid w:val="002E24AA"/>
    <w:rsid w:val="002E2C5B"/>
    <w:rsid w:val="002E695D"/>
    <w:rsid w:val="002F0A5C"/>
    <w:rsid w:val="002F584C"/>
    <w:rsid w:val="002F6F8C"/>
    <w:rsid w:val="0030236C"/>
    <w:rsid w:val="00304785"/>
    <w:rsid w:val="003211D3"/>
    <w:rsid w:val="00322C09"/>
    <w:rsid w:val="00326E22"/>
    <w:rsid w:val="0032772B"/>
    <w:rsid w:val="00340D54"/>
    <w:rsid w:val="00347C7A"/>
    <w:rsid w:val="00357BE7"/>
    <w:rsid w:val="003679D8"/>
    <w:rsid w:val="00370639"/>
    <w:rsid w:val="0037278E"/>
    <w:rsid w:val="00377E42"/>
    <w:rsid w:val="00396586"/>
    <w:rsid w:val="003A0612"/>
    <w:rsid w:val="003A1656"/>
    <w:rsid w:val="003A41CE"/>
    <w:rsid w:val="003B0AFF"/>
    <w:rsid w:val="003B58E2"/>
    <w:rsid w:val="003B63E8"/>
    <w:rsid w:val="003B71BE"/>
    <w:rsid w:val="003B7E82"/>
    <w:rsid w:val="003C0926"/>
    <w:rsid w:val="003C5083"/>
    <w:rsid w:val="003D0D02"/>
    <w:rsid w:val="003D1582"/>
    <w:rsid w:val="003D69A6"/>
    <w:rsid w:val="003D6F4A"/>
    <w:rsid w:val="003D7E4C"/>
    <w:rsid w:val="003E41C2"/>
    <w:rsid w:val="003F5F1F"/>
    <w:rsid w:val="003F66D1"/>
    <w:rsid w:val="00405203"/>
    <w:rsid w:val="004055D6"/>
    <w:rsid w:val="004067A8"/>
    <w:rsid w:val="00411066"/>
    <w:rsid w:val="00426299"/>
    <w:rsid w:val="00444C8F"/>
    <w:rsid w:val="00452211"/>
    <w:rsid w:val="00474800"/>
    <w:rsid w:val="00480BF8"/>
    <w:rsid w:val="00487FF9"/>
    <w:rsid w:val="0049074F"/>
    <w:rsid w:val="004933CA"/>
    <w:rsid w:val="004939F9"/>
    <w:rsid w:val="0049772C"/>
    <w:rsid w:val="004978B7"/>
    <w:rsid w:val="004B3F0E"/>
    <w:rsid w:val="004C0DC2"/>
    <w:rsid w:val="004C2CAA"/>
    <w:rsid w:val="004D1825"/>
    <w:rsid w:val="004D468A"/>
    <w:rsid w:val="004D578E"/>
    <w:rsid w:val="004F4BCB"/>
    <w:rsid w:val="00501606"/>
    <w:rsid w:val="005041F7"/>
    <w:rsid w:val="00506BAA"/>
    <w:rsid w:val="005111C5"/>
    <w:rsid w:val="005135A9"/>
    <w:rsid w:val="00517E1D"/>
    <w:rsid w:val="0052420E"/>
    <w:rsid w:val="00525EC5"/>
    <w:rsid w:val="00530F03"/>
    <w:rsid w:val="0053324B"/>
    <w:rsid w:val="00536DE6"/>
    <w:rsid w:val="005467D3"/>
    <w:rsid w:val="00552EEB"/>
    <w:rsid w:val="00561E96"/>
    <w:rsid w:val="00566E5E"/>
    <w:rsid w:val="00577E21"/>
    <w:rsid w:val="00592251"/>
    <w:rsid w:val="00592954"/>
    <w:rsid w:val="0059491C"/>
    <w:rsid w:val="00596160"/>
    <w:rsid w:val="00597901"/>
    <w:rsid w:val="005A4BDA"/>
    <w:rsid w:val="005C49CD"/>
    <w:rsid w:val="005C5C06"/>
    <w:rsid w:val="005C6C02"/>
    <w:rsid w:val="005D2125"/>
    <w:rsid w:val="005D71B7"/>
    <w:rsid w:val="005E601A"/>
    <w:rsid w:val="005F382E"/>
    <w:rsid w:val="006014E4"/>
    <w:rsid w:val="00604B47"/>
    <w:rsid w:val="006077F1"/>
    <w:rsid w:val="006106D0"/>
    <w:rsid w:val="00612E24"/>
    <w:rsid w:val="00613161"/>
    <w:rsid w:val="006149B3"/>
    <w:rsid w:val="0061564A"/>
    <w:rsid w:val="00625CA9"/>
    <w:rsid w:val="006263C9"/>
    <w:rsid w:val="006270A9"/>
    <w:rsid w:val="00636BB1"/>
    <w:rsid w:val="00645B07"/>
    <w:rsid w:val="00650FF1"/>
    <w:rsid w:val="00653AE5"/>
    <w:rsid w:val="006551F0"/>
    <w:rsid w:val="00656506"/>
    <w:rsid w:val="0067040F"/>
    <w:rsid w:val="00673E5A"/>
    <w:rsid w:val="00675418"/>
    <w:rsid w:val="00682C77"/>
    <w:rsid w:val="0069398D"/>
    <w:rsid w:val="0069549B"/>
    <w:rsid w:val="006A69BF"/>
    <w:rsid w:val="006B0106"/>
    <w:rsid w:val="006B5903"/>
    <w:rsid w:val="006B59A2"/>
    <w:rsid w:val="006C040D"/>
    <w:rsid w:val="006C4C33"/>
    <w:rsid w:val="006C4EBD"/>
    <w:rsid w:val="006C60B7"/>
    <w:rsid w:val="006D6724"/>
    <w:rsid w:val="006D7C0A"/>
    <w:rsid w:val="006E17A4"/>
    <w:rsid w:val="006E2536"/>
    <w:rsid w:val="006E6792"/>
    <w:rsid w:val="006F135E"/>
    <w:rsid w:val="006F3321"/>
    <w:rsid w:val="00711DF4"/>
    <w:rsid w:val="00712581"/>
    <w:rsid w:val="00727A19"/>
    <w:rsid w:val="00732733"/>
    <w:rsid w:val="00733354"/>
    <w:rsid w:val="007345A2"/>
    <w:rsid w:val="00745138"/>
    <w:rsid w:val="0075501F"/>
    <w:rsid w:val="00762977"/>
    <w:rsid w:val="00764F19"/>
    <w:rsid w:val="007743AA"/>
    <w:rsid w:val="00792949"/>
    <w:rsid w:val="0079294F"/>
    <w:rsid w:val="00793A77"/>
    <w:rsid w:val="007940A6"/>
    <w:rsid w:val="007A286E"/>
    <w:rsid w:val="007A65A7"/>
    <w:rsid w:val="007B0776"/>
    <w:rsid w:val="007B2BA1"/>
    <w:rsid w:val="007B3B70"/>
    <w:rsid w:val="007B4548"/>
    <w:rsid w:val="007C2ACE"/>
    <w:rsid w:val="007C5189"/>
    <w:rsid w:val="007D70A1"/>
    <w:rsid w:val="007E33CA"/>
    <w:rsid w:val="007E395D"/>
    <w:rsid w:val="007F0A26"/>
    <w:rsid w:val="00800194"/>
    <w:rsid w:val="00800E9A"/>
    <w:rsid w:val="00805EAF"/>
    <w:rsid w:val="00806B06"/>
    <w:rsid w:val="00807E69"/>
    <w:rsid w:val="008132E8"/>
    <w:rsid w:val="00823407"/>
    <w:rsid w:val="00831944"/>
    <w:rsid w:val="00833943"/>
    <w:rsid w:val="008609C6"/>
    <w:rsid w:val="008631BC"/>
    <w:rsid w:val="00866A90"/>
    <w:rsid w:val="0087058A"/>
    <w:rsid w:val="00882381"/>
    <w:rsid w:val="00884A9C"/>
    <w:rsid w:val="00887D2C"/>
    <w:rsid w:val="008B0184"/>
    <w:rsid w:val="008B1F98"/>
    <w:rsid w:val="008B5091"/>
    <w:rsid w:val="008C5398"/>
    <w:rsid w:val="008C5D02"/>
    <w:rsid w:val="008D199E"/>
    <w:rsid w:val="008D2649"/>
    <w:rsid w:val="008E362A"/>
    <w:rsid w:val="008F23C3"/>
    <w:rsid w:val="009014CA"/>
    <w:rsid w:val="0090568D"/>
    <w:rsid w:val="0091003B"/>
    <w:rsid w:val="009125C9"/>
    <w:rsid w:val="00913879"/>
    <w:rsid w:val="00917240"/>
    <w:rsid w:val="00917661"/>
    <w:rsid w:val="0092565C"/>
    <w:rsid w:val="00933F97"/>
    <w:rsid w:val="0094465B"/>
    <w:rsid w:val="009544C2"/>
    <w:rsid w:val="00970E5D"/>
    <w:rsid w:val="00976F4A"/>
    <w:rsid w:val="0097701C"/>
    <w:rsid w:val="0098090E"/>
    <w:rsid w:val="00980A65"/>
    <w:rsid w:val="009821EF"/>
    <w:rsid w:val="009916AB"/>
    <w:rsid w:val="009950B1"/>
    <w:rsid w:val="00995C23"/>
    <w:rsid w:val="009A22CE"/>
    <w:rsid w:val="009A71C4"/>
    <w:rsid w:val="009B3C03"/>
    <w:rsid w:val="009B5614"/>
    <w:rsid w:val="009B6C16"/>
    <w:rsid w:val="009C1D32"/>
    <w:rsid w:val="009D2C51"/>
    <w:rsid w:val="009D7DD7"/>
    <w:rsid w:val="009E28E3"/>
    <w:rsid w:val="009F030A"/>
    <w:rsid w:val="009F2F7A"/>
    <w:rsid w:val="009F4710"/>
    <w:rsid w:val="009F4B5E"/>
    <w:rsid w:val="009F7C5C"/>
    <w:rsid w:val="00A003D9"/>
    <w:rsid w:val="00A00FE0"/>
    <w:rsid w:val="00A030A1"/>
    <w:rsid w:val="00A06F2C"/>
    <w:rsid w:val="00A1546A"/>
    <w:rsid w:val="00A21F9F"/>
    <w:rsid w:val="00A25E70"/>
    <w:rsid w:val="00A2737C"/>
    <w:rsid w:val="00A33765"/>
    <w:rsid w:val="00A36333"/>
    <w:rsid w:val="00A414D4"/>
    <w:rsid w:val="00A4165E"/>
    <w:rsid w:val="00A565AC"/>
    <w:rsid w:val="00A6249C"/>
    <w:rsid w:val="00A63269"/>
    <w:rsid w:val="00A65A4A"/>
    <w:rsid w:val="00A92377"/>
    <w:rsid w:val="00AA23C6"/>
    <w:rsid w:val="00AA6B5C"/>
    <w:rsid w:val="00AB0BF4"/>
    <w:rsid w:val="00AB2737"/>
    <w:rsid w:val="00AB29ED"/>
    <w:rsid w:val="00AD36CE"/>
    <w:rsid w:val="00AE136F"/>
    <w:rsid w:val="00AE4BD8"/>
    <w:rsid w:val="00AE4DFE"/>
    <w:rsid w:val="00AE66DE"/>
    <w:rsid w:val="00AF0766"/>
    <w:rsid w:val="00AF1AAE"/>
    <w:rsid w:val="00AF1C05"/>
    <w:rsid w:val="00AF4A85"/>
    <w:rsid w:val="00AF4E66"/>
    <w:rsid w:val="00AF78C6"/>
    <w:rsid w:val="00B03877"/>
    <w:rsid w:val="00B06E9B"/>
    <w:rsid w:val="00B17D24"/>
    <w:rsid w:val="00B20F05"/>
    <w:rsid w:val="00B21B25"/>
    <w:rsid w:val="00B22827"/>
    <w:rsid w:val="00B24F85"/>
    <w:rsid w:val="00B42D31"/>
    <w:rsid w:val="00B4388F"/>
    <w:rsid w:val="00B63237"/>
    <w:rsid w:val="00B74B68"/>
    <w:rsid w:val="00B80754"/>
    <w:rsid w:val="00B851B4"/>
    <w:rsid w:val="00BA0006"/>
    <w:rsid w:val="00BA03BA"/>
    <w:rsid w:val="00BA43BB"/>
    <w:rsid w:val="00BB430C"/>
    <w:rsid w:val="00BC40DE"/>
    <w:rsid w:val="00BD29FE"/>
    <w:rsid w:val="00BE4457"/>
    <w:rsid w:val="00BF7A52"/>
    <w:rsid w:val="00C1228C"/>
    <w:rsid w:val="00C201C7"/>
    <w:rsid w:val="00C22415"/>
    <w:rsid w:val="00C25243"/>
    <w:rsid w:val="00C35E65"/>
    <w:rsid w:val="00C45AD8"/>
    <w:rsid w:val="00C46AB8"/>
    <w:rsid w:val="00C522F6"/>
    <w:rsid w:val="00C61468"/>
    <w:rsid w:val="00C627BD"/>
    <w:rsid w:val="00C636E0"/>
    <w:rsid w:val="00C70911"/>
    <w:rsid w:val="00C71EB3"/>
    <w:rsid w:val="00C74775"/>
    <w:rsid w:val="00C74FA3"/>
    <w:rsid w:val="00C7787F"/>
    <w:rsid w:val="00C82539"/>
    <w:rsid w:val="00C83988"/>
    <w:rsid w:val="00C847DE"/>
    <w:rsid w:val="00C94596"/>
    <w:rsid w:val="00C960DC"/>
    <w:rsid w:val="00C9721C"/>
    <w:rsid w:val="00CA207A"/>
    <w:rsid w:val="00CB4842"/>
    <w:rsid w:val="00CC1661"/>
    <w:rsid w:val="00CC5CB5"/>
    <w:rsid w:val="00CC65FD"/>
    <w:rsid w:val="00CD24BC"/>
    <w:rsid w:val="00CD6BDE"/>
    <w:rsid w:val="00CE1469"/>
    <w:rsid w:val="00CF250F"/>
    <w:rsid w:val="00CF2BBA"/>
    <w:rsid w:val="00CF4016"/>
    <w:rsid w:val="00CF4549"/>
    <w:rsid w:val="00D02C75"/>
    <w:rsid w:val="00D06F2F"/>
    <w:rsid w:val="00D106CA"/>
    <w:rsid w:val="00D10E22"/>
    <w:rsid w:val="00D11A26"/>
    <w:rsid w:val="00D13366"/>
    <w:rsid w:val="00D13D2C"/>
    <w:rsid w:val="00D2013D"/>
    <w:rsid w:val="00D231DB"/>
    <w:rsid w:val="00D46316"/>
    <w:rsid w:val="00D466D2"/>
    <w:rsid w:val="00D52F52"/>
    <w:rsid w:val="00D53F71"/>
    <w:rsid w:val="00D85110"/>
    <w:rsid w:val="00D8541C"/>
    <w:rsid w:val="00D90663"/>
    <w:rsid w:val="00D95282"/>
    <w:rsid w:val="00DA26A6"/>
    <w:rsid w:val="00DA3FE8"/>
    <w:rsid w:val="00DA5675"/>
    <w:rsid w:val="00DC2F94"/>
    <w:rsid w:val="00DD031A"/>
    <w:rsid w:val="00DD1B36"/>
    <w:rsid w:val="00DD3D9E"/>
    <w:rsid w:val="00DD7908"/>
    <w:rsid w:val="00DE6C04"/>
    <w:rsid w:val="00DF08CC"/>
    <w:rsid w:val="00DF1B30"/>
    <w:rsid w:val="00DF2240"/>
    <w:rsid w:val="00E0149E"/>
    <w:rsid w:val="00E01E75"/>
    <w:rsid w:val="00E035BD"/>
    <w:rsid w:val="00E05692"/>
    <w:rsid w:val="00E1509E"/>
    <w:rsid w:val="00E156D0"/>
    <w:rsid w:val="00E269C2"/>
    <w:rsid w:val="00E26FF2"/>
    <w:rsid w:val="00E35E8F"/>
    <w:rsid w:val="00E37B4F"/>
    <w:rsid w:val="00E4389D"/>
    <w:rsid w:val="00E44449"/>
    <w:rsid w:val="00E720AA"/>
    <w:rsid w:val="00E736CD"/>
    <w:rsid w:val="00E7459A"/>
    <w:rsid w:val="00E82297"/>
    <w:rsid w:val="00E86914"/>
    <w:rsid w:val="00E86CAB"/>
    <w:rsid w:val="00E90E46"/>
    <w:rsid w:val="00E94223"/>
    <w:rsid w:val="00E95067"/>
    <w:rsid w:val="00E96E30"/>
    <w:rsid w:val="00EA3049"/>
    <w:rsid w:val="00EB7979"/>
    <w:rsid w:val="00EC703B"/>
    <w:rsid w:val="00ED4104"/>
    <w:rsid w:val="00EE0875"/>
    <w:rsid w:val="00EF319E"/>
    <w:rsid w:val="00EF39FD"/>
    <w:rsid w:val="00F06842"/>
    <w:rsid w:val="00F107FD"/>
    <w:rsid w:val="00F112B5"/>
    <w:rsid w:val="00F15039"/>
    <w:rsid w:val="00F22F2A"/>
    <w:rsid w:val="00F2772B"/>
    <w:rsid w:val="00F31C21"/>
    <w:rsid w:val="00F43294"/>
    <w:rsid w:val="00F44E77"/>
    <w:rsid w:val="00F47E60"/>
    <w:rsid w:val="00F56B97"/>
    <w:rsid w:val="00F7219D"/>
    <w:rsid w:val="00F77701"/>
    <w:rsid w:val="00F80AD7"/>
    <w:rsid w:val="00F81DF9"/>
    <w:rsid w:val="00F944DC"/>
    <w:rsid w:val="00F95F84"/>
    <w:rsid w:val="00FA310A"/>
    <w:rsid w:val="00FB64A8"/>
    <w:rsid w:val="00FD1D43"/>
    <w:rsid w:val="00FD2F4B"/>
    <w:rsid w:val="00FD53C3"/>
    <w:rsid w:val="00FE4B3A"/>
    <w:rsid w:val="00FE66BF"/>
    <w:rsid w:val="00FF0A0F"/>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0A55BF"/>
    <w:rPr>
      <w:color w:val="808080"/>
    </w:rPr>
  </w:style>
  <w:style w:type="table" w:styleId="TableGrid">
    <w:name w:val="Table Grid"/>
    <w:basedOn w:val="TableNormal"/>
    <w:rsid w:val="0083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27A19"/>
    <w:pPr>
      <w:ind w:left="720" w:hanging="720"/>
    </w:pPr>
  </w:style>
  <w:style w:type="paragraph" w:styleId="BodyText">
    <w:name w:val="Body Text"/>
    <w:basedOn w:val="Normal"/>
    <w:link w:val="BodyTextChar"/>
    <w:uiPriority w:val="99"/>
    <w:unhideWhenUsed/>
    <w:qFormat/>
    <w:rsid w:val="00173A30"/>
    <w:pPr>
      <w:spacing w:before="120" w:after="120" w:line="360" w:lineRule="auto"/>
      <w:ind w:firstLine="720"/>
      <w:jc w:val="both"/>
    </w:pPr>
    <w:rPr>
      <w:rFonts w:eastAsia="Arial" w:cs="Arial"/>
      <w:sz w:val="24"/>
      <w:szCs w:val="22"/>
      <w:lang w:val="en-US"/>
    </w:rPr>
  </w:style>
  <w:style w:type="character" w:customStyle="1" w:styleId="BodyTextChar">
    <w:name w:val="Body Text Char"/>
    <w:basedOn w:val="DefaultParagraphFont"/>
    <w:link w:val="BodyText"/>
    <w:uiPriority w:val="99"/>
    <w:rsid w:val="00173A30"/>
    <w:rPr>
      <w:rFonts w:eastAsia="Arial" w:cs="Arial"/>
      <w:sz w:val="24"/>
      <w:szCs w:val="22"/>
      <w:lang w:val="en-US" w:eastAsia="en-US"/>
    </w:rPr>
  </w:style>
  <w:style w:type="table" w:customStyle="1" w:styleId="TableGrid1">
    <w:name w:val="Table Grid1"/>
    <w:basedOn w:val="TableNormal"/>
    <w:next w:val="TableGrid"/>
    <w:uiPriority w:val="39"/>
    <w:rsid w:val="00173A30"/>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ESCAPE\raj@iitm.ac.in"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9ADD-F385-4FB6-BD92-F7C0C8D0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890</TotalTime>
  <Pages>6</Pages>
  <Words>4020</Words>
  <Characters>22914</Characters>
  <Application>Microsoft Office Word</Application>
  <DocSecurity>0</DocSecurity>
  <Lines>190</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Admin</cp:lastModifiedBy>
  <cp:revision>46</cp:revision>
  <cp:lastPrinted>2004-12-17T09:20:00Z</cp:lastPrinted>
  <dcterms:created xsi:type="dcterms:W3CDTF">2023-11-30T21:37:00Z</dcterms:created>
  <dcterms:modified xsi:type="dcterms:W3CDTF">2023-12-12T22:00:00Z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id="qjElcaDU"/&gt;&lt;style id="http://www.zotero.org/styles/elsevier-harvard" hasBibliography="1" bibliographyStyleHasBeenSet="1"/&gt;&lt;prefs&gt;&lt;pref name="fieldType" value="Field"/&gt;&lt;/prefs&gt;&lt;/data&gt;</vt:lpwstr>
  </property>
</Properties>
</file>