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B786BBC" w:rsidR="00DD3D9E" w:rsidRPr="00B4388F" w:rsidRDefault="00217525" w:rsidP="00217525">
      <w:pPr>
        <w:pStyle w:val="Els-Title"/>
        <w:rPr>
          <w:color w:val="000000" w:themeColor="text1"/>
        </w:rPr>
      </w:pPr>
      <w:r>
        <w:rPr>
          <w:rFonts w:hint="eastAsia"/>
          <w:color w:val="000000" w:themeColor="text1"/>
          <w:lang w:eastAsia="zh-CN"/>
        </w:rPr>
        <w:t>A</w:t>
      </w:r>
      <w:r>
        <w:rPr>
          <w:color w:val="000000" w:themeColor="text1"/>
        </w:rPr>
        <w:t xml:space="preserve"> </w:t>
      </w:r>
      <w:r w:rsidRPr="00217525">
        <w:rPr>
          <w:color w:val="000000" w:themeColor="text1"/>
        </w:rPr>
        <w:t>Pre-train and Fine-tune Paradigm of Fault Detection and Fault Prognosis for Chemical Process</w:t>
      </w:r>
    </w:p>
    <w:p w14:paraId="431F7655" w14:textId="156D1F8C" w:rsidR="00F81A2E" w:rsidRDefault="00F81A2E" w:rsidP="00F81A2E">
      <w:pPr>
        <w:pStyle w:val="Els-Author"/>
      </w:pPr>
      <w:r w:rsidRPr="00C70F30">
        <w:t>Yiming Bai</w:t>
      </w:r>
      <w:r>
        <w:t>,</w:t>
      </w:r>
      <w:r w:rsidRPr="00C70F30">
        <w:rPr>
          <w:i/>
          <w:iCs/>
          <w:vertAlign w:val="superscript"/>
        </w:rPr>
        <w:t>a</w:t>
      </w:r>
      <w:r w:rsidRPr="00C70F30">
        <w:t xml:space="preserve"> Jinsong Zhao</w:t>
      </w:r>
      <w:r w:rsidRPr="00C70F30">
        <w:rPr>
          <w:i/>
          <w:iCs/>
          <w:vertAlign w:val="superscript"/>
        </w:rPr>
        <w:t>a,b</w:t>
      </w:r>
    </w:p>
    <w:p w14:paraId="290B67D5" w14:textId="77777777" w:rsidR="00F81A2E" w:rsidRDefault="00F81A2E" w:rsidP="00F81A2E">
      <w:pPr>
        <w:pStyle w:val="Els-Affiliation"/>
      </w:pPr>
      <w:r w:rsidRPr="00D259F5">
        <w:rPr>
          <w:vertAlign w:val="superscript"/>
        </w:rPr>
        <w:t>a</w:t>
      </w:r>
      <w:r w:rsidRPr="00D259F5">
        <w:t>Department of Chemical Engineering, Tsinghua University, Beijing 100084, China</w:t>
      </w:r>
    </w:p>
    <w:p w14:paraId="359B1EC3" w14:textId="77777777" w:rsidR="00F81A2E" w:rsidRDefault="00F81A2E" w:rsidP="00F81A2E">
      <w:pPr>
        <w:pStyle w:val="Els-Affiliation"/>
      </w:pPr>
      <w:r w:rsidRPr="00D259F5">
        <w:rPr>
          <w:vertAlign w:val="superscript"/>
        </w:rPr>
        <w:t>b</w:t>
      </w:r>
      <w:r>
        <w:t>Beijing Key Laboratory of Industrial Big Data System and Application,</w:t>
      </w:r>
      <w:r>
        <w:rPr>
          <w:rFonts w:hint="eastAsia"/>
          <w:lang w:eastAsia="zh-CN"/>
        </w:rPr>
        <w:t xml:space="preserve"> </w:t>
      </w:r>
      <w:r>
        <w:t>Tsinghua University, Beijing, 100084, China</w:t>
      </w:r>
    </w:p>
    <w:p w14:paraId="1AF7E427" w14:textId="77777777" w:rsidR="00F81A2E" w:rsidRDefault="00F81A2E" w:rsidP="00F81A2E">
      <w:pPr>
        <w:pStyle w:val="Els-Affiliation"/>
      </w:pPr>
      <w:r w:rsidRPr="00B9714D">
        <w:t>jinsongzhao@mail.tsinghua.edu.cn</w:t>
      </w:r>
    </w:p>
    <w:p w14:paraId="144DE684" w14:textId="77777777" w:rsidR="008D2649" w:rsidRDefault="008D2649" w:rsidP="008D2649">
      <w:pPr>
        <w:pStyle w:val="Els-Abstract"/>
      </w:pPr>
      <w:r>
        <w:t>Abstract</w:t>
      </w:r>
    </w:p>
    <w:p w14:paraId="144DE686" w14:textId="7242D58A" w:rsidR="008D2649" w:rsidRDefault="006835A1" w:rsidP="008D2649">
      <w:pPr>
        <w:pStyle w:val="Els-body-text"/>
        <w:spacing w:after="120"/>
        <w:rPr>
          <w:lang w:val="en-GB"/>
        </w:rPr>
      </w:pPr>
      <w:r w:rsidRPr="006835A1">
        <w:rPr>
          <w:lang w:val="en-GB"/>
        </w:rPr>
        <w:t xml:space="preserve">With the transformation of industrial production digitization and automation, process </w:t>
      </w:r>
      <w:r w:rsidR="0019330B">
        <w:rPr>
          <w:lang w:val="en-GB"/>
        </w:rPr>
        <w:t xml:space="preserve">monitoring </w:t>
      </w:r>
      <w:r w:rsidRPr="006835A1">
        <w:rPr>
          <w:lang w:val="en-GB"/>
        </w:rPr>
        <w:t>has been an indispensable technical method to realize the safe and efficient production of chemical process.</w:t>
      </w:r>
      <w:r w:rsidR="000B1F71">
        <w:rPr>
          <w:lang w:val="en-GB"/>
        </w:rPr>
        <w:t xml:space="preserve"> </w:t>
      </w:r>
      <w:r w:rsidR="00BE652A" w:rsidRPr="00BE652A">
        <w:rPr>
          <w:lang w:val="en-GB"/>
        </w:rPr>
        <w:t xml:space="preserve">Deep learning methods had a significant impact in chemical process fault detection and fault </w:t>
      </w:r>
      <w:r w:rsidR="00BE652A">
        <w:rPr>
          <w:lang w:val="en-GB"/>
        </w:rPr>
        <w:t xml:space="preserve">prognosis. </w:t>
      </w:r>
      <w:r w:rsidR="00BE652A" w:rsidRPr="00BE652A">
        <w:rPr>
          <w:lang w:val="en-GB"/>
        </w:rPr>
        <w:t>But for each process fault or process variable, a specific deep learning model needs to be trained to solve the problem, which would consume a lot of computing resources and time.</w:t>
      </w:r>
      <w:r w:rsidR="0068457A" w:rsidRPr="0068457A">
        <w:rPr>
          <w:color w:val="000000"/>
          <w:lang w:eastAsia="zh-CN"/>
        </w:rPr>
        <w:t xml:space="preserve"> </w:t>
      </w:r>
      <w:r w:rsidR="0068457A">
        <w:rPr>
          <w:color w:val="000000"/>
          <w:lang w:eastAsia="zh-CN"/>
        </w:rPr>
        <w:t>Inspired by the pre-trained models in n</w:t>
      </w:r>
      <w:r w:rsidR="0068457A" w:rsidRPr="00B3463B">
        <w:rPr>
          <w:color w:val="000000"/>
          <w:lang w:eastAsia="zh-CN"/>
        </w:rPr>
        <w:t>atural language processing and</w:t>
      </w:r>
      <w:r w:rsidR="0068457A" w:rsidRPr="00B3463B">
        <w:rPr>
          <w:rFonts w:hint="eastAsia"/>
          <w:color w:val="000000"/>
          <w:lang w:eastAsia="zh-CN"/>
        </w:rPr>
        <w:t xml:space="preserve"> </w:t>
      </w:r>
      <w:r w:rsidR="0068457A" w:rsidRPr="00B3463B">
        <w:rPr>
          <w:color w:val="000000"/>
          <w:lang w:eastAsia="zh-CN"/>
        </w:rPr>
        <w:t>computer vision</w:t>
      </w:r>
      <w:r w:rsidR="0068457A">
        <w:rPr>
          <w:color w:val="000000"/>
          <w:lang w:eastAsia="zh-CN"/>
        </w:rPr>
        <w:t>, we proposed a pre-train and fine-tune paradigm of fault detection and fault prognosis for chemical process</w:t>
      </w:r>
      <w:r w:rsidR="006F7C3F">
        <w:rPr>
          <w:color w:val="000000"/>
          <w:lang w:eastAsia="zh-CN"/>
        </w:rPr>
        <w:t xml:space="preserve"> to improve the robustness of deep learning model for various process states</w:t>
      </w:r>
      <w:r w:rsidR="0068457A">
        <w:rPr>
          <w:color w:val="000000"/>
          <w:lang w:eastAsia="zh-CN"/>
        </w:rPr>
        <w:t xml:space="preserve">. Specially, we took a deep attention model </w:t>
      </w:r>
      <w:r w:rsidR="0075484D">
        <w:rPr>
          <w:color w:val="000000"/>
          <w:lang w:eastAsia="zh-CN"/>
        </w:rPr>
        <w:t xml:space="preserve">pretrained on the raw datasets and </w:t>
      </w:r>
      <w:r w:rsidR="0075484D" w:rsidRPr="0075484D">
        <w:rPr>
          <w:color w:val="000000"/>
          <w:lang w:eastAsia="zh-CN"/>
        </w:rPr>
        <w:t>fine-tune</w:t>
      </w:r>
      <w:r w:rsidR="000E041F">
        <w:rPr>
          <w:color w:val="000000"/>
          <w:lang w:eastAsia="zh-CN"/>
        </w:rPr>
        <w:t>d</w:t>
      </w:r>
      <w:r w:rsidR="0075484D" w:rsidRPr="0075484D">
        <w:rPr>
          <w:color w:val="000000"/>
          <w:lang w:eastAsia="zh-CN"/>
        </w:rPr>
        <w:t xml:space="preserve"> model</w:t>
      </w:r>
      <w:r w:rsidR="000E041F">
        <w:rPr>
          <w:color w:val="000000"/>
          <w:lang w:eastAsia="zh-CN"/>
        </w:rPr>
        <w:t xml:space="preserve">s </w:t>
      </w:r>
      <w:r w:rsidR="0075484D" w:rsidRPr="0075484D">
        <w:rPr>
          <w:color w:val="000000"/>
          <w:lang w:eastAsia="zh-CN"/>
        </w:rPr>
        <w:t>based on</w:t>
      </w:r>
      <w:r w:rsidR="00E06D54">
        <w:rPr>
          <w:color w:val="000000"/>
          <w:lang w:eastAsia="zh-CN"/>
        </w:rPr>
        <w:t xml:space="preserve"> fault detection and fault prognosis</w:t>
      </w:r>
      <w:r w:rsidR="0075484D" w:rsidRPr="0075484D">
        <w:rPr>
          <w:color w:val="000000"/>
          <w:lang w:eastAsia="zh-CN"/>
        </w:rPr>
        <w:t>.</w:t>
      </w:r>
      <w:r w:rsidR="0068457A">
        <w:rPr>
          <w:color w:val="000000"/>
          <w:lang w:eastAsia="zh-CN"/>
        </w:rPr>
        <w:t xml:space="preserve"> </w:t>
      </w:r>
      <w:r w:rsidR="000E041F">
        <w:rPr>
          <w:lang w:eastAsia="zh-CN"/>
        </w:rPr>
        <w:t>T</w:t>
      </w:r>
      <w:r w:rsidR="0068457A" w:rsidRPr="00803FBE">
        <w:rPr>
          <w:lang w:eastAsia="zh-CN"/>
        </w:rPr>
        <w:t>he Tennessee Eastman process (TEP)</w:t>
      </w:r>
      <w:r w:rsidR="0068457A">
        <w:rPr>
          <w:lang w:eastAsia="zh-CN"/>
        </w:rPr>
        <w:t xml:space="preserve"> was used to </w:t>
      </w:r>
      <w:r w:rsidR="0068457A" w:rsidRPr="00803FBE">
        <w:rPr>
          <w:lang w:eastAsia="zh-CN"/>
        </w:rPr>
        <w:t>demonstrate the validity of the method</w:t>
      </w:r>
      <w:r w:rsidR="0068457A">
        <w:rPr>
          <w:lang w:eastAsia="zh-CN"/>
        </w:rPr>
        <w:t>.</w:t>
      </w:r>
      <w:r w:rsidR="00656DFA">
        <w:rPr>
          <w:lang w:eastAsia="zh-CN"/>
        </w:rPr>
        <w:t xml:space="preserve"> </w:t>
      </w:r>
      <w:r w:rsidR="00E95DF1">
        <w:rPr>
          <w:lang w:eastAsia="zh-CN"/>
        </w:rPr>
        <w:t xml:space="preserve">Based on the test results, we discussed the </w:t>
      </w:r>
      <w:r w:rsidR="00E95DF1" w:rsidRPr="00227997">
        <w:rPr>
          <w:lang w:eastAsia="zh-CN"/>
        </w:rPr>
        <w:t>relevant issues in applying</w:t>
      </w:r>
      <w:r w:rsidR="00E95DF1">
        <w:rPr>
          <w:lang w:eastAsia="zh-CN"/>
        </w:rPr>
        <w:t xml:space="preserve"> the </w:t>
      </w:r>
      <w:r w:rsidR="00E95DF1">
        <w:rPr>
          <w:color w:val="000000" w:themeColor="text1"/>
        </w:rPr>
        <w:t>p</w:t>
      </w:r>
      <w:r w:rsidR="00E95DF1" w:rsidRPr="00217525">
        <w:rPr>
          <w:color w:val="000000" w:themeColor="text1"/>
        </w:rPr>
        <w:t xml:space="preserve">re-train and </w:t>
      </w:r>
      <w:r w:rsidR="00E95DF1">
        <w:rPr>
          <w:color w:val="000000" w:themeColor="text1"/>
        </w:rPr>
        <w:t>f</w:t>
      </w:r>
      <w:r w:rsidR="00E95DF1" w:rsidRPr="00217525">
        <w:rPr>
          <w:color w:val="000000" w:themeColor="text1"/>
        </w:rPr>
        <w:t xml:space="preserve">ine-tune </w:t>
      </w:r>
      <w:r w:rsidR="00E95DF1">
        <w:rPr>
          <w:color w:val="000000" w:themeColor="text1"/>
        </w:rPr>
        <w:t>p</w:t>
      </w:r>
      <w:r w:rsidR="00E95DF1" w:rsidRPr="00217525">
        <w:rPr>
          <w:color w:val="000000" w:themeColor="text1"/>
        </w:rPr>
        <w:t>aradigm</w:t>
      </w:r>
      <w:r w:rsidR="00E95DF1">
        <w:rPr>
          <w:color w:val="000000" w:themeColor="text1"/>
        </w:rPr>
        <w:t xml:space="preserve"> to real chemical process data. </w:t>
      </w:r>
    </w:p>
    <w:p w14:paraId="144DE687" w14:textId="41F0D959" w:rsidR="008D2649" w:rsidRDefault="008D2649" w:rsidP="008D2649">
      <w:pPr>
        <w:pStyle w:val="Els-body-text"/>
        <w:spacing w:after="120"/>
        <w:rPr>
          <w:lang w:val="en-GB"/>
        </w:rPr>
      </w:pPr>
      <w:r>
        <w:rPr>
          <w:b/>
          <w:bCs/>
          <w:lang w:val="en-GB"/>
        </w:rPr>
        <w:t>Keywords</w:t>
      </w:r>
      <w:r>
        <w:rPr>
          <w:lang w:val="en-GB"/>
        </w:rPr>
        <w:t xml:space="preserve">: </w:t>
      </w:r>
      <w:r w:rsidR="00822398">
        <w:rPr>
          <w:lang w:val="en-GB"/>
        </w:rPr>
        <w:t>Pre-training</w:t>
      </w:r>
      <w:r w:rsidR="00ED5BA6">
        <w:rPr>
          <w:lang w:val="en-GB"/>
        </w:rPr>
        <w:t>, Fine-tun</w:t>
      </w:r>
      <w:r w:rsidR="00822398">
        <w:rPr>
          <w:lang w:val="en-GB"/>
        </w:rPr>
        <w:t>ing</w:t>
      </w:r>
      <w:r w:rsidR="00ED5BA6">
        <w:rPr>
          <w:lang w:val="en-GB"/>
        </w:rPr>
        <w:t>, Fault detection, Fault prognosis, Chemical process</w:t>
      </w:r>
      <w:r w:rsidR="007F67BB">
        <w:rPr>
          <w:lang w:val="en-GB"/>
        </w:rPr>
        <w:t>.</w:t>
      </w:r>
    </w:p>
    <w:p w14:paraId="144DE689" w14:textId="3332AF8C" w:rsidR="008D2649" w:rsidRDefault="001352AC" w:rsidP="008D2649">
      <w:pPr>
        <w:pStyle w:val="Els-1storder-head"/>
      </w:pPr>
      <w:r w:rsidRPr="001352AC">
        <w:t>Introduction</w:t>
      </w:r>
    </w:p>
    <w:p w14:paraId="469F9CC6" w14:textId="6AB2ACAB" w:rsidR="0003006B" w:rsidRDefault="0003006B" w:rsidP="008D2649">
      <w:pPr>
        <w:pStyle w:val="Els-body-text"/>
      </w:pPr>
      <w:r w:rsidRPr="0003006B">
        <w:t xml:space="preserve">In recent decades, the digitization and automation reforms in industrial production have resulted in the generation of vast amounts of data across various industrial processes. This surge in data has necessitated an unprecedented level of computing power in machines for comprehensive processing and application </w:t>
      </w:r>
      <w:r>
        <w:fldChar w:fldCharType="begin"/>
      </w:r>
      <w:r>
        <w:instrText xml:space="preserve"> ADDIN ZOTERO_ITEM CSL_CITATION {"citationID":"fAx4uiLm","properties":{"formattedCitation":"(Rehman et al. 2019)","plainCitation":"(Rehman et al. 2019)","noteIndex":0},"citationItems":[{"id":267,"uris":["http://zotero.org/users/7252855/items/LJKAWD72"],"itemData":{"id":267,"type":"article","abstract":"Big data production in industrial Internet of Things (IIoT) is evident due to the massive deployment of sensors and Internet of Things (IoT) devices. However, big data processing is challenging due to limited computational, networking and storage resources at IoT device-end. Big data analytics (BDA) is expected to provide operational- and customer-level intelligence in IIoT systems. Although numerous studies on IIoT and BDA exist, only a few studies have explored the convergence of the two paradigms. In this study, we investigate the recent BDA technologies, algorithms and techniques that can lead to the development of intelligent IIoT systems. We devise a taxonomy by classifying and categorising the literature on the basis of important parameters (e.g. data sources, analytics tools, analytics techniques, requirements, industrial analytics applications and analytics types). We present the frameworks and case studies of the various enterprises that have benefited from BDA. We also enumerate the considerable opportunities introduced by BDA in IIoT.We identify and discuss the indispensable challenges that remain to be addressed as future research directions as well.","DOI":"10.48550/arXiv.1904.05556","note":"arXiv:1904.05556 [cs]","number":"arXiv:1904.05556","publisher":"arXiv","source":"arXiv.org","title":"The Role of Big Data Analytics in Industrial Internet of Things","URL":"http://arxiv.org/abs/1904.05556","author":[{"family":"Rehman","given":"Muhammad Habib","dropping-particle":"ur"},{"family":"Yaqoob","given":"Ibrar"},{"family":"Salah","given":"Khaled"},{"family":"Imran","given":"Muhammad"},{"family":"Jayaraman","given":"Prem Prakash"},{"family":"Perera","given":"Charith"}],"accessed":{"date-parts":[["2022",9,13]]},"issued":{"date-parts":[["2019",4,11]]}}}],"schema":"https://github.com/citation-style-language/schema/raw/master/csl-citation.json"} </w:instrText>
      </w:r>
      <w:r>
        <w:fldChar w:fldCharType="separate"/>
      </w:r>
      <w:r w:rsidRPr="00AD0044">
        <w:t>(Rehman et al. 2019)</w:t>
      </w:r>
      <w:r>
        <w:fldChar w:fldCharType="end"/>
      </w:r>
      <w:r w:rsidRPr="0003006B">
        <w:t>. In the contemporary chemical industry, the advancements in artificial intelligence</w:t>
      </w:r>
      <w:r>
        <w:t xml:space="preserve"> </w:t>
      </w:r>
      <w:r w:rsidRPr="0003006B">
        <w:t>technology have significantly contributed to industrial intelligence. However, the simultaneous drive for automation and intelligence has led modern chemical plants to evolve into larger, highly complex entities compared to their historical counterparts.</w:t>
      </w:r>
    </w:p>
    <w:p w14:paraId="5E39F1DA" w14:textId="77777777" w:rsidR="00D2371E" w:rsidRDefault="00D2371E" w:rsidP="008D2649">
      <w:pPr>
        <w:pStyle w:val="Els-body-text"/>
      </w:pPr>
    </w:p>
    <w:p w14:paraId="713CE596" w14:textId="40B5FB46" w:rsidR="0003006B" w:rsidRDefault="0003006B" w:rsidP="008D2649">
      <w:pPr>
        <w:pStyle w:val="Els-body-text"/>
      </w:pPr>
      <w:r w:rsidRPr="0003006B">
        <w:t xml:space="preserve">The escalating complexity inherent in contemporary chemical engineering systems has presented formidable challenges to ensuring process safety within the domain. Instances of faults occurring within these chemical processes can result in profound economic ramifications and human casualties, posing a substantial threat to overall chemical safety  </w:t>
      </w:r>
      <w:r>
        <w:fldChar w:fldCharType="begin"/>
      </w:r>
      <w:r>
        <w:instrText xml:space="preserve"> ADDIN ZOTERO_ITEM CSL_CITATION {"citationID":"lrQx3oBa","properties":{"formattedCitation":"(Bi et al. 2022)","plainCitation":"(Bi et al. 2022)","noteIndex":0},"citationItems":[{"id":261,"uris":["http://zotero.org/users/7252855/items/QBTD9N36"],"itemData":{"id":261,"type":"article-journal","abstract":"Process fault detection and diagnosis (FDD) is an essential tool to ensure safe production in chemical industries. After decades of development, despite the promising performance of some FDD methods on specific tasks, most FDD methods are not smart enough to tackle the complex challenges in real industrial processes, rendering an absence of commercialized FDD tools. Therefore, the implementation of smart FDD becomes an ambitious goal for process safety. In this paper, we provide an overview of the concept and major challenges of smart FDD. Recent FDD methods are comprehensively evaluated with respect to the characteristics of smart FDD. We also present the researches done by our group, which we believe would be a step forward for smart FDD. A range of future opportunities and new perspectives are further discussed. This review aims to illuminate potential directions for process safety and to contribute to the realization of commercial FDD tools.","container-title":"Computers &amp; Chemical Engineering","DOI":"10.1016/j.compchemeng.2022.107884","ISSN":"0098-1354","journalAbbreviation":"Computers &amp; Chemical Engineering","language":"en","page":"107884","source":"ScienceDirect","title":"One step forward for smart chemical process fault detection and diagnosis","volume":"164","author":[{"family":"Bi","given":"Xiaotian"},{"family":"Qin","given":"Ruoshi"},{"family":"Wu","given":"Deyang"},{"family":"Zheng","given":"Shaodong"},{"family":"Zhao","given":"Jinsong"}],"issued":{"date-parts":[["2022",8,1]]}}}],"schema":"https://github.com/citation-style-language/schema/raw/master/csl-citation.json"} </w:instrText>
      </w:r>
      <w:r>
        <w:fldChar w:fldCharType="separate"/>
      </w:r>
      <w:r w:rsidRPr="00062D73">
        <w:t>(Bi et al. 2022)</w:t>
      </w:r>
      <w:r>
        <w:fldChar w:fldCharType="end"/>
      </w:r>
      <w:r w:rsidRPr="0003006B">
        <w:t xml:space="preserve">. The process monitoring stands as an indispensable technical methodology critical to the realization of safe and efficient chemical production. Its significant theoretical framework within the chemical industry </w:t>
      </w:r>
      <w:r w:rsidR="00F1525F">
        <w:t>was</w:t>
      </w:r>
      <w:r w:rsidRPr="0003006B">
        <w:t xml:space="preserve"> visually represented in Fig</w:t>
      </w:r>
      <w:r w:rsidR="00F1525F">
        <w:t>.</w:t>
      </w:r>
      <w:r w:rsidRPr="0003006B">
        <w:t xml:space="preserve"> 1 </w:t>
      </w:r>
      <w:r>
        <w:fldChar w:fldCharType="begin"/>
      </w:r>
      <w:r>
        <w:instrText xml:space="preserve"> ADDIN ZOTERO_ITEM CSL_CITATION {"citationID":"SEMWMzTZ","properties":{"formattedCitation":"(Bai and Zhao 2023a)","plainCitation":"(Bai and Zhao 2023a)","noteIndex":0},"citationItems":[{"id":244,"uris":["http://zotero.org/users/7252855/items/N3ZIM4D7"],"itemData":{"id":244,"type":"article-journal","abstract":"As the digitalization of process industry deepens, process fault detection and diagnosis (FDD) is an essential tool to ensure safe production in chemical industries. However, FDD may have a long detection delay for some chemical faults. Process fault prognosis methods could predict the occurrence of faults in advance, which would give operators more time and reduce the impact of faults. Nevertheless, many fault prognosis methods still suffer from fixed or insufficient prediction time ahead, which greatly confines their usage in critical scenarios. In this paper, we propose a novel Transformer-based multi-variable multi-step (TMM) prediction method for chemical process fault prognosis. Specifically, Transformer models are trained to predict the change of process variables at the next step, and iterative forecasting is used to predict multi-step changes of process variables. Finally, extensive evaluation of applications in a continuous stirred tank heater (CSTH) system and the Tennessee Eastman process (TEP) demonstrates that the proposed TMM prediction method shows high prediction accuracy and early fault prognosis, compared with representative statistical methods and other advanced deep learning methods.","container-title":"Process Safety and Environmental Protection","DOI":"10.1016/j.psep.2022.11.062","ISSN":"0957-5820","journalAbbreviation":"Process Safety and Environmental Protection","language":"en","page":"937-947","source":"ScienceDirect","title":"A novel transformer-based multi-variable multi-step prediction method for chemical process fault prognosis","volume":"169","author":[{"family":"Bai","given":"Yiming"},{"family":"Zhao","given":"Jinsong"}],"issued":{"date-parts":[["2023",1,1]]}}}],"schema":"https://github.com/citation-style-language/schema/raw/master/csl-citation.json"} </w:instrText>
      </w:r>
      <w:r>
        <w:fldChar w:fldCharType="separate"/>
      </w:r>
      <w:r w:rsidRPr="00062D73">
        <w:t>(Bai and Zhao 2023a)</w:t>
      </w:r>
      <w:r>
        <w:fldChar w:fldCharType="end"/>
      </w:r>
      <w:r w:rsidRPr="0003006B">
        <w:t xml:space="preserve">. </w:t>
      </w:r>
      <w:r w:rsidR="002D33C7" w:rsidRPr="002D33C7">
        <w:t xml:space="preserve">Within this context, fault detection pertains to the identification of </w:t>
      </w:r>
      <w:r w:rsidR="002D33C7" w:rsidRPr="002D33C7">
        <w:lastRenderedPageBreak/>
        <w:t>the current system state, while fault prognosis predominantly aims to anticipate potential and forthcoming system faults.</w:t>
      </w:r>
    </w:p>
    <w:p w14:paraId="6B7E055D" w14:textId="15D1E8BC" w:rsidR="007950DD" w:rsidRDefault="007950DD" w:rsidP="007950DD">
      <w:pPr>
        <w:pStyle w:val="Els-body-text"/>
        <w:jc w:val="center"/>
      </w:pPr>
      <w:r>
        <w:rPr>
          <w:noProof/>
        </w:rPr>
        <w:drawing>
          <wp:inline distT="0" distB="0" distL="0" distR="0" wp14:anchorId="30DA32CA" wp14:editId="4028BC4F">
            <wp:extent cx="4499610" cy="8997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610" cy="899795"/>
                    </a:xfrm>
                    <a:prstGeom prst="rect">
                      <a:avLst/>
                    </a:prstGeom>
                    <a:noFill/>
                    <a:ln>
                      <a:noFill/>
                    </a:ln>
                  </pic:spPr>
                </pic:pic>
              </a:graphicData>
            </a:graphic>
          </wp:inline>
        </w:drawing>
      </w:r>
    </w:p>
    <w:p w14:paraId="633FF476" w14:textId="3816A3E6" w:rsidR="007950DD" w:rsidRDefault="007950DD" w:rsidP="007950DD">
      <w:pPr>
        <w:pStyle w:val="Els-body-text"/>
        <w:jc w:val="center"/>
        <w:rPr>
          <w:sz w:val="18"/>
          <w:szCs w:val="18"/>
        </w:rPr>
      </w:pPr>
      <w:r w:rsidRPr="00816771">
        <w:rPr>
          <w:sz w:val="18"/>
          <w:szCs w:val="18"/>
        </w:rPr>
        <w:t xml:space="preserve">Fig. </w:t>
      </w:r>
      <w:r>
        <w:rPr>
          <w:sz w:val="18"/>
          <w:szCs w:val="18"/>
          <w:lang w:eastAsia="zh-CN"/>
        </w:rPr>
        <w:t>1</w:t>
      </w:r>
      <w:r w:rsidRPr="00816771">
        <w:rPr>
          <w:sz w:val="18"/>
          <w:szCs w:val="18"/>
        </w:rPr>
        <w:t xml:space="preserve">. </w:t>
      </w:r>
      <w:r w:rsidR="00BC2440">
        <w:rPr>
          <w:sz w:val="18"/>
          <w:szCs w:val="18"/>
        </w:rPr>
        <w:t>The process monitoring loop</w:t>
      </w:r>
      <w:r w:rsidRPr="00816771">
        <w:rPr>
          <w:sz w:val="18"/>
          <w:szCs w:val="18"/>
        </w:rPr>
        <w:t>.</w:t>
      </w:r>
      <w:r w:rsidR="00E602A4">
        <w:rPr>
          <w:sz w:val="18"/>
          <w:szCs w:val="18"/>
        </w:rPr>
        <w:t xml:space="preserve"> </w:t>
      </w:r>
      <w:r w:rsidR="00E602A4" w:rsidRPr="00E602A4">
        <w:rPr>
          <w:sz w:val="18"/>
          <w:szCs w:val="18"/>
        </w:rPr>
        <w:fldChar w:fldCharType="begin"/>
      </w:r>
      <w:r w:rsidR="00E602A4" w:rsidRPr="00E602A4">
        <w:rPr>
          <w:sz w:val="18"/>
          <w:szCs w:val="18"/>
        </w:rPr>
        <w:instrText xml:space="preserve"> ADDIN ZOTERO_ITEM CSL_CITATION {"citationID":"SEMWMzTZ","properties":{"formattedCitation":"(Bai and Zhao 2023a)","plainCitation":"(Bai and Zhao 2023a)","noteIndex":0},"citationItems":[{"id":244,"uris":["http://zotero.org/users/7252855/items/N3ZIM4D7"],"itemData":{"id":244,"type":"article-journal","abstract":"As the digitalization of process industry deepens, process fault detection and diagnosis (FDD) is an essential tool to ensure safe production in chemical industries. However, FDD may have a long detection delay for some chemical faults. Process fault prognosis methods could predict the occurrence of faults in advance, which would give operators more time and reduce the impact of faults. Nevertheless, many fault prognosis methods still suffer from fixed or insufficient prediction time ahead, which greatly confines their usage in critical scenarios. In this paper, we propose a novel Transformer-based multi-variable multi-step (TMM) prediction method for chemical process fault prognosis. Specifically, Transformer models are trained to predict the change of process variables at the next step, and iterative forecasting is used to predict multi-step changes of process variables. Finally, extensive evaluation of applications in a continuous stirred tank heater (CSTH) system and the Tennessee Eastman process (TEP) demonstrates that the proposed TMM prediction method shows high prediction accuracy and early fault prognosis, compared with representative statistical methods and other advanced deep learning methods.","container-title":"Process Safety and Environmental Protection","DOI":"10.1016/j.psep.2022.11.062","ISSN":"0957-5820","journalAbbreviation":"Process Safety and Environmental Protection","language":"en","page":"937-947","source":"ScienceDirect","title":"A novel transformer-based multi-variable multi-step prediction method for chemical process fault prognosis","volume":"169","author":[{"family":"Bai","given":"Yiming"},{"family":"Zhao","given":"Jinsong"}],"issued":{"date-parts":[["2023",1,1]]}}}],"schema":"https://github.com/citation-style-language/schema/raw/master/csl-citation.json"} </w:instrText>
      </w:r>
      <w:r w:rsidR="00E602A4" w:rsidRPr="00E602A4">
        <w:rPr>
          <w:sz w:val="18"/>
          <w:szCs w:val="18"/>
        </w:rPr>
        <w:fldChar w:fldCharType="separate"/>
      </w:r>
      <w:r w:rsidR="00E602A4" w:rsidRPr="00E602A4">
        <w:rPr>
          <w:sz w:val="18"/>
          <w:szCs w:val="18"/>
        </w:rPr>
        <w:t>(Bai and Zhao 2023a)</w:t>
      </w:r>
      <w:r w:rsidR="00E602A4" w:rsidRPr="00E602A4">
        <w:rPr>
          <w:sz w:val="18"/>
          <w:szCs w:val="18"/>
        </w:rPr>
        <w:fldChar w:fldCharType="end"/>
      </w:r>
    </w:p>
    <w:p w14:paraId="7936CACE" w14:textId="77777777" w:rsidR="007950DD" w:rsidRDefault="007950DD" w:rsidP="008D2649">
      <w:pPr>
        <w:pStyle w:val="Els-body-text"/>
      </w:pPr>
    </w:p>
    <w:p w14:paraId="7001ABDA" w14:textId="311C8E65" w:rsidR="008658B1" w:rsidRDefault="00370236" w:rsidP="008658B1">
      <w:pPr>
        <w:pStyle w:val="Els-body-text"/>
      </w:pPr>
      <w:r w:rsidRPr="00370236">
        <w:rPr>
          <w:lang w:eastAsia="zh-CN"/>
        </w:rPr>
        <w:t>The prevailing methodologies for process monitoring can be broadly categorized into three main types: model-based methods, knowledge-based methods, and data-based methods. Data-based methods ascertain the system's condition within a specific timeframe by scrutinizing previously gathered data. The progression of automation and digitization has significantly elevated the prominence of data-based models within the process industry</w:t>
      </w:r>
      <w:r w:rsidR="00E23415">
        <w:t xml:space="preserve"> </w:t>
      </w:r>
      <w:r w:rsidR="00E23415">
        <w:fldChar w:fldCharType="begin"/>
      </w:r>
      <w:r w:rsidR="00E23415">
        <w:instrText xml:space="preserve"> ADDIN ZOTERO_ITEM CSL_CITATION {"citationID":"8p7wZJg5","properties":{"formattedCitation":"(Bai and Zhao 2023b)","plainCitation":"(Bai and Zhao 2023b)","noteIndex":0},"citationItems":[{"id":760,"uris":["http://zotero.org/users/7252855/items/EHC3DYHD"],"itemData":{"id":760,"type":"chapter","abstract":"With the reform of industrial production digitization and automation, process fault detection and diagnosis (FDD) has been an indispensable technical method to realize the safe and efficient production of chemical process, even if there may be some delay and inaccuracy. Fault prognosis could predict the occurrence of faults in advance, which would give operators more time and reduce the impact of faults. Frozen Pretrained Transformer (FPT) has shown language-pretrained transformers can obtain strong performance on a variety of simple non-language classification tasks. Inspired by the pre-trained models, we proposed a chemical process data prediction method based on FPT models. Specifically, we take a transformer model pretrained on natural language data and finetune some parameters on the chemical process data. And the Tennessee Eastman process (TEP) was used to demonstrate the validity of the method. Finally, we discussed the relevant issues in applying language-pretrained models to process data.","collection-title":"33 European Symposium on Computer Aided Process Engineering","container-title":"Computer Aided Chemical Engineering","note":"DOI: 10.1016/B978-0-443-15274-0.50273-0","page":"1717-1723","publisher":"Elsevier","source":"ScienceDirect","title":"A process data prediction method for chemical process based on the frozen pretrained transformer model","URL":"https://www.sciencedirect.com/science/article/pii/B9780443152740502730","volume":"52","author":[{"family":"Bai","given":"Yiming"},{"family":"Zhao","given":"Jinsong"}],"editor":[{"family":"Kokossis","given":"Antonios C."},{"family":"Georgiadis","given":"Michael C."},{"family":"Pistikopoulos","given":"Efstratios"}],"accessed":{"date-parts":[["2023",11,22]]},"issued":{"date-parts":[["2023",1,1]]}}}],"schema":"https://github.com/citation-style-language/schema/raw/master/csl-citation.json"} </w:instrText>
      </w:r>
      <w:r w:rsidR="00E23415">
        <w:fldChar w:fldCharType="separate"/>
      </w:r>
      <w:r w:rsidR="00E23415" w:rsidRPr="00E23415">
        <w:t>(Bai and Zhao 2023b)</w:t>
      </w:r>
      <w:r w:rsidR="00E23415">
        <w:fldChar w:fldCharType="end"/>
      </w:r>
      <w:r w:rsidR="008658B1" w:rsidRPr="0075121C">
        <w:t>.</w:t>
      </w:r>
      <w:r w:rsidR="00B4342E">
        <w:t xml:space="preserve"> </w:t>
      </w:r>
    </w:p>
    <w:p w14:paraId="53B1BD9F" w14:textId="0B2AAFF4" w:rsidR="007950DD" w:rsidRDefault="007950DD" w:rsidP="008D2649">
      <w:pPr>
        <w:pStyle w:val="Els-body-text"/>
        <w:rPr>
          <w:lang w:eastAsia="zh-CN"/>
        </w:rPr>
      </w:pPr>
    </w:p>
    <w:p w14:paraId="63B99467" w14:textId="77777777" w:rsidR="0049522D" w:rsidRDefault="00F34ADC" w:rsidP="008D2649">
      <w:pPr>
        <w:pStyle w:val="Els-body-text"/>
        <w:rPr>
          <w:lang w:eastAsia="zh-CN"/>
        </w:rPr>
      </w:pPr>
      <w:r w:rsidRPr="00F34ADC">
        <w:rPr>
          <w:lang w:eastAsia="zh-CN"/>
        </w:rPr>
        <w:t>Conventional fault detection in the industrial domain primarily relies on established statistical techniques like principal component analysis, partial least squares, and independent component analysis</w:t>
      </w:r>
      <w:r w:rsidR="007A31BB">
        <w:rPr>
          <w:lang w:eastAsia="zh-CN"/>
        </w:rPr>
        <w:t xml:space="preserve">. </w:t>
      </w:r>
      <w:r w:rsidR="00582D4D">
        <w:rPr>
          <w:lang w:eastAsia="zh-CN"/>
        </w:rPr>
        <w:t>T</w:t>
      </w:r>
      <w:r w:rsidR="00582D4D" w:rsidRPr="00582D4D">
        <w:rPr>
          <w:lang w:eastAsia="zh-CN"/>
        </w:rPr>
        <w:t>he advent of machine learning has ushered in a rapid proliferation of sophisticated models such as deep belief networks, convolutional neural networks, and variational recurrent autoencoders. These advanced models demonstrate superior efficacy in handling intricate problems with heightened accuracy</w:t>
      </w:r>
      <w:r>
        <w:rPr>
          <w:lang w:eastAsia="zh-CN"/>
        </w:rPr>
        <w:t xml:space="preserve"> </w:t>
      </w:r>
      <w:r>
        <w:rPr>
          <w:lang w:eastAsia="zh-CN"/>
        </w:rPr>
        <w:fldChar w:fldCharType="begin"/>
      </w:r>
      <w:r>
        <w:rPr>
          <w:lang w:eastAsia="zh-CN"/>
        </w:rPr>
        <w:instrText xml:space="preserve"> ADDIN ZOTERO_ITEM CSL_CITATION {"citationID":"13nXqyHz","properties":{"formattedCitation":"(Bi and Zhao 2021)","plainCitation":"(Bi and Zhao 2021)","noteIndex":0},"citationItems":[{"id":113,"uris":["http://zotero.org/users/7252855/items/RUNDHT53"],"itemData":{"id":113,"type":"article-journal","abstract":"Industrial processes are becoming increasingly large and complex, thus introducing potential safety risks and requiring an effective approach to maintain safe production. Intelligent process monitoring is critical to prevent losses and avoid casualties in modern industry. As the digitalization of process industry deepens, data-driven methods offer an exciting avenue to address the demands for monitoring complex systems. Nevertheless, many of these methods still suffer from low accuracy and slow response. Besides, most black-box models based on deep learning can only predict the existence of faults, but cannot provide further interpretable analysis, which greatly confines their usage in decision-critical scenarios. In this paper, we propose a novel orthogonal self-attentive variational autoencoder (OSAVA) model for process monitoring, consisting of two components, orthogonal attention (OA) and variational self-attentive autoencoder (VSAE). Specifically, OA is utilized to extract the correlations between different variables and the temporal dependency among different timesteps; VSAE is trained to detect faults through a reconstruction-based method, which employs self-attention mechanisms to comprehensively consider information from all timesteps and enhance detection performance. By jointly leveraging these two models, the OSAVA model can effectively perform fault detection and identification tasks simultaneously and deliver interpretable results. Finally, extensive evaluation on the Tennessee Eastman process (TEP) demonstrates that the proposed OSAVA-based fault detection and identification method shows promising fault detection rate as well as low detection delay and can provide interpretable identification of the abnormal variables, compared with representative statistical methods and state-of-the-art deep learning methods.","container-title":"Process Safety and Environmental Protection","DOI":"10.1016/j.psep.2021.10.036","ISSN":"0957-5820","journalAbbreviation":"Process Safety and Environmental Protection","language":"en","page":"581-597","source":"ScienceDirect","title":"A novel orthogonal self-attentive variational autoencoder method for interpretable chemical process fault detection and identification","volume":"156","author":[{"family":"Bi","given":"Xiaotian"},{"family":"Zhao","given":"Jinsong"}],"issued":{"date-parts":[["2021",12,1]]}}}],"schema":"https://github.com/citation-style-language/schema/raw/master/csl-citation.json"} </w:instrText>
      </w:r>
      <w:r>
        <w:rPr>
          <w:lang w:eastAsia="zh-CN"/>
        </w:rPr>
        <w:fldChar w:fldCharType="separate"/>
      </w:r>
      <w:r w:rsidRPr="00F34ADC">
        <w:t>(Bi and Zhao 2021)</w:t>
      </w:r>
      <w:r>
        <w:rPr>
          <w:lang w:eastAsia="zh-CN"/>
        </w:rPr>
        <w:fldChar w:fldCharType="end"/>
      </w:r>
      <w:r w:rsidR="00582D4D" w:rsidRPr="00582D4D">
        <w:rPr>
          <w:lang w:eastAsia="zh-CN"/>
        </w:rPr>
        <w:t>.</w:t>
      </w:r>
      <w:r w:rsidR="00582D4D">
        <w:rPr>
          <w:rFonts w:ascii="Georgia" w:hAnsi="Georgia"/>
          <w:color w:val="1F1F1F"/>
        </w:rPr>
        <w:t xml:space="preserve"> </w:t>
      </w:r>
      <w:r w:rsidR="00DE0984" w:rsidRPr="00DE0984">
        <w:rPr>
          <w:lang w:eastAsia="zh-CN"/>
        </w:rPr>
        <w:t>The evolution of fault prognosis methodologies has been intricately tied to the evolving characteristics of industrial data.</w:t>
      </w:r>
      <w:r w:rsidR="00644EDA" w:rsidRPr="00644EDA">
        <w:rPr>
          <w:lang w:eastAsia="zh-CN"/>
        </w:rPr>
        <w:t xml:space="preserve"> As data complexity increases, many data-driven methods are flexibly applied in nonlinear scenarios, such as </w:t>
      </w:r>
      <w:r w:rsidR="00DE0984">
        <w:rPr>
          <w:lang w:eastAsia="zh-CN"/>
        </w:rPr>
        <w:t>a</w:t>
      </w:r>
      <w:r w:rsidR="00644EDA" w:rsidRPr="00644EDA">
        <w:rPr>
          <w:lang w:eastAsia="zh-CN"/>
        </w:rPr>
        <w:t xml:space="preserve">rtificial </w:t>
      </w:r>
      <w:r w:rsidR="00DE0984">
        <w:rPr>
          <w:lang w:eastAsia="zh-CN"/>
        </w:rPr>
        <w:t>n</w:t>
      </w:r>
      <w:r w:rsidR="00644EDA" w:rsidRPr="00644EDA">
        <w:rPr>
          <w:lang w:eastAsia="zh-CN"/>
        </w:rPr>
        <w:t xml:space="preserve">eural </w:t>
      </w:r>
      <w:r w:rsidR="00DE0984">
        <w:rPr>
          <w:lang w:eastAsia="zh-CN"/>
        </w:rPr>
        <w:t>n</w:t>
      </w:r>
      <w:r w:rsidR="00644EDA" w:rsidRPr="00644EDA">
        <w:rPr>
          <w:lang w:eastAsia="zh-CN"/>
        </w:rPr>
        <w:t xml:space="preserve">etworks, autoencoder, </w:t>
      </w:r>
      <w:r w:rsidR="00DE0984">
        <w:rPr>
          <w:lang w:eastAsia="zh-CN"/>
        </w:rPr>
        <w:t>s</w:t>
      </w:r>
      <w:r w:rsidR="00644EDA" w:rsidRPr="00644EDA">
        <w:rPr>
          <w:lang w:eastAsia="zh-CN"/>
        </w:rPr>
        <w:t xml:space="preserve">upport </w:t>
      </w:r>
      <w:r w:rsidR="00DE0984">
        <w:rPr>
          <w:lang w:eastAsia="zh-CN"/>
        </w:rPr>
        <w:t>v</w:t>
      </w:r>
      <w:r w:rsidR="00644EDA" w:rsidRPr="00644EDA">
        <w:rPr>
          <w:lang w:eastAsia="zh-CN"/>
        </w:rPr>
        <w:t xml:space="preserve">ector </w:t>
      </w:r>
      <w:r w:rsidR="00DE0984">
        <w:rPr>
          <w:lang w:eastAsia="zh-CN"/>
        </w:rPr>
        <w:t>m</w:t>
      </w:r>
      <w:r w:rsidR="00644EDA" w:rsidRPr="00644EDA">
        <w:rPr>
          <w:lang w:eastAsia="zh-CN"/>
        </w:rPr>
        <w:t xml:space="preserve">achine, and </w:t>
      </w:r>
      <w:r w:rsidR="00DE0984">
        <w:rPr>
          <w:lang w:eastAsia="zh-CN"/>
        </w:rPr>
        <w:t>r</w:t>
      </w:r>
      <w:r w:rsidR="00644EDA" w:rsidRPr="00644EDA">
        <w:rPr>
          <w:lang w:eastAsia="zh-CN"/>
        </w:rPr>
        <w:t xml:space="preserve">adial </w:t>
      </w:r>
      <w:r w:rsidR="00DE0984">
        <w:rPr>
          <w:lang w:eastAsia="zh-CN"/>
        </w:rPr>
        <w:t>b</w:t>
      </w:r>
      <w:r w:rsidR="00644EDA" w:rsidRPr="00644EDA">
        <w:rPr>
          <w:lang w:eastAsia="zh-CN"/>
        </w:rPr>
        <w:t xml:space="preserve">asis </w:t>
      </w:r>
      <w:r w:rsidR="00DE0984">
        <w:rPr>
          <w:lang w:eastAsia="zh-CN"/>
        </w:rPr>
        <w:t>f</w:t>
      </w:r>
      <w:r w:rsidR="00644EDA" w:rsidRPr="00644EDA">
        <w:rPr>
          <w:lang w:eastAsia="zh-CN"/>
        </w:rPr>
        <w:t xml:space="preserve">unction network. </w:t>
      </w:r>
      <w:r w:rsidR="00DE0984">
        <w:rPr>
          <w:lang w:eastAsia="zh-CN"/>
        </w:rPr>
        <w:t>r</w:t>
      </w:r>
      <w:r w:rsidR="00644EDA" w:rsidRPr="00644EDA">
        <w:rPr>
          <w:lang w:eastAsia="zh-CN"/>
        </w:rPr>
        <w:t xml:space="preserve">ecurrent </w:t>
      </w:r>
      <w:r w:rsidR="00DE0984">
        <w:rPr>
          <w:lang w:eastAsia="zh-CN"/>
        </w:rPr>
        <w:t>n</w:t>
      </w:r>
      <w:r w:rsidR="00644EDA" w:rsidRPr="00644EDA">
        <w:rPr>
          <w:lang w:eastAsia="zh-CN"/>
        </w:rPr>
        <w:t xml:space="preserve">eural </w:t>
      </w:r>
      <w:r w:rsidR="00DE0984">
        <w:rPr>
          <w:lang w:eastAsia="zh-CN"/>
        </w:rPr>
        <w:t>n</w:t>
      </w:r>
      <w:r w:rsidR="00644EDA" w:rsidRPr="00644EDA">
        <w:rPr>
          <w:lang w:eastAsia="zh-CN"/>
        </w:rPr>
        <w:t>etwork</w:t>
      </w:r>
      <w:r w:rsidR="00644EDA">
        <w:rPr>
          <w:lang w:eastAsia="zh-CN"/>
        </w:rPr>
        <w:t>,</w:t>
      </w:r>
      <w:r w:rsidR="00644EDA" w:rsidRPr="00644EDA">
        <w:rPr>
          <w:lang w:eastAsia="zh-CN"/>
        </w:rPr>
        <w:t xml:space="preserve"> long short-term memory </w:t>
      </w:r>
      <w:r w:rsidR="00644EDA">
        <w:rPr>
          <w:lang w:eastAsia="zh-CN"/>
        </w:rPr>
        <w:t xml:space="preserve">and Transformer model </w:t>
      </w:r>
      <w:r w:rsidR="00644EDA" w:rsidRPr="00644EDA">
        <w:rPr>
          <w:lang w:eastAsia="zh-CN"/>
        </w:rPr>
        <w:t>have shown advantages in learning nonlinear features of sequences and extracting long-dependent information</w:t>
      </w:r>
      <w:r w:rsidR="00BA4DBB">
        <w:rPr>
          <w:lang w:eastAsia="zh-CN"/>
        </w:rPr>
        <w:t xml:space="preserve"> </w:t>
      </w:r>
      <w:r w:rsidR="00BA4DBB">
        <w:rPr>
          <w:lang w:eastAsia="zh-CN"/>
        </w:rPr>
        <w:fldChar w:fldCharType="begin"/>
      </w:r>
      <w:r w:rsidR="00BA4DBB">
        <w:rPr>
          <w:lang w:eastAsia="zh-CN"/>
        </w:rPr>
        <w:instrText xml:space="preserve"> ADDIN ZOTERO_ITEM CSL_CITATION {"citationID":"ye9TB8n4","properties":{"formattedCitation":"(Wen et al. 2022)","plainCitation":"(Wen et al. 2022)","noteIndex":0},"citationItems":[{"id":249,"uris":["http://zotero.org/users/7252855/items/G9D9F8BP"],"itemData":{"id":249,"type":"article","abstract":"Transformers have achieved superior performances in many tasks in natural language processing and computer vision, which also intrigues great interests in the time series community. Among multiple advantages of transformers, the ability to capture long-range dependencies and interactions is especially attractive for time series modeling, leading to exciting progress in various time series applications. In this paper, we systematically review transformer schemes for time series modeling by highlighting their strengths as well as limitations through a new taxonomy to summarize existing time series transformers in two perspectives. From the perspective of network modifications, we summarize the adaptations of module level and architecture level of the time series transformers. From the perspective of applications, we categorize time series transformers based on common tasks including forecasting, anomaly detection, and classification. Empirically, we perform robust analysis, model size analysis, and seasonal-trend decomposition analysis to study how Transformers perform in time series. Finally, we discuss and suggest future directions to provide useful research guidance. A corresponding resource list that will be continuously updated can be found in the GitHub repository. To the best of our knowledge, this paper is the first work to comprehensively and systematically summarize the recent advances of Transformers for modeling time series data. We hope this survey will ignite further research interests in time series Transformers.","DOI":"10.48550/arXiv.2202.07125","note":"arXiv:2202.07125 [cs, eess, stat]","number":"arXiv:2202.07125","publisher":"arXiv","source":"arXiv.org","title":"Transformers in Time Series: A Survey","title-short":"Transformers in Time Series","URL":"http://arxiv.org/abs/2202.07125","author":[{"family":"Wen","given":"Qingsong"},{"family":"Zhou","given":"Tian"},{"family":"Zhang","given":"Chaoli"},{"family":"Chen","given":"Weiqi"},{"family":"Ma","given":"Ziqing"},{"family":"Yan","given":"Junchi"},{"family":"Sun","given":"Liang"}],"accessed":{"date-parts":[["2022",11,11]]},"issued":{"date-parts":[["2022",3,7]]}}}],"schema":"https://github.com/citation-style-language/schema/raw/master/csl-citation.json"} </w:instrText>
      </w:r>
      <w:r w:rsidR="00BA4DBB">
        <w:rPr>
          <w:lang w:eastAsia="zh-CN"/>
        </w:rPr>
        <w:fldChar w:fldCharType="separate"/>
      </w:r>
      <w:r w:rsidR="00BA4DBB" w:rsidRPr="00BA4DBB">
        <w:t>(Wen et al. 2022)</w:t>
      </w:r>
      <w:r w:rsidR="00BA4DBB">
        <w:rPr>
          <w:lang w:eastAsia="zh-CN"/>
        </w:rPr>
        <w:fldChar w:fldCharType="end"/>
      </w:r>
      <w:r w:rsidR="00644EDA" w:rsidRPr="00644EDA">
        <w:rPr>
          <w:lang w:eastAsia="zh-CN"/>
        </w:rPr>
        <w:t>.</w:t>
      </w:r>
      <w:r w:rsidR="000F6467">
        <w:rPr>
          <w:lang w:eastAsia="zh-CN"/>
        </w:rPr>
        <w:t xml:space="preserve"> </w:t>
      </w:r>
    </w:p>
    <w:p w14:paraId="6687BC78" w14:textId="77777777" w:rsidR="0049522D" w:rsidRDefault="0049522D" w:rsidP="008D2649">
      <w:pPr>
        <w:pStyle w:val="Els-body-text"/>
        <w:rPr>
          <w:lang w:eastAsia="zh-CN"/>
        </w:rPr>
      </w:pPr>
    </w:p>
    <w:p w14:paraId="6ECB0A94" w14:textId="0CBB8F8F" w:rsidR="002276F8" w:rsidRDefault="0049522D" w:rsidP="008D2649">
      <w:pPr>
        <w:pStyle w:val="Els-body-text"/>
        <w:rPr>
          <w:lang w:eastAsia="zh-CN"/>
        </w:rPr>
      </w:pPr>
      <w:r w:rsidRPr="0049522D">
        <w:rPr>
          <w:lang w:val="en-GB"/>
        </w:rPr>
        <w:t xml:space="preserve">However, </w:t>
      </w:r>
      <w:r w:rsidR="006665E4">
        <w:rPr>
          <w:lang w:val="en-GB"/>
        </w:rPr>
        <w:t xml:space="preserve">it </w:t>
      </w:r>
      <w:r w:rsidRPr="0049522D">
        <w:rPr>
          <w:lang w:val="en-GB"/>
        </w:rPr>
        <w:t xml:space="preserve">typically </w:t>
      </w:r>
      <w:r w:rsidR="006665E4" w:rsidRPr="006665E4">
        <w:rPr>
          <w:lang w:val="en-GB"/>
        </w:rPr>
        <w:t>necessitate</w:t>
      </w:r>
      <w:r w:rsidR="006665E4">
        <w:rPr>
          <w:lang w:val="en-GB"/>
        </w:rPr>
        <w:t>d</w:t>
      </w:r>
      <w:r w:rsidRPr="0049522D">
        <w:rPr>
          <w:lang w:val="en-GB"/>
        </w:rPr>
        <w:t xml:space="preserve"> the training of distinct deep learning models for effective fault detection and prognosis</w:t>
      </w:r>
      <w:r w:rsidR="006665E4">
        <w:rPr>
          <w:lang w:val="en-GB"/>
        </w:rPr>
        <w:t xml:space="preserve"> of </w:t>
      </w:r>
      <w:r w:rsidR="006665E4" w:rsidRPr="0049522D">
        <w:rPr>
          <w:lang w:val="en-GB"/>
        </w:rPr>
        <w:t>each process fault or variable</w:t>
      </w:r>
      <w:r w:rsidRPr="0049522D">
        <w:rPr>
          <w:lang w:val="en-GB"/>
        </w:rPr>
        <w:t>. This process consume</w:t>
      </w:r>
      <w:r w:rsidR="006665E4">
        <w:rPr>
          <w:lang w:val="en-GB"/>
        </w:rPr>
        <w:t>d</w:t>
      </w:r>
      <w:r w:rsidRPr="0049522D">
        <w:rPr>
          <w:lang w:val="en-GB"/>
        </w:rPr>
        <w:t xml:space="preserve"> substantial computing resources and time. </w:t>
      </w:r>
      <w:r w:rsidR="00F90200" w:rsidRPr="00F90200">
        <w:t>A prevalent approach involves the training of expansive models on unsupervised or weakly supervised objectives initially, followed by fine-tuning or assessing zero-shot generalization for downstream tasks</w:t>
      </w:r>
      <w:r w:rsidR="009D725B">
        <w:t xml:space="preserve"> </w:t>
      </w:r>
      <w:r w:rsidR="009D725B">
        <w:fldChar w:fldCharType="begin"/>
      </w:r>
      <w:r w:rsidR="009D725B">
        <w:instrText xml:space="preserve"> ADDIN ZOTERO_ITEM CSL_CITATION {"citationID":"Qgv11XTi","properties":{"formattedCitation":"(Brown et al. 2020)","plainCitation":"(Brown et al. 2020)","noteIndex":0},"citationItems":[{"id":772,"uris":["http://zotero.org/users/7252855/items/GFU77Q73"],"itemData":{"id":772,"type":"article-journal","container-title":"Advances in Neural Information Processing Systems","language":"en","page":"1877-1901","source":"proceedings.neurips.cc","title":"Language Models are Few-Shot Learners","volume":"33","author":[{"family":"Brown","given":"Tom"},{"family":"Mann","given":"Benjamin"},{"family":"Ryder","given":"Nick"},{"family":"Subbiah","given":"Melanie"},{"family":"Kaplan","given":"Jared D."},{"family":"Dhariwal","given":"Prafulla"},{"family":"Neelakantan","given":"Arvind"},{"family":"Shyam","given":"Pranav"},{"family":"Sastry","given":"Girish"},{"family":"Askell","given":"Amanda"},{"family":"Agarwal","given":"Sandhini"},{"family":"Herbert-Voss","given":"Ariel"},{"family":"Krueger","given":"Gretchen"},{"family":"Henighan","given":"Tom"},{"family":"Child","given":"Rewon"},{"family":"Ramesh","given":"Aditya"},{"family":"Ziegler","given":"Daniel"},{"family":"Wu","given":"Jeffrey"},{"family":"Winter","given":"Clemens"},{"family":"Hesse","given":"Chris"},{"family":"Chen","given":"Mark"},{"family":"Sigler","given":"Eric"},{"family":"Litwin","given":"Mateusz"},{"family":"Gray","given":"Scott"},{"family":"Chess","given":"Benjamin"},{"family":"Clark","given":"Jack"},{"family":"Berner","given":"Christopher"},{"family":"McCandlish","given":"Sam"},{"family":"Radford","given":"Alec"},{"family":"Sutskever","given":"Ilya"},{"family":"Amodei","given":"Dario"}],"issued":{"date-parts":[["2020"]]}}}],"schema":"https://github.com/citation-style-language/schema/raw/master/csl-citation.json"} </w:instrText>
      </w:r>
      <w:r w:rsidR="009D725B">
        <w:fldChar w:fldCharType="separate"/>
      </w:r>
      <w:r w:rsidR="009D725B" w:rsidRPr="009D725B">
        <w:t>(Brown et al. 2020)</w:t>
      </w:r>
      <w:r w:rsidR="009D725B">
        <w:fldChar w:fldCharType="end"/>
      </w:r>
      <w:r w:rsidR="00F90200" w:rsidRPr="00F90200">
        <w:t>. This practice finds widespread application, notably in domains such as natural language processing and computer vision</w:t>
      </w:r>
      <w:r w:rsidR="006665E4">
        <w:t xml:space="preserve">, </w:t>
      </w:r>
      <w:r w:rsidR="006665E4" w:rsidRPr="006665E4">
        <w:t xml:space="preserve">which inspired the </w:t>
      </w:r>
      <w:r w:rsidR="006665E4">
        <w:rPr>
          <w:color w:val="000000" w:themeColor="text1"/>
        </w:rPr>
        <w:t>p</w:t>
      </w:r>
      <w:r w:rsidR="006665E4" w:rsidRPr="00217525">
        <w:rPr>
          <w:color w:val="000000" w:themeColor="text1"/>
        </w:rPr>
        <w:t>re-train</w:t>
      </w:r>
      <w:r w:rsidR="00070205">
        <w:rPr>
          <w:color w:val="000000" w:themeColor="text1"/>
        </w:rPr>
        <w:t>ed models</w:t>
      </w:r>
      <w:r w:rsidR="006665E4" w:rsidRPr="00217525">
        <w:rPr>
          <w:color w:val="000000" w:themeColor="text1"/>
        </w:rPr>
        <w:t xml:space="preserve"> </w:t>
      </w:r>
      <w:r w:rsidR="00070205">
        <w:rPr>
          <w:color w:val="000000" w:themeColor="text1"/>
        </w:rPr>
        <w:t xml:space="preserve">for </w:t>
      </w:r>
      <w:r w:rsidR="00070205">
        <w:t xml:space="preserve">time series data </w:t>
      </w:r>
      <w:r w:rsidR="00070205">
        <w:fldChar w:fldCharType="begin"/>
      </w:r>
      <w:r w:rsidR="00070205">
        <w:instrText xml:space="preserve"> ADDIN ZOTERO_ITEM CSL_CITATION {"citationID":"po8R2bvh","properties":{"formattedCitation":"(Ma et al. 2023)","plainCitation":"(Ma et al. 2023)","noteIndex":0},"citationItems":[{"id":768,"uris":["http://zotero.org/users/7252855/items/EFR92XJ5"],"itemData":{"id":768,"type":"article","abstract":"Time-Series Mining (TSM) is an important research area since it shows great potential in practical applications. Deep learning models that rely on massive labeled data have been utilized for TSM successfully. However, constructing a large-scale well-labeled dataset is difficult due to data annotation costs. Recently, Pre-Trained Models have gradually attracted attention in the time series domain due to their remarkable performance in computer vision and natural language processing. In this survey, we provide a comprehensive review of Time-Series Pre-Trained Models (TS-PTMs), aiming to guide the understanding, applying, and studying TS-PTMs. Specifically, we first briefly introduce the typical deep learning models employed in TSM. Then, we give an overview of TS-PTMs according to the pre-training techniques. The main categories we explore include supervised, unsupervised, and self-supervised TS-PTMs. Further, extensive experiments are conducted to analyze the advantages and disadvantages of transfer learning strategies, Transformer-based models, and representative TS-PTMs. Finally, we point out some potential directions of TS-PTMs for future work.","DOI":"10.48550/arXiv.2305.10716","note":"arXiv:2305.10716 [cs]","number":"arXiv:2305.10716","publisher":"arXiv","source":"arXiv.org","title":"A Survey on Time-Series Pre-Trained Models","URL":"http://arxiv.org/abs/2305.10716","author":[{"family":"Ma","given":"Qianli"},{"family":"Liu","given":"Zhen"},{"family":"Zheng","given":"Zhenjing"},{"family":"Huang","given":"Ziyang"},{"family":"Zhu","given":"Siying"},{"family":"Yu","given":"Zhongzhong"},{"family":"Kwok","given":"James T."}],"accessed":{"date-parts":[["2023",11,22]]},"issued":{"date-parts":[["2023",5,18]]}}}],"schema":"https://github.com/citation-style-language/schema/raw/master/csl-citation.json"} </w:instrText>
      </w:r>
      <w:r w:rsidR="00070205">
        <w:fldChar w:fldCharType="separate"/>
      </w:r>
      <w:r w:rsidR="00070205" w:rsidRPr="00070205">
        <w:t>(Ma et al. 2023)</w:t>
      </w:r>
      <w:r w:rsidR="00070205">
        <w:fldChar w:fldCharType="end"/>
      </w:r>
      <w:r w:rsidR="006665E4" w:rsidRPr="006665E4">
        <w:t>.</w:t>
      </w:r>
    </w:p>
    <w:p w14:paraId="3EDE3E7F" w14:textId="77777777" w:rsidR="002276F8" w:rsidRDefault="002276F8" w:rsidP="008D2649">
      <w:pPr>
        <w:pStyle w:val="Els-body-text"/>
        <w:rPr>
          <w:lang w:eastAsia="zh-CN"/>
        </w:rPr>
      </w:pPr>
    </w:p>
    <w:p w14:paraId="1DCADBD7" w14:textId="680A9231" w:rsidR="002276F8" w:rsidRDefault="00FA08B4" w:rsidP="008D2649">
      <w:pPr>
        <w:pStyle w:val="Els-body-text"/>
        <w:rPr>
          <w:lang w:eastAsia="zh-CN"/>
        </w:rPr>
      </w:pPr>
      <w:r>
        <w:rPr>
          <w:rFonts w:hint="eastAsia"/>
          <w:lang w:eastAsia="zh-CN"/>
        </w:rPr>
        <w:t>I</w:t>
      </w:r>
      <w:r>
        <w:rPr>
          <w:lang w:eastAsia="zh-CN"/>
        </w:rPr>
        <w:t xml:space="preserve">n this paper, we proposed </w:t>
      </w:r>
      <w:r w:rsidRPr="00FA08B4">
        <w:rPr>
          <w:lang w:eastAsia="zh-CN"/>
        </w:rPr>
        <w:t>a pre-train and fine-tune paradigm of fault detection and fault prognosis for chemical process</w:t>
      </w:r>
      <w:r>
        <w:rPr>
          <w:lang w:eastAsia="zh-CN"/>
        </w:rPr>
        <w:t>, i</w:t>
      </w:r>
      <w:r w:rsidRPr="00FA08B4">
        <w:rPr>
          <w:lang w:eastAsia="zh-CN"/>
        </w:rPr>
        <w:t>nspired by the pre-trained models in natural language processing and computer vision</w:t>
      </w:r>
      <w:r>
        <w:rPr>
          <w:lang w:eastAsia="zh-CN"/>
        </w:rPr>
        <w:t xml:space="preserve">. </w:t>
      </w:r>
      <w:r w:rsidR="00956668">
        <w:rPr>
          <w:color w:val="000000"/>
          <w:lang w:eastAsia="zh-CN"/>
        </w:rPr>
        <w:t xml:space="preserve">We took a deep masked attention model pretrained on the raw datasets and </w:t>
      </w:r>
      <w:r w:rsidR="00956668" w:rsidRPr="0075484D">
        <w:rPr>
          <w:color w:val="000000"/>
          <w:lang w:eastAsia="zh-CN"/>
        </w:rPr>
        <w:t>fine-tune</w:t>
      </w:r>
      <w:r w:rsidR="00956668">
        <w:rPr>
          <w:color w:val="000000"/>
          <w:lang w:eastAsia="zh-CN"/>
        </w:rPr>
        <w:t>d</w:t>
      </w:r>
      <w:r w:rsidR="00956668" w:rsidRPr="0075484D">
        <w:rPr>
          <w:color w:val="000000"/>
          <w:lang w:eastAsia="zh-CN"/>
        </w:rPr>
        <w:t xml:space="preserve"> model</w:t>
      </w:r>
      <w:r w:rsidR="00956668">
        <w:rPr>
          <w:color w:val="000000"/>
          <w:lang w:eastAsia="zh-CN"/>
        </w:rPr>
        <w:t xml:space="preserve">s </w:t>
      </w:r>
      <w:r w:rsidR="00956668" w:rsidRPr="0075484D">
        <w:rPr>
          <w:color w:val="000000"/>
          <w:lang w:eastAsia="zh-CN"/>
        </w:rPr>
        <w:t>based on</w:t>
      </w:r>
      <w:r w:rsidR="00956668">
        <w:rPr>
          <w:color w:val="000000"/>
          <w:lang w:eastAsia="zh-CN"/>
        </w:rPr>
        <w:t xml:space="preserve"> fault detection and fault prognosis</w:t>
      </w:r>
      <w:r w:rsidR="00956668" w:rsidRPr="0075484D">
        <w:rPr>
          <w:color w:val="000000"/>
          <w:lang w:eastAsia="zh-CN"/>
        </w:rPr>
        <w:t>.</w:t>
      </w:r>
      <w:r w:rsidR="00956668">
        <w:rPr>
          <w:color w:val="000000"/>
          <w:lang w:eastAsia="zh-CN"/>
        </w:rPr>
        <w:t xml:space="preserve"> </w:t>
      </w:r>
      <w:r w:rsidR="00DD2968" w:rsidRPr="00DD2968">
        <w:rPr>
          <w:color w:val="000000"/>
          <w:lang w:eastAsia="zh-CN"/>
        </w:rPr>
        <w:t>TEP</w:t>
      </w:r>
      <w:r w:rsidR="000016EE">
        <w:rPr>
          <w:color w:val="000000"/>
          <w:lang w:eastAsia="zh-CN"/>
        </w:rPr>
        <w:t xml:space="preserve"> </w:t>
      </w:r>
      <w:r w:rsidR="00DD2968" w:rsidRPr="00DD2968">
        <w:rPr>
          <w:color w:val="000000"/>
          <w:lang w:eastAsia="zh-CN"/>
        </w:rPr>
        <w:t xml:space="preserve">was used to demonstrate the validity of the method. The results show that the proposed method obtain the strong performance on the chemical process fault </w:t>
      </w:r>
      <w:r w:rsidR="00DD2968">
        <w:rPr>
          <w:color w:val="000000"/>
          <w:lang w:eastAsia="zh-CN"/>
        </w:rPr>
        <w:t>detection and prognosis</w:t>
      </w:r>
      <w:r w:rsidR="00DD2968" w:rsidRPr="00DD2968">
        <w:rPr>
          <w:color w:val="000000"/>
          <w:lang w:eastAsia="zh-CN"/>
        </w:rPr>
        <w:t xml:space="preserve"> task. Additionally, we discussed the relevant issues in applying </w:t>
      </w:r>
      <w:r w:rsidR="00E27694" w:rsidRPr="00E27694">
        <w:rPr>
          <w:color w:val="000000"/>
          <w:lang w:eastAsia="zh-CN"/>
        </w:rPr>
        <w:t>the pre-train and fine-tune paradigm to real chemical process data</w:t>
      </w:r>
      <w:r w:rsidR="00DD2968" w:rsidRPr="00DD2968">
        <w:rPr>
          <w:color w:val="000000"/>
          <w:lang w:eastAsia="zh-CN"/>
        </w:rPr>
        <w:t>.</w:t>
      </w:r>
    </w:p>
    <w:p w14:paraId="642BC124" w14:textId="77777777" w:rsidR="002276F8" w:rsidRPr="00514120" w:rsidRDefault="002276F8" w:rsidP="008D2649">
      <w:pPr>
        <w:pStyle w:val="Els-body-text"/>
        <w:rPr>
          <w:lang w:eastAsia="zh-CN"/>
        </w:rPr>
      </w:pPr>
    </w:p>
    <w:p w14:paraId="18E4B7A8" w14:textId="5BE65120" w:rsidR="002276F8" w:rsidRPr="002276F8" w:rsidRDefault="002276F8" w:rsidP="008D2649">
      <w:pPr>
        <w:pStyle w:val="Els-body-text"/>
      </w:pPr>
      <w:r>
        <w:rPr>
          <w:rFonts w:hint="eastAsia"/>
          <w:lang w:eastAsia="zh-CN"/>
        </w:rPr>
        <w:lastRenderedPageBreak/>
        <w:t>T</w:t>
      </w:r>
      <w:r>
        <w:rPr>
          <w:lang w:eastAsia="zh-CN"/>
        </w:rPr>
        <w:t xml:space="preserve">he remainder of this paper is organized as follows. </w:t>
      </w:r>
      <w:r w:rsidRPr="00B94B3E">
        <w:rPr>
          <w:lang w:eastAsia="zh-CN"/>
        </w:rPr>
        <w:t>Section 2 reviews the basic knowledge of</w:t>
      </w:r>
      <w:r w:rsidR="00BB5447">
        <w:rPr>
          <w:lang w:eastAsia="zh-CN"/>
        </w:rPr>
        <w:t xml:space="preserve"> the self-attention structure and Transformer model</w:t>
      </w:r>
      <w:r w:rsidRPr="00B94B3E">
        <w:rPr>
          <w:lang w:eastAsia="zh-CN"/>
        </w:rPr>
        <w:t xml:space="preserve">. Section 3 includes the </w:t>
      </w:r>
      <w:r>
        <w:rPr>
          <w:lang w:eastAsia="zh-CN"/>
        </w:rPr>
        <w:t xml:space="preserve">descriptions </w:t>
      </w:r>
      <w:r w:rsidRPr="00B94B3E">
        <w:rPr>
          <w:lang w:eastAsia="zh-CN"/>
        </w:rPr>
        <w:t>of the proposed</w:t>
      </w:r>
      <w:r w:rsidR="00BB5447">
        <w:rPr>
          <w:lang w:eastAsia="zh-CN"/>
        </w:rPr>
        <w:t xml:space="preserve"> </w:t>
      </w:r>
      <w:r w:rsidR="00BB5447">
        <w:rPr>
          <w:color w:val="000000" w:themeColor="text1"/>
        </w:rPr>
        <w:t>p</w:t>
      </w:r>
      <w:r w:rsidR="00BB5447" w:rsidRPr="00217525">
        <w:rPr>
          <w:color w:val="000000" w:themeColor="text1"/>
        </w:rPr>
        <w:t xml:space="preserve">re-train and </w:t>
      </w:r>
      <w:r w:rsidR="00BB5447">
        <w:rPr>
          <w:color w:val="000000" w:themeColor="text1"/>
        </w:rPr>
        <w:t>f</w:t>
      </w:r>
      <w:r w:rsidR="00BB5447" w:rsidRPr="00217525">
        <w:rPr>
          <w:color w:val="000000" w:themeColor="text1"/>
        </w:rPr>
        <w:t xml:space="preserve">ine-tune </w:t>
      </w:r>
      <w:r w:rsidR="00BB5447">
        <w:rPr>
          <w:color w:val="000000" w:themeColor="text1"/>
        </w:rPr>
        <w:t>p</w:t>
      </w:r>
      <w:r w:rsidR="00BB5447" w:rsidRPr="00217525">
        <w:rPr>
          <w:color w:val="000000" w:themeColor="text1"/>
        </w:rPr>
        <w:t>aradigm</w:t>
      </w:r>
      <w:r w:rsidRPr="00B94B3E">
        <w:rPr>
          <w:lang w:eastAsia="zh-CN"/>
        </w:rPr>
        <w:t xml:space="preserve">. The applications </w:t>
      </w:r>
      <w:r>
        <w:rPr>
          <w:lang w:eastAsia="zh-CN"/>
        </w:rPr>
        <w:t xml:space="preserve">and discussions </w:t>
      </w:r>
      <w:r w:rsidRPr="00B94B3E">
        <w:rPr>
          <w:lang w:eastAsia="zh-CN"/>
        </w:rPr>
        <w:t>are revealed in Section 4. Section 5 gives summary.</w:t>
      </w:r>
    </w:p>
    <w:p w14:paraId="786D363B" w14:textId="5F0E7E28" w:rsidR="00075EC5" w:rsidRPr="00075EC5" w:rsidRDefault="00075EC5" w:rsidP="00343F7A">
      <w:pPr>
        <w:pStyle w:val="Els-1storder-head"/>
      </w:pPr>
      <w:r w:rsidRPr="00075EC5">
        <w:t>Methodology</w:t>
      </w:r>
    </w:p>
    <w:p w14:paraId="144DE69A" w14:textId="6AD56914" w:rsidR="008D2649" w:rsidRDefault="00D97E95" w:rsidP="008D2649">
      <w:pPr>
        <w:pStyle w:val="Els-2ndorder-head"/>
      </w:pPr>
      <w:r>
        <w:t>Self-attention</w:t>
      </w:r>
    </w:p>
    <w:p w14:paraId="144DE69B" w14:textId="1541AC6D" w:rsidR="008D2649" w:rsidRDefault="00AB21ED" w:rsidP="008D2649">
      <w:pPr>
        <w:pStyle w:val="Els-body-text"/>
      </w:pPr>
      <w:r w:rsidRPr="00AB21ED">
        <w:t>The attention mechanism</w:t>
      </w:r>
      <w:r w:rsidR="009924E7">
        <w:rPr>
          <w:lang w:eastAsia="zh-CN"/>
        </w:rPr>
        <w:t xml:space="preserve"> </w:t>
      </w:r>
      <w:r w:rsidR="009924E7">
        <w:rPr>
          <w:rFonts w:hint="eastAsia"/>
          <w:lang w:eastAsia="zh-CN"/>
        </w:rPr>
        <w:t>is</w:t>
      </w:r>
      <w:r w:rsidR="009924E7">
        <w:rPr>
          <w:lang w:eastAsia="zh-CN"/>
        </w:rPr>
        <w:t xml:space="preserve"> the most important </w:t>
      </w:r>
      <w:r w:rsidR="009924E7" w:rsidRPr="009924E7">
        <w:rPr>
          <w:lang w:eastAsia="zh-CN"/>
        </w:rPr>
        <w:t>structure</w:t>
      </w:r>
      <w:r w:rsidR="009924E7">
        <w:rPr>
          <w:lang w:eastAsia="zh-CN"/>
        </w:rPr>
        <w:t xml:space="preserve"> in Transformer model and </w:t>
      </w:r>
      <w:r w:rsidRPr="00AB21ED">
        <w:t xml:space="preserve">could overcome </w:t>
      </w:r>
      <w:r w:rsidR="00AC3D9B">
        <w:rPr>
          <w:lang w:eastAsia="zh-CN"/>
        </w:rPr>
        <w:t xml:space="preserve">the difficulty in </w:t>
      </w:r>
      <w:r w:rsidR="00AC3D9B" w:rsidRPr="00AC3D9B">
        <w:rPr>
          <w:lang w:eastAsia="zh-CN"/>
        </w:rPr>
        <w:t>modeling long sequential data</w:t>
      </w:r>
      <w:r w:rsidRPr="00AB21ED">
        <w:t xml:space="preserve"> by learning the weights of input information at different times. We show a version of a commonly used attention in Fig. 2, which was proposed as self-attention</w:t>
      </w:r>
      <w:r w:rsidR="00B74093">
        <w:t xml:space="preserve"> </w:t>
      </w:r>
      <w:r w:rsidR="00B74093">
        <w:fldChar w:fldCharType="begin"/>
      </w:r>
      <w:r w:rsidR="00B74093">
        <w:instrText xml:space="preserve"> ADDIN ZOTERO_ITEM CSL_CITATION {"citationID":"uZHsoEOW","properties":{"formattedCitation":"(Vaswani et al. 2017)","plainCitation":"(Vaswani et al. 2017)","noteIndex":0},"citationItems":[{"id":70,"uris":["http://zotero.org/users/7252855/items/6VXNCZ4B"],"itemData":{"id":70,"type":"paper-conference","container-title":"Advances in Neural Information Processing Systems","publisher":"Curran Associates, Inc.","source":"Neural Information Processing Systems","title":"Attention is All you Need","URL":"https://proceedings.neurips.cc/paper/2017/hash/3f5ee243547dee91fbd053c1c4a845aa-Abstract.html","volume":"30","author":[{"family":"Vaswani","given":"Ashish"},{"family":"Shazeer","given":"Noam"},{"family":"Parmar","given":"Niki"},{"family":"Uszkoreit","given":"Jakob"},{"family":"Jones","given":"Llion"},{"family":"Gomez","given":"Aidan N"},{"family":"Kaiser","given":"Łukasz"},{"family":"Polosukhin","given":"Illia"}],"accessed":{"date-parts":[["2022",1,3]]},"issued":{"date-parts":[["2017"]]}}}],"schema":"https://github.com/citation-style-language/schema/raw/master/csl-citation.json"} </w:instrText>
      </w:r>
      <w:r w:rsidR="00B74093">
        <w:fldChar w:fldCharType="separate"/>
      </w:r>
      <w:r w:rsidR="00B74093" w:rsidRPr="00B74093">
        <w:t>(Vaswani et al. 2017)</w:t>
      </w:r>
      <w:r w:rsidR="00B74093">
        <w:fldChar w:fldCharType="end"/>
      </w:r>
      <w:r w:rsidRPr="00AB21ED">
        <w:t>.</w:t>
      </w:r>
    </w:p>
    <w:p w14:paraId="2FC7B883" w14:textId="1BFE487E" w:rsidR="00AB21ED" w:rsidRDefault="00AB21ED" w:rsidP="00AB21ED">
      <w:pPr>
        <w:pStyle w:val="Els-body-text"/>
        <w:jc w:val="center"/>
      </w:pPr>
      <w:r>
        <w:rPr>
          <w:noProof/>
        </w:rPr>
        <w:drawing>
          <wp:inline distT="0" distB="0" distL="0" distR="0" wp14:anchorId="052FC785" wp14:editId="1505E035">
            <wp:extent cx="2671638" cy="15304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3449" cy="1537184"/>
                    </a:xfrm>
                    <a:prstGeom prst="rect">
                      <a:avLst/>
                    </a:prstGeom>
                  </pic:spPr>
                </pic:pic>
              </a:graphicData>
            </a:graphic>
          </wp:inline>
        </w:drawing>
      </w:r>
    </w:p>
    <w:p w14:paraId="57047D90" w14:textId="42624FA6" w:rsidR="00AB21ED" w:rsidRDefault="00AB21ED" w:rsidP="00AB21ED">
      <w:pPr>
        <w:pStyle w:val="Els-body-text"/>
        <w:jc w:val="center"/>
        <w:rPr>
          <w:sz w:val="18"/>
          <w:szCs w:val="18"/>
        </w:rPr>
      </w:pPr>
      <w:r w:rsidRPr="00816771">
        <w:rPr>
          <w:sz w:val="18"/>
          <w:szCs w:val="18"/>
        </w:rPr>
        <w:t xml:space="preserve">Fig. </w:t>
      </w:r>
      <w:r w:rsidR="005D40FF">
        <w:rPr>
          <w:sz w:val="18"/>
          <w:szCs w:val="18"/>
          <w:lang w:eastAsia="zh-CN"/>
        </w:rPr>
        <w:t>2</w:t>
      </w:r>
      <w:r w:rsidRPr="00816771">
        <w:rPr>
          <w:sz w:val="18"/>
          <w:szCs w:val="18"/>
        </w:rPr>
        <w:t>. A schematic diagram of self-attention.</w:t>
      </w:r>
      <w:r w:rsidR="00057E7F">
        <w:rPr>
          <w:sz w:val="18"/>
          <w:szCs w:val="18"/>
        </w:rPr>
        <w:t xml:space="preserve"> </w:t>
      </w:r>
      <w:r w:rsidR="00057E7F" w:rsidRPr="00E602A4">
        <w:rPr>
          <w:sz w:val="18"/>
          <w:szCs w:val="18"/>
        </w:rPr>
        <w:fldChar w:fldCharType="begin"/>
      </w:r>
      <w:r w:rsidR="00057E7F" w:rsidRPr="00E602A4">
        <w:rPr>
          <w:sz w:val="18"/>
          <w:szCs w:val="18"/>
        </w:rPr>
        <w:instrText xml:space="preserve"> ADDIN ZOTERO_ITEM CSL_CITATION {"citationID":"SEMWMzTZ","properties":{"formattedCitation":"(Bai and Zhao 2023a)","plainCitation":"(Bai and Zhao 2023a)","noteIndex":0},"citationItems":[{"id":244,"uris":["http://zotero.org/users/7252855/items/N3ZIM4D7"],"itemData":{"id":244,"type":"article-journal","abstract":"As the digitalization of process industry deepens, process fault detection and diagnosis (FDD) is an essential tool to ensure safe production in chemical industries. However, FDD may have a long detection delay for some chemical faults. Process fault prognosis methods could predict the occurrence of faults in advance, which would give operators more time and reduce the impact of faults. Nevertheless, many fault prognosis methods still suffer from fixed or insufficient prediction time ahead, which greatly confines their usage in critical scenarios. In this paper, we propose a novel Transformer-based multi-variable multi-step (TMM) prediction method for chemical process fault prognosis. Specifically, Transformer models are trained to predict the change of process variables at the next step, and iterative forecasting is used to predict multi-step changes of process variables. Finally, extensive evaluation of applications in a continuous stirred tank heater (CSTH) system and the Tennessee Eastman process (TEP) demonstrates that the proposed TMM prediction method shows high prediction accuracy and early fault prognosis, compared with representative statistical methods and other advanced deep learning methods.","container-title":"Process Safety and Environmental Protection","DOI":"10.1016/j.psep.2022.11.062","ISSN":"0957-5820","journalAbbreviation":"Process Safety and Environmental Protection","language":"en","page":"937-947","source":"ScienceDirect","title":"A novel transformer-based multi-variable multi-step prediction method for chemical process fault prognosis","volume":"169","author":[{"family":"Bai","given":"Yiming"},{"family":"Zhao","given":"Jinsong"}],"issued":{"date-parts":[["2023",1,1]]}}}],"schema":"https://github.com/citation-style-language/schema/raw/master/csl-citation.json"} </w:instrText>
      </w:r>
      <w:r w:rsidR="00057E7F" w:rsidRPr="00E602A4">
        <w:rPr>
          <w:sz w:val="18"/>
          <w:szCs w:val="18"/>
        </w:rPr>
        <w:fldChar w:fldCharType="separate"/>
      </w:r>
      <w:r w:rsidR="00057E7F" w:rsidRPr="00E602A4">
        <w:rPr>
          <w:sz w:val="18"/>
          <w:szCs w:val="18"/>
        </w:rPr>
        <w:t>(Bai and Zhao 2023a)</w:t>
      </w:r>
      <w:r w:rsidR="00057E7F" w:rsidRPr="00E602A4">
        <w:rPr>
          <w:sz w:val="18"/>
          <w:szCs w:val="18"/>
        </w:rPr>
        <w:fldChar w:fldCharType="end"/>
      </w:r>
    </w:p>
    <w:p w14:paraId="73DFED12" w14:textId="77777777" w:rsidR="00AB21ED" w:rsidRDefault="00AB21ED" w:rsidP="00AB21ED">
      <w:pPr>
        <w:pStyle w:val="Els-body-text"/>
      </w:pPr>
    </w:p>
    <w:p w14:paraId="54F6B43B" w14:textId="7C08ACF3" w:rsidR="00AB21ED" w:rsidRPr="00AB21ED" w:rsidRDefault="00AB21ED" w:rsidP="00AB21ED">
      <w:pPr>
        <w:pStyle w:val="Els-body-text"/>
      </w:pPr>
      <w:r w:rsidRPr="00AB21ED">
        <w:t xml:space="preserve">Firstly, given an input sequence </w:t>
      </w:r>
      <m:oMath>
        <m:r>
          <w:rPr>
            <w:rFonts w:ascii="Cambria Math" w:hAnsi="Cambria Math"/>
          </w:rPr>
          <m:t>x=</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k</m:t>
            </m:r>
          </m:sup>
        </m:sSup>
      </m:oMath>
      <w:r w:rsidRPr="00AB21ED">
        <w:rPr>
          <w:rFonts w:hint="eastAsia"/>
        </w:rPr>
        <w:t>,</w:t>
      </w:r>
      <w:r w:rsidRPr="00AB21ED">
        <w:t xml:space="preserve"> query, key and value vectors can be obtained by mapped with linear transformations and </w:t>
      </w:r>
      <w:bookmarkStart w:id="0" w:name="_Hlk110265990"/>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 xml:space="preserve">, </m:t>
        </m:r>
        <w:bookmarkEnd w:id="0"/>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R</m:t>
            </m:r>
          </m:e>
          <m:sup>
            <m:sSub>
              <m:sSubPr>
                <m:ctrlPr>
                  <w:rPr>
                    <w:rFonts w:ascii="Cambria Math" w:hAnsi="Cambria Math"/>
                    <w:i/>
                  </w:rPr>
                </m:ctrlPr>
              </m:sSubPr>
              <m:e>
                <m:r>
                  <w:rPr>
                    <w:rFonts w:ascii="Cambria Math" w:hAnsi="Cambria Math"/>
                  </w:rPr>
                  <m:t>d</m:t>
                </m:r>
              </m:e>
              <m:sub>
                <m:r>
                  <w:rPr>
                    <w:rFonts w:ascii="Cambria Math" w:hAnsi="Cambria Math"/>
                  </w:rPr>
                  <m:t>k</m:t>
                </m:r>
              </m:sub>
            </m:sSub>
          </m:sup>
        </m:sSup>
      </m:oMath>
      <w:r w:rsidRPr="00AB21ED">
        <w:rPr>
          <w:rFonts w:hint="eastAsia"/>
        </w:rPr>
        <w:t xml:space="preserve"> </w:t>
      </w:r>
      <w:r w:rsidRPr="00AB21ED">
        <w:t xml:space="preserve">are examples to show the calculation process of each element. </w:t>
      </w:r>
    </w:p>
    <w:tbl>
      <w:tblPr>
        <w:tblW w:w="0" w:type="auto"/>
        <w:tblLook w:val="04A0" w:firstRow="1" w:lastRow="0" w:firstColumn="1" w:lastColumn="0" w:noHBand="0" w:noVBand="1"/>
      </w:tblPr>
      <w:tblGrid>
        <w:gridCol w:w="6359"/>
        <w:gridCol w:w="727"/>
      </w:tblGrid>
      <w:tr w:rsidR="00AB21ED" w:rsidRPr="00AB21ED" w14:paraId="1C216DB2" w14:textId="77777777" w:rsidTr="0074127D">
        <w:tc>
          <w:tcPr>
            <w:tcW w:w="7508" w:type="dxa"/>
          </w:tcPr>
          <w:p w14:paraId="176D0F35" w14:textId="11CAD8B2" w:rsidR="00AB21ED" w:rsidRPr="00AB21ED" w:rsidRDefault="00000000" w:rsidP="00AB21ED">
            <w:pPr>
              <w:pStyle w:val="Els-body-text"/>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q</m:t>
                    </m:r>
                  </m:sup>
                </m:sSup>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k</m:t>
                    </m:r>
                  </m:sup>
                </m:sSup>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v</m:t>
                    </m:r>
                  </m:sup>
                </m:sSup>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i=1, 2, ⋯, n</m:t>
                </m:r>
              </m:oMath>
            </m:oMathPara>
          </w:p>
        </w:tc>
        <w:tc>
          <w:tcPr>
            <w:tcW w:w="788" w:type="dxa"/>
            <w:vAlign w:val="center"/>
          </w:tcPr>
          <w:p w14:paraId="4DED1A94" w14:textId="77777777" w:rsidR="00AB21ED" w:rsidRPr="00AB21ED" w:rsidRDefault="00AB21ED" w:rsidP="00ED1078">
            <w:pPr>
              <w:pStyle w:val="Els-body-text"/>
              <w:jc w:val="right"/>
            </w:pPr>
            <w:r w:rsidRPr="00AB21ED">
              <w:rPr>
                <w:rFonts w:hint="eastAsia"/>
              </w:rPr>
              <w:t>(</w:t>
            </w:r>
            <w:r w:rsidRPr="00AB21ED">
              <w:t>1)</w:t>
            </w:r>
          </w:p>
        </w:tc>
      </w:tr>
    </w:tbl>
    <w:p w14:paraId="7D81864B" w14:textId="6D09E767" w:rsidR="00A169CB" w:rsidRPr="00AB21ED" w:rsidRDefault="00AB21ED" w:rsidP="00AB21ED">
      <w:pPr>
        <w:pStyle w:val="Els-body-text"/>
      </w:pPr>
      <w:r w:rsidRPr="00AB21ED">
        <w:rPr>
          <w:rFonts w:hint="eastAsia"/>
        </w:rPr>
        <w:t>W</w:t>
      </w:r>
      <w:r w:rsidRPr="00AB21ED">
        <w:t xml:space="preserve">here </w:t>
      </w:r>
      <m:oMath>
        <m:sSup>
          <m:sSupPr>
            <m:ctrlPr>
              <w:rPr>
                <w:rFonts w:ascii="Cambria Math" w:hAnsi="Cambria Math"/>
                <w:i/>
              </w:rPr>
            </m:ctrlPr>
          </m:sSupPr>
          <m:e>
            <m:r>
              <w:rPr>
                <w:rFonts w:ascii="Cambria Math" w:hAnsi="Cambria Math"/>
              </w:rPr>
              <m:t>W</m:t>
            </m:r>
          </m:e>
          <m:sup>
            <m:r>
              <w:rPr>
                <w:rFonts w:ascii="Cambria Math" w:hAnsi="Cambria Math"/>
              </w:rPr>
              <m:t>q</m:t>
            </m:r>
          </m:sup>
        </m:sSup>
        <m:r>
          <w:rPr>
            <w:rFonts w:ascii="Cambria Math" w:hAnsi="Cambria Math"/>
          </w:rPr>
          <m:t xml:space="preserve">, </m:t>
        </m:r>
        <m:sSup>
          <m:sSupPr>
            <m:ctrlPr>
              <w:rPr>
                <w:rFonts w:ascii="Cambria Math" w:hAnsi="Cambria Math"/>
                <w:i/>
              </w:rPr>
            </m:ctrlPr>
          </m:sSupPr>
          <m:e>
            <m:r>
              <w:rPr>
                <w:rFonts w:ascii="Cambria Math" w:hAnsi="Cambria Math"/>
              </w:rPr>
              <m:t>W</m:t>
            </m:r>
          </m:e>
          <m:sup>
            <m:r>
              <w:rPr>
                <w:rFonts w:ascii="Cambria Math" w:hAnsi="Cambria Math"/>
              </w:rPr>
              <m:t>k</m:t>
            </m:r>
          </m:sup>
        </m:sSup>
        <m:r>
          <w:rPr>
            <w:rFonts w:ascii="Cambria Math" w:hAnsi="Cambria Math"/>
          </w:rPr>
          <m:t xml:space="preserve">, </m:t>
        </m:r>
        <m:sSup>
          <m:sSupPr>
            <m:ctrlPr>
              <w:rPr>
                <w:rFonts w:ascii="Cambria Math" w:hAnsi="Cambria Math"/>
                <w:i/>
              </w:rPr>
            </m:ctrlPr>
          </m:sSupPr>
          <m:e>
            <m:r>
              <w:rPr>
                <w:rFonts w:ascii="Cambria Math" w:hAnsi="Cambria Math"/>
              </w:rPr>
              <m:t>W</m:t>
            </m:r>
          </m:e>
          <m:sup>
            <m:r>
              <w:rPr>
                <w:rFonts w:ascii="Cambria Math" w:hAnsi="Cambria Math"/>
              </w:rPr>
              <m:t>v</m:t>
            </m:r>
          </m:sup>
        </m:sSup>
        <m:r>
          <w:rPr>
            <w:rFonts w:ascii="Cambria Math" w:hAnsi="Cambria Math"/>
          </w:rPr>
          <m:t>∈</m:t>
        </m:r>
        <m:sSup>
          <m:sSupPr>
            <m:ctrlPr>
              <w:rPr>
                <w:rFonts w:ascii="Cambria Math" w:hAnsi="Cambria Math"/>
                <w:i/>
              </w:rPr>
            </m:ctrlPr>
          </m:sSupPr>
          <m:e>
            <m:r>
              <w:rPr>
                <w:rFonts w:ascii="Cambria Math" w:hAnsi="Cambria Math"/>
              </w:rPr>
              <m:t>R</m:t>
            </m:r>
          </m:e>
          <m:sup>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×k</m:t>
            </m:r>
          </m:sup>
        </m:sSup>
      </m:oMath>
      <w:r w:rsidRPr="00AB21ED">
        <w:rPr>
          <w:rFonts w:hint="eastAsia"/>
        </w:rPr>
        <w:t xml:space="preserve"> </w:t>
      </w:r>
      <w:r w:rsidRPr="00AB21ED">
        <w:t>are learnable matrices.</w:t>
      </w:r>
    </w:p>
    <w:p w14:paraId="66CDB1F5" w14:textId="377ED847" w:rsidR="00AB21ED" w:rsidRPr="00AB21ED" w:rsidRDefault="00AB21ED" w:rsidP="00AB21ED">
      <w:pPr>
        <w:pStyle w:val="Els-body-text"/>
      </w:pPr>
      <w:r w:rsidRPr="00AB21ED">
        <w:t xml:space="preserve">Then, the similarity score of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Pr="00AB21ED">
        <w:rPr>
          <w:rFonts w:hint="eastAsia"/>
        </w:rPr>
        <w:t xml:space="preserve"> </w:t>
      </w:r>
      <w:r w:rsidRPr="00AB21ED">
        <w:t xml:space="preserve">and </w:t>
      </w:r>
      <m:oMath>
        <m:sSub>
          <m:sSubPr>
            <m:ctrlPr>
              <w:rPr>
                <w:rFonts w:ascii="Cambria Math" w:hAnsi="Cambria Math"/>
                <w:i/>
              </w:rPr>
            </m:ctrlPr>
          </m:sSubPr>
          <m:e>
            <m:r>
              <w:rPr>
                <w:rFonts w:ascii="Cambria Math" w:hAnsi="Cambria Math"/>
              </w:rPr>
              <m:t>k</m:t>
            </m:r>
          </m:e>
          <m:sub>
            <m:r>
              <w:rPr>
                <w:rFonts w:ascii="Cambria Math" w:hAnsi="Cambria Math"/>
              </w:rPr>
              <m:t>j</m:t>
            </m:r>
          </m:sub>
        </m:sSub>
      </m:oMath>
      <w:r w:rsidRPr="00AB21ED">
        <w:rPr>
          <w:rFonts w:hint="eastAsia"/>
        </w:rPr>
        <w:t>,</w:t>
      </w:r>
      <w:r w:rsidRPr="00AB21ED">
        <w:t xml:space="preserve"> which are chosen as examples to show calculation, is calculated through a scaled dot-product function, and the SoftMax function is then used to normalize the scores and obtain the weights. </w:t>
      </w:r>
    </w:p>
    <w:tbl>
      <w:tblPr>
        <w:tblW w:w="0" w:type="auto"/>
        <w:tblLook w:val="04A0" w:firstRow="1" w:lastRow="0" w:firstColumn="1" w:lastColumn="0" w:noHBand="0" w:noVBand="1"/>
      </w:tblPr>
      <w:tblGrid>
        <w:gridCol w:w="6364"/>
        <w:gridCol w:w="722"/>
      </w:tblGrid>
      <w:tr w:rsidR="00AB21ED" w:rsidRPr="00AB21ED" w14:paraId="087DCF61" w14:textId="77777777" w:rsidTr="0074127D">
        <w:tc>
          <w:tcPr>
            <w:tcW w:w="7508" w:type="dxa"/>
          </w:tcPr>
          <w:p w14:paraId="7C30E362" w14:textId="2CDB810C" w:rsidR="00AB21ED" w:rsidRPr="00AB21ED" w:rsidRDefault="00000000" w:rsidP="00AB21ED">
            <w:pPr>
              <w:pStyle w:val="Els-body-text"/>
            </w:pPr>
            <m:oMathPara>
              <m:oMath>
                <m:sSub>
                  <m:sSubPr>
                    <m:ctrlPr>
                      <w:rPr>
                        <w:rFonts w:ascii="Cambria Math" w:hAnsi="Cambria Math"/>
                        <w:i/>
                      </w:rPr>
                    </m:ctrlPr>
                  </m:sSubPr>
                  <m:e>
                    <m:r>
                      <w:rPr>
                        <w:rFonts w:ascii="Cambria Math" w:hAnsi="Cambria Math"/>
                      </w:rPr>
                      <m:t>α</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d</m:t>
                            </m:r>
                          </m:e>
                          <m:sub>
                            <m:r>
                              <w:rPr>
                                <w:rFonts w:ascii="Cambria Math" w:hAnsi="Cambria Math"/>
                              </w:rPr>
                              <m:t>k</m:t>
                            </m:r>
                          </m:sub>
                        </m:sSub>
                      </m:e>
                    </m:rad>
                  </m:den>
                </m:f>
              </m:oMath>
            </m:oMathPara>
          </w:p>
        </w:tc>
        <w:tc>
          <w:tcPr>
            <w:tcW w:w="788" w:type="dxa"/>
            <w:vAlign w:val="center"/>
          </w:tcPr>
          <w:p w14:paraId="7A902F91" w14:textId="77777777" w:rsidR="00AB21ED" w:rsidRPr="00AB21ED" w:rsidRDefault="00AB21ED" w:rsidP="00ED1078">
            <w:pPr>
              <w:pStyle w:val="Els-body-text"/>
              <w:jc w:val="right"/>
            </w:pPr>
            <w:r w:rsidRPr="00AB21ED">
              <w:rPr>
                <w:rFonts w:hint="eastAsia"/>
              </w:rPr>
              <w:t>(</w:t>
            </w:r>
            <w:r w:rsidRPr="00AB21ED">
              <w:t>2)</w:t>
            </w:r>
          </w:p>
        </w:tc>
      </w:tr>
      <w:tr w:rsidR="00AB21ED" w:rsidRPr="00AB21ED" w14:paraId="3629B6F1" w14:textId="77777777" w:rsidTr="0074127D">
        <w:tc>
          <w:tcPr>
            <w:tcW w:w="7508" w:type="dxa"/>
          </w:tcPr>
          <w:p w14:paraId="5D897FE6" w14:textId="4FC96054" w:rsidR="00AB21ED" w:rsidRPr="00AB21ED" w:rsidRDefault="00000000" w:rsidP="00AB21ED">
            <w:pPr>
              <w:pStyle w:val="Els-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i,j</m:t>
                    </m:r>
                  </m:sub>
                </m:sSub>
                <m:r>
                  <w:rPr>
                    <w:rFonts w:ascii="Cambria Math" w:hAnsi="Cambria Math"/>
                  </w:rPr>
                  <m:t>=</m:t>
                </m:r>
                <m:f>
                  <m:fPr>
                    <m:ctrlPr>
                      <w:rPr>
                        <w:rFonts w:ascii="Cambria Math" w:hAnsi="Cambria Math"/>
                        <w:i/>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i,j</m:t>
                        </m:r>
                      </m:sub>
                    </m:sSub>
                    <m:r>
                      <w:rPr>
                        <w:rFonts w:ascii="Cambria Math" w:hAnsi="Cambria Math"/>
                      </w:rPr>
                      <m:t>)</m:t>
                    </m:r>
                  </m:num>
                  <m:den>
                    <m:nary>
                      <m:naryPr>
                        <m:chr m:val="∑"/>
                        <m:limLoc m:val="subSup"/>
                        <m:ctrlPr>
                          <w:rPr>
                            <w:rFonts w:ascii="Cambria Math" w:hAnsi="Cambria Math"/>
                            <w:i/>
                          </w:rPr>
                        </m:ctrlPr>
                      </m:naryPr>
                      <m:sub>
                        <m:r>
                          <w:rPr>
                            <w:rFonts w:ascii="Cambria Math" w:hAnsi="Cambria Math"/>
                          </w:rPr>
                          <m:t>t=1</m:t>
                        </m:r>
                      </m:sub>
                      <m:sup>
                        <m:r>
                          <w:rPr>
                            <w:rFonts w:ascii="Cambria Math" w:hAnsi="Cambria Math"/>
                          </w:rPr>
                          <m:t>n</m:t>
                        </m:r>
                      </m:sup>
                      <m:e>
                        <m:r>
                          <w:rPr>
                            <w:rFonts w:ascii="Cambria Math" w:hAnsi="Cambria Math"/>
                          </w:rPr>
                          <m:t>exp(</m:t>
                        </m:r>
                        <m:sSub>
                          <m:sSubPr>
                            <m:ctrlPr>
                              <w:rPr>
                                <w:rFonts w:ascii="Cambria Math" w:hAnsi="Cambria Math"/>
                                <w:i/>
                              </w:rPr>
                            </m:ctrlPr>
                          </m:sSubPr>
                          <m:e>
                            <m:r>
                              <w:rPr>
                                <w:rFonts w:ascii="Cambria Math" w:hAnsi="Cambria Math"/>
                              </w:rPr>
                              <m:t>α</m:t>
                            </m:r>
                          </m:e>
                          <m:sub>
                            <m:r>
                              <w:rPr>
                                <w:rFonts w:ascii="Cambria Math" w:hAnsi="Cambria Math"/>
                              </w:rPr>
                              <m:t>i,t</m:t>
                            </m:r>
                          </m:sub>
                        </m:sSub>
                        <m:r>
                          <w:rPr>
                            <w:rFonts w:ascii="Cambria Math" w:hAnsi="Cambria Math"/>
                          </w:rPr>
                          <m:t>)</m:t>
                        </m:r>
                      </m:e>
                    </m:nary>
                  </m:den>
                </m:f>
              </m:oMath>
            </m:oMathPara>
          </w:p>
        </w:tc>
        <w:tc>
          <w:tcPr>
            <w:tcW w:w="788" w:type="dxa"/>
            <w:vAlign w:val="center"/>
          </w:tcPr>
          <w:p w14:paraId="7EFC7537" w14:textId="77777777" w:rsidR="00AB21ED" w:rsidRPr="00AB21ED" w:rsidRDefault="00AB21ED" w:rsidP="00ED1078">
            <w:pPr>
              <w:pStyle w:val="Els-body-text"/>
              <w:jc w:val="right"/>
            </w:pPr>
            <w:r w:rsidRPr="00AB21ED">
              <w:rPr>
                <w:rFonts w:hint="eastAsia"/>
              </w:rPr>
              <w:t>(</w:t>
            </w:r>
            <w:r w:rsidRPr="00AB21ED">
              <w:t>3)</w:t>
            </w:r>
          </w:p>
        </w:tc>
      </w:tr>
    </w:tbl>
    <w:p w14:paraId="795C0E0B" w14:textId="77777777" w:rsidR="00AB21ED" w:rsidRPr="00AB21ED" w:rsidRDefault="00AB21ED" w:rsidP="00AB21ED">
      <w:pPr>
        <w:pStyle w:val="Els-body-text"/>
      </w:pPr>
      <w:r w:rsidRPr="00AB21ED">
        <w:t>Finally, the output is calculated as the weighted sum of values.</w:t>
      </w:r>
    </w:p>
    <w:tbl>
      <w:tblPr>
        <w:tblW w:w="0" w:type="auto"/>
        <w:tblLook w:val="04A0" w:firstRow="1" w:lastRow="0" w:firstColumn="1" w:lastColumn="0" w:noHBand="0" w:noVBand="1"/>
      </w:tblPr>
      <w:tblGrid>
        <w:gridCol w:w="6361"/>
        <w:gridCol w:w="725"/>
      </w:tblGrid>
      <w:tr w:rsidR="00AB21ED" w:rsidRPr="00AB21ED" w14:paraId="33E512AF" w14:textId="77777777" w:rsidTr="0074127D">
        <w:tc>
          <w:tcPr>
            <w:tcW w:w="7508" w:type="dxa"/>
          </w:tcPr>
          <w:p w14:paraId="5B93BBAC" w14:textId="1A093407" w:rsidR="00AB21ED" w:rsidRPr="00AB21ED" w:rsidRDefault="00000000" w:rsidP="00AB21ED">
            <w:pPr>
              <w:pStyle w:val="Els-body-text"/>
            </w:pPr>
            <m:oMathPara>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i,j</m:t>
                        </m:r>
                      </m:sub>
                    </m:sSub>
                    <m:sSub>
                      <m:sSubPr>
                        <m:ctrlPr>
                          <w:rPr>
                            <w:rFonts w:ascii="Cambria Math" w:hAnsi="Cambria Math"/>
                            <w:i/>
                          </w:rPr>
                        </m:ctrlPr>
                      </m:sSubPr>
                      <m:e>
                        <m:r>
                          <w:rPr>
                            <w:rFonts w:ascii="Cambria Math" w:hAnsi="Cambria Math"/>
                          </w:rPr>
                          <m:t>v</m:t>
                        </m:r>
                      </m:e>
                      <m:sub>
                        <m:r>
                          <w:rPr>
                            <w:rFonts w:ascii="Cambria Math" w:hAnsi="Cambria Math"/>
                          </w:rPr>
                          <m:t>j</m:t>
                        </m:r>
                      </m:sub>
                    </m:sSub>
                  </m:e>
                </m:nary>
              </m:oMath>
            </m:oMathPara>
          </w:p>
        </w:tc>
        <w:tc>
          <w:tcPr>
            <w:tcW w:w="788" w:type="dxa"/>
            <w:vAlign w:val="center"/>
          </w:tcPr>
          <w:p w14:paraId="4D93A31B" w14:textId="77777777" w:rsidR="00AB21ED" w:rsidRPr="00AB21ED" w:rsidRDefault="00AB21ED" w:rsidP="00ED1078">
            <w:pPr>
              <w:pStyle w:val="Els-body-text"/>
              <w:jc w:val="right"/>
            </w:pPr>
            <w:r w:rsidRPr="00AB21ED">
              <w:rPr>
                <w:rFonts w:hint="eastAsia"/>
              </w:rPr>
              <w:t>(</w:t>
            </w:r>
            <w:r w:rsidRPr="00AB21ED">
              <w:t>4)</w:t>
            </w:r>
          </w:p>
        </w:tc>
      </w:tr>
    </w:tbl>
    <w:p w14:paraId="144DE6A3" w14:textId="7EAC7F36" w:rsidR="008733A9" w:rsidRPr="008733A9" w:rsidRDefault="001E1FD0" w:rsidP="008733A9">
      <w:pPr>
        <w:pStyle w:val="Els-1storder-head"/>
        <w:spacing w:after="120"/>
        <w:rPr>
          <w:lang w:val="en-GB"/>
        </w:rPr>
      </w:pPr>
      <w:r>
        <w:rPr>
          <w:lang w:val="en-GB"/>
        </w:rPr>
        <w:t>The proposed method</w:t>
      </w:r>
    </w:p>
    <w:p w14:paraId="5E3AE3EB" w14:textId="6FA03FD1" w:rsidR="00F82739" w:rsidRDefault="00322C86" w:rsidP="0046112A">
      <w:pPr>
        <w:pStyle w:val="Els-body-text"/>
      </w:pPr>
      <w:r>
        <w:rPr>
          <w:rFonts w:hint="eastAsia"/>
        </w:rPr>
        <w:t>T</w:t>
      </w:r>
      <w:r>
        <w:t xml:space="preserve">he proposed </w:t>
      </w:r>
      <w:r w:rsidR="006C7EEB" w:rsidRPr="00FA08B4">
        <w:rPr>
          <w:lang w:eastAsia="zh-CN"/>
        </w:rPr>
        <w:t>pre-train and fine-tune paradigm</w:t>
      </w:r>
      <w:r>
        <w:t xml:space="preserve"> is shown in the Fig. 3.</w:t>
      </w:r>
      <w:r w:rsidR="000E7864">
        <w:t xml:space="preserve"> </w:t>
      </w:r>
      <w:r w:rsidR="00832452">
        <w:t>The offline training st</w:t>
      </w:r>
      <w:r w:rsidR="00D958FE">
        <w:t>age</w:t>
      </w:r>
      <w:r w:rsidR="00832452">
        <w:t xml:space="preserve"> included model pretraining and model finetuning. </w:t>
      </w:r>
      <w:r w:rsidR="00007443">
        <w:rPr>
          <w:rFonts w:hint="eastAsia"/>
          <w:lang w:eastAsia="zh-CN"/>
        </w:rPr>
        <w:t>During</w:t>
      </w:r>
      <w:r w:rsidR="00007443">
        <w:rPr>
          <w:lang w:eastAsia="zh-CN"/>
        </w:rPr>
        <w:t xml:space="preserve"> the offline modeling stage, the historical data were spilt into large unlabeled data</w:t>
      </w:r>
      <w:r w:rsidR="00DF6BBD">
        <w:rPr>
          <w:lang w:eastAsia="zh-CN"/>
        </w:rPr>
        <w:t>set</w:t>
      </w:r>
      <w:r w:rsidR="00007443">
        <w:rPr>
          <w:lang w:eastAsia="zh-CN"/>
        </w:rPr>
        <w:t xml:space="preserve"> and</w:t>
      </w:r>
      <w:r w:rsidR="00DF6BBD">
        <w:rPr>
          <w:lang w:eastAsia="zh-CN"/>
        </w:rPr>
        <w:t xml:space="preserve"> two</w:t>
      </w:r>
      <w:r w:rsidR="00007443">
        <w:rPr>
          <w:lang w:eastAsia="zh-CN"/>
        </w:rPr>
        <w:t xml:space="preserve"> small labeled data</w:t>
      </w:r>
      <w:r w:rsidR="00DF6BBD">
        <w:rPr>
          <w:lang w:eastAsia="zh-CN"/>
        </w:rPr>
        <w:t>sets for fault detection and fault prognosis</w:t>
      </w:r>
      <w:r w:rsidR="00007443">
        <w:rPr>
          <w:lang w:eastAsia="zh-CN"/>
        </w:rPr>
        <w:t xml:space="preserve">. </w:t>
      </w:r>
      <w:r w:rsidR="009C47B7" w:rsidRPr="009C47B7">
        <w:rPr>
          <w:lang w:eastAsia="zh-CN"/>
        </w:rPr>
        <w:t>Z-score normalization is utilized for data pre-processing.</w:t>
      </w:r>
      <w:r w:rsidR="009C47B7">
        <w:rPr>
          <w:lang w:eastAsia="zh-CN"/>
        </w:rPr>
        <w:t xml:space="preserve"> Then a </w:t>
      </w:r>
      <w:r w:rsidR="009C47B7" w:rsidRPr="009C47B7">
        <w:rPr>
          <w:lang w:eastAsia="zh-CN"/>
        </w:rPr>
        <w:t>multilayer</w:t>
      </w:r>
      <w:r w:rsidR="009C47B7">
        <w:rPr>
          <w:lang w:eastAsia="zh-CN"/>
        </w:rPr>
        <w:t xml:space="preserve"> Transformer</w:t>
      </w:r>
      <w:r w:rsidR="009C47B7" w:rsidRPr="009C47B7">
        <w:rPr>
          <w:lang w:eastAsia="zh-CN"/>
        </w:rPr>
        <w:t xml:space="preserve"> model</w:t>
      </w:r>
      <w:r w:rsidR="009C47B7">
        <w:rPr>
          <w:lang w:eastAsia="zh-CN"/>
        </w:rPr>
        <w:t xml:space="preserve"> was designed a</w:t>
      </w:r>
      <w:r w:rsidR="009C47B7" w:rsidRPr="009C47B7">
        <w:rPr>
          <w:lang w:eastAsia="zh-CN"/>
        </w:rPr>
        <w:t>ccording to chemical process system</w:t>
      </w:r>
      <w:r w:rsidR="009C47B7">
        <w:rPr>
          <w:lang w:eastAsia="zh-CN"/>
        </w:rPr>
        <w:t>.</w:t>
      </w:r>
      <w:r w:rsidR="00A44BF0">
        <w:rPr>
          <w:lang w:eastAsia="zh-CN"/>
        </w:rPr>
        <w:t xml:space="preserve"> We </w:t>
      </w:r>
      <w:r w:rsidR="00E51CD8">
        <w:rPr>
          <w:lang w:eastAsia="zh-CN"/>
        </w:rPr>
        <w:t xml:space="preserve">got the </w:t>
      </w:r>
      <w:r w:rsidR="00A44BF0">
        <w:rPr>
          <w:lang w:eastAsia="zh-CN"/>
        </w:rPr>
        <w:t xml:space="preserve">pretrained model </w:t>
      </w:r>
      <w:r w:rsidR="00D958FE">
        <w:rPr>
          <w:lang w:eastAsia="zh-CN"/>
        </w:rPr>
        <w:t>o</w:t>
      </w:r>
      <w:r w:rsidR="003B08CD">
        <w:rPr>
          <w:lang w:eastAsia="zh-CN"/>
        </w:rPr>
        <w:t xml:space="preserve">n large unlabeled dataset </w:t>
      </w:r>
      <w:r w:rsidR="00A44BF0">
        <w:rPr>
          <w:lang w:eastAsia="zh-CN"/>
        </w:rPr>
        <w:t xml:space="preserve">by </w:t>
      </w:r>
      <w:r w:rsidR="00E51CD8">
        <w:rPr>
          <w:lang w:eastAsia="zh-CN"/>
        </w:rPr>
        <w:t xml:space="preserve">training model to generate process variables at the next time point. </w:t>
      </w:r>
      <w:r w:rsidR="00D958FE">
        <w:rPr>
          <w:lang w:eastAsia="zh-CN"/>
        </w:rPr>
        <w:t xml:space="preserve">In the model finetuning step, </w:t>
      </w:r>
      <w:r w:rsidR="00703636" w:rsidRPr="00703636">
        <w:rPr>
          <w:lang w:eastAsia="zh-CN"/>
        </w:rPr>
        <w:t xml:space="preserve">specific </w:t>
      </w:r>
      <w:r w:rsidR="00703636" w:rsidRPr="00703636">
        <w:rPr>
          <w:lang w:eastAsia="zh-CN"/>
        </w:rPr>
        <w:lastRenderedPageBreak/>
        <w:t>detection and prognosis heads were integrated into the pretrained model architecture</w:t>
      </w:r>
      <w:r w:rsidR="00D958FE">
        <w:rPr>
          <w:lang w:eastAsia="zh-CN"/>
        </w:rPr>
        <w:t>, and then the modified models were finetuned on the labeled datasets.</w:t>
      </w:r>
      <w:r w:rsidR="00B815BD">
        <w:rPr>
          <w:lang w:eastAsia="zh-CN"/>
        </w:rPr>
        <w:t xml:space="preserve"> </w:t>
      </w:r>
      <w:r w:rsidR="005A4DB0">
        <w:rPr>
          <w:lang w:eastAsia="zh-CN"/>
        </w:rPr>
        <w:t>The online testing included</w:t>
      </w:r>
      <w:r w:rsidR="007B668C">
        <w:rPr>
          <w:lang w:eastAsia="zh-CN"/>
        </w:rPr>
        <w:t xml:space="preserve"> fault detection</w:t>
      </w:r>
      <w:r w:rsidR="005A4DB0">
        <w:rPr>
          <w:lang w:eastAsia="zh-CN"/>
        </w:rPr>
        <w:t xml:space="preserve"> and fault prognosis.</w:t>
      </w:r>
      <w:r w:rsidR="003E12C1">
        <w:rPr>
          <w:lang w:eastAsia="zh-CN"/>
        </w:rPr>
        <w:t xml:space="preserve"> </w:t>
      </w:r>
      <w:r w:rsidR="00AC08E5" w:rsidRPr="00AC08E5">
        <w:rPr>
          <w:lang w:eastAsia="zh-CN"/>
        </w:rPr>
        <w:t xml:space="preserve">Online data </w:t>
      </w:r>
      <w:r w:rsidR="00AC08E5">
        <w:rPr>
          <w:lang w:eastAsia="zh-CN"/>
        </w:rPr>
        <w:t>were</w:t>
      </w:r>
      <w:r w:rsidR="00AC08E5" w:rsidRPr="00AC08E5">
        <w:rPr>
          <w:lang w:eastAsia="zh-CN"/>
        </w:rPr>
        <w:t xml:space="preserve"> collected and normalized by the z-score method.</w:t>
      </w:r>
      <w:r w:rsidR="00AC08E5">
        <w:rPr>
          <w:lang w:eastAsia="zh-CN"/>
        </w:rPr>
        <w:t xml:space="preserve"> Then the data were </w:t>
      </w:r>
      <w:r w:rsidR="005743A7">
        <w:rPr>
          <w:lang w:eastAsia="zh-CN"/>
        </w:rPr>
        <w:t>transformed</w:t>
      </w:r>
      <w:r w:rsidR="00AC08E5">
        <w:rPr>
          <w:lang w:eastAsia="zh-CN"/>
        </w:rPr>
        <w:t xml:space="preserve"> into the same time window as the offline model training step. </w:t>
      </w:r>
      <w:r w:rsidR="0073321F">
        <w:rPr>
          <w:lang w:eastAsia="zh-CN"/>
        </w:rPr>
        <w:t xml:space="preserve">For fault detection, we calculated the abnormal score through the finetuned model and compared the abnormal score with the </w:t>
      </w:r>
      <w:r w:rsidR="0073321F" w:rsidRPr="0073321F">
        <w:rPr>
          <w:lang w:eastAsia="zh-CN"/>
        </w:rPr>
        <w:t>threshold</w:t>
      </w:r>
      <w:r w:rsidR="0073321F">
        <w:rPr>
          <w:lang w:eastAsia="zh-CN"/>
        </w:rPr>
        <w:t xml:space="preserve"> to </w:t>
      </w:r>
      <w:r w:rsidR="0073321F" w:rsidRPr="0073321F">
        <w:rPr>
          <w:lang w:eastAsia="zh-CN"/>
        </w:rPr>
        <w:t>detect if a fault occurred.</w:t>
      </w:r>
      <w:r w:rsidR="0073321F">
        <w:rPr>
          <w:lang w:eastAsia="zh-CN"/>
        </w:rPr>
        <w:t xml:space="preserve"> For fault prognosis, we predicted </w:t>
      </w:r>
      <w:r w:rsidR="00F77B9B">
        <w:rPr>
          <w:lang w:eastAsia="zh-CN"/>
        </w:rPr>
        <w:t>m</w:t>
      </w:r>
      <w:r w:rsidR="0073321F">
        <w:rPr>
          <w:lang w:eastAsia="zh-CN"/>
        </w:rPr>
        <w:t>ulti</w:t>
      </w:r>
      <w:r w:rsidR="00F77B9B">
        <w:rPr>
          <w:lang w:eastAsia="zh-CN"/>
        </w:rPr>
        <w:t xml:space="preserve">-step process variables and used the key variables to prognose </w:t>
      </w:r>
      <w:r w:rsidR="00F77B9B" w:rsidRPr="00F77B9B">
        <w:rPr>
          <w:lang w:eastAsia="zh-CN"/>
        </w:rPr>
        <w:t>whether an abnormality occurred</w:t>
      </w:r>
      <w:r w:rsidR="00F77B9B">
        <w:rPr>
          <w:lang w:eastAsia="zh-CN"/>
        </w:rPr>
        <w:t xml:space="preserve">. </w:t>
      </w:r>
    </w:p>
    <w:p w14:paraId="75EC1759" w14:textId="695F357B" w:rsidR="00F82739" w:rsidRDefault="000E7864" w:rsidP="00F82739">
      <w:pPr>
        <w:pStyle w:val="Els-body-text"/>
        <w:jc w:val="center"/>
        <w:rPr>
          <w:lang w:val="en-GB"/>
        </w:rPr>
      </w:pPr>
      <w:r>
        <w:rPr>
          <w:noProof/>
        </w:rPr>
        <w:drawing>
          <wp:inline distT="0" distB="0" distL="0" distR="0" wp14:anchorId="632B01BE" wp14:editId="74426CB8">
            <wp:extent cx="4498160" cy="2457179"/>
            <wp:effectExtent l="0" t="0" r="0" b="635"/>
            <wp:docPr id="7801909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06" b="8346"/>
                    <a:stretch/>
                  </pic:blipFill>
                  <pic:spPr bwMode="auto">
                    <a:xfrm>
                      <a:off x="0" y="0"/>
                      <a:ext cx="4498340" cy="2457277"/>
                    </a:xfrm>
                    <a:prstGeom prst="rect">
                      <a:avLst/>
                    </a:prstGeom>
                    <a:noFill/>
                    <a:ln>
                      <a:noFill/>
                    </a:ln>
                    <a:extLst>
                      <a:ext uri="{53640926-AAD7-44D8-BBD7-CCE9431645EC}">
                        <a14:shadowObscured xmlns:a14="http://schemas.microsoft.com/office/drawing/2010/main"/>
                      </a:ext>
                    </a:extLst>
                  </pic:spPr>
                </pic:pic>
              </a:graphicData>
            </a:graphic>
          </wp:inline>
        </w:drawing>
      </w:r>
    </w:p>
    <w:p w14:paraId="20400640" w14:textId="5264AE5E" w:rsidR="00F82739" w:rsidRPr="008F7391" w:rsidRDefault="00E11163" w:rsidP="008F7391">
      <w:pPr>
        <w:pStyle w:val="Els-body-text"/>
        <w:jc w:val="center"/>
        <w:rPr>
          <w:sz w:val="18"/>
          <w:szCs w:val="18"/>
        </w:rPr>
      </w:pPr>
      <w:r w:rsidRPr="005D610C">
        <w:rPr>
          <w:rFonts w:hint="eastAsia"/>
          <w:sz w:val="18"/>
          <w:szCs w:val="18"/>
        </w:rPr>
        <w:t>F</w:t>
      </w:r>
      <w:r w:rsidRPr="005D610C">
        <w:rPr>
          <w:sz w:val="18"/>
          <w:szCs w:val="18"/>
        </w:rPr>
        <w:t xml:space="preserve">ig. 3. The diagram of the proposed </w:t>
      </w:r>
      <w:r w:rsidR="0025294B" w:rsidRPr="0025294B">
        <w:rPr>
          <w:sz w:val="18"/>
          <w:szCs w:val="18"/>
        </w:rPr>
        <w:t>pre-train and fine-tune paradigm</w:t>
      </w:r>
      <w:r w:rsidRPr="005D610C">
        <w:rPr>
          <w:sz w:val="18"/>
          <w:szCs w:val="18"/>
        </w:rPr>
        <w:t>.</w:t>
      </w:r>
    </w:p>
    <w:p w14:paraId="144DE6A5" w14:textId="5D3EAD07" w:rsidR="008D2649" w:rsidRDefault="00AB574A" w:rsidP="008D2649">
      <w:pPr>
        <w:pStyle w:val="Els-1storder-head"/>
        <w:spacing w:after="120"/>
        <w:rPr>
          <w:lang w:val="en-GB"/>
        </w:rPr>
      </w:pPr>
      <w:r>
        <w:rPr>
          <w:lang w:val="en-GB"/>
        </w:rPr>
        <w:t>Applications</w:t>
      </w:r>
    </w:p>
    <w:p w14:paraId="7CAD2463" w14:textId="6DD6FC08" w:rsidR="00F95CCC" w:rsidRDefault="00F95CCC" w:rsidP="00F95CCC">
      <w:pPr>
        <w:pStyle w:val="Els-body-text"/>
      </w:pPr>
      <w:r w:rsidRPr="009B57A1">
        <w:t>TEP is a classical model benchmark for simulating chemical processes, which has been widely used as a study case for FDD</w:t>
      </w:r>
      <w:r>
        <w:t xml:space="preserve"> and fault prognosis. </w:t>
      </w:r>
      <w:r w:rsidRPr="003F0BBA">
        <w:t xml:space="preserve">It is mainly composed of </w:t>
      </w:r>
      <w:proofErr w:type="gramStart"/>
      <w:r w:rsidRPr="003F0BBA">
        <w:t>5 unit</w:t>
      </w:r>
      <w:proofErr w:type="gramEnd"/>
      <w:r w:rsidRPr="003F0BBA">
        <w:t xml:space="preserve"> operations, including a reactor, a condenser, a recycle compressor, a vapor-liquid separator, and a stripper. The initial version of TEP simulation involves 12 manipulated variables, 41 measured variables and 20 different types of faults. In 2015, </w:t>
      </w:r>
      <w:proofErr w:type="spellStart"/>
      <w:r w:rsidRPr="003F0BBA">
        <w:t>Bathelt</w:t>
      </w:r>
      <w:proofErr w:type="spellEnd"/>
      <w:r w:rsidRPr="003F0BBA">
        <w:t xml:space="preserve"> revised the original TE model and used MATLAB’s Simulink to build a new one, adding 8 measurement variables, 24 component variables, and 8 new process disturbances</w:t>
      </w:r>
      <w:r>
        <w:t xml:space="preserve"> </w:t>
      </w:r>
      <w:r>
        <w:fldChar w:fldCharType="begin"/>
      </w:r>
      <w:r w:rsidR="00FB0B1A">
        <w:instrText xml:space="preserve"> ADDIN ZOTERO_ITEM CSL_CITATION {"citationID":"1SqS45mw","properties":{"formattedCitation":"(Bathelt, Ricker, and Jelali 2015)","plainCitation":"(Bathelt, Ricker, and Jelali 2015)","noteIndex":0},"citationItems":[{"id":291,"uris":["http://zotero.org/users/7252855/items/NJZ3N6ZY"],"itemData":{"id":291,"type":"article-journal","abstract":"In this paper, a closer look at the underlying computer code of the well-known Tennessee Eastman Process model is taken. Since its introduction in the 1990s typical simulation software, e.g. MATLAB, which is used to simulate the process model, has changed. Thus the original program flow devised by Downs &amp; Vogel no longer holds. This results in problems regarding the repeatability of simulation results. This problem and its cause are considered in the following and a solution in terms of a modified code is presented. Furthermore, some additional changes are discussed, widening the useability of the simulation model (e.g. lower simulation runtime, additional process measurements).","collection-title":"9th IFAC Symposium on Advanced Control of Chemical Processes ADCHEM 2015","container-title":"IFAC-PapersOnLine","DOI":"10.1016/j.ifacol.2015.08.199","ISSN":"2405-8963","issue":"8","journalAbbreviation":"IFAC-PapersOnLine","language":"en","page":"309-314","source":"ScienceDirect","title":"Revision of the Tennessee Eastman Process Model","volume":"48","author":[{"family":"Bathelt","given":"Andreas"},{"family":"Ricker","given":"N. Lawrence"},{"family":"Jelali","given":"Mohieddine"}],"issued":{"date-parts":[["2015",1,1]]}}}],"schema":"https://github.com/citation-style-language/schema/raw/master/csl-citation.json"} </w:instrText>
      </w:r>
      <w:r>
        <w:fldChar w:fldCharType="separate"/>
      </w:r>
      <w:r>
        <w:t>(Bathelt, Ricker, and Jelali 2015)</w:t>
      </w:r>
      <w:r>
        <w:fldChar w:fldCharType="end"/>
      </w:r>
      <w:r>
        <w:t xml:space="preserve">. </w:t>
      </w:r>
      <w:r w:rsidRPr="003F0BBA">
        <w:t xml:space="preserve">In our work, the applications are based on the revised version of </w:t>
      </w:r>
      <w:proofErr w:type="spellStart"/>
      <w:r w:rsidRPr="003F0BBA">
        <w:t>Bathelt</w:t>
      </w:r>
      <w:proofErr w:type="spellEnd"/>
      <w:r w:rsidRPr="003F0BBA">
        <w:t xml:space="preserve">, which is shown in </w:t>
      </w:r>
      <w:r>
        <w:t>the Fig. 4.</w:t>
      </w:r>
    </w:p>
    <w:p w14:paraId="15B5826C" w14:textId="109BB937" w:rsidR="00F95CCC" w:rsidRDefault="00F95CCC" w:rsidP="00F95CCC">
      <w:pPr>
        <w:pStyle w:val="Els-body-text"/>
        <w:jc w:val="center"/>
        <w:rPr>
          <w:lang w:val="en-GB"/>
        </w:rPr>
      </w:pPr>
      <w:r>
        <w:rPr>
          <w:noProof/>
        </w:rPr>
        <w:drawing>
          <wp:inline distT="0" distB="0" distL="0" distR="0" wp14:anchorId="411D3D3C" wp14:editId="19C300DD">
            <wp:extent cx="2816505" cy="1617134"/>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2036" cy="1666243"/>
                    </a:xfrm>
                    <a:prstGeom prst="rect">
                      <a:avLst/>
                    </a:prstGeom>
                  </pic:spPr>
                </pic:pic>
              </a:graphicData>
            </a:graphic>
          </wp:inline>
        </w:drawing>
      </w:r>
    </w:p>
    <w:p w14:paraId="2FB5083F" w14:textId="154D11A7" w:rsidR="00E07BEB" w:rsidRDefault="00E07BEB" w:rsidP="00A25596">
      <w:pPr>
        <w:pStyle w:val="Els-body-text"/>
        <w:jc w:val="center"/>
        <w:rPr>
          <w:sz w:val="18"/>
          <w:szCs w:val="18"/>
          <w:lang w:eastAsia="zh-CN"/>
        </w:rPr>
      </w:pPr>
      <w:r w:rsidRPr="00816771">
        <w:rPr>
          <w:sz w:val="18"/>
          <w:szCs w:val="18"/>
        </w:rPr>
        <w:t xml:space="preserve">Fig. </w:t>
      </w:r>
      <w:r w:rsidR="00394869">
        <w:rPr>
          <w:sz w:val="18"/>
          <w:szCs w:val="18"/>
          <w:lang w:eastAsia="zh-CN"/>
        </w:rPr>
        <w:t>4</w:t>
      </w:r>
      <w:r w:rsidRPr="00816771">
        <w:rPr>
          <w:sz w:val="18"/>
          <w:szCs w:val="18"/>
        </w:rPr>
        <w:t xml:space="preserve">. </w:t>
      </w:r>
      <w:r w:rsidR="00394869" w:rsidRPr="00D83A94">
        <w:rPr>
          <w:sz w:val="18"/>
          <w:szCs w:val="18"/>
          <w:lang w:eastAsia="zh-CN"/>
        </w:rPr>
        <w:t xml:space="preserve">P&amp;ID of the revised TEP model </w:t>
      </w:r>
      <w:r w:rsidR="00394869" w:rsidRPr="00D83A94">
        <w:rPr>
          <w:sz w:val="18"/>
          <w:szCs w:val="18"/>
          <w:lang w:eastAsia="zh-CN"/>
        </w:rPr>
        <w:fldChar w:fldCharType="begin"/>
      </w:r>
      <w:r w:rsidR="00BA4DBB">
        <w:rPr>
          <w:sz w:val="18"/>
          <w:szCs w:val="18"/>
          <w:lang w:eastAsia="zh-CN"/>
        </w:rPr>
        <w:instrText xml:space="preserve"> ADDIN ZOTERO_ITEM CSL_CITATION {"citationID":"IEEf00zq","properties":{"formattedCitation":"(Bathelt, Ricker, and Jelali 2015)","plainCitation":"(Bathelt, Ricker, and Jelali 2015)","noteIndex":0},"citationItems":[{"id":291,"uris":["http://zotero.org/users/7252855/items/NJZ3N6ZY"],"itemData":{"id":291,"type":"article-journal","abstract":"In this paper, a closer look at the underlying computer code of the well-known Tennessee Eastman Process model is taken. Since its introduction in the 1990s typical simulation software, e.g. MATLAB, which is used to simulate the process model, has changed. Thus the original program flow devised by Downs &amp; Vogel no longer holds. This results in problems regarding the repeatability of simulation results. This problem and its cause are considered in the following and a solution in terms of a modified code is presented. Furthermore, some additional changes are discussed, widening the useability of the simulation model (e.g. lower simulation runtime, additional process measurements).","collection-title":"9th IFAC Symposium on Advanced Control of Chemical Processes ADCHEM 2015","container-title":"IFAC-PapersOnLine","DOI":"10.1016/j.ifacol.2015.08.199","ISSN":"2405-8963","issue":"8","journalAbbreviation":"IFAC-PapersOnLine","language":"en","page":"309-314","source":"ScienceDirect","title":"Revision of the Tennessee Eastman Process Model","volume":"48","author":[{"family":"Bathelt","given":"Andreas"},{"family":"Ricker","given":"N. Lawrence"},{"family":"Jelali","given":"Mohieddine"}],"issued":{"date-parts":[["2015",1,1]]}}}],"schema":"https://github.com/citation-style-language/schema/raw/master/csl-citation.json"} </w:instrText>
      </w:r>
      <w:r w:rsidR="00394869" w:rsidRPr="00D83A94">
        <w:rPr>
          <w:sz w:val="18"/>
          <w:szCs w:val="18"/>
          <w:lang w:eastAsia="zh-CN"/>
        </w:rPr>
        <w:fldChar w:fldCharType="separate"/>
      </w:r>
      <w:r w:rsidR="00394869">
        <w:rPr>
          <w:sz w:val="18"/>
          <w:szCs w:val="18"/>
        </w:rPr>
        <w:t>(Bathelt, Ricker, and Jelali 2015)</w:t>
      </w:r>
      <w:r w:rsidR="00394869" w:rsidRPr="00D83A94">
        <w:rPr>
          <w:sz w:val="18"/>
          <w:szCs w:val="18"/>
          <w:lang w:eastAsia="zh-CN"/>
        </w:rPr>
        <w:fldChar w:fldCharType="end"/>
      </w:r>
      <w:r w:rsidR="00394869" w:rsidRPr="00D83A94">
        <w:rPr>
          <w:sz w:val="18"/>
          <w:szCs w:val="18"/>
          <w:lang w:eastAsia="zh-CN"/>
        </w:rPr>
        <w:t>.</w:t>
      </w:r>
    </w:p>
    <w:p w14:paraId="59E42042" w14:textId="1CB8BCD8" w:rsidR="00AB5190" w:rsidRPr="00AB5190" w:rsidRDefault="00323D14" w:rsidP="00AB5190">
      <w:pPr>
        <w:pStyle w:val="Els-body-text"/>
      </w:pPr>
      <w:r w:rsidRPr="00323D14">
        <w:lastRenderedPageBreak/>
        <w:t>Since the sampling frequency of component analysis measurement is much lower, we only choose the process manipulated variables and continuous process measurements for dataset building</w:t>
      </w:r>
      <w:r w:rsidR="00DA56D1">
        <w:t xml:space="preserve">. </w:t>
      </w:r>
      <w:r w:rsidR="00F1562D">
        <w:t xml:space="preserve">Each set of test data included </w:t>
      </w:r>
      <w:r w:rsidR="00F1562D" w:rsidRPr="00F1562D">
        <w:t>480 normal samples followed by 600 fault samples, corresponding to 8 h of normal data and 10 h of fault data.</w:t>
      </w:r>
    </w:p>
    <w:p w14:paraId="7536C76D" w14:textId="76E62208" w:rsidR="00425E53" w:rsidRDefault="0045395C" w:rsidP="00425E53">
      <w:pPr>
        <w:pStyle w:val="Els-2ndorder-head"/>
      </w:pPr>
      <w:r>
        <w:t>Fault detection</w:t>
      </w:r>
    </w:p>
    <w:p w14:paraId="656B4E32" w14:textId="2D529442" w:rsidR="002E3D75" w:rsidRPr="00586D56" w:rsidRDefault="00B6254A" w:rsidP="00425E53">
      <w:pPr>
        <w:pStyle w:val="Els-body-text"/>
        <w:rPr>
          <w:lang w:eastAsia="zh-CN"/>
        </w:rPr>
      </w:pPr>
      <w:r w:rsidRPr="00B6254A">
        <w:rPr>
          <w:lang w:eastAsia="zh-CN"/>
        </w:rPr>
        <w:t>We selected and applied 5 distinct step</w:t>
      </w:r>
      <w:r>
        <w:rPr>
          <w:lang w:eastAsia="zh-CN"/>
        </w:rPr>
        <w:t xml:space="preserve"> </w:t>
      </w:r>
      <w:r w:rsidRPr="00B6254A">
        <w:rPr>
          <w:lang w:eastAsia="zh-CN"/>
        </w:rPr>
        <w:t>type faults, 5 random variation</w:t>
      </w:r>
      <w:r>
        <w:rPr>
          <w:lang w:eastAsia="zh-CN"/>
        </w:rPr>
        <w:t xml:space="preserve"> </w:t>
      </w:r>
      <w:r w:rsidRPr="00B6254A">
        <w:rPr>
          <w:lang w:eastAsia="zh-CN"/>
        </w:rPr>
        <w:t>type faults, and 1 slow drift</w:t>
      </w:r>
      <w:r>
        <w:rPr>
          <w:lang w:eastAsia="zh-CN"/>
        </w:rPr>
        <w:t xml:space="preserve"> </w:t>
      </w:r>
      <w:r w:rsidRPr="00B6254A">
        <w:rPr>
          <w:lang w:eastAsia="zh-CN"/>
        </w:rPr>
        <w:t xml:space="preserve">type fault for our analysis. </w:t>
      </w:r>
      <w:r w:rsidR="00586D56" w:rsidRPr="00586D56">
        <w:rPr>
          <w:lang w:eastAsia="zh-CN"/>
        </w:rPr>
        <w:t>The results will be compared with</w:t>
      </w:r>
      <w:r w:rsidR="00586D56">
        <w:rPr>
          <w:lang w:eastAsia="zh-CN"/>
        </w:rPr>
        <w:t xml:space="preserve"> </w:t>
      </w:r>
      <w:r w:rsidR="00586D56" w:rsidRPr="00586D56">
        <w:rPr>
          <w:lang w:eastAsia="zh-CN"/>
        </w:rPr>
        <w:t>LSTM-VAE</w:t>
      </w:r>
      <w:r w:rsidR="00BB7017">
        <w:rPr>
          <w:lang w:eastAsia="zh-CN"/>
        </w:rPr>
        <w:t xml:space="preserve"> </w:t>
      </w:r>
      <w:r w:rsidR="00BB7017">
        <w:rPr>
          <w:lang w:eastAsia="zh-CN"/>
        </w:rPr>
        <w:fldChar w:fldCharType="begin"/>
      </w:r>
      <w:r w:rsidR="00BB7017">
        <w:rPr>
          <w:lang w:eastAsia="zh-CN"/>
        </w:rPr>
        <w:instrText xml:space="preserve"> ADDIN ZOTERO_ITEM CSL_CITATION {"citationID":"13nXqyHz","properties":{"formattedCitation":"(Bi and Zhao 2021)","plainCitation":"(Bi and Zhao 2021)","noteIndex":0},"citationItems":[{"id":113,"uris":["http://zotero.org/users/7252855/items/RUNDHT53"],"itemData":{"id":113,"type":"article-journal","abstract":"Industrial processes are becoming increasingly large and complex, thus introducing potential safety risks and requiring an effective approach to maintain safe production. Intelligent process monitoring is critical to prevent losses and avoid casualties in modern industry. As the digitalization of process industry deepens, data-driven methods offer an exciting avenue to address the demands for monitoring complex systems. Nevertheless, many of these methods still suffer from low accuracy and slow response. Besides, most black-box models based on deep learning can only predict the existence of faults, but cannot provide further interpretable analysis, which greatly confines their usage in decision-critical scenarios. In this paper, we propose a novel orthogonal self-attentive variational autoencoder (OSAVA) model for process monitoring, consisting of two components, orthogonal attention (OA) and variational self-attentive autoencoder (VSAE). Specifically, OA is utilized to extract the correlations between different variables and the temporal dependency among different timesteps; VSAE is trained to detect faults through a reconstruction-based method, which employs self-attention mechanisms to comprehensively consider information from all timesteps and enhance detection performance. By jointly leveraging these two models, the OSAVA model can effectively perform fault detection and identification tasks simultaneously and deliver interpretable results. Finally, extensive evaluation on the Tennessee Eastman process (TEP) demonstrates that the proposed OSAVA-based fault detection and identification method shows promising fault detection rate as well as low detection delay and can provide interpretable identification of the abnormal variables, compared with representative statistical methods and state-of-the-art deep learning methods.","container-title":"Process Safety and Environmental Protection","DOI":"10.1016/j.psep.2021.10.036","ISSN":"0957-5820","journalAbbreviation":"Process Safety and Environmental Protection","language":"en","page":"581-597","source":"ScienceDirect","title":"A novel orthogonal self-attentive variational autoencoder method for interpretable chemical process fault detection and identification","volume":"156","author":[{"family":"Bi","given":"Xiaotian"},{"family":"Zhao","given":"Jinsong"}],"issued":{"date-parts":[["2021",12,1]]}}}],"schema":"https://github.com/citation-style-language/schema/raw/master/csl-citation.json"} </w:instrText>
      </w:r>
      <w:r w:rsidR="00BB7017">
        <w:rPr>
          <w:lang w:eastAsia="zh-CN"/>
        </w:rPr>
        <w:fldChar w:fldCharType="separate"/>
      </w:r>
      <w:r w:rsidR="00BB7017" w:rsidRPr="00F34ADC">
        <w:t>(Bi and Zhao 2021)</w:t>
      </w:r>
      <w:r w:rsidR="00BB7017">
        <w:rPr>
          <w:lang w:eastAsia="zh-CN"/>
        </w:rPr>
        <w:fldChar w:fldCharType="end"/>
      </w:r>
      <w:r w:rsidR="00816003">
        <w:rPr>
          <w:lang w:eastAsia="zh-CN"/>
        </w:rPr>
        <w:t>, a</w:t>
      </w:r>
      <w:r w:rsidR="00816003" w:rsidRPr="00816003">
        <w:rPr>
          <w:lang w:eastAsia="zh-CN"/>
        </w:rPr>
        <w:t>n advanced and effective method for fault detection in chemical processes</w:t>
      </w:r>
      <w:r w:rsidR="00586D56">
        <w:rPr>
          <w:lang w:eastAsia="zh-CN"/>
        </w:rPr>
        <w:t xml:space="preserve">, which </w:t>
      </w:r>
      <w:r w:rsidR="00586D56" w:rsidRPr="00586D56">
        <w:rPr>
          <w:lang w:eastAsia="zh-CN"/>
        </w:rPr>
        <w:t>originate</w:t>
      </w:r>
      <w:r w:rsidR="00600B71">
        <w:rPr>
          <w:lang w:eastAsia="zh-CN"/>
        </w:rPr>
        <w:t>d</w:t>
      </w:r>
      <w:r w:rsidR="00586D56" w:rsidRPr="00586D56">
        <w:rPr>
          <w:lang w:eastAsia="zh-CN"/>
        </w:rPr>
        <w:t xml:space="preserve"> from published process monitoring stud</w:t>
      </w:r>
      <w:r w:rsidR="00600B71">
        <w:rPr>
          <w:lang w:eastAsia="zh-CN"/>
        </w:rPr>
        <w:t>y</w:t>
      </w:r>
      <w:r w:rsidR="00586D56" w:rsidRPr="00586D56">
        <w:rPr>
          <w:lang w:eastAsia="zh-CN"/>
        </w:rPr>
        <w:t xml:space="preserve"> and </w:t>
      </w:r>
      <w:r w:rsidR="00600B71">
        <w:rPr>
          <w:lang w:eastAsia="zh-CN"/>
        </w:rPr>
        <w:t xml:space="preserve">was </w:t>
      </w:r>
      <w:r w:rsidR="00586D56" w:rsidRPr="00586D56">
        <w:rPr>
          <w:lang w:eastAsia="zh-CN"/>
        </w:rPr>
        <w:t>evaluated for performance on the same dataset we generated.</w:t>
      </w:r>
      <w:r w:rsidR="00586D56">
        <w:rPr>
          <w:lang w:eastAsia="zh-CN"/>
        </w:rPr>
        <w:t xml:space="preserve"> </w:t>
      </w:r>
      <w:r w:rsidR="00A63E24" w:rsidRPr="00A63E24">
        <w:rPr>
          <w:lang w:eastAsia="zh-CN"/>
        </w:rPr>
        <w:t>To assess the efficacy in fault detection, we utilized fault detection rates (FDR). Additionally, we employed fault detection time (FDT) as a metric to gauge the method's timeliness in fault identification. The comparative results between LSTM-VAE and the proposed method are presented in Table</w:t>
      </w:r>
      <w:r w:rsidR="00A63E24">
        <w:rPr>
          <w:lang w:eastAsia="zh-CN"/>
        </w:rPr>
        <w:t>.</w:t>
      </w:r>
      <w:r w:rsidR="00A63E24" w:rsidRPr="00A63E24">
        <w:rPr>
          <w:lang w:eastAsia="zh-CN"/>
        </w:rPr>
        <w:t xml:space="preserve"> 1</w:t>
      </w:r>
      <w:r w:rsidR="00A63E24">
        <w:rPr>
          <w:lang w:eastAsia="zh-CN"/>
        </w:rPr>
        <w:t xml:space="preserve">. </w:t>
      </w:r>
    </w:p>
    <w:p w14:paraId="27C70518" w14:textId="36919733" w:rsidR="00D51141" w:rsidRPr="00D117BD" w:rsidRDefault="00D51141" w:rsidP="00D51141">
      <w:pPr>
        <w:pStyle w:val="Els-body-text"/>
        <w:jc w:val="center"/>
        <w:rPr>
          <w:sz w:val="18"/>
          <w:szCs w:val="18"/>
          <w:lang w:eastAsia="zh-CN"/>
        </w:rPr>
      </w:pPr>
      <w:r w:rsidRPr="00D117BD">
        <w:rPr>
          <w:sz w:val="18"/>
          <w:szCs w:val="18"/>
          <w:lang w:eastAsia="zh-CN"/>
        </w:rPr>
        <w:t xml:space="preserve">Table. 1. </w:t>
      </w:r>
      <w:r w:rsidR="00774BFA">
        <w:rPr>
          <w:sz w:val="18"/>
          <w:szCs w:val="18"/>
          <w:lang w:eastAsia="zh-CN"/>
        </w:rPr>
        <w:t>Detection</w:t>
      </w:r>
      <w:r w:rsidRPr="00D117BD">
        <w:rPr>
          <w:sz w:val="18"/>
          <w:szCs w:val="18"/>
          <w:lang w:eastAsia="zh-CN"/>
        </w:rPr>
        <w:t xml:space="preserve"> results of </w:t>
      </w:r>
      <w:r w:rsidR="00774BFA">
        <w:rPr>
          <w:sz w:val="18"/>
          <w:szCs w:val="18"/>
          <w:lang w:eastAsia="zh-CN"/>
        </w:rPr>
        <w:t>proposed method and LSTM-VAE</w:t>
      </w:r>
      <w:r w:rsidRPr="00D117BD">
        <w:rPr>
          <w:sz w:val="18"/>
          <w:szCs w:val="18"/>
          <w:lang w:eastAsia="zh-CN"/>
        </w:rPr>
        <w:t>.</w:t>
      </w:r>
    </w:p>
    <w:tbl>
      <w:tblPr>
        <w:tblStyle w:val="af0"/>
        <w:tblW w:w="67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432"/>
        <w:gridCol w:w="1432"/>
        <w:gridCol w:w="176"/>
        <w:gridCol w:w="1256"/>
        <w:gridCol w:w="1432"/>
      </w:tblGrid>
      <w:tr w:rsidR="005D7F87" w14:paraId="62654F39" w14:textId="4AFB61E3" w:rsidTr="0099320F">
        <w:trPr>
          <w:trHeight w:val="283"/>
          <w:jc w:val="center"/>
        </w:trPr>
        <w:tc>
          <w:tcPr>
            <w:tcW w:w="1071" w:type="dxa"/>
            <w:tcBorders>
              <w:top w:val="single" w:sz="12" w:space="0" w:color="auto"/>
              <w:bottom w:val="single" w:sz="4" w:space="0" w:color="auto"/>
            </w:tcBorders>
            <w:vAlign w:val="center"/>
          </w:tcPr>
          <w:p w14:paraId="191B2716" w14:textId="2AFA7AF6" w:rsidR="005D7F87" w:rsidRPr="00206D8D" w:rsidRDefault="005D7F87" w:rsidP="005D7F87">
            <w:pPr>
              <w:pStyle w:val="Els-body-text"/>
              <w:jc w:val="center"/>
              <w:rPr>
                <w:lang w:eastAsia="zh-CN"/>
              </w:rPr>
            </w:pPr>
            <w:r>
              <w:rPr>
                <w:lang w:eastAsia="zh-CN"/>
              </w:rPr>
              <w:t>Fault Number</w:t>
            </w:r>
          </w:p>
        </w:tc>
        <w:tc>
          <w:tcPr>
            <w:tcW w:w="1432" w:type="dxa"/>
            <w:tcBorders>
              <w:top w:val="single" w:sz="12" w:space="0" w:color="auto"/>
              <w:bottom w:val="single" w:sz="4" w:space="0" w:color="auto"/>
            </w:tcBorders>
            <w:vAlign w:val="center"/>
          </w:tcPr>
          <w:p w14:paraId="41B747C4" w14:textId="769B905D" w:rsidR="005D7F87" w:rsidRPr="00206D8D" w:rsidRDefault="00FE24FC" w:rsidP="005D7F87">
            <w:pPr>
              <w:pStyle w:val="Els-body-text"/>
              <w:jc w:val="center"/>
              <w:rPr>
                <w:lang w:eastAsia="zh-CN"/>
              </w:rPr>
            </w:pPr>
            <w:r>
              <w:rPr>
                <w:lang w:eastAsia="zh-CN"/>
              </w:rPr>
              <w:t>FDR of LSTM-VAE</w:t>
            </w:r>
          </w:p>
        </w:tc>
        <w:tc>
          <w:tcPr>
            <w:tcW w:w="1608" w:type="dxa"/>
            <w:gridSpan w:val="2"/>
            <w:tcBorders>
              <w:top w:val="single" w:sz="12" w:space="0" w:color="auto"/>
              <w:bottom w:val="single" w:sz="4" w:space="0" w:color="auto"/>
            </w:tcBorders>
            <w:vAlign w:val="center"/>
          </w:tcPr>
          <w:p w14:paraId="2F48FCB3" w14:textId="3D20D943" w:rsidR="005D7F87" w:rsidRPr="00206D8D" w:rsidRDefault="00FE24FC" w:rsidP="005D7F87">
            <w:pPr>
              <w:pStyle w:val="Els-body-text"/>
              <w:jc w:val="center"/>
              <w:rPr>
                <w:lang w:eastAsia="zh-CN"/>
              </w:rPr>
            </w:pPr>
            <w:r>
              <w:rPr>
                <w:lang w:eastAsia="zh-CN"/>
              </w:rPr>
              <w:t xml:space="preserve">FDT of LSTM-VAE </w:t>
            </w:r>
            <w:r w:rsidR="005D7F87">
              <w:rPr>
                <w:lang w:eastAsia="zh-CN"/>
              </w:rPr>
              <w:t>(min)</w:t>
            </w:r>
          </w:p>
        </w:tc>
        <w:tc>
          <w:tcPr>
            <w:tcW w:w="1256" w:type="dxa"/>
            <w:tcBorders>
              <w:top w:val="single" w:sz="12" w:space="0" w:color="auto"/>
              <w:bottom w:val="single" w:sz="4" w:space="0" w:color="auto"/>
            </w:tcBorders>
            <w:vAlign w:val="center"/>
          </w:tcPr>
          <w:p w14:paraId="66C22560" w14:textId="4B4C0250" w:rsidR="005D7F87" w:rsidRDefault="00FE24FC" w:rsidP="005D7F87">
            <w:pPr>
              <w:pStyle w:val="Els-body-text"/>
              <w:jc w:val="center"/>
              <w:rPr>
                <w:lang w:eastAsia="zh-CN"/>
              </w:rPr>
            </w:pPr>
            <w:r>
              <w:rPr>
                <w:lang w:eastAsia="zh-CN"/>
              </w:rPr>
              <w:t>FDR</w:t>
            </w:r>
          </w:p>
        </w:tc>
        <w:tc>
          <w:tcPr>
            <w:tcW w:w="1432" w:type="dxa"/>
            <w:tcBorders>
              <w:top w:val="single" w:sz="12" w:space="0" w:color="auto"/>
              <w:bottom w:val="single" w:sz="4" w:space="0" w:color="auto"/>
            </w:tcBorders>
            <w:vAlign w:val="center"/>
          </w:tcPr>
          <w:p w14:paraId="28E718D3" w14:textId="73474E4A" w:rsidR="005D7F87" w:rsidRDefault="00FE24FC" w:rsidP="005D7F87">
            <w:pPr>
              <w:pStyle w:val="Els-body-text"/>
              <w:jc w:val="center"/>
              <w:rPr>
                <w:lang w:eastAsia="zh-CN"/>
              </w:rPr>
            </w:pPr>
            <w:r>
              <w:rPr>
                <w:lang w:eastAsia="zh-CN"/>
              </w:rPr>
              <w:t>FDT (min)</w:t>
            </w:r>
          </w:p>
        </w:tc>
      </w:tr>
      <w:tr w:rsidR="005D7F87" w14:paraId="4FACB4D8" w14:textId="44B01943" w:rsidTr="0099320F">
        <w:trPr>
          <w:trHeight w:val="283"/>
          <w:jc w:val="center"/>
        </w:trPr>
        <w:tc>
          <w:tcPr>
            <w:tcW w:w="1071" w:type="dxa"/>
            <w:tcBorders>
              <w:top w:val="single" w:sz="4" w:space="0" w:color="auto"/>
            </w:tcBorders>
            <w:vAlign w:val="center"/>
          </w:tcPr>
          <w:p w14:paraId="639D33F1" w14:textId="7C126289" w:rsidR="005D7F87" w:rsidRPr="00206D8D" w:rsidRDefault="005D7F87" w:rsidP="005D7F87">
            <w:pPr>
              <w:pStyle w:val="Els-body-text"/>
              <w:jc w:val="center"/>
              <w:rPr>
                <w:lang w:eastAsia="zh-CN"/>
              </w:rPr>
            </w:pPr>
            <w:r>
              <w:rPr>
                <w:lang w:eastAsia="zh-CN"/>
              </w:rPr>
              <w:t>1</w:t>
            </w:r>
          </w:p>
        </w:tc>
        <w:tc>
          <w:tcPr>
            <w:tcW w:w="1432" w:type="dxa"/>
            <w:tcBorders>
              <w:top w:val="single" w:sz="4" w:space="0" w:color="auto"/>
            </w:tcBorders>
            <w:vAlign w:val="center"/>
          </w:tcPr>
          <w:p w14:paraId="20DE9685" w14:textId="236A1048" w:rsidR="005D7F87" w:rsidRPr="00E6331F" w:rsidRDefault="00E6331F" w:rsidP="005D7F87">
            <w:pPr>
              <w:pStyle w:val="Els-body-text"/>
              <w:jc w:val="center"/>
              <w:rPr>
                <w:lang w:eastAsia="zh-CN"/>
              </w:rPr>
            </w:pPr>
            <w:r>
              <w:rPr>
                <w:rFonts w:hint="eastAsia"/>
                <w:lang w:eastAsia="zh-CN"/>
              </w:rPr>
              <w:t>9</w:t>
            </w:r>
            <w:r>
              <w:rPr>
                <w:lang w:eastAsia="zh-CN"/>
              </w:rPr>
              <w:t>8.8%</w:t>
            </w:r>
          </w:p>
        </w:tc>
        <w:tc>
          <w:tcPr>
            <w:tcW w:w="1432" w:type="dxa"/>
            <w:tcBorders>
              <w:top w:val="single" w:sz="4" w:space="0" w:color="auto"/>
            </w:tcBorders>
            <w:vAlign w:val="center"/>
          </w:tcPr>
          <w:p w14:paraId="16412A5C" w14:textId="03A8D6B7" w:rsidR="005D7F87" w:rsidRPr="00E6331F" w:rsidRDefault="00E6331F" w:rsidP="005D7F87">
            <w:pPr>
              <w:pStyle w:val="Els-body-text"/>
              <w:jc w:val="center"/>
              <w:rPr>
                <w:lang w:eastAsia="zh-CN"/>
              </w:rPr>
            </w:pPr>
            <w:r>
              <w:rPr>
                <w:rFonts w:hint="eastAsia"/>
                <w:lang w:eastAsia="zh-CN"/>
              </w:rPr>
              <w:t>7</w:t>
            </w:r>
          </w:p>
        </w:tc>
        <w:tc>
          <w:tcPr>
            <w:tcW w:w="1432" w:type="dxa"/>
            <w:gridSpan w:val="2"/>
            <w:tcBorders>
              <w:top w:val="single" w:sz="4" w:space="0" w:color="auto"/>
            </w:tcBorders>
            <w:vAlign w:val="center"/>
          </w:tcPr>
          <w:p w14:paraId="22C85CB3" w14:textId="3B59EB68" w:rsidR="005D7F87" w:rsidRPr="00E6331F" w:rsidRDefault="00E6331F" w:rsidP="005D7F87">
            <w:pPr>
              <w:pStyle w:val="Els-body-text"/>
              <w:jc w:val="center"/>
              <w:rPr>
                <w:lang w:eastAsia="zh-CN"/>
              </w:rPr>
            </w:pPr>
            <w:r>
              <w:rPr>
                <w:rFonts w:hint="eastAsia"/>
                <w:lang w:eastAsia="zh-CN"/>
              </w:rPr>
              <w:t>9</w:t>
            </w:r>
            <w:r>
              <w:rPr>
                <w:lang w:eastAsia="zh-CN"/>
              </w:rPr>
              <w:t>9.4%</w:t>
            </w:r>
          </w:p>
        </w:tc>
        <w:tc>
          <w:tcPr>
            <w:tcW w:w="1432" w:type="dxa"/>
            <w:tcBorders>
              <w:top w:val="single" w:sz="4" w:space="0" w:color="auto"/>
            </w:tcBorders>
            <w:vAlign w:val="center"/>
          </w:tcPr>
          <w:p w14:paraId="32C60B8A" w14:textId="5EF3C261" w:rsidR="005D7F87" w:rsidRPr="00E6331F" w:rsidRDefault="00E6331F" w:rsidP="005D7F87">
            <w:pPr>
              <w:pStyle w:val="Els-body-text"/>
              <w:jc w:val="center"/>
              <w:rPr>
                <w:lang w:eastAsia="zh-CN"/>
              </w:rPr>
            </w:pPr>
            <w:r w:rsidRPr="00E6331F">
              <w:rPr>
                <w:rFonts w:hint="eastAsia"/>
                <w:lang w:eastAsia="zh-CN"/>
              </w:rPr>
              <w:t>3</w:t>
            </w:r>
          </w:p>
        </w:tc>
      </w:tr>
      <w:tr w:rsidR="005D7F87" w14:paraId="0639AC38" w14:textId="72B56BB2" w:rsidTr="0099320F">
        <w:trPr>
          <w:trHeight w:val="283"/>
          <w:jc w:val="center"/>
        </w:trPr>
        <w:tc>
          <w:tcPr>
            <w:tcW w:w="1071" w:type="dxa"/>
            <w:vAlign w:val="center"/>
          </w:tcPr>
          <w:p w14:paraId="2FA29F28" w14:textId="0B38DEF3" w:rsidR="005D7F87" w:rsidRPr="00206D8D" w:rsidRDefault="005D7F87" w:rsidP="005D7F87">
            <w:pPr>
              <w:pStyle w:val="Els-body-text"/>
              <w:jc w:val="center"/>
              <w:rPr>
                <w:lang w:eastAsia="zh-CN"/>
              </w:rPr>
            </w:pPr>
            <w:r>
              <w:rPr>
                <w:lang w:eastAsia="zh-CN"/>
              </w:rPr>
              <w:t>2</w:t>
            </w:r>
          </w:p>
        </w:tc>
        <w:tc>
          <w:tcPr>
            <w:tcW w:w="1432" w:type="dxa"/>
            <w:vAlign w:val="center"/>
          </w:tcPr>
          <w:p w14:paraId="0CC08F76" w14:textId="7B521185" w:rsidR="005D7F87" w:rsidRPr="00E6331F" w:rsidRDefault="00E6331F" w:rsidP="005D7F87">
            <w:pPr>
              <w:pStyle w:val="Els-body-text"/>
              <w:jc w:val="center"/>
              <w:rPr>
                <w:lang w:eastAsia="zh-CN"/>
              </w:rPr>
            </w:pPr>
            <w:r>
              <w:rPr>
                <w:rFonts w:hint="eastAsia"/>
                <w:lang w:eastAsia="zh-CN"/>
              </w:rPr>
              <w:t>9</w:t>
            </w:r>
            <w:r>
              <w:rPr>
                <w:lang w:eastAsia="zh-CN"/>
              </w:rPr>
              <w:t>6.3%</w:t>
            </w:r>
          </w:p>
        </w:tc>
        <w:tc>
          <w:tcPr>
            <w:tcW w:w="1432" w:type="dxa"/>
            <w:vAlign w:val="center"/>
          </w:tcPr>
          <w:p w14:paraId="524C51BF" w14:textId="1F3FD6E8" w:rsidR="005D7F87" w:rsidRPr="00E6331F" w:rsidRDefault="00E6331F" w:rsidP="005D7F87">
            <w:pPr>
              <w:pStyle w:val="Els-body-text"/>
              <w:jc w:val="center"/>
              <w:rPr>
                <w:lang w:eastAsia="zh-CN"/>
              </w:rPr>
            </w:pPr>
            <w:r>
              <w:rPr>
                <w:rFonts w:hint="eastAsia"/>
                <w:lang w:eastAsia="zh-CN"/>
              </w:rPr>
              <w:t>2</w:t>
            </w:r>
            <w:r>
              <w:rPr>
                <w:lang w:eastAsia="zh-CN"/>
              </w:rPr>
              <w:t>8</w:t>
            </w:r>
          </w:p>
        </w:tc>
        <w:tc>
          <w:tcPr>
            <w:tcW w:w="1432" w:type="dxa"/>
            <w:gridSpan w:val="2"/>
            <w:vAlign w:val="center"/>
          </w:tcPr>
          <w:p w14:paraId="381A33D3" w14:textId="6D965579" w:rsidR="005D7F87" w:rsidRPr="00E6331F" w:rsidRDefault="00E6331F" w:rsidP="005D7F87">
            <w:pPr>
              <w:pStyle w:val="Els-body-text"/>
              <w:jc w:val="center"/>
              <w:rPr>
                <w:lang w:eastAsia="zh-CN"/>
              </w:rPr>
            </w:pPr>
            <w:r>
              <w:rPr>
                <w:rFonts w:hint="eastAsia"/>
                <w:lang w:eastAsia="zh-CN"/>
              </w:rPr>
              <w:t>9</w:t>
            </w:r>
            <w:r>
              <w:rPr>
                <w:lang w:eastAsia="zh-CN"/>
              </w:rPr>
              <w:t>7.3%</w:t>
            </w:r>
          </w:p>
        </w:tc>
        <w:tc>
          <w:tcPr>
            <w:tcW w:w="1432" w:type="dxa"/>
            <w:vAlign w:val="center"/>
          </w:tcPr>
          <w:p w14:paraId="34F17F34" w14:textId="465AB98D" w:rsidR="005D7F87" w:rsidRPr="005B1762" w:rsidRDefault="00E6331F" w:rsidP="005D7F87">
            <w:pPr>
              <w:pStyle w:val="Els-body-text"/>
              <w:jc w:val="center"/>
              <w:rPr>
                <w:b/>
                <w:bCs/>
                <w:lang w:eastAsia="zh-CN"/>
              </w:rPr>
            </w:pPr>
            <w:r w:rsidRPr="005B1762">
              <w:rPr>
                <w:rFonts w:hint="eastAsia"/>
                <w:b/>
                <w:bCs/>
                <w:lang w:eastAsia="zh-CN"/>
              </w:rPr>
              <w:t>1</w:t>
            </w:r>
            <w:r w:rsidRPr="005B1762">
              <w:rPr>
                <w:b/>
                <w:bCs/>
                <w:lang w:eastAsia="zh-CN"/>
              </w:rPr>
              <w:t>3</w:t>
            </w:r>
          </w:p>
        </w:tc>
      </w:tr>
      <w:tr w:rsidR="005D7F87" w14:paraId="47DF5335" w14:textId="2FA9CB54" w:rsidTr="0099320F">
        <w:trPr>
          <w:trHeight w:val="283"/>
          <w:jc w:val="center"/>
        </w:trPr>
        <w:tc>
          <w:tcPr>
            <w:tcW w:w="1071" w:type="dxa"/>
            <w:vAlign w:val="center"/>
          </w:tcPr>
          <w:p w14:paraId="6D909C95" w14:textId="339977C3" w:rsidR="005D7F87" w:rsidRPr="00206D8D" w:rsidRDefault="005D7F87" w:rsidP="005D7F87">
            <w:pPr>
              <w:pStyle w:val="Els-body-text"/>
              <w:jc w:val="center"/>
              <w:rPr>
                <w:lang w:eastAsia="zh-CN"/>
              </w:rPr>
            </w:pPr>
            <w:r>
              <w:rPr>
                <w:lang w:eastAsia="zh-CN"/>
              </w:rPr>
              <w:t>3</w:t>
            </w:r>
          </w:p>
        </w:tc>
        <w:tc>
          <w:tcPr>
            <w:tcW w:w="1432" w:type="dxa"/>
            <w:vAlign w:val="center"/>
          </w:tcPr>
          <w:p w14:paraId="5FD401D4" w14:textId="16771B12"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63570C0A" w14:textId="00DCA5FF" w:rsidR="005D7F87" w:rsidRPr="00E6331F" w:rsidRDefault="00E6331F" w:rsidP="005D7F87">
            <w:pPr>
              <w:pStyle w:val="Els-body-text"/>
              <w:jc w:val="center"/>
              <w:rPr>
                <w:lang w:eastAsia="zh-CN"/>
              </w:rPr>
            </w:pPr>
            <w:r>
              <w:rPr>
                <w:rFonts w:hint="eastAsia"/>
                <w:lang w:eastAsia="zh-CN"/>
              </w:rPr>
              <w:t>1</w:t>
            </w:r>
          </w:p>
        </w:tc>
        <w:tc>
          <w:tcPr>
            <w:tcW w:w="1432" w:type="dxa"/>
            <w:gridSpan w:val="2"/>
            <w:vAlign w:val="center"/>
          </w:tcPr>
          <w:p w14:paraId="061F4D23" w14:textId="1E7E47D4"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1FEA1C66" w14:textId="218D2340" w:rsidR="005D7F87" w:rsidRPr="00E6331F" w:rsidRDefault="00E6331F" w:rsidP="005D7F87">
            <w:pPr>
              <w:pStyle w:val="Els-body-text"/>
              <w:jc w:val="center"/>
              <w:rPr>
                <w:lang w:eastAsia="zh-CN"/>
              </w:rPr>
            </w:pPr>
            <w:r w:rsidRPr="00E6331F">
              <w:rPr>
                <w:rFonts w:hint="eastAsia"/>
                <w:lang w:eastAsia="zh-CN"/>
              </w:rPr>
              <w:t>1</w:t>
            </w:r>
          </w:p>
        </w:tc>
      </w:tr>
      <w:tr w:rsidR="005D7F87" w14:paraId="2D8552C3" w14:textId="73504872" w:rsidTr="0099320F">
        <w:trPr>
          <w:trHeight w:val="283"/>
          <w:jc w:val="center"/>
        </w:trPr>
        <w:tc>
          <w:tcPr>
            <w:tcW w:w="1071" w:type="dxa"/>
            <w:vAlign w:val="center"/>
          </w:tcPr>
          <w:p w14:paraId="5D87EAAC" w14:textId="4E58A1B5" w:rsidR="005D7F87" w:rsidRPr="00206D8D" w:rsidRDefault="005D7F87" w:rsidP="005D7F87">
            <w:pPr>
              <w:pStyle w:val="Els-body-text"/>
              <w:jc w:val="center"/>
              <w:rPr>
                <w:lang w:eastAsia="zh-CN"/>
              </w:rPr>
            </w:pPr>
            <w:r>
              <w:rPr>
                <w:lang w:eastAsia="zh-CN"/>
              </w:rPr>
              <w:t>4</w:t>
            </w:r>
          </w:p>
        </w:tc>
        <w:tc>
          <w:tcPr>
            <w:tcW w:w="1432" w:type="dxa"/>
            <w:vAlign w:val="center"/>
          </w:tcPr>
          <w:p w14:paraId="4242C132" w14:textId="72564FD6"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15FA668B" w14:textId="2BD8C6A9" w:rsidR="005D7F87" w:rsidRPr="00E6331F" w:rsidRDefault="00E6331F" w:rsidP="005D7F87">
            <w:pPr>
              <w:pStyle w:val="Els-body-text"/>
              <w:jc w:val="center"/>
              <w:rPr>
                <w:lang w:eastAsia="zh-CN"/>
              </w:rPr>
            </w:pPr>
            <w:r>
              <w:rPr>
                <w:rFonts w:hint="eastAsia"/>
                <w:lang w:eastAsia="zh-CN"/>
              </w:rPr>
              <w:t>1</w:t>
            </w:r>
          </w:p>
        </w:tc>
        <w:tc>
          <w:tcPr>
            <w:tcW w:w="1432" w:type="dxa"/>
            <w:gridSpan w:val="2"/>
            <w:vAlign w:val="center"/>
          </w:tcPr>
          <w:p w14:paraId="796737A8" w14:textId="062A43F8"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69F843FC" w14:textId="3E8E1D99" w:rsidR="005D7F87" w:rsidRPr="00E6331F" w:rsidRDefault="00E6331F" w:rsidP="005D7F87">
            <w:pPr>
              <w:pStyle w:val="Els-body-text"/>
              <w:jc w:val="center"/>
              <w:rPr>
                <w:lang w:eastAsia="zh-CN"/>
              </w:rPr>
            </w:pPr>
            <w:r w:rsidRPr="00E6331F">
              <w:rPr>
                <w:rFonts w:hint="eastAsia"/>
                <w:lang w:eastAsia="zh-CN"/>
              </w:rPr>
              <w:t>1</w:t>
            </w:r>
          </w:p>
        </w:tc>
      </w:tr>
      <w:tr w:rsidR="005D7F87" w14:paraId="60D28B1C" w14:textId="7454FD13" w:rsidTr="0099320F">
        <w:trPr>
          <w:trHeight w:val="283"/>
          <w:jc w:val="center"/>
        </w:trPr>
        <w:tc>
          <w:tcPr>
            <w:tcW w:w="1071" w:type="dxa"/>
            <w:vAlign w:val="center"/>
          </w:tcPr>
          <w:p w14:paraId="6EC4D57C" w14:textId="7799E7D4" w:rsidR="005D7F87" w:rsidRPr="00206D8D" w:rsidRDefault="005D7F87" w:rsidP="005D7F87">
            <w:pPr>
              <w:pStyle w:val="Els-body-text"/>
              <w:jc w:val="center"/>
              <w:rPr>
                <w:lang w:eastAsia="zh-CN"/>
              </w:rPr>
            </w:pPr>
            <w:r>
              <w:rPr>
                <w:lang w:eastAsia="zh-CN"/>
              </w:rPr>
              <w:t>5</w:t>
            </w:r>
          </w:p>
        </w:tc>
        <w:tc>
          <w:tcPr>
            <w:tcW w:w="1432" w:type="dxa"/>
            <w:vAlign w:val="center"/>
          </w:tcPr>
          <w:p w14:paraId="103EDD4D" w14:textId="7441BDD3"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56BC9223" w14:textId="3649FC84" w:rsidR="005D7F87" w:rsidRPr="00E6331F" w:rsidRDefault="00E6331F" w:rsidP="005D7F87">
            <w:pPr>
              <w:pStyle w:val="Els-body-text"/>
              <w:jc w:val="center"/>
              <w:rPr>
                <w:lang w:eastAsia="zh-CN"/>
              </w:rPr>
            </w:pPr>
            <w:r>
              <w:rPr>
                <w:rFonts w:hint="eastAsia"/>
                <w:lang w:eastAsia="zh-CN"/>
              </w:rPr>
              <w:t>1</w:t>
            </w:r>
          </w:p>
        </w:tc>
        <w:tc>
          <w:tcPr>
            <w:tcW w:w="1432" w:type="dxa"/>
            <w:gridSpan w:val="2"/>
            <w:vAlign w:val="center"/>
          </w:tcPr>
          <w:p w14:paraId="3169D5FE" w14:textId="53DAA64A" w:rsidR="005D7F87" w:rsidRPr="00E6331F" w:rsidRDefault="00E6331F" w:rsidP="005D7F87">
            <w:pPr>
              <w:pStyle w:val="Els-body-text"/>
              <w:jc w:val="center"/>
              <w:rPr>
                <w:lang w:eastAsia="zh-CN"/>
              </w:rPr>
            </w:pPr>
            <w:r>
              <w:rPr>
                <w:rFonts w:hint="eastAsia"/>
                <w:lang w:eastAsia="zh-CN"/>
              </w:rPr>
              <w:t>9</w:t>
            </w:r>
            <w:r>
              <w:rPr>
                <w:lang w:eastAsia="zh-CN"/>
              </w:rPr>
              <w:t>9.8%</w:t>
            </w:r>
          </w:p>
        </w:tc>
        <w:tc>
          <w:tcPr>
            <w:tcW w:w="1432" w:type="dxa"/>
            <w:vAlign w:val="center"/>
          </w:tcPr>
          <w:p w14:paraId="7B7DBCA2" w14:textId="6D125E21" w:rsidR="005D7F87" w:rsidRPr="00E6331F" w:rsidRDefault="00E6331F" w:rsidP="005D7F87">
            <w:pPr>
              <w:pStyle w:val="Els-body-text"/>
              <w:jc w:val="center"/>
              <w:rPr>
                <w:lang w:eastAsia="zh-CN"/>
              </w:rPr>
            </w:pPr>
            <w:r w:rsidRPr="00E6331F">
              <w:rPr>
                <w:rFonts w:hint="eastAsia"/>
                <w:lang w:eastAsia="zh-CN"/>
              </w:rPr>
              <w:t>1</w:t>
            </w:r>
          </w:p>
        </w:tc>
      </w:tr>
      <w:tr w:rsidR="005D7F87" w14:paraId="77A7C2E0" w14:textId="21BA8113" w:rsidTr="0099320F">
        <w:trPr>
          <w:trHeight w:val="283"/>
          <w:jc w:val="center"/>
        </w:trPr>
        <w:tc>
          <w:tcPr>
            <w:tcW w:w="1071" w:type="dxa"/>
            <w:vAlign w:val="center"/>
          </w:tcPr>
          <w:p w14:paraId="28ECD33B" w14:textId="1D5168C9" w:rsidR="005D7F87" w:rsidRDefault="005D7F87" w:rsidP="005D7F87">
            <w:pPr>
              <w:pStyle w:val="Els-body-text"/>
              <w:jc w:val="center"/>
              <w:rPr>
                <w:lang w:eastAsia="zh-CN"/>
              </w:rPr>
            </w:pPr>
            <w:r>
              <w:rPr>
                <w:rFonts w:hint="eastAsia"/>
                <w:lang w:eastAsia="zh-CN"/>
              </w:rPr>
              <w:t>8</w:t>
            </w:r>
          </w:p>
        </w:tc>
        <w:tc>
          <w:tcPr>
            <w:tcW w:w="1432" w:type="dxa"/>
            <w:vAlign w:val="center"/>
          </w:tcPr>
          <w:p w14:paraId="207050B5" w14:textId="191C35E0" w:rsidR="005D7F87" w:rsidRPr="00E6331F" w:rsidRDefault="00E6331F" w:rsidP="005D7F87">
            <w:pPr>
              <w:pStyle w:val="Els-body-text"/>
              <w:jc w:val="center"/>
              <w:rPr>
                <w:lang w:eastAsia="zh-CN"/>
              </w:rPr>
            </w:pPr>
            <w:r>
              <w:rPr>
                <w:rFonts w:hint="eastAsia"/>
                <w:lang w:eastAsia="zh-CN"/>
              </w:rPr>
              <w:t>9</w:t>
            </w:r>
            <w:r>
              <w:rPr>
                <w:lang w:eastAsia="zh-CN"/>
              </w:rPr>
              <w:t>3.3%</w:t>
            </w:r>
          </w:p>
        </w:tc>
        <w:tc>
          <w:tcPr>
            <w:tcW w:w="1432" w:type="dxa"/>
            <w:vAlign w:val="center"/>
          </w:tcPr>
          <w:p w14:paraId="0FD4F42B" w14:textId="62A8EFE5" w:rsidR="005D7F87" w:rsidRPr="00E6331F" w:rsidRDefault="00E6331F" w:rsidP="005D7F87">
            <w:pPr>
              <w:pStyle w:val="Els-body-text"/>
              <w:jc w:val="center"/>
              <w:rPr>
                <w:lang w:eastAsia="zh-CN"/>
              </w:rPr>
            </w:pPr>
            <w:r>
              <w:rPr>
                <w:rFonts w:hint="eastAsia"/>
                <w:lang w:eastAsia="zh-CN"/>
              </w:rPr>
              <w:t>3</w:t>
            </w:r>
            <w:r>
              <w:rPr>
                <w:lang w:eastAsia="zh-CN"/>
              </w:rPr>
              <w:t>7</w:t>
            </w:r>
          </w:p>
        </w:tc>
        <w:tc>
          <w:tcPr>
            <w:tcW w:w="1432" w:type="dxa"/>
            <w:gridSpan w:val="2"/>
            <w:vAlign w:val="center"/>
          </w:tcPr>
          <w:p w14:paraId="63F61118" w14:textId="16DA6829" w:rsidR="005D7F87" w:rsidRPr="00E6331F" w:rsidRDefault="00E6331F" w:rsidP="005D7F87">
            <w:pPr>
              <w:pStyle w:val="Els-body-text"/>
              <w:jc w:val="center"/>
              <w:rPr>
                <w:lang w:eastAsia="zh-CN"/>
              </w:rPr>
            </w:pPr>
            <w:r>
              <w:rPr>
                <w:rFonts w:hint="eastAsia"/>
                <w:lang w:eastAsia="zh-CN"/>
              </w:rPr>
              <w:t>9</w:t>
            </w:r>
            <w:r>
              <w:rPr>
                <w:lang w:eastAsia="zh-CN"/>
              </w:rPr>
              <w:t>5.2%</w:t>
            </w:r>
          </w:p>
        </w:tc>
        <w:tc>
          <w:tcPr>
            <w:tcW w:w="1432" w:type="dxa"/>
            <w:vAlign w:val="center"/>
          </w:tcPr>
          <w:p w14:paraId="0AF670E0" w14:textId="1C986801" w:rsidR="005D7F87" w:rsidRPr="005B1762" w:rsidRDefault="00E6331F" w:rsidP="005D7F87">
            <w:pPr>
              <w:pStyle w:val="Els-body-text"/>
              <w:jc w:val="center"/>
              <w:rPr>
                <w:b/>
                <w:bCs/>
                <w:lang w:eastAsia="zh-CN"/>
              </w:rPr>
            </w:pPr>
            <w:r w:rsidRPr="005B1762">
              <w:rPr>
                <w:rFonts w:hint="eastAsia"/>
                <w:b/>
                <w:bCs/>
                <w:lang w:eastAsia="zh-CN"/>
              </w:rPr>
              <w:t>2</w:t>
            </w:r>
            <w:r w:rsidRPr="005B1762">
              <w:rPr>
                <w:b/>
                <w:bCs/>
                <w:lang w:eastAsia="zh-CN"/>
              </w:rPr>
              <w:t>3</w:t>
            </w:r>
          </w:p>
        </w:tc>
      </w:tr>
      <w:tr w:rsidR="005D7F87" w14:paraId="7B80BD50" w14:textId="2B54F2FB" w:rsidTr="0099320F">
        <w:trPr>
          <w:trHeight w:val="283"/>
          <w:jc w:val="center"/>
        </w:trPr>
        <w:tc>
          <w:tcPr>
            <w:tcW w:w="1071" w:type="dxa"/>
            <w:vAlign w:val="center"/>
          </w:tcPr>
          <w:p w14:paraId="21FC0152" w14:textId="572DBB50" w:rsidR="005D7F87" w:rsidRDefault="005D7F87" w:rsidP="005D7F87">
            <w:pPr>
              <w:pStyle w:val="Els-body-text"/>
              <w:jc w:val="center"/>
              <w:rPr>
                <w:lang w:eastAsia="zh-CN"/>
              </w:rPr>
            </w:pPr>
            <w:r>
              <w:rPr>
                <w:rFonts w:hint="eastAsia"/>
                <w:lang w:eastAsia="zh-CN"/>
              </w:rPr>
              <w:t>9</w:t>
            </w:r>
          </w:p>
        </w:tc>
        <w:tc>
          <w:tcPr>
            <w:tcW w:w="1432" w:type="dxa"/>
            <w:vAlign w:val="center"/>
          </w:tcPr>
          <w:p w14:paraId="5BCB65E1" w14:textId="6A4B8D57" w:rsidR="005D7F87" w:rsidRPr="00E6331F" w:rsidRDefault="00E6331F" w:rsidP="005D7F87">
            <w:pPr>
              <w:pStyle w:val="Els-body-text"/>
              <w:jc w:val="center"/>
              <w:rPr>
                <w:lang w:eastAsia="zh-CN"/>
              </w:rPr>
            </w:pPr>
            <w:r>
              <w:rPr>
                <w:rFonts w:hint="eastAsia"/>
                <w:lang w:eastAsia="zh-CN"/>
              </w:rPr>
              <w:t>9</w:t>
            </w:r>
            <w:r>
              <w:rPr>
                <w:lang w:eastAsia="zh-CN"/>
              </w:rPr>
              <w:t>2.5%</w:t>
            </w:r>
          </w:p>
        </w:tc>
        <w:tc>
          <w:tcPr>
            <w:tcW w:w="1432" w:type="dxa"/>
            <w:vAlign w:val="center"/>
          </w:tcPr>
          <w:p w14:paraId="25104055" w14:textId="60DA006E" w:rsidR="005D7F87" w:rsidRPr="00E6331F" w:rsidRDefault="00E6331F" w:rsidP="005D7F87">
            <w:pPr>
              <w:pStyle w:val="Els-body-text"/>
              <w:jc w:val="center"/>
              <w:rPr>
                <w:lang w:eastAsia="zh-CN"/>
              </w:rPr>
            </w:pPr>
            <w:r>
              <w:rPr>
                <w:rFonts w:hint="eastAsia"/>
                <w:lang w:eastAsia="zh-CN"/>
              </w:rPr>
              <w:t>4</w:t>
            </w:r>
            <w:r>
              <w:rPr>
                <w:lang w:eastAsia="zh-CN"/>
              </w:rPr>
              <w:t>4</w:t>
            </w:r>
          </w:p>
        </w:tc>
        <w:tc>
          <w:tcPr>
            <w:tcW w:w="1432" w:type="dxa"/>
            <w:gridSpan w:val="2"/>
            <w:vAlign w:val="center"/>
          </w:tcPr>
          <w:p w14:paraId="39E43ECC" w14:textId="1A931006" w:rsidR="005D7F87" w:rsidRPr="00E6331F" w:rsidRDefault="00E6331F" w:rsidP="005D7F87">
            <w:pPr>
              <w:pStyle w:val="Els-body-text"/>
              <w:jc w:val="center"/>
              <w:rPr>
                <w:lang w:eastAsia="zh-CN"/>
              </w:rPr>
            </w:pPr>
            <w:r>
              <w:rPr>
                <w:rFonts w:hint="eastAsia"/>
                <w:lang w:eastAsia="zh-CN"/>
              </w:rPr>
              <w:t>9</w:t>
            </w:r>
            <w:r>
              <w:rPr>
                <w:lang w:eastAsia="zh-CN"/>
              </w:rPr>
              <w:t>5.9%</w:t>
            </w:r>
          </w:p>
        </w:tc>
        <w:tc>
          <w:tcPr>
            <w:tcW w:w="1432" w:type="dxa"/>
            <w:vAlign w:val="center"/>
          </w:tcPr>
          <w:p w14:paraId="74FA4419" w14:textId="6706CC35" w:rsidR="005D7F87" w:rsidRPr="005B1762" w:rsidRDefault="00E6331F" w:rsidP="005D7F87">
            <w:pPr>
              <w:pStyle w:val="Els-body-text"/>
              <w:jc w:val="center"/>
              <w:rPr>
                <w:b/>
                <w:bCs/>
                <w:lang w:eastAsia="zh-CN"/>
              </w:rPr>
            </w:pPr>
            <w:r w:rsidRPr="005B1762">
              <w:rPr>
                <w:rFonts w:hint="eastAsia"/>
                <w:b/>
                <w:bCs/>
                <w:lang w:eastAsia="zh-CN"/>
              </w:rPr>
              <w:t>2</w:t>
            </w:r>
            <w:r w:rsidRPr="005B1762">
              <w:rPr>
                <w:b/>
                <w:bCs/>
                <w:lang w:eastAsia="zh-CN"/>
              </w:rPr>
              <w:t>0</w:t>
            </w:r>
          </w:p>
        </w:tc>
      </w:tr>
      <w:tr w:rsidR="005D7F87" w14:paraId="7468D879" w14:textId="401366C6" w:rsidTr="0099320F">
        <w:trPr>
          <w:trHeight w:val="283"/>
          <w:jc w:val="center"/>
        </w:trPr>
        <w:tc>
          <w:tcPr>
            <w:tcW w:w="1071" w:type="dxa"/>
            <w:vAlign w:val="center"/>
          </w:tcPr>
          <w:p w14:paraId="6530DAB7" w14:textId="5FECC9B3" w:rsidR="005D7F87" w:rsidRDefault="005D7F87" w:rsidP="005D7F87">
            <w:pPr>
              <w:pStyle w:val="Els-body-text"/>
              <w:jc w:val="center"/>
              <w:rPr>
                <w:lang w:eastAsia="zh-CN"/>
              </w:rPr>
            </w:pPr>
            <w:r>
              <w:rPr>
                <w:rFonts w:hint="eastAsia"/>
                <w:lang w:eastAsia="zh-CN"/>
              </w:rPr>
              <w:t>1</w:t>
            </w:r>
            <w:r>
              <w:rPr>
                <w:lang w:eastAsia="zh-CN"/>
              </w:rPr>
              <w:t>0</w:t>
            </w:r>
          </w:p>
        </w:tc>
        <w:tc>
          <w:tcPr>
            <w:tcW w:w="1432" w:type="dxa"/>
            <w:vAlign w:val="center"/>
          </w:tcPr>
          <w:p w14:paraId="1E439445" w14:textId="6F7A40EF" w:rsidR="005D7F87" w:rsidRPr="00E6331F" w:rsidRDefault="00E6331F" w:rsidP="005D7F87">
            <w:pPr>
              <w:pStyle w:val="Els-body-text"/>
              <w:jc w:val="center"/>
              <w:rPr>
                <w:lang w:eastAsia="zh-CN"/>
              </w:rPr>
            </w:pPr>
            <w:r>
              <w:rPr>
                <w:rFonts w:hint="eastAsia"/>
                <w:lang w:eastAsia="zh-CN"/>
              </w:rPr>
              <w:t>9</w:t>
            </w:r>
            <w:r>
              <w:rPr>
                <w:lang w:eastAsia="zh-CN"/>
              </w:rPr>
              <w:t>1.8%</w:t>
            </w:r>
          </w:p>
        </w:tc>
        <w:tc>
          <w:tcPr>
            <w:tcW w:w="1432" w:type="dxa"/>
            <w:vAlign w:val="center"/>
          </w:tcPr>
          <w:p w14:paraId="219BE339" w14:textId="4DC93D91" w:rsidR="005D7F87" w:rsidRPr="00E6331F" w:rsidRDefault="00E6331F" w:rsidP="005D7F87">
            <w:pPr>
              <w:pStyle w:val="Els-body-text"/>
              <w:jc w:val="center"/>
              <w:rPr>
                <w:lang w:eastAsia="zh-CN"/>
              </w:rPr>
            </w:pPr>
            <w:r>
              <w:rPr>
                <w:rFonts w:hint="eastAsia"/>
                <w:lang w:eastAsia="zh-CN"/>
              </w:rPr>
              <w:t>4</w:t>
            </w:r>
            <w:r>
              <w:rPr>
                <w:lang w:eastAsia="zh-CN"/>
              </w:rPr>
              <w:t>9</w:t>
            </w:r>
          </w:p>
        </w:tc>
        <w:tc>
          <w:tcPr>
            <w:tcW w:w="1432" w:type="dxa"/>
            <w:gridSpan w:val="2"/>
            <w:vAlign w:val="center"/>
          </w:tcPr>
          <w:p w14:paraId="252CB96F" w14:textId="2A3A531C" w:rsidR="005D7F87" w:rsidRPr="00E6331F" w:rsidRDefault="00E6331F" w:rsidP="005D7F87">
            <w:pPr>
              <w:pStyle w:val="Els-body-text"/>
              <w:jc w:val="center"/>
              <w:rPr>
                <w:lang w:eastAsia="zh-CN"/>
              </w:rPr>
            </w:pPr>
            <w:r>
              <w:rPr>
                <w:rFonts w:hint="eastAsia"/>
                <w:lang w:eastAsia="zh-CN"/>
              </w:rPr>
              <w:t>8</w:t>
            </w:r>
            <w:r>
              <w:rPr>
                <w:lang w:eastAsia="zh-CN"/>
              </w:rPr>
              <w:t>5.7%</w:t>
            </w:r>
          </w:p>
        </w:tc>
        <w:tc>
          <w:tcPr>
            <w:tcW w:w="1432" w:type="dxa"/>
            <w:vAlign w:val="center"/>
          </w:tcPr>
          <w:p w14:paraId="435A7ECA" w14:textId="27923449" w:rsidR="005D7F87" w:rsidRPr="00E6331F" w:rsidRDefault="00E6331F" w:rsidP="005D7F87">
            <w:pPr>
              <w:pStyle w:val="Els-body-text"/>
              <w:jc w:val="center"/>
              <w:rPr>
                <w:lang w:eastAsia="zh-CN"/>
              </w:rPr>
            </w:pPr>
            <w:r>
              <w:rPr>
                <w:rFonts w:hint="eastAsia"/>
                <w:lang w:eastAsia="zh-CN"/>
              </w:rPr>
              <w:t>4</w:t>
            </w:r>
            <w:r>
              <w:rPr>
                <w:lang w:eastAsia="zh-CN"/>
              </w:rPr>
              <w:t>6</w:t>
            </w:r>
          </w:p>
        </w:tc>
      </w:tr>
      <w:tr w:rsidR="005D7F87" w14:paraId="3DCECC52" w14:textId="01BEE274" w:rsidTr="0099320F">
        <w:trPr>
          <w:trHeight w:val="283"/>
          <w:jc w:val="center"/>
        </w:trPr>
        <w:tc>
          <w:tcPr>
            <w:tcW w:w="1071" w:type="dxa"/>
            <w:vAlign w:val="center"/>
          </w:tcPr>
          <w:p w14:paraId="104BABA1" w14:textId="74490500" w:rsidR="005D7F87" w:rsidRDefault="005D7F87" w:rsidP="005D7F87">
            <w:pPr>
              <w:pStyle w:val="Els-body-text"/>
              <w:jc w:val="center"/>
              <w:rPr>
                <w:lang w:eastAsia="zh-CN"/>
              </w:rPr>
            </w:pPr>
            <w:r>
              <w:rPr>
                <w:rFonts w:hint="eastAsia"/>
                <w:lang w:eastAsia="zh-CN"/>
              </w:rPr>
              <w:t>1</w:t>
            </w:r>
            <w:r>
              <w:rPr>
                <w:lang w:eastAsia="zh-CN"/>
              </w:rPr>
              <w:t>1</w:t>
            </w:r>
          </w:p>
        </w:tc>
        <w:tc>
          <w:tcPr>
            <w:tcW w:w="1432" w:type="dxa"/>
            <w:vAlign w:val="center"/>
          </w:tcPr>
          <w:p w14:paraId="4204088B" w14:textId="4019F41B" w:rsidR="005D7F87" w:rsidRPr="00E6331F" w:rsidRDefault="00E6331F" w:rsidP="005D7F87">
            <w:pPr>
              <w:pStyle w:val="Els-body-text"/>
              <w:jc w:val="center"/>
              <w:rPr>
                <w:lang w:eastAsia="zh-CN"/>
              </w:rPr>
            </w:pPr>
            <w:r>
              <w:rPr>
                <w:rFonts w:hint="eastAsia"/>
                <w:lang w:eastAsia="zh-CN"/>
              </w:rPr>
              <w:t>9</w:t>
            </w:r>
            <w:r>
              <w:rPr>
                <w:lang w:eastAsia="zh-CN"/>
              </w:rPr>
              <w:t>9.5%</w:t>
            </w:r>
          </w:p>
        </w:tc>
        <w:tc>
          <w:tcPr>
            <w:tcW w:w="1432" w:type="dxa"/>
            <w:vAlign w:val="center"/>
          </w:tcPr>
          <w:p w14:paraId="2FC89A28" w14:textId="3C4BB25A" w:rsidR="005D7F87" w:rsidRPr="00E6331F" w:rsidRDefault="00E6331F" w:rsidP="005D7F87">
            <w:pPr>
              <w:pStyle w:val="Els-body-text"/>
              <w:jc w:val="center"/>
              <w:rPr>
                <w:lang w:eastAsia="zh-CN"/>
              </w:rPr>
            </w:pPr>
            <w:r>
              <w:rPr>
                <w:rFonts w:hint="eastAsia"/>
                <w:lang w:eastAsia="zh-CN"/>
              </w:rPr>
              <w:t>3</w:t>
            </w:r>
          </w:p>
        </w:tc>
        <w:tc>
          <w:tcPr>
            <w:tcW w:w="1432" w:type="dxa"/>
            <w:gridSpan w:val="2"/>
            <w:vAlign w:val="center"/>
          </w:tcPr>
          <w:p w14:paraId="0BB365AF" w14:textId="1033B1D8" w:rsidR="005D7F87" w:rsidRPr="00E6331F" w:rsidRDefault="00E6331F" w:rsidP="005D7F87">
            <w:pPr>
              <w:pStyle w:val="Els-body-text"/>
              <w:jc w:val="center"/>
              <w:rPr>
                <w:lang w:eastAsia="zh-CN"/>
              </w:rPr>
            </w:pPr>
            <w:r>
              <w:rPr>
                <w:rFonts w:hint="eastAsia"/>
                <w:lang w:eastAsia="zh-CN"/>
              </w:rPr>
              <w:t>9</w:t>
            </w:r>
            <w:r>
              <w:rPr>
                <w:lang w:eastAsia="zh-CN"/>
              </w:rPr>
              <w:t>6.1%</w:t>
            </w:r>
          </w:p>
        </w:tc>
        <w:tc>
          <w:tcPr>
            <w:tcW w:w="1432" w:type="dxa"/>
            <w:vAlign w:val="center"/>
          </w:tcPr>
          <w:p w14:paraId="1302322B" w14:textId="45F8B2FA" w:rsidR="005D7F87" w:rsidRPr="00E6331F" w:rsidRDefault="00E6331F" w:rsidP="005D7F87">
            <w:pPr>
              <w:pStyle w:val="Els-body-text"/>
              <w:jc w:val="center"/>
              <w:rPr>
                <w:lang w:eastAsia="zh-CN"/>
              </w:rPr>
            </w:pPr>
            <w:r>
              <w:rPr>
                <w:rFonts w:hint="eastAsia"/>
                <w:lang w:eastAsia="zh-CN"/>
              </w:rPr>
              <w:t>1</w:t>
            </w:r>
            <w:r>
              <w:rPr>
                <w:lang w:eastAsia="zh-CN"/>
              </w:rPr>
              <w:t>5</w:t>
            </w:r>
          </w:p>
        </w:tc>
      </w:tr>
      <w:tr w:rsidR="005D7F87" w14:paraId="4271A846" w14:textId="564B4DAD" w:rsidTr="0099320F">
        <w:trPr>
          <w:trHeight w:val="283"/>
          <w:jc w:val="center"/>
        </w:trPr>
        <w:tc>
          <w:tcPr>
            <w:tcW w:w="1071" w:type="dxa"/>
            <w:vAlign w:val="center"/>
          </w:tcPr>
          <w:p w14:paraId="59499ED9" w14:textId="4A4A124D" w:rsidR="005D7F87" w:rsidRDefault="005D7F87" w:rsidP="005D7F87">
            <w:pPr>
              <w:pStyle w:val="Els-body-text"/>
              <w:jc w:val="center"/>
              <w:rPr>
                <w:lang w:eastAsia="zh-CN"/>
              </w:rPr>
            </w:pPr>
            <w:r>
              <w:rPr>
                <w:rFonts w:hint="eastAsia"/>
                <w:lang w:eastAsia="zh-CN"/>
              </w:rPr>
              <w:t>1</w:t>
            </w:r>
            <w:r>
              <w:rPr>
                <w:lang w:eastAsia="zh-CN"/>
              </w:rPr>
              <w:t>2</w:t>
            </w:r>
          </w:p>
        </w:tc>
        <w:tc>
          <w:tcPr>
            <w:tcW w:w="1432" w:type="dxa"/>
            <w:vAlign w:val="center"/>
          </w:tcPr>
          <w:p w14:paraId="785FDE85" w14:textId="3EB67D36" w:rsidR="005D7F87" w:rsidRPr="00E6331F" w:rsidRDefault="00E6331F" w:rsidP="005D7F87">
            <w:pPr>
              <w:pStyle w:val="Els-body-text"/>
              <w:jc w:val="center"/>
              <w:rPr>
                <w:lang w:eastAsia="zh-CN"/>
              </w:rPr>
            </w:pPr>
            <w:r>
              <w:rPr>
                <w:rFonts w:hint="eastAsia"/>
                <w:lang w:eastAsia="zh-CN"/>
              </w:rPr>
              <w:t>9</w:t>
            </w:r>
            <w:r>
              <w:rPr>
                <w:lang w:eastAsia="zh-CN"/>
              </w:rPr>
              <w:t>9.2%</w:t>
            </w:r>
          </w:p>
        </w:tc>
        <w:tc>
          <w:tcPr>
            <w:tcW w:w="1432" w:type="dxa"/>
            <w:vAlign w:val="center"/>
          </w:tcPr>
          <w:p w14:paraId="10E87F8B" w14:textId="3F05F5E5" w:rsidR="005D7F87" w:rsidRPr="00E6331F" w:rsidRDefault="00E6331F" w:rsidP="005D7F87">
            <w:pPr>
              <w:pStyle w:val="Els-body-text"/>
              <w:jc w:val="center"/>
              <w:rPr>
                <w:lang w:eastAsia="zh-CN"/>
              </w:rPr>
            </w:pPr>
            <w:r>
              <w:rPr>
                <w:rFonts w:hint="eastAsia"/>
                <w:lang w:eastAsia="zh-CN"/>
              </w:rPr>
              <w:t>5</w:t>
            </w:r>
          </w:p>
        </w:tc>
        <w:tc>
          <w:tcPr>
            <w:tcW w:w="1432" w:type="dxa"/>
            <w:gridSpan w:val="2"/>
            <w:vAlign w:val="center"/>
          </w:tcPr>
          <w:p w14:paraId="3998C3BE" w14:textId="439D9A42" w:rsidR="005D7F87" w:rsidRPr="00E6331F" w:rsidRDefault="00E6331F" w:rsidP="005D7F87">
            <w:pPr>
              <w:pStyle w:val="Els-body-text"/>
              <w:jc w:val="center"/>
              <w:rPr>
                <w:lang w:eastAsia="zh-CN"/>
              </w:rPr>
            </w:pPr>
            <w:r>
              <w:rPr>
                <w:rFonts w:hint="eastAsia"/>
                <w:lang w:eastAsia="zh-CN"/>
              </w:rPr>
              <w:t>9</w:t>
            </w:r>
            <w:r>
              <w:rPr>
                <w:lang w:eastAsia="zh-CN"/>
              </w:rPr>
              <w:t>4.6%</w:t>
            </w:r>
          </w:p>
        </w:tc>
        <w:tc>
          <w:tcPr>
            <w:tcW w:w="1432" w:type="dxa"/>
            <w:vAlign w:val="center"/>
          </w:tcPr>
          <w:p w14:paraId="21EFBD37" w14:textId="4EBE6E46" w:rsidR="005D7F87" w:rsidRPr="00E6331F" w:rsidRDefault="00E6331F" w:rsidP="005D7F87">
            <w:pPr>
              <w:pStyle w:val="Els-body-text"/>
              <w:jc w:val="center"/>
              <w:rPr>
                <w:lang w:eastAsia="zh-CN"/>
              </w:rPr>
            </w:pPr>
            <w:r>
              <w:rPr>
                <w:rFonts w:hint="eastAsia"/>
                <w:lang w:eastAsia="zh-CN"/>
              </w:rPr>
              <w:t>2</w:t>
            </w:r>
            <w:r>
              <w:rPr>
                <w:lang w:eastAsia="zh-CN"/>
              </w:rPr>
              <w:t>4</w:t>
            </w:r>
          </w:p>
        </w:tc>
      </w:tr>
      <w:tr w:rsidR="005D7F87" w14:paraId="253C501E" w14:textId="053AB8E2" w:rsidTr="0099320F">
        <w:trPr>
          <w:trHeight w:val="283"/>
          <w:jc w:val="center"/>
        </w:trPr>
        <w:tc>
          <w:tcPr>
            <w:tcW w:w="1071" w:type="dxa"/>
            <w:tcBorders>
              <w:bottom w:val="single" w:sz="12" w:space="0" w:color="auto"/>
            </w:tcBorders>
            <w:vAlign w:val="center"/>
          </w:tcPr>
          <w:p w14:paraId="7E407E9E" w14:textId="74A686B6" w:rsidR="005D7F87" w:rsidRDefault="005D7F87" w:rsidP="005D7F87">
            <w:pPr>
              <w:pStyle w:val="Els-body-text"/>
              <w:jc w:val="center"/>
              <w:rPr>
                <w:lang w:eastAsia="zh-CN"/>
              </w:rPr>
            </w:pPr>
            <w:r>
              <w:rPr>
                <w:rFonts w:hint="eastAsia"/>
                <w:lang w:eastAsia="zh-CN"/>
              </w:rPr>
              <w:t>1</w:t>
            </w:r>
            <w:r>
              <w:rPr>
                <w:lang w:eastAsia="zh-CN"/>
              </w:rPr>
              <w:t>3</w:t>
            </w:r>
          </w:p>
        </w:tc>
        <w:tc>
          <w:tcPr>
            <w:tcW w:w="1432" w:type="dxa"/>
            <w:tcBorders>
              <w:bottom w:val="single" w:sz="12" w:space="0" w:color="auto"/>
            </w:tcBorders>
            <w:vAlign w:val="center"/>
          </w:tcPr>
          <w:p w14:paraId="0B465CAD" w14:textId="79EE4C71" w:rsidR="005D7F87" w:rsidRPr="00E6331F" w:rsidRDefault="00E6331F" w:rsidP="005D7F87">
            <w:pPr>
              <w:pStyle w:val="Els-body-text"/>
              <w:jc w:val="center"/>
              <w:rPr>
                <w:lang w:eastAsia="zh-CN"/>
              </w:rPr>
            </w:pPr>
            <w:r>
              <w:rPr>
                <w:rFonts w:hint="eastAsia"/>
                <w:lang w:eastAsia="zh-CN"/>
              </w:rPr>
              <w:t>7</w:t>
            </w:r>
            <w:r>
              <w:rPr>
                <w:lang w:eastAsia="zh-CN"/>
              </w:rPr>
              <w:t>2.5%</w:t>
            </w:r>
          </w:p>
        </w:tc>
        <w:tc>
          <w:tcPr>
            <w:tcW w:w="1432" w:type="dxa"/>
            <w:tcBorders>
              <w:bottom w:val="single" w:sz="12" w:space="0" w:color="auto"/>
            </w:tcBorders>
            <w:vAlign w:val="center"/>
          </w:tcPr>
          <w:p w14:paraId="255E1445" w14:textId="4A4CC97C" w:rsidR="005D7F87" w:rsidRPr="00E6331F" w:rsidRDefault="00E6331F" w:rsidP="005D7F87">
            <w:pPr>
              <w:pStyle w:val="Els-body-text"/>
              <w:jc w:val="center"/>
              <w:rPr>
                <w:lang w:eastAsia="zh-CN"/>
              </w:rPr>
            </w:pPr>
            <w:r>
              <w:rPr>
                <w:rFonts w:hint="eastAsia"/>
                <w:lang w:eastAsia="zh-CN"/>
              </w:rPr>
              <w:t>1</w:t>
            </w:r>
            <w:r>
              <w:rPr>
                <w:lang w:eastAsia="zh-CN"/>
              </w:rPr>
              <w:t>65</w:t>
            </w:r>
          </w:p>
        </w:tc>
        <w:tc>
          <w:tcPr>
            <w:tcW w:w="1432" w:type="dxa"/>
            <w:gridSpan w:val="2"/>
            <w:tcBorders>
              <w:bottom w:val="single" w:sz="12" w:space="0" w:color="auto"/>
            </w:tcBorders>
            <w:vAlign w:val="center"/>
          </w:tcPr>
          <w:p w14:paraId="1989D1DB" w14:textId="45F7845C" w:rsidR="005D7F87" w:rsidRPr="00E6331F" w:rsidRDefault="00E6331F" w:rsidP="005D7F87">
            <w:pPr>
              <w:pStyle w:val="Els-body-text"/>
              <w:jc w:val="center"/>
              <w:rPr>
                <w:lang w:eastAsia="zh-CN"/>
              </w:rPr>
            </w:pPr>
            <w:r>
              <w:rPr>
                <w:rFonts w:hint="eastAsia"/>
                <w:lang w:eastAsia="zh-CN"/>
              </w:rPr>
              <w:t>8</w:t>
            </w:r>
            <w:r>
              <w:rPr>
                <w:lang w:eastAsia="zh-CN"/>
              </w:rPr>
              <w:t>1.4%</w:t>
            </w:r>
          </w:p>
        </w:tc>
        <w:tc>
          <w:tcPr>
            <w:tcW w:w="1432" w:type="dxa"/>
            <w:tcBorders>
              <w:bottom w:val="single" w:sz="12" w:space="0" w:color="auto"/>
            </w:tcBorders>
            <w:vAlign w:val="center"/>
          </w:tcPr>
          <w:p w14:paraId="38D357AC" w14:textId="646A366E" w:rsidR="005D7F87" w:rsidRPr="005B1762" w:rsidRDefault="00E6331F" w:rsidP="005D7F87">
            <w:pPr>
              <w:pStyle w:val="Els-body-text"/>
              <w:jc w:val="center"/>
              <w:rPr>
                <w:b/>
                <w:bCs/>
                <w:lang w:eastAsia="zh-CN"/>
              </w:rPr>
            </w:pPr>
            <w:r w:rsidRPr="005B1762">
              <w:rPr>
                <w:rFonts w:hint="eastAsia"/>
                <w:b/>
                <w:bCs/>
                <w:lang w:eastAsia="zh-CN"/>
              </w:rPr>
              <w:t>4</w:t>
            </w:r>
            <w:r w:rsidRPr="005B1762">
              <w:rPr>
                <w:b/>
                <w:bCs/>
                <w:lang w:eastAsia="zh-CN"/>
              </w:rPr>
              <w:t>6</w:t>
            </w:r>
          </w:p>
        </w:tc>
      </w:tr>
    </w:tbl>
    <w:p w14:paraId="69825503" w14:textId="77777777" w:rsidR="00864993" w:rsidRDefault="00864993" w:rsidP="00D51141">
      <w:pPr>
        <w:pStyle w:val="Els-body-text"/>
        <w:rPr>
          <w:lang w:eastAsia="zh-CN"/>
        </w:rPr>
      </w:pPr>
    </w:p>
    <w:p w14:paraId="21C71C1E" w14:textId="613280C1" w:rsidR="00B7781A" w:rsidRDefault="00B7781A" w:rsidP="00D51141">
      <w:pPr>
        <w:pStyle w:val="Els-body-text"/>
        <w:rPr>
          <w:lang w:eastAsia="zh-CN"/>
        </w:rPr>
      </w:pPr>
      <w:r w:rsidRPr="00B7781A">
        <w:rPr>
          <w:lang w:eastAsia="zh-CN"/>
        </w:rPr>
        <w:t>Table 1 reveals that both LSTM-VAE and the proposed method exhibited similar FDR, with both achieving rates approximately exceeding 90%. Notably, in the case of the slow drift-type fault</w:t>
      </w:r>
      <w:r>
        <w:rPr>
          <w:lang w:eastAsia="zh-CN"/>
        </w:rPr>
        <w:t xml:space="preserve">, </w:t>
      </w:r>
      <w:r w:rsidRPr="00B7781A">
        <w:rPr>
          <w:lang w:eastAsia="zh-CN"/>
        </w:rPr>
        <w:t>Fault 13, the proposed method demonstrated a significantly higher FDR compared to LSTM-VAE.</w:t>
      </w:r>
      <w:r w:rsidR="003B745F">
        <w:rPr>
          <w:lang w:eastAsia="zh-CN"/>
        </w:rPr>
        <w:t xml:space="preserve"> </w:t>
      </w:r>
      <w:r w:rsidR="00266D57" w:rsidRPr="00266D57">
        <w:rPr>
          <w:lang w:eastAsia="zh-CN"/>
        </w:rPr>
        <w:t>Regarding</w:t>
      </w:r>
      <w:r w:rsidR="00266D57">
        <w:rPr>
          <w:lang w:eastAsia="zh-CN"/>
        </w:rPr>
        <w:t xml:space="preserve"> </w:t>
      </w:r>
      <w:r w:rsidR="003B745F">
        <w:rPr>
          <w:lang w:eastAsia="zh-CN"/>
        </w:rPr>
        <w:t xml:space="preserve">FDT, </w:t>
      </w:r>
      <w:r w:rsidR="003B745F" w:rsidRPr="003B745F">
        <w:rPr>
          <w:lang w:val="en-GB" w:eastAsia="zh-CN"/>
        </w:rPr>
        <w:t xml:space="preserve">the proposed method generally outperformed LSTM-VAE in early fault detection, except for Fault 11 and Fault 12. </w:t>
      </w:r>
      <w:r w:rsidR="003B745F" w:rsidRPr="003B745F">
        <w:rPr>
          <w:lang w:eastAsia="zh-CN"/>
        </w:rPr>
        <w:t>Remarkably, the proposed method showcased a notable advancement of over 100 minutes in detecting Fault 13 compared to LSTM-VAE.</w:t>
      </w:r>
    </w:p>
    <w:p w14:paraId="335D69BD" w14:textId="030E71FD" w:rsidR="00425E53" w:rsidRDefault="0045395C" w:rsidP="00425E53">
      <w:pPr>
        <w:pStyle w:val="Els-2ndorder-head"/>
        <w:rPr>
          <w:lang w:eastAsia="zh-CN"/>
        </w:rPr>
      </w:pPr>
      <w:r>
        <w:t>Fault prognosis</w:t>
      </w:r>
    </w:p>
    <w:p w14:paraId="54B49981" w14:textId="38C43B0E" w:rsidR="00966064" w:rsidRDefault="008B2A05" w:rsidP="00B770E1">
      <w:pPr>
        <w:pStyle w:val="Els-body-text"/>
        <w:rPr>
          <w:lang w:eastAsia="zh-CN"/>
        </w:rPr>
      </w:pPr>
      <w:r w:rsidRPr="008B2A05">
        <w:rPr>
          <w:lang w:eastAsia="zh-CN"/>
        </w:rPr>
        <w:t>The accurate prediction of future changes in process variables stands as the fundamental challenge in fault prognosis.</w:t>
      </w:r>
      <w:r>
        <w:rPr>
          <w:lang w:eastAsia="zh-CN"/>
        </w:rPr>
        <w:t xml:space="preserve"> </w:t>
      </w:r>
      <w:r w:rsidR="00EA0D01">
        <w:rPr>
          <w:lang w:eastAsia="zh-CN"/>
        </w:rPr>
        <w:t>We selected fault</w:t>
      </w:r>
      <w:r>
        <w:rPr>
          <w:lang w:eastAsia="zh-CN"/>
        </w:rPr>
        <w:t>s</w:t>
      </w:r>
      <w:r w:rsidR="00EA0D01">
        <w:rPr>
          <w:lang w:eastAsia="zh-CN"/>
        </w:rPr>
        <w:t xml:space="preserve"> with long FDT for fault prognosis analysis, which were Fault 8, 9, 10, 13. </w:t>
      </w:r>
      <w:r w:rsidR="00BF293D" w:rsidRPr="00BF293D">
        <w:rPr>
          <w:lang w:eastAsia="zh-CN"/>
        </w:rPr>
        <w:t xml:space="preserve">To comprehensively evaluate the </w:t>
      </w:r>
      <w:r w:rsidR="00BF293D">
        <w:rPr>
          <w:lang w:eastAsia="zh-CN"/>
        </w:rPr>
        <w:t>proposed method’</w:t>
      </w:r>
      <w:r w:rsidR="00BF293D" w:rsidRPr="00BF293D">
        <w:rPr>
          <w:lang w:eastAsia="zh-CN"/>
        </w:rPr>
        <w:t>s performance across distinct time scales, we examined varied forecast</w:t>
      </w:r>
      <w:r w:rsidR="00BF293D">
        <w:rPr>
          <w:lang w:eastAsia="zh-CN"/>
        </w:rPr>
        <w:t xml:space="preserve"> times</w:t>
      </w:r>
      <w:r w:rsidR="00BF293D" w:rsidRPr="00BF293D">
        <w:rPr>
          <w:lang w:eastAsia="zh-CN"/>
        </w:rPr>
        <w:t>.</w:t>
      </w:r>
      <w:r w:rsidR="00BF293D">
        <w:rPr>
          <w:lang w:eastAsia="zh-CN"/>
        </w:rPr>
        <w:t xml:space="preserve"> </w:t>
      </w:r>
      <w:r w:rsidR="00F7549E" w:rsidRPr="00F7549E">
        <w:rPr>
          <w:lang w:eastAsia="zh-CN"/>
        </w:rPr>
        <w:t>Our approach finetuned the pretrained model solely with a batch of simulation data.</w:t>
      </w:r>
      <w:r w:rsidR="006D0BA0" w:rsidRPr="006D0BA0">
        <w:rPr>
          <w:lang w:eastAsia="zh-CN"/>
        </w:rPr>
        <w:t xml:space="preserve"> </w:t>
      </w:r>
      <w:r w:rsidR="00BF293D" w:rsidRPr="00BF293D">
        <w:rPr>
          <w:lang w:eastAsia="zh-CN"/>
        </w:rPr>
        <w:t xml:space="preserve">Employing the autoregression concept, we iteratively predicted process variables at </w:t>
      </w:r>
      <w:r w:rsidR="00BF293D">
        <w:rPr>
          <w:lang w:eastAsia="zh-CN"/>
        </w:rPr>
        <w:t>forecast times</w:t>
      </w:r>
      <w:r w:rsidR="00BF293D" w:rsidRPr="00BF293D">
        <w:rPr>
          <w:lang w:eastAsia="zh-CN"/>
        </w:rPr>
        <w:t xml:space="preserve"> of 1, 4, 8, 16, 32, and 64 minutes across the four fault types.</w:t>
      </w:r>
      <w:r w:rsidR="006D0BA0" w:rsidRPr="006D0BA0">
        <w:rPr>
          <w:lang w:eastAsia="zh-CN"/>
        </w:rPr>
        <w:t xml:space="preserve"> </w:t>
      </w:r>
      <w:r w:rsidR="00612DB8" w:rsidRPr="00612DB8">
        <w:rPr>
          <w:lang w:eastAsia="zh-CN"/>
        </w:rPr>
        <w:t>The accuracy of the forecasts was evaluated using Mean Absolute Error (MAE), with the results detailed in Table 2.</w:t>
      </w:r>
      <w:r w:rsidR="00612DB8">
        <w:rPr>
          <w:lang w:eastAsia="zh-CN"/>
        </w:rPr>
        <w:t xml:space="preserve"> </w:t>
      </w:r>
      <w:r w:rsidR="00AF0C25" w:rsidRPr="00AF0C25">
        <w:rPr>
          <w:lang w:eastAsia="zh-CN"/>
        </w:rPr>
        <w:t xml:space="preserve">The </w:t>
      </w:r>
      <w:r w:rsidR="00AF0C25">
        <w:rPr>
          <w:lang w:eastAsia="zh-CN"/>
        </w:rPr>
        <w:t xml:space="preserve">results </w:t>
      </w:r>
      <w:r w:rsidR="00AF0C25" w:rsidRPr="00AF0C25">
        <w:rPr>
          <w:lang w:eastAsia="zh-CN"/>
        </w:rPr>
        <w:t>demonstrate</w:t>
      </w:r>
      <w:r w:rsidR="00AF0C25">
        <w:rPr>
          <w:lang w:eastAsia="zh-CN"/>
        </w:rPr>
        <w:t>d</w:t>
      </w:r>
      <w:r w:rsidR="00AF0C25" w:rsidRPr="00AF0C25">
        <w:rPr>
          <w:lang w:eastAsia="zh-CN"/>
        </w:rPr>
        <w:t xml:space="preserve"> the robust predictive capabilities of the finetuned model across the </w:t>
      </w:r>
      <w:r w:rsidR="00AF0C25" w:rsidRPr="00AF0C25">
        <w:rPr>
          <w:lang w:eastAsia="zh-CN"/>
        </w:rPr>
        <w:lastRenderedPageBreak/>
        <w:t>four fault types.</w:t>
      </w:r>
      <w:r w:rsidR="00AF0C25">
        <w:rPr>
          <w:lang w:eastAsia="zh-CN"/>
        </w:rPr>
        <w:t xml:space="preserve"> </w:t>
      </w:r>
      <w:r w:rsidR="00123131">
        <w:rPr>
          <w:rFonts w:hint="eastAsia"/>
          <w:lang w:eastAsia="zh-CN"/>
        </w:rPr>
        <w:t>T</w:t>
      </w:r>
      <w:r w:rsidR="00123131">
        <w:rPr>
          <w:lang w:eastAsia="zh-CN"/>
        </w:rPr>
        <w:t>he MAE for short term forecast</w:t>
      </w:r>
      <w:r w:rsidR="00AF0C25">
        <w:rPr>
          <w:lang w:eastAsia="zh-CN"/>
        </w:rPr>
        <w:t>s</w:t>
      </w:r>
      <w:r w:rsidR="00123131">
        <w:rPr>
          <w:lang w:eastAsia="zh-CN"/>
        </w:rPr>
        <w:t xml:space="preserve"> is about less than 0.1, </w:t>
      </w:r>
      <w:r w:rsidR="00AF0C25">
        <w:rPr>
          <w:lang w:eastAsia="zh-CN"/>
        </w:rPr>
        <w:t>while</w:t>
      </w:r>
      <w:r w:rsidR="00123131">
        <w:rPr>
          <w:lang w:eastAsia="zh-CN"/>
        </w:rPr>
        <w:t xml:space="preserve"> for long term forecast</w:t>
      </w:r>
      <w:r w:rsidR="00AF0C25">
        <w:rPr>
          <w:lang w:eastAsia="zh-CN"/>
        </w:rPr>
        <w:t>s</w:t>
      </w:r>
      <w:r w:rsidR="00123131">
        <w:rPr>
          <w:lang w:eastAsia="zh-CN"/>
        </w:rPr>
        <w:t xml:space="preserve"> is </w:t>
      </w:r>
      <w:r w:rsidR="00AF0C25">
        <w:rPr>
          <w:lang w:eastAsia="zh-CN"/>
        </w:rPr>
        <w:t>around</w:t>
      </w:r>
      <w:r w:rsidR="00123131">
        <w:rPr>
          <w:lang w:eastAsia="zh-CN"/>
        </w:rPr>
        <w:t xml:space="preserve"> 0.5.</w:t>
      </w:r>
    </w:p>
    <w:p w14:paraId="3B13C477" w14:textId="3E1CF2B6" w:rsidR="005D7F87" w:rsidRPr="005D7F87" w:rsidRDefault="005D7F87" w:rsidP="005D7F87">
      <w:pPr>
        <w:pStyle w:val="Els-body-text"/>
        <w:jc w:val="center"/>
        <w:rPr>
          <w:sz w:val="18"/>
          <w:szCs w:val="18"/>
          <w:lang w:eastAsia="zh-CN"/>
        </w:rPr>
      </w:pPr>
      <w:r w:rsidRPr="00D117BD">
        <w:rPr>
          <w:sz w:val="18"/>
          <w:szCs w:val="18"/>
          <w:lang w:eastAsia="zh-CN"/>
        </w:rPr>
        <w:t xml:space="preserve">Table. </w:t>
      </w:r>
      <w:r>
        <w:rPr>
          <w:sz w:val="18"/>
          <w:szCs w:val="18"/>
          <w:lang w:eastAsia="zh-CN"/>
        </w:rPr>
        <w:t>2</w:t>
      </w:r>
      <w:r w:rsidRPr="00D117BD">
        <w:rPr>
          <w:sz w:val="18"/>
          <w:szCs w:val="18"/>
          <w:lang w:eastAsia="zh-CN"/>
        </w:rPr>
        <w:t>.</w:t>
      </w:r>
      <w:r w:rsidR="007B253C">
        <w:rPr>
          <w:sz w:val="18"/>
          <w:szCs w:val="18"/>
          <w:lang w:eastAsia="zh-CN"/>
        </w:rPr>
        <w:t xml:space="preserve"> MAE</w:t>
      </w:r>
      <w:r w:rsidRPr="00D117BD">
        <w:rPr>
          <w:sz w:val="18"/>
          <w:szCs w:val="18"/>
          <w:lang w:eastAsia="zh-CN"/>
        </w:rPr>
        <w:t xml:space="preserve"> of </w:t>
      </w:r>
      <w:r w:rsidR="00413D6F">
        <w:rPr>
          <w:sz w:val="18"/>
          <w:szCs w:val="18"/>
          <w:lang w:eastAsia="zh-CN"/>
        </w:rPr>
        <w:t xml:space="preserve">various </w:t>
      </w:r>
      <w:r w:rsidR="007B253C">
        <w:rPr>
          <w:sz w:val="18"/>
          <w:szCs w:val="18"/>
          <w:lang w:eastAsia="zh-CN"/>
        </w:rPr>
        <w:t xml:space="preserve">faults </w:t>
      </w:r>
      <w:r w:rsidR="00134EDC">
        <w:rPr>
          <w:sz w:val="18"/>
          <w:szCs w:val="18"/>
          <w:lang w:eastAsia="zh-CN"/>
        </w:rPr>
        <w:t xml:space="preserve">in different </w:t>
      </w:r>
      <w:r w:rsidR="000818BA">
        <w:rPr>
          <w:sz w:val="18"/>
          <w:szCs w:val="18"/>
          <w:lang w:eastAsia="zh-CN"/>
        </w:rPr>
        <w:t>forecast times</w:t>
      </w:r>
      <w:r w:rsidRPr="00D117BD">
        <w:rPr>
          <w:sz w:val="18"/>
          <w:szCs w:val="18"/>
          <w:lang w:eastAsia="zh-CN"/>
        </w:rPr>
        <w:t>.</w:t>
      </w:r>
    </w:p>
    <w:tbl>
      <w:tblPr>
        <w:tblStyle w:val="af0"/>
        <w:tblW w:w="6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850"/>
        <w:gridCol w:w="850"/>
        <w:gridCol w:w="850"/>
        <w:gridCol w:w="850"/>
        <w:gridCol w:w="850"/>
        <w:gridCol w:w="850"/>
      </w:tblGrid>
      <w:tr w:rsidR="009A4769" w14:paraId="2F3DF887" w14:textId="5E6857BF" w:rsidTr="0099320F">
        <w:trPr>
          <w:trHeight w:val="283"/>
          <w:jc w:val="center"/>
        </w:trPr>
        <w:tc>
          <w:tcPr>
            <w:tcW w:w="1439" w:type="dxa"/>
            <w:tcBorders>
              <w:top w:val="single" w:sz="12" w:space="0" w:color="auto"/>
              <w:bottom w:val="single" w:sz="4" w:space="0" w:color="auto"/>
            </w:tcBorders>
            <w:vAlign w:val="center"/>
          </w:tcPr>
          <w:p w14:paraId="1C0E0E3A" w14:textId="77777777" w:rsidR="009A4769" w:rsidRPr="00206D8D" w:rsidRDefault="009A4769" w:rsidP="009A4769">
            <w:pPr>
              <w:pStyle w:val="Els-body-text"/>
              <w:jc w:val="center"/>
              <w:rPr>
                <w:lang w:eastAsia="zh-CN"/>
              </w:rPr>
            </w:pPr>
            <w:r>
              <w:rPr>
                <w:lang w:eastAsia="zh-CN"/>
              </w:rPr>
              <w:t>F</w:t>
            </w:r>
            <w:r w:rsidRPr="007C3C47">
              <w:rPr>
                <w:lang w:eastAsia="zh-CN"/>
              </w:rPr>
              <w:t>ault Num</w:t>
            </w:r>
            <w:r>
              <w:rPr>
                <w:lang w:eastAsia="zh-CN"/>
              </w:rPr>
              <w:t>ber</w:t>
            </w:r>
          </w:p>
        </w:tc>
        <w:tc>
          <w:tcPr>
            <w:tcW w:w="850" w:type="dxa"/>
            <w:tcBorders>
              <w:top w:val="single" w:sz="12" w:space="0" w:color="auto"/>
              <w:bottom w:val="single" w:sz="4" w:space="0" w:color="auto"/>
            </w:tcBorders>
            <w:vAlign w:val="center"/>
          </w:tcPr>
          <w:p w14:paraId="624481F6" w14:textId="0D4337B6" w:rsidR="009A4769" w:rsidRPr="00206D8D" w:rsidRDefault="009A4769" w:rsidP="009A4769">
            <w:pPr>
              <w:pStyle w:val="Els-body-text"/>
              <w:jc w:val="center"/>
              <w:rPr>
                <w:lang w:eastAsia="zh-CN"/>
              </w:rPr>
            </w:pPr>
            <w:r>
              <w:rPr>
                <w:rFonts w:hint="eastAsia"/>
                <w:lang w:eastAsia="zh-CN"/>
              </w:rPr>
              <w:t>1</w:t>
            </w:r>
          </w:p>
        </w:tc>
        <w:tc>
          <w:tcPr>
            <w:tcW w:w="850" w:type="dxa"/>
            <w:tcBorders>
              <w:top w:val="single" w:sz="12" w:space="0" w:color="auto"/>
              <w:bottom w:val="single" w:sz="4" w:space="0" w:color="auto"/>
            </w:tcBorders>
            <w:vAlign w:val="center"/>
          </w:tcPr>
          <w:p w14:paraId="793AB1BA" w14:textId="79E93DEC" w:rsidR="009A4769" w:rsidRPr="00206D8D" w:rsidRDefault="009A4769" w:rsidP="009A4769">
            <w:pPr>
              <w:pStyle w:val="Els-body-text"/>
              <w:jc w:val="center"/>
              <w:rPr>
                <w:lang w:eastAsia="zh-CN"/>
              </w:rPr>
            </w:pPr>
            <w:r>
              <w:rPr>
                <w:lang w:eastAsia="zh-CN"/>
              </w:rPr>
              <w:t>4</w:t>
            </w:r>
          </w:p>
        </w:tc>
        <w:tc>
          <w:tcPr>
            <w:tcW w:w="850" w:type="dxa"/>
            <w:tcBorders>
              <w:top w:val="single" w:sz="12" w:space="0" w:color="auto"/>
              <w:bottom w:val="single" w:sz="4" w:space="0" w:color="auto"/>
            </w:tcBorders>
            <w:vAlign w:val="center"/>
          </w:tcPr>
          <w:p w14:paraId="5BC113F8" w14:textId="15DA4106" w:rsidR="009A4769" w:rsidRDefault="009A4769" w:rsidP="009A4769">
            <w:pPr>
              <w:pStyle w:val="Els-body-text"/>
              <w:jc w:val="center"/>
              <w:rPr>
                <w:lang w:eastAsia="zh-CN"/>
              </w:rPr>
            </w:pPr>
            <w:r>
              <w:rPr>
                <w:lang w:eastAsia="zh-CN"/>
              </w:rPr>
              <w:t>8</w:t>
            </w:r>
          </w:p>
        </w:tc>
        <w:tc>
          <w:tcPr>
            <w:tcW w:w="850" w:type="dxa"/>
            <w:tcBorders>
              <w:top w:val="single" w:sz="12" w:space="0" w:color="auto"/>
              <w:bottom w:val="single" w:sz="4" w:space="0" w:color="auto"/>
            </w:tcBorders>
            <w:vAlign w:val="center"/>
          </w:tcPr>
          <w:p w14:paraId="19280469" w14:textId="18A0BA22" w:rsidR="009A4769" w:rsidRDefault="009A4769" w:rsidP="009A4769">
            <w:pPr>
              <w:pStyle w:val="Els-body-text"/>
              <w:jc w:val="center"/>
              <w:rPr>
                <w:lang w:eastAsia="zh-CN"/>
              </w:rPr>
            </w:pPr>
            <w:r>
              <w:rPr>
                <w:lang w:eastAsia="zh-CN"/>
              </w:rPr>
              <w:t>16</w:t>
            </w:r>
          </w:p>
        </w:tc>
        <w:tc>
          <w:tcPr>
            <w:tcW w:w="850" w:type="dxa"/>
            <w:tcBorders>
              <w:top w:val="single" w:sz="12" w:space="0" w:color="auto"/>
              <w:bottom w:val="single" w:sz="4" w:space="0" w:color="auto"/>
            </w:tcBorders>
            <w:vAlign w:val="center"/>
          </w:tcPr>
          <w:p w14:paraId="598C9D5D" w14:textId="1DC12466" w:rsidR="009A4769" w:rsidRDefault="009A4769" w:rsidP="009A4769">
            <w:pPr>
              <w:pStyle w:val="Els-body-text"/>
              <w:jc w:val="center"/>
              <w:rPr>
                <w:lang w:eastAsia="zh-CN"/>
              </w:rPr>
            </w:pPr>
            <w:r>
              <w:rPr>
                <w:lang w:eastAsia="zh-CN"/>
              </w:rPr>
              <w:t>32</w:t>
            </w:r>
          </w:p>
        </w:tc>
        <w:tc>
          <w:tcPr>
            <w:tcW w:w="850" w:type="dxa"/>
            <w:tcBorders>
              <w:top w:val="single" w:sz="12" w:space="0" w:color="auto"/>
              <w:bottom w:val="single" w:sz="4" w:space="0" w:color="auto"/>
            </w:tcBorders>
            <w:vAlign w:val="center"/>
          </w:tcPr>
          <w:p w14:paraId="63FB2CBA" w14:textId="2A1044A3" w:rsidR="009A4769" w:rsidRDefault="009A4769" w:rsidP="009A4769">
            <w:pPr>
              <w:pStyle w:val="Els-body-text"/>
              <w:jc w:val="center"/>
              <w:rPr>
                <w:lang w:eastAsia="zh-CN"/>
              </w:rPr>
            </w:pPr>
            <w:r>
              <w:rPr>
                <w:rFonts w:hint="eastAsia"/>
                <w:lang w:eastAsia="zh-CN"/>
              </w:rPr>
              <w:t>6</w:t>
            </w:r>
            <w:r>
              <w:rPr>
                <w:lang w:eastAsia="zh-CN"/>
              </w:rPr>
              <w:t>4</w:t>
            </w:r>
          </w:p>
        </w:tc>
      </w:tr>
      <w:tr w:rsidR="009A4769" w14:paraId="319BAD2F" w14:textId="35EFBC74" w:rsidTr="0099320F">
        <w:trPr>
          <w:trHeight w:val="283"/>
          <w:jc w:val="center"/>
        </w:trPr>
        <w:tc>
          <w:tcPr>
            <w:tcW w:w="1439" w:type="dxa"/>
            <w:vAlign w:val="center"/>
          </w:tcPr>
          <w:p w14:paraId="2E6ABE47" w14:textId="77777777" w:rsidR="009A4769" w:rsidRDefault="009A4769" w:rsidP="009A4769">
            <w:pPr>
              <w:pStyle w:val="Els-body-text"/>
              <w:jc w:val="center"/>
              <w:rPr>
                <w:lang w:eastAsia="zh-CN"/>
              </w:rPr>
            </w:pPr>
            <w:r>
              <w:rPr>
                <w:rFonts w:hint="eastAsia"/>
                <w:lang w:eastAsia="zh-CN"/>
              </w:rPr>
              <w:t>8</w:t>
            </w:r>
          </w:p>
        </w:tc>
        <w:tc>
          <w:tcPr>
            <w:tcW w:w="850" w:type="dxa"/>
            <w:vAlign w:val="center"/>
          </w:tcPr>
          <w:p w14:paraId="50126330" w14:textId="287E01E8" w:rsidR="009A4769" w:rsidRPr="00206D8D" w:rsidRDefault="00100A4C" w:rsidP="009A4769">
            <w:pPr>
              <w:pStyle w:val="Els-body-text"/>
              <w:jc w:val="center"/>
              <w:rPr>
                <w:lang w:eastAsia="zh-CN"/>
              </w:rPr>
            </w:pPr>
            <w:r>
              <w:rPr>
                <w:rFonts w:hint="eastAsia"/>
                <w:lang w:eastAsia="zh-CN"/>
              </w:rPr>
              <w:t>0</w:t>
            </w:r>
            <w:r>
              <w:rPr>
                <w:lang w:eastAsia="zh-CN"/>
              </w:rPr>
              <w:t>.01</w:t>
            </w:r>
            <w:r w:rsidR="00F557B9">
              <w:rPr>
                <w:lang w:eastAsia="zh-CN"/>
              </w:rPr>
              <w:t>4</w:t>
            </w:r>
          </w:p>
        </w:tc>
        <w:tc>
          <w:tcPr>
            <w:tcW w:w="850" w:type="dxa"/>
            <w:vAlign w:val="center"/>
          </w:tcPr>
          <w:p w14:paraId="6C740785" w14:textId="4D392F3E" w:rsidR="009A4769" w:rsidRPr="00206D8D" w:rsidRDefault="00F557B9" w:rsidP="009A4769">
            <w:pPr>
              <w:pStyle w:val="Els-body-text"/>
              <w:jc w:val="center"/>
              <w:rPr>
                <w:lang w:eastAsia="zh-CN"/>
              </w:rPr>
            </w:pPr>
            <w:r>
              <w:rPr>
                <w:lang w:eastAsia="zh-CN"/>
              </w:rPr>
              <w:t>0.052</w:t>
            </w:r>
          </w:p>
        </w:tc>
        <w:tc>
          <w:tcPr>
            <w:tcW w:w="850" w:type="dxa"/>
            <w:vAlign w:val="center"/>
          </w:tcPr>
          <w:p w14:paraId="3A51666A" w14:textId="778FAAE8" w:rsidR="009A4769" w:rsidRPr="00206D8D" w:rsidRDefault="00F557B9" w:rsidP="009A4769">
            <w:pPr>
              <w:pStyle w:val="Els-body-text"/>
              <w:jc w:val="center"/>
              <w:rPr>
                <w:lang w:eastAsia="zh-CN"/>
              </w:rPr>
            </w:pPr>
            <w:r>
              <w:rPr>
                <w:lang w:eastAsia="zh-CN"/>
              </w:rPr>
              <w:t>0.163</w:t>
            </w:r>
          </w:p>
        </w:tc>
        <w:tc>
          <w:tcPr>
            <w:tcW w:w="850" w:type="dxa"/>
            <w:vAlign w:val="center"/>
          </w:tcPr>
          <w:p w14:paraId="5FD2B5F7" w14:textId="2B6ABAA5" w:rsidR="009A4769" w:rsidRPr="00206D8D" w:rsidRDefault="00F557B9" w:rsidP="009A4769">
            <w:pPr>
              <w:pStyle w:val="Els-body-text"/>
              <w:jc w:val="center"/>
              <w:rPr>
                <w:lang w:eastAsia="zh-CN"/>
              </w:rPr>
            </w:pPr>
            <w:r>
              <w:rPr>
                <w:lang w:eastAsia="zh-CN"/>
              </w:rPr>
              <w:t>0.412</w:t>
            </w:r>
          </w:p>
        </w:tc>
        <w:tc>
          <w:tcPr>
            <w:tcW w:w="850" w:type="dxa"/>
            <w:vAlign w:val="center"/>
          </w:tcPr>
          <w:p w14:paraId="2FE0B77B" w14:textId="79DD957F" w:rsidR="009A4769" w:rsidRPr="00206D8D" w:rsidRDefault="00F557B9" w:rsidP="009A4769">
            <w:pPr>
              <w:pStyle w:val="Els-body-text"/>
              <w:jc w:val="center"/>
              <w:rPr>
                <w:lang w:eastAsia="zh-CN"/>
              </w:rPr>
            </w:pPr>
            <w:r>
              <w:rPr>
                <w:lang w:eastAsia="zh-CN"/>
              </w:rPr>
              <w:t>0.256</w:t>
            </w:r>
          </w:p>
        </w:tc>
        <w:tc>
          <w:tcPr>
            <w:tcW w:w="850" w:type="dxa"/>
            <w:vAlign w:val="center"/>
          </w:tcPr>
          <w:p w14:paraId="491D82A9" w14:textId="334EBC41" w:rsidR="009A4769" w:rsidRPr="00206D8D" w:rsidRDefault="00F557B9" w:rsidP="009A4769">
            <w:pPr>
              <w:pStyle w:val="Els-body-text"/>
              <w:jc w:val="center"/>
              <w:rPr>
                <w:lang w:eastAsia="zh-CN"/>
              </w:rPr>
            </w:pPr>
            <w:r>
              <w:rPr>
                <w:lang w:eastAsia="zh-CN"/>
              </w:rPr>
              <w:t>0.505</w:t>
            </w:r>
          </w:p>
        </w:tc>
      </w:tr>
      <w:tr w:rsidR="009A4769" w14:paraId="6F8A425C" w14:textId="0C2A630B" w:rsidTr="0099320F">
        <w:trPr>
          <w:trHeight w:val="283"/>
          <w:jc w:val="center"/>
        </w:trPr>
        <w:tc>
          <w:tcPr>
            <w:tcW w:w="1439" w:type="dxa"/>
            <w:vAlign w:val="center"/>
          </w:tcPr>
          <w:p w14:paraId="3C4F9F7E" w14:textId="77777777" w:rsidR="009A4769" w:rsidRDefault="009A4769" w:rsidP="009A4769">
            <w:pPr>
              <w:pStyle w:val="Els-body-text"/>
              <w:jc w:val="center"/>
              <w:rPr>
                <w:lang w:eastAsia="zh-CN"/>
              </w:rPr>
            </w:pPr>
            <w:r>
              <w:rPr>
                <w:rFonts w:hint="eastAsia"/>
                <w:lang w:eastAsia="zh-CN"/>
              </w:rPr>
              <w:t>9</w:t>
            </w:r>
          </w:p>
        </w:tc>
        <w:tc>
          <w:tcPr>
            <w:tcW w:w="850" w:type="dxa"/>
            <w:vAlign w:val="center"/>
          </w:tcPr>
          <w:p w14:paraId="55A6802F" w14:textId="1003ACB9" w:rsidR="009A4769" w:rsidRPr="00206D8D" w:rsidRDefault="00100A4C" w:rsidP="009A4769">
            <w:pPr>
              <w:pStyle w:val="Els-body-text"/>
              <w:jc w:val="center"/>
              <w:rPr>
                <w:lang w:eastAsia="zh-CN"/>
              </w:rPr>
            </w:pPr>
            <w:r>
              <w:rPr>
                <w:rFonts w:hint="eastAsia"/>
                <w:lang w:eastAsia="zh-CN"/>
              </w:rPr>
              <w:t>0</w:t>
            </w:r>
            <w:r>
              <w:rPr>
                <w:lang w:eastAsia="zh-CN"/>
              </w:rPr>
              <w:t>.0</w:t>
            </w:r>
            <w:r w:rsidR="00AC3375">
              <w:rPr>
                <w:lang w:eastAsia="zh-CN"/>
              </w:rPr>
              <w:t>06</w:t>
            </w:r>
          </w:p>
        </w:tc>
        <w:tc>
          <w:tcPr>
            <w:tcW w:w="850" w:type="dxa"/>
            <w:vAlign w:val="center"/>
          </w:tcPr>
          <w:p w14:paraId="6F907BFD" w14:textId="3955715F" w:rsidR="009A4769" w:rsidRPr="00206D8D" w:rsidRDefault="00100A4C" w:rsidP="009A4769">
            <w:pPr>
              <w:pStyle w:val="Els-body-text"/>
              <w:jc w:val="center"/>
              <w:rPr>
                <w:lang w:eastAsia="zh-CN"/>
              </w:rPr>
            </w:pPr>
            <w:r>
              <w:rPr>
                <w:rFonts w:hint="eastAsia"/>
                <w:lang w:eastAsia="zh-CN"/>
              </w:rPr>
              <w:t>0</w:t>
            </w:r>
            <w:r>
              <w:rPr>
                <w:lang w:eastAsia="zh-CN"/>
              </w:rPr>
              <w:t>.0</w:t>
            </w:r>
            <w:r w:rsidR="00AC3375">
              <w:rPr>
                <w:lang w:eastAsia="zh-CN"/>
              </w:rPr>
              <w:t>27</w:t>
            </w:r>
          </w:p>
        </w:tc>
        <w:tc>
          <w:tcPr>
            <w:tcW w:w="850" w:type="dxa"/>
            <w:vAlign w:val="center"/>
          </w:tcPr>
          <w:p w14:paraId="14F18EDA" w14:textId="74A3E06F" w:rsidR="009A4769" w:rsidRPr="00206D8D" w:rsidRDefault="00100A4C" w:rsidP="009A4769">
            <w:pPr>
              <w:pStyle w:val="Els-body-text"/>
              <w:jc w:val="center"/>
              <w:rPr>
                <w:lang w:eastAsia="zh-CN"/>
              </w:rPr>
            </w:pPr>
            <w:r>
              <w:rPr>
                <w:rFonts w:hint="eastAsia"/>
                <w:lang w:eastAsia="zh-CN"/>
              </w:rPr>
              <w:t>0</w:t>
            </w:r>
            <w:r>
              <w:rPr>
                <w:lang w:eastAsia="zh-CN"/>
              </w:rPr>
              <w:t>.122</w:t>
            </w:r>
          </w:p>
        </w:tc>
        <w:tc>
          <w:tcPr>
            <w:tcW w:w="850" w:type="dxa"/>
            <w:vAlign w:val="center"/>
          </w:tcPr>
          <w:p w14:paraId="1201F114" w14:textId="0209D283" w:rsidR="009A4769" w:rsidRPr="00206D8D" w:rsidRDefault="00100A4C" w:rsidP="009A4769">
            <w:pPr>
              <w:pStyle w:val="Els-body-text"/>
              <w:jc w:val="center"/>
              <w:rPr>
                <w:lang w:eastAsia="zh-CN"/>
              </w:rPr>
            </w:pPr>
            <w:r>
              <w:rPr>
                <w:rFonts w:hint="eastAsia"/>
                <w:lang w:eastAsia="zh-CN"/>
              </w:rPr>
              <w:t>0</w:t>
            </w:r>
            <w:r>
              <w:rPr>
                <w:lang w:eastAsia="zh-CN"/>
              </w:rPr>
              <w:t>.458</w:t>
            </w:r>
          </w:p>
        </w:tc>
        <w:tc>
          <w:tcPr>
            <w:tcW w:w="850" w:type="dxa"/>
            <w:vAlign w:val="center"/>
          </w:tcPr>
          <w:p w14:paraId="1E2F5D18" w14:textId="30974C88" w:rsidR="009A4769" w:rsidRPr="00206D8D" w:rsidRDefault="00100A4C" w:rsidP="009A4769">
            <w:pPr>
              <w:pStyle w:val="Els-body-text"/>
              <w:jc w:val="center"/>
              <w:rPr>
                <w:lang w:eastAsia="zh-CN"/>
              </w:rPr>
            </w:pPr>
            <w:r>
              <w:rPr>
                <w:rFonts w:hint="eastAsia"/>
                <w:lang w:eastAsia="zh-CN"/>
              </w:rPr>
              <w:t>0</w:t>
            </w:r>
            <w:r>
              <w:rPr>
                <w:lang w:eastAsia="zh-CN"/>
              </w:rPr>
              <w:t>.260</w:t>
            </w:r>
          </w:p>
        </w:tc>
        <w:tc>
          <w:tcPr>
            <w:tcW w:w="850" w:type="dxa"/>
            <w:vAlign w:val="center"/>
          </w:tcPr>
          <w:p w14:paraId="512641B6" w14:textId="7B02EC02" w:rsidR="009A4769" w:rsidRPr="00206D8D" w:rsidRDefault="00100A4C" w:rsidP="009A4769">
            <w:pPr>
              <w:pStyle w:val="Els-body-text"/>
              <w:jc w:val="center"/>
              <w:rPr>
                <w:lang w:eastAsia="zh-CN"/>
              </w:rPr>
            </w:pPr>
            <w:r>
              <w:rPr>
                <w:rFonts w:hint="eastAsia"/>
                <w:lang w:eastAsia="zh-CN"/>
              </w:rPr>
              <w:t>0</w:t>
            </w:r>
            <w:r>
              <w:rPr>
                <w:lang w:eastAsia="zh-CN"/>
              </w:rPr>
              <w:t>.461</w:t>
            </w:r>
          </w:p>
        </w:tc>
      </w:tr>
      <w:tr w:rsidR="009A4769" w14:paraId="444ABE93" w14:textId="43B3BD1B" w:rsidTr="0099320F">
        <w:trPr>
          <w:trHeight w:val="283"/>
          <w:jc w:val="center"/>
        </w:trPr>
        <w:tc>
          <w:tcPr>
            <w:tcW w:w="1439" w:type="dxa"/>
            <w:vAlign w:val="center"/>
          </w:tcPr>
          <w:p w14:paraId="2620C92C" w14:textId="77777777" w:rsidR="009A4769" w:rsidRDefault="009A4769" w:rsidP="009A4769">
            <w:pPr>
              <w:pStyle w:val="Els-body-text"/>
              <w:jc w:val="center"/>
              <w:rPr>
                <w:lang w:eastAsia="zh-CN"/>
              </w:rPr>
            </w:pPr>
            <w:r>
              <w:rPr>
                <w:rFonts w:hint="eastAsia"/>
                <w:lang w:eastAsia="zh-CN"/>
              </w:rPr>
              <w:t>1</w:t>
            </w:r>
            <w:r>
              <w:rPr>
                <w:lang w:eastAsia="zh-CN"/>
              </w:rPr>
              <w:t>0</w:t>
            </w:r>
          </w:p>
        </w:tc>
        <w:tc>
          <w:tcPr>
            <w:tcW w:w="850" w:type="dxa"/>
            <w:vAlign w:val="center"/>
          </w:tcPr>
          <w:p w14:paraId="52D2594D" w14:textId="4BCFB700" w:rsidR="009A4769" w:rsidRPr="00206D8D" w:rsidRDefault="00100A4C" w:rsidP="009A4769">
            <w:pPr>
              <w:pStyle w:val="Els-body-text"/>
              <w:jc w:val="center"/>
              <w:rPr>
                <w:lang w:eastAsia="zh-CN"/>
              </w:rPr>
            </w:pPr>
            <w:r>
              <w:rPr>
                <w:rFonts w:hint="eastAsia"/>
                <w:lang w:eastAsia="zh-CN"/>
              </w:rPr>
              <w:t>0</w:t>
            </w:r>
            <w:r>
              <w:rPr>
                <w:lang w:eastAsia="zh-CN"/>
              </w:rPr>
              <w:t>.007</w:t>
            </w:r>
          </w:p>
        </w:tc>
        <w:tc>
          <w:tcPr>
            <w:tcW w:w="850" w:type="dxa"/>
            <w:vAlign w:val="center"/>
          </w:tcPr>
          <w:p w14:paraId="6AB8C147" w14:textId="223CBA96" w:rsidR="009A4769" w:rsidRPr="00206D8D" w:rsidRDefault="00100A4C" w:rsidP="009A4769">
            <w:pPr>
              <w:pStyle w:val="Els-body-text"/>
              <w:jc w:val="center"/>
              <w:rPr>
                <w:lang w:eastAsia="zh-CN"/>
              </w:rPr>
            </w:pPr>
            <w:r>
              <w:rPr>
                <w:rFonts w:hint="eastAsia"/>
                <w:lang w:eastAsia="zh-CN"/>
              </w:rPr>
              <w:t>0</w:t>
            </w:r>
            <w:r>
              <w:rPr>
                <w:lang w:eastAsia="zh-CN"/>
              </w:rPr>
              <w:t>.025</w:t>
            </w:r>
          </w:p>
        </w:tc>
        <w:tc>
          <w:tcPr>
            <w:tcW w:w="850" w:type="dxa"/>
            <w:vAlign w:val="center"/>
          </w:tcPr>
          <w:p w14:paraId="4CDBA69F" w14:textId="6ED5E49A" w:rsidR="009A4769" w:rsidRPr="00206D8D" w:rsidRDefault="00100A4C" w:rsidP="009A4769">
            <w:pPr>
              <w:pStyle w:val="Els-body-text"/>
              <w:jc w:val="center"/>
              <w:rPr>
                <w:lang w:eastAsia="zh-CN"/>
              </w:rPr>
            </w:pPr>
            <w:r>
              <w:rPr>
                <w:rFonts w:hint="eastAsia"/>
                <w:lang w:eastAsia="zh-CN"/>
              </w:rPr>
              <w:t>0</w:t>
            </w:r>
            <w:r>
              <w:rPr>
                <w:lang w:eastAsia="zh-CN"/>
              </w:rPr>
              <w:t>.068</w:t>
            </w:r>
          </w:p>
        </w:tc>
        <w:tc>
          <w:tcPr>
            <w:tcW w:w="850" w:type="dxa"/>
            <w:vAlign w:val="center"/>
          </w:tcPr>
          <w:p w14:paraId="2193F5D5" w14:textId="779F63B5" w:rsidR="009A4769" w:rsidRPr="00206D8D" w:rsidRDefault="00100A4C" w:rsidP="009A4769">
            <w:pPr>
              <w:pStyle w:val="Els-body-text"/>
              <w:jc w:val="center"/>
              <w:rPr>
                <w:lang w:eastAsia="zh-CN"/>
              </w:rPr>
            </w:pPr>
            <w:r>
              <w:rPr>
                <w:rFonts w:hint="eastAsia"/>
                <w:lang w:eastAsia="zh-CN"/>
              </w:rPr>
              <w:t>0</w:t>
            </w:r>
            <w:r>
              <w:rPr>
                <w:lang w:eastAsia="zh-CN"/>
              </w:rPr>
              <w:t>.279</w:t>
            </w:r>
          </w:p>
        </w:tc>
        <w:tc>
          <w:tcPr>
            <w:tcW w:w="850" w:type="dxa"/>
            <w:vAlign w:val="center"/>
          </w:tcPr>
          <w:p w14:paraId="6C8509C7" w14:textId="6C7DAA60" w:rsidR="009A4769" w:rsidRPr="00206D8D" w:rsidRDefault="00100A4C" w:rsidP="009A4769">
            <w:pPr>
              <w:pStyle w:val="Els-body-text"/>
              <w:jc w:val="center"/>
              <w:rPr>
                <w:lang w:eastAsia="zh-CN"/>
              </w:rPr>
            </w:pPr>
            <w:r>
              <w:rPr>
                <w:rFonts w:hint="eastAsia"/>
                <w:lang w:eastAsia="zh-CN"/>
              </w:rPr>
              <w:t>0</w:t>
            </w:r>
            <w:r>
              <w:rPr>
                <w:lang w:eastAsia="zh-CN"/>
              </w:rPr>
              <w:t>.258</w:t>
            </w:r>
          </w:p>
        </w:tc>
        <w:tc>
          <w:tcPr>
            <w:tcW w:w="850" w:type="dxa"/>
            <w:vAlign w:val="center"/>
          </w:tcPr>
          <w:p w14:paraId="616A946A" w14:textId="5FA7F835" w:rsidR="009A4769" w:rsidRPr="00206D8D" w:rsidRDefault="00100A4C" w:rsidP="009A4769">
            <w:pPr>
              <w:pStyle w:val="Els-body-text"/>
              <w:jc w:val="center"/>
              <w:rPr>
                <w:lang w:eastAsia="zh-CN"/>
              </w:rPr>
            </w:pPr>
            <w:r>
              <w:rPr>
                <w:rFonts w:hint="eastAsia"/>
                <w:lang w:eastAsia="zh-CN"/>
              </w:rPr>
              <w:t>0</w:t>
            </w:r>
            <w:r>
              <w:rPr>
                <w:lang w:eastAsia="zh-CN"/>
              </w:rPr>
              <w:t>.461</w:t>
            </w:r>
          </w:p>
        </w:tc>
      </w:tr>
      <w:tr w:rsidR="009A4769" w14:paraId="0F3DE76B" w14:textId="50CC9E05" w:rsidTr="0099320F">
        <w:trPr>
          <w:trHeight w:val="283"/>
          <w:jc w:val="center"/>
        </w:trPr>
        <w:tc>
          <w:tcPr>
            <w:tcW w:w="1439" w:type="dxa"/>
            <w:tcBorders>
              <w:bottom w:val="single" w:sz="12" w:space="0" w:color="auto"/>
            </w:tcBorders>
            <w:vAlign w:val="center"/>
          </w:tcPr>
          <w:p w14:paraId="6010D4CF" w14:textId="77777777" w:rsidR="009A4769" w:rsidRDefault="009A4769" w:rsidP="009A4769">
            <w:pPr>
              <w:pStyle w:val="Els-body-text"/>
              <w:jc w:val="center"/>
              <w:rPr>
                <w:lang w:eastAsia="zh-CN"/>
              </w:rPr>
            </w:pPr>
            <w:r>
              <w:rPr>
                <w:rFonts w:hint="eastAsia"/>
                <w:lang w:eastAsia="zh-CN"/>
              </w:rPr>
              <w:t>1</w:t>
            </w:r>
            <w:r>
              <w:rPr>
                <w:lang w:eastAsia="zh-CN"/>
              </w:rPr>
              <w:t>3</w:t>
            </w:r>
          </w:p>
        </w:tc>
        <w:tc>
          <w:tcPr>
            <w:tcW w:w="850" w:type="dxa"/>
            <w:tcBorders>
              <w:bottom w:val="single" w:sz="12" w:space="0" w:color="auto"/>
            </w:tcBorders>
            <w:vAlign w:val="center"/>
          </w:tcPr>
          <w:p w14:paraId="00C0F121" w14:textId="2FD2DB53" w:rsidR="009A4769" w:rsidRPr="00206D8D" w:rsidRDefault="00100A4C" w:rsidP="009A4769">
            <w:pPr>
              <w:pStyle w:val="Els-body-text"/>
              <w:jc w:val="center"/>
              <w:rPr>
                <w:lang w:eastAsia="zh-CN"/>
              </w:rPr>
            </w:pPr>
            <w:r>
              <w:rPr>
                <w:rFonts w:hint="eastAsia"/>
                <w:lang w:eastAsia="zh-CN"/>
              </w:rPr>
              <w:t>0</w:t>
            </w:r>
            <w:r>
              <w:rPr>
                <w:lang w:eastAsia="zh-CN"/>
              </w:rPr>
              <w:t>.009</w:t>
            </w:r>
          </w:p>
        </w:tc>
        <w:tc>
          <w:tcPr>
            <w:tcW w:w="850" w:type="dxa"/>
            <w:tcBorders>
              <w:bottom w:val="single" w:sz="12" w:space="0" w:color="auto"/>
            </w:tcBorders>
            <w:vAlign w:val="center"/>
          </w:tcPr>
          <w:p w14:paraId="04EF2FFF" w14:textId="7DB6CAAF" w:rsidR="009A4769" w:rsidRPr="00206D8D" w:rsidRDefault="00100A4C" w:rsidP="009A4769">
            <w:pPr>
              <w:pStyle w:val="Els-body-text"/>
              <w:jc w:val="center"/>
              <w:rPr>
                <w:lang w:eastAsia="zh-CN"/>
              </w:rPr>
            </w:pPr>
            <w:r>
              <w:rPr>
                <w:rFonts w:hint="eastAsia"/>
                <w:lang w:eastAsia="zh-CN"/>
              </w:rPr>
              <w:t>0</w:t>
            </w:r>
            <w:r>
              <w:rPr>
                <w:lang w:eastAsia="zh-CN"/>
              </w:rPr>
              <w:t>.028</w:t>
            </w:r>
          </w:p>
        </w:tc>
        <w:tc>
          <w:tcPr>
            <w:tcW w:w="850" w:type="dxa"/>
            <w:tcBorders>
              <w:bottom w:val="single" w:sz="12" w:space="0" w:color="auto"/>
            </w:tcBorders>
            <w:vAlign w:val="center"/>
          </w:tcPr>
          <w:p w14:paraId="6710F52B" w14:textId="4413AFD5" w:rsidR="009A4769" w:rsidRPr="00206D8D" w:rsidRDefault="00100A4C" w:rsidP="009A4769">
            <w:pPr>
              <w:pStyle w:val="Els-body-text"/>
              <w:jc w:val="center"/>
              <w:rPr>
                <w:lang w:eastAsia="zh-CN"/>
              </w:rPr>
            </w:pPr>
            <w:r>
              <w:rPr>
                <w:rFonts w:hint="eastAsia"/>
                <w:lang w:eastAsia="zh-CN"/>
              </w:rPr>
              <w:t>0</w:t>
            </w:r>
            <w:r>
              <w:rPr>
                <w:lang w:eastAsia="zh-CN"/>
              </w:rPr>
              <w:t>.076</w:t>
            </w:r>
          </w:p>
        </w:tc>
        <w:tc>
          <w:tcPr>
            <w:tcW w:w="850" w:type="dxa"/>
            <w:tcBorders>
              <w:bottom w:val="single" w:sz="12" w:space="0" w:color="auto"/>
            </w:tcBorders>
            <w:vAlign w:val="center"/>
          </w:tcPr>
          <w:p w14:paraId="109A6C6A" w14:textId="3DA96754" w:rsidR="009A4769" w:rsidRPr="00206D8D" w:rsidRDefault="00100A4C" w:rsidP="009A4769">
            <w:pPr>
              <w:pStyle w:val="Els-body-text"/>
              <w:jc w:val="center"/>
              <w:rPr>
                <w:lang w:eastAsia="zh-CN"/>
              </w:rPr>
            </w:pPr>
            <w:r>
              <w:rPr>
                <w:rFonts w:hint="eastAsia"/>
                <w:lang w:eastAsia="zh-CN"/>
              </w:rPr>
              <w:t>0</w:t>
            </w:r>
            <w:r>
              <w:rPr>
                <w:lang w:eastAsia="zh-CN"/>
              </w:rPr>
              <w:t>.331</w:t>
            </w:r>
          </w:p>
        </w:tc>
        <w:tc>
          <w:tcPr>
            <w:tcW w:w="850" w:type="dxa"/>
            <w:tcBorders>
              <w:bottom w:val="single" w:sz="12" w:space="0" w:color="auto"/>
            </w:tcBorders>
            <w:vAlign w:val="center"/>
          </w:tcPr>
          <w:p w14:paraId="755852E2" w14:textId="6A9B193F" w:rsidR="009A4769" w:rsidRPr="00206D8D" w:rsidRDefault="00100A4C" w:rsidP="009A4769">
            <w:pPr>
              <w:pStyle w:val="Els-body-text"/>
              <w:jc w:val="center"/>
              <w:rPr>
                <w:lang w:eastAsia="zh-CN"/>
              </w:rPr>
            </w:pPr>
            <w:r>
              <w:rPr>
                <w:rFonts w:hint="eastAsia"/>
                <w:lang w:eastAsia="zh-CN"/>
              </w:rPr>
              <w:t>0</w:t>
            </w:r>
            <w:r>
              <w:rPr>
                <w:lang w:eastAsia="zh-CN"/>
              </w:rPr>
              <w:t>.230</w:t>
            </w:r>
          </w:p>
        </w:tc>
        <w:tc>
          <w:tcPr>
            <w:tcW w:w="850" w:type="dxa"/>
            <w:tcBorders>
              <w:bottom w:val="single" w:sz="12" w:space="0" w:color="auto"/>
            </w:tcBorders>
            <w:vAlign w:val="center"/>
          </w:tcPr>
          <w:p w14:paraId="54D6F4CA" w14:textId="4245FEC5" w:rsidR="009A4769" w:rsidRPr="00206D8D" w:rsidRDefault="00100A4C" w:rsidP="009A4769">
            <w:pPr>
              <w:pStyle w:val="Els-body-text"/>
              <w:jc w:val="center"/>
              <w:rPr>
                <w:lang w:eastAsia="zh-CN"/>
              </w:rPr>
            </w:pPr>
            <w:r>
              <w:rPr>
                <w:rFonts w:hint="eastAsia"/>
                <w:lang w:eastAsia="zh-CN"/>
              </w:rPr>
              <w:t>0</w:t>
            </w:r>
            <w:r>
              <w:rPr>
                <w:lang w:eastAsia="zh-CN"/>
              </w:rPr>
              <w:t>.533</w:t>
            </w:r>
          </w:p>
        </w:tc>
      </w:tr>
    </w:tbl>
    <w:p w14:paraId="144DE6AE" w14:textId="52050B59" w:rsidR="008D2649" w:rsidRPr="00A94774" w:rsidRDefault="009A6F70" w:rsidP="008D2649">
      <w:pPr>
        <w:pStyle w:val="Els-1storder-head"/>
        <w:spacing w:after="120"/>
        <w:rPr>
          <w:lang w:val="en-GB"/>
        </w:rPr>
      </w:pPr>
      <w:r>
        <w:rPr>
          <w:lang w:val="en-GB"/>
        </w:rPr>
        <w:t>Summary</w:t>
      </w:r>
    </w:p>
    <w:p w14:paraId="38CF8B2B" w14:textId="0D1AC020" w:rsidR="002046B7" w:rsidRPr="002046B7" w:rsidRDefault="00EB3E92" w:rsidP="008D2649">
      <w:pPr>
        <w:pStyle w:val="Els-body-text"/>
        <w:spacing w:after="120"/>
        <w:rPr>
          <w:lang w:eastAsia="zh-CN"/>
        </w:rPr>
      </w:pPr>
      <w:r>
        <w:rPr>
          <w:lang w:val="en-GB"/>
        </w:rPr>
        <w:t xml:space="preserve">In the </w:t>
      </w:r>
      <w:r>
        <w:t xml:space="preserve">article, we proposed </w:t>
      </w:r>
      <w:r w:rsidRPr="00FA08B4">
        <w:rPr>
          <w:lang w:eastAsia="zh-CN"/>
        </w:rPr>
        <w:t>a pre-train and fine-tune paradigm of fault detection and fault prognosis for chemical process</w:t>
      </w:r>
      <w:r>
        <w:rPr>
          <w:lang w:eastAsia="zh-CN"/>
        </w:rPr>
        <w:t>.</w:t>
      </w:r>
      <w:r w:rsidR="00594B6D" w:rsidRPr="00594B6D">
        <w:t xml:space="preserve"> </w:t>
      </w:r>
      <w:r w:rsidR="00594B6D" w:rsidRPr="00594B6D">
        <w:rPr>
          <w:lang w:eastAsia="zh-CN"/>
        </w:rPr>
        <w:t xml:space="preserve">This </w:t>
      </w:r>
      <w:r w:rsidR="00594B6D">
        <w:rPr>
          <w:lang w:eastAsia="zh-CN"/>
        </w:rPr>
        <w:t xml:space="preserve">proposed </w:t>
      </w:r>
      <w:r w:rsidR="00594B6D" w:rsidRPr="00594B6D">
        <w:rPr>
          <w:lang w:eastAsia="zh-CN"/>
        </w:rPr>
        <w:t>paradigm exhibited validity and efficacy in both fault detection and fault prognosis across the</w:t>
      </w:r>
      <w:r w:rsidR="00594B6D">
        <w:rPr>
          <w:lang w:eastAsia="zh-CN"/>
        </w:rPr>
        <w:t xml:space="preserve"> TEP.</w:t>
      </w:r>
      <w:r w:rsidR="002B57ED">
        <w:rPr>
          <w:lang w:eastAsia="zh-CN"/>
        </w:rPr>
        <w:t xml:space="preserve"> </w:t>
      </w:r>
      <w:r w:rsidR="000139C0" w:rsidRPr="000139C0">
        <w:rPr>
          <w:lang w:eastAsia="zh-CN"/>
        </w:rPr>
        <w:t xml:space="preserve">Additionally, the capacity to finetune </w:t>
      </w:r>
      <w:r w:rsidR="00E96121">
        <w:rPr>
          <w:lang w:eastAsia="zh-CN"/>
        </w:rPr>
        <w:t>the same</w:t>
      </w:r>
      <w:r w:rsidR="000139C0" w:rsidRPr="000139C0">
        <w:rPr>
          <w:lang w:eastAsia="zh-CN"/>
        </w:rPr>
        <w:t xml:space="preserve"> pretrained model for </w:t>
      </w:r>
      <w:r w:rsidR="0088314B">
        <w:rPr>
          <w:lang w:eastAsia="zh-CN"/>
        </w:rPr>
        <w:t xml:space="preserve">different </w:t>
      </w:r>
      <w:r w:rsidR="000139C0" w:rsidRPr="000139C0">
        <w:rPr>
          <w:lang w:eastAsia="zh-CN"/>
        </w:rPr>
        <w:t>process monitoring tasks related to various fault types suggests considerable potential for conserving computational resources and time.</w:t>
      </w:r>
      <w:r w:rsidR="000139C0">
        <w:rPr>
          <w:lang w:eastAsia="zh-CN"/>
        </w:rPr>
        <w:t xml:space="preserve"> </w:t>
      </w:r>
      <w:r w:rsidR="00B94CC8" w:rsidRPr="00B94CC8">
        <w:rPr>
          <w:lang w:eastAsia="zh-CN"/>
        </w:rPr>
        <w:t xml:space="preserve">In the future, </w:t>
      </w:r>
      <w:r w:rsidR="0099320F" w:rsidRPr="0099320F">
        <w:rPr>
          <w:lang w:eastAsia="zh-CN"/>
        </w:rPr>
        <w:t>the widespread application of pretrained models within process monitoring systems and their utilization across real industrial datasets presents an open field replete with several unresolved challenges demanding attention.</w:t>
      </w:r>
    </w:p>
    <w:p w14:paraId="144DE6BF" w14:textId="608D0AD6" w:rsidR="008D2649" w:rsidRDefault="008D2649" w:rsidP="008D2649">
      <w:pPr>
        <w:pStyle w:val="Els-reference-head"/>
      </w:pPr>
      <w:r>
        <w:t>References</w:t>
      </w:r>
    </w:p>
    <w:p w14:paraId="3341E40C" w14:textId="0C1996C3" w:rsidR="00F97F4B" w:rsidRPr="00F97F4B" w:rsidRDefault="007D4925" w:rsidP="00AA0E54">
      <w:pPr>
        <w:pStyle w:val="af"/>
        <w:jc w:val="both"/>
        <w:rPr>
          <w:sz w:val="18"/>
        </w:rPr>
      </w:pPr>
      <w:r>
        <w:rPr>
          <w:lang w:val="en-US"/>
        </w:rPr>
        <w:fldChar w:fldCharType="begin"/>
      </w:r>
      <w:r w:rsidR="00F97F4B">
        <w:rPr>
          <w:lang w:val="en-US"/>
        </w:rPr>
        <w:instrText xml:space="preserve"> ADDIN ZOTERO_BIBL {"uncited":[],"omitted":[],"custom":[]} CSL_BIBLIOGRAPHY </w:instrText>
      </w:r>
      <w:r>
        <w:rPr>
          <w:lang w:val="en-US"/>
        </w:rPr>
        <w:fldChar w:fldCharType="separate"/>
      </w:r>
      <w:r w:rsidR="00F97F4B" w:rsidRPr="00F97F4B">
        <w:rPr>
          <w:sz w:val="18"/>
        </w:rPr>
        <w:t xml:space="preserve">Bai, Yiming, and Jinsong Zhao. 2023a. “A Novel Transformer-Based Multi-Variable Multi-Step Prediction Method for Chemical Process Fault Prognosis.” </w:t>
      </w:r>
      <w:r w:rsidR="00F97F4B" w:rsidRPr="00F97F4B">
        <w:rPr>
          <w:i/>
          <w:iCs/>
          <w:sz w:val="18"/>
        </w:rPr>
        <w:t>Process Safety and Environmental Protection</w:t>
      </w:r>
      <w:r w:rsidR="00F97F4B" w:rsidRPr="00F97F4B">
        <w:rPr>
          <w:sz w:val="18"/>
        </w:rPr>
        <w:t xml:space="preserve"> 169 (January): 937–947. </w:t>
      </w:r>
    </w:p>
    <w:p w14:paraId="01D676FB" w14:textId="4CB96A51" w:rsidR="00F97F4B" w:rsidRPr="00F97F4B" w:rsidRDefault="00F97F4B" w:rsidP="00AA0E54">
      <w:pPr>
        <w:pStyle w:val="af"/>
        <w:jc w:val="both"/>
        <w:rPr>
          <w:sz w:val="18"/>
        </w:rPr>
      </w:pPr>
      <w:r w:rsidRPr="00F97F4B">
        <w:rPr>
          <w:sz w:val="18"/>
        </w:rPr>
        <w:t xml:space="preserve">Bai, Yiming, and Jinsong Zhao. 2023b. “A Process Data Prediction Method for Chemical Process Based on the Frozen Pretrained Transformer Model.” In </w:t>
      </w:r>
      <w:r w:rsidRPr="00F97F4B">
        <w:rPr>
          <w:i/>
          <w:iCs/>
          <w:sz w:val="18"/>
        </w:rPr>
        <w:t>Computer Aided Chemical Engineering</w:t>
      </w:r>
      <w:r w:rsidRPr="00F97F4B">
        <w:rPr>
          <w:sz w:val="18"/>
        </w:rPr>
        <w:t xml:space="preserve">, edited by Antonios C. Kokossis, Michael C. Georgiadis, and Efstratios Pistikopoulos, 52:1717–1723. 33 European Symposium on Computer Aided Process Engineering. Elsevier. </w:t>
      </w:r>
    </w:p>
    <w:p w14:paraId="1B9F2DC3" w14:textId="0030771A" w:rsidR="00F97F4B" w:rsidRPr="00F97F4B" w:rsidRDefault="00F97F4B" w:rsidP="00AA0E54">
      <w:pPr>
        <w:pStyle w:val="af"/>
        <w:jc w:val="both"/>
        <w:rPr>
          <w:sz w:val="18"/>
        </w:rPr>
      </w:pPr>
      <w:r w:rsidRPr="00F97F4B">
        <w:rPr>
          <w:sz w:val="18"/>
        </w:rPr>
        <w:t xml:space="preserve">Bathelt, Andreas, N. Lawrence Ricker, and Mohieddine Jelali. 2015. “Revision of the Tennessee Eastman Process Model.” </w:t>
      </w:r>
      <w:r w:rsidRPr="00F97F4B">
        <w:rPr>
          <w:i/>
          <w:iCs/>
          <w:sz w:val="18"/>
        </w:rPr>
        <w:t>IFAC-PapersOnLine</w:t>
      </w:r>
      <w:r w:rsidRPr="00F97F4B">
        <w:rPr>
          <w:sz w:val="18"/>
        </w:rPr>
        <w:t xml:space="preserve">, 9th IFAC Symposium on Advanced Control of Chemical Processes ADCHEM 2015, 48 (8): 309–314. </w:t>
      </w:r>
    </w:p>
    <w:p w14:paraId="44AB5C9F" w14:textId="5E55D378" w:rsidR="00F97F4B" w:rsidRPr="00F97F4B" w:rsidRDefault="00F97F4B" w:rsidP="00AA0E54">
      <w:pPr>
        <w:pStyle w:val="af"/>
        <w:jc w:val="both"/>
        <w:rPr>
          <w:sz w:val="18"/>
        </w:rPr>
      </w:pPr>
      <w:r w:rsidRPr="00F97F4B">
        <w:rPr>
          <w:sz w:val="18"/>
        </w:rPr>
        <w:t xml:space="preserve">Bi, Xiaotian, Ruoshi Qin, Deyang Wu, Shaodong Zheng, and Jinsong Zhao. 2022. “One Step Forward for Smart Chemical Process Fault Detection and Diagnosis.” </w:t>
      </w:r>
      <w:r w:rsidRPr="00F97F4B">
        <w:rPr>
          <w:i/>
          <w:iCs/>
          <w:sz w:val="18"/>
        </w:rPr>
        <w:t>Computers &amp; Chemical Engineering</w:t>
      </w:r>
      <w:r w:rsidRPr="00F97F4B">
        <w:rPr>
          <w:sz w:val="18"/>
        </w:rPr>
        <w:t xml:space="preserve"> 164 (August): 107884. </w:t>
      </w:r>
    </w:p>
    <w:p w14:paraId="7D0D14E0" w14:textId="1D9E9730" w:rsidR="00F97F4B" w:rsidRPr="00F97F4B" w:rsidRDefault="00F97F4B" w:rsidP="00AA0E54">
      <w:pPr>
        <w:pStyle w:val="af"/>
        <w:jc w:val="both"/>
        <w:rPr>
          <w:sz w:val="18"/>
        </w:rPr>
      </w:pPr>
      <w:r w:rsidRPr="00F97F4B">
        <w:rPr>
          <w:sz w:val="18"/>
        </w:rPr>
        <w:t xml:space="preserve">Bi, Xiaotian, and Jinsong Zhao. 2021. “A Novel Orthogonal Self-Attentive Variational Autoencoder Method for Interpretable Chemical Process Fault Detection and Identification.” </w:t>
      </w:r>
      <w:r w:rsidRPr="00F97F4B">
        <w:rPr>
          <w:i/>
          <w:iCs/>
          <w:sz w:val="18"/>
        </w:rPr>
        <w:t>Process Safety and Environmental Protection</w:t>
      </w:r>
      <w:r w:rsidRPr="00F97F4B">
        <w:rPr>
          <w:sz w:val="18"/>
        </w:rPr>
        <w:t xml:space="preserve"> 156 (December): 581–597.</w:t>
      </w:r>
    </w:p>
    <w:p w14:paraId="79E6E2C3" w14:textId="77777777" w:rsidR="00F97F4B" w:rsidRPr="00F97F4B" w:rsidRDefault="00F97F4B" w:rsidP="00AA0E54">
      <w:pPr>
        <w:pStyle w:val="af"/>
        <w:jc w:val="both"/>
        <w:rPr>
          <w:sz w:val="18"/>
        </w:rPr>
      </w:pPr>
      <w:r w:rsidRPr="00F97F4B">
        <w:rPr>
          <w:sz w:val="18"/>
        </w:rPr>
        <w:t xml:space="preserve">Brown, Tom, Benjamin Mann, Nick Ryder, Melanie Subbiah, Jared D. Kaplan, Prafulla Dhariwal, Arvind Neelakantan, et al. 2020. “Language Models Are Few-Shot Learners.” </w:t>
      </w:r>
      <w:r w:rsidRPr="00F97F4B">
        <w:rPr>
          <w:i/>
          <w:iCs/>
          <w:sz w:val="18"/>
        </w:rPr>
        <w:t>Advances in Neural Information Processing Systems</w:t>
      </w:r>
      <w:r w:rsidRPr="00F97F4B">
        <w:rPr>
          <w:sz w:val="18"/>
        </w:rPr>
        <w:t xml:space="preserve"> 33: 1877–1901.</w:t>
      </w:r>
    </w:p>
    <w:p w14:paraId="299649C1" w14:textId="681AC036" w:rsidR="00F97F4B" w:rsidRPr="00F97F4B" w:rsidRDefault="00F97F4B" w:rsidP="00AA0E54">
      <w:pPr>
        <w:pStyle w:val="af"/>
        <w:jc w:val="both"/>
        <w:rPr>
          <w:sz w:val="18"/>
        </w:rPr>
      </w:pPr>
      <w:r w:rsidRPr="00F97F4B">
        <w:rPr>
          <w:sz w:val="18"/>
        </w:rPr>
        <w:t xml:space="preserve">Ma, Qianli, Zhen Liu, Zhenjing Zheng, Ziyang Huang, Siying Zhu, Zhongzhong Yu, and James T. Kwok. 2023. “A Survey on Time-Series Pre-Trained Models.” arXiv. </w:t>
      </w:r>
    </w:p>
    <w:p w14:paraId="05982EC8" w14:textId="654CC529" w:rsidR="00F97F4B" w:rsidRPr="00F97F4B" w:rsidRDefault="00F97F4B" w:rsidP="00AA0E54">
      <w:pPr>
        <w:pStyle w:val="af"/>
        <w:jc w:val="both"/>
        <w:rPr>
          <w:sz w:val="18"/>
        </w:rPr>
      </w:pPr>
      <w:r w:rsidRPr="00F97F4B">
        <w:rPr>
          <w:sz w:val="18"/>
        </w:rPr>
        <w:t>Rehman, Muhammad Habib ur, Ibrar Yaqoob, Khaled Salah, Muhammad Imran, Prem Prakash Jayaraman, and Charith Perera. 2019. “The Role of Big Data Analytics in Industrial Internet of Things.” arXiv..</w:t>
      </w:r>
    </w:p>
    <w:p w14:paraId="3A4774F1" w14:textId="4D34A52A" w:rsidR="00F97F4B" w:rsidRPr="00F97F4B" w:rsidRDefault="00F97F4B" w:rsidP="00AA0E54">
      <w:pPr>
        <w:pStyle w:val="af"/>
        <w:jc w:val="both"/>
        <w:rPr>
          <w:sz w:val="18"/>
        </w:rPr>
      </w:pPr>
      <w:r w:rsidRPr="00F97F4B">
        <w:rPr>
          <w:sz w:val="18"/>
        </w:rPr>
        <w:t xml:space="preserve">Vaswani, Ashish, Noam Shazeer, Niki Parmar, Jakob Uszkoreit, Llion Jones, Aidan N Gomez, Łukasz Kaiser, and Illia Polosukhin. 2017. “Attention Is All You Need.” In </w:t>
      </w:r>
      <w:r w:rsidRPr="00F97F4B">
        <w:rPr>
          <w:i/>
          <w:iCs/>
          <w:sz w:val="18"/>
        </w:rPr>
        <w:t>Advances in Neural Information Processing Systems</w:t>
      </w:r>
      <w:r w:rsidRPr="00F97F4B">
        <w:rPr>
          <w:sz w:val="18"/>
        </w:rPr>
        <w:t xml:space="preserve">. Vol. 30. Curran Associates, Inc. </w:t>
      </w:r>
    </w:p>
    <w:p w14:paraId="625E0390" w14:textId="77B10BFA" w:rsidR="00F97F4B" w:rsidRPr="00F97F4B" w:rsidRDefault="00F97F4B" w:rsidP="00AA0E54">
      <w:pPr>
        <w:pStyle w:val="af"/>
        <w:jc w:val="both"/>
        <w:rPr>
          <w:sz w:val="18"/>
        </w:rPr>
      </w:pPr>
      <w:r w:rsidRPr="00F97F4B">
        <w:rPr>
          <w:sz w:val="18"/>
        </w:rPr>
        <w:t xml:space="preserve">Wen, Qingsong, Tian Zhou, Chaoli Zhang, Weiqi Chen, Ziqing Ma, Junchi Yan, and Liang Sun. 2022. “Transformers in Time Series: A Survey.” arXiv. </w:t>
      </w:r>
    </w:p>
    <w:p w14:paraId="3B0CB123" w14:textId="30B45F46" w:rsidR="00B67493" w:rsidRDefault="007D4925" w:rsidP="00AA0E54">
      <w:pPr>
        <w:pStyle w:val="Els-referenceno-number"/>
        <w:ind w:left="0" w:firstLine="0"/>
        <w:jc w:val="both"/>
        <w:rPr>
          <w:lang w:val="en-US"/>
        </w:rPr>
      </w:pPr>
      <w:r>
        <w:rPr>
          <w:lang w:val="en-US"/>
        </w:rPr>
        <w:fldChar w:fldCharType="end"/>
      </w:r>
    </w:p>
    <w:sectPr w:rsidR="00B67493"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9DF" w14:textId="77777777" w:rsidR="002615A1" w:rsidRDefault="002615A1">
      <w:r>
        <w:separator/>
      </w:r>
    </w:p>
  </w:endnote>
  <w:endnote w:type="continuationSeparator" w:id="0">
    <w:p w14:paraId="36E19731" w14:textId="77777777" w:rsidR="002615A1" w:rsidRDefault="0026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A5DA" w14:textId="77777777" w:rsidR="002615A1" w:rsidRDefault="002615A1">
      <w:r>
        <w:separator/>
      </w:r>
    </w:p>
  </w:footnote>
  <w:footnote w:type="continuationSeparator" w:id="0">
    <w:p w14:paraId="0F95869D" w14:textId="77777777" w:rsidR="002615A1" w:rsidRDefault="0026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B3DD64D" w:rsidR="00DD3D9E" w:rsidRDefault="00DD3D9E">
    <w:pPr>
      <w:pStyle w:val="a5"/>
      <w:tabs>
        <w:tab w:val="clear" w:pos="7200"/>
        <w:tab w:val="right" w:pos="7088"/>
      </w:tabs>
    </w:pPr>
    <w:r>
      <w:rPr>
        <w:rStyle w:val="aa"/>
      </w:rPr>
      <w:tab/>
    </w:r>
    <w:r>
      <w:rPr>
        <w:rStyle w:val="aa"/>
        <w:i/>
      </w:rPr>
      <w:tab/>
    </w:r>
    <w:r w:rsidR="008F5FDE">
      <w:rPr>
        <w:rStyle w:val="aa"/>
        <w:i/>
      </w:rPr>
      <w:t>Y. Bai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6764856" w:rsidR="00DD3D9E" w:rsidRPr="003E6F57" w:rsidRDefault="008F5FDE" w:rsidP="008F5FDE">
    <w:pPr>
      <w:pStyle w:val="a5"/>
      <w:tabs>
        <w:tab w:val="clear" w:pos="7200"/>
        <w:tab w:val="right" w:pos="7088"/>
      </w:tabs>
      <w:ind w:right="800"/>
      <w:rPr>
        <w:i/>
      </w:rPr>
    </w:pPr>
    <w:r w:rsidRPr="008F5FDE">
      <w:rPr>
        <w:i/>
      </w:rPr>
      <w:t>A Pre-train and Fine-tune Paradigm of Fault Detection and Fault Prognosis</w:t>
    </w:r>
    <w:r>
      <w:rPr>
        <w:i/>
      </w:rPr>
      <w:t xml:space="preserve"> </w:t>
    </w:r>
    <w:r w:rsidRPr="008F5FDE">
      <w:rPr>
        <w:i/>
      </w:rPr>
      <w:t>for Chemical Process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6EE"/>
    <w:rsid w:val="0000636D"/>
    <w:rsid w:val="00007443"/>
    <w:rsid w:val="00012434"/>
    <w:rsid w:val="000139C0"/>
    <w:rsid w:val="00017DC7"/>
    <w:rsid w:val="00026FE8"/>
    <w:rsid w:val="0003006B"/>
    <w:rsid w:val="00031AFE"/>
    <w:rsid w:val="00031E93"/>
    <w:rsid w:val="00057E7F"/>
    <w:rsid w:val="00062D73"/>
    <w:rsid w:val="00066ED2"/>
    <w:rsid w:val="00070205"/>
    <w:rsid w:val="00075EC5"/>
    <w:rsid w:val="000818BA"/>
    <w:rsid w:val="00086B78"/>
    <w:rsid w:val="00087038"/>
    <w:rsid w:val="000A0CFD"/>
    <w:rsid w:val="000B1F71"/>
    <w:rsid w:val="000B63CD"/>
    <w:rsid w:val="000C0602"/>
    <w:rsid w:val="000C42DA"/>
    <w:rsid w:val="000C5547"/>
    <w:rsid w:val="000D3D9B"/>
    <w:rsid w:val="000E041F"/>
    <w:rsid w:val="000E7864"/>
    <w:rsid w:val="000F6467"/>
    <w:rsid w:val="00100A4C"/>
    <w:rsid w:val="00123131"/>
    <w:rsid w:val="0013109C"/>
    <w:rsid w:val="00134EDC"/>
    <w:rsid w:val="001352AC"/>
    <w:rsid w:val="00135C6E"/>
    <w:rsid w:val="00135ED7"/>
    <w:rsid w:val="00146A8D"/>
    <w:rsid w:val="0016032F"/>
    <w:rsid w:val="00182574"/>
    <w:rsid w:val="00184536"/>
    <w:rsid w:val="00186830"/>
    <w:rsid w:val="001879F6"/>
    <w:rsid w:val="00191B6D"/>
    <w:rsid w:val="0019330B"/>
    <w:rsid w:val="001C0148"/>
    <w:rsid w:val="001C757E"/>
    <w:rsid w:val="001E1FD0"/>
    <w:rsid w:val="0020390F"/>
    <w:rsid w:val="002046B7"/>
    <w:rsid w:val="002110EB"/>
    <w:rsid w:val="00216434"/>
    <w:rsid w:val="00217525"/>
    <w:rsid w:val="00221C21"/>
    <w:rsid w:val="002276F8"/>
    <w:rsid w:val="0024530E"/>
    <w:rsid w:val="002519E7"/>
    <w:rsid w:val="0025294B"/>
    <w:rsid w:val="00253C1D"/>
    <w:rsid w:val="002568A4"/>
    <w:rsid w:val="002615A1"/>
    <w:rsid w:val="002648F6"/>
    <w:rsid w:val="00264926"/>
    <w:rsid w:val="00266D57"/>
    <w:rsid w:val="00285C0E"/>
    <w:rsid w:val="00293E60"/>
    <w:rsid w:val="002B0FC1"/>
    <w:rsid w:val="002B4D47"/>
    <w:rsid w:val="002B57ED"/>
    <w:rsid w:val="002C0059"/>
    <w:rsid w:val="002C6CEC"/>
    <w:rsid w:val="002D33C7"/>
    <w:rsid w:val="002D4747"/>
    <w:rsid w:val="002E1C2A"/>
    <w:rsid w:val="002E3D75"/>
    <w:rsid w:val="00302BBC"/>
    <w:rsid w:val="00304E4D"/>
    <w:rsid w:val="00313E9B"/>
    <w:rsid w:val="003200DA"/>
    <w:rsid w:val="00322C86"/>
    <w:rsid w:val="00323D14"/>
    <w:rsid w:val="00333BBD"/>
    <w:rsid w:val="00334962"/>
    <w:rsid w:val="003362A5"/>
    <w:rsid w:val="00343F7A"/>
    <w:rsid w:val="003543BD"/>
    <w:rsid w:val="00367A96"/>
    <w:rsid w:val="00370236"/>
    <w:rsid w:val="0037708D"/>
    <w:rsid w:val="00381AB8"/>
    <w:rsid w:val="0038327D"/>
    <w:rsid w:val="00387EF4"/>
    <w:rsid w:val="00393F9F"/>
    <w:rsid w:val="00394869"/>
    <w:rsid w:val="003B08CD"/>
    <w:rsid w:val="003B745F"/>
    <w:rsid w:val="003C33EE"/>
    <w:rsid w:val="003D0B2F"/>
    <w:rsid w:val="003D1582"/>
    <w:rsid w:val="003D7E4C"/>
    <w:rsid w:val="003E12C1"/>
    <w:rsid w:val="003E41C2"/>
    <w:rsid w:val="003E6F57"/>
    <w:rsid w:val="0040042A"/>
    <w:rsid w:val="00405458"/>
    <w:rsid w:val="00413D6F"/>
    <w:rsid w:val="00415F29"/>
    <w:rsid w:val="00425E53"/>
    <w:rsid w:val="0045175F"/>
    <w:rsid w:val="0045395C"/>
    <w:rsid w:val="0046112A"/>
    <w:rsid w:val="00472507"/>
    <w:rsid w:val="004838EF"/>
    <w:rsid w:val="0049522D"/>
    <w:rsid w:val="0049772C"/>
    <w:rsid w:val="004A69D9"/>
    <w:rsid w:val="004B0D30"/>
    <w:rsid w:val="004D2B5D"/>
    <w:rsid w:val="00503E4B"/>
    <w:rsid w:val="00510F14"/>
    <w:rsid w:val="00514120"/>
    <w:rsid w:val="00514A9B"/>
    <w:rsid w:val="00517638"/>
    <w:rsid w:val="00523A75"/>
    <w:rsid w:val="00524C5E"/>
    <w:rsid w:val="00526637"/>
    <w:rsid w:val="0054306D"/>
    <w:rsid w:val="00552EEB"/>
    <w:rsid w:val="005536DF"/>
    <w:rsid w:val="00557E91"/>
    <w:rsid w:val="00564369"/>
    <w:rsid w:val="005710E7"/>
    <w:rsid w:val="00571C26"/>
    <w:rsid w:val="005742E8"/>
    <w:rsid w:val="005743A7"/>
    <w:rsid w:val="00577E54"/>
    <w:rsid w:val="00580C9D"/>
    <w:rsid w:val="00582D4D"/>
    <w:rsid w:val="0058332D"/>
    <w:rsid w:val="0058350B"/>
    <w:rsid w:val="00586D56"/>
    <w:rsid w:val="00587F7B"/>
    <w:rsid w:val="00594B6D"/>
    <w:rsid w:val="005A4DB0"/>
    <w:rsid w:val="005A5066"/>
    <w:rsid w:val="005A5A42"/>
    <w:rsid w:val="005B1762"/>
    <w:rsid w:val="005B6A4A"/>
    <w:rsid w:val="005C7A73"/>
    <w:rsid w:val="005D40FF"/>
    <w:rsid w:val="005D4F6F"/>
    <w:rsid w:val="005D688D"/>
    <w:rsid w:val="005D7F87"/>
    <w:rsid w:val="005F240C"/>
    <w:rsid w:val="00600AC9"/>
    <w:rsid w:val="00600B71"/>
    <w:rsid w:val="00605FBD"/>
    <w:rsid w:val="006065C8"/>
    <w:rsid w:val="00612DB8"/>
    <w:rsid w:val="006144EC"/>
    <w:rsid w:val="0061728E"/>
    <w:rsid w:val="00630EA1"/>
    <w:rsid w:val="00632FE9"/>
    <w:rsid w:val="006431EA"/>
    <w:rsid w:val="00644EDA"/>
    <w:rsid w:val="0065382C"/>
    <w:rsid w:val="00656DFA"/>
    <w:rsid w:val="00663A5E"/>
    <w:rsid w:val="006665E4"/>
    <w:rsid w:val="006835A1"/>
    <w:rsid w:val="0068457A"/>
    <w:rsid w:val="006851AB"/>
    <w:rsid w:val="006A4FB3"/>
    <w:rsid w:val="006A69BF"/>
    <w:rsid w:val="006B2937"/>
    <w:rsid w:val="006B6518"/>
    <w:rsid w:val="006C1BD4"/>
    <w:rsid w:val="006C7EEB"/>
    <w:rsid w:val="006D0BA0"/>
    <w:rsid w:val="006F3DD1"/>
    <w:rsid w:val="006F6A18"/>
    <w:rsid w:val="006F7C3F"/>
    <w:rsid w:val="0070296D"/>
    <w:rsid w:val="00703190"/>
    <w:rsid w:val="00703636"/>
    <w:rsid w:val="00703BAC"/>
    <w:rsid w:val="00711DF4"/>
    <w:rsid w:val="00712494"/>
    <w:rsid w:val="00713D26"/>
    <w:rsid w:val="00716C54"/>
    <w:rsid w:val="00726730"/>
    <w:rsid w:val="0073321F"/>
    <w:rsid w:val="00750C96"/>
    <w:rsid w:val="0075484D"/>
    <w:rsid w:val="0076158F"/>
    <w:rsid w:val="007655CE"/>
    <w:rsid w:val="00767CBC"/>
    <w:rsid w:val="00770D7E"/>
    <w:rsid w:val="00774BFA"/>
    <w:rsid w:val="0077563E"/>
    <w:rsid w:val="00791962"/>
    <w:rsid w:val="007950DD"/>
    <w:rsid w:val="007A2B1B"/>
    <w:rsid w:val="007A31BB"/>
    <w:rsid w:val="007A31D0"/>
    <w:rsid w:val="007B18D3"/>
    <w:rsid w:val="007B253C"/>
    <w:rsid w:val="007B668C"/>
    <w:rsid w:val="007C28FA"/>
    <w:rsid w:val="007C3C47"/>
    <w:rsid w:val="007D4925"/>
    <w:rsid w:val="007D70A1"/>
    <w:rsid w:val="007F28E2"/>
    <w:rsid w:val="007F67BB"/>
    <w:rsid w:val="007F716A"/>
    <w:rsid w:val="008132E8"/>
    <w:rsid w:val="00814F07"/>
    <w:rsid w:val="00816003"/>
    <w:rsid w:val="008177EA"/>
    <w:rsid w:val="008178B7"/>
    <w:rsid w:val="00822398"/>
    <w:rsid w:val="00823407"/>
    <w:rsid w:val="00831FE8"/>
    <w:rsid w:val="0083216A"/>
    <w:rsid w:val="00832452"/>
    <w:rsid w:val="008359BB"/>
    <w:rsid w:val="00842917"/>
    <w:rsid w:val="00846134"/>
    <w:rsid w:val="00856294"/>
    <w:rsid w:val="00856D03"/>
    <w:rsid w:val="00864993"/>
    <w:rsid w:val="008658B1"/>
    <w:rsid w:val="008733A9"/>
    <w:rsid w:val="0088314B"/>
    <w:rsid w:val="00886419"/>
    <w:rsid w:val="0089549D"/>
    <w:rsid w:val="008B0184"/>
    <w:rsid w:val="008B2A05"/>
    <w:rsid w:val="008C086F"/>
    <w:rsid w:val="008C2A51"/>
    <w:rsid w:val="008C5D02"/>
    <w:rsid w:val="008D2649"/>
    <w:rsid w:val="008F5FDE"/>
    <w:rsid w:val="008F7391"/>
    <w:rsid w:val="0090568D"/>
    <w:rsid w:val="009125C9"/>
    <w:rsid w:val="00912F1C"/>
    <w:rsid w:val="00913879"/>
    <w:rsid w:val="00917661"/>
    <w:rsid w:val="0092485F"/>
    <w:rsid w:val="0094111E"/>
    <w:rsid w:val="00956668"/>
    <w:rsid w:val="00956838"/>
    <w:rsid w:val="00964006"/>
    <w:rsid w:val="00966064"/>
    <w:rsid w:val="00970E5D"/>
    <w:rsid w:val="00975D0A"/>
    <w:rsid w:val="009767F9"/>
    <w:rsid w:val="0097701C"/>
    <w:rsid w:val="00980A65"/>
    <w:rsid w:val="00983C02"/>
    <w:rsid w:val="00983D1D"/>
    <w:rsid w:val="00984DBE"/>
    <w:rsid w:val="009924E7"/>
    <w:rsid w:val="0099320F"/>
    <w:rsid w:val="009A4769"/>
    <w:rsid w:val="009A6F70"/>
    <w:rsid w:val="009B770C"/>
    <w:rsid w:val="009C47B7"/>
    <w:rsid w:val="009C75BC"/>
    <w:rsid w:val="009D6389"/>
    <w:rsid w:val="009D725B"/>
    <w:rsid w:val="009E2B08"/>
    <w:rsid w:val="009E639B"/>
    <w:rsid w:val="009E7A39"/>
    <w:rsid w:val="00A008BC"/>
    <w:rsid w:val="00A169CB"/>
    <w:rsid w:val="00A25596"/>
    <w:rsid w:val="00A25E70"/>
    <w:rsid w:val="00A33765"/>
    <w:rsid w:val="00A35F59"/>
    <w:rsid w:val="00A40DBF"/>
    <w:rsid w:val="00A417F2"/>
    <w:rsid w:val="00A44BF0"/>
    <w:rsid w:val="00A47625"/>
    <w:rsid w:val="00A63269"/>
    <w:rsid w:val="00A63E24"/>
    <w:rsid w:val="00A7213A"/>
    <w:rsid w:val="00A826D1"/>
    <w:rsid w:val="00A829FA"/>
    <w:rsid w:val="00A85CEF"/>
    <w:rsid w:val="00A90AE7"/>
    <w:rsid w:val="00A92377"/>
    <w:rsid w:val="00AA0E54"/>
    <w:rsid w:val="00AA107C"/>
    <w:rsid w:val="00AB21ED"/>
    <w:rsid w:val="00AB29ED"/>
    <w:rsid w:val="00AB5190"/>
    <w:rsid w:val="00AB574A"/>
    <w:rsid w:val="00AC08E5"/>
    <w:rsid w:val="00AC3375"/>
    <w:rsid w:val="00AC3D01"/>
    <w:rsid w:val="00AC3D9B"/>
    <w:rsid w:val="00AC5587"/>
    <w:rsid w:val="00AD0044"/>
    <w:rsid w:val="00AD7F85"/>
    <w:rsid w:val="00AE3FC8"/>
    <w:rsid w:val="00AE4BD8"/>
    <w:rsid w:val="00AE611F"/>
    <w:rsid w:val="00AE6B68"/>
    <w:rsid w:val="00AF0C25"/>
    <w:rsid w:val="00AF358D"/>
    <w:rsid w:val="00B03E89"/>
    <w:rsid w:val="00B064D3"/>
    <w:rsid w:val="00B11BB9"/>
    <w:rsid w:val="00B20EBB"/>
    <w:rsid w:val="00B26968"/>
    <w:rsid w:val="00B4342E"/>
    <w:rsid w:val="00B4388F"/>
    <w:rsid w:val="00B43C5E"/>
    <w:rsid w:val="00B6254A"/>
    <w:rsid w:val="00B63237"/>
    <w:rsid w:val="00B67493"/>
    <w:rsid w:val="00B70E94"/>
    <w:rsid w:val="00B73902"/>
    <w:rsid w:val="00B74093"/>
    <w:rsid w:val="00B770E1"/>
    <w:rsid w:val="00B77255"/>
    <w:rsid w:val="00B7781A"/>
    <w:rsid w:val="00B815BD"/>
    <w:rsid w:val="00B83153"/>
    <w:rsid w:val="00B94CC8"/>
    <w:rsid w:val="00BA3D37"/>
    <w:rsid w:val="00BA4DBB"/>
    <w:rsid w:val="00BA6B1D"/>
    <w:rsid w:val="00BA6DBE"/>
    <w:rsid w:val="00BB333B"/>
    <w:rsid w:val="00BB5447"/>
    <w:rsid w:val="00BB7017"/>
    <w:rsid w:val="00BC2440"/>
    <w:rsid w:val="00BD0449"/>
    <w:rsid w:val="00BE2947"/>
    <w:rsid w:val="00BE652A"/>
    <w:rsid w:val="00BE7715"/>
    <w:rsid w:val="00BF293D"/>
    <w:rsid w:val="00C047FE"/>
    <w:rsid w:val="00C119CA"/>
    <w:rsid w:val="00C226D0"/>
    <w:rsid w:val="00C511F1"/>
    <w:rsid w:val="00C77436"/>
    <w:rsid w:val="00C810E9"/>
    <w:rsid w:val="00C94700"/>
    <w:rsid w:val="00C960DC"/>
    <w:rsid w:val="00C97F85"/>
    <w:rsid w:val="00CB4CC3"/>
    <w:rsid w:val="00CB7FC1"/>
    <w:rsid w:val="00CC6D72"/>
    <w:rsid w:val="00CD4B8F"/>
    <w:rsid w:val="00CE4E9A"/>
    <w:rsid w:val="00D01CF4"/>
    <w:rsid w:val="00D02C75"/>
    <w:rsid w:val="00D10E22"/>
    <w:rsid w:val="00D13D2C"/>
    <w:rsid w:val="00D17B60"/>
    <w:rsid w:val="00D22841"/>
    <w:rsid w:val="00D2371E"/>
    <w:rsid w:val="00D51141"/>
    <w:rsid w:val="00D61F44"/>
    <w:rsid w:val="00D63B7D"/>
    <w:rsid w:val="00D66DBA"/>
    <w:rsid w:val="00D676FD"/>
    <w:rsid w:val="00D841E2"/>
    <w:rsid w:val="00D91BDF"/>
    <w:rsid w:val="00D958FE"/>
    <w:rsid w:val="00D97E95"/>
    <w:rsid w:val="00DA10D6"/>
    <w:rsid w:val="00DA56D1"/>
    <w:rsid w:val="00DA5D0B"/>
    <w:rsid w:val="00DC2F94"/>
    <w:rsid w:val="00DC7183"/>
    <w:rsid w:val="00DD2968"/>
    <w:rsid w:val="00DD3D9E"/>
    <w:rsid w:val="00DD7908"/>
    <w:rsid w:val="00DE0984"/>
    <w:rsid w:val="00DE4613"/>
    <w:rsid w:val="00DE6087"/>
    <w:rsid w:val="00DE7624"/>
    <w:rsid w:val="00DF6BBD"/>
    <w:rsid w:val="00E06D54"/>
    <w:rsid w:val="00E07BEB"/>
    <w:rsid w:val="00E11163"/>
    <w:rsid w:val="00E2002A"/>
    <w:rsid w:val="00E23415"/>
    <w:rsid w:val="00E27694"/>
    <w:rsid w:val="00E364B4"/>
    <w:rsid w:val="00E412FE"/>
    <w:rsid w:val="00E474F4"/>
    <w:rsid w:val="00E51CD8"/>
    <w:rsid w:val="00E5507F"/>
    <w:rsid w:val="00E602A4"/>
    <w:rsid w:val="00E61E46"/>
    <w:rsid w:val="00E6331F"/>
    <w:rsid w:val="00E6613F"/>
    <w:rsid w:val="00E82297"/>
    <w:rsid w:val="00E82973"/>
    <w:rsid w:val="00E912AA"/>
    <w:rsid w:val="00E95DF1"/>
    <w:rsid w:val="00E96121"/>
    <w:rsid w:val="00EA0D01"/>
    <w:rsid w:val="00EA0DB3"/>
    <w:rsid w:val="00EB3E92"/>
    <w:rsid w:val="00ED0223"/>
    <w:rsid w:val="00ED1078"/>
    <w:rsid w:val="00ED5BA6"/>
    <w:rsid w:val="00EF26FF"/>
    <w:rsid w:val="00EF39FD"/>
    <w:rsid w:val="00F007D8"/>
    <w:rsid w:val="00F0365B"/>
    <w:rsid w:val="00F04064"/>
    <w:rsid w:val="00F06842"/>
    <w:rsid w:val="00F107FD"/>
    <w:rsid w:val="00F1525F"/>
    <w:rsid w:val="00F1562D"/>
    <w:rsid w:val="00F34ADC"/>
    <w:rsid w:val="00F35144"/>
    <w:rsid w:val="00F50949"/>
    <w:rsid w:val="00F557B9"/>
    <w:rsid w:val="00F624F2"/>
    <w:rsid w:val="00F7549E"/>
    <w:rsid w:val="00F77B9B"/>
    <w:rsid w:val="00F81A2E"/>
    <w:rsid w:val="00F82739"/>
    <w:rsid w:val="00F864AD"/>
    <w:rsid w:val="00F90200"/>
    <w:rsid w:val="00F92570"/>
    <w:rsid w:val="00F95CCC"/>
    <w:rsid w:val="00F97E7D"/>
    <w:rsid w:val="00F97F4B"/>
    <w:rsid w:val="00FA08B4"/>
    <w:rsid w:val="00FB0B1A"/>
    <w:rsid w:val="00FB64A8"/>
    <w:rsid w:val="00FB7177"/>
    <w:rsid w:val="00FD5ABF"/>
    <w:rsid w:val="00FD7971"/>
    <w:rsid w:val="00FE08C9"/>
    <w:rsid w:val="00FE0B71"/>
    <w:rsid w:val="00FE24FC"/>
    <w:rsid w:val="00FE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af">
    <w:name w:val="Bibliography"/>
    <w:basedOn w:val="a"/>
    <w:next w:val="a"/>
    <w:uiPriority w:val="37"/>
    <w:unhideWhenUsed/>
    <w:rsid w:val="007D4925"/>
    <w:pPr>
      <w:ind w:left="720" w:hanging="720"/>
    </w:pPr>
  </w:style>
  <w:style w:type="table" w:styleId="af0">
    <w:name w:val="Table Grid"/>
    <w:basedOn w:val="a1"/>
    <w:rsid w:val="00D5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7106</TotalTime>
  <Pages>6</Pages>
  <Words>6734</Words>
  <Characters>38386</Characters>
  <Application>Microsoft Office Word</Application>
  <DocSecurity>0</DocSecurity>
  <Lines>319</Lines>
  <Paragraphs>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Yiming BAI</cp:lastModifiedBy>
  <cp:revision>468</cp:revision>
  <cp:lastPrinted>2004-12-17T09:20:00Z</cp:lastPrinted>
  <dcterms:created xsi:type="dcterms:W3CDTF">2023-10-02T07:50:00Z</dcterms:created>
  <dcterms:modified xsi:type="dcterms:W3CDTF">2023-12-07T00:33:00Z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id="BIYFt70f"/&gt;&lt;style id="http://www.zotero.org/styles/european-journal-of-engineering-education" hasBibliography="1" bibliographyStyleHasBeenSet="1"/&gt;&lt;prefs&gt;&lt;pref name="fieldType" value="Field"/&gt;&lt;/p</vt:lpwstr>
  </property>
  <property fmtid="{D5CDD505-2E9C-101B-9397-08002B2CF9AE}" pid="11" name="ZOTERO_PREF_2">
    <vt:lpwstr>refs&gt;&lt;/data&gt;</vt:lpwstr>
  </property>
</Properties>
</file>