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DE67F" w14:textId="10031A60" w:rsidR="00DD3D9E" w:rsidRPr="00B4388F" w:rsidRDefault="00BC5815">
      <w:pPr>
        <w:pStyle w:val="Els-Title"/>
        <w:rPr>
          <w:color w:val="000000" w:themeColor="text1"/>
        </w:rPr>
      </w:pPr>
      <w:r w:rsidRPr="00BC5815">
        <w:rPr>
          <w:color w:val="000000" w:themeColor="text1"/>
        </w:rPr>
        <w:t xml:space="preserve">Multi-objective </w:t>
      </w:r>
      <w:r w:rsidR="00F31684">
        <w:rPr>
          <w:color w:val="000000" w:themeColor="text1"/>
        </w:rPr>
        <w:t>O</w:t>
      </w:r>
      <w:r w:rsidRPr="00BC5815">
        <w:rPr>
          <w:color w:val="000000" w:themeColor="text1"/>
        </w:rPr>
        <w:t xml:space="preserve">ptimization </w:t>
      </w:r>
      <w:r w:rsidR="00F31684">
        <w:rPr>
          <w:color w:val="000000" w:themeColor="text1"/>
        </w:rPr>
        <w:t>A</w:t>
      </w:r>
      <w:r w:rsidRPr="00BC5815">
        <w:rPr>
          <w:color w:val="000000" w:themeColor="text1"/>
        </w:rPr>
        <w:t xml:space="preserve">pplied to the </w:t>
      </w:r>
      <w:r w:rsidR="00F31684">
        <w:rPr>
          <w:color w:val="000000" w:themeColor="text1"/>
        </w:rPr>
        <w:t>T</w:t>
      </w:r>
      <w:r w:rsidRPr="00BC5815">
        <w:rPr>
          <w:color w:val="000000" w:themeColor="text1"/>
        </w:rPr>
        <w:t xml:space="preserve">hermal </w:t>
      </w:r>
      <w:r w:rsidR="00F31684">
        <w:rPr>
          <w:color w:val="000000" w:themeColor="text1"/>
        </w:rPr>
        <w:t>H</w:t>
      </w:r>
      <w:r w:rsidRPr="00BC5815">
        <w:rPr>
          <w:color w:val="000000" w:themeColor="text1"/>
        </w:rPr>
        <w:t xml:space="preserve">ydrolysis and </w:t>
      </w:r>
      <w:r w:rsidR="00F31684">
        <w:rPr>
          <w:color w:val="000000" w:themeColor="text1"/>
        </w:rPr>
        <w:t>A</w:t>
      </w:r>
      <w:r w:rsidRPr="00BC5815">
        <w:rPr>
          <w:color w:val="000000" w:themeColor="text1"/>
        </w:rPr>
        <w:t xml:space="preserve">naerobic </w:t>
      </w:r>
      <w:r w:rsidR="00F31684">
        <w:rPr>
          <w:color w:val="000000" w:themeColor="text1"/>
        </w:rPr>
        <w:t>D</w:t>
      </w:r>
      <w:r w:rsidRPr="00BC5815">
        <w:rPr>
          <w:color w:val="000000" w:themeColor="text1"/>
        </w:rPr>
        <w:t xml:space="preserve">igestion system for </w:t>
      </w:r>
      <w:proofErr w:type="spellStart"/>
      <w:r w:rsidR="00F31684">
        <w:rPr>
          <w:color w:val="000000" w:themeColor="text1"/>
        </w:rPr>
        <w:t>B</w:t>
      </w:r>
      <w:r w:rsidRPr="00BC5815">
        <w:rPr>
          <w:color w:val="000000" w:themeColor="text1"/>
        </w:rPr>
        <w:t>iosludge</w:t>
      </w:r>
      <w:proofErr w:type="spellEnd"/>
      <w:r w:rsidRPr="00BC5815">
        <w:rPr>
          <w:color w:val="000000" w:themeColor="text1"/>
        </w:rPr>
        <w:t xml:space="preserve"> from the </w:t>
      </w:r>
      <w:r w:rsidR="00F31684">
        <w:rPr>
          <w:color w:val="000000" w:themeColor="text1"/>
        </w:rPr>
        <w:t>P</w:t>
      </w:r>
      <w:r w:rsidRPr="00BC5815">
        <w:rPr>
          <w:color w:val="000000" w:themeColor="text1"/>
        </w:rPr>
        <w:t xml:space="preserve">ulp </w:t>
      </w:r>
      <w:r w:rsidR="0081681E">
        <w:rPr>
          <w:color w:val="000000" w:themeColor="text1"/>
        </w:rPr>
        <w:t>K</w:t>
      </w:r>
      <w:r w:rsidRPr="00BC5815">
        <w:rPr>
          <w:color w:val="000000" w:themeColor="text1"/>
        </w:rPr>
        <w:t xml:space="preserve">raft </w:t>
      </w:r>
      <w:r w:rsidR="00987381">
        <w:rPr>
          <w:color w:val="000000" w:themeColor="text1"/>
        </w:rPr>
        <w:t>I</w:t>
      </w:r>
      <w:r w:rsidR="00987381" w:rsidRPr="00BC5815">
        <w:rPr>
          <w:color w:val="000000" w:themeColor="text1"/>
        </w:rPr>
        <w:t>ndustry</w:t>
      </w:r>
    </w:p>
    <w:p w14:paraId="003AFFBF" w14:textId="77777777" w:rsidR="00BC5815" w:rsidRPr="00933309" w:rsidRDefault="00BC5815">
      <w:pPr>
        <w:pStyle w:val="Els-Affiliation"/>
        <w:rPr>
          <w:i w:val="0"/>
          <w:sz w:val="22"/>
          <w:lang w:val="pt-BR"/>
        </w:rPr>
      </w:pPr>
      <w:r w:rsidRPr="00933309">
        <w:rPr>
          <w:i w:val="0"/>
          <w:sz w:val="22"/>
          <w:lang w:val="pt-BR"/>
        </w:rPr>
        <w:t>Nicolás Goycoechea</w:t>
      </w:r>
      <w:r w:rsidRPr="00933309">
        <w:rPr>
          <w:i w:val="0"/>
          <w:sz w:val="22"/>
          <w:vertAlign w:val="superscript"/>
          <w:lang w:val="pt-BR"/>
        </w:rPr>
        <w:t>a*</w:t>
      </w:r>
      <w:r w:rsidRPr="00933309">
        <w:rPr>
          <w:i w:val="0"/>
          <w:sz w:val="22"/>
          <w:lang w:val="pt-BR"/>
        </w:rPr>
        <w:t>, Liliana Borzacconi</w:t>
      </w:r>
      <w:r w:rsidRPr="00933309">
        <w:rPr>
          <w:i w:val="0"/>
          <w:sz w:val="22"/>
          <w:vertAlign w:val="superscript"/>
          <w:lang w:val="pt-BR"/>
        </w:rPr>
        <w:t>a</w:t>
      </w:r>
      <w:r w:rsidRPr="00933309">
        <w:rPr>
          <w:i w:val="0"/>
          <w:sz w:val="22"/>
          <w:lang w:val="pt-BR"/>
        </w:rPr>
        <w:t>, Jimena Ferreira</w:t>
      </w:r>
      <w:r w:rsidRPr="00933309">
        <w:rPr>
          <w:i w:val="0"/>
          <w:sz w:val="22"/>
          <w:vertAlign w:val="superscript"/>
          <w:lang w:val="pt-BR"/>
        </w:rPr>
        <w:t>b,c</w:t>
      </w:r>
      <w:r w:rsidRPr="00933309">
        <w:rPr>
          <w:i w:val="0"/>
          <w:sz w:val="22"/>
          <w:lang w:val="pt-BR"/>
        </w:rPr>
        <w:t>, Martin Pedemonte</w:t>
      </w:r>
      <w:r w:rsidRPr="00933309">
        <w:rPr>
          <w:i w:val="0"/>
          <w:sz w:val="22"/>
          <w:vertAlign w:val="superscript"/>
          <w:lang w:val="pt-BR"/>
        </w:rPr>
        <w:t>c</w:t>
      </w:r>
      <w:r w:rsidRPr="00933309">
        <w:rPr>
          <w:i w:val="0"/>
          <w:sz w:val="22"/>
          <w:lang w:val="pt-BR"/>
        </w:rPr>
        <w:t>, Iván López</w:t>
      </w:r>
      <w:r w:rsidRPr="00933309">
        <w:rPr>
          <w:i w:val="0"/>
          <w:sz w:val="22"/>
          <w:vertAlign w:val="superscript"/>
          <w:lang w:val="pt-BR"/>
        </w:rPr>
        <w:t>a</w:t>
      </w:r>
    </w:p>
    <w:p w14:paraId="144DE681" w14:textId="70FFD5CF" w:rsidR="00DD3D9E" w:rsidRPr="00933309" w:rsidRDefault="00BC5815">
      <w:pPr>
        <w:pStyle w:val="Els-Affiliation"/>
        <w:rPr>
          <w:lang w:val="pt-BR"/>
        </w:rPr>
      </w:pPr>
      <w:r w:rsidRPr="00933309">
        <w:rPr>
          <w:vertAlign w:val="superscript"/>
          <w:lang w:val="pt-BR"/>
        </w:rPr>
        <w:t xml:space="preserve">a </w:t>
      </w:r>
      <w:r w:rsidRPr="00933309">
        <w:rPr>
          <w:lang w:val="pt-BR"/>
        </w:rPr>
        <w:t>Biotechnological Processes for the Environment Group, Universidad de la República, 11300 Montevideo, Uruguay.</w:t>
      </w:r>
    </w:p>
    <w:p w14:paraId="25A7D757" w14:textId="6FE0882A" w:rsidR="00BC5815" w:rsidRPr="00933309" w:rsidRDefault="00BC5815" w:rsidP="00BC5815">
      <w:pPr>
        <w:pStyle w:val="Els-Affiliation"/>
        <w:rPr>
          <w:lang w:val="pt-BR"/>
        </w:rPr>
      </w:pPr>
      <w:r w:rsidRPr="00933309">
        <w:rPr>
          <w:vertAlign w:val="superscript"/>
          <w:lang w:val="pt-BR"/>
        </w:rPr>
        <w:t xml:space="preserve">b </w:t>
      </w:r>
      <w:r w:rsidRPr="00933309">
        <w:rPr>
          <w:lang w:val="pt-BR"/>
        </w:rPr>
        <w:t>Heterogenous Computing Laboratory, Universidad de la República, 11300 Montevideo, Uruguay</w:t>
      </w:r>
      <w:r w:rsidR="005D4468">
        <w:rPr>
          <w:lang w:val="pt-BR"/>
        </w:rPr>
        <w:t>.</w:t>
      </w:r>
    </w:p>
    <w:p w14:paraId="0A3CDF80" w14:textId="6C1B7301" w:rsidR="00BC5815" w:rsidRPr="0081681E" w:rsidRDefault="00BC5815" w:rsidP="00BC5815">
      <w:pPr>
        <w:pStyle w:val="Els-Affiliation"/>
        <w:rPr>
          <w:lang w:val="en-US"/>
        </w:rPr>
      </w:pPr>
      <w:r w:rsidRPr="0081681E">
        <w:rPr>
          <w:vertAlign w:val="superscript"/>
          <w:lang w:val="en-US"/>
        </w:rPr>
        <w:t>c</w:t>
      </w:r>
      <w:r w:rsidR="003F3FB6" w:rsidRPr="0081681E">
        <w:rPr>
          <w:vertAlign w:val="superscript"/>
          <w:lang w:val="en-US"/>
        </w:rPr>
        <w:t xml:space="preserve"> </w:t>
      </w:r>
      <w:r w:rsidR="003F3FB6" w:rsidRPr="0081681E">
        <w:rPr>
          <w:lang w:val="en-US"/>
        </w:rPr>
        <w:t xml:space="preserve">Chemical &amp; Process Systems Engineering Group, </w:t>
      </w:r>
      <w:r w:rsidRPr="0081681E">
        <w:rPr>
          <w:lang w:val="en-US"/>
        </w:rPr>
        <w:t>Universidad de la República, 11300 Montevideo, Uruguay.</w:t>
      </w:r>
    </w:p>
    <w:p w14:paraId="065C7DC5" w14:textId="1736C3CF" w:rsidR="00BC5815" w:rsidRPr="00BC5815" w:rsidRDefault="00BC5815" w:rsidP="00BC5815">
      <w:pPr>
        <w:pStyle w:val="Els-Affiliation"/>
      </w:pPr>
      <w:r w:rsidRPr="00BC5815">
        <w:t xml:space="preserve">*: ngoycoechea@fing.edu.uy </w:t>
      </w:r>
    </w:p>
    <w:p w14:paraId="144DE684" w14:textId="4E935CD0" w:rsidR="008D2649" w:rsidRDefault="008D2649" w:rsidP="008D2649">
      <w:pPr>
        <w:pStyle w:val="Els-Abstract"/>
      </w:pPr>
      <w:r>
        <w:t>Abstract</w:t>
      </w:r>
    </w:p>
    <w:p w14:paraId="61CD9D0F" w14:textId="25EDCD1A" w:rsidR="007C3EF9" w:rsidRDefault="007C3EF9" w:rsidP="00DA3025">
      <w:pPr>
        <w:pStyle w:val="Els-body-text"/>
      </w:pPr>
      <w:r w:rsidRPr="007C3EF9">
        <w:t xml:space="preserve">Anaerobic digestion (AD) is a method for generating energy from renewable sources and mitigating greenhouse gas emissions by replacing fossil resources. Pretreatments are employed to enhance </w:t>
      </w:r>
      <w:proofErr w:type="spellStart"/>
      <w:r w:rsidRPr="007C3EF9">
        <w:t>biosludge</w:t>
      </w:r>
      <w:proofErr w:type="spellEnd"/>
      <w:r w:rsidRPr="007C3EF9">
        <w:t xml:space="preserve"> biodegradability, improving biogas production and waste-to-energy conversion in AD. Although thermal hydrolysis (TH) is a widely used technology with high energy recovery, it can generate recalcitrant compounds, </w:t>
      </w:r>
      <w:r w:rsidR="0009721B" w:rsidRPr="007C3EF9">
        <w:t>presenting</w:t>
      </w:r>
      <w:r w:rsidRPr="007C3EF9">
        <w:t xml:space="preserve"> operational and environmental challenges. </w:t>
      </w:r>
      <w:r w:rsidR="00097EFF">
        <w:t xml:space="preserve">After </w:t>
      </w:r>
      <w:r w:rsidRPr="007C3EF9">
        <w:t xml:space="preserve">TH and AD detectable recalcitrant nitrogen compounds, such as Dissolved Organic Nitrogen (DON), may be present. </w:t>
      </w:r>
      <w:r w:rsidR="00966224">
        <w:t>Usua</w:t>
      </w:r>
      <w:r w:rsidR="00966224" w:rsidRPr="007C3EF9">
        <w:t>lly</w:t>
      </w:r>
      <w:r w:rsidRPr="007C3EF9">
        <w:t xml:space="preserve">, TH and AD systems are optimized based on methane production, energy, </w:t>
      </w:r>
      <w:r w:rsidR="00987381">
        <w:t>or</w:t>
      </w:r>
      <w:r w:rsidRPr="007C3EF9">
        <w:t xml:space="preserve"> economic balances. However, incorporating a multi-objective approach that considers conflicting objectives, including recalcitrant reduction, is beneficial. </w:t>
      </w:r>
      <w:r w:rsidR="00D72151">
        <w:t>T</w:t>
      </w:r>
      <w:r w:rsidRPr="007C3EF9">
        <w:t>his study</w:t>
      </w:r>
      <w:r w:rsidR="00EE76E8" w:rsidRPr="007C3EF9">
        <w:t xml:space="preserve"> performed </w:t>
      </w:r>
      <w:r w:rsidRPr="007C3EF9">
        <w:t>a multi-objective optimization, determining the Pareto front for</w:t>
      </w:r>
      <w:r w:rsidR="00987381">
        <w:t xml:space="preserve"> the</w:t>
      </w:r>
      <w:r w:rsidRPr="007C3EF9">
        <w:t xml:space="preserve"> system energy profit (EP) and</w:t>
      </w:r>
      <w:r w:rsidR="00987381">
        <w:t xml:space="preserve"> the</w:t>
      </w:r>
      <w:r w:rsidRPr="007C3EF9">
        <w:t xml:space="preserve"> recalcitrant generation</w:t>
      </w:r>
      <w:r w:rsidR="0009721B">
        <w:t xml:space="preserve"> quantified as DON</w:t>
      </w:r>
      <w:r w:rsidRPr="007C3EF9">
        <w:t xml:space="preserve"> in a thermally hydrolyzed cellulose industry </w:t>
      </w:r>
      <w:proofErr w:type="spellStart"/>
      <w:r w:rsidRPr="007C3EF9">
        <w:t>biosludge</w:t>
      </w:r>
      <w:proofErr w:type="spellEnd"/>
      <w:r w:rsidRPr="007C3EF9">
        <w:t xml:space="preserve">. Results showed a </w:t>
      </w:r>
      <w:r w:rsidR="001A01FD">
        <w:t xml:space="preserve">43 </w:t>
      </w:r>
      <w:r w:rsidRPr="007C3EF9">
        <w:t xml:space="preserve">% reduction in recalcitrant generation </w:t>
      </w:r>
      <w:r w:rsidR="00B40451">
        <w:t xml:space="preserve">using multi-objective optimization </w:t>
      </w:r>
      <w:r w:rsidRPr="007C3EF9">
        <w:t>compared to a single-objective optimization of EP, with only an 8</w:t>
      </w:r>
      <w:r w:rsidR="001A01FD">
        <w:t xml:space="preserve"> </w:t>
      </w:r>
      <w:r w:rsidRPr="007C3EF9">
        <w:t>% reduction in EP compared to the maximum achievable EP.</w:t>
      </w:r>
    </w:p>
    <w:p w14:paraId="144DE687" w14:textId="7CE9F984" w:rsidR="008D2649" w:rsidRDefault="008D2649" w:rsidP="00BC5815">
      <w:pPr>
        <w:pStyle w:val="Els-body-text"/>
        <w:spacing w:after="120"/>
        <w:rPr>
          <w:lang w:val="en-GB"/>
        </w:rPr>
      </w:pPr>
      <w:r>
        <w:rPr>
          <w:b/>
          <w:bCs/>
          <w:lang w:val="en-GB"/>
        </w:rPr>
        <w:t>Keywords</w:t>
      </w:r>
      <w:r>
        <w:rPr>
          <w:lang w:val="en-GB"/>
        </w:rPr>
        <w:t xml:space="preserve">: </w:t>
      </w:r>
      <w:r w:rsidR="00E06A08">
        <w:rPr>
          <w:lang w:val="en-GB"/>
        </w:rPr>
        <w:t xml:space="preserve">Anaerobic Digestion; </w:t>
      </w:r>
      <w:r w:rsidR="00BC5815" w:rsidRPr="00BC5815">
        <w:rPr>
          <w:lang w:val="en-GB"/>
        </w:rPr>
        <w:t>Thermal Hydrolysis; Multi-objective Optimization; Recalcitrant; Methane</w:t>
      </w:r>
      <w:r w:rsidR="004228EE">
        <w:rPr>
          <w:lang w:val="en-GB"/>
        </w:rPr>
        <w:t>.</w:t>
      </w:r>
    </w:p>
    <w:p w14:paraId="7F6F2FD9" w14:textId="77777777" w:rsidR="00BC5815" w:rsidRDefault="00BC5815" w:rsidP="00BC5815">
      <w:pPr>
        <w:pStyle w:val="Els-1storder-head"/>
      </w:pPr>
      <w:r>
        <w:t>Introduction</w:t>
      </w:r>
    </w:p>
    <w:p w14:paraId="5147D69B" w14:textId="42C6941B" w:rsidR="0099638F" w:rsidRDefault="00B7648D" w:rsidP="007C3EF9">
      <w:pPr>
        <w:pStyle w:val="Els-body-text"/>
      </w:pPr>
      <w:r>
        <w:t>Anaerobic digestion (</w:t>
      </w:r>
      <w:r w:rsidR="00987381">
        <w:t>AD</w:t>
      </w:r>
      <w:r>
        <w:t>)</w:t>
      </w:r>
      <w:r w:rsidR="007C3EF9">
        <w:t xml:space="preserve"> is a </w:t>
      </w:r>
      <w:r w:rsidR="00E06A08" w:rsidRPr="00E06A08">
        <w:t>technology</w:t>
      </w:r>
      <w:r w:rsidR="007C3EF9">
        <w:t xml:space="preserve"> used to generate energy from </w:t>
      </w:r>
      <w:r w:rsidR="00E06A08">
        <w:t>waste</w:t>
      </w:r>
      <w:r w:rsidR="007C3EF9">
        <w:t xml:space="preserve">, replace fossil resources, and avoid greenhouse gas emissions, </w:t>
      </w:r>
      <w:r w:rsidR="00987381">
        <w:t>but</w:t>
      </w:r>
      <w:r w:rsidR="00987381" w:rsidRPr="007C3EF9">
        <w:t xml:space="preserve"> waste used in this process may contain challenging-to-digest fractions</w:t>
      </w:r>
      <w:r w:rsidR="00987381">
        <w:t xml:space="preserve"> </w:t>
      </w:r>
      <w:r w:rsidR="007C3EF9">
        <w:t xml:space="preserve">(Castro-Amoedo et al., 2021). Therefore, pretreatments can enhance the biodegradability of </w:t>
      </w:r>
      <w:proofErr w:type="spellStart"/>
      <w:r w:rsidR="007C3EF9">
        <w:t>biosludge</w:t>
      </w:r>
      <w:proofErr w:type="spellEnd"/>
      <w:r w:rsidR="007C3EF9">
        <w:t xml:space="preserve">, leading to higher biogas production in AD, thus improving waste-to-energy conversion. The cellulose industry sludge </w:t>
      </w:r>
      <w:r w:rsidR="00F526B5" w:rsidRPr="00F526B5">
        <w:t xml:space="preserve">has not been studied </w:t>
      </w:r>
      <w:r w:rsidR="00F526B5">
        <w:t>m</w:t>
      </w:r>
      <w:r w:rsidR="00F526B5" w:rsidRPr="00F526B5">
        <w:t>uch</w:t>
      </w:r>
      <w:r w:rsidR="007C3EF9">
        <w:t xml:space="preserve">, </w:t>
      </w:r>
      <w:r w:rsidR="00FF42FB" w:rsidRPr="00FF42FB">
        <w:t xml:space="preserve">and previous works have shown that degradation </w:t>
      </w:r>
      <w:r>
        <w:t>can be</w:t>
      </w:r>
      <w:r w:rsidR="00FF42FB" w:rsidRPr="00FF42FB">
        <w:t xml:space="preserve"> a challenge</w:t>
      </w:r>
      <w:r w:rsidR="007C3EF9">
        <w:t xml:space="preserve">. </w:t>
      </w:r>
      <w:r w:rsidR="00604C82">
        <w:t>In addition</w:t>
      </w:r>
      <w:r w:rsidR="007C3EF9">
        <w:t>, there is evidence of improvements obtained in biogas production by A</w:t>
      </w:r>
      <w:r w:rsidR="00DE4450">
        <w:t>D</w:t>
      </w:r>
      <w:r w:rsidR="007C3EF9">
        <w:t xml:space="preserve"> when </w:t>
      </w:r>
      <w:r>
        <w:t>thermal hydrolysis (</w:t>
      </w:r>
      <w:r w:rsidR="007C3EF9">
        <w:t>T</w:t>
      </w:r>
      <w:r w:rsidR="00987381">
        <w:t>H</w:t>
      </w:r>
      <w:r>
        <w:t>)</w:t>
      </w:r>
      <w:r w:rsidR="007C3EF9">
        <w:t xml:space="preserve"> is applied, achieving increases of 100 % to 220 % of </w:t>
      </w:r>
      <w:r w:rsidR="00E06A08" w:rsidRPr="005C4049">
        <w:t>Biomethane Potential (BMP)</w:t>
      </w:r>
      <w:r w:rsidR="006D1A00">
        <w:t xml:space="preserve"> </w:t>
      </w:r>
      <w:r w:rsidR="007C3EF9">
        <w:t>(Goycoechea et al.</w:t>
      </w:r>
      <w:r>
        <w:t>,</w:t>
      </w:r>
      <w:r w:rsidR="007C3EF9">
        <w:t xml:space="preserve"> 2023). On the other hand, achieving energy self-sufficiency of the T</w:t>
      </w:r>
      <w:r w:rsidR="00987381">
        <w:t>H</w:t>
      </w:r>
      <w:r w:rsidR="007C3EF9">
        <w:t xml:space="preserve"> and A</w:t>
      </w:r>
      <w:r w:rsidR="00987381">
        <w:t>D</w:t>
      </w:r>
      <w:r w:rsidR="007C3EF9">
        <w:t xml:space="preserve"> process </w:t>
      </w:r>
      <w:r w:rsidR="005F7D9A">
        <w:t>to</w:t>
      </w:r>
      <w:r w:rsidR="007C3EF9">
        <w:t xml:space="preserve"> reduce costs is </w:t>
      </w:r>
      <w:r w:rsidR="00604C82" w:rsidRPr="00B81AC9">
        <w:t>essential</w:t>
      </w:r>
      <w:r w:rsidR="007C3EF9">
        <w:t>.</w:t>
      </w:r>
      <w:r w:rsidR="00DA7E03">
        <w:t xml:space="preserve"> </w:t>
      </w:r>
      <w:r w:rsidR="00987381">
        <w:t>TH</w:t>
      </w:r>
      <w:r w:rsidR="007C3EF9">
        <w:t xml:space="preserve"> is the most widely used technology </w:t>
      </w:r>
      <w:r w:rsidRPr="00B7648D">
        <w:t>for the pretreatment of solid waste</w:t>
      </w:r>
      <w:r>
        <w:t xml:space="preserve"> </w:t>
      </w:r>
      <w:r w:rsidR="00E06A08">
        <w:t>a</w:t>
      </w:r>
      <w:r w:rsidR="00E06A08" w:rsidRPr="00E06A08">
        <w:t xml:space="preserve">nd increases </w:t>
      </w:r>
      <w:r w:rsidR="00E06A08" w:rsidRPr="00E06A08">
        <w:lastRenderedPageBreak/>
        <w:t>energy recovery from waste treated with anaerobic digestion</w:t>
      </w:r>
      <w:r w:rsidR="00E06A08">
        <w:t xml:space="preserve">. </w:t>
      </w:r>
      <w:r w:rsidR="00E06A08" w:rsidRPr="00E06A08">
        <w:t>However,</w:t>
      </w:r>
      <w:r w:rsidR="007C3EF9">
        <w:t xml:space="preserve"> the use of </w:t>
      </w:r>
      <w:r w:rsidR="00B40451">
        <w:t>TH</w:t>
      </w:r>
      <w:r w:rsidR="007C3EF9">
        <w:t xml:space="preserve"> can generate recalcitrant compounds, leading to potential operational and environmental problems (</w:t>
      </w:r>
      <w:proofErr w:type="spellStart"/>
      <w:r w:rsidR="007C3EF9">
        <w:t>Toutian</w:t>
      </w:r>
      <w:proofErr w:type="spellEnd"/>
      <w:r w:rsidR="007C3EF9">
        <w:t xml:space="preserve"> et al., 2020). After TH and AD, detectable recalcitrant nitrogen compounds </w:t>
      </w:r>
      <w:r w:rsidR="00F67479">
        <w:t>may</w:t>
      </w:r>
      <w:r w:rsidR="007C3EF9">
        <w:t xml:space="preserve"> be present, such as </w:t>
      </w:r>
      <w:r>
        <w:t>dissolved organic nitrogen (</w:t>
      </w:r>
      <w:r w:rsidR="00987381">
        <w:t>DON</w:t>
      </w:r>
      <w:r>
        <w:t>)</w:t>
      </w:r>
      <w:r w:rsidR="007C3EF9">
        <w:t>, which affect wastewater disinfection due to the UV absorbance of these compounds.</w:t>
      </w:r>
    </w:p>
    <w:p w14:paraId="41BF6E3E" w14:textId="77777777" w:rsidR="00B7648D" w:rsidRDefault="00B7648D" w:rsidP="007C3EF9">
      <w:pPr>
        <w:pStyle w:val="Els-body-text"/>
      </w:pPr>
    </w:p>
    <w:p w14:paraId="4835A447" w14:textId="3A12BDD7" w:rsidR="007C3EF9" w:rsidRPr="007C3EF9" w:rsidRDefault="007C3EF9" w:rsidP="007C3EF9">
      <w:pPr>
        <w:pStyle w:val="Els-body-text"/>
      </w:pPr>
      <w:r>
        <w:t xml:space="preserve">Therefore, it is crucial to investigate the impact of temperature and time conditions of the TH process on the generation of </w:t>
      </w:r>
      <w:r w:rsidR="00B17BC3">
        <w:t>recalcitrant and</w:t>
      </w:r>
      <w:r>
        <w:t xml:space="preserve"> take them into account to reduce their </w:t>
      </w:r>
      <w:r w:rsidR="00B7648D">
        <w:t>production</w:t>
      </w:r>
      <w:r w:rsidR="002909E8">
        <w:t xml:space="preserve"> </w:t>
      </w:r>
      <w:r>
        <w:t xml:space="preserve">as an objective function to optimize. Typically, TH and AD systems are optimized based on methane production, energy balances, and/or economic balances, which are correlated. However, when </w:t>
      </w:r>
      <w:r w:rsidR="00DF2DD3">
        <w:t>the objective is</w:t>
      </w:r>
      <w:r>
        <w:t xml:space="preserve"> also</w:t>
      </w:r>
      <w:r w:rsidR="00B7648D">
        <w:t xml:space="preserve"> to</w:t>
      </w:r>
      <w:r>
        <w:t xml:space="preserve"> reduce the generation of recalcitrant compounds, it is beneficial to </w:t>
      </w:r>
      <w:r w:rsidR="00B7648D">
        <w:t>follow a</w:t>
      </w:r>
      <w:r>
        <w:t xml:space="preserve"> multi-objective optimization approach that consider</w:t>
      </w:r>
      <w:r w:rsidR="00B7648D">
        <w:t>s</w:t>
      </w:r>
      <w:r>
        <w:t xml:space="preserve"> two or more objective functions in conflict. Multi-objective optimization is not limited to finding a single solution but searches for a set of solutions, known as non-dominated solutions. Each solution in this set is considered a Pareto optimum (Deb</w:t>
      </w:r>
      <w:r w:rsidR="00370000">
        <w:t>,</w:t>
      </w:r>
      <w:r>
        <w:t xml:space="preserve"> 2001)</w:t>
      </w:r>
      <w:r w:rsidR="007B3615">
        <w:t>,</w:t>
      </w:r>
      <w:r>
        <w:t xml:space="preserve"> which reflects different trade-offs between the conflicting objective</w:t>
      </w:r>
      <w:r w:rsidR="00B7648D">
        <w:t>s</w:t>
      </w:r>
      <w:r>
        <w:t xml:space="preserve">. </w:t>
      </w:r>
      <w:r w:rsidR="0003279A" w:rsidRPr="0003279A">
        <w:t>Previous studies have presented</w:t>
      </w:r>
      <w:r w:rsidR="007253B1">
        <w:t xml:space="preserve"> a</w:t>
      </w:r>
      <w:r w:rsidR="0003279A" w:rsidRPr="0003279A">
        <w:t xml:space="preserve"> multi-objective </w:t>
      </w:r>
      <w:r w:rsidR="007253B1">
        <w:t>approach</w:t>
      </w:r>
      <w:r w:rsidR="0003279A" w:rsidRPr="0003279A">
        <w:t xml:space="preserve"> for the revalorization of sludge to obtain energy by incineration, but at the cost of discharges with higher nitrogen contents</w:t>
      </w:r>
      <w:r w:rsidR="0003279A">
        <w:t xml:space="preserve"> (</w:t>
      </w:r>
      <w:proofErr w:type="spellStart"/>
      <w:r w:rsidR="0003279A">
        <w:t>Hreiz</w:t>
      </w:r>
      <w:proofErr w:type="spellEnd"/>
      <w:r w:rsidR="0003279A">
        <w:t xml:space="preserve"> et al.</w:t>
      </w:r>
      <w:r w:rsidR="00DA7E03">
        <w:t>,</w:t>
      </w:r>
      <w:r w:rsidR="0003279A">
        <w:t xml:space="preserve"> 2015)</w:t>
      </w:r>
      <w:r w:rsidR="0003279A" w:rsidRPr="0003279A">
        <w:t>. In this work, we performed a multi-objective optimization by determining the Pareto front of the energy profit of the T</w:t>
      </w:r>
      <w:r w:rsidR="00DA7E03">
        <w:t>H</w:t>
      </w:r>
      <w:r w:rsidR="0003279A" w:rsidRPr="0003279A">
        <w:t xml:space="preserve"> and A</w:t>
      </w:r>
      <w:r w:rsidR="00DA7E03">
        <w:t>D</w:t>
      </w:r>
      <w:r w:rsidR="0003279A" w:rsidRPr="0003279A">
        <w:t xml:space="preserve"> system and the recalcitrant generation of the T</w:t>
      </w:r>
      <w:r w:rsidR="00DA7E03">
        <w:t>H</w:t>
      </w:r>
      <w:r w:rsidR="007253B1">
        <w:t>,</w:t>
      </w:r>
      <w:r w:rsidR="0003279A" w:rsidRPr="0003279A">
        <w:t xml:space="preserve"> </w:t>
      </w:r>
      <w:r w:rsidR="007253B1">
        <w:t>which</w:t>
      </w:r>
      <w:r w:rsidR="0003279A" w:rsidRPr="0003279A">
        <w:t xml:space="preserve"> achieves considerable increases in energy profit.</w:t>
      </w:r>
    </w:p>
    <w:p w14:paraId="144DE699" w14:textId="601F666A" w:rsidR="008D2649" w:rsidRDefault="00BC5815" w:rsidP="008D2649">
      <w:pPr>
        <w:pStyle w:val="Els-1storder-head"/>
      </w:pPr>
      <w:r>
        <w:t>Material and Methods</w:t>
      </w:r>
    </w:p>
    <w:p w14:paraId="144DE69A" w14:textId="11EB03C6" w:rsidR="008D2649" w:rsidRDefault="001F1CFF" w:rsidP="008D2649">
      <w:pPr>
        <w:pStyle w:val="Els-2ndorder-head"/>
      </w:pPr>
      <w:r w:rsidRPr="00387876">
        <w:t xml:space="preserve">Substrate </w:t>
      </w:r>
      <w:r w:rsidR="001A01FD">
        <w:t>C</w:t>
      </w:r>
      <w:r w:rsidRPr="00387876">
        <w:t xml:space="preserve">haracterization and </w:t>
      </w:r>
      <w:r w:rsidR="001A01FD">
        <w:t>T</w:t>
      </w:r>
      <w:r w:rsidRPr="00387876">
        <w:t>esting</w:t>
      </w:r>
    </w:p>
    <w:p w14:paraId="6BFA4EBD" w14:textId="6D422A50" w:rsidR="0014403F" w:rsidRPr="0014403F" w:rsidRDefault="0014403F" w:rsidP="0014403F">
      <w:pPr>
        <w:pStyle w:val="Els-2ndorder-head"/>
        <w:numPr>
          <w:ilvl w:val="0"/>
          <w:numId w:val="0"/>
        </w:numPr>
      </w:pPr>
      <w:r w:rsidRPr="0014403F">
        <w:rPr>
          <w:i w:val="0"/>
        </w:rPr>
        <w:t xml:space="preserve">The substrate used was biological sludge from the wastewater treatment of a cellulose industry in Uruguay. The sludge was treated with TH and AD, and biogas and recalcitrant compounds were quantified. </w:t>
      </w:r>
      <w:r w:rsidR="00E06A08" w:rsidRPr="00E06A08">
        <w:rPr>
          <w:i w:val="0"/>
        </w:rPr>
        <w:t>Goycoechea et al. (2023) presented the response surface of biogas based on laboratory experiences</w:t>
      </w:r>
      <w:r w:rsidRPr="0014403F">
        <w:rPr>
          <w:i w:val="0"/>
        </w:rPr>
        <w:t>.</w:t>
      </w:r>
    </w:p>
    <w:p w14:paraId="460576EF" w14:textId="492D5A9F" w:rsidR="00BC5815" w:rsidRDefault="001F1CFF" w:rsidP="00BC5815">
      <w:pPr>
        <w:pStyle w:val="Els-2ndorder-head"/>
      </w:pPr>
      <w:r w:rsidRPr="001F1CFF">
        <w:t xml:space="preserve">Energy </w:t>
      </w:r>
      <w:r w:rsidR="001A01FD">
        <w:t>P</w:t>
      </w:r>
      <w:r w:rsidRPr="001F1CFF">
        <w:t>rofit</w:t>
      </w:r>
    </w:p>
    <w:p w14:paraId="3660388E" w14:textId="482D0FBB" w:rsidR="001F1CFF" w:rsidRDefault="00442AAF" w:rsidP="001F1CFF">
      <w:pPr>
        <w:pStyle w:val="Els-3rdorder-head"/>
      </w:pPr>
      <w:r>
        <w:t>P</w:t>
      </w:r>
      <w:r w:rsidRPr="00442AAF">
        <w:t xml:space="preserve">arameters used in the </w:t>
      </w:r>
      <w:r w:rsidR="001A01FD">
        <w:t>E</w:t>
      </w:r>
      <w:r w:rsidRPr="00442AAF">
        <w:t xml:space="preserve">nergy </w:t>
      </w:r>
      <w:r w:rsidR="001A01FD">
        <w:t>B</w:t>
      </w:r>
      <w:r w:rsidRPr="00442AAF">
        <w:t>alance</w:t>
      </w:r>
    </w:p>
    <w:p w14:paraId="5A35ACF0" w14:textId="2714202E" w:rsidR="00302F14" w:rsidRDefault="003909C1" w:rsidP="00302F14">
      <w:pPr>
        <w:pStyle w:val="Els-body-text"/>
      </w:pPr>
      <w:r w:rsidRPr="0014403F">
        <w:rPr>
          <w:b/>
          <w:bCs/>
        </w:rPr>
        <w:t>Table 1</w:t>
      </w:r>
      <w:r w:rsidRPr="003909C1">
        <w:t xml:space="preserve"> presents the parameters used in the energy balances (EB). These parameters are used to evaluate different TH conditions.</w:t>
      </w:r>
      <w:r w:rsidR="00302F14">
        <w:t xml:space="preserve"> </w:t>
      </w:r>
    </w:p>
    <w:p w14:paraId="7E6B4663" w14:textId="75E77682" w:rsidR="00442AAF" w:rsidRPr="00442AAF" w:rsidRDefault="00442AAF" w:rsidP="00442AAF">
      <w:pPr>
        <w:pStyle w:val="Els-3rdorder-head"/>
      </w:pPr>
      <w:r w:rsidRPr="00F940A6">
        <w:t xml:space="preserve">Thermal </w:t>
      </w:r>
      <w:r w:rsidR="001A01FD">
        <w:t>E</w:t>
      </w:r>
      <w:r w:rsidRPr="00F940A6">
        <w:t xml:space="preserve">nergy </w:t>
      </w:r>
      <w:r w:rsidR="001A01FD">
        <w:t>D</w:t>
      </w:r>
      <w:r w:rsidRPr="00F940A6">
        <w:t xml:space="preserve">emand and </w:t>
      </w:r>
      <w:r w:rsidR="001A01FD">
        <w:t>R</w:t>
      </w:r>
      <w:r w:rsidRPr="00F940A6">
        <w:t>ecovery for T</w:t>
      </w:r>
      <w:r w:rsidR="00DE4450">
        <w:t>H</w:t>
      </w:r>
    </w:p>
    <w:p w14:paraId="4D544300" w14:textId="47E58C40" w:rsidR="001F1CFF" w:rsidRDefault="00F940A6" w:rsidP="00F940A6">
      <w:pPr>
        <w:pStyle w:val="Els-body-text"/>
      </w:pPr>
      <w:r w:rsidRPr="00F940A6">
        <w:t>The energy required to increase the sludge temperature to that of the T</w:t>
      </w:r>
      <w:r w:rsidR="00DE4450">
        <w:t>H</w:t>
      </w:r>
      <w:r w:rsidRPr="00F940A6">
        <w:t xml:space="preserve"> reactor </w:t>
      </w:r>
      <w:r w:rsidR="00B257CB">
        <w:t>is</w:t>
      </w:r>
      <w:r w:rsidRPr="00F940A6">
        <w:t xml:space="preserve"> presented in </w:t>
      </w:r>
      <w:r w:rsidRPr="00F940A6">
        <w:rPr>
          <w:b/>
          <w:bCs/>
        </w:rPr>
        <w:t>Eq</w:t>
      </w:r>
      <w:r w:rsidR="0082112C">
        <w:rPr>
          <w:b/>
          <w:bCs/>
        </w:rPr>
        <w:t>.</w:t>
      </w:r>
      <w:r w:rsidRPr="00F940A6">
        <w:rPr>
          <w:b/>
          <w:bCs/>
        </w:rPr>
        <w:t xml:space="preserve"> </w:t>
      </w:r>
      <w:r w:rsidR="0082112C">
        <w:rPr>
          <w:b/>
          <w:bCs/>
        </w:rPr>
        <w:t>(</w:t>
      </w:r>
      <w:r w:rsidRPr="00F940A6">
        <w:rPr>
          <w:b/>
          <w:bCs/>
        </w:rPr>
        <w:t>1</w:t>
      </w:r>
      <w:r w:rsidR="0082112C">
        <w:rPr>
          <w:b/>
          <w:bCs/>
        </w:rPr>
        <w:t>)</w:t>
      </w:r>
      <w:r w:rsidR="002A7836">
        <w:rPr>
          <w:b/>
          <w:bCs/>
        </w:rPr>
        <w:t>.</w:t>
      </w:r>
      <w:r w:rsidRPr="00F940A6">
        <w:t xml:space="preserve"> </w:t>
      </w:r>
      <w:r w:rsidR="00EE7294" w:rsidRPr="00D55A9A">
        <w:t xml:space="preserve">The </w:t>
      </w:r>
      <w:r w:rsidR="00EE7294" w:rsidRPr="00D55A9A">
        <w:rPr>
          <w:b/>
          <w:bCs/>
        </w:rPr>
        <w:t xml:space="preserve">Eq. </w:t>
      </w:r>
      <w:r w:rsidR="00B7648D">
        <w:rPr>
          <w:b/>
          <w:bCs/>
        </w:rPr>
        <w:t>(</w:t>
      </w:r>
      <w:r w:rsidR="00EE7294" w:rsidRPr="00D55A9A">
        <w:rPr>
          <w:b/>
          <w:bCs/>
        </w:rPr>
        <w:t>2</w:t>
      </w:r>
      <w:r w:rsidR="00B7648D">
        <w:rPr>
          <w:b/>
          <w:bCs/>
        </w:rPr>
        <w:t>)</w:t>
      </w:r>
      <w:r w:rsidR="00EE7294" w:rsidRPr="00EE7294">
        <w:t xml:space="preserve"> presents the energy recovery of the outlet stream of TH. The energy recovery stage is necessary </w:t>
      </w:r>
      <w:r w:rsidR="00B7648D">
        <w:t>to</w:t>
      </w:r>
      <w:r w:rsidR="00EE7294" w:rsidRPr="00EE7294">
        <w:t xml:space="preserve"> not compromise the biological process.</w:t>
      </w:r>
      <w:r w:rsidR="002A7836">
        <w:t xml:space="preserve"> Finally, </w:t>
      </w:r>
      <w:r w:rsidR="002A7836" w:rsidRPr="00F940A6">
        <w:rPr>
          <w:b/>
          <w:bCs/>
        </w:rPr>
        <w:t>Eq</w:t>
      </w:r>
      <w:r w:rsidR="002A7836">
        <w:rPr>
          <w:b/>
          <w:bCs/>
        </w:rPr>
        <w:t>.</w:t>
      </w:r>
      <w:r w:rsidR="002A7836" w:rsidRPr="00F940A6">
        <w:rPr>
          <w:b/>
          <w:bCs/>
        </w:rPr>
        <w:t xml:space="preserve"> </w:t>
      </w:r>
      <w:r w:rsidR="002A7836">
        <w:rPr>
          <w:b/>
          <w:bCs/>
        </w:rPr>
        <w:t>(</w:t>
      </w:r>
      <w:r w:rsidR="002A7836" w:rsidRPr="00F940A6">
        <w:rPr>
          <w:b/>
          <w:bCs/>
        </w:rPr>
        <w:t>3</w:t>
      </w:r>
      <w:r w:rsidR="002A7836">
        <w:rPr>
          <w:b/>
          <w:bCs/>
        </w:rPr>
        <w:t xml:space="preserve">) </w:t>
      </w:r>
      <w:r w:rsidR="002A7836">
        <w:t xml:space="preserve">presents </w:t>
      </w:r>
      <w:r w:rsidR="002A7836" w:rsidRPr="00F940A6">
        <w:t>the total</w:t>
      </w:r>
      <w:r w:rsidR="002A7836">
        <w:t xml:space="preserve"> energy</w:t>
      </w:r>
      <w:r w:rsidR="002A7836" w:rsidRPr="00F940A6">
        <w:t>.</w:t>
      </w:r>
      <w:r w:rsidR="005100D6">
        <w:t xml:space="preserve"> </w:t>
      </w:r>
      <w:r w:rsidRPr="00F940A6">
        <w:t>Biological sludge contains total solids (</w:t>
      </w:r>
      <m:oMath>
        <m:r>
          <w:rPr>
            <w:rFonts w:ascii="Cambria Math" w:hAnsi="Cambria Math"/>
            <w:lang w:val="es-AR"/>
          </w:rPr>
          <m:t>TS</m:t>
        </m:r>
      </m:oMath>
      <w:r w:rsidRPr="00F940A6">
        <w:t xml:space="preserve">) and water. </w:t>
      </w:r>
      <w:r w:rsidR="002E6624">
        <w:t>This</w:t>
      </w:r>
      <w:r w:rsidRPr="00F940A6">
        <w:t xml:space="preserve"> is modeled as a </w:t>
      </w:r>
      <w:r w:rsidR="00421CC3">
        <w:t>binary</w:t>
      </w:r>
      <w:r w:rsidR="00421CC3" w:rsidRPr="00F940A6">
        <w:t xml:space="preserve"> </w:t>
      </w:r>
      <w:r w:rsidRPr="00F940A6">
        <w:t>mixture with its corresponding heat capacity of sludge (</w:t>
      </w:r>
      <m:oMath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  <w:lang w:val="es-AR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  <w:lang w:val="es-AR"/>
              </w:rPr>
              <m:t>Cp</m:t>
            </m:r>
          </m:e>
          <m:sub>
            <m:r>
              <w:rPr>
                <w:rFonts w:ascii="Cambria Math" w:hAnsi="Cambria Math" w:cstheme="minorHAnsi"/>
                <w:color w:val="000000" w:themeColor="text1"/>
                <w:lang w:val="es-AR"/>
              </w:rPr>
              <m:t>sludge</m:t>
            </m:r>
          </m:sub>
        </m:sSub>
      </m:oMath>
      <w:r w:rsidRPr="00F940A6">
        <w:t>) and water (</w:t>
      </w:r>
      <m:oMath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  <w:lang w:val="es-AR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  <w:lang w:val="es-AR"/>
              </w:rPr>
              <m:t>Cp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color w:val="000000" w:themeColor="text1"/>
                    <w:lang w:val="es-AR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00000" w:themeColor="text1"/>
                    <w:lang w:val="es-AR"/>
                  </w:rPr>
                  <m:t>H</m:t>
                </m:r>
              </m:e>
              <m:sub>
                <m:r>
                  <w:rPr>
                    <w:rFonts w:ascii="Cambria Math" w:hAnsi="Cambria Math" w:cstheme="minorHAnsi"/>
                    <w:color w:val="000000" w:themeColor="text1"/>
                  </w:rPr>
                  <m:t>2</m:t>
                </m:r>
              </m:sub>
            </m:sSub>
            <m:r>
              <w:rPr>
                <w:rFonts w:ascii="Cambria Math" w:hAnsi="Cambria Math" w:cstheme="minorHAnsi"/>
                <w:color w:val="000000" w:themeColor="text1"/>
                <w:lang w:val="es-AR"/>
              </w:rPr>
              <m:t>O</m:t>
            </m:r>
          </m:sub>
        </m:sSub>
      </m:oMath>
      <w:r w:rsidRPr="00F940A6">
        <w:t>)</w:t>
      </w:r>
      <w:r w:rsidR="004F2257">
        <w:t>.</w:t>
      </w:r>
      <w:r w:rsidRPr="00F940A6">
        <w:t xml:space="preserve"> </w:t>
      </w:r>
      <w:r w:rsidR="004F2257">
        <w:t>T</w:t>
      </w:r>
      <w:r w:rsidRPr="00F940A6">
        <w:t xml:space="preserve">he calculation and model </w:t>
      </w:r>
      <w:r w:rsidR="002413DC">
        <w:t>were</w:t>
      </w:r>
      <w:r w:rsidR="002413DC" w:rsidRPr="00F940A6">
        <w:t xml:space="preserve"> </w:t>
      </w:r>
      <w:r w:rsidRPr="00F940A6">
        <w:t>performed as</w:t>
      </w:r>
      <w:r w:rsidR="00B7648D">
        <w:t xml:space="preserve"> it was</w:t>
      </w:r>
      <w:r w:rsidRPr="00F940A6">
        <w:t xml:space="preserve"> presented by Barber (202</w:t>
      </w:r>
      <w:r w:rsidR="0082112C">
        <w:t>0</w:t>
      </w:r>
      <w:r w:rsidRPr="00F940A6">
        <w:t>).</w:t>
      </w:r>
    </w:p>
    <w:tbl>
      <w:tblPr>
        <w:tblStyle w:val="Tablaconcuadrcula"/>
        <w:tblW w:w="70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7"/>
        <w:gridCol w:w="450"/>
      </w:tblGrid>
      <w:tr w:rsidR="006D1A00" w14:paraId="3DE59DAC" w14:textId="77777777" w:rsidTr="00D91B76">
        <w:tc>
          <w:tcPr>
            <w:tcW w:w="6637" w:type="dxa"/>
          </w:tcPr>
          <w:p w14:paraId="4BFE2316" w14:textId="77777777" w:rsidR="006D1A00" w:rsidRDefault="00000000" w:rsidP="00D91B76">
            <w:pPr>
              <w:pStyle w:val="Els-body-text"/>
              <w:spacing w:before="120" w:after="120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s-AR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lang w:val="es-AR"/>
                    </w:rPr>
                    <m:t>THdemand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s-A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s-AR"/>
                        </w:rPr>
                        <m:t>TS</m:t>
                      </m:r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color w:val="000000" w:themeColor="text1"/>
                              <w:lang w:val="es-A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lang w:val="es-AR"/>
                            </w:rPr>
                            <m:t>Cp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lang w:val="es-AR"/>
                            </w:rPr>
                            <m:t>sludge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s-A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1-</m:t>
                          </m:r>
                          <m:r>
                            <w:rPr>
                              <w:rFonts w:ascii="Cambria Math" w:hAnsi="Cambria Math"/>
                              <w:lang w:val="es-AR"/>
                            </w:rPr>
                            <m:t>TS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color w:val="000000" w:themeColor="text1"/>
                              <w:lang w:val="es-A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lang w:val="es-AR"/>
                            </w:rPr>
                            <m:t>Cp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i/>
                                  <w:color w:val="000000" w:themeColor="text1"/>
                                  <w:lang w:val="es-A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  <w:color w:val="000000" w:themeColor="text1"/>
                                  <w:lang w:val="es-AR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  <w:color w:val="000000" w:themeColor="text1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lang w:val="es-AR"/>
                            </w:rPr>
                            <m:t>O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lang w:val="es-AR"/>
                        </w:rPr>
                        <m:t>TS</m:t>
                      </m:r>
                    </m:den>
                  </m:f>
                  <m:r>
                    <w:rPr>
                      <w:rFonts w:ascii="Cambria Math" w:hAnsi="Cambria Math"/>
                    </w:rPr>
                    <m:t xml:space="preserve"> 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lang w:val="es-AR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  <w:lang w:val="es-AR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00000" w:themeColor="text1"/>
                          <w:lang w:val="es-AR"/>
                        </w:rPr>
                        <m:t>amb</m:t>
                      </m:r>
                    </m:sub>
                  </m:sSub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lang w:val="es-AR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  <w:lang w:val="es-AR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00000" w:themeColor="text1"/>
                          <w:lang w:val="es-AR"/>
                        </w:rPr>
                        <m:t>TH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  <w:lang w:val="es-AR"/>
                </w:rPr>
                <m:t>η</m:t>
              </m:r>
            </m:oMath>
            <w:r w:rsidR="006D1A00" w:rsidRPr="00251965">
              <w:t xml:space="preserve"> </w:t>
            </w:r>
          </w:p>
        </w:tc>
        <w:tc>
          <w:tcPr>
            <w:tcW w:w="450" w:type="dxa"/>
          </w:tcPr>
          <w:p w14:paraId="6F94E36C" w14:textId="77777777" w:rsidR="006D1A00" w:rsidRDefault="006D1A00" w:rsidP="00D91B76">
            <w:pPr>
              <w:pStyle w:val="Els-body-text"/>
              <w:spacing w:before="120" w:after="120"/>
              <w:jc w:val="right"/>
            </w:pPr>
            <w:r>
              <w:t>[1]</w:t>
            </w:r>
          </w:p>
        </w:tc>
      </w:tr>
      <w:tr w:rsidR="006D1A00" w14:paraId="3EAD27D9" w14:textId="77777777" w:rsidTr="00D91B76">
        <w:tc>
          <w:tcPr>
            <w:tcW w:w="6637" w:type="dxa"/>
          </w:tcPr>
          <w:p w14:paraId="2CDE97A4" w14:textId="77777777" w:rsidR="006D1A00" w:rsidRDefault="00000000" w:rsidP="00D91B76">
            <w:pPr>
              <w:pStyle w:val="Els-body-text"/>
              <w:spacing w:before="120" w:after="120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s-AR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lang w:val="es-AR"/>
                    </w:rPr>
                    <m:t>THrecovery</m:t>
                  </m:r>
                </m:sub>
              </m:sSub>
              <m:r>
                <w:rPr>
                  <w:rFonts w:ascii="Cambria Math" w:hAnsi="Cambria Math"/>
                  <w:lang w:val="en-GB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s-A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s-AR"/>
                        </w:rPr>
                        <m:t>TS</m:t>
                      </m:r>
                      <m:r>
                        <w:rPr>
                          <w:rFonts w:ascii="Cambria Math" w:hAnsi="Cambria Math"/>
                          <w:lang w:val="en-GB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color w:val="000000" w:themeColor="text1"/>
                              <w:lang w:val="es-A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lang w:val="es-AR"/>
                            </w:rPr>
                            <m:t>Cp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lang w:val="es-AR"/>
                            </w:rPr>
                            <m:t>sludge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GB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s-A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1-</m:t>
                          </m:r>
                          <m:r>
                            <w:rPr>
                              <w:rFonts w:ascii="Cambria Math" w:hAnsi="Cambria Math"/>
                              <w:lang w:val="es-AR"/>
                            </w:rPr>
                            <m:t>TS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color w:val="000000" w:themeColor="text1"/>
                              <w:lang w:val="es-A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lang w:val="es-AR"/>
                            </w:rPr>
                            <m:t>Cp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i/>
                                  <w:color w:val="000000" w:themeColor="text1"/>
                                  <w:lang w:val="es-A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  <w:color w:val="000000" w:themeColor="text1"/>
                                  <w:lang w:val="es-AR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  <w:color w:val="000000" w:themeColor="text1"/>
                                  <w:lang w:val="en-GB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lang w:val="es-AR"/>
                            </w:rPr>
                            <m:t>O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lang w:val="es-AR"/>
                        </w:rPr>
                        <m:t>TS</m:t>
                      </m:r>
                    </m:den>
                  </m:f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lang w:val="es-AR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  <w:lang w:val="es-AR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00000" w:themeColor="text1"/>
                          <w:lang w:val="es-AR"/>
                        </w:rPr>
                        <m:t>TH</m:t>
                      </m:r>
                    </m:sub>
                  </m:sSub>
                  <m:r>
                    <w:rPr>
                      <w:rFonts w:ascii="Cambria Math" w:hAnsi="Cambria Math" w:cstheme="minorHAnsi"/>
                      <w:color w:val="000000" w:themeColor="text1"/>
                      <w:lang w:val="en-GB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lang w:val="es-AR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  <w:lang w:val="es-AR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00000" w:themeColor="text1"/>
                          <w:lang w:val="es-AR"/>
                        </w:rPr>
                        <m:t>AD</m:t>
                      </m:r>
                    </m:sub>
                  </m:sSub>
                </m:e>
              </m:d>
              <m:r>
                <w:rPr>
                  <w:rFonts w:ascii="Cambria Math" w:hAnsi="Cambria Math"/>
                  <w:lang w:val="en-GB"/>
                </w:rPr>
                <m:t xml:space="preserve"> </m:t>
              </m:r>
              <m:r>
                <w:rPr>
                  <w:rFonts w:ascii="Cambria Math" w:hAnsi="Cambria Math"/>
                  <w:lang w:val="es-AR"/>
                </w:rPr>
                <m:t>ξ</m:t>
              </m:r>
            </m:oMath>
            <w:r w:rsidR="006D1A00" w:rsidRPr="00251965">
              <w:rPr>
                <w:lang w:val="en-GB"/>
              </w:rPr>
              <w:t xml:space="preserve"> </w:t>
            </w:r>
          </w:p>
        </w:tc>
        <w:tc>
          <w:tcPr>
            <w:tcW w:w="450" w:type="dxa"/>
          </w:tcPr>
          <w:p w14:paraId="726C4558" w14:textId="77777777" w:rsidR="006D1A00" w:rsidRDefault="006D1A00" w:rsidP="00D91B76">
            <w:pPr>
              <w:pStyle w:val="Els-body-text"/>
              <w:spacing w:before="120" w:after="120"/>
              <w:jc w:val="right"/>
            </w:pPr>
            <w:r>
              <w:t>[2]</w:t>
            </w:r>
          </w:p>
        </w:tc>
      </w:tr>
      <w:tr w:rsidR="006D1A00" w14:paraId="454266D1" w14:textId="77777777" w:rsidTr="00D91B76">
        <w:tc>
          <w:tcPr>
            <w:tcW w:w="6637" w:type="dxa"/>
          </w:tcPr>
          <w:p w14:paraId="13DE7272" w14:textId="77777777" w:rsidR="006D1A00" w:rsidRDefault="00000000" w:rsidP="00D91B76">
            <w:pPr>
              <w:pStyle w:val="Els-body-text"/>
              <w:spacing w:before="120" w:after="120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s-AR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lang w:val="es-AR"/>
                    </w:rPr>
                    <m:t>TH</m:t>
                  </m:r>
                </m:sub>
              </m:sSub>
              <m:r>
                <w:rPr>
                  <w:rFonts w:ascii="Cambria Math" w:hAnsi="Cambria Math"/>
                  <w:lang w:val="en-GB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s-AR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lang w:val="es-AR"/>
                    </w:rPr>
                    <m:t>THdemand</m:t>
                  </m:r>
                </m:sub>
              </m:sSub>
              <m:r>
                <w:rPr>
                  <w:rFonts w:ascii="Cambria Math" w:hAnsi="Cambria Math"/>
                  <w:lang w:val="en-GB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s-AR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lang w:val="es-AR"/>
                    </w:rPr>
                    <m:t>THrecovery</m:t>
                  </m:r>
                </m:sub>
              </m:sSub>
            </m:oMath>
            <w:r w:rsidR="006D1A00" w:rsidRPr="00251965">
              <w:rPr>
                <w:lang w:val="en-GB"/>
              </w:rPr>
              <w:t xml:space="preserve"> </w:t>
            </w:r>
          </w:p>
        </w:tc>
        <w:tc>
          <w:tcPr>
            <w:tcW w:w="450" w:type="dxa"/>
          </w:tcPr>
          <w:p w14:paraId="57D9453F" w14:textId="77777777" w:rsidR="006D1A00" w:rsidRDefault="006D1A00" w:rsidP="00D91B76">
            <w:pPr>
              <w:pStyle w:val="Els-body-text"/>
              <w:spacing w:before="120" w:after="120"/>
              <w:jc w:val="right"/>
            </w:pPr>
            <w:r>
              <w:t>[3]</w:t>
            </w:r>
          </w:p>
        </w:tc>
      </w:tr>
    </w:tbl>
    <w:p w14:paraId="6524F259" w14:textId="3A32282B" w:rsidR="005622AD" w:rsidRPr="00A442ED" w:rsidRDefault="005622AD" w:rsidP="00A442ED">
      <w:pPr>
        <w:pStyle w:val="Els-caption"/>
      </w:pPr>
      <w:r w:rsidRPr="00A442ED">
        <w:lastRenderedPageBreak/>
        <w:t xml:space="preserve">Table 1: Summary of parameters used for the developed </w:t>
      </w:r>
      <w:r w:rsidR="00DB2813" w:rsidRPr="00A442ED">
        <w:t>EB</w:t>
      </w:r>
      <w:r w:rsidRPr="00A442ED">
        <w:t>.</w:t>
      </w:r>
    </w:p>
    <w:tbl>
      <w:tblPr>
        <w:tblStyle w:val="Tablaconcuadrcula"/>
        <w:tblW w:w="7479" w:type="dxa"/>
        <w:tblInd w:w="-108" w:type="dxa"/>
        <w:tblLook w:val="04A0" w:firstRow="1" w:lastRow="0" w:firstColumn="1" w:lastColumn="0" w:noHBand="0" w:noVBand="1"/>
      </w:tblPr>
      <w:tblGrid>
        <w:gridCol w:w="2617"/>
        <w:gridCol w:w="65"/>
        <w:gridCol w:w="862"/>
        <w:gridCol w:w="64"/>
        <w:gridCol w:w="712"/>
        <w:gridCol w:w="160"/>
        <w:gridCol w:w="1201"/>
        <w:gridCol w:w="401"/>
        <w:gridCol w:w="1397"/>
      </w:tblGrid>
      <w:tr w:rsidR="005622AD" w14:paraId="196ACD3B" w14:textId="77777777" w:rsidTr="00651F8E">
        <w:tc>
          <w:tcPr>
            <w:tcW w:w="7479" w:type="dxa"/>
            <w:gridSpan w:val="9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5723512" w14:textId="77777777" w:rsidR="005622AD" w:rsidRDefault="005622AD" w:rsidP="00D91B76">
            <w:pPr>
              <w:pStyle w:val="Els-body-text"/>
            </w:pPr>
            <w:r>
              <w:t>Parameters</w:t>
            </w:r>
          </w:p>
        </w:tc>
      </w:tr>
      <w:tr w:rsidR="005622AD" w14:paraId="775B6668" w14:textId="77777777" w:rsidTr="00651F8E">
        <w:tc>
          <w:tcPr>
            <w:tcW w:w="2682" w:type="dxa"/>
            <w:gridSpan w:val="2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3150142C" w14:textId="77777777" w:rsidR="005622AD" w:rsidRDefault="005622AD" w:rsidP="00D91B76">
            <w:pPr>
              <w:pStyle w:val="Els-body-text"/>
            </w:pPr>
          </w:p>
        </w:tc>
        <w:tc>
          <w:tcPr>
            <w:tcW w:w="926" w:type="dxa"/>
            <w:gridSpan w:val="2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68229740" w14:textId="77777777" w:rsidR="005622AD" w:rsidRDefault="005622AD" w:rsidP="00D91B76">
            <w:pPr>
              <w:pStyle w:val="Els-body-text"/>
            </w:pPr>
            <w:r w:rsidRPr="004A5AB2">
              <w:t>Symbol</w:t>
            </w:r>
          </w:p>
        </w:tc>
        <w:tc>
          <w:tcPr>
            <w:tcW w:w="712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12116618" w14:textId="77777777" w:rsidR="005622AD" w:rsidRDefault="005622AD" w:rsidP="00D91B76">
            <w:pPr>
              <w:pStyle w:val="Els-body-text"/>
            </w:pPr>
            <w:r>
              <w:t>Value</w:t>
            </w:r>
          </w:p>
        </w:tc>
        <w:tc>
          <w:tcPr>
            <w:tcW w:w="1361" w:type="dxa"/>
            <w:gridSpan w:val="2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40865327" w14:textId="77777777" w:rsidR="005622AD" w:rsidRDefault="005622AD" w:rsidP="00D91B76">
            <w:pPr>
              <w:pStyle w:val="Els-body-text"/>
            </w:pPr>
            <w:r w:rsidRPr="004A5AB2">
              <w:t>Units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7C30CDFD" w14:textId="77777777" w:rsidR="005622AD" w:rsidRDefault="005622AD" w:rsidP="00D91B76">
            <w:pPr>
              <w:pStyle w:val="Els-body-text"/>
            </w:pPr>
            <w:r w:rsidRPr="004A5AB2">
              <w:t>References</w:t>
            </w:r>
          </w:p>
        </w:tc>
      </w:tr>
      <w:tr w:rsidR="005622AD" w14:paraId="017D3AEF" w14:textId="77777777" w:rsidTr="00651F8E">
        <w:trPr>
          <w:trHeight w:val="297"/>
        </w:trPr>
        <w:tc>
          <w:tcPr>
            <w:tcW w:w="2682" w:type="dxa"/>
            <w:gridSpan w:val="2"/>
            <w:tcBorders>
              <w:left w:val="nil"/>
              <w:right w:val="nil"/>
            </w:tcBorders>
            <w:vAlign w:val="center"/>
          </w:tcPr>
          <w:p w14:paraId="08749B98" w14:textId="77777777" w:rsidR="005622AD" w:rsidRDefault="005622AD" w:rsidP="00D91B76">
            <w:pPr>
              <w:pStyle w:val="Els-body-text"/>
            </w:pPr>
            <w:r w:rsidRPr="00372B7F">
              <w:t>Ambient temperature</w:t>
            </w:r>
          </w:p>
        </w:tc>
        <w:tc>
          <w:tcPr>
            <w:tcW w:w="926" w:type="dxa"/>
            <w:gridSpan w:val="2"/>
            <w:tcBorders>
              <w:left w:val="nil"/>
              <w:right w:val="nil"/>
            </w:tcBorders>
            <w:vAlign w:val="center"/>
          </w:tcPr>
          <w:p w14:paraId="7C81DAC6" w14:textId="77777777" w:rsidR="005622AD" w:rsidRDefault="00000000" w:rsidP="00D91B76">
            <w:pPr>
              <w:pStyle w:val="Els-body-tex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amb</m:t>
                  </m:r>
                </m:sub>
              </m:sSub>
            </m:oMath>
            <w:r w:rsidR="005622AD">
              <w:t xml:space="preserve"> </w:t>
            </w:r>
          </w:p>
        </w:tc>
        <w:tc>
          <w:tcPr>
            <w:tcW w:w="712" w:type="dxa"/>
            <w:tcBorders>
              <w:left w:val="nil"/>
              <w:right w:val="nil"/>
            </w:tcBorders>
            <w:vAlign w:val="center"/>
          </w:tcPr>
          <w:p w14:paraId="1CB2E5DA" w14:textId="77777777" w:rsidR="005622AD" w:rsidRDefault="005622AD" w:rsidP="00D91B76">
            <w:pPr>
              <w:pStyle w:val="Els-body-text"/>
            </w:pPr>
            <w:r>
              <w:t>20</w:t>
            </w:r>
          </w:p>
        </w:tc>
        <w:tc>
          <w:tcPr>
            <w:tcW w:w="1361" w:type="dxa"/>
            <w:gridSpan w:val="2"/>
            <w:tcBorders>
              <w:left w:val="nil"/>
              <w:right w:val="nil"/>
            </w:tcBorders>
            <w:vAlign w:val="center"/>
          </w:tcPr>
          <w:p w14:paraId="1628A2DB" w14:textId="77777777" w:rsidR="005622AD" w:rsidRDefault="005622AD" w:rsidP="00D91B76">
            <w:pPr>
              <w:pStyle w:val="Els-body-text"/>
            </w:pPr>
            <w:r>
              <w:t>°C</w:t>
            </w:r>
          </w:p>
        </w:tc>
        <w:tc>
          <w:tcPr>
            <w:tcW w:w="1798" w:type="dxa"/>
            <w:gridSpan w:val="2"/>
            <w:tcBorders>
              <w:left w:val="nil"/>
              <w:right w:val="nil"/>
            </w:tcBorders>
            <w:vAlign w:val="center"/>
          </w:tcPr>
          <w:p w14:paraId="2FFC6A0D" w14:textId="5F7A1CC3" w:rsidR="005622AD" w:rsidRDefault="00C77406" w:rsidP="00651F8E">
            <w:pPr>
              <w:pStyle w:val="Els-body-text"/>
              <w:jc w:val="right"/>
            </w:pPr>
            <w:r>
              <w:t>Assumed</w:t>
            </w:r>
          </w:p>
        </w:tc>
      </w:tr>
      <w:tr w:rsidR="005622AD" w14:paraId="3313FADD" w14:textId="77777777" w:rsidTr="00651F8E">
        <w:trPr>
          <w:trHeight w:val="287"/>
        </w:trPr>
        <w:tc>
          <w:tcPr>
            <w:tcW w:w="2682" w:type="dxa"/>
            <w:gridSpan w:val="2"/>
            <w:tcBorders>
              <w:left w:val="nil"/>
              <w:right w:val="nil"/>
            </w:tcBorders>
            <w:vAlign w:val="center"/>
          </w:tcPr>
          <w:p w14:paraId="3C4A9DDE" w14:textId="77777777" w:rsidR="005622AD" w:rsidRDefault="005622AD" w:rsidP="00D91B76">
            <w:pPr>
              <w:pStyle w:val="Els-body-text"/>
            </w:pPr>
            <w:r w:rsidRPr="00372B7F">
              <w:t>Temperature AD</w:t>
            </w:r>
          </w:p>
        </w:tc>
        <w:tc>
          <w:tcPr>
            <w:tcW w:w="926" w:type="dxa"/>
            <w:gridSpan w:val="2"/>
            <w:tcBorders>
              <w:left w:val="nil"/>
              <w:right w:val="nil"/>
            </w:tcBorders>
            <w:vAlign w:val="center"/>
          </w:tcPr>
          <w:p w14:paraId="15972C96" w14:textId="77777777" w:rsidR="005622AD" w:rsidRDefault="00000000" w:rsidP="00D91B76">
            <w:pPr>
              <w:pStyle w:val="Els-body-tex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AD</m:t>
                  </m:r>
                </m:sub>
              </m:sSub>
            </m:oMath>
            <w:r w:rsidR="005622AD">
              <w:t xml:space="preserve"> </w:t>
            </w:r>
          </w:p>
        </w:tc>
        <w:tc>
          <w:tcPr>
            <w:tcW w:w="712" w:type="dxa"/>
            <w:tcBorders>
              <w:left w:val="nil"/>
              <w:right w:val="nil"/>
            </w:tcBorders>
            <w:vAlign w:val="center"/>
          </w:tcPr>
          <w:p w14:paraId="63963AC0" w14:textId="77777777" w:rsidR="005622AD" w:rsidRDefault="005622AD" w:rsidP="00D91B76">
            <w:pPr>
              <w:pStyle w:val="Els-body-text"/>
            </w:pPr>
            <w:r>
              <w:t>37</w:t>
            </w:r>
          </w:p>
        </w:tc>
        <w:tc>
          <w:tcPr>
            <w:tcW w:w="1361" w:type="dxa"/>
            <w:gridSpan w:val="2"/>
            <w:tcBorders>
              <w:left w:val="nil"/>
              <w:right w:val="nil"/>
            </w:tcBorders>
            <w:vAlign w:val="center"/>
          </w:tcPr>
          <w:p w14:paraId="1558C3CD" w14:textId="77777777" w:rsidR="005622AD" w:rsidRDefault="005622AD" w:rsidP="00D91B76">
            <w:pPr>
              <w:pStyle w:val="Els-body-text"/>
            </w:pPr>
            <w:r>
              <w:t>°C</w:t>
            </w:r>
          </w:p>
        </w:tc>
        <w:tc>
          <w:tcPr>
            <w:tcW w:w="1798" w:type="dxa"/>
            <w:gridSpan w:val="2"/>
            <w:tcBorders>
              <w:left w:val="nil"/>
              <w:right w:val="nil"/>
            </w:tcBorders>
            <w:vAlign w:val="center"/>
          </w:tcPr>
          <w:p w14:paraId="095C401B" w14:textId="0EA3A779" w:rsidR="005622AD" w:rsidRDefault="00C77406" w:rsidP="00651F8E">
            <w:pPr>
              <w:pStyle w:val="Els-body-text"/>
              <w:jc w:val="right"/>
            </w:pPr>
            <w:r>
              <w:t>Assumed</w:t>
            </w:r>
          </w:p>
        </w:tc>
      </w:tr>
      <w:tr w:rsidR="005622AD" w14:paraId="5756FD43" w14:textId="77777777" w:rsidTr="00651F8E">
        <w:tc>
          <w:tcPr>
            <w:tcW w:w="2682" w:type="dxa"/>
            <w:gridSpan w:val="2"/>
            <w:tcBorders>
              <w:left w:val="nil"/>
              <w:right w:val="nil"/>
            </w:tcBorders>
            <w:vAlign w:val="center"/>
          </w:tcPr>
          <w:p w14:paraId="208BCCD3" w14:textId="77777777" w:rsidR="005622AD" w:rsidRDefault="005622AD" w:rsidP="00D91B76">
            <w:pPr>
              <w:pStyle w:val="Els-body-text"/>
            </w:pPr>
            <w:r w:rsidRPr="00372B7F">
              <w:t>Wet sludge density</w:t>
            </w:r>
          </w:p>
        </w:tc>
        <w:tc>
          <w:tcPr>
            <w:tcW w:w="926" w:type="dxa"/>
            <w:gridSpan w:val="2"/>
            <w:tcBorders>
              <w:left w:val="nil"/>
              <w:right w:val="nil"/>
            </w:tcBorders>
            <w:vAlign w:val="center"/>
          </w:tcPr>
          <w:p w14:paraId="2E3D7AA4" w14:textId="77777777" w:rsidR="005622AD" w:rsidRDefault="005622AD" w:rsidP="00D91B76">
            <w:pPr>
              <w:pStyle w:val="Els-body-text"/>
            </w:pPr>
            <w:r>
              <w:t>ρ</w:t>
            </w:r>
          </w:p>
        </w:tc>
        <w:tc>
          <w:tcPr>
            <w:tcW w:w="712" w:type="dxa"/>
            <w:tcBorders>
              <w:left w:val="nil"/>
              <w:right w:val="nil"/>
            </w:tcBorders>
            <w:vAlign w:val="center"/>
          </w:tcPr>
          <w:p w14:paraId="0796C411" w14:textId="77777777" w:rsidR="005622AD" w:rsidRDefault="005622AD" w:rsidP="00D91B76">
            <w:pPr>
              <w:pStyle w:val="Els-body-text"/>
            </w:pPr>
            <w:r>
              <w:t>1000</w:t>
            </w:r>
          </w:p>
        </w:tc>
        <w:tc>
          <w:tcPr>
            <w:tcW w:w="1361" w:type="dxa"/>
            <w:gridSpan w:val="2"/>
            <w:tcBorders>
              <w:left w:val="nil"/>
              <w:right w:val="nil"/>
            </w:tcBorders>
            <w:vAlign w:val="center"/>
          </w:tcPr>
          <w:p w14:paraId="3DEC7586" w14:textId="77777777" w:rsidR="005622AD" w:rsidRDefault="005622AD" w:rsidP="00D91B76">
            <w:pPr>
              <w:pStyle w:val="Els-body-text"/>
            </w:pPr>
            <w:r>
              <w:t>kg m</w:t>
            </w:r>
            <w:r>
              <w:rPr>
                <w:vertAlign w:val="superscript"/>
              </w:rPr>
              <w:t>-3</w:t>
            </w:r>
          </w:p>
        </w:tc>
        <w:tc>
          <w:tcPr>
            <w:tcW w:w="1798" w:type="dxa"/>
            <w:gridSpan w:val="2"/>
            <w:tcBorders>
              <w:left w:val="nil"/>
              <w:right w:val="nil"/>
            </w:tcBorders>
            <w:vAlign w:val="center"/>
          </w:tcPr>
          <w:p w14:paraId="33657C1C" w14:textId="77777777" w:rsidR="005622AD" w:rsidRDefault="005622AD" w:rsidP="00651F8E">
            <w:pPr>
              <w:pStyle w:val="Els-body-text"/>
              <w:jc w:val="right"/>
            </w:pPr>
            <w:bookmarkStart w:id="0" w:name="_Hlk151231619"/>
            <w:r w:rsidRPr="008D5E6C">
              <w:rPr>
                <w:color w:val="000000"/>
                <w:lang w:val="es-AR" w:eastAsia="fr-FR"/>
              </w:rPr>
              <w:t>Xiao et al. 2018</w:t>
            </w:r>
            <w:bookmarkEnd w:id="0"/>
          </w:p>
        </w:tc>
      </w:tr>
      <w:tr w:rsidR="005622AD" w14:paraId="3075D966" w14:textId="77777777" w:rsidTr="00651F8E">
        <w:tc>
          <w:tcPr>
            <w:tcW w:w="2682" w:type="dxa"/>
            <w:gridSpan w:val="2"/>
            <w:tcBorders>
              <w:left w:val="nil"/>
              <w:right w:val="nil"/>
            </w:tcBorders>
            <w:vAlign w:val="center"/>
          </w:tcPr>
          <w:p w14:paraId="3F3ECAEE" w14:textId="38098B55" w:rsidR="005622AD" w:rsidRDefault="005622AD" w:rsidP="00D91B76">
            <w:pPr>
              <w:pStyle w:val="Els-body-text"/>
            </w:pPr>
            <w:r w:rsidRPr="00372B7F">
              <w:t>Time of residence A</w:t>
            </w:r>
            <w:r w:rsidR="00DE4450">
              <w:t>D</w:t>
            </w:r>
          </w:p>
        </w:tc>
        <w:tc>
          <w:tcPr>
            <w:tcW w:w="926" w:type="dxa"/>
            <w:gridSpan w:val="2"/>
            <w:tcBorders>
              <w:left w:val="nil"/>
              <w:right w:val="nil"/>
            </w:tcBorders>
            <w:vAlign w:val="center"/>
          </w:tcPr>
          <w:p w14:paraId="66FBF343" w14:textId="77777777" w:rsidR="005622AD" w:rsidRDefault="005622AD" w:rsidP="00D91B76">
            <w:pPr>
              <w:pStyle w:val="Els-body-text"/>
            </w:pPr>
            <w:r>
              <w:t>τ</w:t>
            </w:r>
          </w:p>
        </w:tc>
        <w:tc>
          <w:tcPr>
            <w:tcW w:w="712" w:type="dxa"/>
            <w:tcBorders>
              <w:left w:val="nil"/>
              <w:right w:val="nil"/>
            </w:tcBorders>
            <w:vAlign w:val="center"/>
          </w:tcPr>
          <w:p w14:paraId="6AB03345" w14:textId="77777777" w:rsidR="005622AD" w:rsidRDefault="005622AD" w:rsidP="00D91B76">
            <w:pPr>
              <w:pStyle w:val="Els-body-text"/>
            </w:pPr>
            <w:r>
              <w:t>30</w:t>
            </w:r>
          </w:p>
        </w:tc>
        <w:tc>
          <w:tcPr>
            <w:tcW w:w="1361" w:type="dxa"/>
            <w:gridSpan w:val="2"/>
            <w:tcBorders>
              <w:left w:val="nil"/>
              <w:right w:val="nil"/>
            </w:tcBorders>
            <w:vAlign w:val="center"/>
          </w:tcPr>
          <w:p w14:paraId="04ABC76B" w14:textId="77777777" w:rsidR="005622AD" w:rsidRPr="00372B7F" w:rsidRDefault="005622AD" w:rsidP="00D91B76">
            <w:pPr>
              <w:pStyle w:val="Els-body-text"/>
              <w:rPr>
                <w:vertAlign w:val="superscript"/>
              </w:rPr>
            </w:pPr>
            <w:r>
              <w:t>days</w:t>
            </w:r>
          </w:p>
        </w:tc>
        <w:tc>
          <w:tcPr>
            <w:tcW w:w="1798" w:type="dxa"/>
            <w:gridSpan w:val="2"/>
            <w:tcBorders>
              <w:left w:val="nil"/>
              <w:right w:val="nil"/>
            </w:tcBorders>
            <w:vAlign w:val="center"/>
          </w:tcPr>
          <w:p w14:paraId="4D0E162F" w14:textId="77777777" w:rsidR="005622AD" w:rsidRDefault="005622AD" w:rsidP="00651F8E">
            <w:pPr>
              <w:pStyle w:val="Els-body-text"/>
              <w:jc w:val="right"/>
            </w:pPr>
            <w:r w:rsidRPr="008D5E6C">
              <w:rPr>
                <w:color w:val="000000"/>
                <w:lang w:val="es-AR" w:eastAsia="fr-FR"/>
              </w:rPr>
              <w:t>Xiao et al. 2018</w:t>
            </w:r>
          </w:p>
        </w:tc>
      </w:tr>
      <w:tr w:rsidR="005622AD" w14:paraId="7BFAFD7A" w14:textId="77777777" w:rsidTr="00651F8E">
        <w:tc>
          <w:tcPr>
            <w:tcW w:w="2682" w:type="dxa"/>
            <w:gridSpan w:val="2"/>
            <w:tcBorders>
              <w:left w:val="nil"/>
              <w:right w:val="nil"/>
            </w:tcBorders>
            <w:vAlign w:val="center"/>
          </w:tcPr>
          <w:p w14:paraId="3421ED1B" w14:textId="77777777" w:rsidR="005622AD" w:rsidRDefault="005622AD" w:rsidP="00D91B76">
            <w:pPr>
              <w:pStyle w:val="Els-body-text"/>
            </w:pPr>
            <w:r w:rsidRPr="00372B7F">
              <w:t>Energy requirement associated with pumping</w:t>
            </w:r>
          </w:p>
        </w:tc>
        <w:tc>
          <w:tcPr>
            <w:tcW w:w="926" w:type="dxa"/>
            <w:gridSpan w:val="2"/>
            <w:tcBorders>
              <w:left w:val="nil"/>
              <w:right w:val="nil"/>
            </w:tcBorders>
            <w:vAlign w:val="center"/>
          </w:tcPr>
          <w:p w14:paraId="1491F07D" w14:textId="77777777" w:rsidR="005622AD" w:rsidRDefault="005622AD" w:rsidP="00D91B76">
            <w:pPr>
              <w:pStyle w:val="Els-body-text"/>
            </w:pPr>
            <w:r>
              <w:t>θ</w:t>
            </w:r>
          </w:p>
        </w:tc>
        <w:tc>
          <w:tcPr>
            <w:tcW w:w="712" w:type="dxa"/>
            <w:tcBorders>
              <w:left w:val="nil"/>
              <w:right w:val="nil"/>
            </w:tcBorders>
            <w:vAlign w:val="center"/>
          </w:tcPr>
          <w:p w14:paraId="3DC3B06B" w14:textId="77777777" w:rsidR="005622AD" w:rsidRDefault="005622AD" w:rsidP="00D91B76">
            <w:pPr>
              <w:pStyle w:val="Els-body-text"/>
            </w:pPr>
            <w:r>
              <w:t>0.5</w:t>
            </w:r>
          </w:p>
        </w:tc>
        <w:tc>
          <w:tcPr>
            <w:tcW w:w="1361" w:type="dxa"/>
            <w:gridSpan w:val="2"/>
            <w:tcBorders>
              <w:left w:val="nil"/>
              <w:right w:val="nil"/>
            </w:tcBorders>
            <w:vAlign w:val="center"/>
          </w:tcPr>
          <w:p w14:paraId="1753DDE1" w14:textId="77777777" w:rsidR="005622AD" w:rsidRDefault="005622AD" w:rsidP="00D91B76">
            <w:pPr>
              <w:pStyle w:val="Els-body-text"/>
            </w:pPr>
            <w:r>
              <w:t>kWh m</w:t>
            </w:r>
            <w:r>
              <w:rPr>
                <w:vertAlign w:val="superscript"/>
              </w:rPr>
              <w:t>-3</w:t>
            </w:r>
          </w:p>
        </w:tc>
        <w:tc>
          <w:tcPr>
            <w:tcW w:w="1798" w:type="dxa"/>
            <w:gridSpan w:val="2"/>
            <w:tcBorders>
              <w:left w:val="nil"/>
              <w:right w:val="nil"/>
            </w:tcBorders>
            <w:vAlign w:val="center"/>
          </w:tcPr>
          <w:p w14:paraId="0773AE86" w14:textId="77777777" w:rsidR="005622AD" w:rsidRDefault="005622AD" w:rsidP="00651F8E">
            <w:pPr>
              <w:pStyle w:val="Els-body-text"/>
              <w:jc w:val="right"/>
            </w:pPr>
            <w:r w:rsidRPr="008D5E6C">
              <w:rPr>
                <w:color w:val="000000"/>
                <w:lang w:val="es-AR" w:eastAsia="fr-FR"/>
              </w:rPr>
              <w:t>Lu et al. 2008</w:t>
            </w:r>
          </w:p>
        </w:tc>
      </w:tr>
      <w:tr w:rsidR="005622AD" w14:paraId="56F6E86D" w14:textId="77777777" w:rsidTr="00651F8E">
        <w:tc>
          <w:tcPr>
            <w:tcW w:w="2682" w:type="dxa"/>
            <w:gridSpan w:val="2"/>
            <w:tcBorders>
              <w:left w:val="nil"/>
              <w:right w:val="nil"/>
            </w:tcBorders>
            <w:vAlign w:val="center"/>
          </w:tcPr>
          <w:p w14:paraId="66DB375D" w14:textId="76F905D9" w:rsidR="005622AD" w:rsidRDefault="005622AD" w:rsidP="00D91B76">
            <w:pPr>
              <w:pStyle w:val="Els-body-text"/>
            </w:pPr>
            <w:r w:rsidRPr="0082112C">
              <w:t>Energy requirement associated with A</w:t>
            </w:r>
            <w:r w:rsidR="00DE4450">
              <w:t>D</w:t>
            </w:r>
            <w:r w:rsidRPr="0082112C">
              <w:t xml:space="preserve"> agitation.</w:t>
            </w:r>
          </w:p>
        </w:tc>
        <w:tc>
          <w:tcPr>
            <w:tcW w:w="926" w:type="dxa"/>
            <w:gridSpan w:val="2"/>
            <w:tcBorders>
              <w:left w:val="nil"/>
              <w:right w:val="nil"/>
            </w:tcBorders>
            <w:vAlign w:val="center"/>
          </w:tcPr>
          <w:p w14:paraId="02E7E958" w14:textId="77777777" w:rsidR="005622AD" w:rsidRDefault="005622AD" w:rsidP="00D91B76">
            <w:pPr>
              <w:pStyle w:val="Els-body-text"/>
            </w:pPr>
            <w:r>
              <w:t>ω</w:t>
            </w:r>
          </w:p>
        </w:tc>
        <w:tc>
          <w:tcPr>
            <w:tcW w:w="712" w:type="dxa"/>
            <w:tcBorders>
              <w:left w:val="nil"/>
              <w:right w:val="nil"/>
            </w:tcBorders>
            <w:vAlign w:val="center"/>
          </w:tcPr>
          <w:p w14:paraId="15EF806E" w14:textId="77777777" w:rsidR="005622AD" w:rsidRDefault="005622AD" w:rsidP="00D91B76">
            <w:pPr>
              <w:pStyle w:val="Els-body-text"/>
            </w:pPr>
            <w:r>
              <w:t>0.083</w:t>
            </w:r>
          </w:p>
        </w:tc>
        <w:tc>
          <w:tcPr>
            <w:tcW w:w="1361" w:type="dxa"/>
            <w:gridSpan w:val="2"/>
            <w:tcBorders>
              <w:left w:val="nil"/>
              <w:right w:val="nil"/>
            </w:tcBorders>
            <w:vAlign w:val="center"/>
          </w:tcPr>
          <w:p w14:paraId="201EBCEE" w14:textId="77777777" w:rsidR="005622AD" w:rsidRDefault="005622AD" w:rsidP="00D91B76">
            <w:pPr>
              <w:pStyle w:val="Els-body-text"/>
            </w:pPr>
            <w:r>
              <w:t>kWh m</w:t>
            </w:r>
            <w:r>
              <w:rPr>
                <w:vertAlign w:val="superscript"/>
              </w:rPr>
              <w:t>-3</w:t>
            </w:r>
            <w:r>
              <w:t xml:space="preserve"> d</w:t>
            </w:r>
            <w:r>
              <w:rPr>
                <w:vertAlign w:val="superscript"/>
              </w:rPr>
              <w:t>-1</w:t>
            </w:r>
          </w:p>
        </w:tc>
        <w:tc>
          <w:tcPr>
            <w:tcW w:w="1798" w:type="dxa"/>
            <w:gridSpan w:val="2"/>
            <w:tcBorders>
              <w:left w:val="nil"/>
              <w:right w:val="nil"/>
            </w:tcBorders>
            <w:vAlign w:val="center"/>
          </w:tcPr>
          <w:p w14:paraId="5642AD15" w14:textId="77777777" w:rsidR="005622AD" w:rsidRDefault="005622AD" w:rsidP="00651F8E">
            <w:pPr>
              <w:pStyle w:val="Els-body-text"/>
              <w:jc w:val="right"/>
            </w:pPr>
            <w:r w:rsidRPr="008D5E6C">
              <w:rPr>
                <w:color w:val="000000"/>
                <w:lang w:val="es-AR" w:eastAsia="fr-FR"/>
              </w:rPr>
              <w:t>Lu et al. 2008</w:t>
            </w:r>
          </w:p>
        </w:tc>
      </w:tr>
      <w:tr w:rsidR="005622AD" w14:paraId="26B1F6C2" w14:textId="77777777" w:rsidTr="00651F8E">
        <w:tc>
          <w:tcPr>
            <w:tcW w:w="2682" w:type="dxa"/>
            <w:gridSpan w:val="2"/>
            <w:tcBorders>
              <w:left w:val="nil"/>
              <w:right w:val="nil"/>
            </w:tcBorders>
            <w:vAlign w:val="center"/>
          </w:tcPr>
          <w:p w14:paraId="593F89B8" w14:textId="77777777" w:rsidR="005622AD" w:rsidRPr="00372B7F" w:rsidRDefault="005622AD" w:rsidP="00D91B76">
            <w:pPr>
              <w:pStyle w:val="Els-body-text"/>
            </w:pPr>
            <w:r w:rsidRPr="0082112C">
              <w:t>Lower calorific value biogas</w:t>
            </w:r>
          </w:p>
        </w:tc>
        <w:tc>
          <w:tcPr>
            <w:tcW w:w="926" w:type="dxa"/>
            <w:gridSpan w:val="2"/>
            <w:tcBorders>
              <w:left w:val="nil"/>
              <w:right w:val="nil"/>
            </w:tcBorders>
            <w:vAlign w:val="center"/>
          </w:tcPr>
          <w:p w14:paraId="759335CD" w14:textId="77777777" w:rsidR="005622AD" w:rsidRDefault="005622AD" w:rsidP="00D91B76">
            <w:pPr>
              <w:pStyle w:val="Els-body-text"/>
            </w:pPr>
            <m:oMath>
              <m:r>
                <w:rPr>
                  <w:rFonts w:ascii="Cambria Math" w:hAnsi="Cambria Math"/>
                </w:rPr>
                <m:t>LHV</m:t>
              </m:r>
            </m:oMath>
            <w:r>
              <w:t xml:space="preserve"> </w:t>
            </w:r>
          </w:p>
        </w:tc>
        <w:tc>
          <w:tcPr>
            <w:tcW w:w="712" w:type="dxa"/>
            <w:tcBorders>
              <w:left w:val="nil"/>
              <w:right w:val="nil"/>
            </w:tcBorders>
            <w:vAlign w:val="center"/>
          </w:tcPr>
          <w:p w14:paraId="2B83F122" w14:textId="77777777" w:rsidR="005622AD" w:rsidRDefault="005622AD" w:rsidP="00D91B76">
            <w:pPr>
              <w:pStyle w:val="Els-body-text"/>
            </w:pPr>
            <w:r>
              <w:t>9.94</w:t>
            </w:r>
          </w:p>
        </w:tc>
        <w:tc>
          <w:tcPr>
            <w:tcW w:w="1361" w:type="dxa"/>
            <w:gridSpan w:val="2"/>
            <w:tcBorders>
              <w:left w:val="nil"/>
              <w:right w:val="nil"/>
            </w:tcBorders>
            <w:vAlign w:val="center"/>
          </w:tcPr>
          <w:p w14:paraId="7FC68256" w14:textId="77777777" w:rsidR="005622AD" w:rsidRDefault="005622AD" w:rsidP="00D91B76">
            <w:pPr>
              <w:pStyle w:val="Els-body-text"/>
            </w:pPr>
            <w:r>
              <w:t>kWh Nm</w:t>
            </w:r>
            <w:r>
              <w:rPr>
                <w:vertAlign w:val="superscript"/>
              </w:rPr>
              <w:t>-3</w:t>
            </w:r>
            <w:r>
              <w:rPr>
                <w:vertAlign w:val="subscript"/>
              </w:rPr>
              <w:t>CH4</w:t>
            </w:r>
          </w:p>
        </w:tc>
        <w:tc>
          <w:tcPr>
            <w:tcW w:w="1798" w:type="dxa"/>
            <w:gridSpan w:val="2"/>
            <w:tcBorders>
              <w:left w:val="nil"/>
              <w:right w:val="nil"/>
            </w:tcBorders>
            <w:vAlign w:val="center"/>
          </w:tcPr>
          <w:p w14:paraId="7D83070A" w14:textId="77777777" w:rsidR="005622AD" w:rsidRPr="008D5E6C" w:rsidRDefault="005622AD" w:rsidP="00651F8E">
            <w:pPr>
              <w:pStyle w:val="Els-body-text"/>
              <w:jc w:val="right"/>
              <w:rPr>
                <w:color w:val="000000"/>
                <w:lang w:val="es-AR" w:eastAsia="fr-FR"/>
              </w:rPr>
            </w:pPr>
            <w:bookmarkStart w:id="1" w:name="_Hlk151231630"/>
            <w:r w:rsidRPr="008D5E6C">
              <w:rPr>
                <w:color w:val="000000"/>
                <w:lang w:val="es-AR" w:eastAsia="fr-FR"/>
              </w:rPr>
              <w:t>Metcalf</w:t>
            </w:r>
            <w:r>
              <w:rPr>
                <w:color w:val="000000"/>
                <w:lang w:val="es-AR" w:eastAsia="fr-FR"/>
              </w:rPr>
              <w:t xml:space="preserve"> &amp; </w:t>
            </w:r>
            <w:r w:rsidRPr="008D5E6C">
              <w:rPr>
                <w:color w:val="000000"/>
                <w:lang w:val="es-AR" w:eastAsia="fr-FR"/>
              </w:rPr>
              <w:t>Eddy</w:t>
            </w:r>
            <w:r>
              <w:rPr>
                <w:color w:val="000000"/>
                <w:lang w:val="es-AR" w:eastAsia="fr-FR"/>
              </w:rPr>
              <w:t>,</w:t>
            </w:r>
            <w:r w:rsidRPr="008D5E6C">
              <w:rPr>
                <w:color w:val="000000"/>
                <w:lang w:val="es-AR" w:eastAsia="fr-FR"/>
              </w:rPr>
              <w:t xml:space="preserve"> 2003</w:t>
            </w:r>
            <w:bookmarkEnd w:id="1"/>
          </w:p>
        </w:tc>
      </w:tr>
      <w:tr w:rsidR="005622AD" w14:paraId="22257A8C" w14:textId="77777777" w:rsidTr="00651F8E">
        <w:trPr>
          <w:trHeight w:val="330"/>
        </w:trPr>
        <w:tc>
          <w:tcPr>
            <w:tcW w:w="2682" w:type="dxa"/>
            <w:gridSpan w:val="2"/>
            <w:tcBorders>
              <w:left w:val="nil"/>
              <w:right w:val="nil"/>
            </w:tcBorders>
            <w:vAlign w:val="center"/>
          </w:tcPr>
          <w:p w14:paraId="14542827" w14:textId="77777777" w:rsidR="005622AD" w:rsidRPr="0082112C" w:rsidRDefault="005622AD" w:rsidP="00D91B76">
            <w:pPr>
              <w:pStyle w:val="Els-body-text"/>
            </w:pPr>
            <w:r>
              <w:t>E</w:t>
            </w:r>
            <w:r w:rsidRPr="0082112C">
              <w:t>nergy recovery efficiency</w:t>
            </w:r>
          </w:p>
        </w:tc>
        <w:tc>
          <w:tcPr>
            <w:tcW w:w="926" w:type="dxa"/>
            <w:gridSpan w:val="2"/>
            <w:tcBorders>
              <w:left w:val="nil"/>
              <w:right w:val="nil"/>
            </w:tcBorders>
            <w:vAlign w:val="center"/>
          </w:tcPr>
          <w:p w14:paraId="7B951211" w14:textId="77777777" w:rsidR="005622AD" w:rsidRDefault="00000000" w:rsidP="00D91B76">
            <w:pPr>
              <w:pStyle w:val="Els-body-tex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η</m:t>
                  </m:r>
                </m:e>
                <m:sub>
                  <m:r>
                    <w:rPr>
                      <w:rFonts w:ascii="Cambria Math" w:hAnsi="Cambria Math"/>
                    </w:rPr>
                    <m:t>BMP</m:t>
                  </m:r>
                </m:sub>
              </m:sSub>
            </m:oMath>
            <w:r w:rsidR="005622AD">
              <w:t xml:space="preserve"> </w:t>
            </w:r>
          </w:p>
        </w:tc>
        <w:tc>
          <w:tcPr>
            <w:tcW w:w="712" w:type="dxa"/>
            <w:tcBorders>
              <w:left w:val="nil"/>
              <w:right w:val="nil"/>
            </w:tcBorders>
            <w:vAlign w:val="center"/>
          </w:tcPr>
          <w:p w14:paraId="20E31555" w14:textId="77777777" w:rsidR="005622AD" w:rsidRDefault="005622AD" w:rsidP="00D91B76">
            <w:pPr>
              <w:pStyle w:val="Els-body-text"/>
            </w:pPr>
            <w:r>
              <w:t>80</w:t>
            </w:r>
          </w:p>
        </w:tc>
        <w:tc>
          <w:tcPr>
            <w:tcW w:w="1361" w:type="dxa"/>
            <w:gridSpan w:val="2"/>
            <w:tcBorders>
              <w:left w:val="nil"/>
              <w:right w:val="nil"/>
            </w:tcBorders>
            <w:vAlign w:val="center"/>
          </w:tcPr>
          <w:p w14:paraId="42B61ACC" w14:textId="77777777" w:rsidR="005622AD" w:rsidRDefault="005622AD" w:rsidP="00D91B76">
            <w:pPr>
              <w:pStyle w:val="Els-body-text"/>
            </w:pPr>
            <w:r>
              <w:t>%</w:t>
            </w:r>
          </w:p>
        </w:tc>
        <w:tc>
          <w:tcPr>
            <w:tcW w:w="1798" w:type="dxa"/>
            <w:gridSpan w:val="2"/>
            <w:tcBorders>
              <w:left w:val="nil"/>
              <w:right w:val="nil"/>
            </w:tcBorders>
            <w:vAlign w:val="center"/>
          </w:tcPr>
          <w:p w14:paraId="5F2ED16F" w14:textId="77777777" w:rsidR="005622AD" w:rsidRPr="008D5E6C" w:rsidRDefault="005622AD" w:rsidP="00651F8E">
            <w:pPr>
              <w:pStyle w:val="Els-body-text"/>
              <w:jc w:val="right"/>
              <w:rPr>
                <w:color w:val="000000"/>
                <w:lang w:val="es-AR" w:eastAsia="fr-FR"/>
              </w:rPr>
            </w:pPr>
            <w:r w:rsidRPr="008D5E6C">
              <w:rPr>
                <w:color w:val="000000"/>
                <w:lang w:val="es-AR" w:eastAsia="fr-FR"/>
              </w:rPr>
              <w:t>Lu et al. 2008</w:t>
            </w:r>
          </w:p>
        </w:tc>
      </w:tr>
      <w:tr w:rsidR="00651F8E" w14:paraId="16B368B3" w14:textId="77777777" w:rsidTr="00651F8E">
        <w:tc>
          <w:tcPr>
            <w:tcW w:w="261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415FA94" w14:textId="77777777" w:rsidR="00651F8E" w:rsidRDefault="00651F8E" w:rsidP="00A35553">
            <w:pPr>
              <w:pStyle w:val="Els-body-text"/>
              <w:jc w:val="left"/>
            </w:pPr>
            <w:r w:rsidRPr="00F46BD7">
              <w:t>Heat capacity of sludge</w:t>
            </w:r>
          </w:p>
        </w:tc>
        <w:tc>
          <w:tcPr>
            <w:tcW w:w="927" w:type="dxa"/>
            <w:gridSpan w:val="2"/>
            <w:tcBorders>
              <w:left w:val="nil"/>
              <w:right w:val="nil"/>
            </w:tcBorders>
            <w:vAlign w:val="center"/>
          </w:tcPr>
          <w:p w14:paraId="6A3AE823" w14:textId="77777777" w:rsidR="00651F8E" w:rsidRDefault="00000000" w:rsidP="00A35553">
            <w:pPr>
              <w:pStyle w:val="Els-body-text"/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lang w:val="es-AR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lang w:val="es-AR"/>
                    </w:rPr>
                    <m:t>Cp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lang w:val="es-AR"/>
                    </w:rPr>
                    <m:t>sludge</m:t>
                  </m:r>
                </m:sub>
              </m:sSub>
            </m:oMath>
            <w:r w:rsidR="00651F8E">
              <w:rPr>
                <w:color w:val="000000" w:themeColor="text1"/>
                <w:lang w:val="es-AR"/>
              </w:rPr>
              <w:t xml:space="preserve"> </w:t>
            </w:r>
          </w:p>
        </w:tc>
        <w:tc>
          <w:tcPr>
            <w:tcW w:w="936" w:type="dxa"/>
            <w:gridSpan w:val="3"/>
            <w:tcBorders>
              <w:left w:val="nil"/>
              <w:right w:val="nil"/>
            </w:tcBorders>
            <w:vAlign w:val="center"/>
          </w:tcPr>
          <w:p w14:paraId="70E887E3" w14:textId="77777777" w:rsidR="00651F8E" w:rsidRDefault="00651F8E" w:rsidP="00A35553">
            <w:pPr>
              <w:pStyle w:val="Els-body-text"/>
            </w:pPr>
            <w:r w:rsidRPr="008D5E6C">
              <w:rPr>
                <w:color w:val="000000"/>
                <w:lang w:val="es-AR" w:eastAsia="fr-FR"/>
              </w:rPr>
              <w:t>4.2x10</w:t>
            </w:r>
            <w:r w:rsidRPr="008D5E6C">
              <w:rPr>
                <w:color w:val="000000"/>
                <w:vertAlign w:val="superscript"/>
                <w:lang w:val="es-AR" w:eastAsia="fr-FR"/>
              </w:rPr>
              <w:t>-4</w:t>
            </w:r>
          </w:p>
        </w:tc>
        <w:tc>
          <w:tcPr>
            <w:tcW w:w="1602" w:type="dxa"/>
            <w:gridSpan w:val="2"/>
            <w:tcBorders>
              <w:left w:val="nil"/>
              <w:right w:val="nil"/>
            </w:tcBorders>
            <w:vAlign w:val="center"/>
          </w:tcPr>
          <w:p w14:paraId="23B2155D" w14:textId="77777777" w:rsidR="00651F8E" w:rsidRPr="00302F14" w:rsidRDefault="00651F8E" w:rsidP="00A35553">
            <w:pPr>
              <w:pStyle w:val="Els-body-text"/>
              <w:rPr>
                <w:vertAlign w:val="superscript"/>
              </w:rPr>
            </w:pPr>
            <w:r>
              <w:t>kWh kgTS</w:t>
            </w:r>
            <w:r>
              <w:rPr>
                <w:vertAlign w:val="superscript"/>
              </w:rPr>
              <w:t xml:space="preserve">-1 </w:t>
            </w:r>
            <w:r>
              <w:t>K</w:t>
            </w:r>
            <w:r>
              <w:rPr>
                <w:vertAlign w:val="superscript"/>
              </w:rPr>
              <w:t>-1</w:t>
            </w:r>
          </w:p>
        </w:tc>
        <w:tc>
          <w:tcPr>
            <w:tcW w:w="1397" w:type="dxa"/>
            <w:tcBorders>
              <w:left w:val="nil"/>
              <w:right w:val="nil"/>
            </w:tcBorders>
            <w:vAlign w:val="center"/>
          </w:tcPr>
          <w:p w14:paraId="01EA5B0B" w14:textId="77777777" w:rsidR="00651F8E" w:rsidRDefault="00651F8E" w:rsidP="00651F8E">
            <w:pPr>
              <w:pStyle w:val="Els-body-text"/>
              <w:jc w:val="right"/>
            </w:pPr>
            <w:bookmarkStart w:id="2" w:name="_Hlk151231605"/>
            <w:r>
              <w:t>Barber, 2020</w:t>
            </w:r>
            <w:bookmarkEnd w:id="2"/>
          </w:p>
        </w:tc>
      </w:tr>
      <w:tr w:rsidR="00651F8E" w14:paraId="42846303" w14:textId="77777777" w:rsidTr="00651F8E">
        <w:tc>
          <w:tcPr>
            <w:tcW w:w="2617" w:type="dxa"/>
            <w:tcBorders>
              <w:left w:val="nil"/>
              <w:right w:val="nil"/>
            </w:tcBorders>
            <w:vAlign w:val="center"/>
          </w:tcPr>
          <w:p w14:paraId="7BC45B3D" w14:textId="77777777" w:rsidR="00651F8E" w:rsidRDefault="00651F8E" w:rsidP="00A35553">
            <w:pPr>
              <w:pStyle w:val="Els-body-text"/>
            </w:pPr>
            <w:r w:rsidRPr="00F46BD7">
              <w:t>Heat capacity of water</w:t>
            </w:r>
          </w:p>
        </w:tc>
        <w:tc>
          <w:tcPr>
            <w:tcW w:w="927" w:type="dxa"/>
            <w:gridSpan w:val="2"/>
            <w:tcBorders>
              <w:left w:val="nil"/>
              <w:right w:val="nil"/>
            </w:tcBorders>
            <w:vAlign w:val="center"/>
          </w:tcPr>
          <w:p w14:paraId="36ED3D8E" w14:textId="77777777" w:rsidR="00651F8E" w:rsidRDefault="00000000" w:rsidP="00A35553">
            <w:pPr>
              <w:pStyle w:val="Els-body-text"/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lang w:val="es-AR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lang w:val="es-AR"/>
                    </w:rPr>
                    <m:t>Cp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lang w:val="es-AR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  <w:lang w:val="es-AR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00000" w:themeColor="text1"/>
                          <w:lang w:val="es-AR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theme="minorHAnsi"/>
                      <w:color w:val="000000" w:themeColor="text1"/>
                      <w:lang w:val="es-AR"/>
                    </w:rPr>
                    <m:t>O</m:t>
                  </m:r>
                </m:sub>
              </m:sSub>
            </m:oMath>
            <w:r w:rsidR="00651F8E">
              <w:rPr>
                <w:color w:val="000000" w:themeColor="text1"/>
                <w:lang w:val="es-AR"/>
              </w:rPr>
              <w:t xml:space="preserve">  </w:t>
            </w:r>
          </w:p>
        </w:tc>
        <w:tc>
          <w:tcPr>
            <w:tcW w:w="936" w:type="dxa"/>
            <w:gridSpan w:val="3"/>
            <w:tcBorders>
              <w:left w:val="nil"/>
              <w:right w:val="nil"/>
            </w:tcBorders>
            <w:vAlign w:val="center"/>
          </w:tcPr>
          <w:p w14:paraId="465F36F2" w14:textId="77777777" w:rsidR="00651F8E" w:rsidRDefault="00651F8E" w:rsidP="00A35553">
            <w:pPr>
              <w:pStyle w:val="Els-body-text"/>
            </w:pPr>
            <w:r w:rsidRPr="008D5E6C">
              <w:rPr>
                <w:color w:val="000000"/>
                <w:lang w:val="es-AR" w:eastAsia="fr-FR"/>
              </w:rPr>
              <w:t>1.2x10</w:t>
            </w:r>
            <w:r w:rsidRPr="008D5E6C">
              <w:rPr>
                <w:color w:val="000000"/>
                <w:vertAlign w:val="superscript"/>
                <w:lang w:val="es-AR" w:eastAsia="fr-FR"/>
              </w:rPr>
              <w:t>-3</w:t>
            </w:r>
          </w:p>
        </w:tc>
        <w:tc>
          <w:tcPr>
            <w:tcW w:w="1602" w:type="dxa"/>
            <w:gridSpan w:val="2"/>
            <w:tcBorders>
              <w:left w:val="nil"/>
              <w:right w:val="nil"/>
            </w:tcBorders>
            <w:vAlign w:val="center"/>
          </w:tcPr>
          <w:p w14:paraId="4DCBAAE5" w14:textId="77777777" w:rsidR="00651F8E" w:rsidRDefault="00651F8E" w:rsidP="00A35553">
            <w:pPr>
              <w:pStyle w:val="Els-body-text"/>
            </w:pPr>
            <w:r>
              <w:t>kWh kgH</w:t>
            </w:r>
            <w:r w:rsidRPr="00F46BD7"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perscript"/>
              </w:rPr>
              <w:t xml:space="preserve">-1 </w:t>
            </w:r>
            <w:r>
              <w:t>K</w:t>
            </w:r>
            <w:r>
              <w:rPr>
                <w:vertAlign w:val="superscript"/>
              </w:rPr>
              <w:t>-1</w:t>
            </w:r>
          </w:p>
        </w:tc>
        <w:tc>
          <w:tcPr>
            <w:tcW w:w="1397" w:type="dxa"/>
            <w:tcBorders>
              <w:left w:val="nil"/>
              <w:right w:val="nil"/>
            </w:tcBorders>
            <w:vAlign w:val="center"/>
          </w:tcPr>
          <w:p w14:paraId="1967E9E3" w14:textId="77777777" w:rsidR="00651F8E" w:rsidRDefault="00651F8E" w:rsidP="00651F8E">
            <w:pPr>
              <w:pStyle w:val="Els-body-text"/>
              <w:jc w:val="right"/>
            </w:pPr>
            <w:r>
              <w:t>Barber, 2020</w:t>
            </w:r>
          </w:p>
        </w:tc>
      </w:tr>
      <w:tr w:rsidR="00651F8E" w14:paraId="03A81884" w14:textId="77777777" w:rsidTr="00651F8E">
        <w:tc>
          <w:tcPr>
            <w:tcW w:w="2617" w:type="dxa"/>
            <w:tcBorders>
              <w:left w:val="nil"/>
              <w:right w:val="nil"/>
            </w:tcBorders>
            <w:vAlign w:val="center"/>
          </w:tcPr>
          <w:p w14:paraId="6BD730BF" w14:textId="77777777" w:rsidR="00651F8E" w:rsidRDefault="00651F8E" w:rsidP="00A35553">
            <w:pPr>
              <w:pStyle w:val="Els-body-text"/>
            </w:pPr>
            <w:r w:rsidRPr="00F46BD7">
              <w:t>Total solids concentration</w:t>
            </w:r>
          </w:p>
        </w:tc>
        <w:tc>
          <w:tcPr>
            <w:tcW w:w="927" w:type="dxa"/>
            <w:gridSpan w:val="2"/>
            <w:tcBorders>
              <w:left w:val="nil"/>
              <w:right w:val="nil"/>
            </w:tcBorders>
            <w:vAlign w:val="center"/>
          </w:tcPr>
          <w:p w14:paraId="3975F43E" w14:textId="77777777" w:rsidR="00651F8E" w:rsidRDefault="00651F8E" w:rsidP="00A35553">
            <w:pPr>
              <w:pStyle w:val="Els-body-text"/>
            </w:pPr>
            <m:oMath>
              <m:r>
                <w:rPr>
                  <w:rFonts w:ascii="Cambria Math" w:hAnsi="Cambria Math"/>
                </w:rPr>
                <m:t>TS</m:t>
              </m:r>
            </m:oMath>
            <w:r>
              <w:t xml:space="preserve"> </w:t>
            </w:r>
          </w:p>
        </w:tc>
        <w:tc>
          <w:tcPr>
            <w:tcW w:w="936" w:type="dxa"/>
            <w:gridSpan w:val="3"/>
            <w:tcBorders>
              <w:left w:val="nil"/>
              <w:right w:val="nil"/>
            </w:tcBorders>
            <w:vAlign w:val="center"/>
          </w:tcPr>
          <w:p w14:paraId="7D27B4E1" w14:textId="77777777" w:rsidR="00651F8E" w:rsidRDefault="00651F8E" w:rsidP="00A35553">
            <w:pPr>
              <w:pStyle w:val="Els-body-text"/>
            </w:pPr>
            <w:r>
              <w:t>10.0</w:t>
            </w:r>
          </w:p>
        </w:tc>
        <w:tc>
          <w:tcPr>
            <w:tcW w:w="1602" w:type="dxa"/>
            <w:gridSpan w:val="2"/>
            <w:tcBorders>
              <w:left w:val="nil"/>
              <w:right w:val="nil"/>
            </w:tcBorders>
            <w:vAlign w:val="center"/>
          </w:tcPr>
          <w:p w14:paraId="77530B14" w14:textId="77777777" w:rsidR="00651F8E" w:rsidRDefault="00651F8E" w:rsidP="00A35553">
            <w:pPr>
              <w:pStyle w:val="Els-body-text"/>
            </w:pPr>
            <w:r>
              <w:t>%</w:t>
            </w:r>
          </w:p>
        </w:tc>
        <w:tc>
          <w:tcPr>
            <w:tcW w:w="1397" w:type="dxa"/>
            <w:tcBorders>
              <w:left w:val="nil"/>
              <w:right w:val="nil"/>
            </w:tcBorders>
            <w:vAlign w:val="center"/>
          </w:tcPr>
          <w:p w14:paraId="47DCFB78" w14:textId="47BFB028" w:rsidR="00651F8E" w:rsidRDefault="00C77406" w:rsidP="00651F8E">
            <w:pPr>
              <w:pStyle w:val="Els-body-text"/>
              <w:jc w:val="right"/>
            </w:pPr>
            <w:r w:rsidRPr="00C77406">
              <w:t>This study</w:t>
            </w:r>
          </w:p>
        </w:tc>
      </w:tr>
      <w:tr w:rsidR="00651F8E" w14:paraId="263CB05A" w14:textId="77777777" w:rsidTr="00651F8E">
        <w:tc>
          <w:tcPr>
            <w:tcW w:w="2617" w:type="dxa"/>
            <w:tcBorders>
              <w:left w:val="nil"/>
              <w:right w:val="nil"/>
            </w:tcBorders>
            <w:vAlign w:val="center"/>
          </w:tcPr>
          <w:p w14:paraId="62C14556" w14:textId="77777777" w:rsidR="00651F8E" w:rsidRDefault="00651F8E" w:rsidP="00A35553">
            <w:pPr>
              <w:pStyle w:val="Els-body-text"/>
            </w:pPr>
            <w:r w:rsidRPr="00F46BD7">
              <w:t>Volatile solids concentration</w:t>
            </w:r>
          </w:p>
        </w:tc>
        <w:tc>
          <w:tcPr>
            <w:tcW w:w="927" w:type="dxa"/>
            <w:gridSpan w:val="2"/>
            <w:tcBorders>
              <w:left w:val="nil"/>
              <w:right w:val="nil"/>
            </w:tcBorders>
            <w:vAlign w:val="center"/>
          </w:tcPr>
          <w:p w14:paraId="2B8DD5BA" w14:textId="77777777" w:rsidR="00651F8E" w:rsidRDefault="00651F8E" w:rsidP="00A35553">
            <w:pPr>
              <w:pStyle w:val="Els-body-text"/>
            </w:pPr>
            <m:oMath>
              <m:r>
                <w:rPr>
                  <w:rFonts w:ascii="Cambria Math" w:hAnsi="Cambria Math"/>
                </w:rPr>
                <m:t>VS</m:t>
              </m:r>
            </m:oMath>
            <w:r>
              <w:t xml:space="preserve"> </w:t>
            </w:r>
          </w:p>
        </w:tc>
        <w:tc>
          <w:tcPr>
            <w:tcW w:w="936" w:type="dxa"/>
            <w:gridSpan w:val="3"/>
            <w:tcBorders>
              <w:left w:val="nil"/>
              <w:right w:val="nil"/>
            </w:tcBorders>
            <w:vAlign w:val="center"/>
          </w:tcPr>
          <w:p w14:paraId="7B4D001B" w14:textId="77777777" w:rsidR="00651F8E" w:rsidRDefault="00651F8E" w:rsidP="00A35553">
            <w:pPr>
              <w:pStyle w:val="Els-body-text"/>
            </w:pPr>
            <w:r>
              <w:t>5.1</w:t>
            </w:r>
          </w:p>
        </w:tc>
        <w:tc>
          <w:tcPr>
            <w:tcW w:w="1602" w:type="dxa"/>
            <w:gridSpan w:val="2"/>
            <w:tcBorders>
              <w:left w:val="nil"/>
              <w:right w:val="nil"/>
            </w:tcBorders>
            <w:vAlign w:val="center"/>
          </w:tcPr>
          <w:p w14:paraId="540A0D35" w14:textId="77777777" w:rsidR="00651F8E" w:rsidRDefault="00651F8E" w:rsidP="00A35553">
            <w:pPr>
              <w:pStyle w:val="Els-body-text"/>
            </w:pPr>
            <w:r>
              <w:t>%</w:t>
            </w:r>
          </w:p>
        </w:tc>
        <w:tc>
          <w:tcPr>
            <w:tcW w:w="1397" w:type="dxa"/>
            <w:tcBorders>
              <w:left w:val="nil"/>
              <w:right w:val="nil"/>
            </w:tcBorders>
            <w:vAlign w:val="center"/>
          </w:tcPr>
          <w:p w14:paraId="20A99EC5" w14:textId="290AA766" w:rsidR="00651F8E" w:rsidRDefault="00C77406" w:rsidP="00651F8E">
            <w:pPr>
              <w:pStyle w:val="Els-body-text"/>
              <w:jc w:val="right"/>
            </w:pPr>
            <w:r w:rsidRPr="00C77406">
              <w:t>This study</w:t>
            </w:r>
          </w:p>
        </w:tc>
      </w:tr>
      <w:tr w:rsidR="00651F8E" w14:paraId="620A010D" w14:textId="77777777" w:rsidTr="00651F8E">
        <w:tc>
          <w:tcPr>
            <w:tcW w:w="2617" w:type="dxa"/>
            <w:tcBorders>
              <w:left w:val="nil"/>
              <w:right w:val="nil"/>
            </w:tcBorders>
            <w:vAlign w:val="center"/>
          </w:tcPr>
          <w:p w14:paraId="01463CCC" w14:textId="7F620AAF" w:rsidR="00651F8E" w:rsidRPr="00F46BD7" w:rsidRDefault="00651F8E" w:rsidP="00A35553">
            <w:pPr>
              <w:pStyle w:val="Els-body-text"/>
            </w:pPr>
            <w:r w:rsidRPr="00F46BD7">
              <w:t>Heat exchanger efficiency upstream of T</w:t>
            </w:r>
            <w:r w:rsidR="00DE4450">
              <w:t>H</w:t>
            </w:r>
          </w:p>
        </w:tc>
        <w:tc>
          <w:tcPr>
            <w:tcW w:w="927" w:type="dxa"/>
            <w:gridSpan w:val="2"/>
            <w:tcBorders>
              <w:left w:val="nil"/>
              <w:right w:val="nil"/>
            </w:tcBorders>
            <w:vAlign w:val="center"/>
          </w:tcPr>
          <w:p w14:paraId="7E971840" w14:textId="77777777" w:rsidR="00651F8E" w:rsidRDefault="00651F8E" w:rsidP="00A35553">
            <w:pPr>
              <w:pStyle w:val="Els-body-text"/>
            </w:pPr>
            <w:r>
              <w:t>η</w:t>
            </w:r>
          </w:p>
        </w:tc>
        <w:tc>
          <w:tcPr>
            <w:tcW w:w="936" w:type="dxa"/>
            <w:gridSpan w:val="3"/>
            <w:tcBorders>
              <w:left w:val="nil"/>
              <w:right w:val="nil"/>
            </w:tcBorders>
            <w:vAlign w:val="center"/>
          </w:tcPr>
          <w:p w14:paraId="058A4DA9" w14:textId="77777777" w:rsidR="00651F8E" w:rsidRDefault="00651F8E" w:rsidP="00A35553">
            <w:pPr>
              <w:pStyle w:val="Els-body-text"/>
            </w:pPr>
            <w:r>
              <w:t>90</w:t>
            </w:r>
          </w:p>
        </w:tc>
        <w:tc>
          <w:tcPr>
            <w:tcW w:w="1602" w:type="dxa"/>
            <w:gridSpan w:val="2"/>
            <w:tcBorders>
              <w:left w:val="nil"/>
              <w:right w:val="nil"/>
            </w:tcBorders>
            <w:vAlign w:val="center"/>
          </w:tcPr>
          <w:p w14:paraId="25D1F588" w14:textId="77777777" w:rsidR="00651F8E" w:rsidRDefault="00651F8E" w:rsidP="00A35553">
            <w:pPr>
              <w:pStyle w:val="Els-body-text"/>
            </w:pPr>
            <w:r>
              <w:t>%</w:t>
            </w:r>
          </w:p>
        </w:tc>
        <w:tc>
          <w:tcPr>
            <w:tcW w:w="1397" w:type="dxa"/>
            <w:tcBorders>
              <w:left w:val="nil"/>
              <w:right w:val="nil"/>
            </w:tcBorders>
            <w:vAlign w:val="center"/>
          </w:tcPr>
          <w:p w14:paraId="02C53189" w14:textId="77777777" w:rsidR="00651F8E" w:rsidRDefault="00651F8E" w:rsidP="00651F8E">
            <w:pPr>
              <w:pStyle w:val="Els-body-text"/>
              <w:jc w:val="right"/>
            </w:pPr>
            <w:bookmarkStart w:id="3" w:name="_Hlk151231611"/>
            <w:r w:rsidRPr="00372B7F">
              <w:rPr>
                <w:color w:val="000000"/>
                <w:lang w:val="es-AR" w:eastAsia="fr-FR"/>
              </w:rPr>
              <w:t>Lu et al. 2008</w:t>
            </w:r>
            <w:bookmarkEnd w:id="3"/>
          </w:p>
        </w:tc>
      </w:tr>
      <w:tr w:rsidR="00651F8E" w:rsidRPr="00372B7F" w14:paraId="2D563DDA" w14:textId="77777777" w:rsidTr="00651F8E">
        <w:tc>
          <w:tcPr>
            <w:tcW w:w="2617" w:type="dxa"/>
            <w:tcBorders>
              <w:left w:val="nil"/>
              <w:right w:val="nil"/>
            </w:tcBorders>
            <w:vAlign w:val="center"/>
          </w:tcPr>
          <w:p w14:paraId="34D736FA" w14:textId="27DFE029" w:rsidR="00651F8E" w:rsidRPr="00F46BD7" w:rsidRDefault="00651F8E" w:rsidP="00A35553">
            <w:pPr>
              <w:pStyle w:val="Els-body-text"/>
            </w:pPr>
            <w:r w:rsidRPr="00372B7F">
              <w:t>Heat exchanger efficiency after T</w:t>
            </w:r>
            <w:r w:rsidR="00DE4450">
              <w:t>H</w:t>
            </w:r>
          </w:p>
        </w:tc>
        <w:tc>
          <w:tcPr>
            <w:tcW w:w="927" w:type="dxa"/>
            <w:gridSpan w:val="2"/>
            <w:tcBorders>
              <w:left w:val="nil"/>
              <w:right w:val="nil"/>
            </w:tcBorders>
            <w:vAlign w:val="center"/>
          </w:tcPr>
          <w:p w14:paraId="3F64EAD7" w14:textId="77777777" w:rsidR="00651F8E" w:rsidRDefault="00651F8E" w:rsidP="00A35553">
            <w:pPr>
              <w:pStyle w:val="Els-body-text"/>
            </w:pPr>
            <w:r>
              <w:rPr>
                <w:rFonts w:ascii="Cambria Math" w:hAnsi="Cambria Math"/>
              </w:rPr>
              <w:t>𝜉</w:t>
            </w:r>
          </w:p>
        </w:tc>
        <w:tc>
          <w:tcPr>
            <w:tcW w:w="936" w:type="dxa"/>
            <w:gridSpan w:val="3"/>
            <w:tcBorders>
              <w:left w:val="nil"/>
              <w:right w:val="nil"/>
            </w:tcBorders>
            <w:vAlign w:val="center"/>
          </w:tcPr>
          <w:p w14:paraId="1D9201AA" w14:textId="77777777" w:rsidR="00651F8E" w:rsidRDefault="00651F8E" w:rsidP="00A35553">
            <w:pPr>
              <w:pStyle w:val="Els-body-text"/>
            </w:pPr>
            <w:r>
              <w:t>80</w:t>
            </w:r>
          </w:p>
        </w:tc>
        <w:tc>
          <w:tcPr>
            <w:tcW w:w="1602" w:type="dxa"/>
            <w:gridSpan w:val="2"/>
            <w:tcBorders>
              <w:left w:val="nil"/>
              <w:right w:val="nil"/>
            </w:tcBorders>
            <w:vAlign w:val="center"/>
          </w:tcPr>
          <w:p w14:paraId="05569C25" w14:textId="77777777" w:rsidR="00651F8E" w:rsidRDefault="00651F8E" w:rsidP="00A35553">
            <w:pPr>
              <w:pStyle w:val="Els-body-text"/>
            </w:pPr>
            <w:r>
              <w:t>%</w:t>
            </w:r>
          </w:p>
        </w:tc>
        <w:tc>
          <w:tcPr>
            <w:tcW w:w="1397" w:type="dxa"/>
            <w:tcBorders>
              <w:left w:val="nil"/>
              <w:right w:val="nil"/>
            </w:tcBorders>
            <w:vAlign w:val="center"/>
          </w:tcPr>
          <w:p w14:paraId="66B0F28F" w14:textId="77777777" w:rsidR="00651F8E" w:rsidRPr="00372B7F" w:rsidRDefault="00651F8E" w:rsidP="00651F8E">
            <w:pPr>
              <w:pStyle w:val="Els-body-text"/>
              <w:jc w:val="right"/>
              <w:rPr>
                <w:color w:val="000000"/>
                <w:lang w:val="es-AR" w:eastAsia="fr-FR"/>
              </w:rPr>
            </w:pPr>
            <w:r w:rsidRPr="00372B7F">
              <w:rPr>
                <w:color w:val="000000"/>
                <w:lang w:val="es-AR" w:eastAsia="fr-FR"/>
              </w:rPr>
              <w:t>Lu et al. 2008</w:t>
            </w:r>
          </w:p>
        </w:tc>
      </w:tr>
    </w:tbl>
    <w:p w14:paraId="658C8E73" w14:textId="77777777" w:rsidR="005D4468" w:rsidRDefault="005D4468" w:rsidP="005D4468">
      <w:pPr>
        <w:pStyle w:val="Els-3rdorder-head"/>
      </w:pPr>
      <w:r w:rsidRPr="0082112C">
        <w:t xml:space="preserve">Heat </w:t>
      </w:r>
      <w:r>
        <w:t>L</w:t>
      </w:r>
      <w:r w:rsidRPr="0082112C">
        <w:t>osses in the A</w:t>
      </w:r>
      <w:r>
        <w:t>D</w:t>
      </w:r>
    </w:p>
    <w:p w14:paraId="7970557D" w14:textId="6B4331AA" w:rsidR="005D4468" w:rsidRDefault="005D4468" w:rsidP="005D4468">
      <w:pPr>
        <w:pStyle w:val="Els-body-text"/>
      </w:pPr>
      <w:r w:rsidRPr="000640A5">
        <w:t xml:space="preserve">Heat losses are calculated in the AD, operating at 37 °C. </w:t>
      </w:r>
      <w:r>
        <w:t>H</w:t>
      </w:r>
      <w:r w:rsidRPr="000640A5">
        <w:t>eat losses through the digester walls, floor, and roof</w:t>
      </w:r>
      <w:r>
        <w:t xml:space="preserve"> were considered</w:t>
      </w:r>
      <w:r w:rsidRPr="000640A5">
        <w:t xml:space="preserve"> using the heat transfer coefficient values recommended</w:t>
      </w:r>
      <w:r>
        <w:t xml:space="preserve"> </w:t>
      </w:r>
      <w:r w:rsidRPr="0082112C">
        <w:t xml:space="preserve">by </w:t>
      </w:r>
      <w:proofErr w:type="spellStart"/>
      <w:r w:rsidRPr="0082112C">
        <w:t>MetCalf</w:t>
      </w:r>
      <w:proofErr w:type="spellEnd"/>
      <w:r w:rsidRPr="0082112C">
        <w:t xml:space="preserve"> </w:t>
      </w:r>
      <w:r>
        <w:t>and</w:t>
      </w:r>
      <w:r w:rsidRPr="0082112C">
        <w:t xml:space="preserve"> Eddy (2003), resulting</w:t>
      </w:r>
      <w:r>
        <w:t xml:space="preserve"> </w:t>
      </w:r>
      <w:r w:rsidRPr="0082112C">
        <w:t xml:space="preserve">in the heat loss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lang w:val="es-AR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es-AR"/>
              </w:rPr>
              <m:t>E</m:t>
            </m:r>
          </m:e>
          <m:sub>
            <m:r>
              <w:rPr>
                <w:rFonts w:ascii="Cambria Math" w:hAnsi="Cambria Math"/>
                <w:color w:val="000000" w:themeColor="text1"/>
                <w:lang w:val="es-AR"/>
              </w:rPr>
              <m:t>loss</m:t>
            </m:r>
            <m:r>
              <w:rPr>
                <w:rFonts w:ascii="Cambria Math" w:hAnsi="Cambria Math"/>
                <w:color w:val="000000" w:themeColor="text1"/>
              </w:rPr>
              <m:t xml:space="preserve"> </m:t>
            </m:r>
            <m:r>
              <w:rPr>
                <w:rFonts w:ascii="Cambria Math" w:hAnsi="Cambria Math"/>
                <w:color w:val="000000" w:themeColor="text1"/>
                <w:lang w:val="es-AR"/>
              </w:rPr>
              <m:t>AD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lang w:val="es-AR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  <w:lang w:val="es-AR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  <w:lang w:val="es-AR"/>
                  </w:rPr>
                  <m:t>kW</m:t>
                </m:r>
                <m:r>
                  <w:rPr>
                    <w:rFonts w:ascii="Cambria Math" w:hAnsi="Cambria Math"/>
                    <w:color w:val="000000" w:themeColor="text1"/>
                  </w:rPr>
                  <m:t>h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  <w:lang w:val="es-AR"/>
                  </w:rPr>
                  <m:t>tonST</m:t>
                </m:r>
              </m:den>
            </m:f>
          </m:e>
        </m:d>
      </m:oMath>
      <w:r w:rsidRPr="0082112C">
        <w:t xml:space="preserve">. </w:t>
      </w:r>
    </w:p>
    <w:p w14:paraId="325C6BE1" w14:textId="0CA03726" w:rsidR="005C4049" w:rsidRDefault="005C4049" w:rsidP="005C4049">
      <w:pPr>
        <w:pStyle w:val="Els-3rdorder-head"/>
      </w:pPr>
      <w:r w:rsidRPr="005C4049">
        <w:t xml:space="preserve">Energy </w:t>
      </w:r>
      <w:r w:rsidR="001A01FD">
        <w:t>B</w:t>
      </w:r>
      <w:r w:rsidRPr="005C4049">
        <w:t xml:space="preserve">enefits of </w:t>
      </w:r>
      <w:r w:rsidR="001A01FD">
        <w:t>B</w:t>
      </w:r>
      <w:r w:rsidRPr="005C4049">
        <w:t>iogas</w:t>
      </w:r>
    </w:p>
    <w:p w14:paraId="2E0C46A2" w14:textId="0DD96174" w:rsidR="005C4049" w:rsidRDefault="005C4049" w:rsidP="005C4049">
      <w:pPr>
        <w:pStyle w:val="Els-body-text"/>
      </w:pPr>
      <w:r w:rsidRPr="005C4049">
        <w:t xml:space="preserve">The corresponding calculation of the energy generated by </w:t>
      </w:r>
      <w:r>
        <w:t>the</w:t>
      </w:r>
      <w:r w:rsidRPr="005C4049">
        <w:t xml:space="preserve"> biogas is seen in </w:t>
      </w:r>
      <w:r w:rsidRPr="005C4049">
        <w:rPr>
          <w:b/>
          <w:bCs/>
        </w:rPr>
        <w:t>Eq. (</w:t>
      </w:r>
      <w:r>
        <w:rPr>
          <w:b/>
          <w:bCs/>
        </w:rPr>
        <w:t>5</w:t>
      </w:r>
      <w:r w:rsidRPr="005C4049">
        <w:rPr>
          <w:b/>
          <w:bCs/>
        </w:rPr>
        <w:t>)</w:t>
      </w:r>
      <w:r w:rsidRPr="005C4049">
        <w:t>.</w:t>
      </w:r>
      <w:r>
        <w:t xml:space="preserve"> </w:t>
      </w:r>
      <w:r w:rsidRPr="005C4049">
        <w:t xml:space="preserve">Based on a previous work (Goycoechea et al., 2023), the </w:t>
      </w:r>
      <w:r w:rsidR="00E06A08">
        <w:t xml:space="preserve">BMP </w:t>
      </w:r>
      <w:r w:rsidRPr="005C4049">
        <w:t>was obtained as a function of pretreatment temperature and time conditions.</w:t>
      </w:r>
    </w:p>
    <w:tbl>
      <w:tblPr>
        <w:tblStyle w:val="Tablaconcuadrcula"/>
        <w:tblW w:w="70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7"/>
        <w:gridCol w:w="450"/>
      </w:tblGrid>
      <w:tr w:rsidR="005C4049" w14:paraId="0B4FBB4C" w14:textId="77777777" w:rsidTr="009F20B5">
        <w:tc>
          <w:tcPr>
            <w:tcW w:w="6637" w:type="dxa"/>
          </w:tcPr>
          <w:p w14:paraId="3A0C2F46" w14:textId="5AFA44C2" w:rsidR="005C4049" w:rsidRDefault="00000000" w:rsidP="00B37EA6">
            <w:pPr>
              <w:pStyle w:val="Els-body-text"/>
              <w:spacing w:before="120" w:after="120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lang w:val="es-A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es-AR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es-AR"/>
                    </w:rPr>
                    <m:t>Benefit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lang w:val="es-AR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lang w:val="es-AR"/>
                    </w:rPr>
                    <m:t>LHV</m:t>
                  </m:r>
                  <m:r>
                    <w:rPr>
                      <w:rFonts w:ascii="Cambria Math" w:hAnsi="Cambria Math"/>
                      <w:color w:val="000000" w:themeColor="text1"/>
                    </w:rPr>
                    <m:t xml:space="preserve"> </m:t>
                  </m:r>
                  <m:r>
                    <w:rPr>
                      <w:rFonts w:ascii="Cambria Math" w:hAnsi="Cambria Math"/>
                      <w:color w:val="000000" w:themeColor="text1"/>
                      <w:lang w:val="es-AR"/>
                    </w:rPr>
                    <m:t>BPM</m:t>
                  </m:r>
                  <m:r>
                    <w:rPr>
                      <w:rFonts w:ascii="Cambria Math" w:hAnsi="Cambria Math"/>
                      <w:color w:val="000000" w:themeColor="text1"/>
                    </w:rPr>
                    <m:t xml:space="preserve"> </m:t>
                  </m:r>
                  <m:r>
                    <w:rPr>
                      <w:rFonts w:ascii="Cambria Math" w:hAnsi="Cambria Math"/>
                      <w:color w:val="000000" w:themeColor="text1"/>
                      <w:lang w:val="es-AR"/>
                    </w:rPr>
                    <m:t>VS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lang w:val="es-AR"/>
                    </w:rPr>
                    <m:t>TS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lang w:val="es-A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es-AR"/>
                    </w:rPr>
                    <m:t>η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es-AR"/>
                    </w:rPr>
                    <m:t>BMP</m:t>
                  </m:r>
                </m:sub>
              </m:sSub>
            </m:oMath>
            <w:r w:rsidR="005C4049" w:rsidRPr="00933309">
              <w:t xml:space="preserve"> </w:t>
            </w:r>
          </w:p>
        </w:tc>
        <w:tc>
          <w:tcPr>
            <w:tcW w:w="450" w:type="dxa"/>
          </w:tcPr>
          <w:p w14:paraId="007E60AF" w14:textId="0E34B83B" w:rsidR="005C4049" w:rsidRDefault="005C4049" w:rsidP="00B37EA6">
            <w:pPr>
              <w:pStyle w:val="Els-body-text"/>
              <w:spacing w:before="120" w:after="120"/>
              <w:jc w:val="right"/>
            </w:pPr>
            <w:r>
              <w:t>[5]</w:t>
            </w:r>
          </w:p>
        </w:tc>
      </w:tr>
    </w:tbl>
    <w:p w14:paraId="6B35ACED" w14:textId="49C9E995" w:rsidR="00F7567F" w:rsidRDefault="00F7567F" w:rsidP="00F7567F">
      <w:pPr>
        <w:pStyle w:val="Els-3rdorder-head"/>
      </w:pPr>
      <w:r w:rsidRPr="00F7567F">
        <w:t>Energy Profit Calculation</w:t>
      </w:r>
    </w:p>
    <w:p w14:paraId="0A05C54F" w14:textId="5D91EDB5" w:rsidR="00F7567F" w:rsidRDefault="00F7567F" w:rsidP="00F7567F">
      <w:pPr>
        <w:pStyle w:val="Els-body-text"/>
      </w:pPr>
      <w:r w:rsidRPr="00F7567F">
        <w:t xml:space="preserve">Based on the energy flows presented, we proceed to calculate the variable corresponding to the energy </w:t>
      </w:r>
      <w:r>
        <w:t>profit</w:t>
      </w:r>
      <w:r w:rsidRPr="00F7567F">
        <w:t xml:space="preserve"> (E</w:t>
      </w:r>
      <w:r>
        <w:t>P</w:t>
      </w:r>
      <w:r w:rsidRPr="00F7567F">
        <w:t xml:space="preserve">) in </w:t>
      </w:r>
      <w:r w:rsidRPr="00F7567F">
        <w:rPr>
          <w:b/>
          <w:bCs/>
        </w:rPr>
        <w:t>Eq. (6)</w:t>
      </w:r>
      <w:r w:rsidRPr="00F7567F">
        <w:t xml:space="preserve">. The </w:t>
      </w:r>
      <w:r>
        <w:t>EP</w:t>
      </w:r>
      <w:r w:rsidRPr="00F7567F">
        <w:t xml:space="preserve"> variable can be positive in the case of having a net generation or negative in the case of having an energy deficit.</w:t>
      </w:r>
    </w:p>
    <w:tbl>
      <w:tblPr>
        <w:tblStyle w:val="Tablaconcuadrcula"/>
        <w:tblW w:w="70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7"/>
        <w:gridCol w:w="450"/>
      </w:tblGrid>
      <w:tr w:rsidR="00F7567F" w14:paraId="7181F5E2" w14:textId="77777777" w:rsidTr="009F20B5">
        <w:tc>
          <w:tcPr>
            <w:tcW w:w="6637" w:type="dxa"/>
          </w:tcPr>
          <w:p w14:paraId="1BF6DF5A" w14:textId="58C1F76F" w:rsidR="00F7567F" w:rsidRDefault="00000000" w:rsidP="00B37EA6">
            <w:pPr>
              <w:pStyle w:val="Els-body-text"/>
              <w:spacing w:before="120" w:after="120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lang w:val="es-A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es-AR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es-AR"/>
                    </w:rPr>
                    <m:t>EP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>=</m:t>
              </m:r>
              <w:bookmarkStart w:id="4" w:name="_Hlk150084926"/>
              <m:sSub>
                <m:sSub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s-AR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lang w:val="es-AR"/>
                    </w:rPr>
                    <m:t>TH</m:t>
                  </m:r>
                </m:sub>
              </m:sSub>
              <w:bookmarkEnd w:id="4"/>
              <m:r>
                <w:rPr>
                  <w:rFonts w:ascii="Cambria Math" w:hAnsi="Cambria Math"/>
                  <w:color w:val="000000" w:themeColor="text1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lang w:val="es-A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es-AR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es-AR"/>
                    </w:rPr>
                    <m:t>loss</m:t>
                  </m:r>
                  <m:r>
                    <w:rPr>
                      <w:rFonts w:ascii="Cambria Math" w:hAnsi="Cambria Math"/>
                      <w:color w:val="000000" w:themeColor="text1"/>
                    </w:rPr>
                    <m:t xml:space="preserve"> </m:t>
                  </m:r>
                  <m:r>
                    <w:rPr>
                      <w:rFonts w:ascii="Cambria Math" w:hAnsi="Cambria Math"/>
                      <w:color w:val="000000" w:themeColor="text1"/>
                      <w:lang w:val="es-AR"/>
                    </w:rPr>
                    <m:t>AD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lang w:val="es-A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es-AR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es-AR"/>
                    </w:rPr>
                    <m:t>Electricity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lang w:val="es-A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es-AR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es-AR"/>
                    </w:rPr>
                    <m:t>Benefit</m:t>
                  </m:r>
                </m:sub>
              </m:sSub>
            </m:oMath>
            <w:r w:rsidR="00F7567F" w:rsidRPr="00933309">
              <w:t xml:space="preserve"> </w:t>
            </w:r>
          </w:p>
        </w:tc>
        <w:tc>
          <w:tcPr>
            <w:tcW w:w="450" w:type="dxa"/>
          </w:tcPr>
          <w:p w14:paraId="68E342AE" w14:textId="3F596608" w:rsidR="00F7567F" w:rsidRDefault="00F7567F" w:rsidP="00B37EA6">
            <w:pPr>
              <w:pStyle w:val="Els-body-text"/>
              <w:spacing w:before="120" w:after="120"/>
              <w:jc w:val="right"/>
            </w:pPr>
            <w:r>
              <w:t>[6]</w:t>
            </w:r>
          </w:p>
        </w:tc>
      </w:tr>
    </w:tbl>
    <w:p w14:paraId="5FD15D91" w14:textId="77777777" w:rsidR="005E66A6" w:rsidRDefault="00F7567F" w:rsidP="005E66A6">
      <w:pPr>
        <w:pStyle w:val="Els-2ndorder-head"/>
      </w:pPr>
      <w:r>
        <w:t>DON</w:t>
      </w:r>
    </w:p>
    <w:p w14:paraId="415F050F" w14:textId="717EE387" w:rsidR="005E66A6" w:rsidRDefault="00674F46" w:rsidP="005E66A6">
      <w:pPr>
        <w:pStyle w:val="Els-2ndorder-head"/>
        <w:numPr>
          <w:ilvl w:val="0"/>
          <w:numId w:val="0"/>
        </w:numPr>
        <w:rPr>
          <w:i w:val="0"/>
        </w:rPr>
      </w:pPr>
      <w:r w:rsidRPr="00674F46">
        <w:rPr>
          <w:i w:val="0"/>
        </w:rPr>
        <w:t xml:space="preserve">The objective function associated with DON was based on a </w:t>
      </w:r>
      <w:proofErr w:type="spellStart"/>
      <w:r w:rsidRPr="00674F46">
        <w:rPr>
          <w:i w:val="0"/>
        </w:rPr>
        <w:t>Doehlert</w:t>
      </w:r>
      <w:proofErr w:type="spellEnd"/>
      <w:r w:rsidRPr="00674F46">
        <w:rPr>
          <w:i w:val="0"/>
        </w:rPr>
        <w:t xml:space="preserve"> experimental plan performed for a study domain of TH conditions in a temperature range from 125 °C to 205 °C and times from 15 to 45 min. The resulting function is presented in </w:t>
      </w:r>
      <w:r w:rsidRPr="00674F46">
        <w:rPr>
          <w:b/>
          <w:bCs/>
          <w:i w:val="0"/>
        </w:rPr>
        <w:t>Eq. (7)</w:t>
      </w:r>
      <w:r w:rsidRPr="00674F46">
        <w:rPr>
          <w:i w:val="0"/>
        </w:rPr>
        <w:t xml:space="preserve">, where </w:t>
      </w:r>
      <m:oMath>
        <m:r>
          <w:rPr>
            <w:rFonts w:ascii="Cambria Math" w:hAnsi="Cambria Math"/>
            <w:color w:val="000000" w:themeColor="text1"/>
            <w:lang w:val="es-AR"/>
          </w:rPr>
          <m:t>T</m:t>
        </m:r>
      </m:oMath>
      <w:r w:rsidR="00432D99" w:rsidRPr="00674F46">
        <w:rPr>
          <w:i w:val="0"/>
        </w:rPr>
        <w:t xml:space="preserve"> </w:t>
      </w:r>
      <w:r w:rsidRPr="00674F46">
        <w:rPr>
          <w:i w:val="0"/>
        </w:rPr>
        <w:t xml:space="preserve">is the temperature (°C) and </w:t>
      </w:r>
      <m:oMath>
        <m:r>
          <w:rPr>
            <w:rFonts w:ascii="Cambria Math" w:hAnsi="Cambria Math"/>
            <w:color w:val="000000" w:themeColor="text1"/>
            <w:lang w:val="es-AR"/>
          </w:rPr>
          <m:t>t</m:t>
        </m:r>
      </m:oMath>
      <w:r w:rsidR="005621A1" w:rsidRPr="00674F46">
        <w:rPr>
          <w:i w:val="0"/>
        </w:rPr>
        <w:t xml:space="preserve"> </w:t>
      </w:r>
      <w:r w:rsidRPr="00674F46">
        <w:rPr>
          <w:i w:val="0"/>
        </w:rPr>
        <w:t xml:space="preserve">is </w:t>
      </w:r>
      <w:r w:rsidR="008A1C9B">
        <w:rPr>
          <w:i w:val="0"/>
        </w:rPr>
        <w:t xml:space="preserve">residence </w:t>
      </w:r>
      <w:r w:rsidRPr="00674F46">
        <w:rPr>
          <w:i w:val="0"/>
        </w:rPr>
        <w:t xml:space="preserve">time (min). The methodology was presented </w:t>
      </w:r>
      <w:r w:rsidRPr="00674F46">
        <w:rPr>
          <w:i w:val="0"/>
        </w:rPr>
        <w:lastRenderedPageBreak/>
        <w:t>in previous work (Goycoechea et al., 2023), where response surfaces based on TH temperature and time conditions were developed for the cellulosic sludge substrate.</w:t>
      </w:r>
    </w:p>
    <w:tbl>
      <w:tblPr>
        <w:tblStyle w:val="Tablaconcuadrcula"/>
        <w:tblW w:w="70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7"/>
        <w:gridCol w:w="450"/>
      </w:tblGrid>
      <w:tr w:rsidR="005E66A6" w14:paraId="6A6C25B2" w14:textId="77777777" w:rsidTr="005541ED">
        <w:tc>
          <w:tcPr>
            <w:tcW w:w="6637" w:type="dxa"/>
          </w:tcPr>
          <w:p w14:paraId="7C5BF6F4" w14:textId="21667ED3" w:rsidR="005E66A6" w:rsidRDefault="005E66A6" w:rsidP="005541ED">
            <w:pPr>
              <w:pStyle w:val="Els-body-text"/>
              <w:spacing w:before="120" w:after="120"/>
            </w:pPr>
            <m:oMath>
              <m:r>
                <w:rPr>
                  <w:rFonts w:ascii="Cambria Math" w:hAnsi="Cambria Math"/>
                  <w:color w:val="000000" w:themeColor="text1"/>
                  <w:lang w:val="es-AR"/>
                </w:rPr>
                <m:t>DON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lang w:val="es-AR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lang w:val="es-AR"/>
                    </w:rPr>
                    <m:t>ppm</m:t>
                  </m:r>
                </m:e>
              </m:d>
              <m:r>
                <w:rPr>
                  <w:rFonts w:ascii="Cambria Math" w:hAnsi="Cambria Math"/>
                  <w:color w:val="000000" w:themeColor="text1"/>
                </w:rPr>
                <m:t xml:space="preserve">=176+0.045 </m:t>
              </m:r>
              <m:r>
                <w:rPr>
                  <w:rFonts w:ascii="Cambria Math" w:hAnsi="Cambria Math"/>
                  <w:color w:val="000000" w:themeColor="text1"/>
                  <w:lang w:val="es-AR"/>
                </w:rPr>
                <m:t>t</m:t>
              </m:r>
              <m:r>
                <w:rPr>
                  <w:rFonts w:ascii="Cambria Math" w:hAnsi="Cambria Math"/>
                  <w:color w:val="000000" w:themeColor="text1"/>
                </w:rPr>
                <m:t xml:space="preserve">-2.4 </m:t>
              </m:r>
              <m:r>
                <w:rPr>
                  <w:rFonts w:ascii="Cambria Math" w:hAnsi="Cambria Math"/>
                  <w:color w:val="000000" w:themeColor="text1"/>
                  <w:lang w:val="es-AR"/>
                </w:rPr>
                <m:t>T</m:t>
              </m:r>
              <m:r>
                <w:rPr>
                  <w:rFonts w:ascii="Cambria Math" w:hAnsi="Cambria Math"/>
                  <w:color w:val="000000" w:themeColor="text1"/>
                </w:rPr>
                <m:t xml:space="preserve">+0.0043 </m:t>
              </m:r>
              <m:r>
                <w:rPr>
                  <w:rFonts w:ascii="Cambria Math" w:hAnsi="Cambria Math"/>
                  <w:color w:val="000000" w:themeColor="text1"/>
                  <w:lang w:val="es-AR"/>
                </w:rPr>
                <m:t>T</m:t>
              </m:r>
              <m:r>
                <w:rPr>
                  <w:rFonts w:ascii="Cambria Math" w:hAnsi="Cambria Math"/>
                  <w:color w:val="000000" w:themeColor="text1"/>
                </w:rPr>
                <m:t xml:space="preserve"> </m:t>
              </m:r>
              <m:r>
                <w:rPr>
                  <w:rFonts w:ascii="Cambria Math" w:hAnsi="Cambria Math"/>
                  <w:color w:val="000000" w:themeColor="text1"/>
                  <w:lang w:val="es-AR"/>
                </w:rPr>
                <m:t>t</m:t>
              </m:r>
              <m:r>
                <w:rPr>
                  <w:rFonts w:ascii="Cambria Math" w:hAnsi="Cambria Math"/>
                  <w:color w:val="000000" w:themeColor="text1"/>
                </w:rPr>
                <m:t xml:space="preserve">-0.0073 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lang w:val="es-AR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lang w:val="es-AR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</w:rPr>
                <m:t xml:space="preserve">+0.0082 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lang w:val="es-AR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lang w:val="es-AR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</m:oMath>
            <w:r w:rsidRPr="00933309">
              <w:t xml:space="preserve"> </w:t>
            </w:r>
          </w:p>
        </w:tc>
        <w:tc>
          <w:tcPr>
            <w:tcW w:w="450" w:type="dxa"/>
          </w:tcPr>
          <w:p w14:paraId="6F1DEF24" w14:textId="5BDE3064" w:rsidR="005E66A6" w:rsidRDefault="005E66A6" w:rsidP="005541ED">
            <w:pPr>
              <w:pStyle w:val="Els-body-text"/>
              <w:spacing w:before="120" w:after="120"/>
              <w:jc w:val="right"/>
            </w:pPr>
            <w:r>
              <w:t>[7]</w:t>
            </w:r>
          </w:p>
        </w:tc>
      </w:tr>
    </w:tbl>
    <w:p w14:paraId="2D6554B2" w14:textId="3BEAFFAB" w:rsidR="00F7567F" w:rsidRDefault="00F7567F" w:rsidP="00F7567F">
      <w:pPr>
        <w:pStyle w:val="Els-2ndorder-head"/>
      </w:pPr>
      <w:r w:rsidRPr="00F7567F">
        <w:t>Multi-Objective Optimization</w:t>
      </w:r>
    </w:p>
    <w:p w14:paraId="11DE54AD" w14:textId="628EB438" w:rsidR="00F7567F" w:rsidRDefault="009F6B27" w:rsidP="00F7567F">
      <w:pPr>
        <w:pStyle w:val="Els-body-text"/>
      </w:pPr>
      <w:r w:rsidRPr="009F6B27">
        <w:t>For multi</w:t>
      </w:r>
      <w:r w:rsidR="00856C09">
        <w:t>-o</w:t>
      </w:r>
      <w:r w:rsidRPr="009F6B27">
        <w:t>bjective optimization, the functions generated by the response surfaces of EP and DON were normalized using</w:t>
      </w:r>
      <w:r w:rsidR="00613A05"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normalized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Y-</m:t>
            </m:r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max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min</m:t>
                </m:r>
              </m:sub>
            </m:sSub>
          </m:den>
        </m:f>
      </m:oMath>
      <w:r w:rsidR="00613A05">
        <w:rPr>
          <w:b/>
          <w:bCs/>
        </w:rPr>
        <w:t>,</w:t>
      </w:r>
      <w:r w:rsidR="00C77406">
        <w:rPr>
          <w:b/>
          <w:bCs/>
        </w:rPr>
        <w:t xml:space="preserve"> </w:t>
      </w:r>
      <w:r w:rsidRPr="009F6B27">
        <w:t xml:space="preserve">where </w:t>
      </w:r>
      <m:oMath>
        <m:r>
          <w:rPr>
            <w:rFonts w:ascii="Cambria Math" w:hAnsi="Cambria Math"/>
          </w:rPr>
          <m:t>Y</m:t>
        </m:r>
      </m:oMath>
      <w:r w:rsidRPr="009F6B27">
        <w:t xml:space="preserve"> </w:t>
      </w:r>
      <w:r w:rsidR="00C77406" w:rsidRPr="00C77406">
        <w:t>is the vector of values for the corresponding variable</w:t>
      </w:r>
      <w:r w:rsidRPr="009F6B27">
        <w:t xml:space="preserve">. </w:t>
      </w:r>
      <w:r w:rsidR="00856C09" w:rsidRPr="009F6B27">
        <w:t>The</w:t>
      </w:r>
      <w:r w:rsidRPr="009F6B27">
        <w:t xml:space="preserve"> objective function</w:t>
      </w:r>
      <w:r w:rsidR="00C77406">
        <w:t xml:space="preserve"> related to</w:t>
      </w:r>
      <w:r w:rsidRPr="009F6B27">
        <w:t xml:space="preserve"> DON concentration </w:t>
      </w:r>
      <w:r w:rsidR="00C77406">
        <w:t>is</w:t>
      </w:r>
      <w:r w:rsidRPr="009F6B27">
        <w:t xml:space="preserve"> considered</w:t>
      </w:r>
      <w:r w:rsidR="002413DC">
        <w:t xml:space="preserve"> as</w:t>
      </w:r>
      <w:r w:rsidRPr="009F6B27">
        <w:t xml:space="preserve"> costs in the optimization problem. Therefore, EP was also analyzed as a cost and was defined as (1-EP</w:t>
      </w:r>
      <w:r w:rsidRPr="006900C1">
        <w:rPr>
          <w:vertAlign w:val="subscript"/>
        </w:rPr>
        <w:t>normalized</w:t>
      </w:r>
      <w:r w:rsidRPr="009F6B27">
        <w:t>). Finally, feasible solutions belonging to the Pareto set were evaluated by simulating different T</w:t>
      </w:r>
      <w:r w:rsidR="00DE4450">
        <w:t>H</w:t>
      </w:r>
      <w:r w:rsidRPr="009F6B27">
        <w:t xml:space="preserve"> conditions within the study domain. The study domain was defined based on the validation range of the BMP and DON functions used in previous works</w:t>
      </w:r>
      <w:r w:rsidR="004D1559">
        <w:t>.</w:t>
      </w:r>
      <w:r w:rsidRPr="009F6B27">
        <w:t xml:space="preserve"> </w:t>
      </w:r>
      <w:r w:rsidR="004D1559">
        <w:t>T</w:t>
      </w:r>
      <w:r w:rsidRPr="009F6B27">
        <w:t xml:space="preserve">his range is from 125 °C to 205 °C and from 15 min to 45 min. </w:t>
      </w:r>
      <w:r w:rsidR="007B2E20" w:rsidRPr="007B2E20">
        <w:t>The study domain was subdivided into 1 °C and 1 min to evaluate the different solutions and generate the possible combinations of candidate solutions</w:t>
      </w:r>
      <w:r w:rsidRPr="009F6B27">
        <w:t xml:space="preserve">. </w:t>
      </w:r>
      <w:r w:rsidR="00A60666" w:rsidRPr="00A60666">
        <w:t xml:space="preserve">We developed algorithms using </w:t>
      </w:r>
      <w:proofErr w:type="spellStart"/>
      <w:r w:rsidR="00A60666" w:rsidRPr="00A60666">
        <w:t>Matlab</w:t>
      </w:r>
      <w:proofErr w:type="spellEnd"/>
      <w:r w:rsidR="00A60666" w:rsidRPr="00A60666">
        <w:t xml:space="preserve"> to identify the non-dominated solutions of the Pareto front</w:t>
      </w:r>
      <w:r w:rsidRPr="009F6B27">
        <w:t>. The solution of the Pareto front whose distance is minimum to a</w:t>
      </w:r>
      <w:r w:rsidR="007767A4">
        <w:t xml:space="preserve"> reference</w:t>
      </w:r>
      <w:r w:rsidR="007869F3">
        <w:t xml:space="preserve"> point</w:t>
      </w:r>
      <w:r w:rsidR="00995E67">
        <w:t>,</w:t>
      </w:r>
      <w:r w:rsidRPr="009F6B27">
        <w:t xml:space="preserve"> was identified using the compromise programming method (Deb</w:t>
      </w:r>
      <w:r w:rsidR="00B77155">
        <w:t>,</w:t>
      </w:r>
      <w:r w:rsidRPr="009F6B27">
        <w:t xml:space="preserve"> 2001). The </w:t>
      </w:r>
      <w:r w:rsidR="00CB1BD9">
        <w:t>chosen</w:t>
      </w:r>
      <w:r w:rsidR="00CB1BD9" w:rsidRPr="009F6B27">
        <w:t xml:space="preserve"> </w:t>
      </w:r>
      <w:r w:rsidR="001A423E">
        <w:t>reference</w:t>
      </w:r>
      <w:r w:rsidR="00B77155">
        <w:t xml:space="preserve"> point</w:t>
      </w:r>
      <w:r w:rsidR="001A423E" w:rsidRPr="009F6B27">
        <w:t xml:space="preserve"> </w:t>
      </w:r>
      <w:r w:rsidRPr="009F6B27">
        <w:t>corresponds to the one that generates the minimum value of both costs, which does not belong to the Pareto front</w:t>
      </w:r>
      <w:r w:rsidR="00CB1BD9">
        <w:t>,</w:t>
      </w:r>
      <w:r w:rsidRPr="009F6B27">
        <w:t xml:space="preserve"> and corresponds to (0,0) in </w:t>
      </w:r>
      <w:r w:rsidR="00B77155">
        <w:t xml:space="preserve">the </w:t>
      </w:r>
      <w:r w:rsidRPr="009F6B27">
        <w:t xml:space="preserve">normalized </w:t>
      </w:r>
      <w:r w:rsidR="00B77155">
        <w:t>ranges</w:t>
      </w:r>
      <w:r w:rsidRPr="009F6B27">
        <w:t>. The Euclidean distance was used for the calculation.</w:t>
      </w:r>
      <w:r w:rsidR="00613A05">
        <w:t xml:space="preserve"> </w:t>
      </w:r>
      <w:r w:rsidR="00613A05" w:rsidRPr="00613A05">
        <w:rPr>
          <w:b/>
          <w:bCs/>
        </w:rPr>
        <w:t xml:space="preserve">Eq. </w:t>
      </w:r>
      <w:r w:rsidR="005E66A6">
        <w:rPr>
          <w:b/>
          <w:bCs/>
        </w:rPr>
        <w:t>(</w:t>
      </w:r>
      <w:r w:rsidR="004D0DF9">
        <w:rPr>
          <w:b/>
          <w:bCs/>
        </w:rPr>
        <w:t>8</w:t>
      </w:r>
      <w:r w:rsidR="005E66A6">
        <w:rPr>
          <w:b/>
          <w:bCs/>
        </w:rPr>
        <w:t>)</w:t>
      </w:r>
      <w:r w:rsidR="00613A05" w:rsidRPr="00613A05">
        <w:t xml:space="preserve"> shows the multi-objective optimization problem</w:t>
      </w:r>
      <w:r w:rsidR="00885C80">
        <w:t xml:space="preserve"> formulation</w:t>
      </w:r>
      <w:r w:rsidR="00613A05">
        <w:t>.</w:t>
      </w:r>
    </w:p>
    <w:tbl>
      <w:tblPr>
        <w:tblStyle w:val="Tablaconcuadrcula"/>
        <w:tblW w:w="70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7"/>
        <w:gridCol w:w="450"/>
      </w:tblGrid>
      <w:tr w:rsidR="009F6B27" w14:paraId="5DA33D26" w14:textId="77777777" w:rsidTr="009F20B5">
        <w:tc>
          <w:tcPr>
            <w:tcW w:w="6637" w:type="dxa"/>
          </w:tcPr>
          <w:p w14:paraId="165A968E" w14:textId="7CA9643E" w:rsidR="009F6B27" w:rsidRPr="009F6B27" w:rsidRDefault="00000000" w:rsidP="00B37EA6">
            <w:pPr>
              <w:pStyle w:val="Els-body-text"/>
              <w:spacing w:before="120" w:after="120"/>
              <w:rPr>
                <w:bCs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color w:val="000000" w:themeColor="text1"/>
                      <w:lang w:val="es-AR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  <w:lang w:val="es-A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min</m:t>
                      </m:r>
                    </m:e>
                    <m:sub>
                      <m:d>
                        <m:dPr>
                          <m:begChr m:val="{"/>
                          <m:endChr m:val="}"/>
                          <m:ctrlPr>
                            <w:rPr>
                              <w:rStyle w:val="Textodelmarcadordeposicin"/>
                              <w:rFonts w:ascii="Cambria Math" w:hAnsi="Cambria Math"/>
                              <w:i/>
                              <w:color w:val="000000" w:themeColor="text1"/>
                              <w:lang w:val="es-AR"/>
                            </w:rPr>
                          </m:ctrlPr>
                        </m:dPr>
                        <m:e>
                          <m:r>
                            <w:rPr>
                              <w:rStyle w:val="Textodelmarcadordeposicin"/>
                              <w:rFonts w:ascii="Cambria Math" w:hAnsi="Cambria Math"/>
                              <w:color w:val="000000" w:themeColor="text1"/>
                              <w:lang w:val="es-AR"/>
                            </w:rPr>
                            <m:t>T</m:t>
                          </m:r>
                          <m:r>
                            <w:rPr>
                              <w:rStyle w:val="Textodelmarcadordeposicin"/>
                              <w:rFonts w:ascii="Cambria Math" w:hAnsi="Cambria Math"/>
                              <w:color w:val="000000" w:themeColor="text1"/>
                            </w:rPr>
                            <m:t>,</m:t>
                          </m:r>
                          <m:r>
                            <w:rPr>
                              <w:rStyle w:val="Textodelmarcadordeposicin"/>
                              <w:rFonts w:ascii="Cambria Math" w:hAnsi="Cambria Math"/>
                              <w:color w:val="000000" w:themeColor="text1"/>
                              <w:lang w:val="es-AR"/>
                            </w:rPr>
                            <m:t>t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∈</m:t>
                      </m:r>
                      <m:r>
                        <m:rPr>
                          <m:sty m:val="b"/>
                        </m:rPr>
                        <w:rPr>
                          <w:rStyle w:val="nfasis"/>
                          <w:rFonts w:ascii="Cambria Math" w:hAnsi="Cambria Math" w:cs="Cambria Math"/>
                          <w:color w:val="000000" w:themeColor="text1"/>
                          <w:shd w:val="clear" w:color="auto" w:fill="FFFFFF"/>
                          <w:lang w:val="es-AR"/>
                        </w:rPr>
                        <m:t>Ω</m:t>
                      </m:r>
                      <m:r>
                        <m:rPr>
                          <m:sty m:val="b"/>
                        </m:rPr>
                        <w:rPr>
                          <w:rStyle w:val="nfasis"/>
                          <w:rFonts w:ascii="Cambria Math" w:hAnsi="Cambria Math" w:cs="Cambria Math"/>
                          <w:color w:val="000000" w:themeColor="text1"/>
                          <w:shd w:val="clear" w:color="auto" w:fill="FFFFFF"/>
                        </w:rPr>
                        <m:t xml:space="preserve"> </m:t>
                      </m:r>
                    </m:sub>
                  </m:sSub>
                </m:fName>
                <m:e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/>
                          <w:color w:val="000000" w:themeColor="text1"/>
                          <w:lang w:val="es-AR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color w:val="000000" w:themeColor="text1"/>
                              <w:lang w:val="es-AR"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lang w:val="es-AR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lang w:val="es-AR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s-AR"/>
                                    </w:rPr>
                                    <m:t>EP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s-AR"/>
                                    </w:rPr>
                                    <m:t>normalized</m:t>
                                  </m:r>
                                </m:sub>
                              </m:sSub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 xml:space="preserve"> </m:t>
                          </m: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val="es-A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s-AR"/>
                                </w:rPr>
                                <m:t>DON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s-AR"/>
                                </w:rPr>
                                <m:t>normalized</m:t>
                              </m:r>
                            </m:sub>
                          </m:sSub>
                        </m:e>
                      </m:eqArr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hAnsi="Cambria Math" w:cs="CMR10"/>
                  <w:color w:val="000000" w:themeColor="text1"/>
                </w:rPr>
                <m:t xml:space="preserve">   </m:t>
              </m:r>
              <m:r>
                <w:rPr>
                  <w:rFonts w:ascii="Cambria Math" w:hAnsi="Cambria Math"/>
                </w:rPr>
                <m:t xml:space="preserve"> </m:t>
              </m:r>
            </m:oMath>
            <w:r w:rsidR="009F6B27" w:rsidRPr="009F6B27">
              <w:rPr>
                <w:bCs/>
              </w:rPr>
              <w:t xml:space="preserve"> </w:t>
            </w:r>
          </w:p>
        </w:tc>
        <w:tc>
          <w:tcPr>
            <w:tcW w:w="450" w:type="dxa"/>
          </w:tcPr>
          <w:p w14:paraId="2C4E947D" w14:textId="7C4810EE" w:rsidR="009F6B27" w:rsidRDefault="009F6B27" w:rsidP="00B37EA6">
            <w:pPr>
              <w:pStyle w:val="Els-body-text"/>
              <w:spacing w:before="120" w:after="120"/>
              <w:jc w:val="right"/>
            </w:pPr>
            <w:r>
              <w:t>[</w:t>
            </w:r>
            <w:r w:rsidR="004D0DF9">
              <w:t>8</w:t>
            </w:r>
            <w:r>
              <w:t>]</w:t>
            </w:r>
          </w:p>
        </w:tc>
      </w:tr>
      <w:tr w:rsidR="00613A05" w14:paraId="22FBFA85" w14:textId="77777777" w:rsidTr="005541ED">
        <w:tc>
          <w:tcPr>
            <w:tcW w:w="6637" w:type="dxa"/>
          </w:tcPr>
          <w:p w14:paraId="5A7925BB" w14:textId="3D23D95F" w:rsidR="00613A05" w:rsidRPr="009F6B27" w:rsidRDefault="00613A05" w:rsidP="005541ED">
            <w:pPr>
              <w:pStyle w:val="Els-body-text"/>
              <w:spacing w:before="120" w:after="120"/>
              <w:rPr>
                <w:bCs/>
              </w:rPr>
            </w:pPr>
            <m:oMath>
              <m:r>
                <w:rPr>
                  <w:rFonts w:ascii="Cambria Math" w:hAnsi="Cambria Math"/>
                  <w:color w:val="000000" w:themeColor="text1"/>
                  <w:lang w:val="es-AR"/>
                </w:rPr>
                <m:t>s</m:t>
              </m:r>
              <m:r>
                <w:rPr>
                  <w:rFonts w:ascii="Cambria Math" w:hAnsi="Cambria Math"/>
                  <w:color w:val="000000" w:themeColor="text1"/>
                  <w:lang w:val="en-GB"/>
                </w:rPr>
                <m:t>.</m:t>
              </m:r>
              <m:r>
                <w:rPr>
                  <w:rFonts w:ascii="Cambria Math" w:hAnsi="Cambria Math"/>
                  <w:color w:val="000000" w:themeColor="text1"/>
                  <w:lang w:val="es-AR"/>
                </w:rPr>
                <m:t>t</m:t>
              </m:r>
              <m:r>
                <w:rPr>
                  <w:rFonts w:ascii="Cambria Math" w:hAnsi="Cambria Math"/>
                  <w:color w:val="000000" w:themeColor="text1"/>
                  <w:lang w:val="en-GB"/>
                </w:rPr>
                <m:t xml:space="preserve">.: </m:t>
              </m:r>
              <m:r>
                <m:rPr>
                  <m:sty m:val="p"/>
                </m:rPr>
                <w:rPr>
                  <w:rFonts w:ascii="Cambria Math" w:hAnsi="Cambria Math" w:cs="CMR10"/>
                  <w:color w:val="000000" w:themeColor="text1"/>
                  <w:lang w:val="en-GB"/>
                </w:rPr>
                <m:t xml:space="preserve"> Eq.</m:t>
              </m:r>
              <m:d>
                <m:dPr>
                  <m:ctrlPr>
                    <w:rPr>
                      <w:rFonts w:ascii="Cambria Math" w:hAnsi="Cambria Math" w:cs="CMR10"/>
                      <w:bCs/>
                      <w:color w:val="000000" w:themeColor="text1"/>
                      <w:lang w:val="es-A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CMR10"/>
                      <w:color w:val="000000" w:themeColor="text1"/>
                      <w:lang w:val="en-GB"/>
                    </w:rPr>
                    <m:t>6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CMR10"/>
                  <w:color w:val="000000" w:themeColor="text1"/>
                  <w:lang w:val="en-GB"/>
                </w:rPr>
                <m:t>,Eq.</m:t>
              </m:r>
              <m:d>
                <m:dPr>
                  <m:ctrlPr>
                    <w:rPr>
                      <w:rFonts w:ascii="Cambria Math" w:hAnsi="Cambria Math" w:cs="CMR10"/>
                      <w:bCs/>
                      <w:color w:val="000000" w:themeColor="text1"/>
                      <w:lang w:val="es-A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CMR10"/>
                      <w:color w:val="000000" w:themeColor="text1"/>
                      <w:lang w:val="en-GB"/>
                    </w:rPr>
                    <m:t>7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CMR10"/>
                  <w:color w:val="000000" w:themeColor="text1"/>
                  <w:lang w:val="en-GB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hAnsi="Cambria Math" w:cs="CMR10"/>
                  <w:color w:val="000000" w:themeColor="text1"/>
                  <w:lang w:val="es-AR"/>
                </w:rPr>
                <m:t>Ω</m:t>
              </m:r>
              <m:r>
                <m:rPr>
                  <m:sty m:val="p"/>
                </m:rPr>
                <w:rPr>
                  <w:rFonts w:ascii="Cambria Math" w:hAnsi="Cambria Math" w:cs="CMR10"/>
                  <w:color w:val="000000" w:themeColor="text1"/>
                  <w:lang w:val="en-GB"/>
                </w:rPr>
                <m:t>={</m:t>
              </m:r>
              <m:r>
                <w:rPr>
                  <w:rFonts w:ascii="Cambria Math" w:hAnsi="Cambria Math"/>
                  <w:color w:val="000000" w:themeColor="text1"/>
                  <w:lang w:val="es-AR"/>
                </w:rPr>
                <m:t>T</m:t>
              </m:r>
              <m:r>
                <w:rPr>
                  <w:rFonts w:ascii="Cambria Math" w:hAnsi="Cambria Math"/>
                  <w:color w:val="000000" w:themeColor="text1"/>
                  <w:lang w:val="en-GB"/>
                </w:rPr>
                <m:t>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000000" w:themeColor="text1"/>
                      <w:lang w:val="es-AR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lang w:val="en-GB"/>
                    </w:rPr>
                    <m:t>125 °</m:t>
                  </m:r>
                  <m:r>
                    <w:rPr>
                      <w:rFonts w:ascii="Cambria Math" w:hAnsi="Cambria Math"/>
                      <w:color w:val="000000" w:themeColor="text1"/>
                      <w:lang w:val="es-AR"/>
                    </w:rPr>
                    <m:t>C</m:t>
                  </m:r>
                  <m:r>
                    <w:rPr>
                      <w:rFonts w:ascii="Cambria Math" w:hAnsi="Cambria Math"/>
                      <w:color w:val="000000" w:themeColor="text1"/>
                      <w:lang w:val="en-GB"/>
                    </w:rPr>
                    <m:t>,205 °</m:t>
                  </m:r>
                  <m:r>
                    <w:rPr>
                      <w:rFonts w:ascii="Cambria Math" w:hAnsi="Cambria Math"/>
                      <w:color w:val="000000" w:themeColor="text1"/>
                      <w:lang w:val="es-AR"/>
                    </w:rPr>
                    <m:t>C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lang w:val="en-GB"/>
                </w:rPr>
                <m:t>;</m:t>
              </m:r>
              <m:r>
                <w:rPr>
                  <w:rFonts w:ascii="Cambria Math" w:hAnsi="Cambria Math"/>
                  <w:color w:val="000000" w:themeColor="text1"/>
                  <w:lang w:val="es-AR"/>
                </w:rPr>
                <m:t>t</m:t>
              </m:r>
              <m:r>
                <w:rPr>
                  <w:rFonts w:ascii="Cambria Math" w:hAnsi="Cambria Math"/>
                  <w:color w:val="000000" w:themeColor="text1"/>
                  <w:lang w:val="en-GB"/>
                </w:rPr>
                <m:t>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000000" w:themeColor="text1"/>
                      <w:lang w:val="es-AR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lang w:val="en-GB"/>
                    </w:rPr>
                    <m:t xml:space="preserve">15 </m:t>
                  </m:r>
                  <m:r>
                    <w:rPr>
                      <w:rFonts w:ascii="Cambria Math" w:hAnsi="Cambria Math"/>
                      <w:color w:val="000000" w:themeColor="text1"/>
                      <w:lang w:val="es-AR"/>
                    </w:rPr>
                    <m:t>min</m:t>
                  </m:r>
                  <m:r>
                    <w:rPr>
                      <w:rFonts w:ascii="Cambria Math" w:hAnsi="Cambria Math"/>
                      <w:color w:val="000000" w:themeColor="text1"/>
                      <w:lang w:val="en-GB"/>
                    </w:rPr>
                    <m:t xml:space="preserve">,45 </m:t>
                  </m:r>
                  <m:r>
                    <w:rPr>
                      <w:rFonts w:ascii="Cambria Math" w:hAnsi="Cambria Math"/>
                      <w:color w:val="000000" w:themeColor="text1"/>
                      <w:lang w:val="es-AR"/>
                    </w:rPr>
                    <m:t>min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lang w:val="en-GB"/>
                </w:rPr>
                <m:t>}</m:t>
              </m:r>
            </m:oMath>
            <w:r w:rsidRPr="009F6B27">
              <w:rPr>
                <w:bCs/>
              </w:rPr>
              <w:t xml:space="preserve"> </w:t>
            </w:r>
          </w:p>
        </w:tc>
        <w:tc>
          <w:tcPr>
            <w:tcW w:w="450" w:type="dxa"/>
          </w:tcPr>
          <w:p w14:paraId="74A96E5E" w14:textId="18BF59E1" w:rsidR="00613A05" w:rsidRDefault="00613A05" w:rsidP="005541ED">
            <w:pPr>
              <w:pStyle w:val="Els-body-text"/>
              <w:spacing w:before="120" w:after="120"/>
              <w:jc w:val="right"/>
            </w:pPr>
          </w:p>
        </w:tc>
      </w:tr>
    </w:tbl>
    <w:p w14:paraId="31558DB9" w14:textId="77777777" w:rsidR="00386D26" w:rsidRDefault="00386D26" w:rsidP="00386D26">
      <w:pPr>
        <w:pStyle w:val="Els-1storder-head"/>
        <w:spacing w:after="120"/>
        <w:rPr>
          <w:lang w:val="en-GB"/>
        </w:rPr>
      </w:pPr>
      <w:r w:rsidRPr="009F6B27">
        <w:rPr>
          <w:lang w:val="en-GB"/>
        </w:rPr>
        <w:t xml:space="preserve">Results and discussion </w:t>
      </w:r>
    </w:p>
    <w:p w14:paraId="3A2AC381" w14:textId="61C7B5E2" w:rsidR="00386D26" w:rsidRDefault="00386D26" w:rsidP="00386D26">
      <w:pPr>
        <w:pStyle w:val="Els-2ndorder-head"/>
      </w:pPr>
      <w:r w:rsidRPr="009F6B27">
        <w:t>Mono</w:t>
      </w:r>
      <w:r w:rsidR="009E0621">
        <w:t>-o</w:t>
      </w:r>
      <w:r w:rsidRPr="009F6B27">
        <w:t>bjective Optimization</w:t>
      </w:r>
      <w:r w:rsidR="00885C80">
        <w:t xml:space="preserve"> Approach</w:t>
      </w:r>
    </w:p>
    <w:p w14:paraId="159B08C7" w14:textId="77777777" w:rsidR="00386D26" w:rsidRDefault="00386D26" w:rsidP="00386D26">
      <w:pPr>
        <w:pStyle w:val="Els-3rdorder-head"/>
      </w:pPr>
      <w:r>
        <w:t>Energy Profit Optimization</w:t>
      </w:r>
    </w:p>
    <w:p w14:paraId="287EE023" w14:textId="739CCB3F" w:rsidR="006D1A00" w:rsidRDefault="00674F46" w:rsidP="006D1A00">
      <w:pPr>
        <w:pStyle w:val="Els-body-text"/>
      </w:pPr>
      <w:r>
        <w:rPr>
          <w:rStyle w:val="Textoennegrita"/>
          <w:color w:val="0E101A"/>
        </w:rPr>
        <w:t>Figure 1</w:t>
      </w:r>
      <w:r>
        <w:t> shows the obtained values for the different TH conditions within the study domain. The obtained function presents a maximum of 306 kWh tonST</w:t>
      </w:r>
      <w:r w:rsidRPr="008C23CC">
        <w:rPr>
          <w:vertAlign w:val="superscript"/>
        </w:rPr>
        <w:t>-1</w:t>
      </w:r>
      <w:r>
        <w:t xml:space="preserve"> at TH conditions of 172 °C and 30 min. The energy balance results are greater than zero for most of the TH conditions, thus denoting an energy self-sufficiency of the AD process when using TH. </w:t>
      </w:r>
    </w:p>
    <w:p w14:paraId="13064D24" w14:textId="3573D0FE" w:rsidR="006D1A00" w:rsidRDefault="006D1A00" w:rsidP="004D0DF9">
      <w:pPr>
        <w:pStyle w:val="Els-body-text"/>
        <w:jc w:val="right"/>
        <w:rPr>
          <w:noProof/>
        </w:rPr>
      </w:pPr>
      <w:r>
        <w:rPr>
          <w:noProof/>
        </w:rPr>
        <w:drawing>
          <wp:inline distT="0" distB="0" distL="0" distR="0" wp14:anchorId="5A37B77E" wp14:editId="643BE89F">
            <wp:extent cx="1981200" cy="1429299"/>
            <wp:effectExtent l="0" t="0" r="0" b="0"/>
            <wp:docPr id="1858279874" name="Imagen 1" descr="Gráfico, Gráfico de superficie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279874" name="Imagen 1" descr="Gráfico, Gráfico de superficie&#10;&#10;Descripción generada automáticamente"/>
                    <pic:cNvPicPr/>
                  </pic:nvPicPr>
                  <pic:blipFill rotWithShape="1">
                    <a:blip r:embed="rId8"/>
                    <a:srcRect t="4662"/>
                    <a:stretch/>
                  </pic:blipFill>
                  <pic:spPr bwMode="auto">
                    <a:xfrm>
                      <a:off x="0" y="0"/>
                      <a:ext cx="2008423" cy="14489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F7199">
        <w:rPr>
          <w:noProof/>
        </w:rPr>
        <w:drawing>
          <wp:inline distT="0" distB="0" distL="0" distR="0" wp14:anchorId="136F2B3F" wp14:editId="7C871DE4">
            <wp:extent cx="2057568" cy="1454150"/>
            <wp:effectExtent l="0" t="0" r="0" b="0"/>
            <wp:docPr id="1573305931" name="Imagen 1" descr="Gráfico, Gráfico de superficie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305931" name="Imagen 1" descr="Gráfico, Gráfico de superficie&#10;&#10;Descripción generada automáticamente"/>
                    <pic:cNvPicPr/>
                  </pic:nvPicPr>
                  <pic:blipFill rotWithShape="1">
                    <a:blip r:embed="rId9"/>
                    <a:srcRect t="2740" b="-1"/>
                    <a:stretch/>
                  </pic:blipFill>
                  <pic:spPr bwMode="auto">
                    <a:xfrm>
                      <a:off x="0" y="0"/>
                      <a:ext cx="2072060" cy="1464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3DDA4F" w14:textId="19E9FF87" w:rsidR="00A442ED" w:rsidRDefault="00A442ED" w:rsidP="00A442ED">
      <w:pPr>
        <w:pStyle w:val="Els-caption"/>
      </w:pPr>
      <w:r w:rsidRPr="00A442ED">
        <w:t xml:space="preserve">Figure 1: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GE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Pr="00A442ED">
        <w:t xml:space="preserve">(left) and response </w:t>
      </w:r>
      <w:r w:rsidR="00DE4450">
        <w:t>s</w:t>
      </w:r>
      <w:r w:rsidRPr="00A442ED">
        <w:t>urface for DON concentration (</w:t>
      </w:r>
      <w:r w:rsidR="00B17BC3" w:rsidRPr="00A442ED">
        <w:t>right</w:t>
      </w:r>
      <w:r w:rsidRPr="00A442ED">
        <w:t>) at different T</w:t>
      </w:r>
      <w:r w:rsidR="00DE4450">
        <w:t>H</w:t>
      </w:r>
      <w:r w:rsidRPr="00A442ED">
        <w:t xml:space="preserve"> conditions.</w:t>
      </w:r>
    </w:p>
    <w:p w14:paraId="0BF76A6A" w14:textId="77777777" w:rsidR="00424CE4" w:rsidRDefault="00424CE4" w:rsidP="00424CE4">
      <w:pPr>
        <w:pStyle w:val="Els-body-text"/>
        <w:keepNext/>
        <w:jc w:val="center"/>
      </w:pPr>
      <w:r>
        <w:rPr>
          <w:noProof/>
        </w:rPr>
        <w:lastRenderedPageBreak/>
        <w:drawing>
          <wp:inline distT="0" distB="0" distL="0" distR="0" wp14:anchorId="5861E2C5" wp14:editId="13DE7EF2">
            <wp:extent cx="2584053" cy="1980000"/>
            <wp:effectExtent l="0" t="0" r="6985" b="1270"/>
            <wp:docPr id="2011781946" name="Imagen 1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781946" name="Imagen 1" descr="Imagen que contiene Diagrama&#10;&#10;Descripción generada automáticamente"/>
                    <pic:cNvPicPr/>
                  </pic:nvPicPr>
                  <pic:blipFill rotWithShape="1">
                    <a:blip r:embed="rId10"/>
                    <a:srcRect t="4795"/>
                    <a:stretch/>
                  </pic:blipFill>
                  <pic:spPr bwMode="auto">
                    <a:xfrm>
                      <a:off x="0" y="0"/>
                      <a:ext cx="2584053" cy="19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BA1FC7" w14:textId="77777777" w:rsidR="00424CE4" w:rsidRPr="00A442ED" w:rsidRDefault="00424CE4" w:rsidP="00424CE4">
      <w:pPr>
        <w:pStyle w:val="Els-caption"/>
      </w:pPr>
      <w:r w:rsidRPr="00A442ED">
        <w:t xml:space="preserve">Figure </w:t>
      </w:r>
      <w:r>
        <w:t>2</w:t>
      </w:r>
      <w:r w:rsidRPr="00A442ED">
        <w:t>: Result of the objective functions within the study domain (blue dots), Pareto front (red solid line), closest point to the ideal (O) and extremes of the front (</w:t>
      </w:r>
      <w:r w:rsidRPr="00A442ED">
        <w:rPr>
          <w:rFonts w:ascii="Cambria Math" w:hAnsi="Cambria Math" w:cs="Cambria Math"/>
        </w:rPr>
        <w:t>▢</w:t>
      </w:r>
      <w:r w:rsidRPr="00A442ED">
        <w:t>).</w:t>
      </w:r>
    </w:p>
    <w:p w14:paraId="78C30257" w14:textId="15F1EEBF" w:rsidR="00DB0349" w:rsidRDefault="00DB0349" w:rsidP="00A442ED">
      <w:pPr>
        <w:pStyle w:val="Els-3rdorder-head"/>
      </w:pPr>
      <w:r>
        <w:t>DON Optimization</w:t>
      </w:r>
    </w:p>
    <w:p w14:paraId="4FA465C2" w14:textId="428AE1F5" w:rsidR="006D1A00" w:rsidRDefault="00B132F2" w:rsidP="00A442ED">
      <w:pPr>
        <w:pStyle w:val="Els-body-text"/>
      </w:pPr>
      <w:r w:rsidRPr="00B132F2">
        <w:rPr>
          <w:b/>
          <w:bCs/>
        </w:rPr>
        <w:t>Figure 1</w:t>
      </w:r>
      <w:r w:rsidRPr="00B132F2">
        <w:t xml:space="preserve"> presents DON concentration obtained at the end of the AD</w:t>
      </w:r>
      <w:r w:rsidR="00DB0349" w:rsidRPr="00DB0349">
        <w:t>.</w:t>
      </w:r>
      <w:r w:rsidR="00DB0349">
        <w:t xml:space="preserve"> </w:t>
      </w:r>
      <w:r w:rsidR="00674F46" w:rsidRPr="00E335D1">
        <w:t>The</w:t>
      </w:r>
      <w:r w:rsidR="00E335D1" w:rsidRPr="00E335D1">
        <w:t xml:space="preserve"> recalcitrant compound has a general increase with increasing temperature. The DON concentration has a local minimum at the boundary of the study domain of 15 min at 143 °C.</w:t>
      </w:r>
    </w:p>
    <w:p w14:paraId="63617EF2" w14:textId="323036EA" w:rsidR="00E335D1" w:rsidRDefault="00E335D1" w:rsidP="00E335D1">
      <w:pPr>
        <w:pStyle w:val="Els-2ndorder-head"/>
      </w:pPr>
      <w:r w:rsidRPr="00F7567F">
        <w:t>Multi-Objective Optimization</w:t>
      </w:r>
      <w:r w:rsidR="002424B1">
        <w:t xml:space="preserve"> Approach</w:t>
      </w:r>
    </w:p>
    <w:p w14:paraId="0D765183" w14:textId="3F1D34AD" w:rsidR="00386D26" w:rsidRDefault="00674F46" w:rsidP="00674F46">
      <w:pPr>
        <w:pStyle w:val="Els-body-text"/>
        <w:rPr>
          <w:lang w:val="en-GB"/>
        </w:rPr>
      </w:pPr>
      <w:r w:rsidRPr="00674F46">
        <w:rPr>
          <w:b/>
          <w:bCs/>
        </w:rPr>
        <w:t>Figure 2</w:t>
      </w:r>
      <w:r>
        <w:t xml:space="preserve"> presents the set of values obtained for the objective functions when evaluating </w:t>
      </w:r>
      <w:r w:rsidR="00C77406">
        <w:t xml:space="preserve">the solutions considering the </w:t>
      </w:r>
      <w:r>
        <w:t xml:space="preserve">discretized domain (blue dots). Also, </w:t>
      </w:r>
      <w:r w:rsidRPr="00674F46">
        <w:rPr>
          <w:b/>
          <w:bCs/>
        </w:rPr>
        <w:t>Figure 2</w:t>
      </w:r>
      <w:r>
        <w:t xml:space="preserve"> shows the Pareto front in red dots. The extremes of the Pareto front are marked</w:t>
      </w:r>
      <w:r w:rsidR="00B6094C">
        <w:t xml:space="preserve"> as</w:t>
      </w:r>
      <w:r>
        <w:t xml:space="preserve"> </w:t>
      </w:r>
      <w:r>
        <w:rPr>
          <w:rFonts w:ascii="Cambria Math" w:hAnsi="Cambria Math" w:cs="Cambria Math"/>
        </w:rPr>
        <w:t>▢</w:t>
      </w:r>
      <w:r>
        <w:t>, these points are solutions that minimize one of the objective functions</w:t>
      </w:r>
      <w:r w:rsidR="00B77155">
        <w:t xml:space="preserve"> within the study domain</w:t>
      </w:r>
      <w:r>
        <w:t xml:space="preserve">, being the </w:t>
      </w:r>
      <w:r w:rsidR="00B77155">
        <w:t>optimal values</w:t>
      </w:r>
      <w:r>
        <w:t xml:space="preserve"> previously presented as the maximum indicated for the GE (</w:t>
      </w:r>
      <m:oMath>
        <m:sSub>
          <m:sSubPr>
            <m:ctrlPr>
              <w:rPr>
                <w:rFonts w:ascii="Cambria Math" w:hAnsi="Cambria Math"/>
                <w:i/>
                <w:lang w:val="es-AR"/>
              </w:rPr>
            </m:ctrlPr>
          </m:sSubPr>
          <m:e>
            <m:r>
              <w:rPr>
                <w:rFonts w:ascii="Cambria Math" w:hAnsi="Cambria Math"/>
                <w:lang w:val="es-AR"/>
              </w:rPr>
              <m:t>E</m:t>
            </m:r>
          </m:e>
          <m:sub>
            <m:r>
              <w:rPr>
                <w:rFonts w:ascii="Cambria Math" w:hAnsi="Cambria Math"/>
                <w:lang w:val="es-AR"/>
              </w:rPr>
              <m:t>GE</m:t>
            </m:r>
          </m:sub>
        </m:sSub>
      </m:oMath>
      <w:r>
        <w:t>) and the minimum DON (</w:t>
      </w:r>
      <m:oMath>
        <m:sSub>
          <m:sSubPr>
            <m:ctrlPr>
              <w:rPr>
                <w:rFonts w:ascii="Cambria Math" w:hAnsi="Cambria Math"/>
                <w:i/>
                <w:lang w:val="es-AR"/>
              </w:rPr>
            </m:ctrlPr>
          </m:sSubPr>
          <m:e>
            <m:r>
              <w:rPr>
                <w:rFonts w:ascii="Cambria Math" w:hAnsi="Cambria Math"/>
                <w:lang w:val="es-AR"/>
              </w:rPr>
              <m:t>DON</m:t>
            </m:r>
          </m:e>
          <m:sub>
            <m:r>
              <w:rPr>
                <w:rFonts w:ascii="Cambria Math" w:hAnsi="Cambria Math"/>
                <w:lang w:val="es-AR"/>
              </w:rPr>
              <m:t>opt</m:t>
            </m:r>
          </m:sub>
        </m:sSub>
      </m:oMath>
      <w:r>
        <w:t>).</w:t>
      </w:r>
      <w:r w:rsidR="00DA7E03">
        <w:t xml:space="preserve"> </w:t>
      </w:r>
      <w:r w:rsidR="000607FE">
        <w:t xml:space="preserve">A solution was selected as the one that belongs to the Pareto front and minimizes the Euclidean distance to the reference point. </w:t>
      </w:r>
      <w:r w:rsidR="005D4468">
        <w:t>This solution</w:t>
      </w:r>
      <w:r>
        <w:t xml:space="preserve"> is marked</w:t>
      </w:r>
      <w:r w:rsidR="00C77406">
        <w:t xml:space="preserve"> with</w:t>
      </w:r>
      <w:r>
        <w:t xml:space="preserve"> O in </w:t>
      </w:r>
      <w:r w:rsidRPr="00674F46">
        <w:rPr>
          <w:b/>
          <w:bCs/>
        </w:rPr>
        <w:t>Figure 2</w:t>
      </w:r>
      <w:r>
        <w:t xml:space="preserve"> and represents the nearest point to the ideal </w:t>
      </w:r>
      <w:r w:rsidR="000607FE">
        <w:t>solution</w:t>
      </w:r>
      <w:r>
        <w:t xml:space="preserve"> (0,0). The nearest point translated to TH conditions results in 150 °C and 29 min, corresponding to a value of 280 </w:t>
      </w:r>
      <w:r w:rsidR="005D632F">
        <w:t>kWh tonST</w:t>
      </w:r>
      <w:r w:rsidR="005D632F" w:rsidRPr="000E287D">
        <w:rPr>
          <w:vertAlign w:val="superscript"/>
        </w:rPr>
        <w:t>-1</w:t>
      </w:r>
      <w:r w:rsidR="005D632F">
        <w:t xml:space="preserve"> </w:t>
      </w:r>
      <w:r>
        <w:t>for the objective function corresponding to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lang w:val="es-AR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es-AR"/>
              </w:rPr>
              <m:t>E</m:t>
            </m:r>
          </m:e>
          <m:sub>
            <m:r>
              <w:rPr>
                <w:rFonts w:ascii="Cambria Math" w:hAnsi="Cambria Math"/>
                <w:color w:val="000000" w:themeColor="text1"/>
                <w:lang w:val="es-AR"/>
              </w:rPr>
              <m:t>GE</m:t>
            </m:r>
          </m:sub>
        </m:sSub>
      </m:oMath>
      <w:r>
        <w:t xml:space="preserve"> and 11.1 ppm DON. </w:t>
      </w:r>
      <w:r w:rsidRPr="00674F46">
        <w:rPr>
          <w:b/>
          <w:bCs/>
        </w:rPr>
        <w:t>Table 2</w:t>
      </w:r>
      <w:r>
        <w:t xml:space="preserve"> presents a summary of the values obtained from the single-objective and multi-objective </w:t>
      </w:r>
      <w:r w:rsidR="000607FE">
        <w:t>approaches.</w:t>
      </w:r>
      <w:r>
        <w:t xml:space="preserve"> When comparing the </w:t>
      </w:r>
      <w:r w:rsidR="000607FE">
        <w:t xml:space="preserve">solution selected using the </w:t>
      </w:r>
      <w:r>
        <w:t xml:space="preserve">multi-objective </w:t>
      </w:r>
      <w:r w:rsidR="000607FE">
        <w:t>formulation</w:t>
      </w:r>
      <w:r>
        <w:t xml:space="preserve"> with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lang w:val="es-AR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es-AR"/>
              </w:rPr>
              <m:t>DON</m:t>
            </m:r>
          </m:e>
          <m:sub>
            <m:r>
              <w:rPr>
                <w:rFonts w:ascii="Cambria Math" w:hAnsi="Cambria Math"/>
                <w:color w:val="000000" w:themeColor="text1"/>
                <w:lang w:val="es-AR"/>
              </w:rPr>
              <m:t>opt</m:t>
            </m:r>
          </m:sub>
        </m:sSub>
      </m:oMath>
      <w:r>
        <w:t xml:space="preserve">, it is found </w:t>
      </w:r>
      <w:r w:rsidR="005D4468">
        <w:t>that it</w:t>
      </w:r>
      <w:r>
        <w:t xml:space="preserve"> is possible to obtain a much higher value of energy recovery</w:t>
      </w:r>
      <w:r w:rsidR="000607FE">
        <w:t xml:space="preserve"> (</w:t>
      </w:r>
      <w:r w:rsidR="00B677CD" w:rsidRPr="005D4468">
        <w:rPr>
          <w:rFonts w:ascii="Courier New" w:hAnsi="Courier New" w:cs="Courier New"/>
        </w:rPr>
        <w:t>x</w:t>
      </w:r>
      <w:r w:rsidR="000607FE">
        <w:t>70)</w:t>
      </w:r>
      <w:r w:rsidR="00B677CD">
        <w:t xml:space="preserve"> </w:t>
      </w:r>
      <w:r w:rsidR="00B677CD" w:rsidRPr="00B677CD">
        <w:t xml:space="preserve">at the cost of doubling the </w:t>
      </w:r>
      <w:r w:rsidR="005D4468" w:rsidRPr="00B677CD">
        <w:t>recalcitrant</w:t>
      </w:r>
      <w:r w:rsidR="00B677CD" w:rsidRPr="00B677CD">
        <w:t>.</w:t>
      </w:r>
      <w:r w:rsidR="004D0DF9">
        <w:t xml:space="preserve"> </w:t>
      </w:r>
      <w:r w:rsidR="00B677CD">
        <w:t>On the other hand</w:t>
      </w:r>
      <w:r w:rsidR="004D0DF9" w:rsidRPr="004D0DF9">
        <w:t>, a 43 % reduction in recalcitrant generation is obtained using multi-objective optimization compared to a single-objective optimization of EP, with only an 8 % reduction in EP compared to the maximum achievable EP.</w:t>
      </w:r>
    </w:p>
    <w:p w14:paraId="478F20BC" w14:textId="52FBC914" w:rsidR="003F7199" w:rsidRPr="00A442ED" w:rsidRDefault="003F7199" w:rsidP="00424CE4">
      <w:pPr>
        <w:pStyle w:val="Els-caption"/>
        <w:keepNext/>
      </w:pPr>
      <w:r w:rsidRPr="00A442ED">
        <w:t xml:space="preserve">Table 2: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GE</m:t>
            </m:r>
          </m:sub>
        </m:sSub>
      </m:oMath>
      <w:r w:rsidRPr="00A442ED">
        <w:t xml:space="preserve"> and DON values obtained from the optimizations.</w:t>
      </w:r>
    </w:p>
    <w:tbl>
      <w:tblPr>
        <w:tblStyle w:val="Tablaconcuadrcula"/>
        <w:tblW w:w="708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8"/>
        <w:gridCol w:w="1644"/>
        <w:gridCol w:w="1324"/>
        <w:gridCol w:w="1338"/>
        <w:gridCol w:w="1133"/>
      </w:tblGrid>
      <w:tr w:rsidR="003F7199" w14:paraId="5772C07C" w14:textId="77777777" w:rsidTr="00A35553"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14:paraId="58E79893" w14:textId="77777777" w:rsidR="003F7199" w:rsidRPr="0030022E" w:rsidRDefault="003F7199" w:rsidP="00A35553">
            <w:pPr>
              <w:pStyle w:val="Els-table-text"/>
            </w:pPr>
            <w:r w:rsidRPr="0030022E">
              <w:t>Optimization</w:t>
            </w:r>
          </w:p>
        </w:tc>
        <w:tc>
          <w:tcPr>
            <w:tcW w:w="296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7D515CB" w14:textId="77777777" w:rsidR="003F7199" w:rsidRPr="0030022E" w:rsidRDefault="003F7199" w:rsidP="00C77406">
            <w:pPr>
              <w:pStyle w:val="Els-table-text"/>
              <w:jc w:val="center"/>
            </w:pPr>
            <w:r w:rsidRPr="0030022E">
              <w:t>TH Conditions</w:t>
            </w:r>
          </w:p>
        </w:tc>
        <w:tc>
          <w:tcPr>
            <w:tcW w:w="1338" w:type="dxa"/>
            <w:tcBorders>
              <w:top w:val="double" w:sz="4" w:space="0" w:color="auto"/>
              <w:bottom w:val="double" w:sz="4" w:space="0" w:color="auto"/>
            </w:tcBorders>
          </w:tcPr>
          <w:p w14:paraId="54B1F725" w14:textId="77777777" w:rsidR="003F7199" w:rsidRPr="0030022E" w:rsidRDefault="00000000" w:rsidP="00A35553">
            <w:pPr>
              <w:pStyle w:val="Els-table-text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GE</m:t>
                  </m:r>
                </m:sub>
              </m:sSub>
            </m:oMath>
            <w:r w:rsidR="003F7199" w:rsidRPr="0030022E"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  <w:bottom w:val="double" w:sz="4" w:space="0" w:color="auto"/>
            </w:tcBorders>
          </w:tcPr>
          <w:p w14:paraId="4A631D95" w14:textId="77777777" w:rsidR="003F7199" w:rsidRPr="0030022E" w:rsidRDefault="003F7199" w:rsidP="00A35553">
            <w:pPr>
              <w:pStyle w:val="Els-table-text"/>
            </w:pPr>
            <w:r w:rsidRPr="0030022E">
              <w:t>DON</w:t>
            </w:r>
          </w:p>
        </w:tc>
      </w:tr>
      <w:tr w:rsidR="003F7199" w14:paraId="28D3BA15" w14:textId="77777777" w:rsidTr="00A35553">
        <w:tc>
          <w:tcPr>
            <w:tcW w:w="1648" w:type="dxa"/>
            <w:tcBorders>
              <w:top w:val="double" w:sz="4" w:space="0" w:color="auto"/>
            </w:tcBorders>
          </w:tcPr>
          <w:p w14:paraId="684F2957" w14:textId="77777777" w:rsidR="003F7199" w:rsidRPr="0030022E" w:rsidRDefault="003F7199" w:rsidP="00A35553">
            <w:pPr>
              <w:pStyle w:val="Els-table-text"/>
            </w:pPr>
          </w:p>
        </w:tc>
        <w:tc>
          <w:tcPr>
            <w:tcW w:w="1644" w:type="dxa"/>
            <w:tcBorders>
              <w:top w:val="double" w:sz="4" w:space="0" w:color="auto"/>
            </w:tcBorders>
          </w:tcPr>
          <w:p w14:paraId="3FF1D5B5" w14:textId="77777777" w:rsidR="003F7199" w:rsidRPr="0030022E" w:rsidRDefault="003F7199" w:rsidP="00A35553">
            <w:pPr>
              <w:pStyle w:val="Els-table-text"/>
            </w:pPr>
            <w:r w:rsidRPr="0030022E">
              <w:t>Temperature (°C)</w:t>
            </w:r>
          </w:p>
        </w:tc>
        <w:tc>
          <w:tcPr>
            <w:tcW w:w="1324" w:type="dxa"/>
            <w:tcBorders>
              <w:top w:val="double" w:sz="4" w:space="0" w:color="auto"/>
            </w:tcBorders>
          </w:tcPr>
          <w:p w14:paraId="3BA05832" w14:textId="77777777" w:rsidR="003F7199" w:rsidRPr="0030022E" w:rsidRDefault="003F7199" w:rsidP="00A35553">
            <w:pPr>
              <w:pStyle w:val="Els-table-text"/>
            </w:pPr>
            <w:r w:rsidRPr="0030022E">
              <w:t>Time (min)</w:t>
            </w:r>
          </w:p>
        </w:tc>
        <w:tc>
          <w:tcPr>
            <w:tcW w:w="1338" w:type="dxa"/>
            <w:tcBorders>
              <w:top w:val="double" w:sz="4" w:space="0" w:color="auto"/>
            </w:tcBorders>
          </w:tcPr>
          <w:p w14:paraId="11644F08" w14:textId="77777777" w:rsidR="003F7199" w:rsidRPr="0030022E" w:rsidRDefault="003F7199" w:rsidP="00A35553">
            <w:pPr>
              <w:pStyle w:val="Els-table-text"/>
            </w:pPr>
            <w:r w:rsidRPr="0030022E">
              <w:t>kWh/</w:t>
            </w:r>
            <w:proofErr w:type="spellStart"/>
            <w:r w:rsidRPr="0030022E">
              <w:t>tonST</w:t>
            </w:r>
            <w:proofErr w:type="spellEnd"/>
          </w:p>
        </w:tc>
        <w:tc>
          <w:tcPr>
            <w:tcW w:w="1133" w:type="dxa"/>
            <w:tcBorders>
              <w:top w:val="double" w:sz="4" w:space="0" w:color="auto"/>
            </w:tcBorders>
          </w:tcPr>
          <w:p w14:paraId="5038A9B7" w14:textId="77777777" w:rsidR="003F7199" w:rsidRPr="0030022E" w:rsidRDefault="003F7199" w:rsidP="00A35553">
            <w:pPr>
              <w:pStyle w:val="Els-table-text"/>
            </w:pPr>
            <w:r w:rsidRPr="0030022E">
              <w:t>ppm</w:t>
            </w:r>
          </w:p>
        </w:tc>
      </w:tr>
      <w:tr w:rsidR="003F7199" w14:paraId="2289AB93" w14:textId="77777777" w:rsidTr="00A35553">
        <w:tc>
          <w:tcPr>
            <w:tcW w:w="1648" w:type="dxa"/>
          </w:tcPr>
          <w:p w14:paraId="5D9680FB" w14:textId="77777777" w:rsidR="003F7199" w:rsidRPr="0030022E" w:rsidRDefault="003F7199" w:rsidP="00A35553">
            <w:pPr>
              <w:pStyle w:val="Els-table-text"/>
            </w:pPr>
            <w:r w:rsidRPr="0030022E">
              <w:t>Multi-Objective</w:t>
            </w:r>
          </w:p>
        </w:tc>
        <w:tc>
          <w:tcPr>
            <w:tcW w:w="1644" w:type="dxa"/>
          </w:tcPr>
          <w:p w14:paraId="71DF16B7" w14:textId="77777777" w:rsidR="003F7199" w:rsidRPr="0030022E" w:rsidRDefault="003F7199" w:rsidP="00A35553">
            <w:pPr>
              <w:pStyle w:val="Els-table-text"/>
            </w:pPr>
            <w:r w:rsidRPr="0030022E">
              <w:t>150</w:t>
            </w:r>
          </w:p>
        </w:tc>
        <w:tc>
          <w:tcPr>
            <w:tcW w:w="1324" w:type="dxa"/>
          </w:tcPr>
          <w:p w14:paraId="16775C26" w14:textId="77777777" w:rsidR="003F7199" w:rsidRPr="0030022E" w:rsidRDefault="003F7199" w:rsidP="00A35553">
            <w:pPr>
              <w:pStyle w:val="Els-table-text"/>
            </w:pPr>
            <w:r w:rsidRPr="0030022E">
              <w:t>29</w:t>
            </w:r>
          </w:p>
        </w:tc>
        <w:tc>
          <w:tcPr>
            <w:tcW w:w="1338" w:type="dxa"/>
          </w:tcPr>
          <w:p w14:paraId="7C16E668" w14:textId="77777777" w:rsidR="003F7199" w:rsidRPr="0030022E" w:rsidRDefault="003F7199" w:rsidP="00A35553">
            <w:pPr>
              <w:pStyle w:val="Els-table-text"/>
            </w:pPr>
            <w:r w:rsidRPr="0030022E">
              <w:t>280</w:t>
            </w:r>
          </w:p>
        </w:tc>
        <w:tc>
          <w:tcPr>
            <w:tcW w:w="1133" w:type="dxa"/>
          </w:tcPr>
          <w:p w14:paraId="1592245C" w14:textId="77777777" w:rsidR="003F7199" w:rsidRPr="0030022E" w:rsidRDefault="003F7199" w:rsidP="00A35553">
            <w:pPr>
              <w:pStyle w:val="Els-table-text"/>
            </w:pPr>
            <w:r w:rsidRPr="0030022E">
              <w:t>11.1</w:t>
            </w:r>
          </w:p>
        </w:tc>
      </w:tr>
      <w:tr w:rsidR="003F7199" w14:paraId="095645B2" w14:textId="77777777" w:rsidTr="00A35553">
        <w:tc>
          <w:tcPr>
            <w:tcW w:w="1648" w:type="dxa"/>
          </w:tcPr>
          <w:p w14:paraId="1687EB30" w14:textId="77777777" w:rsidR="003F7199" w:rsidRPr="0030022E" w:rsidRDefault="00000000" w:rsidP="00A35553">
            <w:pPr>
              <w:pStyle w:val="Els-table-text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GE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>opt</m:t>
                  </m:r>
                </m:sub>
              </m:sSub>
            </m:oMath>
            <w:r w:rsidR="003F7199" w:rsidRPr="0030022E">
              <w:t xml:space="preserve"> </w:t>
            </w:r>
          </w:p>
        </w:tc>
        <w:tc>
          <w:tcPr>
            <w:tcW w:w="1644" w:type="dxa"/>
          </w:tcPr>
          <w:p w14:paraId="77566088" w14:textId="77777777" w:rsidR="003F7199" w:rsidRPr="0030022E" w:rsidRDefault="003F7199" w:rsidP="00A35553">
            <w:pPr>
              <w:pStyle w:val="Els-table-text"/>
            </w:pPr>
            <w:r w:rsidRPr="0030022E">
              <w:t>172</w:t>
            </w:r>
          </w:p>
        </w:tc>
        <w:tc>
          <w:tcPr>
            <w:tcW w:w="1324" w:type="dxa"/>
          </w:tcPr>
          <w:p w14:paraId="47C24847" w14:textId="77777777" w:rsidR="003F7199" w:rsidRPr="0030022E" w:rsidRDefault="003F7199" w:rsidP="00A35553">
            <w:pPr>
              <w:pStyle w:val="Els-table-text"/>
            </w:pPr>
            <w:r w:rsidRPr="0030022E">
              <w:t>31</w:t>
            </w:r>
          </w:p>
        </w:tc>
        <w:tc>
          <w:tcPr>
            <w:tcW w:w="1338" w:type="dxa"/>
          </w:tcPr>
          <w:p w14:paraId="035BA3D6" w14:textId="77777777" w:rsidR="003F7199" w:rsidRPr="0030022E" w:rsidRDefault="003F7199" w:rsidP="00A35553">
            <w:pPr>
              <w:pStyle w:val="Els-table-text"/>
            </w:pPr>
            <w:r w:rsidRPr="0030022E">
              <w:t>305</w:t>
            </w:r>
          </w:p>
        </w:tc>
        <w:tc>
          <w:tcPr>
            <w:tcW w:w="1133" w:type="dxa"/>
          </w:tcPr>
          <w:p w14:paraId="6DA90CA0" w14:textId="77777777" w:rsidR="003F7199" w:rsidRPr="0030022E" w:rsidRDefault="003F7199" w:rsidP="00A35553">
            <w:pPr>
              <w:pStyle w:val="Els-table-text"/>
            </w:pPr>
            <w:r w:rsidRPr="0030022E">
              <w:t>19.6</w:t>
            </w:r>
          </w:p>
        </w:tc>
      </w:tr>
      <w:tr w:rsidR="003F7199" w14:paraId="11715712" w14:textId="77777777" w:rsidTr="00A35553">
        <w:tc>
          <w:tcPr>
            <w:tcW w:w="1648" w:type="dxa"/>
          </w:tcPr>
          <w:p w14:paraId="4DBC82F9" w14:textId="77777777" w:rsidR="003F7199" w:rsidRPr="0030022E" w:rsidRDefault="00000000" w:rsidP="00A35553">
            <w:pPr>
              <w:pStyle w:val="Els-table-text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DON</m:t>
                  </m:r>
                </m:e>
                <m:sub>
                  <m:r>
                    <w:rPr>
                      <w:rFonts w:ascii="Cambria Math" w:hAnsi="Cambria Math"/>
                    </w:rPr>
                    <m:t>opt</m:t>
                  </m:r>
                </m:sub>
              </m:sSub>
            </m:oMath>
            <w:r w:rsidR="003F7199" w:rsidRPr="0030022E">
              <w:t xml:space="preserve"> </w:t>
            </w:r>
          </w:p>
        </w:tc>
        <w:tc>
          <w:tcPr>
            <w:tcW w:w="1644" w:type="dxa"/>
          </w:tcPr>
          <w:p w14:paraId="53F964F8" w14:textId="77777777" w:rsidR="003F7199" w:rsidRPr="0030022E" w:rsidRDefault="003F7199" w:rsidP="00A35553">
            <w:pPr>
              <w:pStyle w:val="Els-table-text"/>
            </w:pPr>
            <w:r w:rsidRPr="0030022E">
              <w:t>143</w:t>
            </w:r>
          </w:p>
        </w:tc>
        <w:tc>
          <w:tcPr>
            <w:tcW w:w="1324" w:type="dxa"/>
          </w:tcPr>
          <w:p w14:paraId="21A3681F" w14:textId="77777777" w:rsidR="003F7199" w:rsidRPr="0030022E" w:rsidRDefault="003F7199" w:rsidP="00A35553">
            <w:pPr>
              <w:pStyle w:val="Els-table-text"/>
            </w:pPr>
            <w:r w:rsidRPr="0030022E">
              <w:t>15</w:t>
            </w:r>
          </w:p>
        </w:tc>
        <w:tc>
          <w:tcPr>
            <w:tcW w:w="1338" w:type="dxa"/>
          </w:tcPr>
          <w:p w14:paraId="14DE2191" w14:textId="77777777" w:rsidR="003F7199" w:rsidRPr="0030022E" w:rsidRDefault="003F7199" w:rsidP="00A35553">
            <w:pPr>
              <w:pStyle w:val="Els-table-text"/>
            </w:pPr>
            <w:r w:rsidRPr="0030022E">
              <w:t>4</w:t>
            </w:r>
          </w:p>
        </w:tc>
        <w:tc>
          <w:tcPr>
            <w:tcW w:w="1133" w:type="dxa"/>
          </w:tcPr>
          <w:p w14:paraId="28BA62E9" w14:textId="77777777" w:rsidR="003F7199" w:rsidRPr="0030022E" w:rsidRDefault="003F7199" w:rsidP="00A35553">
            <w:pPr>
              <w:pStyle w:val="Els-table-text"/>
            </w:pPr>
            <w:r w:rsidRPr="0030022E">
              <w:t>5.6</w:t>
            </w:r>
          </w:p>
        </w:tc>
      </w:tr>
    </w:tbl>
    <w:p w14:paraId="3A5AC6F3" w14:textId="77777777" w:rsidR="003F7199" w:rsidRDefault="003F7199" w:rsidP="00386D26">
      <w:pPr>
        <w:pStyle w:val="Els-body-text"/>
        <w:rPr>
          <w:lang w:val="en-GB"/>
        </w:rPr>
      </w:pPr>
    </w:p>
    <w:p w14:paraId="12857555" w14:textId="77777777" w:rsidR="00386D26" w:rsidRDefault="00386D26" w:rsidP="00386D26">
      <w:pPr>
        <w:pStyle w:val="Els-1storder-head"/>
        <w:spacing w:after="120"/>
        <w:rPr>
          <w:lang w:val="en-GB"/>
        </w:rPr>
      </w:pPr>
      <w:r w:rsidRPr="009F6B27">
        <w:rPr>
          <w:lang w:val="en-GB"/>
        </w:rPr>
        <w:lastRenderedPageBreak/>
        <w:t>Conclusions</w:t>
      </w:r>
    </w:p>
    <w:p w14:paraId="6C2299B3" w14:textId="268B9F65" w:rsidR="002429F1" w:rsidRDefault="00EE4097" w:rsidP="00386D26">
      <w:pPr>
        <w:pStyle w:val="Els-body-text"/>
        <w:rPr>
          <w:lang w:val="en-GB"/>
        </w:rPr>
      </w:pPr>
      <w:r>
        <w:t>T</w:t>
      </w:r>
      <w:r w:rsidRPr="007C3EF9">
        <w:t>his study performed a multi-objective optimization, determining the Pareto front for</w:t>
      </w:r>
      <w:r>
        <w:t xml:space="preserve"> the</w:t>
      </w:r>
      <w:r w:rsidRPr="007C3EF9">
        <w:t xml:space="preserve"> system energy profit (EP) and</w:t>
      </w:r>
      <w:r>
        <w:t xml:space="preserve"> the</w:t>
      </w:r>
      <w:r w:rsidRPr="007C3EF9">
        <w:t xml:space="preserve"> recalcitrant generation</w:t>
      </w:r>
      <w:r>
        <w:t xml:space="preserve"> quantified as DON</w:t>
      </w:r>
      <w:r w:rsidRPr="007C3EF9">
        <w:t xml:space="preserve"> in a thermally hydrolyzed cellulose industry </w:t>
      </w:r>
      <w:proofErr w:type="spellStart"/>
      <w:r w:rsidRPr="007C3EF9">
        <w:t>biosludge</w:t>
      </w:r>
      <w:proofErr w:type="spellEnd"/>
      <w:r w:rsidRPr="007C3EF9">
        <w:t>.</w:t>
      </w:r>
      <w:r w:rsidR="004D0DF9">
        <w:t xml:space="preserve"> </w:t>
      </w:r>
      <w:r w:rsidR="00331973">
        <w:t>W</w:t>
      </w:r>
      <w:r w:rsidR="00331973" w:rsidRPr="00331973">
        <w:t>hen only energy optimization is considered</w:t>
      </w:r>
      <w:r w:rsidR="00331973">
        <w:rPr>
          <w:lang w:val="en-GB"/>
        </w:rPr>
        <w:t>,</w:t>
      </w:r>
      <w:r w:rsidR="00354A73" w:rsidRPr="00354A73">
        <w:rPr>
          <w:lang w:val="en-GB"/>
        </w:rPr>
        <w:t xml:space="preserve"> the energy profit generates a positive energy balance, therefore, an economic benefit from the sale or use of energy. </w:t>
      </w:r>
      <w:r w:rsidR="00C77406">
        <w:rPr>
          <w:lang w:val="en-GB"/>
        </w:rPr>
        <w:t>However</w:t>
      </w:r>
      <w:r w:rsidR="00354A73">
        <w:rPr>
          <w:lang w:val="en-GB"/>
        </w:rPr>
        <w:t xml:space="preserve">, </w:t>
      </w:r>
      <w:r w:rsidR="00FB2290">
        <w:rPr>
          <w:lang w:val="en-GB"/>
        </w:rPr>
        <w:t xml:space="preserve">this mono-objective </w:t>
      </w:r>
      <w:r w:rsidR="00B132F2">
        <w:rPr>
          <w:lang w:val="en-GB"/>
        </w:rPr>
        <w:t>o</w:t>
      </w:r>
      <w:r w:rsidR="00B132F2" w:rsidRPr="00DD1C74">
        <w:rPr>
          <w:lang w:val="en-GB"/>
        </w:rPr>
        <w:t>ptimiz</w:t>
      </w:r>
      <w:r w:rsidR="00B132F2">
        <w:rPr>
          <w:lang w:val="en-GB"/>
        </w:rPr>
        <w:t>ation</w:t>
      </w:r>
      <w:r w:rsidR="00B132F2" w:rsidRPr="00DD1C74">
        <w:rPr>
          <w:lang w:val="en-GB"/>
        </w:rPr>
        <w:t xml:space="preserve"> implies</w:t>
      </w:r>
      <w:r w:rsidR="00354A73" w:rsidRPr="00DD1C74">
        <w:rPr>
          <w:lang w:val="en-GB"/>
        </w:rPr>
        <w:t xml:space="preserve"> a recalcitrant generation of 19.6 ppm DON</w:t>
      </w:r>
      <w:r w:rsidR="00B132F2">
        <w:rPr>
          <w:lang w:val="en-GB"/>
        </w:rPr>
        <w:t xml:space="preserve"> </w:t>
      </w:r>
      <w:r w:rsidR="00B132F2" w:rsidRPr="00B132F2">
        <w:rPr>
          <w:lang w:val="en-GB"/>
        </w:rPr>
        <w:t>leading to possible environmental problems</w:t>
      </w:r>
      <w:r w:rsidR="00354A73" w:rsidRPr="00DD1C74">
        <w:rPr>
          <w:lang w:val="en-GB"/>
        </w:rPr>
        <w:t xml:space="preserve">. </w:t>
      </w:r>
    </w:p>
    <w:p w14:paraId="34677372" w14:textId="162D8A23" w:rsidR="00C87D35" w:rsidRDefault="00C77406" w:rsidP="00386D26">
      <w:pPr>
        <w:pStyle w:val="Els-body-text"/>
        <w:rPr>
          <w:lang w:val="en-GB"/>
        </w:rPr>
      </w:pPr>
      <w:r>
        <w:rPr>
          <w:lang w:val="en-GB"/>
        </w:rPr>
        <w:t>On the other hand</w:t>
      </w:r>
      <w:r w:rsidR="00354A73" w:rsidRPr="00354A73">
        <w:rPr>
          <w:lang w:val="en-GB"/>
        </w:rPr>
        <w:t xml:space="preserve">, including a multi-objective optimization based on considering </w:t>
      </w:r>
      <w:r w:rsidR="00B17BC3" w:rsidRPr="00354A73">
        <w:rPr>
          <w:lang w:val="en-GB"/>
        </w:rPr>
        <w:t>recalcitrant</w:t>
      </w:r>
      <w:r w:rsidR="00354A73" w:rsidRPr="00354A73">
        <w:rPr>
          <w:lang w:val="en-GB"/>
        </w:rPr>
        <w:t xml:space="preserve"> such as DON </w:t>
      </w:r>
      <w:r>
        <w:rPr>
          <w:lang w:val="en-GB"/>
        </w:rPr>
        <w:t>as a second</w:t>
      </w:r>
      <w:r w:rsidR="00354A73" w:rsidRPr="00354A73">
        <w:rPr>
          <w:lang w:val="en-GB"/>
        </w:rPr>
        <w:t xml:space="preserve"> objective function allows</w:t>
      </w:r>
      <w:r w:rsidR="0065361A">
        <w:rPr>
          <w:lang w:val="en-GB"/>
        </w:rPr>
        <w:t xml:space="preserve"> </w:t>
      </w:r>
      <w:r w:rsidR="00354A73" w:rsidRPr="00354A73">
        <w:rPr>
          <w:lang w:val="en-GB"/>
        </w:rPr>
        <w:t xml:space="preserve">to </w:t>
      </w:r>
      <w:r w:rsidR="00310FF6">
        <w:rPr>
          <w:lang w:val="en-GB"/>
        </w:rPr>
        <w:t>produce</w:t>
      </w:r>
      <w:r w:rsidR="00354A73" w:rsidRPr="00354A73">
        <w:rPr>
          <w:lang w:val="en-GB"/>
        </w:rPr>
        <w:t xml:space="preserve"> a 43</w:t>
      </w:r>
      <w:r w:rsidR="00616E80">
        <w:rPr>
          <w:lang w:val="en-GB"/>
        </w:rPr>
        <w:t xml:space="preserve"> </w:t>
      </w:r>
      <w:r w:rsidR="00354A73" w:rsidRPr="00354A73">
        <w:rPr>
          <w:lang w:val="en-GB"/>
        </w:rPr>
        <w:t xml:space="preserve">% reduction in recalcitrant compounds. </w:t>
      </w:r>
      <w:r w:rsidR="00801703">
        <w:rPr>
          <w:lang w:val="en-GB"/>
        </w:rPr>
        <w:t>Consequently</w:t>
      </w:r>
      <w:r w:rsidR="00354A73" w:rsidRPr="00DD1C74">
        <w:rPr>
          <w:lang w:val="en-GB"/>
        </w:rPr>
        <w:t xml:space="preserve">, </w:t>
      </w:r>
      <w:r w:rsidR="00F670C0">
        <w:rPr>
          <w:lang w:val="en-GB"/>
        </w:rPr>
        <w:t xml:space="preserve">when </w:t>
      </w:r>
      <w:r w:rsidR="00354A73" w:rsidRPr="00DD1C74">
        <w:rPr>
          <w:lang w:val="en-GB"/>
        </w:rPr>
        <w:t xml:space="preserve">recalcitrant generation </w:t>
      </w:r>
      <w:r w:rsidR="00B677CD">
        <w:rPr>
          <w:lang w:val="en-GB"/>
        </w:rPr>
        <w:t xml:space="preserve">is </w:t>
      </w:r>
      <w:r w:rsidR="00B677CD" w:rsidRPr="00DD1C74">
        <w:rPr>
          <w:lang w:val="en-GB"/>
        </w:rPr>
        <w:t>consider</w:t>
      </w:r>
      <w:r w:rsidR="00B677CD">
        <w:rPr>
          <w:lang w:val="en-GB"/>
        </w:rPr>
        <w:t>ed</w:t>
      </w:r>
      <w:r w:rsidR="00B677CD" w:rsidRPr="00DD1C74">
        <w:rPr>
          <w:lang w:val="en-GB"/>
        </w:rPr>
        <w:t xml:space="preserve"> </w:t>
      </w:r>
      <w:r w:rsidR="00B173B0">
        <w:rPr>
          <w:lang w:val="en-GB"/>
        </w:rPr>
        <w:t xml:space="preserve">as another </w:t>
      </w:r>
      <w:r w:rsidR="00A0188A">
        <w:rPr>
          <w:lang w:val="en-GB"/>
        </w:rPr>
        <w:t>objective function</w:t>
      </w:r>
      <w:r w:rsidR="005F6E1C">
        <w:rPr>
          <w:lang w:val="en-GB"/>
        </w:rPr>
        <w:t>,</w:t>
      </w:r>
      <w:r w:rsidR="00354A73" w:rsidRPr="00DD1C74">
        <w:rPr>
          <w:lang w:val="en-GB"/>
        </w:rPr>
        <w:t xml:space="preserve"> </w:t>
      </w:r>
      <w:r w:rsidR="00C45B19">
        <w:rPr>
          <w:lang w:val="en-GB"/>
        </w:rPr>
        <w:t xml:space="preserve">the multi-objective </w:t>
      </w:r>
      <w:r w:rsidR="00354A73" w:rsidRPr="00DD1C74">
        <w:rPr>
          <w:lang w:val="en-GB"/>
        </w:rPr>
        <w:t xml:space="preserve">optimization leads to lower temperature optima than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lang w:val="es-AR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es-AR"/>
              </w:rPr>
              <m:t>E</m:t>
            </m:r>
          </m:e>
          <m:sub>
            <m:r>
              <w:rPr>
                <w:rFonts w:ascii="Cambria Math" w:hAnsi="Cambria Math"/>
                <w:color w:val="000000" w:themeColor="text1"/>
                <w:lang w:val="es-AR"/>
              </w:rPr>
              <m:t>GE</m:t>
            </m:r>
            <m:r>
              <w:rPr>
                <w:rFonts w:ascii="Cambria Math" w:hAnsi="Cambria Math"/>
                <w:color w:val="000000" w:themeColor="text1"/>
              </w:rPr>
              <m:t xml:space="preserve"> </m:t>
            </m:r>
            <m:r>
              <w:rPr>
                <w:rFonts w:ascii="Cambria Math" w:hAnsi="Cambria Math"/>
                <w:color w:val="000000" w:themeColor="text1"/>
                <w:lang w:val="es-AR"/>
              </w:rPr>
              <m:t>opt</m:t>
            </m:r>
          </m:sub>
        </m:sSub>
      </m:oMath>
      <w:r w:rsidR="00354A73" w:rsidRPr="00DD1C74">
        <w:rPr>
          <w:lang w:val="en-GB"/>
        </w:rPr>
        <w:t xml:space="preserve">. </w:t>
      </w:r>
      <w:r w:rsidR="00354A73" w:rsidRPr="00354A73">
        <w:rPr>
          <w:lang w:val="en-GB"/>
        </w:rPr>
        <w:t xml:space="preserve">This allows </w:t>
      </w:r>
      <w:r w:rsidR="0065361A">
        <w:rPr>
          <w:lang w:val="en-GB"/>
        </w:rPr>
        <w:t>for</w:t>
      </w:r>
      <w:r w:rsidR="00354A73" w:rsidRPr="00354A73">
        <w:rPr>
          <w:lang w:val="en-GB"/>
        </w:rPr>
        <w:t xml:space="preserve"> </w:t>
      </w:r>
      <w:r w:rsidR="0065361A">
        <w:rPr>
          <w:lang w:val="en-GB"/>
        </w:rPr>
        <w:t xml:space="preserve">the </w:t>
      </w:r>
      <w:r w:rsidR="00354A73" w:rsidRPr="00354A73">
        <w:rPr>
          <w:lang w:val="en-GB"/>
        </w:rPr>
        <w:t>reduc</w:t>
      </w:r>
      <w:r w:rsidR="0065361A">
        <w:rPr>
          <w:lang w:val="en-GB"/>
        </w:rPr>
        <w:t>tion of</w:t>
      </w:r>
      <w:r w:rsidR="00354A73" w:rsidRPr="00354A73">
        <w:rPr>
          <w:lang w:val="en-GB"/>
        </w:rPr>
        <w:t xml:space="preserve"> impacts on UV disinfection of such waters and potential emerging pollutants with nitrogen content</w:t>
      </w:r>
      <w:r w:rsidR="00225346">
        <w:rPr>
          <w:lang w:val="en-GB"/>
        </w:rPr>
        <w:t>,</w:t>
      </w:r>
      <w:r>
        <w:rPr>
          <w:lang w:val="en-GB"/>
        </w:rPr>
        <w:t xml:space="preserve"> </w:t>
      </w:r>
      <w:r w:rsidR="006C5440">
        <w:rPr>
          <w:lang w:val="en-GB"/>
        </w:rPr>
        <w:t xml:space="preserve">with </w:t>
      </w:r>
      <w:r w:rsidR="00740234">
        <w:rPr>
          <w:lang w:val="en-GB"/>
        </w:rPr>
        <w:t xml:space="preserve">a </w:t>
      </w:r>
      <w:r w:rsidR="00BD3C99">
        <w:rPr>
          <w:lang w:val="en-GB"/>
        </w:rPr>
        <w:t xml:space="preserve">scarce </w:t>
      </w:r>
      <w:r w:rsidR="00740234">
        <w:rPr>
          <w:lang w:val="en-GB"/>
        </w:rPr>
        <w:t>reduction of</w:t>
      </w:r>
      <w:r w:rsidR="00354A73" w:rsidRPr="00354A73">
        <w:rPr>
          <w:lang w:val="en-GB"/>
        </w:rPr>
        <w:t xml:space="preserve"> 8</w:t>
      </w:r>
      <w:r w:rsidR="00616E80">
        <w:rPr>
          <w:lang w:val="en-GB"/>
        </w:rPr>
        <w:t xml:space="preserve"> </w:t>
      </w:r>
      <w:r w:rsidR="00354A73" w:rsidRPr="00354A73">
        <w:rPr>
          <w:lang w:val="en-GB"/>
        </w:rPr>
        <w:t>% in energy balance profits.</w:t>
      </w:r>
      <w:r w:rsidR="004D0DF9">
        <w:rPr>
          <w:lang w:val="en-GB"/>
        </w:rPr>
        <w:t xml:space="preserve"> </w:t>
      </w:r>
    </w:p>
    <w:p w14:paraId="1C37FFD9" w14:textId="13AE68B0" w:rsidR="0021149A" w:rsidRDefault="00FA3D1A" w:rsidP="00386D26">
      <w:pPr>
        <w:pStyle w:val="Els-body-text"/>
        <w:rPr>
          <w:lang w:val="en-GB"/>
        </w:rPr>
      </w:pPr>
      <w:r w:rsidRPr="00FA3D1A">
        <w:rPr>
          <w:lang w:val="en-GB"/>
        </w:rPr>
        <w:t>A</w:t>
      </w:r>
      <w:r w:rsidR="00E26D9F">
        <w:rPr>
          <w:lang w:val="en-GB"/>
        </w:rPr>
        <w:t>lso, the</w:t>
      </w:r>
      <w:r w:rsidRPr="00FA3D1A">
        <w:rPr>
          <w:lang w:val="en-GB"/>
        </w:rPr>
        <w:t xml:space="preserve"> multi-objective </w:t>
      </w:r>
      <w:r w:rsidR="00E26D9F">
        <w:rPr>
          <w:lang w:val="en-GB"/>
        </w:rPr>
        <w:t>approach allows to select from the Pareto front</w:t>
      </w:r>
      <w:r w:rsidR="00E26D9F" w:rsidRPr="00FA3D1A">
        <w:rPr>
          <w:lang w:val="en-GB"/>
        </w:rPr>
        <w:t xml:space="preserve"> </w:t>
      </w:r>
      <w:r w:rsidR="00E26D9F">
        <w:rPr>
          <w:lang w:val="en-GB"/>
        </w:rPr>
        <w:t xml:space="preserve">solutions with </w:t>
      </w:r>
      <w:r w:rsidR="00E26D9F" w:rsidRPr="00FA3D1A">
        <w:rPr>
          <w:lang w:val="en-GB"/>
        </w:rPr>
        <w:t xml:space="preserve">different </w:t>
      </w:r>
      <w:r w:rsidR="00E26D9F">
        <w:rPr>
          <w:lang w:val="en-GB"/>
        </w:rPr>
        <w:t xml:space="preserve">balances </w:t>
      </w:r>
      <w:r w:rsidR="00E26D9F" w:rsidRPr="00FA3D1A">
        <w:rPr>
          <w:lang w:val="en-GB"/>
        </w:rPr>
        <w:t>of the objective functions.</w:t>
      </w:r>
      <w:r w:rsidR="00E26D9F">
        <w:rPr>
          <w:lang w:val="en-GB"/>
        </w:rPr>
        <w:t xml:space="preserve"> For instance, if the environmental </w:t>
      </w:r>
      <w:r w:rsidR="00E26D9F" w:rsidRPr="00E26D9F">
        <w:rPr>
          <w:lang w:val="en-GB"/>
        </w:rPr>
        <w:t>aspect is more relevant,</w:t>
      </w:r>
      <w:r w:rsidR="00E26D9F">
        <w:rPr>
          <w:lang w:val="en-GB"/>
        </w:rPr>
        <w:t xml:space="preserve"> a different solution can be selected, obtaining a </w:t>
      </w:r>
      <w:r w:rsidR="00E26D9F" w:rsidRPr="00701352">
        <w:rPr>
          <w:lang w:val="en-GB"/>
        </w:rPr>
        <w:t>better energy profit than the minimum DON situation</w:t>
      </w:r>
      <w:r w:rsidR="00E26D9F">
        <w:rPr>
          <w:lang w:val="en-GB"/>
        </w:rPr>
        <w:t xml:space="preserve">, without producing a </w:t>
      </w:r>
      <w:r w:rsidR="00E26D9F" w:rsidRPr="00701352">
        <w:rPr>
          <w:lang w:val="en-GB"/>
        </w:rPr>
        <w:t>substantial increment in the recalcitrant concentration</w:t>
      </w:r>
      <w:r w:rsidR="00E26D9F">
        <w:rPr>
          <w:lang w:val="en-GB"/>
        </w:rPr>
        <w:t xml:space="preserve">. </w:t>
      </w:r>
    </w:p>
    <w:p w14:paraId="5824B0BC" w14:textId="17B3C0A8" w:rsidR="003B530D" w:rsidRDefault="0063216F" w:rsidP="00386D26">
      <w:pPr>
        <w:pStyle w:val="Els-body-text"/>
        <w:rPr>
          <w:lang w:val="en-GB"/>
        </w:rPr>
      </w:pPr>
      <w:r>
        <w:rPr>
          <w:lang w:val="en-GB"/>
        </w:rPr>
        <w:t>As a future work</w:t>
      </w:r>
      <w:r w:rsidR="00837065">
        <w:rPr>
          <w:lang w:val="en-GB"/>
        </w:rPr>
        <w:t>,</w:t>
      </w:r>
      <w:r>
        <w:rPr>
          <w:lang w:val="en-GB"/>
        </w:rPr>
        <w:t xml:space="preserve"> </w:t>
      </w:r>
      <w:r w:rsidR="00837065">
        <w:rPr>
          <w:lang w:val="en-GB"/>
        </w:rPr>
        <w:t xml:space="preserve">it </w:t>
      </w:r>
      <w:r>
        <w:rPr>
          <w:lang w:val="en-GB"/>
        </w:rPr>
        <w:t xml:space="preserve">can be considered the inclusion of </w:t>
      </w:r>
      <w:r w:rsidR="00677FD2">
        <w:rPr>
          <w:lang w:val="en-GB"/>
        </w:rPr>
        <w:t xml:space="preserve">other objective functions related to environmental </w:t>
      </w:r>
      <w:r w:rsidR="00B47011">
        <w:rPr>
          <w:lang w:val="en-GB"/>
        </w:rPr>
        <w:t>indicators</w:t>
      </w:r>
      <w:r w:rsidR="00683D00">
        <w:rPr>
          <w:lang w:val="en-GB"/>
        </w:rPr>
        <w:t xml:space="preserve">. </w:t>
      </w:r>
      <w:r w:rsidR="00837065" w:rsidRPr="00837065">
        <w:rPr>
          <w:lang w:val="en-GB"/>
        </w:rPr>
        <w:t xml:space="preserve">Also, from the set of Pareto front solutions found in this work, different trade-offs between environmental issues and energy profit can be </w:t>
      </w:r>
      <w:proofErr w:type="spellStart"/>
      <w:r w:rsidR="00837065" w:rsidRPr="00837065">
        <w:rPr>
          <w:lang w:val="en-GB"/>
        </w:rPr>
        <w:t>analyzed</w:t>
      </w:r>
      <w:proofErr w:type="spellEnd"/>
      <w:r w:rsidR="00837065" w:rsidRPr="00837065">
        <w:rPr>
          <w:lang w:val="en-GB"/>
        </w:rPr>
        <w:t>.</w:t>
      </w:r>
    </w:p>
    <w:p w14:paraId="144DE6B5" w14:textId="0B0A2EA9" w:rsidR="008D2649" w:rsidRPr="00CF4964" w:rsidRDefault="008D2649" w:rsidP="00CF4964">
      <w:pPr>
        <w:pStyle w:val="Els-1storder-head"/>
        <w:spacing w:after="120"/>
        <w:rPr>
          <w:lang w:val="en-GB"/>
        </w:rPr>
      </w:pPr>
      <w:r w:rsidRPr="00CF4964">
        <w:rPr>
          <w:lang w:val="en-GB"/>
        </w:rPr>
        <w:t xml:space="preserve">References </w:t>
      </w:r>
    </w:p>
    <w:p w14:paraId="2F6E8010" w14:textId="658D6129" w:rsidR="00C43A6D" w:rsidRPr="00C43A6D" w:rsidRDefault="00C43A6D" w:rsidP="00745A84">
      <w:pPr>
        <w:pStyle w:val="Els-referenceno-number"/>
        <w:jc w:val="both"/>
        <w:rPr>
          <w:lang w:val="en-US"/>
        </w:rPr>
      </w:pPr>
      <w:r w:rsidRPr="00C43A6D">
        <w:rPr>
          <w:lang w:val="en-US"/>
        </w:rPr>
        <w:t xml:space="preserve">Barber, W. (2020). Sludge Thermal Hydrolysis: Application and Potential. In Sludge Thermal Hydrolysis: Application and Potential. </w:t>
      </w:r>
      <w:r w:rsidR="00A4657E" w:rsidRPr="00A4657E">
        <w:rPr>
          <w:lang w:val="en-US"/>
        </w:rPr>
        <w:t>IWA Publishing</w:t>
      </w:r>
      <w:r w:rsidR="00A4657E">
        <w:rPr>
          <w:lang w:val="en-US"/>
        </w:rPr>
        <w:t>.</w:t>
      </w:r>
    </w:p>
    <w:p w14:paraId="3BBF636B" w14:textId="569B975D" w:rsidR="009F6B27" w:rsidRPr="00C43A6D" w:rsidRDefault="009F6B27" w:rsidP="00745A84">
      <w:pPr>
        <w:pStyle w:val="Els-referenceno-number"/>
        <w:jc w:val="both"/>
        <w:rPr>
          <w:lang w:val="en-US"/>
        </w:rPr>
      </w:pPr>
      <w:r w:rsidRPr="00251965">
        <w:rPr>
          <w:lang w:val="en-US"/>
        </w:rPr>
        <w:t xml:space="preserve">Castro-Amoedo, R., Morisod, N., Granacher, J., &amp; Maréchal, F. (2021). </w:t>
      </w:r>
      <w:r w:rsidRPr="00C43A6D">
        <w:rPr>
          <w:lang w:val="en-US"/>
        </w:rPr>
        <w:t>The Role of Biowaste: A Multi-Objective Optimization Platform for Combined Heat, Power and Fuel. Frontiers in Energy Research, 9</w:t>
      </w:r>
      <w:r w:rsidR="008B5A98">
        <w:rPr>
          <w:lang w:val="en-US"/>
        </w:rPr>
        <w:t xml:space="preserve">, </w:t>
      </w:r>
      <w:r w:rsidR="008B5A98" w:rsidRPr="008B5A98">
        <w:rPr>
          <w:lang w:val="en-US"/>
        </w:rPr>
        <w:t>718310</w:t>
      </w:r>
      <w:r w:rsidRPr="00C43A6D">
        <w:rPr>
          <w:lang w:val="en-US"/>
        </w:rPr>
        <w:t xml:space="preserve">. </w:t>
      </w:r>
    </w:p>
    <w:p w14:paraId="3855D43E" w14:textId="77777777" w:rsidR="009F6B27" w:rsidRPr="00C43A6D" w:rsidRDefault="009F6B27" w:rsidP="00745A84">
      <w:pPr>
        <w:pStyle w:val="Els-referenceno-number"/>
        <w:jc w:val="both"/>
        <w:rPr>
          <w:lang w:val="en-US"/>
        </w:rPr>
      </w:pPr>
      <w:r w:rsidRPr="00C43A6D">
        <w:rPr>
          <w:lang w:val="en-US"/>
        </w:rPr>
        <w:t>Deb K. Multi-objective optimization using evolutionary algorithms. New York (NY, USA): John Wiley &amp; Sons, Inc.; 2001.</w:t>
      </w:r>
    </w:p>
    <w:p w14:paraId="457D3D3A" w14:textId="4B15D0AC" w:rsidR="007533D5" w:rsidRDefault="009F6B27" w:rsidP="00DE4450">
      <w:pPr>
        <w:pStyle w:val="Els-referenceno-number"/>
        <w:jc w:val="both"/>
        <w:rPr>
          <w:lang w:val="en-US"/>
        </w:rPr>
      </w:pPr>
      <w:r w:rsidRPr="00C43A6D">
        <w:rPr>
          <w:lang w:val="en-US"/>
        </w:rPr>
        <w:t xml:space="preserve">Goycoechea, N., López, I., &amp; Borzacconi, L. (2023). Optimization of anaerobic digestion and solubilization of biosludges from the kraft cellulose industry using thermal hydrolysis as pretreatment. Journal of Environmental Management, 344, 118504. </w:t>
      </w:r>
    </w:p>
    <w:p w14:paraId="38D571C3" w14:textId="3B985B37" w:rsidR="00DA7E03" w:rsidRDefault="00DA7E03" w:rsidP="00745A84">
      <w:pPr>
        <w:pStyle w:val="Els-referenceno-number"/>
        <w:jc w:val="both"/>
        <w:rPr>
          <w:lang w:val="en-US"/>
        </w:rPr>
      </w:pPr>
      <w:r w:rsidRPr="00DA7E03">
        <w:rPr>
          <w:lang w:val="en-US"/>
        </w:rPr>
        <w:t xml:space="preserve">Hreiz, R., Roche, N., Benyahia, B., &amp; Latifi, M. A. (2015). Multi-objective Optimization of Small-size Wastewater Treatment Plants Operation. Computer Aided Chemical Engineering, 37, 2495–2500. </w:t>
      </w:r>
    </w:p>
    <w:p w14:paraId="2C9001B3" w14:textId="24324D8A" w:rsidR="00CE5C37" w:rsidRPr="00C43A6D" w:rsidRDefault="00CE5C37" w:rsidP="00745A84">
      <w:pPr>
        <w:pStyle w:val="Els-referenceno-number"/>
        <w:jc w:val="both"/>
        <w:rPr>
          <w:lang w:val="en-US"/>
        </w:rPr>
      </w:pPr>
      <w:r w:rsidRPr="00C43A6D">
        <w:rPr>
          <w:lang w:val="en-US"/>
        </w:rPr>
        <w:t xml:space="preserve">Lu, J., Gavala, H. N., Skiadas, I. V., Mladenovska, Z., &amp; Ahring, B. K. (2008). Improving anaerobic sewage sludge digestion by implementation of a hyper-thermophilic prehydrolysis step. Journal of Environmental Management, 88(4), 881–889. </w:t>
      </w:r>
    </w:p>
    <w:p w14:paraId="7DEC379D" w14:textId="6A1E8E60" w:rsidR="00C43A6D" w:rsidRPr="00C43A6D" w:rsidRDefault="00C43A6D" w:rsidP="00745A84">
      <w:pPr>
        <w:pStyle w:val="Els-referenceno-number"/>
        <w:jc w:val="both"/>
        <w:rPr>
          <w:lang w:val="en-US"/>
        </w:rPr>
      </w:pPr>
      <w:r w:rsidRPr="00C43A6D">
        <w:rPr>
          <w:lang w:val="en-US"/>
        </w:rPr>
        <w:t>Metcalf &amp; Eddy, Inc. (2003). Wastewater engineering : treatment and reuse. Boston :McGraw-Hill.</w:t>
      </w:r>
    </w:p>
    <w:p w14:paraId="4B40FDE9" w14:textId="7E95FDF1" w:rsidR="00C43A6D" w:rsidRPr="00C43A6D" w:rsidRDefault="00C43A6D" w:rsidP="00745A84">
      <w:pPr>
        <w:pStyle w:val="Els-referenceno-number"/>
        <w:jc w:val="both"/>
        <w:rPr>
          <w:lang w:val="en-US"/>
        </w:rPr>
      </w:pPr>
      <w:r w:rsidRPr="00C43A6D">
        <w:rPr>
          <w:lang w:val="en-US"/>
        </w:rPr>
        <w:t xml:space="preserve">Toutian, V., Barjenbruch, M., Unger, T., Loderer, C., &amp; Remy, C. (2020). Effect of temperature on biogas yield increase and formation of refractory COD during thermal hydrolysis of waste activated sludge. Water Research, 171. </w:t>
      </w:r>
    </w:p>
    <w:p w14:paraId="77BA6AB7" w14:textId="5B3C10CB" w:rsidR="007533D5" w:rsidRDefault="00CE5C37" w:rsidP="00745A84">
      <w:pPr>
        <w:pStyle w:val="Els-referenceno-number"/>
        <w:jc w:val="both"/>
        <w:rPr>
          <w:lang w:val="en-US"/>
        </w:rPr>
      </w:pPr>
      <w:r w:rsidRPr="00C43A6D">
        <w:rPr>
          <w:lang w:val="en-US"/>
        </w:rPr>
        <w:t xml:space="preserve">Xiao, B., Qin, Y., Wu, J., Chen, H., Yu, P., Liu, J., &amp; Li, Y. Y. (2018). Comparison of single-stage and two-stage thermophilic anaerobic digestion of food waste: Performance, energy balance and reaction process. Energy Conversion and Management, 156(August 2017), 215–223. </w:t>
      </w:r>
    </w:p>
    <w:p w14:paraId="61F208C0" w14:textId="77777777" w:rsidR="00DA7E03" w:rsidRPr="00C43A6D" w:rsidRDefault="00DA7E03" w:rsidP="00745A84">
      <w:pPr>
        <w:pStyle w:val="Els-referenceno-number"/>
        <w:jc w:val="both"/>
        <w:rPr>
          <w:lang w:val="en-US"/>
        </w:rPr>
      </w:pPr>
    </w:p>
    <w:sectPr w:rsidR="00DA7E03" w:rsidRPr="00C43A6D" w:rsidSect="008B0184">
      <w:headerReference w:type="even" r:id="rId11"/>
      <w:headerReference w:type="default" r:id="rId12"/>
      <w:headerReference w:type="first" r:id="rId13"/>
      <w:type w:val="continuous"/>
      <w:pgSz w:w="11906" w:h="16838" w:code="9"/>
      <w:pgMar w:top="2377" w:right="2410" w:bottom="2892" w:left="2410" w:header="1701" w:footer="2892" w:gutter="0"/>
      <w:cols w:space="720" w:equalWidth="0">
        <w:col w:w="7087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C6819" w14:textId="77777777" w:rsidR="003B35E2" w:rsidRDefault="003B35E2">
      <w:r>
        <w:separator/>
      </w:r>
    </w:p>
  </w:endnote>
  <w:endnote w:type="continuationSeparator" w:id="0">
    <w:p w14:paraId="522C7E39" w14:textId="77777777" w:rsidR="003B35E2" w:rsidRDefault="003B3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MR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E7CF4" w14:textId="77777777" w:rsidR="003B35E2" w:rsidRDefault="003B35E2">
      <w:r>
        <w:separator/>
      </w:r>
    </w:p>
  </w:footnote>
  <w:footnote w:type="continuationSeparator" w:id="0">
    <w:p w14:paraId="4EB9C756" w14:textId="77777777" w:rsidR="003B35E2" w:rsidRDefault="003B3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E6C9" w14:textId="41CA82E4" w:rsidR="00DD3D9E" w:rsidRDefault="00DD3D9E">
    <w:pPr>
      <w:pStyle w:val="Encabezado"/>
      <w:tabs>
        <w:tab w:val="clear" w:pos="7200"/>
        <w:tab w:val="right" w:pos="7088"/>
      </w:tabs>
    </w:pPr>
    <w:r>
      <w:rPr>
        <w:rStyle w:val="Nmerodepgina"/>
      </w:rPr>
      <w:tab/>
    </w:r>
    <w:r>
      <w:rPr>
        <w:rStyle w:val="Nmerodepgina"/>
        <w:i/>
      </w:rPr>
      <w:tab/>
    </w:r>
    <w:r w:rsidR="001A01FD">
      <w:rPr>
        <w:i/>
      </w:rPr>
      <w:t>N. Goycoechea et al.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E6CA" w14:textId="408ACE7C" w:rsidR="00DD3D9E" w:rsidRPr="00F21F36" w:rsidRDefault="00F21F36" w:rsidP="00F21F36">
    <w:pPr>
      <w:pStyle w:val="Encabezado"/>
    </w:pPr>
    <w:r w:rsidRPr="00F21F36">
      <w:rPr>
        <w:i/>
      </w:rPr>
      <w:t>Multi-objective Optimization Applied to the Thermal Hydrolysis and Anaerobic Digestion system for Biosludge from the Pulp kraft Industry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E6CB" w14:textId="77777777" w:rsidR="00F06842" w:rsidRPr="003B50B5" w:rsidRDefault="00F06842" w:rsidP="00F06842">
    <w:pPr>
      <w:pStyle w:val="ElsevierBodyTextCentredNospace"/>
      <w:jc w:val="left"/>
      <w:rPr>
        <w:noProof/>
        <w:sz w:val="18"/>
        <w:szCs w:val="18"/>
      </w:rPr>
    </w:pPr>
    <w:r w:rsidRPr="0068162C">
      <w:rPr>
        <w:color w:val="auto"/>
        <w:sz w:val="18"/>
        <w:szCs w:val="18"/>
      </w:rPr>
      <w:t xml:space="preserve">Flavio Manenti, Gintaras V. </w:t>
    </w:r>
    <w:proofErr w:type="spellStart"/>
    <w:r w:rsidRPr="0068162C">
      <w:rPr>
        <w:color w:val="auto"/>
        <w:sz w:val="18"/>
        <w:szCs w:val="18"/>
      </w:rPr>
      <w:t>Reklaitis</w:t>
    </w:r>
    <w:proofErr w:type="spellEnd"/>
    <w:r w:rsidRPr="0068162C">
      <w:rPr>
        <w:color w:val="auto"/>
        <w:sz w:val="18"/>
        <w:szCs w:val="18"/>
      </w:rPr>
      <w:t xml:space="preserve"> (Eds.),</w:t>
    </w:r>
    <w:r>
      <w:rPr>
        <w:color w:val="auto"/>
      </w:rPr>
      <w:t xml:space="preserve"> </w:t>
    </w:r>
    <w:r w:rsidRPr="003B50B5">
      <w:rPr>
        <w:noProof/>
        <w:sz w:val="18"/>
        <w:szCs w:val="18"/>
      </w:rPr>
      <w:t xml:space="preserve">Proceedings </w:t>
    </w:r>
    <w:r>
      <w:rPr>
        <w:noProof/>
        <w:sz w:val="18"/>
        <w:szCs w:val="18"/>
      </w:rPr>
      <w:t>o</w:t>
    </w:r>
    <w:r w:rsidRPr="003B50B5">
      <w:rPr>
        <w:noProof/>
        <w:sz w:val="18"/>
        <w:szCs w:val="18"/>
      </w:rPr>
      <w:t xml:space="preserve">f </w:t>
    </w:r>
    <w:r w:rsidRPr="00F06842">
      <w:rPr>
        <w:noProof/>
        <w:sz w:val="18"/>
        <w:szCs w:val="18"/>
      </w:rPr>
      <w:t xml:space="preserve">the </w:t>
    </w:r>
    <w:r w:rsidRPr="00F06842">
      <w:rPr>
        <w:rStyle w:val="underline1"/>
        <w:sz w:val="18"/>
        <w:szCs w:val="18"/>
        <w:u w:val="none"/>
      </w:rPr>
      <w:t>34</w:t>
    </w:r>
    <w:r w:rsidRPr="00F06842">
      <w:rPr>
        <w:rStyle w:val="underline1"/>
        <w:sz w:val="18"/>
        <w:szCs w:val="18"/>
        <w:u w:val="none"/>
        <w:vertAlign w:val="superscript"/>
      </w:rPr>
      <w:t>th</w:t>
    </w:r>
    <w:r w:rsidRPr="00F06842">
      <w:rPr>
        <w:rStyle w:val="underline1"/>
        <w:sz w:val="18"/>
        <w:szCs w:val="18"/>
        <w:u w:val="none"/>
      </w:rPr>
      <w:t xml:space="preserve"> European Symposium on Computer Aided Process Engineering / 15</w:t>
    </w:r>
    <w:r w:rsidRPr="00F06842">
      <w:rPr>
        <w:rStyle w:val="underline1"/>
        <w:sz w:val="18"/>
        <w:szCs w:val="18"/>
        <w:u w:val="none"/>
        <w:vertAlign w:val="superscript"/>
      </w:rPr>
      <w:t>th</w:t>
    </w:r>
    <w:r w:rsidRPr="00F06842">
      <w:rPr>
        <w:rStyle w:val="underline1"/>
        <w:sz w:val="18"/>
        <w:szCs w:val="18"/>
        <w:u w:val="none"/>
      </w:rPr>
      <w:t xml:space="preserve"> International Symposium on Process Systems Engineerin</w:t>
    </w:r>
    <w:r w:rsidRPr="003B50B5">
      <w:rPr>
        <w:rStyle w:val="underline1"/>
        <w:sz w:val="18"/>
        <w:szCs w:val="18"/>
      </w:rPr>
      <w:t>g</w:t>
    </w:r>
    <w:r w:rsidRPr="003B50B5">
      <w:rPr>
        <w:noProof/>
        <w:sz w:val="18"/>
        <w:szCs w:val="18"/>
      </w:rPr>
      <w:t xml:space="preserve"> (ESCAPE34/PSE</w:t>
    </w:r>
    <w:r>
      <w:rPr>
        <w:noProof/>
        <w:sz w:val="18"/>
        <w:szCs w:val="18"/>
      </w:rPr>
      <w:t>24</w:t>
    </w:r>
    <w:r w:rsidRPr="003B50B5">
      <w:rPr>
        <w:noProof/>
        <w:sz w:val="18"/>
        <w:szCs w:val="18"/>
      </w:rPr>
      <w:t xml:space="preserve">), June </w:t>
    </w:r>
    <w:r>
      <w:rPr>
        <w:noProof/>
        <w:sz w:val="18"/>
        <w:szCs w:val="18"/>
      </w:rPr>
      <w:t>2-6</w:t>
    </w:r>
    <w:r w:rsidRPr="003B50B5">
      <w:rPr>
        <w:noProof/>
        <w:sz w:val="18"/>
        <w:szCs w:val="18"/>
      </w:rPr>
      <w:t>, 2024,</w:t>
    </w:r>
    <w:r w:rsidRPr="003B50B5">
      <w:rPr>
        <w:sz w:val="18"/>
        <w:szCs w:val="18"/>
      </w:rPr>
      <w:t xml:space="preserve"> Florence</w:t>
    </w:r>
    <w:r w:rsidRPr="003B50B5">
      <w:rPr>
        <w:noProof/>
        <w:sz w:val="18"/>
        <w:szCs w:val="18"/>
      </w:rPr>
      <w:t>, Italy</w:t>
    </w:r>
  </w:p>
  <w:p w14:paraId="144DE6CC" w14:textId="77777777" w:rsidR="00DD3D9E" w:rsidRDefault="00F06842" w:rsidP="00F06842">
    <w:pPr>
      <w:tabs>
        <w:tab w:val="right" w:pos="7086"/>
      </w:tabs>
    </w:pPr>
    <w:r w:rsidRPr="001E6A29">
      <w:rPr>
        <w:sz w:val="18"/>
        <w:szCs w:val="18"/>
      </w:rPr>
      <w:t>© 202</w:t>
    </w:r>
    <w:r>
      <w:rPr>
        <w:sz w:val="18"/>
        <w:szCs w:val="18"/>
      </w:rPr>
      <w:t>4</w:t>
    </w:r>
    <w:r w:rsidRPr="001E6A29">
      <w:rPr>
        <w:sz w:val="18"/>
        <w:szCs w:val="18"/>
      </w:rPr>
      <w:t xml:space="preserve"> Elsevier B.V. All rights reserved.</w:t>
    </w:r>
    <w:r w:rsidR="00DD3D9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178C"/>
    <w:multiLevelType w:val="multilevel"/>
    <w:tmpl w:val="A2DC3AD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1" w15:restartNumberingAfterBreak="0">
    <w:nsid w:val="1A2E0393"/>
    <w:multiLevelType w:val="multilevel"/>
    <w:tmpl w:val="77CA1008"/>
    <w:lvl w:ilvl="0">
      <w:start w:val="1"/>
      <w:numFmt w:val="bulle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2" w15:restartNumberingAfterBreak="0">
    <w:nsid w:val="1D0C7A89"/>
    <w:multiLevelType w:val="singleLevel"/>
    <w:tmpl w:val="3814B02C"/>
    <w:lvl w:ilvl="0">
      <w:start w:val="1"/>
      <w:numFmt w:val="decimal"/>
      <w:lvlText w:val="[%1]"/>
      <w:lvlJc w:val="left"/>
      <w:pPr>
        <w:tabs>
          <w:tab w:val="num" w:pos="360"/>
        </w:tabs>
        <w:ind w:left="312" w:hanging="312"/>
      </w:pPr>
    </w:lvl>
  </w:abstractNum>
  <w:abstractNum w:abstractNumId="3" w15:restartNumberingAfterBreak="0">
    <w:nsid w:val="241C6CF0"/>
    <w:multiLevelType w:val="multilevel"/>
    <w:tmpl w:val="F490D9D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4" w15:restartNumberingAfterBreak="0">
    <w:nsid w:val="2438217E"/>
    <w:multiLevelType w:val="multilevel"/>
    <w:tmpl w:val="B3242232"/>
    <w:lvl w:ilvl="0">
      <w:start w:val="1"/>
      <w:numFmt w:val="decimal"/>
      <w:pStyle w:val="Els-Chapterno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Els-1storder-head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Els-2ndorder-head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Els-3rdorder-head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5486B6C"/>
    <w:multiLevelType w:val="singleLevel"/>
    <w:tmpl w:val="FE1C3F06"/>
    <w:lvl w:ilvl="0">
      <w:start w:val="1"/>
      <w:numFmt w:val="decimal"/>
      <w:lvlText w:val="[%1]"/>
      <w:lvlJc w:val="left"/>
      <w:pPr>
        <w:tabs>
          <w:tab w:val="num" w:pos="360"/>
        </w:tabs>
        <w:ind w:left="312" w:hanging="312"/>
      </w:pPr>
    </w:lvl>
  </w:abstractNum>
  <w:abstractNum w:abstractNumId="6" w15:restartNumberingAfterBreak="0">
    <w:nsid w:val="29322B9F"/>
    <w:multiLevelType w:val="multilevel"/>
    <w:tmpl w:val="C5F4A82C"/>
    <w:lvl w:ilvl="0">
      <w:start w:val="1"/>
      <w:numFmt w:val="upperLetter"/>
      <w:suff w:val="nothing"/>
      <w:lvlText w:val="Appendix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lvlText w:val=""/>
      <w:lvlJc w:val="right"/>
      <w:pPr>
        <w:tabs>
          <w:tab w:val="num" w:pos="36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2AB1025D"/>
    <w:multiLevelType w:val="hybridMultilevel"/>
    <w:tmpl w:val="3DD8E7C4"/>
    <w:lvl w:ilvl="0" w:tplc="0BECA5BC">
      <w:start w:val="1"/>
      <w:numFmt w:val="decimal"/>
      <w:pStyle w:val="Els-reference"/>
      <w:lvlText w:val="%1."/>
      <w:lvlJc w:val="right"/>
      <w:pPr>
        <w:tabs>
          <w:tab w:val="num" w:pos="480"/>
        </w:tabs>
        <w:ind w:left="480" w:hanging="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652E1E"/>
    <w:multiLevelType w:val="hybridMultilevel"/>
    <w:tmpl w:val="6F0EF366"/>
    <w:lvl w:ilvl="0" w:tplc="FF169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AA62CA"/>
    <w:multiLevelType w:val="hybridMultilevel"/>
    <w:tmpl w:val="AB36EAAA"/>
    <w:lvl w:ilvl="0" w:tplc="A08245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E7170"/>
    <w:multiLevelType w:val="multilevel"/>
    <w:tmpl w:val="596AD3C4"/>
    <w:lvl w:ilvl="0">
      <w:start w:val="1"/>
      <w:numFmt w:val="decimal"/>
      <w:lvlText w:val="%1."/>
      <w:lvlJc w:val="left"/>
      <w:pPr>
        <w:tabs>
          <w:tab w:val="num" w:pos="360"/>
        </w:tabs>
        <w:ind w:left="240" w:hanging="240"/>
      </w:p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480" w:hanging="24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720" w:hanging="2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960" w:hanging="240"/>
      </w:p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200" w:hanging="240"/>
      </w:p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440" w:hanging="2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680" w:hanging="240"/>
      </w:pPr>
    </w:lvl>
    <w:lvl w:ilvl="7">
      <w:start w:val="1"/>
      <w:numFmt w:val="decimal"/>
      <w:lvlText w:val="%1.%2.%3.%4.%5.%6.%7.%8."/>
      <w:lvlJc w:val="left"/>
      <w:pPr>
        <w:tabs>
          <w:tab w:val="num" w:pos="2040"/>
        </w:tabs>
        <w:ind w:left="1920" w:hanging="2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160" w:hanging="240"/>
      </w:pPr>
    </w:lvl>
  </w:abstractNum>
  <w:abstractNum w:abstractNumId="11" w15:restartNumberingAfterBreak="0">
    <w:nsid w:val="56205803"/>
    <w:multiLevelType w:val="multilevel"/>
    <w:tmpl w:val="444C89D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E827A20"/>
    <w:multiLevelType w:val="multilevel"/>
    <w:tmpl w:val="3170006C"/>
    <w:lvl w:ilvl="0">
      <w:start w:val="1"/>
      <w:numFmt w:val="upperLetter"/>
      <w:suff w:val="nothing"/>
      <w:lvlText w:val="Appendix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lvlText w:val=""/>
      <w:lvlJc w:val="right"/>
      <w:pPr>
        <w:tabs>
          <w:tab w:val="num" w:pos="36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70535D76"/>
    <w:multiLevelType w:val="multilevel"/>
    <w:tmpl w:val="D480ADB0"/>
    <w:lvl w:ilvl="0">
      <w:start w:val="1"/>
      <w:numFmt w:val="bulle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960" w:hanging="2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320"/>
        </w:tabs>
        <w:ind w:left="1200" w:hanging="24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560"/>
        </w:tabs>
        <w:ind w:left="1440" w:hanging="2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00"/>
        </w:tabs>
        <w:ind w:left="1680" w:hanging="2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040"/>
        </w:tabs>
        <w:ind w:left="1920" w:hanging="2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280"/>
        </w:tabs>
        <w:ind w:left="2160" w:hanging="240"/>
      </w:pPr>
      <w:rPr>
        <w:rFonts w:hint="default"/>
      </w:rPr>
    </w:lvl>
  </w:abstractNum>
  <w:abstractNum w:abstractNumId="14" w15:restartNumberingAfterBreak="0">
    <w:nsid w:val="752849C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2910568">
    <w:abstractNumId w:val="11"/>
  </w:num>
  <w:num w:numId="2" w16cid:durableId="47382885">
    <w:abstractNumId w:val="11"/>
  </w:num>
  <w:num w:numId="3" w16cid:durableId="967853731">
    <w:abstractNumId w:val="11"/>
  </w:num>
  <w:num w:numId="4" w16cid:durableId="1739282265">
    <w:abstractNumId w:val="11"/>
  </w:num>
  <w:num w:numId="5" w16cid:durableId="698892343">
    <w:abstractNumId w:val="0"/>
  </w:num>
  <w:num w:numId="6" w16cid:durableId="1660883641">
    <w:abstractNumId w:val="6"/>
  </w:num>
  <w:num w:numId="7" w16cid:durableId="1863349795">
    <w:abstractNumId w:val="12"/>
  </w:num>
  <w:num w:numId="8" w16cid:durableId="1750734252">
    <w:abstractNumId w:val="1"/>
  </w:num>
  <w:num w:numId="9" w16cid:durableId="203061615">
    <w:abstractNumId w:val="10"/>
  </w:num>
  <w:num w:numId="10" w16cid:durableId="1478497114">
    <w:abstractNumId w:val="14"/>
  </w:num>
  <w:num w:numId="11" w16cid:durableId="1896693444">
    <w:abstractNumId w:val="13"/>
  </w:num>
  <w:num w:numId="12" w16cid:durableId="774787662">
    <w:abstractNumId w:val="5"/>
  </w:num>
  <w:num w:numId="13" w16cid:durableId="1525900646">
    <w:abstractNumId w:val="8"/>
  </w:num>
  <w:num w:numId="14" w16cid:durableId="1455515963">
    <w:abstractNumId w:val="2"/>
  </w:num>
  <w:num w:numId="15" w16cid:durableId="446657998">
    <w:abstractNumId w:val="7"/>
  </w:num>
  <w:num w:numId="16" w16cid:durableId="322592235">
    <w:abstractNumId w:val="3"/>
  </w:num>
  <w:num w:numId="17" w16cid:durableId="596719075">
    <w:abstractNumId w:val="4"/>
  </w:num>
  <w:num w:numId="18" w16cid:durableId="886648604">
    <w:abstractNumId w:val="9"/>
  </w:num>
  <w:num w:numId="19" w16cid:durableId="1145045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evenAndOddHeaders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37"/>
    <w:rsid w:val="000176B6"/>
    <w:rsid w:val="0003279A"/>
    <w:rsid w:val="000555E6"/>
    <w:rsid w:val="00060160"/>
    <w:rsid w:val="000607FE"/>
    <w:rsid w:val="000640A5"/>
    <w:rsid w:val="00072A5A"/>
    <w:rsid w:val="00096A58"/>
    <w:rsid w:val="0009721B"/>
    <w:rsid w:val="00097EFF"/>
    <w:rsid w:val="000D3D9B"/>
    <w:rsid w:val="000D6B92"/>
    <w:rsid w:val="000E2D09"/>
    <w:rsid w:val="001066B3"/>
    <w:rsid w:val="0014403F"/>
    <w:rsid w:val="00144520"/>
    <w:rsid w:val="0016032F"/>
    <w:rsid w:val="00165383"/>
    <w:rsid w:val="0017390D"/>
    <w:rsid w:val="00173936"/>
    <w:rsid w:val="001879F6"/>
    <w:rsid w:val="00190EDF"/>
    <w:rsid w:val="0019457C"/>
    <w:rsid w:val="001A01FD"/>
    <w:rsid w:val="001A423E"/>
    <w:rsid w:val="001B7565"/>
    <w:rsid w:val="001C0148"/>
    <w:rsid w:val="001C6195"/>
    <w:rsid w:val="001C757E"/>
    <w:rsid w:val="001E6B5B"/>
    <w:rsid w:val="001F1CFF"/>
    <w:rsid w:val="001F21DB"/>
    <w:rsid w:val="0020390F"/>
    <w:rsid w:val="0021149A"/>
    <w:rsid w:val="00217AFC"/>
    <w:rsid w:val="00225346"/>
    <w:rsid w:val="00240E43"/>
    <w:rsid w:val="002413DC"/>
    <w:rsid w:val="002424B1"/>
    <w:rsid w:val="002429F1"/>
    <w:rsid w:val="00251965"/>
    <w:rsid w:val="00256E47"/>
    <w:rsid w:val="00264926"/>
    <w:rsid w:val="00284947"/>
    <w:rsid w:val="002909E8"/>
    <w:rsid w:val="0029144D"/>
    <w:rsid w:val="00292595"/>
    <w:rsid w:val="002A7836"/>
    <w:rsid w:val="002D3EA5"/>
    <w:rsid w:val="002E6624"/>
    <w:rsid w:val="002F112C"/>
    <w:rsid w:val="0030022E"/>
    <w:rsid w:val="00302F14"/>
    <w:rsid w:val="00305A1C"/>
    <w:rsid w:val="00310FF6"/>
    <w:rsid w:val="00320167"/>
    <w:rsid w:val="0032046C"/>
    <w:rsid w:val="00331973"/>
    <w:rsid w:val="003373C4"/>
    <w:rsid w:val="00354A73"/>
    <w:rsid w:val="00361D8B"/>
    <w:rsid w:val="003626D6"/>
    <w:rsid w:val="00370000"/>
    <w:rsid w:val="00372B7F"/>
    <w:rsid w:val="00386D26"/>
    <w:rsid w:val="003909C1"/>
    <w:rsid w:val="003B35E2"/>
    <w:rsid w:val="003B530D"/>
    <w:rsid w:val="003D1582"/>
    <w:rsid w:val="003D7E4C"/>
    <w:rsid w:val="003E41C2"/>
    <w:rsid w:val="003F3FB6"/>
    <w:rsid w:val="003F7199"/>
    <w:rsid w:val="00421CC3"/>
    <w:rsid w:val="004228EE"/>
    <w:rsid w:val="00424CE4"/>
    <w:rsid w:val="00432D99"/>
    <w:rsid w:val="00442AAF"/>
    <w:rsid w:val="0044391E"/>
    <w:rsid w:val="0049483B"/>
    <w:rsid w:val="0049772C"/>
    <w:rsid w:val="004A18B8"/>
    <w:rsid w:val="004A5AB2"/>
    <w:rsid w:val="004D07D3"/>
    <w:rsid w:val="004D0DF9"/>
    <w:rsid w:val="004D1559"/>
    <w:rsid w:val="004D4F06"/>
    <w:rsid w:val="004D7DA8"/>
    <w:rsid w:val="004F0537"/>
    <w:rsid w:val="004F2257"/>
    <w:rsid w:val="005100D6"/>
    <w:rsid w:val="00544CEE"/>
    <w:rsid w:val="00552EEB"/>
    <w:rsid w:val="005621A1"/>
    <w:rsid w:val="005622AD"/>
    <w:rsid w:val="005658E4"/>
    <w:rsid w:val="005B4C15"/>
    <w:rsid w:val="005C4049"/>
    <w:rsid w:val="005D4468"/>
    <w:rsid w:val="005D5377"/>
    <w:rsid w:val="005D632F"/>
    <w:rsid w:val="005E3594"/>
    <w:rsid w:val="005E66A6"/>
    <w:rsid w:val="005F6E1C"/>
    <w:rsid w:val="005F7D9A"/>
    <w:rsid w:val="00604C82"/>
    <w:rsid w:val="00606C1C"/>
    <w:rsid w:val="00607751"/>
    <w:rsid w:val="00613A05"/>
    <w:rsid w:val="00616E80"/>
    <w:rsid w:val="006314BA"/>
    <w:rsid w:val="0063216F"/>
    <w:rsid w:val="006452AA"/>
    <w:rsid w:val="00651F8E"/>
    <w:rsid w:val="0065361A"/>
    <w:rsid w:val="0065382B"/>
    <w:rsid w:val="00656202"/>
    <w:rsid w:val="0067306C"/>
    <w:rsid w:val="00674F46"/>
    <w:rsid w:val="00676D20"/>
    <w:rsid w:val="00677FD2"/>
    <w:rsid w:val="00683D00"/>
    <w:rsid w:val="006900C1"/>
    <w:rsid w:val="006968EE"/>
    <w:rsid w:val="006A1118"/>
    <w:rsid w:val="006A69BF"/>
    <w:rsid w:val="006B4FD1"/>
    <w:rsid w:val="006B5313"/>
    <w:rsid w:val="006B71B9"/>
    <w:rsid w:val="006C5440"/>
    <w:rsid w:val="006D1A00"/>
    <w:rsid w:val="006E66A6"/>
    <w:rsid w:val="00701352"/>
    <w:rsid w:val="00711336"/>
    <w:rsid w:val="00711DF4"/>
    <w:rsid w:val="007176A1"/>
    <w:rsid w:val="007253B1"/>
    <w:rsid w:val="00740234"/>
    <w:rsid w:val="00745A84"/>
    <w:rsid w:val="007533D5"/>
    <w:rsid w:val="00753A1C"/>
    <w:rsid w:val="007767A4"/>
    <w:rsid w:val="007869F3"/>
    <w:rsid w:val="007B2AD2"/>
    <w:rsid w:val="007B2E20"/>
    <w:rsid w:val="007B3615"/>
    <w:rsid w:val="007C3EF9"/>
    <w:rsid w:val="007D70A1"/>
    <w:rsid w:val="00801703"/>
    <w:rsid w:val="008132E8"/>
    <w:rsid w:val="0081681E"/>
    <w:rsid w:val="0082112C"/>
    <w:rsid w:val="00823407"/>
    <w:rsid w:val="00831C62"/>
    <w:rsid w:val="00837065"/>
    <w:rsid w:val="00856C09"/>
    <w:rsid w:val="00871CC6"/>
    <w:rsid w:val="00885C80"/>
    <w:rsid w:val="00894BAB"/>
    <w:rsid w:val="008A1C9B"/>
    <w:rsid w:val="008B0184"/>
    <w:rsid w:val="008B5A98"/>
    <w:rsid w:val="008C23CC"/>
    <w:rsid w:val="008C3F0F"/>
    <w:rsid w:val="008C5D02"/>
    <w:rsid w:val="008D2649"/>
    <w:rsid w:val="008E00E0"/>
    <w:rsid w:val="008F7D07"/>
    <w:rsid w:val="0090568D"/>
    <w:rsid w:val="00906489"/>
    <w:rsid w:val="009125C9"/>
    <w:rsid w:val="00913879"/>
    <w:rsid w:val="00917661"/>
    <w:rsid w:val="00921878"/>
    <w:rsid w:val="00933309"/>
    <w:rsid w:val="00936F09"/>
    <w:rsid w:val="0094078C"/>
    <w:rsid w:val="009525C7"/>
    <w:rsid w:val="00956C5F"/>
    <w:rsid w:val="00966224"/>
    <w:rsid w:val="00970E5D"/>
    <w:rsid w:val="0097701C"/>
    <w:rsid w:val="00980A65"/>
    <w:rsid w:val="00987381"/>
    <w:rsid w:val="00995E67"/>
    <w:rsid w:val="0099638F"/>
    <w:rsid w:val="009C1728"/>
    <w:rsid w:val="009E0621"/>
    <w:rsid w:val="009E77FD"/>
    <w:rsid w:val="009F6B27"/>
    <w:rsid w:val="00A0188A"/>
    <w:rsid w:val="00A25E70"/>
    <w:rsid w:val="00A33765"/>
    <w:rsid w:val="00A34A39"/>
    <w:rsid w:val="00A442ED"/>
    <w:rsid w:val="00A453BD"/>
    <w:rsid w:val="00A4657E"/>
    <w:rsid w:val="00A51129"/>
    <w:rsid w:val="00A60666"/>
    <w:rsid w:val="00A631F9"/>
    <w:rsid w:val="00A63269"/>
    <w:rsid w:val="00A635E9"/>
    <w:rsid w:val="00A90531"/>
    <w:rsid w:val="00A92377"/>
    <w:rsid w:val="00AB29ED"/>
    <w:rsid w:val="00AE2865"/>
    <w:rsid w:val="00AE4BD8"/>
    <w:rsid w:val="00AE5936"/>
    <w:rsid w:val="00AE7DFD"/>
    <w:rsid w:val="00B132F2"/>
    <w:rsid w:val="00B1397C"/>
    <w:rsid w:val="00B173B0"/>
    <w:rsid w:val="00B17BC3"/>
    <w:rsid w:val="00B257CB"/>
    <w:rsid w:val="00B37EA6"/>
    <w:rsid w:val="00B40451"/>
    <w:rsid w:val="00B4388F"/>
    <w:rsid w:val="00B44683"/>
    <w:rsid w:val="00B468F6"/>
    <w:rsid w:val="00B47011"/>
    <w:rsid w:val="00B504C8"/>
    <w:rsid w:val="00B5132D"/>
    <w:rsid w:val="00B6094C"/>
    <w:rsid w:val="00B63237"/>
    <w:rsid w:val="00B656AE"/>
    <w:rsid w:val="00B677CD"/>
    <w:rsid w:val="00B7648D"/>
    <w:rsid w:val="00B77155"/>
    <w:rsid w:val="00B80C14"/>
    <w:rsid w:val="00B81AC9"/>
    <w:rsid w:val="00B86200"/>
    <w:rsid w:val="00BB6357"/>
    <w:rsid w:val="00BC5815"/>
    <w:rsid w:val="00BD3C99"/>
    <w:rsid w:val="00BD513B"/>
    <w:rsid w:val="00C212D6"/>
    <w:rsid w:val="00C43A6D"/>
    <w:rsid w:val="00C45B19"/>
    <w:rsid w:val="00C613CB"/>
    <w:rsid w:val="00C77406"/>
    <w:rsid w:val="00C87D35"/>
    <w:rsid w:val="00C93345"/>
    <w:rsid w:val="00C960DC"/>
    <w:rsid w:val="00CB1BD9"/>
    <w:rsid w:val="00CC5A5B"/>
    <w:rsid w:val="00CD170F"/>
    <w:rsid w:val="00CE5C37"/>
    <w:rsid w:val="00CF4964"/>
    <w:rsid w:val="00D02C75"/>
    <w:rsid w:val="00D10E22"/>
    <w:rsid w:val="00D129AA"/>
    <w:rsid w:val="00D13D2C"/>
    <w:rsid w:val="00D265C3"/>
    <w:rsid w:val="00D32491"/>
    <w:rsid w:val="00D506A4"/>
    <w:rsid w:val="00D53CB9"/>
    <w:rsid w:val="00D55A9A"/>
    <w:rsid w:val="00D61C89"/>
    <w:rsid w:val="00D72151"/>
    <w:rsid w:val="00D84520"/>
    <w:rsid w:val="00DA3025"/>
    <w:rsid w:val="00DA3948"/>
    <w:rsid w:val="00DA7E03"/>
    <w:rsid w:val="00DB0349"/>
    <w:rsid w:val="00DB2813"/>
    <w:rsid w:val="00DC0EF7"/>
    <w:rsid w:val="00DC2F94"/>
    <w:rsid w:val="00DD1C74"/>
    <w:rsid w:val="00DD3D9E"/>
    <w:rsid w:val="00DD7908"/>
    <w:rsid w:val="00DE4450"/>
    <w:rsid w:val="00DF1138"/>
    <w:rsid w:val="00DF2DD3"/>
    <w:rsid w:val="00E06A08"/>
    <w:rsid w:val="00E26D9F"/>
    <w:rsid w:val="00E335D1"/>
    <w:rsid w:val="00E33A06"/>
    <w:rsid w:val="00E6486C"/>
    <w:rsid w:val="00E82297"/>
    <w:rsid w:val="00E93646"/>
    <w:rsid w:val="00EB5BBE"/>
    <w:rsid w:val="00EB6595"/>
    <w:rsid w:val="00EB7F09"/>
    <w:rsid w:val="00EE4097"/>
    <w:rsid w:val="00EE7294"/>
    <w:rsid w:val="00EE76E8"/>
    <w:rsid w:val="00EF39FD"/>
    <w:rsid w:val="00F06842"/>
    <w:rsid w:val="00F107FD"/>
    <w:rsid w:val="00F21F36"/>
    <w:rsid w:val="00F25219"/>
    <w:rsid w:val="00F31684"/>
    <w:rsid w:val="00F43DF8"/>
    <w:rsid w:val="00F46BD7"/>
    <w:rsid w:val="00F526B5"/>
    <w:rsid w:val="00F554C6"/>
    <w:rsid w:val="00F670C0"/>
    <w:rsid w:val="00F67479"/>
    <w:rsid w:val="00F7567F"/>
    <w:rsid w:val="00F940A6"/>
    <w:rsid w:val="00FA3D1A"/>
    <w:rsid w:val="00FB2290"/>
    <w:rsid w:val="00FB64A8"/>
    <w:rsid w:val="00FD64FE"/>
    <w:rsid w:val="00FF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44DE67F"/>
  <w15:docId w15:val="{B89D3AFA-8814-4AAB-A339-74180925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1A00"/>
    <w:rPr>
      <w:lang w:eastAsia="en-US"/>
    </w:rPr>
  </w:style>
  <w:style w:type="paragraph" w:styleId="Ttulo3">
    <w:name w:val="heading 3"/>
    <w:basedOn w:val="Normal"/>
    <w:next w:val="Normal"/>
    <w:qFormat/>
    <w:rsid w:val="008B01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Els-caption"/>
    <w:next w:val="Els-caption"/>
    <w:qFormat/>
    <w:rsid w:val="008B0184"/>
  </w:style>
  <w:style w:type="paragraph" w:customStyle="1" w:styleId="Els-caption">
    <w:name w:val="Els-caption"/>
    <w:rsid w:val="008B0184"/>
    <w:pPr>
      <w:keepLines/>
      <w:spacing w:before="100" w:after="120"/>
    </w:pPr>
    <w:rPr>
      <w:sz w:val="18"/>
      <w:lang w:val="en-US" w:eastAsia="en-US"/>
    </w:rPr>
  </w:style>
  <w:style w:type="paragraph" w:customStyle="1" w:styleId="Els-1storder-head">
    <w:name w:val="Els-1storder-head"/>
    <w:basedOn w:val="Els-body-text"/>
    <w:next w:val="Els-body-text"/>
    <w:rsid w:val="008B0184"/>
    <w:pPr>
      <w:keepNext/>
      <w:numPr>
        <w:ilvl w:val="1"/>
        <w:numId w:val="17"/>
      </w:numPr>
      <w:suppressAutoHyphens/>
      <w:spacing w:before="240" w:after="60" w:line="240" w:lineRule="exact"/>
    </w:pPr>
    <w:rPr>
      <w:b/>
      <w:sz w:val="22"/>
    </w:rPr>
  </w:style>
  <w:style w:type="paragraph" w:customStyle="1" w:styleId="Els-body-text">
    <w:name w:val="Els-body-text"/>
    <w:rsid w:val="008B0184"/>
    <w:pPr>
      <w:jc w:val="both"/>
    </w:pPr>
    <w:rPr>
      <w:lang w:val="en-US" w:eastAsia="en-US"/>
    </w:rPr>
  </w:style>
  <w:style w:type="paragraph" w:customStyle="1" w:styleId="Els-2ndorder-head">
    <w:name w:val="Els-2ndorder-head"/>
    <w:basedOn w:val="Els-body-text"/>
    <w:next w:val="Els-body-text"/>
    <w:rsid w:val="008B0184"/>
    <w:pPr>
      <w:keepNext/>
      <w:numPr>
        <w:ilvl w:val="2"/>
        <w:numId w:val="17"/>
      </w:numPr>
      <w:suppressAutoHyphens/>
      <w:spacing w:before="80"/>
    </w:pPr>
    <w:rPr>
      <w:i/>
    </w:rPr>
  </w:style>
  <w:style w:type="paragraph" w:customStyle="1" w:styleId="Els-3rdorder-head">
    <w:name w:val="Els-3rdorder-head"/>
    <w:basedOn w:val="Els-body-text"/>
    <w:next w:val="Els-body-text"/>
    <w:rsid w:val="008B0184"/>
    <w:pPr>
      <w:keepNext/>
      <w:numPr>
        <w:ilvl w:val="3"/>
        <w:numId w:val="17"/>
      </w:numPr>
      <w:suppressAutoHyphens/>
      <w:spacing w:before="60"/>
    </w:pPr>
    <w:rPr>
      <w:i/>
    </w:rPr>
  </w:style>
  <w:style w:type="paragraph" w:customStyle="1" w:styleId="Els-Affiliation">
    <w:name w:val="Els-Affiliation"/>
    <w:rsid w:val="008B0184"/>
    <w:pPr>
      <w:suppressAutoHyphens/>
      <w:spacing w:line="240" w:lineRule="exact"/>
    </w:pPr>
    <w:rPr>
      <w:i/>
      <w:noProof/>
      <w:lang w:eastAsia="en-US"/>
    </w:rPr>
  </w:style>
  <w:style w:type="paragraph" w:customStyle="1" w:styleId="Els-Author">
    <w:name w:val="Els-Author"/>
    <w:next w:val="Els-Affiliation"/>
    <w:rsid w:val="008B0184"/>
    <w:pPr>
      <w:keepNext/>
      <w:suppressAutoHyphens/>
      <w:spacing w:after="60" w:line="310" w:lineRule="exact"/>
    </w:pPr>
    <w:rPr>
      <w:noProof/>
      <w:sz w:val="22"/>
      <w:lang w:eastAsia="en-US"/>
    </w:rPr>
  </w:style>
  <w:style w:type="paragraph" w:customStyle="1" w:styleId="Els-bulletlist">
    <w:name w:val="Els-bulletlist"/>
    <w:basedOn w:val="Els-body-text"/>
    <w:rsid w:val="008B0184"/>
    <w:pPr>
      <w:tabs>
        <w:tab w:val="left" w:pos="240"/>
        <w:tab w:val="num" w:pos="360"/>
      </w:tabs>
      <w:ind w:left="240" w:hanging="240"/>
      <w:jc w:val="left"/>
    </w:pPr>
  </w:style>
  <w:style w:type="paragraph" w:customStyle="1" w:styleId="Els-chem-equation">
    <w:name w:val="Els-chem-equation"/>
    <w:basedOn w:val="Els-body-text"/>
    <w:next w:val="Els-body-text"/>
    <w:rsid w:val="008B0184"/>
    <w:pPr>
      <w:tabs>
        <w:tab w:val="right" w:pos="7088"/>
      </w:tabs>
      <w:spacing w:before="120" w:after="120"/>
    </w:pPr>
    <w:rPr>
      <w:noProof/>
      <w:lang w:val="en-GB"/>
    </w:rPr>
  </w:style>
  <w:style w:type="paragraph" w:customStyle="1" w:styleId="Els-equation">
    <w:name w:val="Els-equation"/>
    <w:basedOn w:val="Els-body-text"/>
    <w:next w:val="Els-body-text"/>
    <w:rsid w:val="008B0184"/>
    <w:pPr>
      <w:tabs>
        <w:tab w:val="right" w:pos="7088"/>
      </w:tabs>
      <w:spacing w:before="120" w:after="120"/>
    </w:pPr>
    <w:rPr>
      <w:i/>
      <w:noProof/>
      <w:lang w:val="en-GB"/>
    </w:rPr>
  </w:style>
  <w:style w:type="paragraph" w:customStyle="1" w:styleId="Els-footnote">
    <w:name w:val="Els-footnote"/>
    <w:rsid w:val="008B0184"/>
    <w:pPr>
      <w:keepLines/>
      <w:widowControl w:val="0"/>
      <w:ind w:left="120" w:hanging="120"/>
    </w:pPr>
    <w:rPr>
      <w:sz w:val="18"/>
      <w:lang w:val="en-US" w:eastAsia="en-US"/>
    </w:rPr>
  </w:style>
  <w:style w:type="paragraph" w:customStyle="1" w:styleId="Els-numlist">
    <w:name w:val="Els-numlist"/>
    <w:basedOn w:val="Els-body-text"/>
    <w:rsid w:val="008B0184"/>
    <w:pPr>
      <w:tabs>
        <w:tab w:val="left" w:pos="240"/>
        <w:tab w:val="num" w:pos="360"/>
      </w:tabs>
      <w:ind w:left="240" w:hanging="240"/>
      <w:jc w:val="left"/>
    </w:pPr>
  </w:style>
  <w:style w:type="paragraph" w:customStyle="1" w:styleId="Els-reference">
    <w:name w:val="Els-reference"/>
    <w:rsid w:val="008B0184"/>
    <w:pPr>
      <w:numPr>
        <w:numId w:val="15"/>
      </w:numPr>
      <w:ind w:left="482"/>
    </w:pPr>
    <w:rPr>
      <w:noProof/>
      <w:sz w:val="18"/>
      <w:lang w:eastAsia="en-US"/>
    </w:rPr>
  </w:style>
  <w:style w:type="paragraph" w:customStyle="1" w:styleId="Els-reference-head">
    <w:name w:val="Els-reference-head"/>
    <w:basedOn w:val="Els-body-text"/>
    <w:next w:val="Els-referenceno-number"/>
    <w:rsid w:val="008B0184"/>
    <w:pPr>
      <w:keepNext/>
      <w:spacing w:before="240" w:after="60"/>
    </w:pPr>
    <w:rPr>
      <w:b/>
      <w:sz w:val="22"/>
      <w:szCs w:val="22"/>
    </w:rPr>
  </w:style>
  <w:style w:type="paragraph" w:customStyle="1" w:styleId="Els-table-text">
    <w:name w:val="Els-table-text"/>
    <w:rsid w:val="008B0184"/>
    <w:pPr>
      <w:keepNext/>
      <w:spacing w:after="80" w:line="240" w:lineRule="exact"/>
    </w:pPr>
    <w:rPr>
      <w:sz w:val="18"/>
      <w:lang w:val="en-US" w:eastAsia="en-US"/>
    </w:rPr>
  </w:style>
  <w:style w:type="paragraph" w:customStyle="1" w:styleId="Els-Title">
    <w:name w:val="Els-Title"/>
    <w:next w:val="Els-Author"/>
    <w:rsid w:val="008B0184"/>
    <w:pPr>
      <w:suppressAutoHyphens/>
      <w:spacing w:before="240" w:after="120" w:line="360" w:lineRule="exact"/>
    </w:pPr>
    <w:rPr>
      <w:b/>
      <w:sz w:val="32"/>
      <w:lang w:val="en-US" w:eastAsia="en-US"/>
    </w:rPr>
  </w:style>
  <w:style w:type="character" w:styleId="Refdenotaalfinal">
    <w:name w:val="endnote reference"/>
    <w:basedOn w:val="Fuentedeprrafopredeter"/>
    <w:semiHidden/>
    <w:rsid w:val="008B0184"/>
    <w:rPr>
      <w:vertAlign w:val="superscript"/>
    </w:rPr>
  </w:style>
  <w:style w:type="paragraph" w:styleId="Encabezado">
    <w:name w:val="header"/>
    <w:rsid w:val="008B0184"/>
    <w:pPr>
      <w:tabs>
        <w:tab w:val="center" w:pos="3600"/>
        <w:tab w:val="right" w:pos="7200"/>
      </w:tabs>
      <w:spacing w:line="200" w:lineRule="atLeast"/>
    </w:pPr>
    <w:rPr>
      <w:noProof/>
      <w:lang w:eastAsia="en-US"/>
    </w:rPr>
  </w:style>
  <w:style w:type="paragraph" w:styleId="Piedepgina">
    <w:name w:val="footer"/>
    <w:basedOn w:val="Encabezado"/>
    <w:rsid w:val="008B0184"/>
  </w:style>
  <w:style w:type="character" w:styleId="Refdenotaalpie">
    <w:name w:val="footnote reference"/>
    <w:semiHidden/>
    <w:rsid w:val="008B0184"/>
    <w:rPr>
      <w:vertAlign w:val="superscript"/>
    </w:rPr>
  </w:style>
  <w:style w:type="paragraph" w:styleId="Textonotapie">
    <w:name w:val="footnote text"/>
    <w:basedOn w:val="Normal"/>
    <w:semiHidden/>
    <w:rsid w:val="008B0184"/>
    <w:rPr>
      <w:rFonts w:ascii="Univers" w:hAnsi="Univers"/>
    </w:rPr>
  </w:style>
  <w:style w:type="character" w:styleId="Hipervnculo">
    <w:name w:val="Hyperlink"/>
    <w:basedOn w:val="Fuentedeprrafopredeter"/>
    <w:rsid w:val="008B0184"/>
    <w:rPr>
      <w:color w:val="0000FF"/>
      <w:u w:val="single"/>
    </w:rPr>
  </w:style>
  <w:style w:type="character" w:customStyle="1" w:styleId="MTEquationSection">
    <w:name w:val="MTEquationSection"/>
    <w:basedOn w:val="Fuentedeprrafopredeter"/>
    <w:rsid w:val="008B0184"/>
    <w:rPr>
      <w:vanish/>
      <w:color w:val="FF0000"/>
    </w:rPr>
  </w:style>
  <w:style w:type="character" w:styleId="Nmerodepgina">
    <w:name w:val="page number"/>
    <w:basedOn w:val="Fuentedeprrafopredeter"/>
    <w:rsid w:val="008B0184"/>
    <w:rPr>
      <w:sz w:val="20"/>
      <w:szCs w:val="20"/>
    </w:rPr>
  </w:style>
  <w:style w:type="paragraph" w:customStyle="1" w:styleId="Els-Chapterno">
    <w:name w:val="Els-Chapter no"/>
    <w:rsid w:val="008B0184"/>
    <w:pPr>
      <w:numPr>
        <w:numId w:val="17"/>
      </w:numPr>
      <w:spacing w:before="907" w:line="260" w:lineRule="exact"/>
    </w:pPr>
    <w:rPr>
      <w:sz w:val="24"/>
      <w:szCs w:val="24"/>
      <w:lang w:val="en-US" w:eastAsia="en-US"/>
    </w:rPr>
  </w:style>
  <w:style w:type="paragraph" w:customStyle="1" w:styleId="Els-referenceno-number">
    <w:name w:val="Els-reference no-number"/>
    <w:basedOn w:val="Els-reference"/>
    <w:rsid w:val="008B0184"/>
    <w:pPr>
      <w:numPr>
        <w:numId w:val="0"/>
      </w:numPr>
      <w:ind w:left="240" w:hanging="240"/>
    </w:pPr>
  </w:style>
  <w:style w:type="character" w:customStyle="1" w:styleId="Els-captionChar">
    <w:name w:val="Els-caption Char"/>
    <w:basedOn w:val="Fuentedeprrafopredeter"/>
    <w:rsid w:val="008B0184"/>
    <w:rPr>
      <w:sz w:val="18"/>
      <w:lang w:val="en-US" w:eastAsia="en-US" w:bidi="ar-SA"/>
    </w:rPr>
  </w:style>
  <w:style w:type="character" w:styleId="Refdecomentario">
    <w:name w:val="annotation reference"/>
    <w:basedOn w:val="Fuentedeprrafopredeter"/>
    <w:semiHidden/>
    <w:rsid w:val="008B0184"/>
    <w:rPr>
      <w:sz w:val="16"/>
      <w:szCs w:val="16"/>
    </w:rPr>
  </w:style>
  <w:style w:type="paragraph" w:styleId="Textocomentario">
    <w:name w:val="annotation text"/>
    <w:basedOn w:val="Normal"/>
    <w:semiHidden/>
    <w:rsid w:val="008B0184"/>
  </w:style>
  <w:style w:type="paragraph" w:styleId="Asuntodelcomentario">
    <w:name w:val="annotation subject"/>
    <w:basedOn w:val="Textocomentario"/>
    <w:next w:val="Textocomentario"/>
    <w:semiHidden/>
    <w:rsid w:val="008B0184"/>
    <w:rPr>
      <w:b/>
      <w:bCs/>
    </w:rPr>
  </w:style>
  <w:style w:type="paragraph" w:styleId="Textodeglobo">
    <w:name w:val="Balloon Text"/>
    <w:basedOn w:val="Normal"/>
    <w:semiHidden/>
    <w:rsid w:val="008B0184"/>
    <w:rPr>
      <w:rFonts w:ascii="Tahoma" w:hAnsi="Tahoma" w:cs="Tahoma"/>
      <w:sz w:val="16"/>
      <w:szCs w:val="16"/>
    </w:rPr>
  </w:style>
  <w:style w:type="paragraph" w:customStyle="1" w:styleId="Els-Abstract">
    <w:name w:val="Els-Abstract"/>
    <w:basedOn w:val="Els-1storder-head"/>
    <w:next w:val="Els-body-text"/>
    <w:autoRedefine/>
    <w:rsid w:val="008B0184"/>
    <w:pPr>
      <w:numPr>
        <w:ilvl w:val="0"/>
        <w:numId w:val="0"/>
      </w:numPr>
    </w:pPr>
  </w:style>
  <w:style w:type="character" w:customStyle="1" w:styleId="underline1">
    <w:name w:val="underline1"/>
    <w:basedOn w:val="Fuentedeprrafopredeter"/>
    <w:rsid w:val="00F06842"/>
    <w:rPr>
      <w:u w:val="single"/>
    </w:rPr>
  </w:style>
  <w:style w:type="paragraph" w:customStyle="1" w:styleId="ElsevierBodyTextCentredNospace">
    <w:name w:val="Elsevier Body Text Centred No space"/>
    <w:basedOn w:val="Normal"/>
    <w:qFormat/>
    <w:rsid w:val="00F06842"/>
    <w:pPr>
      <w:jc w:val="center"/>
    </w:pPr>
    <w:rPr>
      <w:bCs/>
      <w:iCs/>
      <w:color w:val="000000" w:themeColor="text1"/>
      <w:sz w:val="22"/>
      <w:szCs w:val="24"/>
      <w:lang w:val="en-US"/>
    </w:rPr>
  </w:style>
  <w:style w:type="table" w:styleId="Tablaconcuadrcula">
    <w:name w:val="Table Grid"/>
    <w:basedOn w:val="Tablanormal"/>
    <w:rsid w:val="00F94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42AAF"/>
    <w:rPr>
      <w:color w:val="666666"/>
    </w:rPr>
  </w:style>
  <w:style w:type="character" w:styleId="Mencinsinresolver">
    <w:name w:val="Unresolved Mention"/>
    <w:basedOn w:val="Fuentedeprrafopredeter"/>
    <w:uiPriority w:val="99"/>
    <w:semiHidden/>
    <w:unhideWhenUsed/>
    <w:rsid w:val="007533D5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613A05"/>
    <w:rPr>
      <w:i/>
      <w:iCs/>
    </w:rPr>
  </w:style>
  <w:style w:type="paragraph" w:styleId="Revisin">
    <w:name w:val="Revision"/>
    <w:hidden/>
    <w:uiPriority w:val="99"/>
    <w:semiHidden/>
    <w:rsid w:val="00251965"/>
    <w:rPr>
      <w:lang w:eastAsia="en-US"/>
    </w:rPr>
  </w:style>
  <w:style w:type="character" w:styleId="Textoennegrita">
    <w:name w:val="Strong"/>
    <w:basedOn w:val="Fuentedeprrafopredeter"/>
    <w:uiPriority w:val="22"/>
    <w:qFormat/>
    <w:rsid w:val="00674F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akisk\KOSTAS-10%20July%202017\books\book%20proposals\Computer%20Aided%20Chemical%20Engineering\Instructions\Chap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3E2F4-26EE-44BD-8E75-3C13B71A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Chapter</Template>
  <TotalTime>839</TotalTime>
  <Pages>6</Pages>
  <Words>2544</Words>
  <Characters>13994</Characters>
  <Application>Microsoft Office Word</Application>
  <DocSecurity>0</DocSecurity>
  <Lines>116</Lines>
  <Paragraphs>33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Chapter</vt:lpstr>
      <vt:lpstr>Chapter</vt:lpstr>
      <vt:lpstr>Chapter</vt:lpstr>
    </vt:vector>
  </TitlesOfParts>
  <Company>Elsevier Science</Company>
  <LinksUpToDate>false</LinksUpToDate>
  <CharactersWithSpaces>16505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</dc:title>
  <dc:creator>Kostas</dc:creator>
  <cp:lastModifiedBy>Nicolás Federico Goycoechea Freire</cp:lastModifiedBy>
  <cp:revision>148</cp:revision>
  <cp:lastPrinted>2004-12-17T09:20:00Z</cp:lastPrinted>
  <dcterms:created xsi:type="dcterms:W3CDTF">2023-11-21T12:24:00Z</dcterms:created>
  <dcterms:modified xsi:type="dcterms:W3CDTF">2023-11-30T01:33:00Z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2023-10-02T08:38:43Z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d1e5754d-f2d2-4025-b8e5-4cd2943f5f30</vt:lpwstr>
  </property>
  <property fmtid="{D5CDD505-2E9C-101B-9397-08002B2CF9AE}" pid="8" name="MSIP_Label_549ac42a-3eb4-4074-b885-aea26bd6241e_ContentBits">
    <vt:lpwstr>0</vt:lpwstr>
  </property>
  <property fmtid="{D5CDD505-2E9C-101B-9397-08002B2CF9AE}" pid="9" name="GrammarlyDocumentId">
    <vt:lpwstr>1dbdf9704ae63b23c772d0a2d4dc5007e513b2143281315c46e9c661110ba89d</vt:lpwstr>
  </property>
</Properties>
</file>