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23C9A26" w:rsidR="00DD3D9E" w:rsidRPr="00B4388F" w:rsidRDefault="00044206">
      <w:pPr>
        <w:pStyle w:val="Els-Title"/>
        <w:rPr>
          <w:color w:val="000000" w:themeColor="text1"/>
        </w:rPr>
      </w:pPr>
      <w:bookmarkStart w:id="0" w:name="_Hlk152229521"/>
      <w:r>
        <w:rPr>
          <w:color w:val="000000" w:themeColor="text1"/>
        </w:rPr>
        <w:t xml:space="preserve">Economic Optimization of the </w:t>
      </w:r>
      <w:r w:rsidR="0020477C">
        <w:rPr>
          <w:color w:val="000000" w:themeColor="text1"/>
        </w:rPr>
        <w:t>S</w:t>
      </w:r>
      <w:r>
        <w:rPr>
          <w:color w:val="000000" w:themeColor="text1"/>
        </w:rPr>
        <w:t>ynt</w:t>
      </w:r>
      <w:r w:rsidR="0020477C">
        <w:rPr>
          <w:color w:val="000000" w:themeColor="text1"/>
        </w:rPr>
        <w:t xml:space="preserve">hesis Section of a Small-Scale Biogas-to-Methanol Plant </w:t>
      </w:r>
    </w:p>
    <w:bookmarkEnd w:id="0"/>
    <w:p w14:paraId="144DE680" w14:textId="7720CDE0" w:rsidR="00DD3D9E" w:rsidRPr="00E62DB9" w:rsidRDefault="00E62DB9">
      <w:pPr>
        <w:pStyle w:val="Els-Author"/>
        <w:rPr>
          <w:vertAlign w:val="superscript"/>
          <w:lang w:val="it-IT"/>
        </w:rPr>
      </w:pPr>
      <w:r w:rsidRPr="00E62DB9">
        <w:rPr>
          <w:lang w:val="it-IT"/>
        </w:rPr>
        <w:t xml:space="preserve">Marcello </w:t>
      </w:r>
      <w:r w:rsidR="00846C40">
        <w:rPr>
          <w:lang w:val="it-IT"/>
        </w:rPr>
        <w:t xml:space="preserve">M. </w:t>
      </w:r>
      <w:r w:rsidRPr="00E62DB9">
        <w:rPr>
          <w:lang w:val="it-IT"/>
        </w:rPr>
        <w:t>Bozzini</w:t>
      </w:r>
      <w:r w:rsidR="0032102F">
        <w:rPr>
          <w:lang w:val="it-IT"/>
        </w:rPr>
        <w:t>,</w:t>
      </w:r>
      <w:r w:rsidRPr="00E62DB9">
        <w:rPr>
          <w:vertAlign w:val="superscript"/>
          <w:lang w:val="it-IT"/>
        </w:rPr>
        <w:t>a</w:t>
      </w:r>
      <w:r w:rsidRPr="00E62DB9">
        <w:rPr>
          <w:lang w:val="it-IT"/>
        </w:rPr>
        <w:t xml:space="preserve"> Loretta Salano</w:t>
      </w:r>
      <w:r w:rsidR="0032102F">
        <w:rPr>
          <w:lang w:val="it-IT"/>
        </w:rPr>
        <w:t>,</w:t>
      </w:r>
      <w:r w:rsidRPr="00E62DB9">
        <w:rPr>
          <w:vertAlign w:val="superscript"/>
          <w:lang w:val="it-IT"/>
        </w:rPr>
        <w:t>a</w:t>
      </w:r>
      <w:r w:rsidRPr="00E62DB9">
        <w:rPr>
          <w:lang w:val="it-IT"/>
        </w:rPr>
        <w:t xml:space="preserve"> Car</w:t>
      </w:r>
      <w:r>
        <w:rPr>
          <w:lang w:val="it-IT"/>
        </w:rPr>
        <w:t>lo Pirola</w:t>
      </w:r>
      <w:r w:rsidR="0032102F">
        <w:rPr>
          <w:lang w:val="it-IT"/>
        </w:rPr>
        <w:t>,</w:t>
      </w:r>
      <w:r>
        <w:rPr>
          <w:vertAlign w:val="superscript"/>
          <w:lang w:val="it-IT"/>
        </w:rPr>
        <w:t>b</w:t>
      </w:r>
      <w:r w:rsidR="00F44A4F">
        <w:rPr>
          <w:lang w:val="it-IT"/>
        </w:rPr>
        <w:t xml:space="preserve"> </w:t>
      </w:r>
      <w:r>
        <w:rPr>
          <w:lang w:val="it-IT"/>
        </w:rPr>
        <w:t>Flavio Manenti</w:t>
      </w:r>
      <w:r>
        <w:rPr>
          <w:vertAlign w:val="superscript"/>
          <w:lang w:val="it-IT"/>
        </w:rPr>
        <w:t>a,*</w:t>
      </w:r>
    </w:p>
    <w:p w14:paraId="6FF7203A" w14:textId="77777777" w:rsidR="00607A9E" w:rsidRDefault="00607A9E">
      <w:pPr>
        <w:pStyle w:val="Els-Affiliation"/>
        <w:rPr>
          <w:lang w:val="it-IT"/>
        </w:rPr>
      </w:pPr>
      <w:r w:rsidRPr="00607A9E">
        <w:rPr>
          <w:vertAlign w:val="superscript"/>
          <w:lang w:val="it-IT"/>
        </w:rPr>
        <w:t>a</w:t>
      </w:r>
      <w:r w:rsidRPr="00607A9E">
        <w:rPr>
          <w:lang w:val="it-IT"/>
        </w:rPr>
        <w:t>CMIC Department "Giulio Natta", Politecnico di Milano, Piazza Leonardo da Vinci 32, Milan 20133, Italy</w:t>
      </w:r>
    </w:p>
    <w:p w14:paraId="144DE682" w14:textId="1FF2DB3E" w:rsidR="00DD3D9E" w:rsidRPr="00A93EF5" w:rsidRDefault="00A93EF5">
      <w:pPr>
        <w:pStyle w:val="Els-Affiliation"/>
        <w:rPr>
          <w:lang w:val="it-IT"/>
        </w:rPr>
      </w:pPr>
      <w:r w:rsidRPr="00A93EF5">
        <w:rPr>
          <w:vertAlign w:val="superscript"/>
          <w:lang w:val="it-IT"/>
        </w:rPr>
        <w:t>b</w:t>
      </w:r>
      <w:r w:rsidRPr="00A93EF5">
        <w:rPr>
          <w:lang w:val="it-IT"/>
        </w:rPr>
        <w:t>Dipartimento di Chimica, Università degli Studi di Milano, via Golgi, 19, Milan 20133, Italy</w:t>
      </w:r>
    </w:p>
    <w:p w14:paraId="144DE683" w14:textId="6E3DCFB1" w:rsidR="008D2649" w:rsidRPr="0003077F" w:rsidRDefault="00A93EF5" w:rsidP="008D2649">
      <w:pPr>
        <w:pStyle w:val="Els-Affiliation"/>
        <w:spacing w:after="120"/>
        <w:rPr>
          <w:lang w:val="en-US"/>
        </w:rPr>
      </w:pPr>
      <w:r w:rsidRPr="0003077F">
        <w:rPr>
          <w:lang w:val="en-US"/>
        </w:rPr>
        <w:t>flavio.manenti@polimi.it</w:t>
      </w:r>
    </w:p>
    <w:p w14:paraId="144DE684" w14:textId="77777777" w:rsidR="008D2649" w:rsidRPr="0003077F" w:rsidRDefault="008D2649" w:rsidP="008D2649">
      <w:pPr>
        <w:pStyle w:val="Els-Abstract"/>
      </w:pPr>
      <w:r w:rsidRPr="0003077F">
        <w:t>Abstract</w:t>
      </w:r>
    </w:p>
    <w:p w14:paraId="4CCF79B9" w14:textId="6A0D8BE9" w:rsidR="002371E8" w:rsidRDefault="003C0FAF" w:rsidP="008D2649">
      <w:pPr>
        <w:pStyle w:val="Els-body-text"/>
        <w:spacing w:after="120"/>
        <w:rPr>
          <w:lang w:val="en-GB"/>
        </w:rPr>
      </w:pPr>
      <w:r w:rsidRPr="003C0FAF">
        <w:rPr>
          <w:lang w:val="en-GB"/>
        </w:rPr>
        <w:t>As global concerns about carbon emissions and the sustainability of energy sources grow, the utilization of biogas has gained significant attention for reducing greenhouse gas emissions and moving away from fossil-based chemicals. Biogas, predominantly composed of methane and carbon dioxide, is generated through the anaerobic digestion of organic materials, such as agricultural residues, municipal waste, and wastewater sludge. To exploit the full potential of biogas and increase its energy density, the conversion of biogas into valuable chemical products seems to be a viable and feasible solution. Specifically, the production of methanol and the development of small-scale biogas-to-methanol plants has received notable recognition.  This study focuses on the economic optimization of the synthesis section within such plants</w:t>
      </w:r>
      <w:r w:rsidR="003235D3">
        <w:rPr>
          <w:lang w:val="en-GB"/>
        </w:rPr>
        <w:t xml:space="preserve">. </w:t>
      </w:r>
      <w:r w:rsidRPr="003C0FAF">
        <w:rPr>
          <w:lang w:val="en-GB"/>
        </w:rPr>
        <w:t xml:space="preserve">The optimization of this section plays a crucial role in ensuring both the economic viability and the sustainability of the process. The synthesis section is </w:t>
      </w:r>
      <w:proofErr w:type="spellStart"/>
      <w:r w:rsidR="00611011">
        <w:rPr>
          <w:lang w:val="en-GB"/>
        </w:rPr>
        <w:t>modeled</w:t>
      </w:r>
      <w:proofErr w:type="spellEnd"/>
      <w:r w:rsidRPr="003C0FAF">
        <w:rPr>
          <w:lang w:val="en-GB"/>
        </w:rPr>
        <w:t xml:space="preserve"> with two reactors arranged in series, where liquefaction of the methanol and water produced takes place after each reactor. To maximize methanol production, unreacted gases are recycled back to the first reactor. This article presents the economic optimization perspective on the reactor’s design and operating conditions, finding a compromise between maximizing methanol yield and minimizing reactor costs. This study highlights the potential for biogas-based methanol in the transition between greener energy alternatives. Moreover, it offers a systematic procedure for optimizing the design of the synthesis sections, which is applied to a typical case study. By addressing the complex factors involved in this process, this research actively contributes to the progress of sustainable energy solutions and provides a valuable baseline for future development. </w:t>
      </w:r>
    </w:p>
    <w:p w14:paraId="144DE687" w14:textId="4FEFAED2" w:rsidR="008D2649" w:rsidRDefault="008D2649" w:rsidP="008D2649">
      <w:pPr>
        <w:pStyle w:val="Els-body-text"/>
        <w:spacing w:after="120"/>
        <w:rPr>
          <w:lang w:val="en-GB"/>
        </w:rPr>
      </w:pPr>
      <w:r>
        <w:rPr>
          <w:b/>
          <w:bCs/>
          <w:lang w:val="en-GB"/>
        </w:rPr>
        <w:t>Keywords</w:t>
      </w:r>
      <w:r>
        <w:rPr>
          <w:lang w:val="en-GB"/>
        </w:rPr>
        <w:t xml:space="preserve">: </w:t>
      </w:r>
      <w:r w:rsidR="0062277A">
        <w:rPr>
          <w:lang w:val="en-GB"/>
        </w:rPr>
        <w:t>B</w:t>
      </w:r>
      <w:r w:rsidR="00B657BF">
        <w:rPr>
          <w:lang w:val="en-GB"/>
        </w:rPr>
        <w:t xml:space="preserve">iogas, Methanol, </w:t>
      </w:r>
      <w:r w:rsidR="0062277A">
        <w:rPr>
          <w:lang w:val="en-GB"/>
        </w:rPr>
        <w:t xml:space="preserve">Economics, Optimization, </w:t>
      </w:r>
      <w:proofErr w:type="spellStart"/>
      <w:r w:rsidR="0062277A">
        <w:rPr>
          <w:lang w:val="en-GB"/>
        </w:rPr>
        <w:t>Model</w:t>
      </w:r>
      <w:r w:rsidR="00E7415E">
        <w:rPr>
          <w:lang w:val="en-GB"/>
        </w:rPr>
        <w:t>ing</w:t>
      </w:r>
      <w:proofErr w:type="spellEnd"/>
    </w:p>
    <w:p w14:paraId="144DE689" w14:textId="5EC2E5BE" w:rsidR="008D2649" w:rsidRDefault="001B08AF" w:rsidP="00C33204">
      <w:pPr>
        <w:pStyle w:val="Els-1storder-head"/>
        <w:spacing w:after="120"/>
      </w:pPr>
      <w:r>
        <w:t>Introduction</w:t>
      </w:r>
    </w:p>
    <w:p w14:paraId="3080BF65" w14:textId="618EEF0B" w:rsidR="000D1847" w:rsidRPr="000D1847" w:rsidRDefault="00AD4677" w:rsidP="00686E8C">
      <w:pPr>
        <w:pStyle w:val="Els-body-text"/>
      </w:pPr>
      <w:r>
        <w:t xml:space="preserve">The </w:t>
      </w:r>
      <w:r w:rsidR="00175CF0">
        <w:t xml:space="preserve">current trend in the chemical industry and energy sector is </w:t>
      </w:r>
      <w:r w:rsidR="00A3244E">
        <w:t>entirely</w:t>
      </w:r>
      <w:r w:rsidR="003A13BE">
        <w:t xml:space="preserve"> directed</w:t>
      </w:r>
      <w:r w:rsidR="002168DB">
        <w:t xml:space="preserve"> toward </w:t>
      </w:r>
      <w:r w:rsidR="004A1F8F">
        <w:t>de-fossilization</w:t>
      </w:r>
      <w:r w:rsidR="0087799A">
        <w:t xml:space="preserve"> and, </w:t>
      </w:r>
      <w:r w:rsidR="003A13BE">
        <w:t>consequently,</w:t>
      </w:r>
      <w:r w:rsidR="0087799A">
        <w:t xml:space="preserve"> the </w:t>
      </w:r>
      <w:r w:rsidR="00DE72BA">
        <w:t>exploration</w:t>
      </w:r>
      <w:r w:rsidR="0087799A">
        <w:t xml:space="preserve"> of renewable resources. </w:t>
      </w:r>
      <w:r w:rsidR="00A3244E">
        <w:t>Among these,</w:t>
      </w:r>
      <w:r w:rsidR="0051707C">
        <w:t xml:space="preserve"> biogas </w:t>
      </w:r>
      <w:r w:rsidR="00686E8C">
        <w:t>stands out as</w:t>
      </w:r>
      <w:r w:rsidR="0051707C">
        <w:t xml:space="preserve"> one of the most promising. Biogas is a mixture composed mainly by methane and carbon dioxide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sidR="000D1847">
        <w:t>)</w:t>
      </w:r>
      <w:r w:rsidR="0029381F">
        <w:t xml:space="preserve"> produced through </w:t>
      </w:r>
      <w:r w:rsidR="00A06D5C">
        <w:t xml:space="preserve">the </w:t>
      </w:r>
      <w:r w:rsidR="0029381F">
        <w:t>anaero</w:t>
      </w:r>
      <w:r w:rsidR="007C49E7">
        <w:t xml:space="preserve">bic digestion of biomasses. </w:t>
      </w:r>
      <w:r w:rsidR="00A06D5C">
        <w:t xml:space="preserve">While the </w:t>
      </w:r>
      <w:r w:rsidR="00BD3856">
        <w:t>current valorization</w:t>
      </w:r>
      <w:r w:rsidR="00DD41FD">
        <w:t xml:space="preserve"> of biogas </w:t>
      </w:r>
      <w:r w:rsidR="0070410F">
        <w:t xml:space="preserve">takes place in </w:t>
      </w:r>
      <w:r w:rsidR="00D6327F">
        <w:t>Combined Heat and Power</w:t>
      </w:r>
      <w:r w:rsidR="008D4D08">
        <w:t xml:space="preserve"> (CHP)</w:t>
      </w:r>
      <w:r w:rsidR="0070410F">
        <w:t xml:space="preserve"> plant</w:t>
      </w:r>
      <w:r w:rsidR="008D4D08">
        <w:t>s</w:t>
      </w:r>
      <w:r w:rsidR="0070410F">
        <w:t xml:space="preserve"> to </w:t>
      </w:r>
      <w:r w:rsidR="008D4D08">
        <w:t>generate</w:t>
      </w:r>
      <w:r w:rsidR="0070410F">
        <w:t xml:space="preserve"> electricity and heat</w:t>
      </w:r>
      <w:r w:rsidR="008D4D08">
        <w:t>, recent investigations</w:t>
      </w:r>
      <w:r w:rsidR="005A338A">
        <w:t xml:space="preserve"> </w:t>
      </w:r>
      <w:r w:rsidR="00957534">
        <w:t xml:space="preserve">have </w:t>
      </w:r>
      <w:r w:rsidR="00003935">
        <w:t xml:space="preserve">explored new </w:t>
      </w:r>
      <w:r w:rsidR="00570DC4">
        <w:t>alternatives</w:t>
      </w:r>
      <w:r w:rsidR="008157D2">
        <w:t>,</w:t>
      </w:r>
      <w:r w:rsidR="00957534">
        <w:t xml:space="preserve"> </w:t>
      </w:r>
      <w:r w:rsidR="001152B3">
        <w:t>especially</w:t>
      </w:r>
      <w:r w:rsidR="00F953B0">
        <w:t xml:space="preserve"> the production of methanol (</w:t>
      </w:r>
      <w:r w:rsidR="00F953B0" w:rsidRPr="0043306D">
        <w:rPr>
          <w:i/>
          <w:iCs/>
        </w:rPr>
        <w:t>MeOH</w:t>
      </w:r>
      <w:r w:rsidR="00F953B0">
        <w:t>)</w:t>
      </w:r>
      <w:r w:rsidR="00E27140">
        <w:t xml:space="preserve"> </w:t>
      </w:r>
      <w:r w:rsidR="00B51AA7">
        <w:fldChar w:fldCharType="begin"/>
      </w:r>
      <w:r w:rsidR="00B51AA7">
        <w:instrText xml:space="preserve"> ADDIN ZOTERO_ITEM CSL_CITATION {"citationID":"06qY4VSU","properties":{"formattedCitation":"(Bozzano et al., 2017)","plainCitation":"(Bozzano et al., 2017)","noteIndex":0},"citationItems":[{"id":95,"uris":["http://zotero.org/users/local/qHCZxoWg/items/84BDJQMM"],"itemData":{"id":95,"type":"chapter","abstract":"Biogas is one of the energy sources that are gaining more and more importance in Europe and, in particular, in Italy and Germany. Nowadays, it is used for the combined production of heat and power. Here we propose to use all of its major components (CO2 and CH4) to produce methanol. A feasibility study of this process is reported, where we optimize the interactions between reforming and methanol synthesis, depending also on the variations in biogas composition due to the nature of the raw material, i.e. biomass. Finally, we identify the optimal region in which syngas composition should be included.","collection-title":"27 European Symposium on Computer Aided Process Engineering","container-title":"Computer Aided Chemical Engineering","note":"DOI: 10.1016/B978-0-444-63965-3.50089-1","page":"523-528","publisher":"Elsevier","source":"ScienceDirect","title":"Biogas: a Possible New Pathway to Methanol?","title-short":"Biogas","URL":"https://www.sciencedirect.com/science/article/pii/B9780444639653500891","volume":"40","author":[{"family":"Bozzano","given":"Giulia"},{"family":"Pirola","given":"Carlo"},{"family":"Italiano","given":"Cristina"},{"family":"Pelosato","given":"Renato"},{"family":"Vita","given":"Antonio"},{"family":"Manenti","given":"Flavio"}],"editor":[{"family":"Espuña","given":"Antonio"},{"family":"Graells","given":"Moisès"},{"family":"Puigjaner","given":"Luis"}],"accessed":{"date-parts":[["2023",11,29]]},"issued":{"date-parts":[["2017",1,1]]}}}],"schema":"https://github.com/citation-style-language/schema/raw/master/csl-citation.json"} </w:instrText>
      </w:r>
      <w:r w:rsidR="00B51AA7">
        <w:fldChar w:fldCharType="separate"/>
      </w:r>
      <w:r w:rsidR="00B51AA7" w:rsidRPr="00B51AA7">
        <w:t>(Bozzano et al., 2017)</w:t>
      </w:r>
      <w:r w:rsidR="00B51AA7">
        <w:fldChar w:fldCharType="end"/>
      </w:r>
      <w:r w:rsidR="00F953B0">
        <w:t xml:space="preserve">. </w:t>
      </w:r>
      <w:r w:rsidR="000106AB" w:rsidRPr="0043306D">
        <w:rPr>
          <w:i/>
          <w:iCs/>
        </w:rPr>
        <w:t>MeOH</w:t>
      </w:r>
      <w:r w:rsidR="000106AB">
        <w:t xml:space="preserve"> is considered a key</w:t>
      </w:r>
      <w:r w:rsidR="007931E4">
        <w:t xml:space="preserve"> component in the energy transi</w:t>
      </w:r>
      <w:r w:rsidR="005509A5">
        <w:t>tion process due to its high</w:t>
      </w:r>
      <w:r w:rsidR="009D794C">
        <w:t>ly energy</w:t>
      </w:r>
      <w:r w:rsidR="00F2712C">
        <w:t>-</w:t>
      </w:r>
      <w:r w:rsidR="008D064C">
        <w:t>intensive</w:t>
      </w:r>
      <w:r w:rsidR="009D794C">
        <w:t xml:space="preserve"> synthesis</w:t>
      </w:r>
      <w:r w:rsidR="00E51360">
        <w:t xml:space="preserve"> and </w:t>
      </w:r>
      <w:r w:rsidR="00F2712C">
        <w:t>significant</w:t>
      </w:r>
      <w:r w:rsidR="00AD2A6E">
        <w:t xml:space="preserve"> </w:t>
      </w:r>
      <w:r w:rsidR="00F2712C">
        <w:t>global</w:t>
      </w:r>
      <w:r w:rsidR="00AD2A6E">
        <w:t xml:space="preserve"> production</w:t>
      </w:r>
      <w:r w:rsidR="005B32B4">
        <w:t xml:space="preserve">.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sidR="005B32B4">
        <w:t xml:space="preserve"> hydrogenation </w:t>
      </w:r>
      <w:r w:rsidR="00474D04">
        <w:t xml:space="preserve">appears </w:t>
      </w:r>
      <w:r w:rsidR="000C3F31">
        <w:lastRenderedPageBreak/>
        <w:t>as a highly promising</w:t>
      </w:r>
      <w:r w:rsidR="00474D04">
        <w:t xml:space="preserve"> pathway for carbon utilization</w:t>
      </w:r>
      <w:r w:rsidR="000C3F31">
        <w:t>, contributing</w:t>
      </w:r>
      <w:r w:rsidR="00005A25">
        <w:t xml:space="preserve"> to the </w:t>
      </w:r>
      <w:r w:rsidR="00C72543">
        <w:t xml:space="preserve">de-fossilization of the methanol production industry </w:t>
      </w:r>
      <w:r w:rsidR="00160099">
        <w:fldChar w:fldCharType="begin"/>
      </w:r>
      <w:r w:rsidR="00160099">
        <w:instrText xml:space="preserve"> ADDIN ZOTERO_ITEM CSL_CITATION {"citationID":"7XXObSap","properties":{"formattedCitation":"(Prifti et al., 2023)","plainCitation":"(Prifti et al., 2023)","noteIndex":0},"citationItems":[{"id":99,"uris":["http://zotero.org/users/local/qHCZxoWg/items/5P4J9JPB"],"itemData":{"id":99,"type":"article-journal","abstract":"Plastic waste treatment is a key sector for circular economic models as well as for the energy transition since polymer precursors are among the main energy and raw material consumers of the chemical sector. This work analyzes the state of the art of the sector and tries to fill the gap present for chemical valorization of low quality plastic waste with a high impurity content. The proposed path aims at converting plastic waste to methanol through gasification. The process is developed and simulated with a combination of thermodynamic characterization of the feedstock and kinetic modeling of syngas treatments. Different loads of polystyrene in a polypropylene/polyethylene mixture are used to evaluate the behavior of the process for a less hydrogen-rich feedstock. The performance of the process is evaluated for each feedstock and used as a basis for an assessment of the operative expenditures of the technology, as well as evaluating the net present value and internal rate of return at different plant capacities.","container-title":"Industrial &amp; Engineering Chemistry Research","DOI":"10.1021/acs.iecr.2c03929","ISSN":"0888-5885","issue":"12","journalAbbreviation":"Ind. Eng. Chem. Res.","note":"publisher: American Chemical Society","page":"5083-5096","source":"ACS Publications","title":"Design and Simulation of a Plastic Waste to Methanol Process: Yields and Economics","title-short":"Design and Simulation of a Plastic Waste to Methanol Process","volume":"62","author":[{"family":"Prifti","given":"Kristiano"},{"family":"Galeazzi","given":"Andrea"},{"family":"Manenti","given":"Flavio"}],"issued":{"date-parts":[["2023",3,29]]}}}],"schema":"https://github.com/citation-style-language/schema/raw/master/csl-citation.json"} </w:instrText>
      </w:r>
      <w:r w:rsidR="00160099">
        <w:fldChar w:fldCharType="separate"/>
      </w:r>
      <w:r w:rsidR="00160099" w:rsidRPr="00160099">
        <w:t>(Prifti et al., 2023)</w:t>
      </w:r>
      <w:r w:rsidR="00160099">
        <w:fldChar w:fldCharType="end"/>
      </w:r>
      <w:r w:rsidR="00C72543">
        <w:t xml:space="preserve">. </w:t>
      </w:r>
      <w:r w:rsidR="00BF3674">
        <w:t xml:space="preserve">In </w:t>
      </w:r>
      <w:r w:rsidR="00005A25">
        <w:t>these</w:t>
      </w:r>
      <w:r w:rsidR="00BF3674">
        <w:t xml:space="preserve"> plant</w:t>
      </w:r>
      <w:r w:rsidR="00C07E21">
        <w:t>s</w:t>
      </w:r>
      <w:r w:rsidR="00BF3674">
        <w:t>,</w:t>
      </w:r>
      <w:r w:rsidR="00AB3E9F">
        <w:t xml:space="preserve"> biogas is firstly treated and reformed to produce syngas</w:t>
      </w:r>
      <w:r w:rsidR="00AA6102">
        <w:t xml:space="preserve">, a mixture of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00AA6102">
        <w:t xml:space="preserve">, </w:t>
      </w:r>
      <w:r w:rsidR="00D97145">
        <w:t>carbon monoxide (</w:t>
      </w:r>
      <m:oMath>
        <m:r>
          <w:rPr>
            <w:rFonts w:ascii="Cambria Math" w:hAnsi="Cambria Math"/>
          </w:rPr>
          <m:t>CO)</m:t>
        </m:r>
      </m:oMath>
      <w:r w:rsidR="00AA6102">
        <w:t xml:space="preserve"> and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sidR="00BF3674">
        <w:t xml:space="preserve">. </w:t>
      </w:r>
      <w:r w:rsidR="001277E9">
        <w:t>Subsequently</w:t>
      </w:r>
      <w:r w:rsidR="008A512D">
        <w:t xml:space="preserve">, </w:t>
      </w:r>
      <w:r w:rsidR="00944DD8">
        <w:t xml:space="preserve">the </w:t>
      </w:r>
      <w:r w:rsidR="008A512D">
        <w:t xml:space="preserve">syngas is heated up and </w:t>
      </w:r>
      <w:r w:rsidR="00FE68C9">
        <w:t>pass</w:t>
      </w:r>
      <w:r w:rsidR="00944DD8">
        <w:t>es</w:t>
      </w:r>
      <w:r w:rsidR="00FE68C9">
        <w:t xml:space="preserve"> through a catalytic reactor</w:t>
      </w:r>
      <w:r w:rsidR="005E4995">
        <w:t xml:space="preserve"> where t</w:t>
      </w:r>
      <w:r w:rsidR="00796A93">
        <w:t>hree reactions take place: the Reverse Water Gas Shift, CO</w:t>
      </w:r>
      <w:r w:rsidR="00BF3674">
        <w:t xml:space="preserve"> </w:t>
      </w:r>
      <w:r w:rsidR="00500952">
        <w:t xml:space="preserve">hydrogenation and the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sidR="00AD760D">
        <w:t xml:space="preserve"> hydrogenation</w:t>
      </w:r>
      <w:r w:rsidR="00B02C47">
        <w:t xml:space="preserve"> </w:t>
      </w:r>
      <w:r w:rsidR="00B02C47">
        <w:fldChar w:fldCharType="begin"/>
      </w:r>
      <w:r w:rsidR="00B02C47">
        <w:instrText xml:space="preserve"> ADDIN ZOTERO_ITEM CSL_CITATION {"citationID":"LLDGChr5","properties":{"formattedCitation":"(Bisotti et al., 2022)","plainCitation":"(Bisotti et al., 2022)","noteIndex":0},"citationItems":[{"id":88,"uris":["http://zotero.org/users/local/qHCZxoWg/items/8AIJBPW3"],"itemData":{"id":88,"type":"article-journal","abstract":"The reactor is one of the most important equipment to be designed for optimal process operations. An appropriate reactor modeling leads to an efficient and optimal process conceptual design, simulation, and eventually construction. The key for success in this step is mainly related to kinetics. The present work is centered toward process simulation and aims at comparing three different kinetic models for methanol synthesis. The comparison shows how the refitted Graaf model, presented in a previous study, effectively predicts the performance of modern methanol synthesis loops. To pursue this objective, we simulated in Aspen HYSYS three methanol synthesis technologies (the most popular technologies in modern plants) and compared the results with industrial data. The proposed case study demonstrates that the refitted Graaf model is more accurate in output prediction than the well-established original Graaf and Vanden Bussche–Froment models, which are currently considered the industrial benchmark, thus showing how the refitted Graaf model is a potential candidate for future industrial applications.","container-title":"Industrial &amp; Engineering Chemistry Research","DOI":"10.1021/acs.iecr.1c04476","ISSN":"0888-5885","issue":"5","journalAbbreviation":"Ind. Eng. Chem. Res.","note":"publisher: American Chemical Society","page":"2206-2226","source":"ACS Publications","title":"Impact of Kinetic Models on Methanol Synthesis Reactor Predictions: In Silico Assessment and Comparison with Industrial Data","title-short":"Impact of Kinetic Models on Methanol Synthesis Reactor Predictions","volume":"61","author":[{"family":"Bisotti","given":"Filippo"},{"family":"Fedeli","given":"Matteo"},{"family":"Prifti","given":"Kristiano"},{"family":"Galeazzi","given":"Andrea"},{"family":"Dell’Angelo","given":"Anna"},{"family":"Manenti","given":"Flavio"}],"issued":{"date-parts":[["2022",2,9]]}}}],"schema":"https://github.com/citation-style-language/schema/raw/master/csl-citation.json"} </w:instrText>
      </w:r>
      <w:r w:rsidR="00B02C47">
        <w:fldChar w:fldCharType="separate"/>
      </w:r>
      <w:r w:rsidR="00B02C47" w:rsidRPr="00B02C47">
        <w:t>(Bisotti et al., 2022)</w:t>
      </w:r>
      <w:r w:rsidR="00B02C47">
        <w:fldChar w:fldCharType="end"/>
      </w:r>
      <w:r w:rsidR="00C927F2">
        <w:t>.</w:t>
      </w:r>
      <w:r w:rsidR="00D352FD">
        <w:t xml:space="preserve"> Recent</w:t>
      </w:r>
      <w:r w:rsidR="008B215E">
        <w:t xml:space="preserve"> studies</w:t>
      </w:r>
      <w:r w:rsidR="00986CB9">
        <w:t xml:space="preserve"> </w:t>
      </w:r>
      <w:r w:rsidR="00D352FD">
        <w:t>on</w:t>
      </w:r>
      <w:r w:rsidR="00986CB9">
        <w:t xml:space="preserve"> biogas-to-methanol plant</w:t>
      </w:r>
      <w:r w:rsidR="00A61EDE">
        <w:t>s</w:t>
      </w:r>
      <w:r w:rsidR="00256C2C">
        <w:t xml:space="preserve"> </w:t>
      </w:r>
      <w:r w:rsidR="00D2558F">
        <w:t xml:space="preserve">have been </w:t>
      </w:r>
      <w:r w:rsidR="00547680">
        <w:t xml:space="preserve">lately </w:t>
      </w:r>
      <w:r w:rsidR="007550C6">
        <w:t>conducted</w:t>
      </w:r>
      <w:r w:rsidR="00D3001D">
        <w:t xml:space="preserve"> </w:t>
      </w:r>
      <w:r w:rsidR="00B716A2">
        <w:t xml:space="preserve">focusing </w:t>
      </w:r>
      <w:r w:rsidR="00964502">
        <w:t>mostly on process simulation</w:t>
      </w:r>
      <w:r w:rsidR="009460C1">
        <w:t xml:space="preserve"> and layout </w:t>
      </w:r>
      <w:r w:rsidR="009C7B79">
        <w:fldChar w:fldCharType="begin"/>
      </w:r>
      <w:r w:rsidR="009C7B79">
        <w:instrText xml:space="preserve"> ADDIN ZOTERO_ITEM CSL_CITATION {"citationID":"i9OVbVPk","properties":{"formattedCitation":"(Moioli and Schildhauer, 2022)","plainCitation":"(Moioli and Schildhauer, 2022)","noteIndex":0},"citationItems":[{"id":90,"uris":["http://zotero.org/users/local/qHCZxoWg/items/2FRL97JA"],"itemData":{"id":90,"type":"article-journal","abstract":"Methanol is a key ingredient for the chemical industry. To foster the transition into carbon-neutral future, it would be of great interest to reduce the fossil carbon footprint of the methanol production by investigating alternative synthesis routes. A potential way to produce methanol in a sustainable manner is to utilize biogas, which is a carbon-neutral feedstock. However, it is challenging to provide enough biogas to large-scale plants. For this reason, we investigate in this paper the possibility of producing methanol in small-scale decentralized plants. We analyzed the techno-economic-environmental performance of the downscaling of the standard methanol production via steam reforming and compared it with the novel synthesis via direct CO2 hydrogenation with green H2. We observed that, with cheap electricity and high methanol value, these processes are both profitable, with a slight advantage for the steam-reforming route. Additionally, the direct CO2 hydrogenation route can be improved by developing tailor-made less costly equipment, thus showing a potential for application in an energy storage context (i.e., with extremely cheap electricity). We also observed that the use of biomethane as feedstock for centralized methanol production shows a similar performance as the localized methanol synthesis due to the high cost of the raw material. Therefore, we can conclude that, with every technology analyzed, the shift toward a biogas-based methanol manufacture results in a more expensive product and that small-scale-localized production may play a role in the bio-based methanol supply.","container-title":"Industrial &amp; Engineering Chemistry Research","DOI":"10.1021/acs.iecr.1c04682","ISSN":"0888-5885","issue":"21","journalAbbreviation":"Ind. Eng. Chem. Res.","note":"publisher: American Chemical Society","page":"7335-7348","source":"ACS Publications","title":"Eco-Techno-Economic Analysis of Methanol Production from Biogas and Power-to-X","volume":"61","author":[{"family":"Moioli","given":"Emanuele"},{"family":"Schildhauer","given":"Tilman"}],"issued":{"date-parts":[["2022",6,1]]}}}],"schema":"https://github.com/citation-style-language/schema/raw/master/csl-citation.json"} </w:instrText>
      </w:r>
      <w:r w:rsidR="009C7B79">
        <w:fldChar w:fldCharType="separate"/>
      </w:r>
      <w:r w:rsidR="009C7B79" w:rsidRPr="009C7B79">
        <w:t>(Moioli and Schildhauer, 2022)</w:t>
      </w:r>
      <w:r w:rsidR="009C7B79">
        <w:fldChar w:fldCharType="end"/>
      </w:r>
      <w:r w:rsidR="009C7B79">
        <w:t xml:space="preserve">. </w:t>
      </w:r>
      <w:r w:rsidR="00D352FD">
        <w:t>Additionally</w:t>
      </w:r>
      <w:r w:rsidR="00637BEB">
        <w:t xml:space="preserve">, </w:t>
      </w:r>
      <w:r w:rsidR="003A1CE9">
        <w:t>various</w:t>
      </w:r>
      <w:r w:rsidR="00F76FC1">
        <w:t xml:space="preserve"> </w:t>
      </w:r>
      <w:r w:rsidR="003A1CE9">
        <w:t>works have extensively analyzed different feed</w:t>
      </w:r>
      <w:r w:rsidR="008127B1">
        <w:t>stocks and operating cond</w:t>
      </w:r>
      <w:r w:rsidR="007B7235">
        <w:t>i</w:t>
      </w:r>
      <w:r w:rsidR="008127B1">
        <w:t xml:space="preserve">tions </w:t>
      </w:r>
      <w:r w:rsidR="00E75102">
        <w:fldChar w:fldCharType="begin"/>
      </w:r>
      <w:r w:rsidR="00E75102">
        <w:instrText xml:space="preserve"> ADDIN ZOTERO_ITEM CSL_CITATION {"citationID":"TYOx7WXj","properties":{"formattedCitation":"(Santos et al., 2018)","plainCitation":"(Santos et al., 2018)","noteIndex":0},"citationItems":[{"id":92,"uris":["http://zotero.org/users/local/qHCZxoWg/items/7R6LI7ZA"],"itemData":{"id":92,"type":"article-journal","abstract":"Nowadays the exploitation of conventional natural gas resources has been contributing to the problem of increasing CO2 concentrations in the atmosphere and consequently increasing the global warming. The natural gas accounted for a majority of the feedstock used for methanol manufacture. Nevertheless, in the next years, methanol will have to be produced from less polluting sources that release small quantities of CO2 and methane to the atmosphere. In this regard, the use of biogas for producing methanol appears to be a viable alternative. However, few studies have studied the optimization of methanol production plants from renewable sources. Thereby, the main purpose of this paper is to make a comparative analysis, throughout mathematical modeling and simulation, of different methanol production routes, by considering four biogas sources: landfill, palm oil effluent, corn cobs and sorghum fermentation. For all cases, an optimization study was performed, with the goal of maximizing the methanol production. The results evidenced that the biogas from palm oil showed to be the most profitable concerning the other sources. On the other hand, the landfill gas showed to be a very limited capacity for methanol supply. Finally, the process optimization indicate that the operating conditions must be adjusted with respect of the biogas composition, in order to allow the maximum production.","container-title":"Journal of Cleaner Production","DOI":"10.1016/j.jclepro.2018.03.108","ISSN":"0959-6526","journalAbbreviation":"Journal of Cleaner Production","page":"821-830","source":"ScienceDirect","title":"Simulation and optimization of a methanol synthesis process from different biogas sources","volume":"186","author":[{"family":"Santos","given":"Rafael Oliveira","dropping-particle":"dos"},{"family":"Santos","given":"Lizandro de Sousa"},{"family":"Prata","given":"Diego Martinez"}],"issued":{"date-parts":[["2018",6,10]]}}}],"schema":"https://github.com/citation-style-language/schema/raw/master/csl-citation.json"} </w:instrText>
      </w:r>
      <w:r w:rsidR="00E75102">
        <w:fldChar w:fldCharType="separate"/>
      </w:r>
      <w:r w:rsidR="00E75102" w:rsidRPr="00E75102">
        <w:t>(Santos et al., 2018)</w:t>
      </w:r>
      <w:r w:rsidR="00E75102">
        <w:fldChar w:fldCharType="end"/>
      </w:r>
      <w:r w:rsidR="00E75102">
        <w:t>.</w:t>
      </w:r>
      <w:r w:rsidR="00C243F5">
        <w:t xml:space="preserve"> It is </w:t>
      </w:r>
      <w:r w:rsidR="008127B1">
        <w:t>noteworthy</w:t>
      </w:r>
      <w:r w:rsidR="00C243F5">
        <w:t xml:space="preserve"> that </w:t>
      </w:r>
      <w:r w:rsidR="00CE6267">
        <w:t>the techno-economic analysis</w:t>
      </w:r>
      <w:r w:rsidR="00065683">
        <w:t xml:space="preserve"> conducted by</w:t>
      </w:r>
      <w:r w:rsidR="00E75102">
        <w:t xml:space="preserve"> </w:t>
      </w:r>
      <w:r w:rsidR="000A0F00" w:rsidRPr="000A0F00">
        <w:t xml:space="preserve">Rinaldi et al., </w:t>
      </w:r>
      <w:r w:rsidR="009E5C42">
        <w:t>(</w:t>
      </w:r>
      <w:r w:rsidR="000A0F00" w:rsidRPr="000A0F00">
        <w:t>2023)</w:t>
      </w:r>
      <w:r w:rsidR="00065683">
        <w:t xml:space="preserve"> </w:t>
      </w:r>
      <w:r w:rsidR="000D279A">
        <w:t>provides a</w:t>
      </w:r>
      <w:r w:rsidR="00065683">
        <w:t xml:space="preserve"> </w:t>
      </w:r>
      <w:r w:rsidR="00D71D18">
        <w:t xml:space="preserve">comprehensive assessment of </w:t>
      </w:r>
      <w:r w:rsidR="007B7235">
        <w:t>such</w:t>
      </w:r>
      <w:r w:rsidR="00D71D18">
        <w:t xml:space="preserve"> plants, simulating </w:t>
      </w:r>
      <w:r w:rsidR="007B7235">
        <w:t>the overall process</w:t>
      </w:r>
      <w:r w:rsidR="00563CBA">
        <w:t xml:space="preserve"> with different </w:t>
      </w:r>
      <w:r w:rsidR="004675BB">
        <w:t>configurations</w:t>
      </w:r>
      <w:r w:rsidR="00563CBA">
        <w:t>. However, th</w:t>
      </w:r>
      <w:r w:rsidR="000A29A0">
        <w:t>e</w:t>
      </w:r>
      <w:r w:rsidR="007E71F3">
        <w:t xml:space="preserve"> scale of the plant analy</w:t>
      </w:r>
      <w:r w:rsidR="007B7235">
        <w:t>z</w:t>
      </w:r>
      <w:r w:rsidR="007E71F3">
        <w:t xml:space="preserve">ed </w:t>
      </w:r>
      <w:r w:rsidR="00B61101">
        <w:t xml:space="preserve">is </w:t>
      </w:r>
      <w:r w:rsidR="00C874E7">
        <w:t xml:space="preserve">considerably larger compared </w:t>
      </w:r>
      <w:r w:rsidR="00B61101">
        <w:t xml:space="preserve">to the average biogas plant in Europe </w:t>
      </w:r>
      <w:r w:rsidR="007602C1">
        <w:fldChar w:fldCharType="begin"/>
      </w:r>
      <w:r w:rsidR="007602C1">
        <w:instrText xml:space="preserve"> ADDIN ZOTERO_ITEM CSL_CITATION {"citationID":"9GGrxJzm","properties":{"formattedCitation":"(\\uc0\\u1057{}\\uc0\\u1086{}\\uc0\\u1092{}\\uc0\\u1110{}\\uc0\\u1103{}, 2020)","plainCitation":"(Софія, 2020)","noteIndex":0},"citationItems":[{"id":97,"uris":["http://zotero.org/users/local/qHCZxoWg/items/XDE48LUR"],"itemData":{"id":97,"type":"post-weblog","abstract":"The number of biogas plants in Europe continued to grow at a steady pace over the course of 2018 to reach 18,202 units by the end of the year. This represented a 2% increase relative to 2017, with 419 additional biogas installations. The leaders in numbers of plants are Germany (11,084 plants) and Italy (1,655 […]","container-title":"UABIO","title":"European Biogas Association Statistical Report 2020","URL":"https://uabio.org/en/materials/7524/","author":[{"family":"Софія","given":""}],"accessed":{"date-parts":[["2023",11,29]]},"issued":{"date-parts":[["2020",3,25]]}}}],"schema":"https://github.com/citation-style-language/schema/raw/master/csl-citation.json"} </w:instrText>
      </w:r>
      <w:r w:rsidR="007602C1">
        <w:fldChar w:fldCharType="separate"/>
      </w:r>
      <w:r w:rsidR="007602C1" w:rsidRPr="007602C1">
        <w:rPr>
          <w:szCs w:val="24"/>
        </w:rPr>
        <w:t>(Софія, 2020)</w:t>
      </w:r>
      <w:r w:rsidR="007602C1">
        <w:fldChar w:fldCharType="end"/>
      </w:r>
      <w:r w:rsidR="00FF41C7">
        <w:t xml:space="preserve">. </w:t>
      </w:r>
      <w:r w:rsidR="00E75102">
        <w:t xml:space="preserve">This study aims to </w:t>
      </w:r>
      <w:r w:rsidR="00C874E7">
        <w:t>evaluate</w:t>
      </w:r>
      <w:r w:rsidR="005231DB">
        <w:t xml:space="preserve"> the</w:t>
      </w:r>
      <w:r w:rsidR="00B8167B">
        <w:t xml:space="preserve"> </w:t>
      </w:r>
      <w:r w:rsidR="00066261">
        <w:t>economic feasibility and optimize</w:t>
      </w:r>
      <w:r w:rsidR="00C874E7">
        <w:t>, from</w:t>
      </w:r>
      <w:r w:rsidR="00066261">
        <w:t xml:space="preserve"> an economic</w:t>
      </w:r>
      <w:r w:rsidR="00C874E7">
        <w:t xml:space="preserve"> standpoint, </w:t>
      </w:r>
      <w:r w:rsidR="00B8167B">
        <w:t>the synthesis section of such plant</w:t>
      </w:r>
      <w:r w:rsidR="00C874E7">
        <w:t>s</w:t>
      </w:r>
      <w:r w:rsidR="00B8167B">
        <w:t xml:space="preserve"> </w:t>
      </w:r>
      <w:r w:rsidR="0023249C">
        <w:t>through rigorous modeling</w:t>
      </w:r>
      <w:r w:rsidR="00313CF3">
        <w:t xml:space="preserve"> of reactors and ancillaries. </w:t>
      </w:r>
    </w:p>
    <w:p w14:paraId="144DE699" w14:textId="370A07E9" w:rsidR="008D2649" w:rsidRDefault="00F0302B" w:rsidP="00C33204">
      <w:pPr>
        <w:pStyle w:val="Els-1storder-head"/>
        <w:spacing w:after="120"/>
      </w:pPr>
      <w:r>
        <w:t>Method</w:t>
      </w:r>
      <w:r w:rsidR="0063067A">
        <w:t>s</w:t>
      </w:r>
    </w:p>
    <w:p w14:paraId="6C56E32A" w14:textId="4D6452F0" w:rsidR="0082491A" w:rsidRPr="0043306D" w:rsidRDefault="00F0302B" w:rsidP="008D2649">
      <w:pPr>
        <w:pStyle w:val="Els-body-text"/>
        <w:rPr>
          <w:i/>
          <w:iCs/>
        </w:rPr>
      </w:pPr>
      <w:r>
        <w:t xml:space="preserve">The </w:t>
      </w:r>
      <w:r w:rsidR="00322B2F">
        <w:t>primary</w:t>
      </w:r>
      <w:r>
        <w:t xml:space="preserve"> object of this paper</w:t>
      </w:r>
      <w:r w:rsidR="00FC2D3D">
        <w:t xml:space="preserve"> </w:t>
      </w:r>
      <w:r w:rsidR="00E93E29">
        <w:t xml:space="preserve">is to </w:t>
      </w:r>
      <w:r w:rsidR="00FE4AD7">
        <w:t xml:space="preserve">assess the </w:t>
      </w:r>
      <w:r w:rsidR="00202926">
        <w:t xml:space="preserve">economic feasibility of an optimized synthesis section </w:t>
      </w:r>
      <w:r w:rsidR="00D36EA8">
        <w:t>of a small-scale biogas-to-methanol plant. Rigorous model</w:t>
      </w:r>
      <w:r w:rsidR="00326F39">
        <w:t>ing</w:t>
      </w:r>
      <w:r w:rsidR="00611011">
        <w:t xml:space="preserve"> and design </w:t>
      </w:r>
      <w:r w:rsidR="00DB547B">
        <w:t>have</w:t>
      </w:r>
      <w:r w:rsidR="00611011">
        <w:t xml:space="preserve"> been implemented</w:t>
      </w:r>
      <w:r w:rsidR="009509A6">
        <w:t xml:space="preserve"> </w:t>
      </w:r>
      <w:r w:rsidR="00602D47">
        <w:t xml:space="preserve">for each unit </w:t>
      </w:r>
      <w:r w:rsidR="007B2FDD">
        <w:t>for</w:t>
      </w:r>
      <w:r w:rsidR="009509A6">
        <w:t xml:space="preserve"> economic optimization</w:t>
      </w:r>
      <w:r w:rsidR="001272D0">
        <w:t xml:space="preserve"> of the overall section by </w:t>
      </w:r>
      <w:r w:rsidR="007B2FDD">
        <w:t>varying</w:t>
      </w:r>
      <w:r w:rsidR="001272D0">
        <w:t xml:space="preserve"> the </w:t>
      </w:r>
      <w:r w:rsidR="00DB547B">
        <w:t xml:space="preserve">volume of the reactors. </w:t>
      </w:r>
      <w:r w:rsidR="00B31B18">
        <w:t xml:space="preserve">This study </w:t>
      </w:r>
      <w:r w:rsidR="007B2FDD">
        <w:t xml:space="preserve">specifically </w:t>
      </w:r>
      <w:r w:rsidR="00413ACF">
        <w:t xml:space="preserve">focuses on the economic viability and </w:t>
      </w:r>
      <w:r w:rsidR="002800FB">
        <w:t>optimization of the synthesis sectio</w:t>
      </w:r>
      <w:r w:rsidR="008A53F1">
        <w:t>n</w:t>
      </w:r>
      <w:r w:rsidR="00302D4D">
        <w:t xml:space="preserve"> </w:t>
      </w:r>
      <w:r w:rsidR="005F5068">
        <w:t>in</w:t>
      </w:r>
      <w:r w:rsidR="00302D4D">
        <w:t xml:space="preserve"> </w:t>
      </w:r>
      <w:r w:rsidR="005F5068">
        <w:t>these</w:t>
      </w:r>
      <w:r w:rsidR="00302D4D">
        <w:t xml:space="preserve"> plants</w:t>
      </w:r>
      <w:r w:rsidR="00E073D3">
        <w:t>.</w:t>
      </w:r>
      <w:r w:rsidR="00112B98" w:rsidRPr="00112B98">
        <w:t xml:space="preserve"> </w:t>
      </w:r>
      <w:r w:rsidR="00C722C2">
        <w:t>The economic procedure adopted</w:t>
      </w:r>
      <w:r w:rsidR="008339B4">
        <w:t>,</w:t>
      </w:r>
      <w:r w:rsidR="00C722C2">
        <w:t xml:space="preserve"> and the parameter’s database </w:t>
      </w:r>
      <w:r w:rsidR="00133B85">
        <w:t>used</w:t>
      </w:r>
      <w:r w:rsidR="00C722C2">
        <w:t xml:space="preserve"> to estimate the cost of the units</w:t>
      </w:r>
      <w:r w:rsidR="008339B4">
        <w:t>,</w:t>
      </w:r>
      <w:r w:rsidR="00C722C2">
        <w:t xml:space="preserve"> </w:t>
      </w:r>
      <w:r w:rsidR="008339B4">
        <w:t>follows</w:t>
      </w:r>
      <w:r w:rsidR="00C722C2">
        <w:t xml:space="preserve"> the Bare Module Costing technique explained in </w:t>
      </w:r>
      <w:r w:rsidR="00C722C2">
        <w:fldChar w:fldCharType="begin"/>
      </w:r>
      <w:r w:rsidR="0086370E">
        <w:instrText xml:space="preserve"> ADDIN ZOTERO_ITEM CSL_CITATION {"citationID":"gZWXMpXK","properties":{"formattedCitation":"(Turton et al., 2018)","plainCitation":"(Turton et al., 2018)","dontUpdate":true,"noteIndex":0},"citationItems":[{"id":83,"uris":["http://zotero.org/users/local/qHCZxoWg/items/APVIGF96"],"itemData":{"id":83,"type":"book","abstract":"The Leading Integrated Chemical Process Design Guide: With Extensive Coverage of Equipment Design and Other Key TopicsMore than ever, effective design is the focal point of sound chemical engineering. Analysis, Synthesis, and Design of Chemical Processes, Fifth Edition, presents design as a creative process that integrates the big-picture and small details, and knows which to stress when and why. Realistic from start to finish, it moves readers beyond classroom exercises into open-ended, real-world problem solving. The authors introduce up-to-date, integrated techniques ranging from finance to operations, and new plant design to existing process optimization.The fifth edition includes updated safety and ethics resources and economic factors indices, as well as an extensive, new section focused on process equipment design and performance, covering equipment design for common unit operations, such as fluid flow, heat transfer, separations, reactors, and more. Conceptualization and analysis: process diagrams, configurations, batch processing, product design, and analyzing existing processesEconomic analysis: estimating fixed capital investment and manufacturing costs, measuring process profitability, and moreSynthesis and optimization: process simulation, thermodynamic models, separation operations, heat integration, steady-state and dynamic process simulators, and process regulationChemical equipment design and performance: a full section of expanded and revamped coverage of designing process equipment and evaluating the performance of current equipmentAdvanced steady-state simulation: goals, models, solution strategies, and sensitivity and optimization resultsDynamic simulation: goals, development, solution methods, algorithms, and solversSocietal impacts: ethics, professionalism, health, safety, environmental issues, and green engineeringInterpersonal and communication skills: working in teams, communicating effectively, and writing better reportsThis text draws on a combined 55 years of innovative instruction at West Virginia University (WVU) and the University of Nevada, Reno. It includes suggested curricula for one- and two-semester design courses, case studies, projects, equipment cost data, and extensive preliminary design information for jump-starting more detailed analyses.","edition":"5th edition","event-place":"Boston","ISBN":"978-0-13-417740-3","language":"English","number-of-pages":"1520","publisher":"Pearson","publisher-place":"Boston","source":"Amazon","title":"Analysis, Synthesis, and Design of Chemical Processes","author":[{"family":"Turton","given":"Richard"},{"family":"Shaeiwitz","given":"Joseph"},{"family":"Bhattacharyya","given":"Debangsu"},{"family":"Whiting","given":"Wallace"}],"issued":{"date-parts":[["2018",6,12]]}}}],"schema":"https://github.com/citation-style-language/schema/raw/master/csl-citation.json"} </w:instrText>
      </w:r>
      <w:r w:rsidR="00C722C2">
        <w:fldChar w:fldCharType="separate"/>
      </w:r>
      <w:r w:rsidR="00A440B8" w:rsidRPr="00A440B8">
        <w:t xml:space="preserve">Turton et al. </w:t>
      </w:r>
      <w:r w:rsidR="008F4111">
        <w:t>(</w:t>
      </w:r>
      <w:r w:rsidR="00A440B8" w:rsidRPr="00A440B8">
        <w:t>2018)</w:t>
      </w:r>
      <w:r w:rsidR="00C722C2">
        <w:fldChar w:fldCharType="end"/>
      </w:r>
      <w:r w:rsidR="00DA5786">
        <w:t>. T</w:t>
      </w:r>
      <w:r w:rsidR="003C0CA1">
        <w:t xml:space="preserve">he costs have been </w:t>
      </w:r>
      <w:r w:rsidR="00001091">
        <w:t>actualized</w:t>
      </w:r>
      <w:r w:rsidR="003C0CA1">
        <w:t xml:space="preserve"> using the </w:t>
      </w:r>
      <w:r w:rsidR="00C97AFF">
        <w:t xml:space="preserve">2023 </w:t>
      </w:r>
      <w:r w:rsidR="003C0CA1">
        <w:t>CEPCI index</w:t>
      </w:r>
      <w:r w:rsidR="00C722C2">
        <w:t xml:space="preserve">. </w:t>
      </w:r>
      <w:r w:rsidR="00B271BF">
        <w:t xml:space="preserve">The price of </w:t>
      </w:r>
      <w:r w:rsidR="00B271BF" w:rsidRPr="0043306D">
        <w:rPr>
          <w:i/>
          <w:iCs/>
        </w:rPr>
        <w:t>M</w:t>
      </w:r>
      <w:r w:rsidR="00363DEC" w:rsidRPr="0043306D">
        <w:rPr>
          <w:i/>
          <w:iCs/>
        </w:rPr>
        <w:t>e</w:t>
      </w:r>
      <w:r w:rsidR="00B271BF" w:rsidRPr="0043306D">
        <w:rPr>
          <w:i/>
          <w:iCs/>
        </w:rPr>
        <w:t>OH</w:t>
      </w:r>
      <w:r w:rsidR="00B271BF">
        <w:t xml:space="preserve"> </w:t>
      </w:r>
      <w:r w:rsidR="00DA5786">
        <w:t>is sourced</w:t>
      </w:r>
      <w:r w:rsidR="00B271BF">
        <w:t xml:space="preserve"> from</w:t>
      </w:r>
      <w:r w:rsidR="00F72B00">
        <w:t xml:space="preserve"> Methanex</w:t>
      </w:r>
      <w:r w:rsidR="00DA5786">
        <w:t>’s</w:t>
      </w:r>
      <w:r w:rsidR="00F72B00">
        <w:t xml:space="preserve"> regional contracts</w:t>
      </w:r>
      <w:r w:rsidR="005A30F3">
        <w:t xml:space="preserve"> </w:t>
      </w:r>
      <w:r w:rsidR="00F80194">
        <w:t xml:space="preserve">to estimate the revenues of the plant. </w:t>
      </w:r>
      <w:r w:rsidR="000550FD" w:rsidRPr="000550FD">
        <w:t>The capital expenditures for both the feed compressor and the recycle compressor have been</w:t>
      </w:r>
      <w:r w:rsidR="000550FD">
        <w:t xml:space="preserve"> </w:t>
      </w:r>
      <w:r w:rsidR="00BC73BD">
        <w:t>neglected</w:t>
      </w:r>
      <w:r w:rsidR="000550FD">
        <w:t>. R</w:t>
      </w:r>
      <w:r w:rsidR="00F05FF5">
        <w:t>espectively, the first one’s cost doe</w:t>
      </w:r>
      <w:r w:rsidR="000130F7">
        <w:t>s not depend on the synthesis section</w:t>
      </w:r>
      <w:r w:rsidR="007D3C62">
        <w:t>, while the second one</w:t>
      </w:r>
      <w:r w:rsidR="003E0069">
        <w:t>’s cost</w:t>
      </w:r>
      <w:r w:rsidR="007D3C62">
        <w:t xml:space="preserve"> </w:t>
      </w:r>
      <w:r w:rsidR="00DE373F">
        <w:t>depend</w:t>
      </w:r>
      <w:r w:rsidR="003E0069">
        <w:t>s</w:t>
      </w:r>
      <w:r w:rsidR="00DE373F">
        <w:t xml:space="preserve"> on </w:t>
      </w:r>
      <w:r w:rsidR="006479B2">
        <w:t xml:space="preserve">fluid power, which </w:t>
      </w:r>
      <w:r w:rsidR="00253ABC">
        <w:t>d</w:t>
      </w:r>
      <w:r w:rsidR="00F74FC5">
        <w:t xml:space="preserve">oes not significantly change since the </w:t>
      </w:r>
      <w:r w:rsidR="009E2464">
        <w:t xml:space="preserve">compression ratio is limited. </w:t>
      </w:r>
      <w:r w:rsidR="00F24427" w:rsidRPr="00F24427">
        <w:t>It is assumed that the electric boiler's electricity consumption is the only operating expenditure in the system</w:t>
      </w:r>
      <w:r w:rsidR="00F24427">
        <w:t>.</w:t>
      </w:r>
    </w:p>
    <w:p w14:paraId="2A6CDDE1" w14:textId="5FC9FA64" w:rsidR="0068686E" w:rsidRDefault="0009492D" w:rsidP="0068686E">
      <w:pPr>
        <w:pStyle w:val="Els-2ndorder-head"/>
        <w:numPr>
          <w:ilvl w:val="2"/>
          <w:numId w:val="19"/>
        </w:numPr>
      </w:pPr>
      <w:r>
        <w:t>Syngas Preparation</w:t>
      </w:r>
    </w:p>
    <w:p w14:paraId="7E940120" w14:textId="65E660A2" w:rsidR="003200FD" w:rsidRPr="00DF6840" w:rsidRDefault="00D15D50" w:rsidP="00254694">
      <w:pPr>
        <w:pStyle w:val="Els-body-text"/>
        <w:spacing w:after="120"/>
      </w:pPr>
      <w:r>
        <w:t>Biogas-to-methanol</w:t>
      </w:r>
      <w:r w:rsidR="00030651">
        <w:t xml:space="preserve"> </w:t>
      </w:r>
      <w:r w:rsidR="00C22827">
        <w:t xml:space="preserve">simulated </w:t>
      </w:r>
      <w:r w:rsidR="00416326">
        <w:t>plants</w:t>
      </w:r>
      <w:r w:rsidR="00030651">
        <w:t xml:space="preserve"> </w:t>
      </w:r>
      <w:r w:rsidR="0061341E">
        <w:t>typically consist of</w:t>
      </w:r>
      <w:r w:rsidR="00030651">
        <w:t xml:space="preserve"> </w:t>
      </w:r>
      <w:r w:rsidR="0061341E">
        <w:t>four</w:t>
      </w:r>
      <w:r w:rsidR="00416326">
        <w:t xml:space="preserve"> main </w:t>
      </w:r>
      <w:r w:rsidR="00030651">
        <w:t>section</w:t>
      </w:r>
      <w:r w:rsidR="00416326">
        <w:t>s</w:t>
      </w:r>
      <w:r w:rsidR="00030651">
        <w:t>:</w:t>
      </w:r>
      <w:r w:rsidR="00C22827">
        <w:t xml:space="preserve"> capture of carbon dioxide, </w:t>
      </w:r>
      <w:r w:rsidR="00DF6840">
        <w:t xml:space="preserve">reforming of methane, methanol synthesis and purification. </w:t>
      </w:r>
      <w:r w:rsidR="00C22827">
        <w:t>This study concentrates on</w:t>
      </w:r>
      <w:r w:rsidR="00613B18">
        <w:t xml:space="preserve"> the </w:t>
      </w:r>
      <w:r w:rsidR="0034116B">
        <w:t xml:space="preserve">synthesis section of the plant. The feed stream to the synthesis section has been </w:t>
      </w:r>
      <w:r w:rsidR="00234907">
        <w:t xml:space="preserve">derived from </w:t>
      </w:r>
      <w:r w:rsidR="00E66255">
        <w:t>a</w:t>
      </w:r>
      <w:r w:rsidR="0055394C">
        <w:t xml:space="preserve"> rigorous simulation</w:t>
      </w:r>
      <w:r w:rsidR="00D55E23">
        <w:t xml:space="preserve"> </w:t>
      </w:r>
      <w:r w:rsidR="00234907">
        <w:t>in Aspen HYSYS</w:t>
      </w:r>
      <w:r w:rsidR="00E66255">
        <w:t xml:space="preserve"> of such </w:t>
      </w:r>
      <w:r>
        <w:t xml:space="preserve">a </w:t>
      </w:r>
      <w:r w:rsidR="00E66255">
        <w:t>process</w:t>
      </w:r>
      <w:r w:rsidR="00AC722C">
        <w:t>. The scale of the process is 1 MW</w:t>
      </w:r>
      <w:r w:rsidR="00426D30">
        <w:t xml:space="preserve"> equivalent of biogas</w:t>
      </w:r>
      <w:r w:rsidR="009E79C7">
        <w:t xml:space="preserve"> on Lower Heating Value</w:t>
      </w:r>
      <w:r w:rsidR="00A0189B">
        <w:t xml:space="preserve"> basis</w:t>
      </w:r>
      <w:r w:rsidR="00426D30">
        <w:t xml:space="preserve">, which </w:t>
      </w:r>
      <w:r>
        <w:t>corresponds</w:t>
      </w:r>
      <w:r w:rsidR="00E66255">
        <w:t xml:space="preserve"> to</w:t>
      </w:r>
      <w:r w:rsidR="00426D30">
        <w:t xml:space="preserve"> the average </w:t>
      </w:r>
      <w:r>
        <w:t>biogas</w:t>
      </w:r>
      <w:r w:rsidR="00E66255">
        <w:t xml:space="preserve"> capacity</w:t>
      </w:r>
      <w:r w:rsidR="00426D30">
        <w:t xml:space="preserve"> plant </w:t>
      </w:r>
      <w:r w:rsidR="00EF5E62">
        <w:t xml:space="preserve">in Italy. </w:t>
      </w:r>
      <w:r w:rsidR="00496CC4">
        <w:t xml:space="preserve">Table </w:t>
      </w:r>
      <w:r w:rsidR="00612CDC">
        <w:t>1</w:t>
      </w:r>
      <w:r w:rsidR="00496CC4">
        <w:t xml:space="preserve"> illustrates the feed stream’s parameters, which have been fixed</w:t>
      </w:r>
      <w:r w:rsidR="00BA695D">
        <w:t xml:space="preserve"> throughout the assessment and optimization procedures. </w:t>
      </w:r>
    </w:p>
    <w:p w14:paraId="57821508" w14:textId="790C0C99" w:rsidR="00E45934" w:rsidRDefault="00476D52" w:rsidP="00254694">
      <w:pPr>
        <w:pStyle w:val="Els-body-text"/>
        <w:spacing w:after="120"/>
      </w:pPr>
      <w:r>
        <w:t xml:space="preserve">Table </w:t>
      </w:r>
      <w:r w:rsidR="00612CDC">
        <w:t>1</w:t>
      </w:r>
      <w:r>
        <w:t xml:space="preserve">. </w:t>
      </w:r>
      <w:r w:rsidR="00A72ED2">
        <w:t xml:space="preserve">a) </w:t>
      </w:r>
      <w:r w:rsidR="00AA02B1">
        <w:t>Flow and parameters</w:t>
      </w:r>
      <w:r w:rsidR="00B91DDA">
        <w:t xml:space="preserve"> and b) </w:t>
      </w:r>
      <w:r w:rsidR="00122DC5">
        <w:t>mass fractions</w:t>
      </w:r>
      <w:r w:rsidR="00AA02B1">
        <w:t xml:space="preserve"> of syngas to synthesis section </w:t>
      </w:r>
    </w:p>
    <w:tbl>
      <w:tblPr>
        <w:tblStyle w:val="TableGrid"/>
        <w:tblW w:w="7077" w:type="dxa"/>
        <w:jc w:val="center"/>
        <w:tblLook w:val="04A0" w:firstRow="1" w:lastRow="0" w:firstColumn="1" w:lastColumn="0" w:noHBand="0" w:noVBand="1"/>
      </w:tblPr>
      <w:tblGrid>
        <w:gridCol w:w="1843"/>
        <w:gridCol w:w="1843"/>
        <w:gridCol w:w="353"/>
        <w:gridCol w:w="1503"/>
        <w:gridCol w:w="1535"/>
      </w:tblGrid>
      <w:tr w:rsidR="00FE133A" w14:paraId="24AA314F" w14:textId="77777777" w:rsidTr="001B5069">
        <w:trPr>
          <w:jc w:val="center"/>
        </w:trPr>
        <w:tc>
          <w:tcPr>
            <w:tcW w:w="3686" w:type="dxa"/>
            <w:gridSpan w:val="2"/>
            <w:tcBorders>
              <w:left w:val="nil"/>
              <w:bottom w:val="single" w:sz="4" w:space="0" w:color="auto"/>
              <w:right w:val="nil"/>
            </w:tcBorders>
          </w:tcPr>
          <w:p w14:paraId="34523F05" w14:textId="4DE63DB4" w:rsidR="00FE133A" w:rsidRDefault="00FE133A" w:rsidP="00476D52">
            <w:pPr>
              <w:pStyle w:val="Els-body-text"/>
              <w:jc w:val="center"/>
            </w:pPr>
            <w:r>
              <w:t>Operative conditions</w:t>
            </w:r>
          </w:p>
        </w:tc>
        <w:tc>
          <w:tcPr>
            <w:tcW w:w="353" w:type="dxa"/>
            <w:tcBorders>
              <w:top w:val="nil"/>
              <w:left w:val="nil"/>
              <w:bottom w:val="nil"/>
              <w:right w:val="nil"/>
            </w:tcBorders>
          </w:tcPr>
          <w:p w14:paraId="52976B59" w14:textId="77777777" w:rsidR="00FE133A" w:rsidRDefault="00FE133A" w:rsidP="00476D52">
            <w:pPr>
              <w:pStyle w:val="Els-body-text"/>
              <w:jc w:val="center"/>
            </w:pPr>
          </w:p>
        </w:tc>
        <w:tc>
          <w:tcPr>
            <w:tcW w:w="3038" w:type="dxa"/>
            <w:gridSpan w:val="2"/>
            <w:tcBorders>
              <w:left w:val="nil"/>
              <w:bottom w:val="single" w:sz="4" w:space="0" w:color="auto"/>
              <w:right w:val="nil"/>
            </w:tcBorders>
          </w:tcPr>
          <w:p w14:paraId="4102D4CA" w14:textId="5D496F93" w:rsidR="00FE133A" w:rsidRDefault="00FE133A" w:rsidP="004D205B">
            <w:pPr>
              <w:pStyle w:val="Els-body-text"/>
              <w:jc w:val="center"/>
            </w:pPr>
            <w:r>
              <w:t>Mass Fraction</w:t>
            </w:r>
          </w:p>
        </w:tc>
      </w:tr>
      <w:tr w:rsidR="00872884" w14:paraId="227C1B28" w14:textId="77777777" w:rsidTr="00FE133A">
        <w:trPr>
          <w:trHeight w:val="60"/>
          <w:jc w:val="center"/>
        </w:trPr>
        <w:tc>
          <w:tcPr>
            <w:tcW w:w="1843" w:type="dxa"/>
            <w:tcBorders>
              <w:top w:val="single" w:sz="4" w:space="0" w:color="auto"/>
              <w:left w:val="nil"/>
              <w:bottom w:val="nil"/>
              <w:right w:val="nil"/>
            </w:tcBorders>
          </w:tcPr>
          <w:p w14:paraId="3E6DACBF" w14:textId="69FFC967" w:rsidR="00BE0B22" w:rsidRDefault="00BE0B22" w:rsidP="00BE0B22">
            <w:pPr>
              <w:pStyle w:val="Els-body-text"/>
              <w:jc w:val="center"/>
            </w:pPr>
            <w:r>
              <w:t xml:space="preserve">Mass Flow </w:t>
            </w:r>
          </w:p>
        </w:tc>
        <w:tc>
          <w:tcPr>
            <w:tcW w:w="1843" w:type="dxa"/>
            <w:tcBorders>
              <w:top w:val="single" w:sz="4" w:space="0" w:color="auto"/>
              <w:left w:val="nil"/>
              <w:bottom w:val="nil"/>
              <w:right w:val="nil"/>
            </w:tcBorders>
          </w:tcPr>
          <w:p w14:paraId="1088FB99" w14:textId="14DE6124" w:rsidR="00BE0B22" w:rsidRDefault="00BE0B22" w:rsidP="00BE0B22">
            <w:pPr>
              <w:pStyle w:val="Els-body-text"/>
              <w:jc w:val="center"/>
            </w:pPr>
            <w:r>
              <w:t>726.3 [kg/h]</w:t>
            </w:r>
          </w:p>
        </w:tc>
        <w:tc>
          <w:tcPr>
            <w:tcW w:w="353" w:type="dxa"/>
            <w:tcBorders>
              <w:top w:val="nil"/>
              <w:left w:val="nil"/>
              <w:bottom w:val="nil"/>
              <w:right w:val="nil"/>
            </w:tcBorders>
          </w:tcPr>
          <w:p w14:paraId="7228D8BF" w14:textId="77777777" w:rsidR="00BE0B22" w:rsidRDefault="00BE0B22" w:rsidP="00BE0B22">
            <w:pPr>
              <w:pStyle w:val="Els-body-text"/>
              <w:jc w:val="center"/>
            </w:pPr>
          </w:p>
        </w:tc>
        <w:tc>
          <w:tcPr>
            <w:tcW w:w="1503" w:type="dxa"/>
            <w:tcBorders>
              <w:top w:val="single" w:sz="4" w:space="0" w:color="auto"/>
              <w:left w:val="nil"/>
              <w:bottom w:val="nil"/>
              <w:right w:val="nil"/>
            </w:tcBorders>
          </w:tcPr>
          <w:p w14:paraId="2410121F" w14:textId="0EFE213F" w:rsidR="00BE0B22" w:rsidRPr="00C86785" w:rsidRDefault="007508ED" w:rsidP="00A003FD">
            <w:pPr>
              <w:pStyle w:val="Els-body-text"/>
              <w:rPr>
                <w:i/>
              </w:rPr>
            </w:pPr>
            <m:oMathPara>
              <m:oMath>
                <m:sSub>
                  <m:sSubPr>
                    <m:ctrlPr>
                      <w:rPr>
                        <w:rFonts w:ascii="Cambria Math" w:hAnsi="Cambria Math"/>
                        <w:i/>
                      </w:rPr>
                    </m:ctrlPr>
                  </m:sSubPr>
                  <m:e>
                    <m:r>
                      <w:rPr>
                        <w:rFonts w:ascii="Cambria Math" w:hAnsi="Cambria Math"/>
                      </w:rPr>
                      <m:t>ω</m:t>
                    </m:r>
                  </m:e>
                  <m:sub>
                    <m:r>
                      <w:rPr>
                        <w:rFonts w:ascii="Cambria Math" w:hAnsi="Cambria Math"/>
                      </w:rPr>
                      <m:t>CO</m:t>
                    </m:r>
                  </m:sub>
                </m:sSub>
              </m:oMath>
            </m:oMathPara>
          </w:p>
        </w:tc>
        <w:tc>
          <w:tcPr>
            <w:tcW w:w="1535" w:type="dxa"/>
            <w:tcBorders>
              <w:top w:val="single" w:sz="4" w:space="0" w:color="auto"/>
              <w:left w:val="nil"/>
              <w:bottom w:val="nil"/>
              <w:right w:val="nil"/>
            </w:tcBorders>
          </w:tcPr>
          <w:p w14:paraId="1793F71F" w14:textId="6EC9B152" w:rsidR="00BE0B22" w:rsidRDefault="00BE0B22" w:rsidP="004D205B">
            <w:pPr>
              <w:pStyle w:val="Els-body-text"/>
              <w:jc w:val="center"/>
            </w:pPr>
            <w:r>
              <w:t>0.4662</w:t>
            </w:r>
          </w:p>
        </w:tc>
      </w:tr>
      <w:tr w:rsidR="00872884" w14:paraId="55938F2F" w14:textId="77777777" w:rsidTr="008A3490">
        <w:trPr>
          <w:trHeight w:val="328"/>
          <w:jc w:val="center"/>
        </w:trPr>
        <w:tc>
          <w:tcPr>
            <w:tcW w:w="1843" w:type="dxa"/>
            <w:tcBorders>
              <w:top w:val="nil"/>
              <w:left w:val="nil"/>
              <w:bottom w:val="nil"/>
              <w:right w:val="nil"/>
            </w:tcBorders>
          </w:tcPr>
          <w:p w14:paraId="30327B11" w14:textId="69E05213" w:rsidR="00BE0B22" w:rsidRDefault="00BE0B22" w:rsidP="0070376D">
            <w:pPr>
              <w:pStyle w:val="Els-body-text"/>
              <w:jc w:val="center"/>
            </w:pPr>
            <w:r>
              <w:t>Volumetric</w:t>
            </w:r>
            <w:r w:rsidR="0070376D">
              <w:t xml:space="preserve"> F</w:t>
            </w:r>
            <w:r>
              <w:t>low</w:t>
            </w:r>
          </w:p>
        </w:tc>
        <w:tc>
          <w:tcPr>
            <w:tcW w:w="1843" w:type="dxa"/>
            <w:tcBorders>
              <w:top w:val="nil"/>
              <w:left w:val="nil"/>
              <w:bottom w:val="nil"/>
              <w:right w:val="nil"/>
            </w:tcBorders>
          </w:tcPr>
          <w:p w14:paraId="1BA80D13" w14:textId="4BD40205" w:rsidR="00BE0B22" w:rsidRDefault="00BE0B22" w:rsidP="0070376D">
            <w:pPr>
              <w:pStyle w:val="Els-body-text"/>
              <w:jc w:val="center"/>
            </w:pPr>
            <w:r>
              <w:t>1433</w:t>
            </w:r>
            <w:r w:rsidR="0070376D">
              <w:t xml:space="preserve"> </w:t>
            </w:r>
            <w:r>
              <w:t>[STD_m</w:t>
            </w:r>
            <w:r>
              <w:rPr>
                <w:vertAlign w:val="superscript"/>
              </w:rPr>
              <w:t>3</w:t>
            </w:r>
            <w:r>
              <w:t>/h]</w:t>
            </w:r>
          </w:p>
        </w:tc>
        <w:tc>
          <w:tcPr>
            <w:tcW w:w="353" w:type="dxa"/>
            <w:tcBorders>
              <w:top w:val="nil"/>
              <w:left w:val="nil"/>
              <w:bottom w:val="nil"/>
              <w:right w:val="nil"/>
            </w:tcBorders>
          </w:tcPr>
          <w:p w14:paraId="0BD41A8B" w14:textId="77777777" w:rsidR="00BE0B22" w:rsidRDefault="00BE0B22" w:rsidP="00BE0B22">
            <w:pPr>
              <w:pStyle w:val="Els-body-text"/>
              <w:jc w:val="center"/>
            </w:pPr>
          </w:p>
        </w:tc>
        <w:tc>
          <w:tcPr>
            <w:tcW w:w="1503" w:type="dxa"/>
            <w:tcBorders>
              <w:top w:val="nil"/>
              <w:left w:val="nil"/>
              <w:bottom w:val="nil"/>
              <w:right w:val="nil"/>
            </w:tcBorders>
          </w:tcPr>
          <w:p w14:paraId="190A59D6" w14:textId="21AF6A53" w:rsidR="00872884" w:rsidRPr="00C86785" w:rsidRDefault="007508ED" w:rsidP="00A003FD">
            <w:pPr>
              <w:jc w:val="both"/>
              <w:rPr>
                <w:i/>
                <w:lang w:val="en-US"/>
              </w:rPr>
            </w:pPr>
            <m:oMathPara>
              <m:oMath>
                <m:sSub>
                  <m:sSubPr>
                    <m:ctrlPr>
                      <w:rPr>
                        <w:rFonts w:ascii="Cambria Math" w:hAnsi="Cambria Math"/>
                        <w:i/>
                      </w:rPr>
                    </m:ctrlPr>
                  </m:sSubPr>
                  <m:e>
                    <m:r>
                      <w:rPr>
                        <w:rFonts w:ascii="Cambria Math" w:hAnsi="Cambria Math"/>
                      </w:rPr>
                      <m:t>ω</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oMath>
            </m:oMathPara>
          </w:p>
        </w:tc>
        <w:tc>
          <w:tcPr>
            <w:tcW w:w="1535" w:type="dxa"/>
            <w:tcBorders>
              <w:top w:val="nil"/>
              <w:left w:val="nil"/>
              <w:bottom w:val="nil"/>
              <w:right w:val="nil"/>
            </w:tcBorders>
          </w:tcPr>
          <w:p w14:paraId="3D25289B" w14:textId="64095616" w:rsidR="00BE0B22" w:rsidRPr="005E6F33" w:rsidRDefault="00BE0B22" w:rsidP="004D205B">
            <w:pPr>
              <w:pStyle w:val="Els-body-text"/>
              <w:jc w:val="center"/>
            </w:pPr>
            <w:r>
              <w:t>0.1131</w:t>
            </w:r>
          </w:p>
        </w:tc>
      </w:tr>
      <w:tr w:rsidR="0070376D" w14:paraId="5868355E" w14:textId="77777777" w:rsidTr="00FE133A">
        <w:trPr>
          <w:jc w:val="center"/>
        </w:trPr>
        <w:tc>
          <w:tcPr>
            <w:tcW w:w="1843" w:type="dxa"/>
            <w:tcBorders>
              <w:top w:val="nil"/>
              <w:left w:val="nil"/>
              <w:bottom w:val="nil"/>
              <w:right w:val="nil"/>
            </w:tcBorders>
          </w:tcPr>
          <w:p w14:paraId="18E8E5DA" w14:textId="2B1CC88A" w:rsidR="00BE0B22" w:rsidRDefault="00BE0B22" w:rsidP="00BE0B22">
            <w:pPr>
              <w:pStyle w:val="Els-body-text"/>
              <w:jc w:val="center"/>
            </w:pPr>
            <w:r>
              <w:t>Temperature</w:t>
            </w:r>
          </w:p>
        </w:tc>
        <w:tc>
          <w:tcPr>
            <w:tcW w:w="1843" w:type="dxa"/>
            <w:tcBorders>
              <w:top w:val="nil"/>
              <w:left w:val="nil"/>
              <w:bottom w:val="nil"/>
              <w:right w:val="nil"/>
            </w:tcBorders>
          </w:tcPr>
          <w:p w14:paraId="39C6A5A0" w14:textId="6A983143" w:rsidR="00BE0B22" w:rsidRDefault="00BE0B22" w:rsidP="00BE0B22">
            <w:pPr>
              <w:pStyle w:val="Els-body-text"/>
              <w:jc w:val="center"/>
            </w:pPr>
            <w:r>
              <w:t>25 [°C]</w:t>
            </w:r>
          </w:p>
        </w:tc>
        <w:tc>
          <w:tcPr>
            <w:tcW w:w="353" w:type="dxa"/>
            <w:tcBorders>
              <w:top w:val="nil"/>
              <w:left w:val="nil"/>
              <w:bottom w:val="nil"/>
              <w:right w:val="nil"/>
            </w:tcBorders>
          </w:tcPr>
          <w:p w14:paraId="6A0DDBB6" w14:textId="77777777" w:rsidR="00BE0B22" w:rsidRDefault="00BE0B22" w:rsidP="00BE0B22">
            <w:pPr>
              <w:pStyle w:val="Els-body-text"/>
              <w:jc w:val="center"/>
            </w:pPr>
          </w:p>
        </w:tc>
        <w:tc>
          <w:tcPr>
            <w:tcW w:w="1503" w:type="dxa"/>
            <w:tcBorders>
              <w:top w:val="nil"/>
              <w:left w:val="nil"/>
              <w:bottom w:val="nil"/>
              <w:right w:val="nil"/>
            </w:tcBorders>
          </w:tcPr>
          <w:p w14:paraId="14CCC544" w14:textId="59BA8307" w:rsidR="00BE0B22" w:rsidRPr="00C86785" w:rsidRDefault="007508ED" w:rsidP="00A003FD">
            <w:pPr>
              <w:jc w:val="both"/>
              <w:rPr>
                <w:i/>
              </w:rPr>
            </w:pPr>
            <m:oMathPara>
              <m:oMath>
                <m:sSub>
                  <m:sSubPr>
                    <m:ctrlPr>
                      <w:rPr>
                        <w:rFonts w:ascii="Cambria Math" w:hAnsi="Cambria Math"/>
                        <w:i/>
                      </w:rPr>
                    </m:ctrlPr>
                  </m:sSubPr>
                  <m:e>
                    <m:r>
                      <w:rPr>
                        <w:rFonts w:ascii="Cambria Math" w:hAnsi="Cambria Math"/>
                      </w:rPr>
                      <m:t>ω</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oMath>
            </m:oMathPara>
          </w:p>
        </w:tc>
        <w:tc>
          <w:tcPr>
            <w:tcW w:w="1535" w:type="dxa"/>
            <w:tcBorders>
              <w:top w:val="nil"/>
              <w:left w:val="nil"/>
              <w:bottom w:val="nil"/>
              <w:right w:val="nil"/>
            </w:tcBorders>
          </w:tcPr>
          <w:p w14:paraId="0EB888E3" w14:textId="56F8FDF4" w:rsidR="00BE0B22" w:rsidRDefault="00BE0B22" w:rsidP="004D205B">
            <w:pPr>
              <w:pStyle w:val="Els-body-text"/>
              <w:jc w:val="center"/>
            </w:pPr>
            <w:r>
              <w:t>0.391</w:t>
            </w:r>
          </w:p>
        </w:tc>
      </w:tr>
      <w:tr w:rsidR="0070376D" w14:paraId="7643425B" w14:textId="77777777" w:rsidTr="00FE133A">
        <w:trPr>
          <w:jc w:val="center"/>
        </w:trPr>
        <w:tc>
          <w:tcPr>
            <w:tcW w:w="1843" w:type="dxa"/>
            <w:tcBorders>
              <w:top w:val="nil"/>
              <w:left w:val="nil"/>
              <w:bottom w:val="nil"/>
              <w:right w:val="nil"/>
            </w:tcBorders>
          </w:tcPr>
          <w:p w14:paraId="30D44D3D" w14:textId="4BD3A573" w:rsidR="00BE0B22" w:rsidRDefault="00BE0B22" w:rsidP="00BE0B22">
            <w:pPr>
              <w:pStyle w:val="Els-body-text"/>
              <w:jc w:val="center"/>
            </w:pPr>
            <w:r>
              <w:t>Pressure</w:t>
            </w:r>
          </w:p>
        </w:tc>
        <w:tc>
          <w:tcPr>
            <w:tcW w:w="1843" w:type="dxa"/>
            <w:tcBorders>
              <w:top w:val="nil"/>
              <w:left w:val="nil"/>
              <w:bottom w:val="nil"/>
              <w:right w:val="nil"/>
            </w:tcBorders>
          </w:tcPr>
          <w:p w14:paraId="5BA3DAD3" w14:textId="76E575DB" w:rsidR="00BE0B22" w:rsidRDefault="00BE0B22" w:rsidP="00BE0B22">
            <w:pPr>
              <w:pStyle w:val="Els-body-text"/>
              <w:jc w:val="center"/>
            </w:pPr>
            <w:r>
              <w:t>61 [bar]</w:t>
            </w:r>
          </w:p>
        </w:tc>
        <w:tc>
          <w:tcPr>
            <w:tcW w:w="353" w:type="dxa"/>
            <w:tcBorders>
              <w:top w:val="nil"/>
              <w:left w:val="nil"/>
              <w:bottom w:val="nil"/>
              <w:right w:val="nil"/>
            </w:tcBorders>
          </w:tcPr>
          <w:p w14:paraId="7DB3BC98" w14:textId="77777777" w:rsidR="00BE0B22" w:rsidRDefault="00BE0B22" w:rsidP="00BE0B22">
            <w:pPr>
              <w:pStyle w:val="Els-body-text"/>
            </w:pPr>
          </w:p>
        </w:tc>
        <w:tc>
          <w:tcPr>
            <w:tcW w:w="1503" w:type="dxa"/>
            <w:tcBorders>
              <w:top w:val="nil"/>
              <w:left w:val="nil"/>
              <w:bottom w:val="nil"/>
              <w:right w:val="nil"/>
            </w:tcBorders>
          </w:tcPr>
          <w:p w14:paraId="380EBD4D" w14:textId="6950FE56" w:rsidR="00BE0B22" w:rsidRPr="00C86785" w:rsidRDefault="007508ED" w:rsidP="00A003FD">
            <w:pPr>
              <w:pStyle w:val="Els-body-text"/>
              <w:rPr>
                <w:i/>
              </w:rPr>
            </w:pPr>
            <m:oMathPara>
              <m:oMath>
                <m:sSub>
                  <m:sSubPr>
                    <m:ctrlPr>
                      <w:rPr>
                        <w:rFonts w:ascii="Cambria Math" w:hAnsi="Cambria Math"/>
                        <w:i/>
                      </w:rPr>
                    </m:ctrlPr>
                  </m:sSubPr>
                  <m:e>
                    <m:r>
                      <w:rPr>
                        <w:rFonts w:ascii="Cambria Math" w:hAnsi="Cambria Math"/>
                      </w:rPr>
                      <m:t>ω</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oMath>
            </m:oMathPara>
          </w:p>
        </w:tc>
        <w:tc>
          <w:tcPr>
            <w:tcW w:w="1535" w:type="dxa"/>
            <w:tcBorders>
              <w:top w:val="nil"/>
              <w:left w:val="nil"/>
              <w:bottom w:val="nil"/>
              <w:right w:val="nil"/>
            </w:tcBorders>
          </w:tcPr>
          <w:p w14:paraId="2880F4FC" w14:textId="3BF06AB1" w:rsidR="00BE0B22" w:rsidRDefault="00BE0B22" w:rsidP="004D205B">
            <w:pPr>
              <w:pStyle w:val="Els-body-text"/>
              <w:jc w:val="center"/>
            </w:pPr>
            <w:r>
              <w:t>0.0089</w:t>
            </w:r>
          </w:p>
        </w:tc>
      </w:tr>
      <w:tr w:rsidR="0070376D" w14:paraId="026BE7A6" w14:textId="77777777" w:rsidTr="00FE133A">
        <w:trPr>
          <w:jc w:val="center"/>
        </w:trPr>
        <w:tc>
          <w:tcPr>
            <w:tcW w:w="1843" w:type="dxa"/>
            <w:tcBorders>
              <w:top w:val="nil"/>
              <w:left w:val="nil"/>
              <w:right w:val="nil"/>
            </w:tcBorders>
          </w:tcPr>
          <w:p w14:paraId="0D55A2F5" w14:textId="3C831CD0" w:rsidR="00BE0B22" w:rsidRDefault="00BE0B22" w:rsidP="00BE0B22">
            <w:pPr>
              <w:pStyle w:val="Els-body-text"/>
              <w:jc w:val="center"/>
            </w:pPr>
            <w:r>
              <w:t>SN</w:t>
            </w:r>
          </w:p>
        </w:tc>
        <w:tc>
          <w:tcPr>
            <w:tcW w:w="1843" w:type="dxa"/>
            <w:tcBorders>
              <w:top w:val="nil"/>
              <w:left w:val="nil"/>
              <w:right w:val="nil"/>
            </w:tcBorders>
          </w:tcPr>
          <w:p w14:paraId="29595B42" w14:textId="425E6940" w:rsidR="00BE0B22" w:rsidRDefault="00BE0B22" w:rsidP="00BE0B22">
            <w:pPr>
              <w:pStyle w:val="Els-body-text"/>
              <w:jc w:val="center"/>
            </w:pPr>
            <w:r>
              <w:t>1.85</w:t>
            </w:r>
          </w:p>
        </w:tc>
        <w:tc>
          <w:tcPr>
            <w:tcW w:w="353" w:type="dxa"/>
            <w:tcBorders>
              <w:top w:val="nil"/>
              <w:left w:val="nil"/>
              <w:bottom w:val="nil"/>
              <w:right w:val="nil"/>
            </w:tcBorders>
          </w:tcPr>
          <w:p w14:paraId="55CB6215" w14:textId="77777777" w:rsidR="00BE0B22" w:rsidRDefault="00BE0B22" w:rsidP="00BE0B22">
            <w:pPr>
              <w:pStyle w:val="Els-body-text"/>
              <w:jc w:val="center"/>
            </w:pPr>
          </w:p>
        </w:tc>
        <w:tc>
          <w:tcPr>
            <w:tcW w:w="1503" w:type="dxa"/>
            <w:tcBorders>
              <w:top w:val="nil"/>
              <w:left w:val="nil"/>
              <w:right w:val="nil"/>
            </w:tcBorders>
          </w:tcPr>
          <w:p w14:paraId="640ECD0A" w14:textId="5106E8BB" w:rsidR="00BE0B22" w:rsidRPr="00C86785" w:rsidRDefault="007508ED" w:rsidP="00A003FD">
            <w:pPr>
              <w:pStyle w:val="Els-body-text"/>
              <w:rPr>
                <w:i/>
              </w:rPr>
            </w:pPr>
            <m:oMathPara>
              <m:oMath>
                <m:sSub>
                  <m:sSubPr>
                    <m:ctrlPr>
                      <w:rPr>
                        <w:rFonts w:ascii="Cambria Math" w:hAnsi="Cambria Math"/>
                        <w:i/>
                      </w:rPr>
                    </m:ctrlPr>
                  </m:sSubPr>
                  <m:e>
                    <m:r>
                      <w:rPr>
                        <w:rFonts w:ascii="Cambria Math" w:hAnsi="Cambria Math"/>
                      </w:rPr>
                      <m:t>ω</m:t>
                    </m:r>
                  </m:e>
                  <m: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sub>
                </m:sSub>
              </m:oMath>
            </m:oMathPara>
          </w:p>
        </w:tc>
        <w:tc>
          <w:tcPr>
            <w:tcW w:w="1535" w:type="dxa"/>
            <w:tcBorders>
              <w:top w:val="nil"/>
              <w:left w:val="nil"/>
              <w:right w:val="nil"/>
            </w:tcBorders>
          </w:tcPr>
          <w:p w14:paraId="26DCDF36" w14:textId="70222CB8" w:rsidR="00BE0B22" w:rsidRDefault="00BE0B22" w:rsidP="004D205B">
            <w:pPr>
              <w:pStyle w:val="Els-body-text"/>
              <w:jc w:val="center"/>
            </w:pPr>
            <w:r>
              <w:t>0.0208</w:t>
            </w:r>
          </w:p>
        </w:tc>
      </w:tr>
    </w:tbl>
    <w:p w14:paraId="5BD0C74E" w14:textId="77777777" w:rsidR="00DE3531" w:rsidRDefault="00DE3531" w:rsidP="003F65DE">
      <w:pPr>
        <w:pStyle w:val="Els-2ndorder-head"/>
        <w:numPr>
          <w:ilvl w:val="0"/>
          <w:numId w:val="0"/>
        </w:numPr>
      </w:pPr>
    </w:p>
    <w:p w14:paraId="1C803B25" w14:textId="58ADBE90" w:rsidR="009000AF" w:rsidRDefault="00E5475C" w:rsidP="00254694">
      <w:pPr>
        <w:pStyle w:val="Els-2ndorder-head"/>
        <w:numPr>
          <w:ilvl w:val="0"/>
          <w:numId w:val="0"/>
        </w:numPr>
        <w:spacing w:after="120"/>
      </w:pPr>
      <w:r>
        <w:rPr>
          <w:noProof/>
        </w:rPr>
        <w:drawing>
          <wp:inline distT="0" distB="0" distL="0" distR="0" wp14:anchorId="1C74846A" wp14:editId="72A8D7CE">
            <wp:extent cx="4499610" cy="1577340"/>
            <wp:effectExtent l="0" t="0" r="0" b="381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1577340"/>
                    </a:xfrm>
                    <a:prstGeom prst="rect">
                      <a:avLst/>
                    </a:prstGeom>
                  </pic:spPr>
                </pic:pic>
              </a:graphicData>
            </a:graphic>
          </wp:inline>
        </w:drawing>
      </w:r>
    </w:p>
    <w:p w14:paraId="7E9D3EA8" w14:textId="0AA2161D" w:rsidR="009D4E55" w:rsidRPr="009000AF" w:rsidRDefault="009000AF" w:rsidP="00122DC5">
      <w:pPr>
        <w:pStyle w:val="Els-body-text"/>
        <w:spacing w:after="120"/>
        <w:jc w:val="left"/>
      </w:pPr>
      <w:r>
        <w:t xml:space="preserve">Figure </w:t>
      </w:r>
      <w:r w:rsidR="00612CDC">
        <w:t>1</w:t>
      </w:r>
      <w:r>
        <w:t xml:space="preserve">. </w:t>
      </w:r>
      <w:r w:rsidR="004A3FB4">
        <w:t>Process Flow Diagram</w:t>
      </w:r>
      <w:r w:rsidR="00043149">
        <w:t xml:space="preserve"> of the synthesis section</w:t>
      </w:r>
    </w:p>
    <w:p w14:paraId="2E26456D" w14:textId="45692492" w:rsidR="00B2263E" w:rsidRDefault="00D15D50" w:rsidP="00254694">
      <w:pPr>
        <w:pStyle w:val="Els-2ndorder-head"/>
        <w:numPr>
          <w:ilvl w:val="2"/>
          <w:numId w:val="19"/>
        </w:numPr>
        <w:spacing w:before="0"/>
      </w:pPr>
      <w:r>
        <w:t>Modeling of the synthesis section</w:t>
      </w:r>
    </w:p>
    <w:p w14:paraId="2DD586FF" w14:textId="2C6922FB" w:rsidR="00BA7115" w:rsidRDefault="009D4E55" w:rsidP="00BA7115">
      <w:pPr>
        <w:pStyle w:val="Els-body-text"/>
      </w:pPr>
      <w:r>
        <w:t xml:space="preserve">Figure </w:t>
      </w:r>
      <w:r w:rsidR="00612CDC">
        <w:t>1</w:t>
      </w:r>
      <w:r>
        <w:t xml:space="preserve"> </w:t>
      </w:r>
      <w:r w:rsidR="00570FD3">
        <w:t>represents</w:t>
      </w:r>
      <w:r w:rsidR="002C1378">
        <w:t xml:space="preserve"> </w:t>
      </w:r>
      <w:r w:rsidR="001E58AD">
        <w:t xml:space="preserve">the </w:t>
      </w:r>
      <w:r w:rsidR="005C4840">
        <w:t xml:space="preserve">synthesis section </w:t>
      </w:r>
      <w:r w:rsidR="00200A63">
        <w:t xml:space="preserve">as </w:t>
      </w:r>
      <w:r w:rsidR="005C4840">
        <w:t xml:space="preserve">modeled in this </w:t>
      </w:r>
      <w:r w:rsidR="001E58AD">
        <w:t xml:space="preserve">study. The feed gas </w:t>
      </w:r>
      <w:r w:rsidR="0087366D">
        <w:t>combines with unreacted gas from the last separator</w:t>
      </w:r>
      <w:r w:rsidR="001A40CC">
        <w:t xml:space="preserve"> and </w:t>
      </w:r>
      <w:r w:rsidR="0066110F">
        <w:t>is fed to the synthesis</w:t>
      </w:r>
      <w:r w:rsidR="001E58AD">
        <w:t xml:space="preserve">. </w:t>
      </w:r>
      <w:r w:rsidR="0066110F">
        <w:t>Subsequently</w:t>
      </w:r>
      <w:r w:rsidR="001E58AD">
        <w:t>,</w:t>
      </w:r>
      <w:r w:rsidR="005F4EBF">
        <w:t xml:space="preserve"> the </w:t>
      </w:r>
      <w:r w:rsidR="0045615A">
        <w:t xml:space="preserve">reagent mixture, </w:t>
      </w:r>
      <w:r w:rsidR="00444689">
        <w:t xml:space="preserve">primarily </w:t>
      </w:r>
      <w:r w:rsidR="0045615A">
        <w:t xml:space="preserve">composed </w:t>
      </w:r>
      <w:r w:rsidR="00FF760A">
        <w:t>of</w:t>
      </w:r>
      <w:r w:rsidR="0045615A">
        <w:t xml:space="preserve"> </w:t>
      </w:r>
      <m:oMath>
        <m:r>
          <w:rPr>
            <w:rFonts w:ascii="Cambria Math" w:hAnsi="Cambria Math"/>
          </w:rPr>
          <m:t>CO</m:t>
        </m:r>
      </m:oMath>
      <w:r w:rsidR="0045615A">
        <w:t xml:space="preserve">, </w:t>
      </w: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oMath>
      <w:r w:rsidR="0045615A">
        <w:t xml:space="preserve"> and </w:t>
      </w:r>
      <m:oMath>
        <m:sSub>
          <m:sSubPr>
            <m:ctrlPr>
              <w:rPr>
                <w:rFonts w:ascii="Cambria Math" w:hAnsi="Cambria Math"/>
                <w:i/>
              </w:rPr>
            </m:ctrlPr>
          </m:sSubPr>
          <m:e>
            <m:r>
              <w:rPr>
                <w:rFonts w:ascii="Cambria Math" w:hAnsi="Cambria Math"/>
              </w:rPr>
              <m:t>H</m:t>
            </m:r>
          </m:e>
          <m:sub>
            <m:r>
              <w:rPr>
                <w:rFonts w:ascii="Cambria Math" w:hAnsi="Cambria Math"/>
              </w:rPr>
              <m:t>2</m:t>
            </m:r>
          </m:sub>
        </m:sSub>
      </m:oMath>
      <w:r w:rsidR="0045615A">
        <w:t xml:space="preserve">, passes through </w:t>
      </w:r>
      <w:r w:rsidR="001233E1">
        <w:t xml:space="preserve">the pre-heater and the </w:t>
      </w:r>
      <w:r w:rsidR="004D36A2">
        <w:t>heater</w:t>
      </w:r>
      <w:r w:rsidR="0053769F">
        <w:t xml:space="preserve"> to reach the reactor inlet temperature. </w:t>
      </w:r>
      <w:r w:rsidR="003B0693">
        <w:t>Then</w:t>
      </w:r>
      <w:r w:rsidR="0053769F">
        <w:t xml:space="preserve">, it </w:t>
      </w:r>
      <w:r w:rsidR="003B0693">
        <w:t xml:space="preserve">enters </w:t>
      </w:r>
      <w:r w:rsidR="0053769F">
        <w:t>the react</w:t>
      </w:r>
      <w:r w:rsidR="00C15F40">
        <w:t>ive unit</w:t>
      </w:r>
      <w:r w:rsidR="0044377B">
        <w:t xml:space="preserve"> </w:t>
      </w:r>
      <w:r w:rsidR="00602024">
        <w:t>producing</w:t>
      </w:r>
      <w:r w:rsidR="0044377B">
        <w:t xml:space="preserve"> </w:t>
      </w:r>
      <w:r w:rsidR="000D1847" w:rsidRPr="0043306D">
        <w:rPr>
          <w:i/>
          <w:iCs/>
        </w:rPr>
        <w:t>MeOH</w:t>
      </w:r>
      <w:r w:rsidR="0044377B">
        <w:t xml:space="preserve">. </w:t>
      </w:r>
      <w:r w:rsidR="00C15F40">
        <w:t>The resulting mixture</w:t>
      </w:r>
      <w:r w:rsidR="005A67C7">
        <w:t xml:space="preserve"> is cooled down to </w:t>
      </w:r>
      <w:r w:rsidR="0051111C">
        <w:t>extract</w:t>
      </w:r>
      <w:r w:rsidR="005A67C7">
        <w:t xml:space="preserve"> the main product and </w:t>
      </w:r>
      <w:r w:rsidR="00626405">
        <w:t xml:space="preserve">the water, while the unreacted </w:t>
      </w:r>
      <w:r w:rsidR="0051111C">
        <w:t xml:space="preserve">gases </w:t>
      </w:r>
      <w:r w:rsidR="00CA12C6">
        <w:t>proceed</w:t>
      </w:r>
      <w:r w:rsidR="00626405">
        <w:t xml:space="preserve"> to the second part of the synthesis, </w:t>
      </w:r>
      <w:r w:rsidR="00E51CE8">
        <w:t>duplicating the first</w:t>
      </w:r>
      <w:r w:rsidR="002D2833">
        <w:t>.</w:t>
      </w:r>
      <w:r w:rsidR="00B64B64">
        <w:t xml:space="preserve"> T</w:t>
      </w:r>
      <w:r w:rsidR="002D2833">
        <w:t xml:space="preserve">he products </w:t>
      </w:r>
      <w:r w:rsidR="00B64B64">
        <w:t>from</w:t>
      </w:r>
      <w:r w:rsidR="002D2833">
        <w:t xml:space="preserve"> both reactors are collected </w:t>
      </w:r>
      <w:r w:rsidR="00B64B64">
        <w:t>for further</w:t>
      </w:r>
      <w:r w:rsidR="007A6589">
        <w:t xml:space="preserve"> processing in </w:t>
      </w:r>
      <w:r w:rsidR="00CA12C6">
        <w:t>the purification</w:t>
      </w:r>
      <w:r w:rsidR="002D2833">
        <w:t xml:space="preserve"> section, while the unreacted gases are </w:t>
      </w:r>
      <w:r w:rsidR="007A6589">
        <w:t xml:space="preserve">95 % </w:t>
      </w:r>
      <w:r w:rsidR="002D2833">
        <w:t xml:space="preserve">recycled </w:t>
      </w:r>
      <w:r w:rsidR="007A6589">
        <w:t>and 5 %</w:t>
      </w:r>
      <w:r w:rsidR="00A542C8">
        <w:t xml:space="preserve"> purged</w:t>
      </w:r>
      <w:r w:rsidR="006D6E1B">
        <w:t>.</w:t>
      </w:r>
      <w:r w:rsidR="00E5475C">
        <w:t xml:space="preserve"> The </w:t>
      </w:r>
      <w:r w:rsidR="00B05E79">
        <w:t xml:space="preserve">compressor </w:t>
      </w:r>
      <w:r w:rsidR="007A6589">
        <w:t>within</w:t>
      </w:r>
      <w:r w:rsidR="00B05E79">
        <w:t xml:space="preserve"> the recycle loop has been neglected in this study.</w:t>
      </w:r>
      <w:r w:rsidR="006D6E1B">
        <w:t xml:space="preserve"> </w:t>
      </w:r>
      <w:r w:rsidR="00AB167C">
        <w:t>Cooling water entering at 10</w:t>
      </w:r>
      <w:r w:rsidR="00E9206F">
        <w:t xml:space="preserve"> </w:t>
      </w:r>
      <w:r w:rsidR="00AB167C">
        <w:t>°C</w:t>
      </w:r>
      <w:r w:rsidR="00DE3531">
        <w:t xml:space="preserve"> is used to cool down the product</w:t>
      </w:r>
      <w:r w:rsidR="00DC1D7F">
        <w:t xml:space="preserve"> stream, while diathermic oil is </w:t>
      </w:r>
      <w:r w:rsidR="004B0E76">
        <w:t>chosen</w:t>
      </w:r>
      <w:r w:rsidR="00DC1D7F">
        <w:t xml:space="preserve"> both to heat up the reagent mixture and to provide refrigeration </w:t>
      </w:r>
      <w:r w:rsidR="00AA68B8">
        <w:t>through</w:t>
      </w:r>
      <w:r w:rsidR="004B0E76">
        <w:t>out</w:t>
      </w:r>
      <w:r w:rsidR="00AA68B8">
        <w:t xml:space="preserve"> the reactor length. </w:t>
      </w:r>
      <w:r w:rsidR="00433F45">
        <w:t>The</w:t>
      </w:r>
      <w:r w:rsidR="001E3DC9">
        <w:t xml:space="preserve"> pre-heaters</w:t>
      </w:r>
      <w:r w:rsidR="001743AD">
        <w:t xml:space="preserve"> and the condensers</w:t>
      </w:r>
      <w:r w:rsidR="00433F45">
        <w:t xml:space="preserve"> </w:t>
      </w:r>
      <w:r w:rsidR="00341309">
        <w:t>are</w:t>
      </w:r>
      <w:r w:rsidR="00690697">
        <w:t xml:space="preserve"> modeled as fixed</w:t>
      </w:r>
      <w:r w:rsidR="002B7FE1">
        <w:t xml:space="preserve"> tube</w:t>
      </w:r>
      <w:r w:rsidR="00F04003">
        <w:t xml:space="preserve"> heat exchangers solving global energy and mass balances</w:t>
      </w:r>
      <w:r w:rsidR="00430541">
        <w:t xml:space="preserve">. </w:t>
      </w:r>
      <w:r w:rsidR="006128C9">
        <w:t>In contrast</w:t>
      </w:r>
      <w:r w:rsidR="007C2501">
        <w:t xml:space="preserve">, the </w:t>
      </w:r>
      <w:r w:rsidR="004D36A2">
        <w:t>heater</w:t>
      </w:r>
      <w:r w:rsidR="00682B52">
        <w:t>s</w:t>
      </w:r>
      <w:r w:rsidR="001769BE">
        <w:t xml:space="preserve"> </w:t>
      </w:r>
      <w:r w:rsidR="00221C48">
        <w:t>before the reactor</w:t>
      </w:r>
      <w:r w:rsidR="00682B52">
        <w:t>s</w:t>
      </w:r>
      <w:r w:rsidR="00221C48">
        <w:t xml:space="preserve"> </w:t>
      </w:r>
      <w:r w:rsidR="00682B52">
        <w:t>have</w:t>
      </w:r>
      <w:r w:rsidR="00221C48">
        <w:t xml:space="preserve"> been designed</w:t>
      </w:r>
      <w:r w:rsidR="001743AD">
        <w:t xml:space="preserve"> as </w:t>
      </w:r>
      <w:r w:rsidR="00962D86">
        <w:t>double-pipe heat exchanger</w:t>
      </w:r>
      <w:r w:rsidR="00682B52">
        <w:t>s</w:t>
      </w:r>
      <w:r w:rsidR="00D27B2E">
        <w:t xml:space="preserve"> due to </w:t>
      </w:r>
      <w:r w:rsidR="00B7086D">
        <w:t>their</w:t>
      </w:r>
      <w:r w:rsidR="00D27B2E">
        <w:t xml:space="preserve"> lower exchange area</w:t>
      </w:r>
      <w:r w:rsidR="00820B2D">
        <w:t xml:space="preserve">. The reactors </w:t>
      </w:r>
      <w:r w:rsidR="00341309">
        <w:t>are</w:t>
      </w:r>
      <w:r w:rsidR="00820B2D">
        <w:t xml:space="preserve"> modeled as</w:t>
      </w:r>
      <w:r w:rsidR="00F67D84">
        <w:t xml:space="preserve"> oil-cooled</w:t>
      </w:r>
      <w:r w:rsidR="00820B2D">
        <w:t xml:space="preserve"> multi-tubular reactors</w:t>
      </w:r>
      <w:r w:rsidR="00F66B53">
        <w:t xml:space="preserve">, </w:t>
      </w:r>
      <w:r w:rsidR="000130FA">
        <w:t>with</w:t>
      </w:r>
      <w:r w:rsidR="001D6D0A">
        <w:t xml:space="preserve"> </w:t>
      </w:r>
      <w:r w:rsidR="00F66B53">
        <w:t xml:space="preserve">several assumptions made to </w:t>
      </w:r>
      <w:r w:rsidR="001D6D0A">
        <w:t>replicate</w:t>
      </w:r>
      <w:r w:rsidR="00513387">
        <w:t xml:space="preserve"> the unit </w:t>
      </w:r>
      <w:r w:rsidR="001D6D0A">
        <w:t xml:space="preserve">over its length. The </w:t>
      </w:r>
      <w:r w:rsidR="00D3643A">
        <w:t xml:space="preserve">system </w:t>
      </w:r>
      <w:r w:rsidR="00C20E33">
        <w:t>of ordinary differential equation</w:t>
      </w:r>
      <w:r w:rsidR="00A662E3">
        <w:t>s</w:t>
      </w:r>
      <w:r w:rsidR="00C20E33">
        <w:t xml:space="preserve"> for</w:t>
      </w:r>
      <w:r w:rsidR="00D3643A">
        <w:t xml:space="preserve"> each </w:t>
      </w:r>
      <w:r w:rsidR="00300C8E">
        <w:t>reactor</w:t>
      </w:r>
      <w:r w:rsidR="00D3643A">
        <w:t xml:space="preserve"> </w:t>
      </w:r>
      <w:r w:rsidR="00C20E33">
        <w:t>consists</w:t>
      </w:r>
      <w:r w:rsidR="00D3643A">
        <w:t xml:space="preserve"> </w:t>
      </w:r>
      <w:r w:rsidR="00300C8E">
        <w:t>of</w:t>
      </w:r>
      <w:r w:rsidR="00D3643A">
        <w:t xml:space="preserve"> eight </w:t>
      </w:r>
      <w:r w:rsidR="00300C8E">
        <w:t>equations with their respective initial conditions</w:t>
      </w:r>
      <w:r w:rsidR="00552665">
        <w:t>. S</w:t>
      </w:r>
      <w:r w:rsidR="00547479">
        <w:t>pecifically</w:t>
      </w:r>
      <w:r w:rsidR="008F52C8">
        <w:t>,</w:t>
      </w:r>
      <w:r w:rsidR="00547479">
        <w:t xml:space="preserve"> five mass balance</w:t>
      </w:r>
      <w:r w:rsidR="00552665">
        <w:t xml:space="preserve"> equations, one for each component, two heat balance</w:t>
      </w:r>
      <w:r w:rsidR="00B02A0E">
        <w:t xml:space="preserve"> equations, one for </w:t>
      </w:r>
      <w:r w:rsidR="00FF760A">
        <w:t xml:space="preserve">the </w:t>
      </w:r>
      <w:r w:rsidR="00B02A0E">
        <w:t xml:space="preserve">shell side and one for </w:t>
      </w:r>
      <w:r w:rsidR="00FF760A">
        <w:t xml:space="preserve">the </w:t>
      </w:r>
      <w:r w:rsidR="00B02A0E">
        <w:t xml:space="preserve">tube side, and the Ergun equations to account for pressure drop </w:t>
      </w:r>
      <w:r w:rsidR="00FF760A">
        <w:t xml:space="preserve">along </w:t>
      </w:r>
      <w:r w:rsidR="00F24FFF">
        <w:t>the reactor’s length</w:t>
      </w:r>
      <w:r w:rsidR="00FF760A">
        <w:t>.</w:t>
      </w:r>
      <w:r w:rsidR="00F24FFF">
        <w:t xml:space="preserve"> T</w:t>
      </w:r>
      <w:r w:rsidR="00024878">
        <w:t xml:space="preserve">he separators have been solved using the </w:t>
      </w:r>
      <m:oMath>
        <m:r>
          <m:rPr>
            <m:sty m:val="p"/>
          </m:rPr>
          <w:rPr>
            <w:rFonts w:ascii="Cambria Math" w:hAnsi="Cambria Math"/>
          </w:rPr>
          <m:t>ϕ</m:t>
        </m:r>
        <m:r>
          <m:rPr>
            <m:lit/>
          </m:rPr>
          <w:rPr>
            <w:rFonts w:ascii="Cambria Math" w:hAnsi="Cambria Math"/>
          </w:rPr>
          <m:t>/</m:t>
        </m:r>
        <m:r>
          <m:rPr>
            <m:sty m:val="p"/>
          </m:rPr>
          <w:rPr>
            <w:rFonts w:ascii="Cambria Math" w:hAnsi="Cambria Math"/>
          </w:rPr>
          <m:t>ϕ</m:t>
        </m:r>
      </m:oMath>
      <w:r w:rsidR="009D28A0">
        <w:t xml:space="preserve"> method</w:t>
      </w:r>
      <w:r w:rsidR="00942A97">
        <w:t>,</w:t>
      </w:r>
      <w:r w:rsidR="00416101">
        <w:t xml:space="preserve"> applying the </w:t>
      </w:r>
      <w:r w:rsidR="004675BB" w:rsidRPr="00112B98">
        <w:t>Soave-Redlich-</w:t>
      </w:r>
      <w:proofErr w:type="spellStart"/>
      <w:r w:rsidR="004675BB" w:rsidRPr="00112B98">
        <w:t>Kwong</w:t>
      </w:r>
      <w:proofErr w:type="spellEnd"/>
      <w:r w:rsidR="004675BB" w:rsidRPr="00416101">
        <w:t xml:space="preserve"> </w:t>
      </w:r>
      <w:r w:rsidR="00416101">
        <w:t>equation of state</w:t>
      </w:r>
      <w:r w:rsidR="00AF1DC4">
        <w:t xml:space="preserve">. The design of the units </w:t>
      </w:r>
      <w:r w:rsidR="00942A97">
        <w:t>follows</w:t>
      </w:r>
      <w:r w:rsidR="00AF1DC4">
        <w:t xml:space="preserve"> the procedure </w:t>
      </w:r>
      <w:r w:rsidR="00823062">
        <w:t>explained</w:t>
      </w:r>
      <w:r w:rsidR="00AF1DC4">
        <w:t xml:space="preserve"> </w:t>
      </w:r>
      <w:r w:rsidR="008F4111">
        <w:t>by</w:t>
      </w:r>
      <w:r w:rsidR="0060399D">
        <w:t xml:space="preserve"> </w:t>
      </w:r>
      <w:r w:rsidR="00502357">
        <w:fldChar w:fldCharType="begin"/>
      </w:r>
      <w:r w:rsidR="0086370E">
        <w:instrText xml:space="preserve"> ADDIN ZOTERO_ITEM CSL_CITATION {"citationID":"OqAX67T2","properties":{"formattedCitation":"(Towler and Sinnott, 2012)","plainCitation":"(Towler and Sinnott, 2012)","dontUpdate":true,"noteIndex":0},"citationItems":[{"id":81,"uris":["http://zotero.org/users/local/qHCZxoWg/items/9V2FVAGJ"],"itemData":{"id":81,"type":"book","abstract":"Chemical Engineering Design, Second Edition, deals with the application of chemical engineering principles to the design of chemical processes and equipment. Revised throughout, this edition has been specifically developed for the U.S. market.It provides the latest US codes and standards, including API, ASME and ISA design codes and ANSI standards. It contains new discussions of conceptual plant design, flowsheet development, and revamp design; extended coverage of capital cost estimation, process costing, and economics; and new chapters on equipment selection, reactor design, and solids handling processes.A rigorous pedagogy assists learning, with detailed worked examples, end of chapter exercises, plus supporting data, and Excel spreadsheet calculations, plus over 150 Patent References for downloading from the companion website. Extensive instructor resources, including 1170 lecture slides and a fully worked solutions manual are available to adopting instructors.This text is designed for chemical and biochemical engineering students (senior undergraduate year, plus appropriate for capstone design courses where taken, plus graduates) and lecturers/tutors, and professionals in industry (chemical process, biochemical, pharmaceutical, petrochemical sectors).New to this edition:Revised organization into Part I: Process Design, and Part II: Plant Design. The broad themes of Part I are flowsheet development, economic analysis, safety and environmental impact and optimization. Part II contains chapters on equipment design and selection that can be used as supplements to a lecture course or as essential references for students or practicing engineers working on design projects.New discussion of conceptual plant design, flowsheet development and revamp designSignificantly increased coverage of capital cost estimation, process costing and economicsNew chapters on equipment selection, reactor design and solids handling processesNew sections on fermentation, adsorption, membrane separations, ion exchange and chromatographyIncreased coverage of batch processing, food, pharmaceutical and biological processesAll equipment chapters in Part II revised and updated with current informationUpdated throughout for latest US codes and standards, including API, ASME and ISA design codes and ANSI standardsAdditional worked examples and homework problems The most complete and up to date coverage of equipment selection108 realistic commercial design projects from diverse industriesA rigorous pedagogy assists learning, with detailed worked examples, end of chapter exercises, plus supporting data and Excel spreadsheet calculations plus over 150 Patent References, for downloading from the companion websiteExtensive instructor resources: 1170 lecture slides plus fully worked solutions manual available to adopting instructors","edition":"2nd edition","event-place":"Boston, MA","ISBN":"978-0-08-096659-5","language":"English","number-of-pages":"1320","publisher":"Butterworth-Heinemann","publisher-place":"Boston, MA","source":"Amazon","title":"Chemical Engineering Design: Principles, Practice and Economics of Plant and Process Design","title-short":"Chemical Engineering Design","author":[{"family":"Towler","given":"Gavin"},{"family":"Sinnott","given":"Ray"}],"issued":{"date-parts":[["2012",1,27]]}}}],"schema":"https://github.com/citation-style-language/schema/raw/master/csl-citation.json"} </w:instrText>
      </w:r>
      <w:r w:rsidR="00502357">
        <w:fldChar w:fldCharType="separate"/>
      </w:r>
      <w:r w:rsidR="00A440B8" w:rsidRPr="00A440B8">
        <w:t xml:space="preserve">Towler and Sinnott </w:t>
      </w:r>
      <w:r w:rsidR="008F4111">
        <w:t>(</w:t>
      </w:r>
      <w:r w:rsidR="00A440B8" w:rsidRPr="00A440B8">
        <w:t>2012)</w:t>
      </w:r>
      <w:r w:rsidR="00502357">
        <w:fldChar w:fldCharType="end"/>
      </w:r>
      <w:r w:rsidR="00EE11D4">
        <w:t>.</w:t>
      </w:r>
    </w:p>
    <w:p w14:paraId="2EEE8DA2" w14:textId="55259FAD" w:rsidR="00CD6023" w:rsidRDefault="00483747" w:rsidP="00BA7115">
      <w:pPr>
        <w:pStyle w:val="Els-body-text"/>
      </w:pPr>
      <w:r>
        <w:t xml:space="preserve">The operating pressure is </w:t>
      </w:r>
      <w:r w:rsidR="00C501A3">
        <w:t>set</w:t>
      </w:r>
      <w:r>
        <w:t xml:space="preserve"> </w:t>
      </w:r>
      <w:r w:rsidR="00F867FA">
        <w:t>at</w:t>
      </w:r>
      <w:r>
        <w:t xml:space="preserve"> </w:t>
      </w:r>
      <w:r w:rsidR="002B4E09">
        <w:t xml:space="preserve">61 bar </w:t>
      </w:r>
      <w:r w:rsidR="00F867FA">
        <w:t>for the</w:t>
      </w:r>
      <w:r w:rsidR="002B4E09">
        <w:t xml:space="preserve"> first reactor inlet</w:t>
      </w:r>
      <w:r w:rsidR="00A5428E">
        <w:t xml:space="preserve">, while the second reactor’s pressure is </w:t>
      </w:r>
      <w:r w:rsidR="003754AB">
        <w:t>determine</w:t>
      </w:r>
      <w:r w:rsidR="00182D73">
        <w:t xml:space="preserve">d by subtracting the pressure drop </w:t>
      </w:r>
      <w:r w:rsidR="00A5428E">
        <w:t xml:space="preserve">evaluated </w:t>
      </w:r>
      <w:r w:rsidR="00182D73">
        <w:t>with</w:t>
      </w:r>
      <w:r w:rsidR="00A5428E">
        <w:t xml:space="preserve"> the Ergun equation</w:t>
      </w:r>
      <w:r w:rsidR="00182D73">
        <w:t xml:space="preserve"> from the initial pressure</w:t>
      </w:r>
      <w:r w:rsidR="00A5428E">
        <w:t>.</w:t>
      </w:r>
      <w:r w:rsidR="00985D2C">
        <w:t xml:space="preserve"> The pre-heater</w:t>
      </w:r>
      <w:r w:rsidR="006053FD">
        <w:t xml:space="preserve"> inlet temperature of the reactive mixture is estimated </w:t>
      </w:r>
      <w:r w:rsidR="00C501A3">
        <w:t>through</w:t>
      </w:r>
      <w:r w:rsidR="007833D5">
        <w:t xml:space="preserve"> an energy balance</w:t>
      </w:r>
      <w:r w:rsidR="0000367C">
        <w:t>. T</w:t>
      </w:r>
      <w:r w:rsidR="007833D5">
        <w:t xml:space="preserve">he </w:t>
      </w:r>
      <w:r w:rsidR="00DE7871">
        <w:t xml:space="preserve">minimum temperature approach is constrained </w:t>
      </w:r>
      <w:r w:rsidR="00B7086D">
        <w:t>to</w:t>
      </w:r>
      <w:r w:rsidR="00DE7871">
        <w:t xml:space="preserve"> 30 °C. </w:t>
      </w:r>
      <w:r w:rsidR="001B5A46">
        <w:t xml:space="preserve">Diathermic oil is </w:t>
      </w:r>
      <w:r w:rsidR="00400A89">
        <w:t>employed</w:t>
      </w:r>
      <w:r w:rsidR="001B5A46">
        <w:t xml:space="preserve"> at 300 °C and 210 °C for heating and cooling, respectively</w:t>
      </w:r>
      <w:r w:rsidR="00400A89">
        <w:t>,</w:t>
      </w:r>
      <w:r w:rsidR="001B5A46">
        <w:t xml:space="preserve"> in the heater and reactor units</w:t>
      </w:r>
      <w:r w:rsidR="00BE5C3D">
        <w:t>. The multi-tubular reactor</w:t>
      </w:r>
      <w:r w:rsidR="00400A89">
        <w:t>’s</w:t>
      </w:r>
      <w:r w:rsidR="00BE5C3D">
        <w:t xml:space="preserve"> inlet temperature is fixed at 250 °C</w:t>
      </w:r>
      <w:r w:rsidR="00145AC4">
        <w:t>, with the constraint that it remains below</w:t>
      </w:r>
      <w:r w:rsidR="006C7D67">
        <w:t xml:space="preserve"> 300 °C </w:t>
      </w:r>
      <w:r w:rsidR="00145AC4">
        <w:t>due to</w:t>
      </w:r>
      <w:r w:rsidR="006C7D67">
        <w:t xml:space="preserve"> catalyst deactivation. </w:t>
      </w:r>
      <w:r w:rsidR="009B67E8">
        <w:t xml:space="preserve">The separation of water and </w:t>
      </w:r>
      <w:r w:rsidR="009B67E8">
        <w:rPr>
          <w:i/>
          <w:iCs/>
        </w:rPr>
        <w:t xml:space="preserve">MeOH </w:t>
      </w:r>
      <w:r w:rsidR="009B67E8">
        <w:t xml:space="preserve">is </w:t>
      </w:r>
      <w:r w:rsidR="00CD6023">
        <w:t>carried out</w:t>
      </w:r>
      <w:r w:rsidR="009B67E8">
        <w:t xml:space="preserve"> </w:t>
      </w:r>
      <w:r w:rsidR="00F42A12">
        <w:t>at 45 °C</w:t>
      </w:r>
      <w:r w:rsidR="0020785B">
        <w:t xml:space="preserve">. </w:t>
      </w:r>
    </w:p>
    <w:p w14:paraId="157A4545" w14:textId="77777777" w:rsidR="007508ED" w:rsidRDefault="007508ED" w:rsidP="00BA7115">
      <w:pPr>
        <w:pStyle w:val="Els-body-text"/>
      </w:pPr>
    </w:p>
    <w:p w14:paraId="1DDBD887" w14:textId="77777777" w:rsidR="007508ED" w:rsidRPr="000D1847" w:rsidRDefault="007508ED" w:rsidP="00BA7115">
      <w:pPr>
        <w:pStyle w:val="Els-body-text"/>
      </w:pPr>
    </w:p>
    <w:p w14:paraId="5DC759BF" w14:textId="227CAD84" w:rsidR="00D402E2" w:rsidRDefault="00EA164D" w:rsidP="007C2669">
      <w:pPr>
        <w:pStyle w:val="Els-3rdorder-head"/>
        <w:spacing w:before="120"/>
      </w:pPr>
      <w:r>
        <w:lastRenderedPageBreak/>
        <w:t xml:space="preserve">Reactor modeling </w:t>
      </w:r>
    </w:p>
    <w:p w14:paraId="11C75C9C" w14:textId="76A7C666" w:rsidR="00201142" w:rsidRPr="004241B1" w:rsidRDefault="001C4C3A" w:rsidP="00363FA0">
      <w:pPr>
        <w:pStyle w:val="Els-body-text"/>
      </w:pPr>
      <w:r>
        <w:t>S</w:t>
      </w:r>
      <w:r w:rsidR="00AC78E1" w:rsidRPr="00AC78E1">
        <w:t>ynthesis reactors</w:t>
      </w:r>
      <w:r>
        <w:t xml:space="preserve"> are modeled</w:t>
      </w:r>
      <w:r w:rsidR="00AC78E1" w:rsidRPr="00AC78E1">
        <w:t xml:space="preserve"> as multi-tubular heat exchangers</w:t>
      </w:r>
      <w:r w:rsidR="00677B59">
        <w:t xml:space="preserve"> with </w:t>
      </w:r>
      <w:r w:rsidR="00AC78E1" w:rsidRPr="00AC78E1">
        <w:t xml:space="preserve">a reactive section within the tube </w:t>
      </w:r>
      <w:r w:rsidR="00AC78E1">
        <w:t xml:space="preserve">bundle. </w:t>
      </w:r>
      <w:r w:rsidR="00A83AFA">
        <w:t xml:space="preserve">The pseudo-homogeneous model </w:t>
      </w:r>
      <w:r w:rsidR="004C3DB3">
        <w:t xml:space="preserve">proposed by </w:t>
      </w:r>
      <w:r w:rsidR="000D0A64">
        <w:fldChar w:fldCharType="begin"/>
      </w:r>
      <w:r w:rsidR="0086370E">
        <w:instrText xml:space="preserve"> ADDIN ZOTERO_ITEM CSL_CITATION {"citationID":"Cjv2eqre","properties":{"formattedCitation":"(Manenti et al., 2011)","plainCitation":"(Manenti et al., 2011)","dontUpdate":true,"noteIndex":0},"citationItems":[{"id":53,"uris":["http://zotero.org/users/local/qHCZxoWg/items/XZ5F44CJ"],"itemData":{"id":53,"type":"article-journal","abstract":"This paper proposes and compares different steady-state models for the methanol synthesis fixed-bed reactor. The main goal is to indicate the pros and cons of these alternative models, to highlight their peculiarities in providing accurate and reliable estimations, and to warn the reader about possible risks involved in certain modeling assumptions. The Lurgi-type shell and tube boiler-reactor mathematical modeling is also laid out, before more complex issues and research, such as dynamic simulation or PDE-based predictive control, are broached.","container-title":"Chemical Engineering Science","DOI":"10.1016/j.ces.2010.09.036","ISSN":"0009-2509","issue":"2","journalAbbreviation":"Chemical Engineering Science","page":"152-162","source":"ScienceDirect","title":"Considerations on the steady-state modeling of methanol synthesis fixed-bed reactor","volume":"66","author":[{"family":"Manenti","given":"Flavio"},{"family":"Cieri","given":"Silvia"},{"family":"Restelli","given":"Marco"}],"issued":{"date-parts":[["2011",1,15]]}}}],"schema":"https://github.com/citation-style-language/schema/raw/master/csl-citation.json"} </w:instrText>
      </w:r>
      <w:r w:rsidR="000D0A64">
        <w:fldChar w:fldCharType="separate"/>
      </w:r>
      <w:r w:rsidR="00A440B8" w:rsidRPr="00A440B8">
        <w:t xml:space="preserve">Manenti et al. </w:t>
      </w:r>
      <w:r w:rsidR="007C019C">
        <w:t>(</w:t>
      </w:r>
      <w:r w:rsidR="00A440B8" w:rsidRPr="00A440B8">
        <w:t>2011)</w:t>
      </w:r>
      <w:r w:rsidR="000D0A64">
        <w:fldChar w:fldCharType="end"/>
      </w:r>
      <w:r w:rsidR="00933122">
        <w:t xml:space="preserve"> </w:t>
      </w:r>
      <w:r w:rsidR="00851F51">
        <w:t>has been applied to</w:t>
      </w:r>
      <w:r w:rsidR="00092A4A">
        <w:t xml:space="preserve"> describe the evolution of the reactive mixture </w:t>
      </w:r>
      <w:r w:rsidR="008468A7">
        <w:t>along the reactor’s length</w:t>
      </w:r>
      <w:r w:rsidR="00717D90">
        <w:t xml:space="preserve">, </w:t>
      </w:r>
      <w:r w:rsidR="00C61304">
        <w:t>maintaining the assumptions made by the original authors</w:t>
      </w:r>
      <w:r w:rsidR="00DE56FB">
        <w:t>. In addition</w:t>
      </w:r>
      <w:r w:rsidR="00634C1A">
        <w:t xml:space="preserve">, </w:t>
      </w:r>
      <w:r w:rsidR="00CE04DB">
        <w:t>mass transfer limitations have been neglected</w:t>
      </w:r>
      <w:r w:rsidR="00092A4A">
        <w:t xml:space="preserve"> </w:t>
      </w:r>
      <w:r w:rsidR="000F6338">
        <w:t xml:space="preserve">and the catalyst particle efficiency </w:t>
      </w:r>
      <w:r w:rsidR="000338A0">
        <w:t xml:space="preserve">value </w:t>
      </w:r>
      <w:r w:rsidR="000F6338">
        <w:t>has been fixed equal to 1</w:t>
      </w:r>
      <w:r w:rsidR="00232B37">
        <w:t xml:space="preserve">. </w:t>
      </w:r>
      <w:r w:rsidR="00634C1A">
        <w:t xml:space="preserve">This </w:t>
      </w:r>
      <w:r w:rsidR="00D610D3">
        <w:t>simplifying assumption</w:t>
      </w:r>
      <w:r w:rsidR="00634C1A">
        <w:t xml:space="preserve"> </w:t>
      </w:r>
      <w:r w:rsidR="00910CA0">
        <w:t>is made with the consideration that</w:t>
      </w:r>
      <w:r w:rsidR="00634C1A">
        <w:t xml:space="preserve"> </w:t>
      </w:r>
      <w:r w:rsidR="00F4622A">
        <w:t xml:space="preserve">the reactions are limited by </w:t>
      </w:r>
      <w:r w:rsidR="006F12E4">
        <w:t>thermodynamics</w:t>
      </w:r>
      <w:r w:rsidR="0042599D">
        <w:t xml:space="preserve">. </w:t>
      </w:r>
      <w:r w:rsidR="0046524A">
        <w:t>Regarding the description of the kinetic region inside the tube bundle</w:t>
      </w:r>
      <w:r w:rsidR="00593B9E">
        <w:t>, the Vanden</w:t>
      </w:r>
      <w:r w:rsidR="00AD15D9">
        <w:t xml:space="preserve"> </w:t>
      </w:r>
      <w:proofErr w:type="spellStart"/>
      <w:r w:rsidR="00593B9E">
        <w:t>Bussche-Froment</w:t>
      </w:r>
      <w:proofErr w:type="spellEnd"/>
      <w:r w:rsidR="00593B9E">
        <w:t xml:space="preserve"> kinetic model has been applied</w:t>
      </w:r>
      <w:r w:rsidR="00FF01E9">
        <w:t xml:space="preserve"> </w:t>
      </w:r>
      <w:r w:rsidR="00FF01E9">
        <w:fldChar w:fldCharType="begin"/>
      </w:r>
      <w:r w:rsidR="00FF01E9">
        <w:instrText xml:space="preserve"> ADDIN ZOTERO_ITEM CSL_CITATION {"citationID":"4BDBp1ht","properties":{"formattedCitation":"(Bussche and Froment, 1996)","plainCitation":"(Bussche and Froment, 1996)","noteIndex":0},"citationItems":[{"id":87,"uris":["http://zotero.org/users/local/qHCZxoWg/items/DAGU5ERW"],"itemData":{"id":87,"type":"article-journal","abstract":"A detailed reaction network, derived from literature data and our own experimental work, is used as a basis for the development of a steady-state kinetic model for methanol synthesis and the water gas shift reaction on a commercial Cu/ZnO/Al2O3catalyst. Experimental data, obtained in a bench scale setup, operating between 180 and 280°C and at pressures up to 51 bar, are subsequently used for the estimation of the parameters in the proposed model. The result is a mechanistically sound kinetic model, comprising a set of statistically significant and physically meaningful parameter groups. It accurately predicts the experimentally obtained conversions, even upon extrapolation outside the originally applied experimental window. Using this model, the influence of inlet temperature, pressure, and the ratio ofpCOandpCO2are briefly illustrated.","container-title":"Journal of Catalysis","DOI":"10.1006/jcat.1996.0156","ISSN":"0021-9517","issue":"1","journalAbbreviation":"Journal of Catalysis","page":"1-10","source":"ScienceDirect","title":"A Steady-State Kinetic Model for Methanol Synthesis and the Water Gas Shift Reaction on a Commercial Cu/ZnO/Al2O3Catalyst","volume":"161","author":[{"family":"Bussche","given":"K. M. Vanden"},{"family":"Froment","given":"G. F."}],"issued":{"date-parts":[["1996",6,1]]}}}],"schema":"https://github.com/citation-style-language/schema/raw/master/csl-citation.json"} </w:instrText>
      </w:r>
      <w:r w:rsidR="00FF01E9">
        <w:fldChar w:fldCharType="separate"/>
      </w:r>
      <w:r w:rsidR="00FF01E9" w:rsidRPr="00FF01E9">
        <w:t>(Bussche and Froment, 1996)</w:t>
      </w:r>
      <w:r w:rsidR="00FF01E9">
        <w:fldChar w:fldCharType="end"/>
      </w:r>
      <w:r w:rsidR="000940D4">
        <w:t xml:space="preserve">. This kinetic model is </w:t>
      </w:r>
      <w:r w:rsidR="00F52536">
        <w:t xml:space="preserve">extensively </w:t>
      </w:r>
      <w:r w:rsidR="0099591B">
        <w:t>implemented</w:t>
      </w:r>
      <w:r w:rsidR="00A725D5">
        <w:t xml:space="preserve"> in both</w:t>
      </w:r>
      <w:r w:rsidR="0099591B">
        <w:t xml:space="preserve"> academic and industrial practice</w:t>
      </w:r>
      <w:r w:rsidR="00223E5D">
        <w:t xml:space="preserve">. </w:t>
      </w:r>
      <w:r w:rsidR="00C53B74">
        <w:t>The kinetic model is characterized by</w:t>
      </w:r>
      <w:r w:rsidR="00223E5D">
        <w:t xml:space="preserve"> </w:t>
      </w:r>
      <w:r w:rsidR="00987033">
        <w:t>its dependence</w:t>
      </w:r>
      <w:r w:rsidR="00463C72">
        <w:t xml:space="preserve"> on parti</w:t>
      </w:r>
      <w:r w:rsidR="001A3C5D">
        <w:t xml:space="preserve">al </w:t>
      </w:r>
      <w:r w:rsidR="00187191">
        <w:t>pressure</w:t>
      </w:r>
      <w:r w:rsidR="00F81870">
        <w:t>s</w:t>
      </w:r>
      <w:r w:rsidR="00187191">
        <w:t xml:space="preserve"> of each component</w:t>
      </w:r>
      <w:r w:rsidR="00987033">
        <w:t>,</w:t>
      </w:r>
      <w:r w:rsidR="00223E5D">
        <w:t xml:space="preserve"> and </w:t>
      </w:r>
      <w:r w:rsidR="00403E86">
        <w:t xml:space="preserve">the kinetic structure is composed only by the RWGS and the </w:t>
      </w:r>
      <m:oMath>
        <m:r>
          <w:rPr>
            <w:rFonts w:ascii="Cambria Math" w:hAnsi="Cambria Math"/>
          </w:rPr>
          <m:t>C</m:t>
        </m:r>
        <m:sSub>
          <m:sSubPr>
            <m:ctrlPr>
              <w:rPr>
                <w:rFonts w:ascii="Cambria Math" w:hAnsi="Cambria Math"/>
                <w:i/>
                <w:vertAlign w:val="subscript"/>
              </w:rPr>
            </m:ctrlPr>
          </m:sSubPr>
          <m:e>
            <m:r>
              <w:rPr>
                <w:rFonts w:ascii="Cambria Math" w:hAnsi="Cambria Math"/>
              </w:rPr>
              <m:t>O</m:t>
            </m:r>
            <m:ctrlPr>
              <w:rPr>
                <w:rFonts w:ascii="Cambria Math" w:hAnsi="Cambria Math"/>
                <w:i/>
              </w:rPr>
            </m:ctrlPr>
          </m:e>
          <m:sub>
            <m:r>
              <w:rPr>
                <w:rFonts w:ascii="Cambria Math" w:hAnsi="Cambria Math"/>
                <w:vertAlign w:val="subscript"/>
              </w:rPr>
              <m:t>2</m:t>
            </m:r>
          </m:sub>
        </m:sSub>
      </m:oMath>
      <w:r w:rsidR="00403E86">
        <w:t xml:space="preserve"> </w:t>
      </w:r>
      <w:r w:rsidR="00447597">
        <w:t>hydrogenation</w:t>
      </w:r>
      <w:r w:rsidR="000061A2">
        <w:t xml:space="preserve"> reactions</w:t>
      </w:r>
      <w:r w:rsidR="00EA344F">
        <w:t xml:space="preserve">. </w:t>
      </w:r>
      <w:r w:rsidR="000061A2">
        <w:t>The rate of reaction is influenced by c</w:t>
      </w:r>
      <w:r w:rsidR="00A77531">
        <w:t>atalyst’s density and void fraction</w:t>
      </w:r>
      <w:r w:rsidR="00EC34BF">
        <w:t xml:space="preserve">. </w:t>
      </w:r>
      <w:r w:rsidR="00B67A17">
        <w:t>In</w:t>
      </w:r>
      <w:r w:rsidR="00E654EB">
        <w:t xml:space="preserve"> this </w:t>
      </w:r>
      <w:r w:rsidR="00B67A17">
        <w:t>work</w:t>
      </w:r>
      <w:r w:rsidR="00E654EB">
        <w:t xml:space="preserve">, values corresponding to commercial </w:t>
      </w:r>
      <m:oMath>
        <m:r>
          <w:rPr>
            <w:rFonts w:ascii="Cambria Math" w:hAnsi="Cambria Math"/>
          </w:rPr>
          <m:t>CuO</m:t>
        </m:r>
        <m:r>
          <m:rPr>
            <m:lit/>
          </m:rPr>
          <w:rPr>
            <w:rFonts w:ascii="Cambria Math" w:hAnsi="Cambria Math"/>
          </w:rPr>
          <m:t>/</m:t>
        </m:r>
        <m:r>
          <w:rPr>
            <w:rFonts w:ascii="Cambria Math" w:hAnsi="Cambria Math"/>
          </w:rPr>
          <m:t>ZnO</m:t>
        </m:r>
        <m:r>
          <m:rPr>
            <m:lit/>
          </m:rPr>
          <w:rPr>
            <w:rFonts w:ascii="Cambria Math" w:hAnsi="Cambria Math"/>
          </w:rPr>
          <m:t>/</m:t>
        </m:r>
        <m:r>
          <w:rPr>
            <w:rFonts w:ascii="Cambria Math" w:hAnsi="Cambria Math"/>
          </w:rPr>
          <m:t>A</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oMath>
      <w:r w:rsidR="00C34F95">
        <w:t xml:space="preserve"> </w:t>
      </w:r>
      <w:r w:rsidR="00E654EB" w:rsidRPr="00C34F95">
        <w:t>catalyst</w:t>
      </w:r>
      <w:r w:rsidR="00E654EB">
        <w:t xml:space="preserve"> have been </w:t>
      </w:r>
      <w:r w:rsidR="003C6615">
        <w:t xml:space="preserve">picked, </w:t>
      </w:r>
      <w:r w:rsidR="00A53858">
        <w:t>specific</w:t>
      </w:r>
      <w:r w:rsidR="0089339B">
        <w:t>ally</w:t>
      </w:r>
      <w:r w:rsidR="003C6615">
        <w:t xml:space="preserve"> </w:t>
      </w:r>
      <w:r w:rsidR="005F5C6E">
        <w:t>1170 kg/m</w:t>
      </w:r>
      <w:r w:rsidR="005F5C6E">
        <w:rPr>
          <w:vertAlign w:val="superscript"/>
        </w:rPr>
        <w:t>3</w:t>
      </w:r>
      <w:r w:rsidR="005F5C6E">
        <w:t xml:space="preserve"> for </w:t>
      </w:r>
      <w:r w:rsidR="0089339B">
        <w:t xml:space="preserve">the </w:t>
      </w:r>
      <w:r w:rsidR="005F5C6E">
        <w:t>catalyst’s density</w:t>
      </w:r>
      <w:r w:rsidR="00C34F95">
        <w:t xml:space="preserve"> and</w:t>
      </w:r>
      <w:r w:rsidR="007D0D7B">
        <w:t xml:space="preserve"> 0.4 for the void fraction. </w:t>
      </w:r>
    </w:p>
    <w:p w14:paraId="144DE6A1" w14:textId="2BD821E9" w:rsidR="008D2649" w:rsidRPr="00A94774" w:rsidRDefault="00C12EF1" w:rsidP="00C33204">
      <w:pPr>
        <w:pStyle w:val="Els-1storder-head"/>
        <w:spacing w:after="120"/>
        <w:rPr>
          <w:lang w:val="en-GB"/>
        </w:rPr>
      </w:pPr>
      <w:r>
        <w:rPr>
          <w:lang w:val="en-GB"/>
        </w:rPr>
        <w:t xml:space="preserve">Results and </w:t>
      </w:r>
      <w:r w:rsidR="002F5013">
        <w:rPr>
          <w:lang w:val="en-GB"/>
        </w:rPr>
        <w:t>Discussion</w:t>
      </w:r>
    </w:p>
    <w:p w14:paraId="4D3C7DF7" w14:textId="6B3EFF91" w:rsidR="000918A1" w:rsidRPr="0029381F" w:rsidRDefault="00797135" w:rsidP="000918A1">
      <w:pPr>
        <w:pStyle w:val="Els-body-text"/>
        <w:rPr>
          <w:lang w:val="en-GB"/>
        </w:rPr>
      </w:pPr>
      <w:r>
        <w:rPr>
          <w:lang w:val="en-GB"/>
        </w:rPr>
        <w:t xml:space="preserve">Figure </w:t>
      </w:r>
      <w:r w:rsidR="005B3379">
        <w:rPr>
          <w:lang w:val="en-GB"/>
        </w:rPr>
        <w:t>2</w:t>
      </w:r>
      <w:r>
        <w:rPr>
          <w:lang w:val="en-GB"/>
        </w:rPr>
        <w:t xml:space="preserve"> </w:t>
      </w:r>
      <w:r w:rsidR="00B7086D">
        <w:rPr>
          <w:lang w:val="en-GB"/>
        </w:rPr>
        <w:t>illustrates</w:t>
      </w:r>
      <w:r>
        <w:rPr>
          <w:lang w:val="en-GB"/>
        </w:rPr>
        <w:t xml:space="preserve"> the </w:t>
      </w:r>
      <w:r w:rsidR="00F62988">
        <w:rPr>
          <w:lang w:val="en-GB"/>
        </w:rPr>
        <w:t xml:space="preserve">relation between the volume of a single reactor and the </w:t>
      </w: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X</m:t>
            </m:r>
          </m:sub>
        </m:sSub>
      </m:oMath>
      <w:r w:rsidR="00924840">
        <w:rPr>
          <w:lang w:val="en-GB"/>
        </w:rPr>
        <w:t xml:space="preserve"> conversion t</w:t>
      </w:r>
      <w:r w:rsidR="0069210F">
        <w:rPr>
          <w:lang w:val="en-GB"/>
        </w:rPr>
        <w:t>h</w:t>
      </w:r>
      <w:r w:rsidR="00924840">
        <w:rPr>
          <w:lang w:val="en-GB"/>
        </w:rPr>
        <w:t xml:space="preserve">rough both reactors and the overall synthesis section. </w:t>
      </w:r>
      <w:r w:rsidR="0049146F">
        <w:rPr>
          <w:lang w:val="en-GB"/>
        </w:rPr>
        <w:t>The range of the reac</w:t>
      </w:r>
      <w:r w:rsidR="009212E0">
        <w:rPr>
          <w:lang w:val="en-GB"/>
        </w:rPr>
        <w:t xml:space="preserve">tor’s volume has been limited within the common range </w:t>
      </w:r>
      <w:r w:rsidR="003677FF">
        <w:rPr>
          <w:lang w:val="en-GB"/>
        </w:rPr>
        <w:t>applied in</w:t>
      </w:r>
      <w:r w:rsidR="00150EC3">
        <w:rPr>
          <w:lang w:val="en-GB"/>
        </w:rPr>
        <w:t xml:space="preserve"> the</w:t>
      </w:r>
      <w:r w:rsidR="003677FF">
        <w:rPr>
          <w:lang w:val="en-GB"/>
        </w:rPr>
        <w:t xml:space="preserve"> literature to design the unit. </w:t>
      </w:r>
      <w:r w:rsidR="00F62988">
        <w:rPr>
          <w:lang w:val="en-GB"/>
        </w:rPr>
        <w:t xml:space="preserve">As </w:t>
      </w:r>
      <w:r w:rsidR="005F2005">
        <w:rPr>
          <w:lang w:val="en-GB"/>
        </w:rPr>
        <w:t xml:space="preserve">expected, the </w:t>
      </w:r>
      <w:r w:rsidR="00924840">
        <w:rPr>
          <w:lang w:val="en-GB"/>
        </w:rPr>
        <w:t xml:space="preserve">conversion of the </w:t>
      </w: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X</m:t>
            </m:r>
          </m:sub>
        </m:sSub>
      </m:oMath>
      <w:r w:rsidR="005617D1">
        <w:rPr>
          <w:lang w:val="en-GB"/>
        </w:rPr>
        <w:t>, and</w:t>
      </w:r>
      <w:r w:rsidR="00230B08">
        <w:rPr>
          <w:lang w:val="en-GB"/>
        </w:rPr>
        <w:t>,</w:t>
      </w:r>
      <w:r w:rsidR="005617D1">
        <w:rPr>
          <w:lang w:val="en-GB"/>
        </w:rPr>
        <w:t xml:space="preserve"> </w:t>
      </w:r>
      <w:r w:rsidR="00230B08">
        <w:rPr>
          <w:lang w:val="en-GB"/>
        </w:rPr>
        <w:t xml:space="preserve">consequently, </w:t>
      </w:r>
      <w:r w:rsidR="005617D1">
        <w:rPr>
          <w:lang w:val="en-GB"/>
        </w:rPr>
        <w:t>methanol production</w:t>
      </w:r>
      <w:r w:rsidR="00F778C9">
        <w:rPr>
          <w:lang w:val="en-GB"/>
        </w:rPr>
        <w:t xml:space="preserve">, increases </w:t>
      </w:r>
      <w:r w:rsidR="00230B08">
        <w:rPr>
          <w:lang w:val="en-GB"/>
        </w:rPr>
        <w:t xml:space="preserve">with the </w:t>
      </w:r>
      <w:r w:rsidR="00F778C9">
        <w:rPr>
          <w:lang w:val="en-GB"/>
        </w:rPr>
        <w:t>volume of the reactors</w:t>
      </w:r>
      <w:r w:rsidR="002C1F7D">
        <w:rPr>
          <w:lang w:val="en-GB"/>
        </w:rPr>
        <w:t xml:space="preserve">. </w:t>
      </w:r>
      <w:r w:rsidR="002307C5">
        <w:rPr>
          <w:lang w:val="en-GB"/>
        </w:rPr>
        <w:t>Both</w:t>
      </w:r>
      <w:r w:rsidR="00E80186">
        <w:rPr>
          <w:lang w:val="en-GB"/>
        </w:rPr>
        <w:t xml:space="preserve"> curves </w:t>
      </w:r>
      <w:r w:rsidR="009240ED">
        <w:rPr>
          <w:lang w:val="en-GB"/>
        </w:rPr>
        <w:t>reach an asymptotic value</w:t>
      </w:r>
      <w:r w:rsidR="00E80186">
        <w:rPr>
          <w:lang w:val="en-GB"/>
        </w:rPr>
        <w:t xml:space="preserve"> </w:t>
      </w:r>
      <w:r w:rsidR="000D1185">
        <w:rPr>
          <w:lang w:val="en-GB"/>
        </w:rPr>
        <w:t>due to the thermodynamic limit</w:t>
      </w:r>
      <w:r w:rsidR="00580DD5">
        <w:rPr>
          <w:lang w:val="en-GB"/>
        </w:rPr>
        <w:t>,</w:t>
      </w:r>
      <w:r w:rsidR="00B1016F">
        <w:rPr>
          <w:lang w:val="en-GB"/>
        </w:rPr>
        <w:t xml:space="preserve"> correspond</w:t>
      </w:r>
      <w:r w:rsidR="00580DD5">
        <w:rPr>
          <w:lang w:val="en-GB"/>
        </w:rPr>
        <w:t>ing</w:t>
      </w:r>
      <w:r w:rsidR="00B1016F">
        <w:rPr>
          <w:lang w:val="en-GB"/>
        </w:rPr>
        <w:t xml:space="preserve"> </w:t>
      </w:r>
      <w:r w:rsidR="000620B2">
        <w:rPr>
          <w:lang w:val="en-GB"/>
        </w:rPr>
        <w:t xml:space="preserve">to a production rate of </w:t>
      </w:r>
      <w:r w:rsidR="000620B2" w:rsidRPr="0043306D">
        <w:rPr>
          <w:i/>
          <w:iCs/>
          <w:lang w:val="en-GB"/>
        </w:rPr>
        <w:t>M</w:t>
      </w:r>
      <w:r w:rsidR="0029381F" w:rsidRPr="0043306D">
        <w:rPr>
          <w:i/>
          <w:iCs/>
          <w:lang w:val="en-GB"/>
        </w:rPr>
        <w:t>e</w:t>
      </w:r>
      <w:r w:rsidR="000620B2" w:rsidRPr="0043306D">
        <w:rPr>
          <w:i/>
          <w:iCs/>
          <w:lang w:val="en-GB"/>
        </w:rPr>
        <w:t>OH</w:t>
      </w:r>
      <w:r w:rsidR="000620B2">
        <w:rPr>
          <w:lang w:val="en-GB"/>
        </w:rPr>
        <w:t xml:space="preserve"> of around 530 kg/h</w:t>
      </w:r>
      <w:r w:rsidR="00695B26">
        <w:rPr>
          <w:lang w:val="en-GB"/>
        </w:rPr>
        <w:t xml:space="preserve">. </w:t>
      </w:r>
      <w:r w:rsidR="00580564">
        <w:rPr>
          <w:lang w:val="en-GB"/>
        </w:rPr>
        <w:t>I</w:t>
      </w:r>
      <w:r w:rsidR="00695B26">
        <w:rPr>
          <w:lang w:val="en-GB"/>
        </w:rPr>
        <w:t xml:space="preserve">t </w:t>
      </w:r>
      <w:r w:rsidR="004432B2">
        <w:rPr>
          <w:lang w:val="en-GB"/>
        </w:rPr>
        <w:t>must be noted that increasing the volume of the reactor</w:t>
      </w:r>
      <w:r w:rsidR="0085367D">
        <w:rPr>
          <w:lang w:val="en-GB"/>
        </w:rPr>
        <w:t>s le</w:t>
      </w:r>
      <w:r w:rsidR="00AD3D6A">
        <w:rPr>
          <w:lang w:val="en-GB"/>
        </w:rPr>
        <w:t>ad</w:t>
      </w:r>
      <w:r w:rsidR="00BF5F2E">
        <w:rPr>
          <w:lang w:val="en-GB"/>
        </w:rPr>
        <w:t>s</w:t>
      </w:r>
      <w:r w:rsidR="00AD3D6A">
        <w:rPr>
          <w:lang w:val="en-GB"/>
        </w:rPr>
        <w:t xml:space="preserve"> to </w:t>
      </w:r>
      <w:r w:rsidR="00580564">
        <w:rPr>
          <w:lang w:val="en-GB"/>
        </w:rPr>
        <w:t xml:space="preserve">a </w:t>
      </w:r>
      <w:r w:rsidR="006B7A10">
        <w:rPr>
          <w:lang w:val="en-GB"/>
        </w:rPr>
        <w:t>lower mass flow inside the synthesis loop</w:t>
      </w:r>
      <w:r w:rsidR="00580564">
        <w:rPr>
          <w:lang w:val="en-GB"/>
        </w:rPr>
        <w:t xml:space="preserve"> due to </w:t>
      </w:r>
      <w:r w:rsidR="0054476F">
        <w:rPr>
          <w:lang w:val="en-GB"/>
        </w:rPr>
        <w:t xml:space="preserve">the higher conversion. </w:t>
      </w:r>
      <w:r w:rsidR="00A97C99">
        <w:rPr>
          <w:lang w:val="en-GB"/>
        </w:rPr>
        <w:t>B</w:t>
      </w:r>
      <w:r w:rsidR="00E90E44">
        <w:rPr>
          <w:lang w:val="en-GB"/>
        </w:rPr>
        <w:t xml:space="preserve">oth operating and capital </w:t>
      </w:r>
      <w:r w:rsidR="002307C5">
        <w:rPr>
          <w:lang w:val="en-GB"/>
        </w:rPr>
        <w:t>expenditures</w:t>
      </w:r>
      <w:r w:rsidR="00E90E44">
        <w:rPr>
          <w:lang w:val="en-GB"/>
        </w:rPr>
        <w:t xml:space="preserve"> depend more or less significantly with the </w:t>
      </w:r>
      <w:r w:rsidR="0090126D">
        <w:rPr>
          <w:lang w:val="en-GB"/>
        </w:rPr>
        <w:t xml:space="preserve">reactor’s volume. </w:t>
      </w:r>
      <w:r w:rsidR="00A97C99">
        <w:rPr>
          <w:lang w:val="en-GB"/>
        </w:rPr>
        <w:t>S</w:t>
      </w:r>
      <w:r w:rsidR="00883A12">
        <w:rPr>
          <w:lang w:val="en-GB"/>
        </w:rPr>
        <w:t>peci</w:t>
      </w:r>
      <w:r w:rsidR="00A97C99">
        <w:rPr>
          <w:lang w:val="en-GB"/>
        </w:rPr>
        <w:t>fic</w:t>
      </w:r>
      <w:r w:rsidR="00883A12">
        <w:rPr>
          <w:lang w:val="en-GB"/>
        </w:rPr>
        <w:t>ally</w:t>
      </w:r>
      <w:r w:rsidR="0090126D">
        <w:rPr>
          <w:lang w:val="en-GB"/>
        </w:rPr>
        <w:t xml:space="preserve">, </w:t>
      </w:r>
      <w:r w:rsidR="00D53B2E">
        <w:rPr>
          <w:lang w:val="en-GB"/>
        </w:rPr>
        <w:t>the f</w:t>
      </w:r>
      <w:r w:rsidR="00CE0E3F">
        <w:rPr>
          <w:lang w:val="en-GB"/>
        </w:rPr>
        <w:t xml:space="preserve">ormer </w:t>
      </w:r>
      <w:r w:rsidR="00D53B2E">
        <w:rPr>
          <w:lang w:val="en-GB"/>
        </w:rPr>
        <w:t>always increase</w:t>
      </w:r>
      <w:r w:rsidR="00110D70">
        <w:rPr>
          <w:lang w:val="en-GB"/>
        </w:rPr>
        <w:t>s</w:t>
      </w:r>
      <w:r w:rsidR="00D53B2E">
        <w:rPr>
          <w:lang w:val="en-GB"/>
        </w:rPr>
        <w:t xml:space="preserve"> as the independent variable grows. On the contrary</w:t>
      </w:r>
      <w:r w:rsidR="00E00140">
        <w:rPr>
          <w:lang w:val="en-GB"/>
        </w:rPr>
        <w:t xml:space="preserve">, </w:t>
      </w:r>
      <w:r w:rsidR="00FD3E15">
        <w:rPr>
          <w:lang w:val="en-GB"/>
        </w:rPr>
        <w:t xml:space="preserve">despite the higher volume and cost of the reactor, </w:t>
      </w:r>
      <w:r w:rsidR="00E00140">
        <w:rPr>
          <w:lang w:val="en-GB"/>
        </w:rPr>
        <w:t>the c</w:t>
      </w:r>
      <w:r w:rsidR="00432A5D">
        <w:rPr>
          <w:lang w:val="en-GB"/>
        </w:rPr>
        <w:t xml:space="preserve">apital expenditure </w:t>
      </w:r>
      <w:r w:rsidR="00883A12">
        <w:rPr>
          <w:lang w:val="en-GB"/>
        </w:rPr>
        <w:t>decreases</w:t>
      </w:r>
      <w:r w:rsidR="00CE0E3F">
        <w:rPr>
          <w:lang w:val="en-GB"/>
        </w:rPr>
        <w:t>,</w:t>
      </w:r>
      <w:r w:rsidR="00883A12">
        <w:rPr>
          <w:lang w:val="en-GB"/>
        </w:rPr>
        <w:t xml:space="preserve"> </w:t>
      </w:r>
      <w:r w:rsidR="000D7DA2">
        <w:rPr>
          <w:lang w:val="en-GB"/>
        </w:rPr>
        <w:t>reaching a minimum due to the lower flow circulating</w:t>
      </w:r>
      <w:r w:rsidR="00CE0E3F">
        <w:rPr>
          <w:lang w:val="en-GB"/>
        </w:rPr>
        <w:t>. It then increases</w:t>
      </w:r>
      <w:r w:rsidR="00357141">
        <w:rPr>
          <w:lang w:val="en-GB"/>
        </w:rPr>
        <w:t xml:space="preserve"> </w:t>
      </w:r>
      <w:r w:rsidR="00CE0E3F">
        <w:rPr>
          <w:lang w:val="en-GB"/>
        </w:rPr>
        <w:t>as</w:t>
      </w:r>
      <w:r w:rsidR="00357141">
        <w:rPr>
          <w:lang w:val="en-GB"/>
        </w:rPr>
        <w:t xml:space="preserve"> the reactor approach</w:t>
      </w:r>
      <w:r w:rsidR="00CE0E3F">
        <w:rPr>
          <w:lang w:val="en-GB"/>
        </w:rPr>
        <w:t>es</w:t>
      </w:r>
      <w:r w:rsidR="00357141">
        <w:rPr>
          <w:lang w:val="en-GB"/>
        </w:rPr>
        <w:t xml:space="preserve"> the thermodynamic </w:t>
      </w:r>
      <w:r w:rsidR="00855E6F">
        <w:rPr>
          <w:lang w:val="en-GB"/>
        </w:rPr>
        <w:t>limit due to the higher reactor dimension</w:t>
      </w:r>
      <w:r w:rsidR="00CE0E3F">
        <w:rPr>
          <w:lang w:val="en-GB"/>
        </w:rPr>
        <w:t>s</w:t>
      </w:r>
      <w:r w:rsidR="00855E6F">
        <w:rPr>
          <w:lang w:val="en-GB"/>
        </w:rPr>
        <w:t>.</w:t>
      </w:r>
      <w:r w:rsidR="00AB1F4F">
        <w:rPr>
          <w:lang w:val="en-GB"/>
        </w:rPr>
        <w:t xml:space="preserve"> </w:t>
      </w:r>
    </w:p>
    <w:p w14:paraId="4DCCB56B" w14:textId="38163FFA" w:rsidR="00B3323A" w:rsidRDefault="004A7F13" w:rsidP="007877E5">
      <w:pPr>
        <w:pStyle w:val="Bibliography"/>
      </w:pPr>
      <w:r>
        <w:rPr>
          <w:noProof/>
        </w:rPr>
        <w:drawing>
          <wp:inline distT="0" distB="0" distL="0" distR="0" wp14:anchorId="48A13036" wp14:editId="04AAA71A">
            <wp:extent cx="4500000" cy="2284928"/>
            <wp:effectExtent l="0" t="0" r="0" b="127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000" cy="2284928"/>
                    </a:xfrm>
                    <a:prstGeom prst="rect">
                      <a:avLst/>
                    </a:prstGeom>
                  </pic:spPr>
                </pic:pic>
              </a:graphicData>
            </a:graphic>
          </wp:inline>
        </w:drawing>
      </w:r>
    </w:p>
    <w:p w14:paraId="21884C96" w14:textId="5CC557C7" w:rsidR="0020785B" w:rsidRPr="0020785B" w:rsidRDefault="00525AD5" w:rsidP="0020785B">
      <w:pPr>
        <w:pStyle w:val="Els-body-text"/>
        <w:rPr>
          <w:lang w:val="en-GB"/>
        </w:rPr>
      </w:pPr>
      <w:r>
        <w:rPr>
          <w:lang w:val="en-GB"/>
        </w:rPr>
        <w:t xml:space="preserve">Figure </w:t>
      </w:r>
      <w:r w:rsidR="005B3379">
        <w:rPr>
          <w:lang w:val="en-GB"/>
        </w:rPr>
        <w:t>2</w:t>
      </w:r>
      <w:r>
        <w:rPr>
          <w:lang w:val="en-GB"/>
        </w:rPr>
        <w:t xml:space="preserve">. </w:t>
      </w:r>
      <w:r w:rsidR="009E17B0">
        <w:rPr>
          <w:lang w:val="en-GB"/>
        </w:rPr>
        <w:t xml:space="preserve">Dependence of </w:t>
      </w: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X</m:t>
            </m:r>
          </m:sub>
        </m:sSub>
      </m:oMath>
      <w:r w:rsidR="009E17B0">
        <w:rPr>
          <w:lang w:val="en-GB"/>
        </w:rPr>
        <w:t xml:space="preserve"> conversion on</w:t>
      </w:r>
      <w:r>
        <w:rPr>
          <w:lang w:val="en-GB"/>
        </w:rPr>
        <w:t xml:space="preserve"> reactor volume</w:t>
      </w:r>
    </w:p>
    <w:p w14:paraId="3CC2440E" w14:textId="71FBAF93" w:rsidR="00525AD5" w:rsidRDefault="00C21F8C" w:rsidP="00525AD5">
      <w:pPr>
        <w:rPr>
          <w:lang w:val="en-US"/>
        </w:rPr>
      </w:pPr>
      <w:r>
        <w:rPr>
          <w:noProof/>
          <w:lang w:val="en-US"/>
        </w:rPr>
        <w:lastRenderedPageBreak/>
        <w:drawing>
          <wp:inline distT="0" distB="0" distL="0" distR="0" wp14:anchorId="68A3D0DD" wp14:editId="384D33AD">
            <wp:extent cx="4041265" cy="2052000"/>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41265" cy="2052000"/>
                    </a:xfrm>
                    <a:prstGeom prst="rect">
                      <a:avLst/>
                    </a:prstGeom>
                  </pic:spPr>
                </pic:pic>
              </a:graphicData>
            </a:graphic>
          </wp:inline>
        </w:drawing>
      </w:r>
    </w:p>
    <w:p w14:paraId="1B7A323D" w14:textId="26733C5D" w:rsidR="00525AD5" w:rsidRDefault="00525AD5" w:rsidP="00525AD5">
      <w:pPr>
        <w:spacing w:after="120"/>
        <w:rPr>
          <w:lang w:val="en-US"/>
        </w:rPr>
      </w:pPr>
      <w:r>
        <w:rPr>
          <w:lang w:val="en-US"/>
        </w:rPr>
        <w:t xml:space="preserve">Figure </w:t>
      </w:r>
      <w:r w:rsidR="005B3379">
        <w:rPr>
          <w:lang w:val="en-US"/>
        </w:rPr>
        <w:t>3</w:t>
      </w:r>
      <w:r>
        <w:rPr>
          <w:lang w:val="en-US"/>
        </w:rPr>
        <w:t xml:space="preserve">. </w:t>
      </w:r>
      <w:r w:rsidR="00DA4094">
        <w:rPr>
          <w:lang w:val="en-US"/>
        </w:rPr>
        <w:t xml:space="preserve">Trends of </w:t>
      </w:r>
      <w:r>
        <w:rPr>
          <w:lang w:val="en-US"/>
        </w:rPr>
        <w:t>Net Present Value over reactor volume</w:t>
      </w:r>
    </w:p>
    <w:p w14:paraId="3B021BD6" w14:textId="52CA8F53" w:rsidR="00AA7FFB" w:rsidRPr="00AA3783" w:rsidRDefault="00077E69" w:rsidP="00441564">
      <w:pPr>
        <w:jc w:val="both"/>
        <w:rPr>
          <w:u w:val="single"/>
          <w:lang w:val="en-US"/>
        </w:rPr>
      </w:pPr>
      <w:r>
        <w:rPr>
          <w:lang w:val="en-US"/>
        </w:rPr>
        <w:t xml:space="preserve">The </w:t>
      </w:r>
      <w:r w:rsidR="002016BA">
        <w:rPr>
          <w:lang w:val="en-US"/>
        </w:rPr>
        <w:t xml:space="preserve">key parameter indicator chosen to assess </w:t>
      </w:r>
      <w:r>
        <w:rPr>
          <w:lang w:val="en-US"/>
        </w:rPr>
        <w:t xml:space="preserve">the synthesis section </w:t>
      </w:r>
      <w:r w:rsidR="002016BA">
        <w:rPr>
          <w:lang w:val="en-US"/>
        </w:rPr>
        <w:t>and</w:t>
      </w:r>
      <w:r>
        <w:rPr>
          <w:lang w:val="en-US"/>
        </w:rPr>
        <w:t xml:space="preserve"> determine the optimal volume and its </w:t>
      </w:r>
      <w:r w:rsidR="002016BA">
        <w:rPr>
          <w:lang w:val="en-US"/>
        </w:rPr>
        <w:t>impact on the economics is the n</w:t>
      </w:r>
      <w:r w:rsidR="0015129B">
        <w:rPr>
          <w:lang w:val="en-US"/>
        </w:rPr>
        <w:t xml:space="preserve">on-discounted Net Present Value (NPV). </w:t>
      </w:r>
      <w:r w:rsidR="00C253B0">
        <w:rPr>
          <w:lang w:val="en-US"/>
        </w:rPr>
        <w:t xml:space="preserve">Despite </w:t>
      </w:r>
      <w:r w:rsidR="00C874CE">
        <w:rPr>
          <w:lang w:val="en-US"/>
        </w:rPr>
        <w:t xml:space="preserve">assuming constant costs for both </w:t>
      </w:r>
      <w:r w:rsidR="007453B4">
        <w:rPr>
          <w:lang w:val="en-US"/>
        </w:rPr>
        <w:t>the first section of the plant and the purification section</w:t>
      </w:r>
      <w:r w:rsidR="0020679C">
        <w:rPr>
          <w:lang w:val="en-US"/>
        </w:rPr>
        <w:t>,</w:t>
      </w:r>
      <w:r w:rsidR="007453B4">
        <w:rPr>
          <w:lang w:val="en-US"/>
        </w:rPr>
        <w:t xml:space="preserve"> without specific estimation,</w:t>
      </w:r>
      <w:r w:rsidR="0020679C">
        <w:rPr>
          <w:lang w:val="en-US"/>
        </w:rPr>
        <w:t xml:space="preserve"> </w:t>
      </w:r>
      <w:r w:rsidR="007453B4">
        <w:rPr>
          <w:lang w:val="en-US"/>
        </w:rPr>
        <w:t>NPV</w:t>
      </w:r>
      <w:r w:rsidR="008A32B0">
        <w:rPr>
          <w:lang w:val="en-US"/>
        </w:rPr>
        <w:t xml:space="preserve"> has been chosen </w:t>
      </w:r>
      <w:r w:rsidR="007453B4">
        <w:rPr>
          <w:lang w:val="en-US"/>
        </w:rPr>
        <w:t>for</w:t>
      </w:r>
      <w:r w:rsidR="008A32B0">
        <w:rPr>
          <w:lang w:val="en-US"/>
        </w:rPr>
        <w:t xml:space="preserve"> its simplicity, assuming a </w:t>
      </w:r>
      <w:r w:rsidR="00466A90">
        <w:rPr>
          <w:lang w:val="en-US"/>
        </w:rPr>
        <w:t>plant lifetime</w:t>
      </w:r>
      <w:r w:rsidR="008A32B0">
        <w:rPr>
          <w:lang w:val="en-US"/>
        </w:rPr>
        <w:t xml:space="preserve"> </w:t>
      </w:r>
      <w:r w:rsidR="00466A90">
        <w:rPr>
          <w:lang w:val="en-US"/>
        </w:rPr>
        <w:t>of</w:t>
      </w:r>
      <w:r w:rsidR="008A32B0">
        <w:rPr>
          <w:lang w:val="en-US"/>
        </w:rPr>
        <w:t xml:space="preserve"> 10 years</w:t>
      </w:r>
      <w:r w:rsidR="004B441E">
        <w:rPr>
          <w:lang w:val="en-US"/>
        </w:rPr>
        <w:t xml:space="preserve">. Figure </w:t>
      </w:r>
      <w:r w:rsidR="005B3379">
        <w:rPr>
          <w:lang w:val="en-US"/>
        </w:rPr>
        <w:t>3</w:t>
      </w:r>
      <w:r w:rsidR="004B441E">
        <w:rPr>
          <w:lang w:val="en-US"/>
        </w:rPr>
        <w:t>. illustrates the NPV with respect to the volume of a single reactor. The trend exhibits a significative peak</w:t>
      </w:r>
      <w:r w:rsidR="00466A90">
        <w:rPr>
          <w:lang w:val="en-US"/>
        </w:rPr>
        <w:t>,</w:t>
      </w:r>
      <w:r w:rsidR="001728EE">
        <w:rPr>
          <w:lang w:val="en-US"/>
        </w:rPr>
        <w:t xml:space="preserve"> corresponding to a volume of </w:t>
      </w:r>
      <w:r w:rsidR="002408EF">
        <w:rPr>
          <w:lang w:val="en-US"/>
        </w:rPr>
        <w:t>each</w:t>
      </w:r>
      <w:r w:rsidR="001728EE">
        <w:rPr>
          <w:lang w:val="en-US"/>
        </w:rPr>
        <w:t xml:space="preserve"> reactor of around 0.3 m</w:t>
      </w:r>
      <w:r w:rsidR="001728EE">
        <w:rPr>
          <w:vertAlign w:val="superscript"/>
          <w:lang w:val="en-US"/>
        </w:rPr>
        <w:t>3</w:t>
      </w:r>
      <w:r w:rsidR="008F2C6C">
        <w:rPr>
          <w:lang w:val="en-US"/>
        </w:rPr>
        <w:t xml:space="preserve">, which </w:t>
      </w:r>
      <w:r w:rsidR="007D67A7">
        <w:rPr>
          <w:lang w:val="en-US"/>
        </w:rPr>
        <w:t>aligns</w:t>
      </w:r>
      <w:r w:rsidR="0026524D">
        <w:rPr>
          <w:lang w:val="en-US"/>
        </w:rPr>
        <w:t xml:space="preserve"> with</w:t>
      </w:r>
      <w:r w:rsidR="008F2C6C">
        <w:rPr>
          <w:lang w:val="en-US"/>
        </w:rPr>
        <w:t xml:space="preserve"> </w:t>
      </w:r>
      <w:r w:rsidR="00DD3B1D">
        <w:rPr>
          <w:lang w:val="en-US"/>
        </w:rPr>
        <w:t>the volume needed to approximately achieve</w:t>
      </w:r>
      <w:r w:rsidR="0026524D">
        <w:rPr>
          <w:lang w:val="en-US"/>
        </w:rPr>
        <w:t xml:space="preserve"> </w:t>
      </w:r>
      <w:r w:rsidR="00DD3B1D">
        <w:rPr>
          <w:lang w:val="en-US"/>
        </w:rPr>
        <w:t xml:space="preserve">thermodynamic equilibrium. </w:t>
      </w:r>
      <w:r w:rsidR="007476D0">
        <w:rPr>
          <w:lang w:val="en-US"/>
        </w:rPr>
        <w:t>The corresponding optimal conversion</w:t>
      </w:r>
      <w:r w:rsidR="00BB54A1">
        <w:rPr>
          <w:lang w:val="en-US"/>
        </w:rPr>
        <w:t>s</w:t>
      </w:r>
      <w:r w:rsidR="000C0599">
        <w:rPr>
          <w:lang w:val="en-US"/>
        </w:rPr>
        <w:t xml:space="preserve"> of both reactors and </w:t>
      </w:r>
      <w:r w:rsidR="0026524D">
        <w:rPr>
          <w:lang w:val="en-US"/>
        </w:rPr>
        <w:t xml:space="preserve">the </w:t>
      </w:r>
      <w:r w:rsidR="000C0599">
        <w:rPr>
          <w:lang w:val="en-US"/>
        </w:rPr>
        <w:t>synthesis section</w:t>
      </w:r>
      <w:r w:rsidR="00BB54A1">
        <w:rPr>
          <w:lang w:val="en-US"/>
        </w:rPr>
        <w:t xml:space="preserve"> are</w:t>
      </w:r>
      <w:r w:rsidR="000C0599">
        <w:rPr>
          <w:lang w:val="en-US"/>
        </w:rPr>
        <w:t xml:space="preserve"> respectively</w:t>
      </w:r>
      <w:r w:rsidR="00BB54A1">
        <w:rPr>
          <w:lang w:val="en-US"/>
        </w:rPr>
        <w:t xml:space="preserve"> equal to </w:t>
      </w:r>
      <w:r w:rsidR="000C0599">
        <w:rPr>
          <w:lang w:val="en-US"/>
        </w:rPr>
        <w:t>41</w:t>
      </w:r>
      <w:r w:rsidR="00F32627">
        <w:rPr>
          <w:lang w:val="en-US"/>
        </w:rPr>
        <w:t xml:space="preserve"> </w:t>
      </w:r>
      <w:r w:rsidR="000C0599">
        <w:rPr>
          <w:lang w:val="en-US"/>
        </w:rPr>
        <w:t xml:space="preserve">% and </w:t>
      </w:r>
      <w:r w:rsidR="00BB54A1">
        <w:rPr>
          <w:lang w:val="en-US"/>
        </w:rPr>
        <w:t>89</w:t>
      </w:r>
      <w:r w:rsidR="00F32627">
        <w:rPr>
          <w:lang w:val="en-US"/>
        </w:rPr>
        <w:t xml:space="preserve"> </w:t>
      </w:r>
      <w:r w:rsidR="000C0599">
        <w:rPr>
          <w:lang w:val="en-US"/>
        </w:rPr>
        <w:t>%</w:t>
      </w:r>
      <w:r w:rsidR="00F32627">
        <w:rPr>
          <w:lang w:val="en-US"/>
        </w:rPr>
        <w:t xml:space="preserve">. Figure </w:t>
      </w:r>
      <w:r w:rsidR="002441B5">
        <w:rPr>
          <w:lang w:val="en-US"/>
        </w:rPr>
        <w:t>4</w:t>
      </w:r>
      <w:r w:rsidR="00F32627">
        <w:rPr>
          <w:lang w:val="en-US"/>
        </w:rPr>
        <w:t xml:space="preserve">. </w:t>
      </w:r>
      <w:r w:rsidR="00CF7CF5">
        <w:rPr>
          <w:lang w:val="en-US"/>
        </w:rPr>
        <w:t>represents</w:t>
      </w:r>
      <w:r w:rsidR="00F32627">
        <w:rPr>
          <w:lang w:val="en-US"/>
        </w:rPr>
        <w:t xml:space="preserve"> </w:t>
      </w:r>
      <w:r w:rsidR="003D3F64">
        <w:rPr>
          <w:lang w:val="en-US"/>
        </w:rPr>
        <w:t xml:space="preserve">the Gas Hourly Space </w:t>
      </w:r>
      <w:r w:rsidR="00CF7CF5">
        <w:rPr>
          <w:lang w:val="en-US"/>
        </w:rPr>
        <w:t>Velocity</w:t>
      </w:r>
      <w:r w:rsidR="0045124C">
        <w:rPr>
          <w:lang w:val="en-US"/>
        </w:rPr>
        <w:t xml:space="preserve"> (GHSV)</w:t>
      </w:r>
      <w:r w:rsidR="00CF7CF5">
        <w:rPr>
          <w:lang w:val="en-US"/>
        </w:rPr>
        <w:t xml:space="preserve"> and the Stoichiometric Number</w:t>
      </w:r>
      <w:r w:rsidR="0045124C">
        <w:rPr>
          <w:lang w:val="en-US"/>
        </w:rPr>
        <w:t xml:space="preserve"> (SN)</w:t>
      </w:r>
      <w:r w:rsidR="00CF7CF5">
        <w:rPr>
          <w:lang w:val="en-US"/>
        </w:rPr>
        <w:t xml:space="preserve"> </w:t>
      </w:r>
      <w:r w:rsidR="00BB0B8C">
        <w:rPr>
          <w:lang w:val="en-US"/>
        </w:rPr>
        <w:t>concerning</w:t>
      </w:r>
      <w:r w:rsidR="00CF7CF5">
        <w:rPr>
          <w:lang w:val="en-US"/>
        </w:rPr>
        <w:t xml:space="preserve"> the same independent variable. </w:t>
      </w:r>
      <w:r w:rsidR="00C7622C">
        <w:rPr>
          <w:lang w:val="en-US"/>
        </w:rPr>
        <w:t xml:space="preserve">As </w:t>
      </w:r>
      <w:r w:rsidR="008656C6">
        <w:rPr>
          <w:lang w:val="en-US"/>
        </w:rPr>
        <w:t xml:space="preserve">commonly known in </w:t>
      </w:r>
      <w:r w:rsidR="00BB0B8C">
        <w:rPr>
          <w:lang w:val="en-US"/>
        </w:rPr>
        <w:t xml:space="preserve">the </w:t>
      </w:r>
      <w:r w:rsidR="008656C6">
        <w:rPr>
          <w:lang w:val="en-US"/>
        </w:rPr>
        <w:t xml:space="preserve">literature, </w:t>
      </w:r>
      <w:r w:rsidR="00C7622C">
        <w:rPr>
          <w:lang w:val="en-US"/>
        </w:rPr>
        <w:t>the</w:t>
      </w:r>
      <w:r w:rsidR="0045124C">
        <w:rPr>
          <w:lang w:val="en-US"/>
        </w:rPr>
        <w:t xml:space="preserve"> </w:t>
      </w:r>
      <w:r w:rsidR="0070420A">
        <w:rPr>
          <w:lang w:val="en-US"/>
        </w:rPr>
        <w:t>corresponding o</w:t>
      </w:r>
      <w:r w:rsidR="0045124C">
        <w:rPr>
          <w:lang w:val="en-US"/>
        </w:rPr>
        <w:t xml:space="preserve">ptimal SN </w:t>
      </w:r>
      <w:r w:rsidR="0070420A">
        <w:rPr>
          <w:lang w:val="en-US"/>
        </w:rPr>
        <w:t xml:space="preserve">has been found </w:t>
      </w:r>
      <w:r w:rsidR="00BB0B8C">
        <w:rPr>
          <w:lang w:val="en-US"/>
        </w:rPr>
        <w:t>to be</w:t>
      </w:r>
      <w:r w:rsidR="0070420A">
        <w:rPr>
          <w:lang w:val="en-US"/>
        </w:rPr>
        <w:t xml:space="preserve"> 2.0</w:t>
      </w:r>
      <w:r w:rsidR="00851C7D">
        <w:rPr>
          <w:lang w:val="en-US"/>
        </w:rPr>
        <w:t xml:space="preserve">, while the optimal GHSV parameter, commonly used </w:t>
      </w:r>
      <w:r w:rsidR="008D09F5">
        <w:rPr>
          <w:lang w:val="en-US"/>
        </w:rPr>
        <w:t>in</w:t>
      </w:r>
      <w:r w:rsidR="00851C7D">
        <w:rPr>
          <w:lang w:val="en-US"/>
        </w:rPr>
        <w:t xml:space="preserve"> </w:t>
      </w:r>
      <w:r w:rsidR="00BB0B8C">
        <w:rPr>
          <w:lang w:val="en-US"/>
        </w:rPr>
        <w:t>describ</w:t>
      </w:r>
      <w:r w:rsidR="008D09F5">
        <w:rPr>
          <w:lang w:val="en-US"/>
        </w:rPr>
        <w:t>ing</w:t>
      </w:r>
      <w:r w:rsidR="00851C7D">
        <w:rPr>
          <w:lang w:val="en-US"/>
        </w:rPr>
        <w:t xml:space="preserve"> the reactive unit, has bee</w:t>
      </w:r>
      <w:r w:rsidR="00741A7B">
        <w:rPr>
          <w:lang w:val="en-US"/>
        </w:rPr>
        <w:t xml:space="preserve">n estimated </w:t>
      </w:r>
      <w:r w:rsidR="008D09F5">
        <w:rPr>
          <w:lang w:val="en-US"/>
        </w:rPr>
        <w:t xml:space="preserve">at </w:t>
      </w:r>
      <w:r w:rsidR="00741A7B">
        <w:rPr>
          <w:lang w:val="en-US"/>
        </w:rPr>
        <w:t>17,000 h</w:t>
      </w:r>
      <w:r w:rsidR="00741A7B">
        <w:rPr>
          <w:vertAlign w:val="superscript"/>
          <w:lang w:val="en-US"/>
        </w:rPr>
        <w:t>-1</w:t>
      </w:r>
      <w:r w:rsidR="00DF0CCD">
        <w:rPr>
          <w:lang w:val="en-US"/>
        </w:rPr>
        <w:t>.</w:t>
      </w:r>
      <w:r w:rsidR="0002118A">
        <w:rPr>
          <w:lang w:val="en-US"/>
        </w:rPr>
        <w:t xml:space="preserve"> </w:t>
      </w:r>
      <w:r w:rsidR="008D09F5">
        <w:rPr>
          <w:lang w:val="en-US"/>
        </w:rPr>
        <w:t>Simultaneously</w:t>
      </w:r>
      <w:r w:rsidR="00EF604B">
        <w:rPr>
          <w:lang w:val="en-US"/>
        </w:rPr>
        <w:t xml:space="preserve">, </w:t>
      </w:r>
      <w:r w:rsidR="00D846F2">
        <w:rPr>
          <w:lang w:val="en-US"/>
        </w:rPr>
        <w:t>these results</w:t>
      </w:r>
      <w:r w:rsidR="000D19EA">
        <w:rPr>
          <w:lang w:val="en-US"/>
        </w:rPr>
        <w:t xml:space="preserve"> </w:t>
      </w:r>
      <w:r w:rsidR="00733125">
        <w:rPr>
          <w:lang w:val="en-US"/>
        </w:rPr>
        <w:t xml:space="preserve">validate the model </w:t>
      </w:r>
      <w:r w:rsidR="00830B88">
        <w:rPr>
          <w:lang w:val="en-US"/>
        </w:rPr>
        <w:t xml:space="preserve">outlined </w:t>
      </w:r>
      <w:r w:rsidR="00304342">
        <w:rPr>
          <w:lang w:val="en-US"/>
        </w:rPr>
        <w:t>in Section</w:t>
      </w:r>
      <w:r w:rsidR="00557E00">
        <w:rPr>
          <w:lang w:val="en-US"/>
        </w:rPr>
        <w:t xml:space="preserve"> 2</w:t>
      </w:r>
      <w:r w:rsidR="00565020">
        <w:rPr>
          <w:lang w:val="en-US"/>
        </w:rPr>
        <w:t>, opening new routes for more advanced and complex optimizations.</w:t>
      </w:r>
    </w:p>
    <w:p w14:paraId="0CC86F08" w14:textId="3A3346CF" w:rsidR="00525AD5" w:rsidRPr="00AA7FFB" w:rsidRDefault="00DE04E4" w:rsidP="00525AD5">
      <w:pPr>
        <w:spacing w:before="120"/>
        <w:rPr>
          <w:lang w:val="en-US"/>
        </w:rPr>
      </w:pPr>
      <w:r>
        <w:rPr>
          <w:noProof/>
          <w:lang w:val="en-US"/>
        </w:rPr>
        <w:drawing>
          <wp:inline distT="0" distB="0" distL="0" distR="0" wp14:anchorId="5C305308" wp14:editId="35679EC8">
            <wp:extent cx="4499610" cy="228473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9610" cy="2284730"/>
                    </a:xfrm>
                    <a:prstGeom prst="rect">
                      <a:avLst/>
                    </a:prstGeom>
                  </pic:spPr>
                </pic:pic>
              </a:graphicData>
            </a:graphic>
          </wp:inline>
        </w:drawing>
      </w:r>
    </w:p>
    <w:p w14:paraId="3B08AED8" w14:textId="3D98687E" w:rsidR="00525AD5" w:rsidRDefault="00525AD5" w:rsidP="00525AD5">
      <w:pPr>
        <w:spacing w:before="120"/>
        <w:rPr>
          <w:lang w:val="en-US"/>
        </w:rPr>
      </w:pPr>
      <w:r>
        <w:rPr>
          <w:lang w:val="en-US"/>
        </w:rPr>
        <w:t xml:space="preserve">Figure </w:t>
      </w:r>
      <w:r w:rsidR="005B3379">
        <w:rPr>
          <w:lang w:val="en-US"/>
        </w:rPr>
        <w:t>4</w:t>
      </w:r>
      <w:r>
        <w:rPr>
          <w:lang w:val="en-US"/>
        </w:rPr>
        <w:t xml:space="preserve">. Dependence of GHSV and SN </w:t>
      </w:r>
      <w:r w:rsidR="005E116A">
        <w:rPr>
          <w:lang w:val="en-US"/>
        </w:rPr>
        <w:t>on</w:t>
      </w:r>
      <w:r>
        <w:rPr>
          <w:lang w:val="en-US"/>
        </w:rPr>
        <w:t xml:space="preserve"> the volume of each reactor</w:t>
      </w:r>
    </w:p>
    <w:p w14:paraId="6E3595AF" w14:textId="6E98408E" w:rsidR="00196538" w:rsidRDefault="00196538" w:rsidP="00C33204">
      <w:pPr>
        <w:pStyle w:val="Els-1storder-head"/>
        <w:spacing w:after="120"/>
        <w:rPr>
          <w:lang w:val="en-GB"/>
        </w:rPr>
      </w:pPr>
      <w:r>
        <w:rPr>
          <w:lang w:val="en-GB"/>
        </w:rPr>
        <w:lastRenderedPageBreak/>
        <w:t>Conclusion</w:t>
      </w:r>
      <w:r w:rsidR="00187306">
        <w:rPr>
          <w:lang w:val="en-GB"/>
        </w:rPr>
        <w:t>s</w:t>
      </w:r>
      <w:r w:rsidR="00010C3B">
        <w:rPr>
          <w:lang w:val="en-GB"/>
        </w:rPr>
        <w:t xml:space="preserve"> and </w:t>
      </w:r>
      <w:r w:rsidR="000A0002">
        <w:rPr>
          <w:lang w:val="en-GB"/>
        </w:rPr>
        <w:t>F</w:t>
      </w:r>
      <w:r w:rsidR="00010C3B">
        <w:rPr>
          <w:lang w:val="en-GB"/>
        </w:rPr>
        <w:t xml:space="preserve">urther </w:t>
      </w:r>
      <w:r w:rsidR="000A0002">
        <w:rPr>
          <w:lang w:val="en-GB"/>
        </w:rPr>
        <w:t>D</w:t>
      </w:r>
      <w:r w:rsidR="00010C3B">
        <w:rPr>
          <w:lang w:val="en-GB"/>
        </w:rPr>
        <w:t>evelopment</w:t>
      </w:r>
      <w:r w:rsidR="00187306">
        <w:rPr>
          <w:lang w:val="en-GB"/>
        </w:rPr>
        <w:t>s</w:t>
      </w:r>
    </w:p>
    <w:p w14:paraId="638BA5AA" w14:textId="3348737C" w:rsidR="004F2E8A" w:rsidRDefault="00F37A06" w:rsidP="004F2E8A">
      <w:pPr>
        <w:pStyle w:val="Els-body-text"/>
        <w:rPr>
          <w:lang w:val="en-GB"/>
        </w:rPr>
      </w:pPr>
      <w:r>
        <w:rPr>
          <w:lang w:val="en-GB"/>
        </w:rPr>
        <w:t>This study focuses</w:t>
      </w:r>
      <w:r w:rsidR="009D2DFD">
        <w:rPr>
          <w:lang w:val="en-GB"/>
        </w:rPr>
        <w:t xml:space="preserve"> on</w:t>
      </w:r>
      <w:r w:rsidR="0038298B">
        <w:rPr>
          <w:lang w:val="en-GB"/>
        </w:rPr>
        <w:t xml:space="preserve"> </w:t>
      </w:r>
      <w:r w:rsidR="007E034C">
        <w:rPr>
          <w:lang w:val="en-GB"/>
        </w:rPr>
        <w:t xml:space="preserve">the </w:t>
      </w:r>
      <w:r w:rsidR="00DD1874">
        <w:t xml:space="preserve">economic viability and optimization of </w:t>
      </w:r>
      <w:r w:rsidR="00631F77">
        <w:rPr>
          <w:lang w:val="en-GB"/>
        </w:rPr>
        <w:t>the synthesis section of a</w:t>
      </w:r>
      <w:r w:rsidR="00DD1874">
        <w:rPr>
          <w:lang w:val="en-GB"/>
        </w:rPr>
        <w:t xml:space="preserve"> </w:t>
      </w:r>
      <w:r w:rsidR="00631F77">
        <w:rPr>
          <w:lang w:val="en-GB"/>
        </w:rPr>
        <w:t>small-scale biogas-to-methanol plant.</w:t>
      </w:r>
      <w:r w:rsidR="00050158">
        <w:rPr>
          <w:lang w:val="en-GB"/>
        </w:rPr>
        <w:t xml:space="preserve"> This </w:t>
      </w:r>
      <w:r w:rsidR="00886BAE">
        <w:rPr>
          <w:lang w:val="en-GB"/>
        </w:rPr>
        <w:t>section</w:t>
      </w:r>
      <w:r w:rsidR="00DF7BBA">
        <w:rPr>
          <w:lang w:val="en-GB"/>
        </w:rPr>
        <w:t xml:space="preserve"> can be divided into two identical parts</w:t>
      </w:r>
      <w:r w:rsidR="00F47DC1">
        <w:rPr>
          <w:lang w:val="en-GB"/>
        </w:rPr>
        <w:t>, each one</w:t>
      </w:r>
      <w:r w:rsidR="00DF7BBA">
        <w:rPr>
          <w:lang w:val="en-GB"/>
        </w:rPr>
        <w:t xml:space="preserve"> composed by </w:t>
      </w:r>
      <w:r w:rsidR="00333744">
        <w:rPr>
          <w:lang w:val="en-GB"/>
        </w:rPr>
        <w:t>three</w:t>
      </w:r>
      <w:r w:rsidR="00DF7BBA">
        <w:rPr>
          <w:lang w:val="en-GB"/>
        </w:rPr>
        <w:t xml:space="preserve"> heat exchangers </w:t>
      </w:r>
      <w:r w:rsidR="00886BAE">
        <w:rPr>
          <w:lang w:val="en-GB"/>
        </w:rPr>
        <w:t>for heating and cooling</w:t>
      </w:r>
      <w:r w:rsidR="00DF7BBA">
        <w:rPr>
          <w:lang w:val="en-GB"/>
        </w:rPr>
        <w:t xml:space="preserve"> the mixture, a multi-tubular reactor</w:t>
      </w:r>
      <w:r w:rsidR="00333744">
        <w:rPr>
          <w:lang w:val="en-GB"/>
        </w:rPr>
        <w:t xml:space="preserve"> and a separator</w:t>
      </w:r>
      <w:r w:rsidR="003632C4">
        <w:rPr>
          <w:lang w:val="en-GB"/>
        </w:rPr>
        <w:t>. The unreacted</w:t>
      </w:r>
      <w:r w:rsidR="00B05E79">
        <w:rPr>
          <w:lang w:val="en-GB"/>
        </w:rPr>
        <w:t xml:space="preserve"> gases </w:t>
      </w:r>
      <w:r w:rsidR="00C46DD3">
        <w:rPr>
          <w:lang w:val="en-GB"/>
        </w:rPr>
        <w:t>are recycled</w:t>
      </w:r>
      <w:r w:rsidR="00886BAE">
        <w:rPr>
          <w:lang w:val="en-GB"/>
        </w:rPr>
        <w:t>, with</w:t>
      </w:r>
      <w:r w:rsidR="00C46DD3">
        <w:rPr>
          <w:lang w:val="en-GB"/>
        </w:rPr>
        <w:t xml:space="preserve"> a fraction vent</w:t>
      </w:r>
      <w:r w:rsidR="00886BAE">
        <w:rPr>
          <w:lang w:val="en-GB"/>
        </w:rPr>
        <w:t>ed</w:t>
      </w:r>
      <w:r w:rsidR="00C46DD3">
        <w:rPr>
          <w:lang w:val="en-GB"/>
        </w:rPr>
        <w:t>.</w:t>
      </w:r>
      <w:r w:rsidR="005C4845">
        <w:rPr>
          <w:lang w:val="en-GB"/>
        </w:rPr>
        <w:t xml:space="preserve"> The</w:t>
      </w:r>
      <w:r w:rsidR="00886BAE">
        <w:rPr>
          <w:lang w:val="en-GB"/>
        </w:rPr>
        <w:t xml:space="preserve"> plant</w:t>
      </w:r>
      <w:r w:rsidR="005C4845">
        <w:rPr>
          <w:lang w:val="en-GB"/>
        </w:rPr>
        <w:t xml:space="preserve"> economics </w:t>
      </w:r>
      <w:r w:rsidR="00BE7EB6">
        <w:rPr>
          <w:lang w:val="en-GB"/>
        </w:rPr>
        <w:t xml:space="preserve">were </w:t>
      </w:r>
      <w:r w:rsidR="005C4845">
        <w:rPr>
          <w:lang w:val="en-GB"/>
        </w:rPr>
        <w:t>estimated using</w:t>
      </w:r>
      <w:r w:rsidR="000419B9">
        <w:rPr>
          <w:lang w:val="en-GB"/>
        </w:rPr>
        <w:t xml:space="preserve"> a</w:t>
      </w:r>
      <w:r w:rsidR="005C4845">
        <w:rPr>
          <w:lang w:val="en-GB"/>
        </w:rPr>
        <w:t xml:space="preserve"> common</w:t>
      </w:r>
      <w:r w:rsidR="00C376D6">
        <w:rPr>
          <w:lang w:val="en-GB"/>
        </w:rPr>
        <w:t xml:space="preserve"> procedure to assess its feasibility. </w:t>
      </w:r>
      <w:r w:rsidR="00711673">
        <w:rPr>
          <w:lang w:val="en-GB"/>
        </w:rPr>
        <w:t>Subsequently</w:t>
      </w:r>
      <w:r w:rsidR="00C376D6">
        <w:rPr>
          <w:lang w:val="en-GB"/>
        </w:rPr>
        <w:t xml:space="preserve">, </w:t>
      </w:r>
      <w:r w:rsidR="004E0A48">
        <w:rPr>
          <w:lang w:val="en-GB"/>
        </w:rPr>
        <w:t xml:space="preserve">economic optimization </w:t>
      </w:r>
      <w:r w:rsidR="00711673">
        <w:rPr>
          <w:lang w:val="en-GB"/>
        </w:rPr>
        <w:t>of the</w:t>
      </w:r>
      <w:r w:rsidR="006F410A">
        <w:rPr>
          <w:lang w:val="en-GB"/>
        </w:rPr>
        <w:t xml:space="preserve"> NPV </w:t>
      </w:r>
      <w:r w:rsidR="004E0A48">
        <w:rPr>
          <w:lang w:val="en-GB"/>
        </w:rPr>
        <w:t xml:space="preserve">by varying the volume </w:t>
      </w:r>
      <w:r w:rsidR="00E179A9">
        <w:rPr>
          <w:lang w:val="en-GB"/>
        </w:rPr>
        <w:t>of the reactors</w:t>
      </w:r>
      <w:r w:rsidR="00D118FA">
        <w:rPr>
          <w:lang w:val="en-GB"/>
        </w:rPr>
        <w:t xml:space="preserve"> within its common range of operation</w:t>
      </w:r>
      <w:r w:rsidR="004E0A48">
        <w:rPr>
          <w:lang w:val="en-GB"/>
        </w:rPr>
        <w:t xml:space="preserve"> </w:t>
      </w:r>
      <w:r w:rsidR="00711673">
        <w:rPr>
          <w:lang w:val="en-GB"/>
        </w:rPr>
        <w:t>was</w:t>
      </w:r>
      <w:r w:rsidR="004E0A48">
        <w:rPr>
          <w:lang w:val="en-GB"/>
        </w:rPr>
        <w:t xml:space="preserve"> performed</w:t>
      </w:r>
      <w:r w:rsidR="004D5E1A">
        <w:rPr>
          <w:lang w:val="en-GB"/>
        </w:rPr>
        <w:t xml:space="preserve"> to </w:t>
      </w:r>
      <w:r w:rsidR="00711673">
        <w:rPr>
          <w:lang w:val="en-GB"/>
        </w:rPr>
        <w:t>evaluate</w:t>
      </w:r>
      <w:r w:rsidR="004D5E1A">
        <w:rPr>
          <w:lang w:val="en-GB"/>
        </w:rPr>
        <w:t xml:space="preserve"> its impact on the </w:t>
      </w:r>
      <w:r w:rsidR="00E80C43">
        <w:rPr>
          <w:lang w:val="en-GB"/>
        </w:rPr>
        <w:t xml:space="preserve">economics of the </w:t>
      </w:r>
      <w:r w:rsidR="00AC21B4">
        <w:rPr>
          <w:lang w:val="en-GB"/>
        </w:rPr>
        <w:t>section</w:t>
      </w:r>
      <w:r w:rsidR="00E80C43">
        <w:rPr>
          <w:lang w:val="en-GB"/>
        </w:rPr>
        <w:t xml:space="preserve">. </w:t>
      </w:r>
      <w:r w:rsidR="00AE7EEB">
        <w:rPr>
          <w:lang w:val="en-GB"/>
        </w:rPr>
        <w:t xml:space="preserve">The </w:t>
      </w:r>
      <w:r w:rsidR="00D218F4">
        <w:rPr>
          <w:lang w:val="en-GB"/>
        </w:rPr>
        <w:t>NPV trend</w:t>
      </w:r>
      <w:r w:rsidR="00AC21B4">
        <w:rPr>
          <w:lang w:val="en-GB"/>
        </w:rPr>
        <w:t>,</w:t>
      </w:r>
      <w:r w:rsidR="00D218F4">
        <w:rPr>
          <w:lang w:val="en-GB"/>
        </w:rPr>
        <w:t xml:space="preserve"> </w:t>
      </w:r>
      <w:r w:rsidR="00AC21B4">
        <w:rPr>
          <w:lang w:val="en-GB"/>
        </w:rPr>
        <w:t>concerning</w:t>
      </w:r>
      <w:r w:rsidR="00D218F4">
        <w:rPr>
          <w:lang w:val="en-GB"/>
        </w:rPr>
        <w:t xml:space="preserve"> the volume of each reactor</w:t>
      </w:r>
      <w:r w:rsidR="00CE0523">
        <w:rPr>
          <w:lang w:val="en-GB"/>
        </w:rPr>
        <w:t>,</w:t>
      </w:r>
      <w:r w:rsidR="00D218F4">
        <w:rPr>
          <w:lang w:val="en-GB"/>
        </w:rPr>
        <w:t xml:space="preserve"> </w:t>
      </w:r>
      <w:r w:rsidR="00CE0523">
        <w:rPr>
          <w:lang w:val="en-GB"/>
        </w:rPr>
        <w:t>exhibits</w:t>
      </w:r>
      <w:r w:rsidR="00D218F4">
        <w:rPr>
          <w:lang w:val="en-GB"/>
        </w:rPr>
        <w:t xml:space="preserve"> a </w:t>
      </w:r>
      <w:r w:rsidR="009601B9">
        <w:rPr>
          <w:lang w:val="en-GB"/>
        </w:rPr>
        <w:t xml:space="preserve">clear peak </w:t>
      </w:r>
      <w:r w:rsidR="00115BA3">
        <w:rPr>
          <w:lang w:val="en-GB"/>
        </w:rPr>
        <w:t>at</w:t>
      </w:r>
      <w:r w:rsidR="008C1607">
        <w:rPr>
          <w:lang w:val="en-GB"/>
        </w:rPr>
        <w:t xml:space="preserve"> around 0.3 m</w:t>
      </w:r>
      <w:r w:rsidR="008C1607">
        <w:rPr>
          <w:vertAlign w:val="superscript"/>
          <w:lang w:val="en-GB"/>
        </w:rPr>
        <w:t>3</w:t>
      </w:r>
      <w:r w:rsidR="008C1607">
        <w:rPr>
          <w:lang w:val="en-GB"/>
        </w:rPr>
        <w:t xml:space="preserve">. The </w:t>
      </w:r>
      <w:r w:rsidR="00C14F91">
        <w:rPr>
          <w:lang w:val="en-GB"/>
        </w:rPr>
        <w:t xml:space="preserve">SN and GHSV values </w:t>
      </w:r>
      <w:r w:rsidR="00115BA3">
        <w:rPr>
          <w:lang w:val="en-GB"/>
        </w:rPr>
        <w:t>at</w:t>
      </w:r>
      <w:r w:rsidR="002F1C7E">
        <w:rPr>
          <w:lang w:val="en-GB"/>
        </w:rPr>
        <w:t xml:space="preserve"> the optimal point</w:t>
      </w:r>
      <w:r w:rsidR="003A0999">
        <w:rPr>
          <w:lang w:val="en-GB"/>
        </w:rPr>
        <w:t>, under fixed operating conditions</w:t>
      </w:r>
      <w:r w:rsidR="005A5058">
        <w:rPr>
          <w:lang w:val="en-GB"/>
        </w:rPr>
        <w:t>,</w:t>
      </w:r>
      <w:r w:rsidR="002F1C7E">
        <w:rPr>
          <w:lang w:val="en-GB"/>
        </w:rPr>
        <w:t xml:space="preserve"> </w:t>
      </w:r>
      <w:r w:rsidR="00091F3A">
        <w:rPr>
          <w:lang w:val="en-GB"/>
        </w:rPr>
        <w:t>are 2.0 and 17,000 h</w:t>
      </w:r>
      <w:r w:rsidR="00091F3A">
        <w:rPr>
          <w:vertAlign w:val="superscript"/>
          <w:lang w:val="en-GB"/>
        </w:rPr>
        <w:t>-1</w:t>
      </w:r>
      <w:r w:rsidR="005A6043">
        <w:rPr>
          <w:lang w:val="en-GB"/>
        </w:rPr>
        <w:t xml:space="preserve">, </w:t>
      </w:r>
      <w:r w:rsidR="005A5058">
        <w:rPr>
          <w:lang w:val="en-GB"/>
        </w:rPr>
        <w:t xml:space="preserve">respectively, </w:t>
      </w:r>
      <w:r w:rsidR="005042A4">
        <w:rPr>
          <w:lang w:val="en-GB"/>
        </w:rPr>
        <w:t>consistent with literature values</w:t>
      </w:r>
      <w:r w:rsidR="0052237B">
        <w:rPr>
          <w:lang w:val="en-GB"/>
        </w:rPr>
        <w:t>.</w:t>
      </w:r>
      <w:r w:rsidR="005D373A">
        <w:rPr>
          <w:lang w:val="en-GB"/>
        </w:rPr>
        <w:t xml:space="preserve"> Both operating and capital costs are </w:t>
      </w:r>
      <w:r w:rsidR="005042A4">
        <w:rPr>
          <w:lang w:val="en-GB"/>
        </w:rPr>
        <w:t>highly</w:t>
      </w:r>
      <w:r w:rsidR="005D373A">
        <w:rPr>
          <w:lang w:val="en-GB"/>
        </w:rPr>
        <w:t xml:space="preserve"> </w:t>
      </w:r>
      <w:r w:rsidR="00D33531">
        <w:rPr>
          <w:lang w:val="en-GB"/>
        </w:rPr>
        <w:t>sensitive</w:t>
      </w:r>
      <w:r w:rsidR="005D373A">
        <w:rPr>
          <w:lang w:val="en-GB"/>
        </w:rPr>
        <w:t xml:space="preserve"> to the chosen independent variable</w:t>
      </w:r>
      <w:r w:rsidR="00BA5CF0">
        <w:rPr>
          <w:lang w:val="en-GB"/>
        </w:rPr>
        <w:t>.</w:t>
      </w:r>
      <w:r w:rsidR="0052237B">
        <w:rPr>
          <w:lang w:val="en-GB"/>
        </w:rPr>
        <w:t xml:space="preserve"> </w:t>
      </w:r>
      <w:r w:rsidR="00D46C28">
        <w:rPr>
          <w:lang w:val="en-GB"/>
        </w:rPr>
        <w:t xml:space="preserve">The </w:t>
      </w:r>
      <w:r w:rsidR="00A52DA9">
        <w:rPr>
          <w:lang w:val="en-GB"/>
        </w:rPr>
        <w:t>capital costs of the</w:t>
      </w:r>
      <w:r w:rsidR="00BA5CF0">
        <w:rPr>
          <w:lang w:val="en-GB"/>
        </w:rPr>
        <w:t xml:space="preserve"> </w:t>
      </w:r>
      <w:r w:rsidR="0028062F">
        <w:rPr>
          <w:lang w:val="en-GB"/>
        </w:rPr>
        <w:t xml:space="preserve">reactors </w:t>
      </w:r>
      <w:r w:rsidR="003745D0">
        <w:rPr>
          <w:lang w:val="en-GB"/>
        </w:rPr>
        <w:t xml:space="preserve">and </w:t>
      </w:r>
      <w:r w:rsidR="00B627D3">
        <w:rPr>
          <w:lang w:val="en-GB"/>
        </w:rPr>
        <w:t>process-to-process heat exchanger</w:t>
      </w:r>
      <w:r w:rsidR="007A2223">
        <w:rPr>
          <w:lang w:val="en-GB"/>
        </w:rPr>
        <w:t xml:space="preserve">s </w:t>
      </w:r>
      <w:r w:rsidR="004F2E8A">
        <w:rPr>
          <w:lang w:val="en-GB"/>
        </w:rPr>
        <w:t>are</w:t>
      </w:r>
      <w:r w:rsidR="00BA5CF0">
        <w:rPr>
          <w:lang w:val="en-GB"/>
        </w:rPr>
        <w:t xml:space="preserve"> </w:t>
      </w:r>
      <w:r w:rsidR="00B7650E">
        <w:rPr>
          <w:lang w:val="en-GB"/>
        </w:rPr>
        <w:t>the most impactful</w:t>
      </w:r>
      <w:r w:rsidR="00055DBA">
        <w:rPr>
          <w:lang w:val="en-GB"/>
        </w:rPr>
        <w:t>, while t</w:t>
      </w:r>
      <w:r w:rsidR="005D373A">
        <w:rPr>
          <w:lang w:val="en-GB"/>
        </w:rPr>
        <w:t>he</w:t>
      </w:r>
      <w:r w:rsidR="00A52DA9">
        <w:rPr>
          <w:lang w:val="en-GB"/>
        </w:rPr>
        <w:t xml:space="preserve"> operating expenditure related to the synthesis section </w:t>
      </w:r>
      <w:r w:rsidR="00B17B55">
        <w:rPr>
          <w:lang w:val="en-GB"/>
        </w:rPr>
        <w:t>is</w:t>
      </w:r>
      <w:r w:rsidR="00055DBA">
        <w:rPr>
          <w:lang w:val="en-GB"/>
        </w:rPr>
        <w:t xml:space="preserve"> relatively less </w:t>
      </w:r>
      <w:r w:rsidR="00B17B55">
        <w:rPr>
          <w:lang w:val="en-GB"/>
        </w:rPr>
        <w:t>significant</w:t>
      </w:r>
      <w:r w:rsidR="00055DBA">
        <w:rPr>
          <w:lang w:val="en-GB"/>
        </w:rPr>
        <w:t xml:space="preserve"> </w:t>
      </w:r>
      <w:r w:rsidR="00B17B55">
        <w:rPr>
          <w:lang w:val="en-GB"/>
        </w:rPr>
        <w:t>due to</w:t>
      </w:r>
      <w:r w:rsidR="00055DBA">
        <w:rPr>
          <w:lang w:val="en-GB"/>
        </w:rPr>
        <w:t xml:space="preserve"> the energy</w:t>
      </w:r>
      <w:r w:rsidR="00B17B55">
        <w:rPr>
          <w:lang w:val="en-GB"/>
        </w:rPr>
        <w:t>-</w:t>
      </w:r>
      <w:r w:rsidR="00055DBA">
        <w:rPr>
          <w:lang w:val="en-GB"/>
        </w:rPr>
        <w:t xml:space="preserve">integrated </w:t>
      </w:r>
      <w:r w:rsidR="007A2223">
        <w:rPr>
          <w:lang w:val="en-GB"/>
        </w:rPr>
        <w:t xml:space="preserve">process </w:t>
      </w:r>
      <w:r w:rsidR="00055DBA">
        <w:rPr>
          <w:lang w:val="en-GB"/>
        </w:rPr>
        <w:t>layout</w:t>
      </w:r>
      <w:r w:rsidR="005612EB">
        <w:rPr>
          <w:lang w:val="en-GB"/>
        </w:rPr>
        <w:t xml:space="preserve">. </w:t>
      </w:r>
      <w:r w:rsidR="009D0FE6">
        <w:rPr>
          <w:lang w:val="en-GB"/>
        </w:rPr>
        <w:t xml:space="preserve">Although </w:t>
      </w:r>
      <w:r w:rsidR="00206C0B">
        <w:rPr>
          <w:lang w:val="en-GB"/>
        </w:rPr>
        <w:t xml:space="preserve">this study neglected costs related to </w:t>
      </w:r>
      <w:r w:rsidR="00A662E3">
        <w:rPr>
          <w:lang w:val="en-GB"/>
        </w:rPr>
        <w:t>pre-</w:t>
      </w:r>
      <w:r w:rsidR="00206C0B">
        <w:rPr>
          <w:lang w:val="en-GB"/>
        </w:rPr>
        <w:t xml:space="preserve"> and post</w:t>
      </w:r>
      <w:r w:rsidR="009D0FE6">
        <w:rPr>
          <w:lang w:val="en-GB"/>
        </w:rPr>
        <w:t>-</w:t>
      </w:r>
      <w:r w:rsidR="00206C0B">
        <w:rPr>
          <w:lang w:val="en-GB"/>
        </w:rPr>
        <w:t xml:space="preserve">processing, </w:t>
      </w:r>
      <w:r w:rsidR="00DB77E7">
        <w:rPr>
          <w:lang w:val="en-GB"/>
        </w:rPr>
        <w:t xml:space="preserve">the </w:t>
      </w:r>
      <w:r w:rsidR="00305B0D">
        <w:rPr>
          <w:lang w:val="en-GB"/>
        </w:rPr>
        <w:t>process app</w:t>
      </w:r>
      <w:r w:rsidR="007A1B8C">
        <w:rPr>
          <w:lang w:val="en-GB"/>
        </w:rPr>
        <w:t>e</w:t>
      </w:r>
      <w:r w:rsidR="00305B0D">
        <w:rPr>
          <w:lang w:val="en-GB"/>
        </w:rPr>
        <w:t xml:space="preserve">ars </w:t>
      </w:r>
      <w:r w:rsidR="007A1B8C">
        <w:rPr>
          <w:lang w:val="en-GB"/>
        </w:rPr>
        <w:t>economically</w:t>
      </w:r>
      <w:r w:rsidR="00305B0D">
        <w:rPr>
          <w:lang w:val="en-GB"/>
        </w:rPr>
        <w:t xml:space="preserve"> feasible</w:t>
      </w:r>
      <w:r w:rsidR="00D066A9">
        <w:rPr>
          <w:lang w:val="en-GB"/>
        </w:rPr>
        <w:t>, given</w:t>
      </w:r>
      <w:r w:rsidR="008D1C49">
        <w:rPr>
          <w:lang w:val="en-GB"/>
        </w:rPr>
        <w:t xml:space="preserve"> the </w:t>
      </w:r>
      <w:r w:rsidR="00340E33">
        <w:rPr>
          <w:lang w:val="en-GB"/>
        </w:rPr>
        <w:t>considerable</w:t>
      </w:r>
      <w:r w:rsidR="008D1C49">
        <w:rPr>
          <w:lang w:val="en-GB"/>
        </w:rPr>
        <w:t xml:space="preserve"> methanol production and potential revenues.</w:t>
      </w:r>
      <w:r w:rsidR="000054DC">
        <w:rPr>
          <w:lang w:val="en-GB"/>
        </w:rPr>
        <w:t xml:space="preserve"> </w:t>
      </w:r>
      <w:r w:rsidR="00AC4925">
        <w:rPr>
          <w:lang w:val="en-GB"/>
        </w:rPr>
        <w:t>Th</w:t>
      </w:r>
      <w:r w:rsidR="005211CA">
        <w:rPr>
          <w:lang w:val="en-GB"/>
        </w:rPr>
        <w:t xml:space="preserve">is work </w:t>
      </w:r>
      <w:r w:rsidR="00340E33">
        <w:rPr>
          <w:lang w:val="en-GB"/>
        </w:rPr>
        <w:t>demonstrates</w:t>
      </w:r>
      <w:r w:rsidR="00FB5487">
        <w:rPr>
          <w:lang w:val="en-GB"/>
        </w:rPr>
        <w:t xml:space="preserve"> </w:t>
      </w:r>
      <w:r w:rsidR="00340E33">
        <w:rPr>
          <w:lang w:val="en-GB"/>
        </w:rPr>
        <w:t xml:space="preserve">the feasibility of </w:t>
      </w:r>
      <w:r w:rsidR="00FB5487">
        <w:rPr>
          <w:lang w:val="en-GB"/>
        </w:rPr>
        <w:t>small-scale biogas-to-methanol plant</w:t>
      </w:r>
      <w:r w:rsidR="002C6635">
        <w:rPr>
          <w:lang w:val="en-GB"/>
        </w:rPr>
        <w:t xml:space="preserve">. </w:t>
      </w:r>
      <w:r w:rsidR="00340436">
        <w:rPr>
          <w:lang w:val="en-GB"/>
        </w:rPr>
        <w:t>Furthermore</w:t>
      </w:r>
      <w:r w:rsidR="002C6635">
        <w:rPr>
          <w:lang w:val="en-GB"/>
        </w:rPr>
        <w:t xml:space="preserve">, the optimization of such </w:t>
      </w:r>
      <w:r w:rsidR="00340436">
        <w:rPr>
          <w:lang w:val="en-GB"/>
        </w:rPr>
        <w:t xml:space="preserve">a </w:t>
      </w:r>
      <w:r w:rsidR="002C6635">
        <w:rPr>
          <w:lang w:val="en-GB"/>
        </w:rPr>
        <w:t xml:space="preserve">process </w:t>
      </w:r>
      <w:r w:rsidR="00EB312C">
        <w:rPr>
          <w:lang w:val="en-GB"/>
        </w:rPr>
        <w:t>significantly</w:t>
      </w:r>
      <w:r w:rsidR="00340436">
        <w:rPr>
          <w:lang w:val="en-GB"/>
        </w:rPr>
        <w:t xml:space="preserve"> influences its</w:t>
      </w:r>
      <w:r w:rsidR="00EB312C">
        <w:rPr>
          <w:lang w:val="en-GB"/>
        </w:rPr>
        <w:t xml:space="preserve"> economics</w:t>
      </w:r>
      <w:r w:rsidR="005D06DE">
        <w:rPr>
          <w:lang w:val="en-GB"/>
        </w:rPr>
        <w:t xml:space="preserve">, </w:t>
      </w:r>
      <w:r w:rsidR="0069204E">
        <w:rPr>
          <w:lang w:val="en-GB"/>
        </w:rPr>
        <w:t>addressing</w:t>
      </w:r>
      <w:r w:rsidR="005D06DE">
        <w:rPr>
          <w:lang w:val="en-GB"/>
        </w:rPr>
        <w:t xml:space="preserve"> </w:t>
      </w:r>
      <w:r w:rsidR="0069204E">
        <w:rPr>
          <w:lang w:val="en-GB"/>
        </w:rPr>
        <w:t>the</w:t>
      </w:r>
      <w:r w:rsidR="005D06DE">
        <w:rPr>
          <w:lang w:val="en-GB"/>
        </w:rPr>
        <w:t xml:space="preserve"> economic disadvantage </w:t>
      </w:r>
      <w:r w:rsidR="0069204E">
        <w:rPr>
          <w:lang w:val="en-GB"/>
        </w:rPr>
        <w:t>compared</w:t>
      </w:r>
      <w:r w:rsidR="005D06DE">
        <w:rPr>
          <w:lang w:val="en-GB"/>
        </w:rPr>
        <w:t xml:space="preserve"> to traditional</w:t>
      </w:r>
      <w:r w:rsidR="00A40EE3">
        <w:rPr>
          <w:lang w:val="en-GB"/>
        </w:rPr>
        <w:t>, less</w:t>
      </w:r>
      <w:r w:rsidR="00420E3D">
        <w:rPr>
          <w:lang w:val="en-GB"/>
        </w:rPr>
        <w:t xml:space="preserve"> environmentally friendly sol</w:t>
      </w:r>
      <w:r w:rsidR="00CD4D83">
        <w:rPr>
          <w:lang w:val="en-GB"/>
        </w:rPr>
        <w:t>utions</w:t>
      </w:r>
      <w:r w:rsidR="00EB312C">
        <w:rPr>
          <w:lang w:val="en-GB"/>
        </w:rPr>
        <w:t xml:space="preserve">. </w:t>
      </w:r>
      <w:r w:rsidR="00A40EE3">
        <w:rPr>
          <w:lang w:val="en-GB"/>
        </w:rPr>
        <w:t>As a result</w:t>
      </w:r>
      <w:r w:rsidR="00EB312C">
        <w:rPr>
          <w:lang w:val="en-GB"/>
        </w:rPr>
        <w:t xml:space="preserve">, more advanced </w:t>
      </w:r>
      <w:r w:rsidR="00EC13CE">
        <w:rPr>
          <w:lang w:val="en-GB"/>
        </w:rPr>
        <w:t xml:space="preserve">and </w:t>
      </w:r>
      <w:r w:rsidR="007240EE">
        <w:rPr>
          <w:lang w:val="en-GB"/>
        </w:rPr>
        <w:t>exhaustive</w:t>
      </w:r>
      <w:r w:rsidR="00EC13CE">
        <w:rPr>
          <w:lang w:val="en-GB"/>
        </w:rPr>
        <w:t xml:space="preserve"> optimization of the synthesis section</w:t>
      </w:r>
      <w:r w:rsidR="004F2E8A">
        <w:rPr>
          <w:lang w:val="en-GB"/>
        </w:rPr>
        <w:t xml:space="preserve">, </w:t>
      </w:r>
      <w:r w:rsidR="007240EE">
        <w:rPr>
          <w:lang w:val="en-GB"/>
        </w:rPr>
        <w:t>considering</w:t>
      </w:r>
      <w:r w:rsidR="004F2E8A">
        <w:rPr>
          <w:lang w:val="en-GB"/>
        </w:rPr>
        <w:t xml:space="preserve"> operating conditions,</w:t>
      </w:r>
      <w:r w:rsidR="00EC13CE">
        <w:rPr>
          <w:lang w:val="en-GB"/>
        </w:rPr>
        <w:t xml:space="preserve"> and </w:t>
      </w:r>
      <w:r w:rsidR="00CD4D83">
        <w:rPr>
          <w:lang w:val="en-GB"/>
        </w:rPr>
        <w:t>of</w:t>
      </w:r>
      <w:r w:rsidR="00EC13CE">
        <w:rPr>
          <w:lang w:val="en-GB"/>
        </w:rPr>
        <w:t xml:space="preserve"> the overall pro</w:t>
      </w:r>
      <w:r w:rsidR="00CD4D83">
        <w:rPr>
          <w:lang w:val="en-GB"/>
        </w:rPr>
        <w:t>cess will be carried out</w:t>
      </w:r>
      <w:r w:rsidR="00FC7BBC">
        <w:rPr>
          <w:lang w:val="en-GB"/>
        </w:rPr>
        <w:t>. In parallel, optimization procedure</w:t>
      </w:r>
      <w:r w:rsidR="00BA5CDF">
        <w:rPr>
          <w:lang w:val="en-GB"/>
        </w:rPr>
        <w:t>s</w:t>
      </w:r>
      <w:r w:rsidR="00FC7BBC">
        <w:rPr>
          <w:lang w:val="en-GB"/>
        </w:rPr>
        <w:t xml:space="preserve"> based on both economic and environmental </w:t>
      </w:r>
      <w:r w:rsidR="00BA5CDF">
        <w:rPr>
          <w:lang w:val="en-GB"/>
        </w:rPr>
        <w:t>criteria</w:t>
      </w:r>
      <w:r w:rsidR="00FC7BBC">
        <w:rPr>
          <w:lang w:val="en-GB"/>
        </w:rPr>
        <w:t xml:space="preserve"> will be </w:t>
      </w:r>
      <w:r w:rsidR="00BA5CDF">
        <w:rPr>
          <w:lang w:val="en-GB"/>
        </w:rPr>
        <w:t>explored</w:t>
      </w:r>
      <w:r w:rsidR="008A2EC4">
        <w:rPr>
          <w:lang w:val="en-GB"/>
        </w:rPr>
        <w:t xml:space="preserve">. </w:t>
      </w:r>
    </w:p>
    <w:p w14:paraId="33DA068F" w14:textId="77777777" w:rsidR="008964B6" w:rsidRPr="008964B6" w:rsidRDefault="008964B6" w:rsidP="008964B6">
      <w:pPr>
        <w:pStyle w:val="Els-reference-head"/>
        <w:rPr>
          <w:lang w:val="it-IT"/>
        </w:rPr>
      </w:pPr>
      <w:proofErr w:type="spellStart"/>
      <w:r w:rsidRPr="008964B6">
        <w:rPr>
          <w:lang w:val="it-IT"/>
        </w:rPr>
        <w:t>References</w:t>
      </w:r>
      <w:proofErr w:type="spellEnd"/>
    </w:p>
    <w:p w14:paraId="419BCCC7" w14:textId="77777777" w:rsidR="00C26EE2" w:rsidRPr="00C26EE2" w:rsidRDefault="000D0A64" w:rsidP="00C26EE2">
      <w:pPr>
        <w:pStyle w:val="Bibliography"/>
        <w:rPr>
          <w:sz w:val="18"/>
          <w:lang w:val="it-IT"/>
        </w:rPr>
      </w:pPr>
      <w:r>
        <w:rPr>
          <w:lang w:val="en-US"/>
        </w:rPr>
        <w:fldChar w:fldCharType="begin"/>
      </w:r>
      <w:r w:rsidR="00C26EE2">
        <w:rPr>
          <w:lang w:val="it-IT"/>
        </w:rPr>
        <w:instrText xml:space="preserve"> ADDIN ZOTERO_BIBL {"uncited":[],"omitted":[],"custom":[]} CSL_BIBLIOGRAPHY </w:instrText>
      </w:r>
      <w:r>
        <w:rPr>
          <w:lang w:val="en-US"/>
        </w:rPr>
        <w:fldChar w:fldCharType="separate"/>
      </w:r>
      <w:r w:rsidR="00C26EE2" w:rsidRPr="00C26EE2">
        <w:rPr>
          <w:sz w:val="18"/>
          <w:lang w:val="it-IT"/>
        </w:rPr>
        <w:t xml:space="preserve">F. Bisotti, M. Fedeli, K. Prifti, A. Galeazzi, A. Dell’Angelo, F. Manenti, 2022. </w:t>
      </w:r>
      <w:r w:rsidR="00C26EE2" w:rsidRPr="00C26EE2">
        <w:rPr>
          <w:sz w:val="18"/>
        </w:rPr>
        <w:t xml:space="preserve">Impact of Kinetic Models on Methanol Synthesis Reactor Predictions: In Silico Assessment and Comparison with Industrial Data. Ind. Eng. </w:t>
      </w:r>
      <w:r w:rsidR="00C26EE2" w:rsidRPr="00C26EE2">
        <w:rPr>
          <w:sz w:val="18"/>
          <w:lang w:val="it-IT"/>
        </w:rPr>
        <w:t>Chem. Res. 61, 2206–2226.</w:t>
      </w:r>
    </w:p>
    <w:p w14:paraId="110BCB22" w14:textId="77777777" w:rsidR="00C26EE2" w:rsidRPr="00C26EE2" w:rsidRDefault="00C26EE2" w:rsidP="00C26EE2">
      <w:pPr>
        <w:pStyle w:val="Bibliography"/>
        <w:rPr>
          <w:sz w:val="18"/>
        </w:rPr>
      </w:pPr>
      <w:r w:rsidRPr="00C26EE2">
        <w:rPr>
          <w:sz w:val="18"/>
          <w:lang w:val="it-IT"/>
        </w:rPr>
        <w:t xml:space="preserve">G. Bozzano, C. Pirola, C. Italiano, R. Pelosato, A. Vita, F. Manenti, 2017. </w:t>
      </w:r>
      <w:r w:rsidRPr="00C26EE2">
        <w:rPr>
          <w:sz w:val="18"/>
        </w:rPr>
        <w:t>Biogas: a Possible New Pathway to Methanol?, in: Espuña, A., Graells, M., Puigjaner, L. (Eds.), Computer Aided Chemical Engineering, 27 European Symposium on Computer Aided Process Engineering. Elsevier, pp. 523–528.</w:t>
      </w:r>
    </w:p>
    <w:p w14:paraId="0C7C8CDB" w14:textId="77777777" w:rsidR="00C26EE2" w:rsidRPr="00C26EE2" w:rsidRDefault="00C26EE2" w:rsidP="00C26EE2">
      <w:pPr>
        <w:pStyle w:val="Bibliography"/>
        <w:rPr>
          <w:sz w:val="18"/>
        </w:rPr>
      </w:pPr>
      <w:r w:rsidRPr="00C26EE2">
        <w:rPr>
          <w:sz w:val="18"/>
        </w:rPr>
        <w:t>K.M.V. Bussche, G.F. Froment, 1996. A Steady-State Kinetic Model for Methanol Synthesis and the Water Gas Shift Reaction on a Commercial Cu/ZnO/Al2O3Catalyst. Journal of Catalysis 161, 1–10.</w:t>
      </w:r>
    </w:p>
    <w:p w14:paraId="21345533" w14:textId="77777777" w:rsidR="00C26EE2" w:rsidRPr="00C26EE2" w:rsidRDefault="00C26EE2" w:rsidP="00C26EE2">
      <w:pPr>
        <w:pStyle w:val="Bibliography"/>
        <w:rPr>
          <w:sz w:val="18"/>
        </w:rPr>
      </w:pPr>
      <w:r w:rsidRPr="00C26EE2">
        <w:rPr>
          <w:sz w:val="18"/>
        </w:rPr>
        <w:t>F. Manenti, S. Cieri, M. Restelli, 2011. Considerations on the steady-state modeling of methanol synthesis fixed-bed reactor. Chemical Engineering Science 66, 152–162.</w:t>
      </w:r>
    </w:p>
    <w:p w14:paraId="6FB53C5F" w14:textId="77777777" w:rsidR="00C26EE2" w:rsidRPr="00C26EE2" w:rsidRDefault="00C26EE2" w:rsidP="00C26EE2">
      <w:pPr>
        <w:pStyle w:val="Bibliography"/>
        <w:rPr>
          <w:sz w:val="18"/>
        </w:rPr>
      </w:pPr>
      <w:r w:rsidRPr="00C26EE2">
        <w:rPr>
          <w:sz w:val="18"/>
        </w:rPr>
        <w:t>E. Moioli, T. Schildhauer, 2022. Eco-Techno-Economic Analysis of Methanol Production from Biogas and Power-to-X. Ind. Eng. Chem. Res. 61, 7335–7348.</w:t>
      </w:r>
    </w:p>
    <w:p w14:paraId="16DA0738" w14:textId="77777777" w:rsidR="00C26EE2" w:rsidRPr="00C26EE2" w:rsidRDefault="00C26EE2" w:rsidP="00C26EE2">
      <w:pPr>
        <w:pStyle w:val="Bibliography"/>
        <w:rPr>
          <w:sz w:val="18"/>
        </w:rPr>
      </w:pPr>
      <w:r w:rsidRPr="00C26EE2">
        <w:rPr>
          <w:sz w:val="18"/>
        </w:rPr>
        <w:t>K. Prifti, A. Galeazzi, F. Manenti, 2023. Design and Simulation of a Plastic Waste to Methanol Process: Yields and Economics. Ind. Eng. Chem. Res. 62, 5083–5096.</w:t>
      </w:r>
    </w:p>
    <w:p w14:paraId="4553A8D0" w14:textId="77777777" w:rsidR="00C26EE2" w:rsidRPr="00C26EE2" w:rsidRDefault="00C26EE2" w:rsidP="00C26EE2">
      <w:pPr>
        <w:pStyle w:val="Bibliography"/>
        <w:rPr>
          <w:sz w:val="18"/>
        </w:rPr>
      </w:pPr>
      <w:r w:rsidRPr="00C26EE2">
        <w:rPr>
          <w:sz w:val="18"/>
        </w:rPr>
        <w:t>R.O. dos Santos, L. de S. Santos, D.M. Prata, 2018. Simulation and optimization of a methanol synthesis process from different biogas sources. Journal of Cleaner Production 186, 821–830.</w:t>
      </w:r>
    </w:p>
    <w:p w14:paraId="3580199E" w14:textId="77777777" w:rsidR="00C26EE2" w:rsidRPr="00C26EE2" w:rsidRDefault="00C26EE2" w:rsidP="00C26EE2">
      <w:pPr>
        <w:pStyle w:val="Bibliography"/>
        <w:rPr>
          <w:sz w:val="18"/>
        </w:rPr>
      </w:pPr>
      <w:r w:rsidRPr="00C26EE2">
        <w:rPr>
          <w:sz w:val="18"/>
        </w:rPr>
        <w:t>G. Towler, R. Sinnott, 2012. Chemical Engineering Design: Principles, Practice and Economics of Plant and Process Design, 2nd edition. ed. Butterworth-Heinemann, Boston, MA.</w:t>
      </w:r>
    </w:p>
    <w:p w14:paraId="0E638503" w14:textId="77777777" w:rsidR="00C26EE2" w:rsidRPr="00C26EE2" w:rsidRDefault="00C26EE2" w:rsidP="00C26EE2">
      <w:pPr>
        <w:pStyle w:val="Bibliography"/>
        <w:rPr>
          <w:sz w:val="18"/>
        </w:rPr>
      </w:pPr>
      <w:r w:rsidRPr="00C26EE2">
        <w:rPr>
          <w:sz w:val="18"/>
        </w:rPr>
        <w:t>R. Turton, J. Shaeiwitz, D. Bhattacharyya, W. Whiting, 2018. Analysis, Synthesis, and Design of Chemical Processes, 5th edition. ed. Pearson, Boston.</w:t>
      </w:r>
    </w:p>
    <w:p w14:paraId="1AF289ED" w14:textId="77777777" w:rsidR="00C26EE2" w:rsidRPr="00C26EE2" w:rsidRDefault="00C26EE2" w:rsidP="00C26EE2">
      <w:pPr>
        <w:pStyle w:val="Bibliography"/>
        <w:rPr>
          <w:sz w:val="18"/>
        </w:rPr>
      </w:pPr>
      <w:r w:rsidRPr="00C26EE2">
        <w:rPr>
          <w:sz w:val="18"/>
        </w:rPr>
        <w:t>Софія, 2020. European Biogas Association Statistical Report 2020. UABIO.</w:t>
      </w:r>
    </w:p>
    <w:p w14:paraId="40C83085" w14:textId="607AE0EE" w:rsidR="00BA5CDF" w:rsidRDefault="000D0A64" w:rsidP="00BA5CDF">
      <w:pPr>
        <w:pStyle w:val="Els-referenceno-number"/>
        <w:ind w:left="0" w:firstLine="0"/>
        <w:rPr>
          <w:lang w:val="en-US"/>
        </w:rPr>
      </w:pPr>
      <w:r>
        <w:rPr>
          <w:lang w:val="en-US"/>
        </w:rPr>
        <w:fldChar w:fldCharType="end"/>
      </w:r>
    </w:p>
    <w:sectPr w:rsidR="00BA5CDF"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C640" w14:textId="77777777" w:rsidR="004562B3" w:rsidRDefault="004562B3">
      <w:r>
        <w:separator/>
      </w:r>
    </w:p>
  </w:endnote>
  <w:endnote w:type="continuationSeparator" w:id="0">
    <w:p w14:paraId="4E7CA0A2" w14:textId="77777777" w:rsidR="004562B3" w:rsidRDefault="0045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E96D" w14:textId="77777777" w:rsidR="004562B3" w:rsidRDefault="004562B3">
      <w:r>
        <w:separator/>
      </w:r>
    </w:p>
  </w:footnote>
  <w:footnote w:type="continuationSeparator" w:id="0">
    <w:p w14:paraId="5791DB83" w14:textId="77777777" w:rsidR="004562B3" w:rsidRDefault="0045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42F7AA1" w:rsidR="00DD3D9E" w:rsidRPr="002A0A99" w:rsidRDefault="00DD3D9E">
    <w:pPr>
      <w:pStyle w:val="Header"/>
      <w:tabs>
        <w:tab w:val="clear" w:pos="7200"/>
        <w:tab w:val="right" w:pos="7088"/>
      </w:tabs>
      <w:rPr>
        <w:lang w:val="it-IT"/>
      </w:rPr>
    </w:pPr>
    <w:r>
      <w:rPr>
        <w:rStyle w:val="PageNumber"/>
      </w:rPr>
      <w:tab/>
    </w:r>
    <w:r>
      <w:rPr>
        <w:rStyle w:val="PageNumber"/>
        <w:i/>
      </w:rPr>
      <w:tab/>
    </w:r>
    <w:r w:rsidR="002A0A99" w:rsidRPr="002A0A99">
      <w:rPr>
        <w:rStyle w:val="PageNumber"/>
        <w:i/>
        <w:lang w:val="it-IT"/>
      </w:rPr>
      <w:t xml:space="preserve">M. </w:t>
    </w:r>
    <w:r w:rsidR="00A273A4" w:rsidRPr="002A0A99">
      <w:rPr>
        <w:i/>
        <w:lang w:val="it-IT"/>
      </w:rPr>
      <w:t>M</w:t>
    </w:r>
    <w:r w:rsidR="00FE0FE4" w:rsidRPr="002A0A99">
      <w:rPr>
        <w:i/>
        <w:lang w:val="it-IT"/>
      </w:rPr>
      <w:t>. Bozzini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F542201" w:rsidR="00DD3D9E" w:rsidRDefault="00FE0FE4" w:rsidP="00FE0FE4">
    <w:pPr>
      <w:pStyle w:val="Header"/>
      <w:tabs>
        <w:tab w:val="clear" w:pos="7200"/>
        <w:tab w:val="right" w:pos="7088"/>
      </w:tabs>
      <w:rPr>
        <w:sz w:val="24"/>
      </w:rPr>
    </w:pPr>
    <w:r w:rsidRPr="00FE0FE4">
      <w:rPr>
        <w:i/>
      </w:rPr>
      <w:t>Economic Optimization of the Synthesis Section of a Small-Scale Biogas-to-Methanol Plant</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091"/>
    <w:rsid w:val="000018C8"/>
    <w:rsid w:val="0000367C"/>
    <w:rsid w:val="00003935"/>
    <w:rsid w:val="000054DC"/>
    <w:rsid w:val="00005A25"/>
    <w:rsid w:val="000061A2"/>
    <w:rsid w:val="000106AB"/>
    <w:rsid w:val="00010C3B"/>
    <w:rsid w:val="000130F7"/>
    <w:rsid w:val="000130FA"/>
    <w:rsid w:val="00016532"/>
    <w:rsid w:val="0002118A"/>
    <w:rsid w:val="00024878"/>
    <w:rsid w:val="00030651"/>
    <w:rsid w:val="0003077F"/>
    <w:rsid w:val="000328EE"/>
    <w:rsid w:val="000338A0"/>
    <w:rsid w:val="000419B9"/>
    <w:rsid w:val="00043149"/>
    <w:rsid w:val="00043758"/>
    <w:rsid w:val="00044206"/>
    <w:rsid w:val="00050158"/>
    <w:rsid w:val="000550FD"/>
    <w:rsid w:val="00055DBA"/>
    <w:rsid w:val="00057035"/>
    <w:rsid w:val="0006077A"/>
    <w:rsid w:val="000620B2"/>
    <w:rsid w:val="0006421F"/>
    <w:rsid w:val="00064F6B"/>
    <w:rsid w:val="00065683"/>
    <w:rsid w:val="00066261"/>
    <w:rsid w:val="0007127E"/>
    <w:rsid w:val="00077E69"/>
    <w:rsid w:val="000820AF"/>
    <w:rsid w:val="00082F98"/>
    <w:rsid w:val="00085C24"/>
    <w:rsid w:val="000918A1"/>
    <w:rsid w:val="00091F3A"/>
    <w:rsid w:val="00092A4A"/>
    <w:rsid w:val="000940D4"/>
    <w:rsid w:val="0009490D"/>
    <w:rsid w:val="0009492D"/>
    <w:rsid w:val="00096852"/>
    <w:rsid w:val="000A0002"/>
    <w:rsid w:val="000A0F00"/>
    <w:rsid w:val="000A29A0"/>
    <w:rsid w:val="000A52FC"/>
    <w:rsid w:val="000B2989"/>
    <w:rsid w:val="000B4372"/>
    <w:rsid w:val="000C0599"/>
    <w:rsid w:val="000C3F31"/>
    <w:rsid w:val="000C7D14"/>
    <w:rsid w:val="000D0A64"/>
    <w:rsid w:val="000D1185"/>
    <w:rsid w:val="000D1847"/>
    <w:rsid w:val="000D19EA"/>
    <w:rsid w:val="000D279A"/>
    <w:rsid w:val="000D3750"/>
    <w:rsid w:val="000D3D9B"/>
    <w:rsid w:val="000D5765"/>
    <w:rsid w:val="000D7DA2"/>
    <w:rsid w:val="000F6338"/>
    <w:rsid w:val="000F713F"/>
    <w:rsid w:val="000F7CD3"/>
    <w:rsid w:val="00101AAF"/>
    <w:rsid w:val="00110D00"/>
    <w:rsid w:val="00110D70"/>
    <w:rsid w:val="00112B98"/>
    <w:rsid w:val="001152B3"/>
    <w:rsid w:val="00115BA3"/>
    <w:rsid w:val="00116281"/>
    <w:rsid w:val="00122A90"/>
    <w:rsid w:val="00122DC5"/>
    <w:rsid w:val="001233E1"/>
    <w:rsid w:val="001272D0"/>
    <w:rsid w:val="001277E9"/>
    <w:rsid w:val="00133008"/>
    <w:rsid w:val="00133B85"/>
    <w:rsid w:val="00135668"/>
    <w:rsid w:val="00145AC4"/>
    <w:rsid w:val="00150EC3"/>
    <w:rsid w:val="0015129B"/>
    <w:rsid w:val="00155127"/>
    <w:rsid w:val="00160099"/>
    <w:rsid w:val="0016032F"/>
    <w:rsid w:val="00165A60"/>
    <w:rsid w:val="001728EE"/>
    <w:rsid w:val="001743AD"/>
    <w:rsid w:val="00175CF0"/>
    <w:rsid w:val="001769BE"/>
    <w:rsid w:val="0017781A"/>
    <w:rsid w:val="00182D73"/>
    <w:rsid w:val="00187191"/>
    <w:rsid w:val="00187306"/>
    <w:rsid w:val="001879F6"/>
    <w:rsid w:val="00191A0B"/>
    <w:rsid w:val="001922EB"/>
    <w:rsid w:val="00196538"/>
    <w:rsid w:val="001A3C5D"/>
    <w:rsid w:val="001A40CC"/>
    <w:rsid w:val="001B0265"/>
    <w:rsid w:val="001B08AF"/>
    <w:rsid w:val="001B0AC1"/>
    <w:rsid w:val="001B111F"/>
    <w:rsid w:val="001B2B46"/>
    <w:rsid w:val="001B3026"/>
    <w:rsid w:val="001B459E"/>
    <w:rsid w:val="001B5A46"/>
    <w:rsid w:val="001B6308"/>
    <w:rsid w:val="001C0148"/>
    <w:rsid w:val="001C0C5D"/>
    <w:rsid w:val="001C1373"/>
    <w:rsid w:val="001C24CD"/>
    <w:rsid w:val="001C46D7"/>
    <w:rsid w:val="001C4C3A"/>
    <w:rsid w:val="001C757E"/>
    <w:rsid w:val="001D03C2"/>
    <w:rsid w:val="001D3437"/>
    <w:rsid w:val="001D6B54"/>
    <w:rsid w:val="001D6D0A"/>
    <w:rsid w:val="001D6D51"/>
    <w:rsid w:val="001E3718"/>
    <w:rsid w:val="001E3AB5"/>
    <w:rsid w:val="001E3DC9"/>
    <w:rsid w:val="001E5259"/>
    <w:rsid w:val="001E58AD"/>
    <w:rsid w:val="001F051C"/>
    <w:rsid w:val="001F45A1"/>
    <w:rsid w:val="00200A63"/>
    <w:rsid w:val="00201142"/>
    <w:rsid w:val="002016BA"/>
    <w:rsid w:val="00202926"/>
    <w:rsid w:val="0020390F"/>
    <w:rsid w:val="0020477C"/>
    <w:rsid w:val="0020679C"/>
    <w:rsid w:val="00206C0B"/>
    <w:rsid w:val="0020774E"/>
    <w:rsid w:val="0020785B"/>
    <w:rsid w:val="00212070"/>
    <w:rsid w:val="00213033"/>
    <w:rsid w:val="002168DB"/>
    <w:rsid w:val="00220EAA"/>
    <w:rsid w:val="00221C48"/>
    <w:rsid w:val="0022229E"/>
    <w:rsid w:val="00222644"/>
    <w:rsid w:val="00223E5D"/>
    <w:rsid w:val="0022660A"/>
    <w:rsid w:val="00226AEF"/>
    <w:rsid w:val="002270E7"/>
    <w:rsid w:val="002307C5"/>
    <w:rsid w:val="00230B08"/>
    <w:rsid w:val="0023249C"/>
    <w:rsid w:val="00232B37"/>
    <w:rsid w:val="00234907"/>
    <w:rsid w:val="002371E8"/>
    <w:rsid w:val="00237B26"/>
    <w:rsid w:val="002408EF"/>
    <w:rsid w:val="00242F39"/>
    <w:rsid w:val="002441B5"/>
    <w:rsid w:val="00253ABC"/>
    <w:rsid w:val="00254694"/>
    <w:rsid w:val="00254947"/>
    <w:rsid w:val="00256C2C"/>
    <w:rsid w:val="00260D89"/>
    <w:rsid w:val="00264926"/>
    <w:rsid w:val="0026524D"/>
    <w:rsid w:val="00267CC7"/>
    <w:rsid w:val="00270615"/>
    <w:rsid w:val="00272329"/>
    <w:rsid w:val="002800FB"/>
    <w:rsid w:val="0028062F"/>
    <w:rsid w:val="002879B1"/>
    <w:rsid w:val="00287AF8"/>
    <w:rsid w:val="00287CEE"/>
    <w:rsid w:val="00287F19"/>
    <w:rsid w:val="0029381F"/>
    <w:rsid w:val="00295C21"/>
    <w:rsid w:val="002A0A99"/>
    <w:rsid w:val="002A0B50"/>
    <w:rsid w:val="002A1DDD"/>
    <w:rsid w:val="002B0108"/>
    <w:rsid w:val="002B1D47"/>
    <w:rsid w:val="002B4E09"/>
    <w:rsid w:val="002B7FE1"/>
    <w:rsid w:val="002C1378"/>
    <w:rsid w:val="002C1F7D"/>
    <w:rsid w:val="002C35E9"/>
    <w:rsid w:val="002C5CE7"/>
    <w:rsid w:val="002C6635"/>
    <w:rsid w:val="002D2833"/>
    <w:rsid w:val="002D5047"/>
    <w:rsid w:val="002E4B48"/>
    <w:rsid w:val="002F1C7E"/>
    <w:rsid w:val="002F1F8A"/>
    <w:rsid w:val="002F3399"/>
    <w:rsid w:val="002F5013"/>
    <w:rsid w:val="002F5026"/>
    <w:rsid w:val="002F73FB"/>
    <w:rsid w:val="00300C8E"/>
    <w:rsid w:val="00302D4D"/>
    <w:rsid w:val="00304342"/>
    <w:rsid w:val="00304C10"/>
    <w:rsid w:val="00305B0D"/>
    <w:rsid w:val="00313CF3"/>
    <w:rsid w:val="003153D0"/>
    <w:rsid w:val="003200FD"/>
    <w:rsid w:val="00320C0C"/>
    <w:rsid w:val="0032102F"/>
    <w:rsid w:val="00322B2F"/>
    <w:rsid w:val="003235D3"/>
    <w:rsid w:val="00325A43"/>
    <w:rsid w:val="00326F39"/>
    <w:rsid w:val="003311D4"/>
    <w:rsid w:val="0033318A"/>
    <w:rsid w:val="00333744"/>
    <w:rsid w:val="00335009"/>
    <w:rsid w:val="00335BC6"/>
    <w:rsid w:val="00337289"/>
    <w:rsid w:val="00340436"/>
    <w:rsid w:val="00340E33"/>
    <w:rsid w:val="0034116B"/>
    <w:rsid w:val="00341309"/>
    <w:rsid w:val="00347DDE"/>
    <w:rsid w:val="00352BB0"/>
    <w:rsid w:val="00357141"/>
    <w:rsid w:val="003602B1"/>
    <w:rsid w:val="0036276A"/>
    <w:rsid w:val="003632C4"/>
    <w:rsid w:val="00363DEC"/>
    <w:rsid w:val="00363FA0"/>
    <w:rsid w:val="003677FF"/>
    <w:rsid w:val="003745D0"/>
    <w:rsid w:val="003754AB"/>
    <w:rsid w:val="0038298B"/>
    <w:rsid w:val="0038719C"/>
    <w:rsid w:val="00387300"/>
    <w:rsid w:val="00391FBA"/>
    <w:rsid w:val="003A0999"/>
    <w:rsid w:val="003A13BE"/>
    <w:rsid w:val="003A1CE9"/>
    <w:rsid w:val="003B0693"/>
    <w:rsid w:val="003B088B"/>
    <w:rsid w:val="003B2DCB"/>
    <w:rsid w:val="003B7A18"/>
    <w:rsid w:val="003C0CA1"/>
    <w:rsid w:val="003C0FAF"/>
    <w:rsid w:val="003C15EF"/>
    <w:rsid w:val="003C6615"/>
    <w:rsid w:val="003D1582"/>
    <w:rsid w:val="003D3F64"/>
    <w:rsid w:val="003D7E4C"/>
    <w:rsid w:val="003E0069"/>
    <w:rsid w:val="003E41C2"/>
    <w:rsid w:val="003F0B63"/>
    <w:rsid w:val="003F65DE"/>
    <w:rsid w:val="003F7A14"/>
    <w:rsid w:val="003F7D8C"/>
    <w:rsid w:val="00400A89"/>
    <w:rsid w:val="00403E86"/>
    <w:rsid w:val="0041248B"/>
    <w:rsid w:val="00413A61"/>
    <w:rsid w:val="00413ACF"/>
    <w:rsid w:val="00416101"/>
    <w:rsid w:val="00416326"/>
    <w:rsid w:val="00420E3D"/>
    <w:rsid w:val="004241B1"/>
    <w:rsid w:val="0042599D"/>
    <w:rsid w:val="00426D30"/>
    <w:rsid w:val="00427143"/>
    <w:rsid w:val="00430541"/>
    <w:rsid w:val="00432210"/>
    <w:rsid w:val="0043231E"/>
    <w:rsid w:val="00432A5D"/>
    <w:rsid w:val="0043306D"/>
    <w:rsid w:val="00433EC7"/>
    <w:rsid w:val="00433F45"/>
    <w:rsid w:val="0043488A"/>
    <w:rsid w:val="00441564"/>
    <w:rsid w:val="004432B2"/>
    <w:rsid w:val="00443547"/>
    <w:rsid w:val="0044377B"/>
    <w:rsid w:val="00444689"/>
    <w:rsid w:val="0044732A"/>
    <w:rsid w:val="00447597"/>
    <w:rsid w:val="00450F3D"/>
    <w:rsid w:val="0045124C"/>
    <w:rsid w:val="00452893"/>
    <w:rsid w:val="0045615A"/>
    <w:rsid w:val="004562B3"/>
    <w:rsid w:val="00463C72"/>
    <w:rsid w:val="004651FD"/>
    <w:rsid w:val="0046524A"/>
    <w:rsid w:val="00466A90"/>
    <w:rsid w:val="004675BB"/>
    <w:rsid w:val="0047009C"/>
    <w:rsid w:val="00470469"/>
    <w:rsid w:val="004719B5"/>
    <w:rsid w:val="00474D04"/>
    <w:rsid w:val="00476D52"/>
    <w:rsid w:val="00483747"/>
    <w:rsid w:val="004841C4"/>
    <w:rsid w:val="00484A97"/>
    <w:rsid w:val="00486F31"/>
    <w:rsid w:val="0049146F"/>
    <w:rsid w:val="00495FD8"/>
    <w:rsid w:val="00496CC4"/>
    <w:rsid w:val="0049772C"/>
    <w:rsid w:val="004A1F8F"/>
    <w:rsid w:val="004A3737"/>
    <w:rsid w:val="004A3B61"/>
    <w:rsid w:val="004A3FB4"/>
    <w:rsid w:val="004A7F13"/>
    <w:rsid w:val="004B0E76"/>
    <w:rsid w:val="004B441E"/>
    <w:rsid w:val="004C3DB3"/>
    <w:rsid w:val="004D205B"/>
    <w:rsid w:val="004D31D6"/>
    <w:rsid w:val="004D36A2"/>
    <w:rsid w:val="004D5E1A"/>
    <w:rsid w:val="004E0A48"/>
    <w:rsid w:val="004E6389"/>
    <w:rsid w:val="004F2E8A"/>
    <w:rsid w:val="00500952"/>
    <w:rsid w:val="00502357"/>
    <w:rsid w:val="005042A4"/>
    <w:rsid w:val="0050438C"/>
    <w:rsid w:val="005073A2"/>
    <w:rsid w:val="0051111C"/>
    <w:rsid w:val="00513387"/>
    <w:rsid w:val="0051707C"/>
    <w:rsid w:val="005211CA"/>
    <w:rsid w:val="0052237B"/>
    <w:rsid w:val="005231DB"/>
    <w:rsid w:val="00525AD5"/>
    <w:rsid w:val="00531CB4"/>
    <w:rsid w:val="005365E9"/>
    <w:rsid w:val="0053769F"/>
    <w:rsid w:val="00537849"/>
    <w:rsid w:val="0054476F"/>
    <w:rsid w:val="00547479"/>
    <w:rsid w:val="00547680"/>
    <w:rsid w:val="005509A5"/>
    <w:rsid w:val="00552665"/>
    <w:rsid w:val="00552EEB"/>
    <w:rsid w:val="0055394C"/>
    <w:rsid w:val="00556D58"/>
    <w:rsid w:val="00557E00"/>
    <w:rsid w:val="005612EB"/>
    <w:rsid w:val="005617D1"/>
    <w:rsid w:val="005631B5"/>
    <w:rsid w:val="00563CBA"/>
    <w:rsid w:val="00565020"/>
    <w:rsid w:val="00570DC4"/>
    <w:rsid w:val="00570FD3"/>
    <w:rsid w:val="00573B26"/>
    <w:rsid w:val="00573FDD"/>
    <w:rsid w:val="005751DD"/>
    <w:rsid w:val="005759A0"/>
    <w:rsid w:val="005803CD"/>
    <w:rsid w:val="00580564"/>
    <w:rsid w:val="00580DD5"/>
    <w:rsid w:val="00593B9E"/>
    <w:rsid w:val="005973BB"/>
    <w:rsid w:val="005975D8"/>
    <w:rsid w:val="005A0486"/>
    <w:rsid w:val="005A30F3"/>
    <w:rsid w:val="005A338A"/>
    <w:rsid w:val="005A5058"/>
    <w:rsid w:val="005A6043"/>
    <w:rsid w:val="005A67C7"/>
    <w:rsid w:val="005B2D0C"/>
    <w:rsid w:val="005B32B4"/>
    <w:rsid w:val="005B3379"/>
    <w:rsid w:val="005B3E5B"/>
    <w:rsid w:val="005C4840"/>
    <w:rsid w:val="005C4845"/>
    <w:rsid w:val="005C7C57"/>
    <w:rsid w:val="005D06DE"/>
    <w:rsid w:val="005D1BCB"/>
    <w:rsid w:val="005D373A"/>
    <w:rsid w:val="005D78CE"/>
    <w:rsid w:val="005E116A"/>
    <w:rsid w:val="005E4995"/>
    <w:rsid w:val="005E6F33"/>
    <w:rsid w:val="005F2005"/>
    <w:rsid w:val="005F283E"/>
    <w:rsid w:val="005F2D0F"/>
    <w:rsid w:val="005F4EBF"/>
    <w:rsid w:val="005F5068"/>
    <w:rsid w:val="005F5752"/>
    <w:rsid w:val="005F5C6E"/>
    <w:rsid w:val="005F6591"/>
    <w:rsid w:val="006012DD"/>
    <w:rsid w:val="00602024"/>
    <w:rsid w:val="00602D47"/>
    <w:rsid w:val="0060399D"/>
    <w:rsid w:val="006053FD"/>
    <w:rsid w:val="00607A9E"/>
    <w:rsid w:val="00611011"/>
    <w:rsid w:val="006128C9"/>
    <w:rsid w:val="00612CDC"/>
    <w:rsid w:val="006132ED"/>
    <w:rsid w:val="0061341E"/>
    <w:rsid w:val="00613B18"/>
    <w:rsid w:val="0062277A"/>
    <w:rsid w:val="00626405"/>
    <w:rsid w:val="00627F2A"/>
    <w:rsid w:val="0063067A"/>
    <w:rsid w:val="00631F77"/>
    <w:rsid w:val="00634B20"/>
    <w:rsid w:val="00634C1A"/>
    <w:rsid w:val="00635DDD"/>
    <w:rsid w:val="0063693F"/>
    <w:rsid w:val="00637BEB"/>
    <w:rsid w:val="006423E6"/>
    <w:rsid w:val="006479B2"/>
    <w:rsid w:val="006503E3"/>
    <w:rsid w:val="00660405"/>
    <w:rsid w:val="0066110F"/>
    <w:rsid w:val="0066602D"/>
    <w:rsid w:val="00672337"/>
    <w:rsid w:val="0067244A"/>
    <w:rsid w:val="00677B59"/>
    <w:rsid w:val="00680C73"/>
    <w:rsid w:val="00682B52"/>
    <w:rsid w:val="0068686E"/>
    <w:rsid w:val="00686E8C"/>
    <w:rsid w:val="00690697"/>
    <w:rsid w:val="0069204E"/>
    <w:rsid w:val="0069210F"/>
    <w:rsid w:val="00692207"/>
    <w:rsid w:val="006947B5"/>
    <w:rsid w:val="00695B26"/>
    <w:rsid w:val="006A1957"/>
    <w:rsid w:val="006A69BF"/>
    <w:rsid w:val="006B3472"/>
    <w:rsid w:val="006B6E51"/>
    <w:rsid w:val="006B7A10"/>
    <w:rsid w:val="006B7EB0"/>
    <w:rsid w:val="006C29F4"/>
    <w:rsid w:val="006C7D67"/>
    <w:rsid w:val="006D6036"/>
    <w:rsid w:val="006D6E1B"/>
    <w:rsid w:val="006D7EBA"/>
    <w:rsid w:val="006E300A"/>
    <w:rsid w:val="006F12E4"/>
    <w:rsid w:val="006F410A"/>
    <w:rsid w:val="0070376D"/>
    <w:rsid w:val="0070410F"/>
    <w:rsid w:val="0070420A"/>
    <w:rsid w:val="00711673"/>
    <w:rsid w:val="00711DF4"/>
    <w:rsid w:val="00711E10"/>
    <w:rsid w:val="00713717"/>
    <w:rsid w:val="00717D90"/>
    <w:rsid w:val="00720605"/>
    <w:rsid w:val="007233F7"/>
    <w:rsid w:val="00723C00"/>
    <w:rsid w:val="007240EE"/>
    <w:rsid w:val="00733125"/>
    <w:rsid w:val="00734269"/>
    <w:rsid w:val="00734F7F"/>
    <w:rsid w:val="00735266"/>
    <w:rsid w:val="00740F5B"/>
    <w:rsid w:val="00741A7B"/>
    <w:rsid w:val="007453B4"/>
    <w:rsid w:val="007476D0"/>
    <w:rsid w:val="007508ED"/>
    <w:rsid w:val="0075420A"/>
    <w:rsid w:val="007550C6"/>
    <w:rsid w:val="007602C1"/>
    <w:rsid w:val="00763555"/>
    <w:rsid w:val="00772C14"/>
    <w:rsid w:val="007833D5"/>
    <w:rsid w:val="007857CD"/>
    <w:rsid w:val="007862B5"/>
    <w:rsid w:val="0078635F"/>
    <w:rsid w:val="007877E5"/>
    <w:rsid w:val="007931E4"/>
    <w:rsid w:val="0079387A"/>
    <w:rsid w:val="00796A93"/>
    <w:rsid w:val="00797135"/>
    <w:rsid w:val="007A1B8C"/>
    <w:rsid w:val="007A2223"/>
    <w:rsid w:val="007A6589"/>
    <w:rsid w:val="007B2FDD"/>
    <w:rsid w:val="007B7235"/>
    <w:rsid w:val="007C019C"/>
    <w:rsid w:val="007C2501"/>
    <w:rsid w:val="007C2669"/>
    <w:rsid w:val="007C49E7"/>
    <w:rsid w:val="007C73D0"/>
    <w:rsid w:val="007D0D7B"/>
    <w:rsid w:val="007D1697"/>
    <w:rsid w:val="007D2658"/>
    <w:rsid w:val="007D3C62"/>
    <w:rsid w:val="007D67A7"/>
    <w:rsid w:val="007D70A1"/>
    <w:rsid w:val="007E034C"/>
    <w:rsid w:val="007E30AC"/>
    <w:rsid w:val="007E71F3"/>
    <w:rsid w:val="007F12CE"/>
    <w:rsid w:val="007F3856"/>
    <w:rsid w:val="007F4F20"/>
    <w:rsid w:val="007F55CB"/>
    <w:rsid w:val="007F55EF"/>
    <w:rsid w:val="00801AE8"/>
    <w:rsid w:val="00807BFB"/>
    <w:rsid w:val="0081189F"/>
    <w:rsid w:val="008127B1"/>
    <w:rsid w:val="008132E8"/>
    <w:rsid w:val="0081503F"/>
    <w:rsid w:val="008157D2"/>
    <w:rsid w:val="00820B2D"/>
    <w:rsid w:val="00823062"/>
    <w:rsid w:val="00823407"/>
    <w:rsid w:val="0082491A"/>
    <w:rsid w:val="00826B11"/>
    <w:rsid w:val="008275E5"/>
    <w:rsid w:val="00830B88"/>
    <w:rsid w:val="008339B4"/>
    <w:rsid w:val="00837191"/>
    <w:rsid w:val="0084351B"/>
    <w:rsid w:val="008468A7"/>
    <w:rsid w:val="00846C40"/>
    <w:rsid w:val="008511D8"/>
    <w:rsid w:val="00851C7D"/>
    <w:rsid w:val="00851F51"/>
    <w:rsid w:val="0085359D"/>
    <w:rsid w:val="0085367D"/>
    <w:rsid w:val="00855E6F"/>
    <w:rsid w:val="0086370E"/>
    <w:rsid w:val="008656C6"/>
    <w:rsid w:val="00871129"/>
    <w:rsid w:val="00872884"/>
    <w:rsid w:val="0087366D"/>
    <w:rsid w:val="0087799A"/>
    <w:rsid w:val="00883A12"/>
    <w:rsid w:val="00886BAE"/>
    <w:rsid w:val="0089093A"/>
    <w:rsid w:val="00892FE6"/>
    <w:rsid w:val="0089339B"/>
    <w:rsid w:val="008939FC"/>
    <w:rsid w:val="008964B6"/>
    <w:rsid w:val="00896C87"/>
    <w:rsid w:val="00896F36"/>
    <w:rsid w:val="00897752"/>
    <w:rsid w:val="008A2EC4"/>
    <w:rsid w:val="008A3061"/>
    <w:rsid w:val="008A32B0"/>
    <w:rsid w:val="008A3490"/>
    <w:rsid w:val="008A43B3"/>
    <w:rsid w:val="008A512D"/>
    <w:rsid w:val="008A53F1"/>
    <w:rsid w:val="008A5A55"/>
    <w:rsid w:val="008A733B"/>
    <w:rsid w:val="008B0184"/>
    <w:rsid w:val="008B215E"/>
    <w:rsid w:val="008B4160"/>
    <w:rsid w:val="008C1607"/>
    <w:rsid w:val="008C34D9"/>
    <w:rsid w:val="008C5BD9"/>
    <w:rsid w:val="008C5D02"/>
    <w:rsid w:val="008D064C"/>
    <w:rsid w:val="008D09F5"/>
    <w:rsid w:val="008D1C49"/>
    <w:rsid w:val="008D2649"/>
    <w:rsid w:val="008D411E"/>
    <w:rsid w:val="008D41A2"/>
    <w:rsid w:val="008D4D08"/>
    <w:rsid w:val="008D502E"/>
    <w:rsid w:val="008D633B"/>
    <w:rsid w:val="008E0FD2"/>
    <w:rsid w:val="008F2C6C"/>
    <w:rsid w:val="008F4111"/>
    <w:rsid w:val="008F52C8"/>
    <w:rsid w:val="009000AF"/>
    <w:rsid w:val="0090126D"/>
    <w:rsid w:val="0090568D"/>
    <w:rsid w:val="00906CF1"/>
    <w:rsid w:val="00910CA0"/>
    <w:rsid w:val="009125C9"/>
    <w:rsid w:val="00913879"/>
    <w:rsid w:val="00917661"/>
    <w:rsid w:val="009212E0"/>
    <w:rsid w:val="00921B16"/>
    <w:rsid w:val="009240ED"/>
    <w:rsid w:val="00924840"/>
    <w:rsid w:val="009257C5"/>
    <w:rsid w:val="00932165"/>
    <w:rsid w:val="00933122"/>
    <w:rsid w:val="009422AA"/>
    <w:rsid w:val="00942A97"/>
    <w:rsid w:val="00944DD8"/>
    <w:rsid w:val="009460C1"/>
    <w:rsid w:val="009507B3"/>
    <w:rsid w:val="009509A6"/>
    <w:rsid w:val="009525C2"/>
    <w:rsid w:val="00953AD6"/>
    <w:rsid w:val="00955126"/>
    <w:rsid w:val="00957534"/>
    <w:rsid w:val="009601B9"/>
    <w:rsid w:val="00962D86"/>
    <w:rsid w:val="00964464"/>
    <w:rsid w:val="00964502"/>
    <w:rsid w:val="00970E5D"/>
    <w:rsid w:val="00976E8E"/>
    <w:rsid w:val="0097701C"/>
    <w:rsid w:val="00980A65"/>
    <w:rsid w:val="009859AF"/>
    <w:rsid w:val="00985D2C"/>
    <w:rsid w:val="00986CB9"/>
    <w:rsid w:val="00987033"/>
    <w:rsid w:val="00991AF8"/>
    <w:rsid w:val="00994A30"/>
    <w:rsid w:val="0099591B"/>
    <w:rsid w:val="00995920"/>
    <w:rsid w:val="009A28D2"/>
    <w:rsid w:val="009B0E03"/>
    <w:rsid w:val="009B1F03"/>
    <w:rsid w:val="009B67E8"/>
    <w:rsid w:val="009B7499"/>
    <w:rsid w:val="009C2082"/>
    <w:rsid w:val="009C423D"/>
    <w:rsid w:val="009C7B79"/>
    <w:rsid w:val="009D0FE6"/>
    <w:rsid w:val="009D1B32"/>
    <w:rsid w:val="009D28A0"/>
    <w:rsid w:val="009D2DFD"/>
    <w:rsid w:val="009D4E55"/>
    <w:rsid w:val="009D794C"/>
    <w:rsid w:val="009E12A2"/>
    <w:rsid w:val="009E17B0"/>
    <w:rsid w:val="009E2464"/>
    <w:rsid w:val="009E4623"/>
    <w:rsid w:val="009E5C42"/>
    <w:rsid w:val="009E79C7"/>
    <w:rsid w:val="009F3D70"/>
    <w:rsid w:val="009F45CA"/>
    <w:rsid w:val="009F71E2"/>
    <w:rsid w:val="00A003FD"/>
    <w:rsid w:val="00A0189B"/>
    <w:rsid w:val="00A06D5C"/>
    <w:rsid w:val="00A07B2B"/>
    <w:rsid w:val="00A07B82"/>
    <w:rsid w:val="00A1145D"/>
    <w:rsid w:val="00A13F48"/>
    <w:rsid w:val="00A167D4"/>
    <w:rsid w:val="00A25E70"/>
    <w:rsid w:val="00A25EE2"/>
    <w:rsid w:val="00A273A4"/>
    <w:rsid w:val="00A30AE2"/>
    <w:rsid w:val="00A3244E"/>
    <w:rsid w:val="00A33286"/>
    <w:rsid w:val="00A33765"/>
    <w:rsid w:val="00A34729"/>
    <w:rsid w:val="00A36E6B"/>
    <w:rsid w:val="00A40EE3"/>
    <w:rsid w:val="00A434AB"/>
    <w:rsid w:val="00A440B8"/>
    <w:rsid w:val="00A52DA9"/>
    <w:rsid w:val="00A53858"/>
    <w:rsid w:val="00A5428E"/>
    <w:rsid w:val="00A542C8"/>
    <w:rsid w:val="00A61E52"/>
    <w:rsid w:val="00A61EDE"/>
    <w:rsid w:val="00A62186"/>
    <w:rsid w:val="00A63269"/>
    <w:rsid w:val="00A662E3"/>
    <w:rsid w:val="00A725D5"/>
    <w:rsid w:val="00A72ED2"/>
    <w:rsid w:val="00A77531"/>
    <w:rsid w:val="00A808BC"/>
    <w:rsid w:val="00A819C1"/>
    <w:rsid w:val="00A83AFA"/>
    <w:rsid w:val="00A92377"/>
    <w:rsid w:val="00A93EF5"/>
    <w:rsid w:val="00A97C99"/>
    <w:rsid w:val="00AA02B1"/>
    <w:rsid w:val="00AA3783"/>
    <w:rsid w:val="00AA4A61"/>
    <w:rsid w:val="00AA6102"/>
    <w:rsid w:val="00AA68B8"/>
    <w:rsid w:val="00AA7F9D"/>
    <w:rsid w:val="00AA7FFB"/>
    <w:rsid w:val="00AB167C"/>
    <w:rsid w:val="00AB191C"/>
    <w:rsid w:val="00AB1F4F"/>
    <w:rsid w:val="00AB2229"/>
    <w:rsid w:val="00AB29ED"/>
    <w:rsid w:val="00AB3E9F"/>
    <w:rsid w:val="00AB7B21"/>
    <w:rsid w:val="00AC21B4"/>
    <w:rsid w:val="00AC409B"/>
    <w:rsid w:val="00AC4925"/>
    <w:rsid w:val="00AC722C"/>
    <w:rsid w:val="00AC78E1"/>
    <w:rsid w:val="00AD0D03"/>
    <w:rsid w:val="00AD15D9"/>
    <w:rsid w:val="00AD2A6E"/>
    <w:rsid w:val="00AD3D6A"/>
    <w:rsid w:val="00AD4677"/>
    <w:rsid w:val="00AD760D"/>
    <w:rsid w:val="00AE4BD8"/>
    <w:rsid w:val="00AE7EEB"/>
    <w:rsid w:val="00AF1DC4"/>
    <w:rsid w:val="00B02A0E"/>
    <w:rsid w:val="00B02C47"/>
    <w:rsid w:val="00B05344"/>
    <w:rsid w:val="00B05E79"/>
    <w:rsid w:val="00B1016F"/>
    <w:rsid w:val="00B101BD"/>
    <w:rsid w:val="00B11384"/>
    <w:rsid w:val="00B16120"/>
    <w:rsid w:val="00B17B55"/>
    <w:rsid w:val="00B2263E"/>
    <w:rsid w:val="00B271BF"/>
    <w:rsid w:val="00B31B18"/>
    <w:rsid w:val="00B3323A"/>
    <w:rsid w:val="00B33A96"/>
    <w:rsid w:val="00B364DC"/>
    <w:rsid w:val="00B40E66"/>
    <w:rsid w:val="00B4388F"/>
    <w:rsid w:val="00B449B4"/>
    <w:rsid w:val="00B51AA7"/>
    <w:rsid w:val="00B523DD"/>
    <w:rsid w:val="00B60C13"/>
    <w:rsid w:val="00B61101"/>
    <w:rsid w:val="00B627D3"/>
    <w:rsid w:val="00B63237"/>
    <w:rsid w:val="00B64B64"/>
    <w:rsid w:val="00B657BF"/>
    <w:rsid w:val="00B675EF"/>
    <w:rsid w:val="00B67A17"/>
    <w:rsid w:val="00B7086D"/>
    <w:rsid w:val="00B716A2"/>
    <w:rsid w:val="00B7650E"/>
    <w:rsid w:val="00B77BBA"/>
    <w:rsid w:val="00B8167B"/>
    <w:rsid w:val="00B818F3"/>
    <w:rsid w:val="00B860F3"/>
    <w:rsid w:val="00B87821"/>
    <w:rsid w:val="00B91DDA"/>
    <w:rsid w:val="00B95ADF"/>
    <w:rsid w:val="00B96A7B"/>
    <w:rsid w:val="00BA0DE1"/>
    <w:rsid w:val="00BA5CDF"/>
    <w:rsid w:val="00BA5CF0"/>
    <w:rsid w:val="00BA695D"/>
    <w:rsid w:val="00BA7115"/>
    <w:rsid w:val="00BB0B8C"/>
    <w:rsid w:val="00BB0CB9"/>
    <w:rsid w:val="00BB23A3"/>
    <w:rsid w:val="00BB54A1"/>
    <w:rsid w:val="00BC65ED"/>
    <w:rsid w:val="00BC73BD"/>
    <w:rsid w:val="00BD16FB"/>
    <w:rsid w:val="00BD3856"/>
    <w:rsid w:val="00BD46CE"/>
    <w:rsid w:val="00BE0B22"/>
    <w:rsid w:val="00BE5C3D"/>
    <w:rsid w:val="00BE7EB6"/>
    <w:rsid w:val="00BF2B58"/>
    <w:rsid w:val="00BF3674"/>
    <w:rsid w:val="00BF5F2E"/>
    <w:rsid w:val="00BF6142"/>
    <w:rsid w:val="00BF7809"/>
    <w:rsid w:val="00C0517B"/>
    <w:rsid w:val="00C07E21"/>
    <w:rsid w:val="00C12EF1"/>
    <w:rsid w:val="00C14F91"/>
    <w:rsid w:val="00C15F40"/>
    <w:rsid w:val="00C17090"/>
    <w:rsid w:val="00C20E33"/>
    <w:rsid w:val="00C20EE3"/>
    <w:rsid w:val="00C21F8C"/>
    <w:rsid w:val="00C22827"/>
    <w:rsid w:val="00C23745"/>
    <w:rsid w:val="00C241C5"/>
    <w:rsid w:val="00C243F5"/>
    <w:rsid w:val="00C24F70"/>
    <w:rsid w:val="00C253B0"/>
    <w:rsid w:val="00C26EE2"/>
    <w:rsid w:val="00C318A8"/>
    <w:rsid w:val="00C33204"/>
    <w:rsid w:val="00C33F58"/>
    <w:rsid w:val="00C34F95"/>
    <w:rsid w:val="00C376D6"/>
    <w:rsid w:val="00C37D77"/>
    <w:rsid w:val="00C4146F"/>
    <w:rsid w:val="00C43FA1"/>
    <w:rsid w:val="00C46DD3"/>
    <w:rsid w:val="00C4758B"/>
    <w:rsid w:val="00C501A3"/>
    <w:rsid w:val="00C507FE"/>
    <w:rsid w:val="00C53925"/>
    <w:rsid w:val="00C53B74"/>
    <w:rsid w:val="00C6008C"/>
    <w:rsid w:val="00C61304"/>
    <w:rsid w:val="00C722C2"/>
    <w:rsid w:val="00C72543"/>
    <w:rsid w:val="00C729A9"/>
    <w:rsid w:val="00C7622C"/>
    <w:rsid w:val="00C80B0C"/>
    <w:rsid w:val="00C80EC6"/>
    <w:rsid w:val="00C85346"/>
    <w:rsid w:val="00C86785"/>
    <w:rsid w:val="00C874CE"/>
    <w:rsid w:val="00C874E7"/>
    <w:rsid w:val="00C875BC"/>
    <w:rsid w:val="00C90867"/>
    <w:rsid w:val="00C927F2"/>
    <w:rsid w:val="00C960DC"/>
    <w:rsid w:val="00C97AFF"/>
    <w:rsid w:val="00CA0385"/>
    <w:rsid w:val="00CA12C6"/>
    <w:rsid w:val="00CA2C65"/>
    <w:rsid w:val="00CA3BA7"/>
    <w:rsid w:val="00CB5317"/>
    <w:rsid w:val="00CB68C7"/>
    <w:rsid w:val="00CB7F30"/>
    <w:rsid w:val="00CC1882"/>
    <w:rsid w:val="00CD46A1"/>
    <w:rsid w:val="00CD4D83"/>
    <w:rsid w:val="00CD6023"/>
    <w:rsid w:val="00CD63E4"/>
    <w:rsid w:val="00CD74E8"/>
    <w:rsid w:val="00CE04DB"/>
    <w:rsid w:val="00CE0523"/>
    <w:rsid w:val="00CE0E3F"/>
    <w:rsid w:val="00CE25AC"/>
    <w:rsid w:val="00CE54FD"/>
    <w:rsid w:val="00CE6267"/>
    <w:rsid w:val="00CF7CF5"/>
    <w:rsid w:val="00D00D17"/>
    <w:rsid w:val="00D02C75"/>
    <w:rsid w:val="00D03D01"/>
    <w:rsid w:val="00D0559A"/>
    <w:rsid w:val="00D066A9"/>
    <w:rsid w:val="00D067B8"/>
    <w:rsid w:val="00D10E22"/>
    <w:rsid w:val="00D118FA"/>
    <w:rsid w:val="00D13D2C"/>
    <w:rsid w:val="00D14E2E"/>
    <w:rsid w:val="00D15D50"/>
    <w:rsid w:val="00D218F4"/>
    <w:rsid w:val="00D2558F"/>
    <w:rsid w:val="00D264F8"/>
    <w:rsid w:val="00D273E1"/>
    <w:rsid w:val="00D27AC7"/>
    <w:rsid w:val="00D27B2E"/>
    <w:rsid w:val="00D3001D"/>
    <w:rsid w:val="00D32CC3"/>
    <w:rsid w:val="00D32FFE"/>
    <w:rsid w:val="00D33531"/>
    <w:rsid w:val="00D352FD"/>
    <w:rsid w:val="00D3643A"/>
    <w:rsid w:val="00D36EA8"/>
    <w:rsid w:val="00D370DF"/>
    <w:rsid w:val="00D402E2"/>
    <w:rsid w:val="00D46C28"/>
    <w:rsid w:val="00D46F24"/>
    <w:rsid w:val="00D53B2E"/>
    <w:rsid w:val="00D55E23"/>
    <w:rsid w:val="00D610D3"/>
    <w:rsid w:val="00D6327F"/>
    <w:rsid w:val="00D652C1"/>
    <w:rsid w:val="00D654EB"/>
    <w:rsid w:val="00D71D18"/>
    <w:rsid w:val="00D7239F"/>
    <w:rsid w:val="00D738C6"/>
    <w:rsid w:val="00D846F2"/>
    <w:rsid w:val="00D96418"/>
    <w:rsid w:val="00D966E4"/>
    <w:rsid w:val="00D97145"/>
    <w:rsid w:val="00DA4094"/>
    <w:rsid w:val="00DA5786"/>
    <w:rsid w:val="00DA7268"/>
    <w:rsid w:val="00DB3927"/>
    <w:rsid w:val="00DB547B"/>
    <w:rsid w:val="00DB77E7"/>
    <w:rsid w:val="00DC1D7F"/>
    <w:rsid w:val="00DC2F94"/>
    <w:rsid w:val="00DC53DC"/>
    <w:rsid w:val="00DC5CE1"/>
    <w:rsid w:val="00DD06F0"/>
    <w:rsid w:val="00DD1671"/>
    <w:rsid w:val="00DD1874"/>
    <w:rsid w:val="00DD3B1D"/>
    <w:rsid w:val="00DD3D9E"/>
    <w:rsid w:val="00DD41FD"/>
    <w:rsid w:val="00DD4D6F"/>
    <w:rsid w:val="00DD4D7C"/>
    <w:rsid w:val="00DD7908"/>
    <w:rsid w:val="00DE04E4"/>
    <w:rsid w:val="00DE3531"/>
    <w:rsid w:val="00DE373F"/>
    <w:rsid w:val="00DE4626"/>
    <w:rsid w:val="00DE4C10"/>
    <w:rsid w:val="00DE56FB"/>
    <w:rsid w:val="00DE72BA"/>
    <w:rsid w:val="00DE7871"/>
    <w:rsid w:val="00DE7E01"/>
    <w:rsid w:val="00DF0CCD"/>
    <w:rsid w:val="00DF325E"/>
    <w:rsid w:val="00DF6840"/>
    <w:rsid w:val="00DF7BBA"/>
    <w:rsid w:val="00E00140"/>
    <w:rsid w:val="00E00A1B"/>
    <w:rsid w:val="00E02DE0"/>
    <w:rsid w:val="00E04CF6"/>
    <w:rsid w:val="00E073D3"/>
    <w:rsid w:val="00E13BB5"/>
    <w:rsid w:val="00E179A9"/>
    <w:rsid w:val="00E27140"/>
    <w:rsid w:val="00E41D2B"/>
    <w:rsid w:val="00E43C72"/>
    <w:rsid w:val="00E43DA6"/>
    <w:rsid w:val="00E44674"/>
    <w:rsid w:val="00E44916"/>
    <w:rsid w:val="00E45934"/>
    <w:rsid w:val="00E47EAE"/>
    <w:rsid w:val="00E51121"/>
    <w:rsid w:val="00E51360"/>
    <w:rsid w:val="00E51CE8"/>
    <w:rsid w:val="00E5392C"/>
    <w:rsid w:val="00E5475C"/>
    <w:rsid w:val="00E5732D"/>
    <w:rsid w:val="00E57357"/>
    <w:rsid w:val="00E62DB9"/>
    <w:rsid w:val="00E63116"/>
    <w:rsid w:val="00E654EB"/>
    <w:rsid w:val="00E66255"/>
    <w:rsid w:val="00E70CD8"/>
    <w:rsid w:val="00E70FF4"/>
    <w:rsid w:val="00E73E42"/>
    <w:rsid w:val="00E7415E"/>
    <w:rsid w:val="00E74B93"/>
    <w:rsid w:val="00E75102"/>
    <w:rsid w:val="00E75F26"/>
    <w:rsid w:val="00E80186"/>
    <w:rsid w:val="00E80B69"/>
    <w:rsid w:val="00E80C43"/>
    <w:rsid w:val="00E812D3"/>
    <w:rsid w:val="00E82297"/>
    <w:rsid w:val="00E90E44"/>
    <w:rsid w:val="00E91398"/>
    <w:rsid w:val="00E9206F"/>
    <w:rsid w:val="00E93E29"/>
    <w:rsid w:val="00EA164D"/>
    <w:rsid w:val="00EA2E4E"/>
    <w:rsid w:val="00EA344F"/>
    <w:rsid w:val="00EA79CF"/>
    <w:rsid w:val="00EB1496"/>
    <w:rsid w:val="00EB312C"/>
    <w:rsid w:val="00EB5614"/>
    <w:rsid w:val="00EB6E70"/>
    <w:rsid w:val="00EC13CE"/>
    <w:rsid w:val="00EC2E80"/>
    <w:rsid w:val="00EC34BF"/>
    <w:rsid w:val="00ED5AE6"/>
    <w:rsid w:val="00EE11D4"/>
    <w:rsid w:val="00EE49AD"/>
    <w:rsid w:val="00EE4C69"/>
    <w:rsid w:val="00EE5FD9"/>
    <w:rsid w:val="00EF39FD"/>
    <w:rsid w:val="00EF5E62"/>
    <w:rsid w:val="00EF604B"/>
    <w:rsid w:val="00EF6736"/>
    <w:rsid w:val="00F0111B"/>
    <w:rsid w:val="00F0302B"/>
    <w:rsid w:val="00F0363C"/>
    <w:rsid w:val="00F04003"/>
    <w:rsid w:val="00F05FF5"/>
    <w:rsid w:val="00F0682F"/>
    <w:rsid w:val="00F06842"/>
    <w:rsid w:val="00F107FD"/>
    <w:rsid w:val="00F10B3F"/>
    <w:rsid w:val="00F1586D"/>
    <w:rsid w:val="00F202FC"/>
    <w:rsid w:val="00F234DB"/>
    <w:rsid w:val="00F24427"/>
    <w:rsid w:val="00F24FFF"/>
    <w:rsid w:val="00F254BA"/>
    <w:rsid w:val="00F2712C"/>
    <w:rsid w:val="00F316E9"/>
    <w:rsid w:val="00F31F45"/>
    <w:rsid w:val="00F32627"/>
    <w:rsid w:val="00F35D0E"/>
    <w:rsid w:val="00F37A06"/>
    <w:rsid w:val="00F42A12"/>
    <w:rsid w:val="00F44A4F"/>
    <w:rsid w:val="00F4622A"/>
    <w:rsid w:val="00F47DC1"/>
    <w:rsid w:val="00F47F75"/>
    <w:rsid w:val="00F50DE6"/>
    <w:rsid w:val="00F50FA6"/>
    <w:rsid w:val="00F51E51"/>
    <w:rsid w:val="00F52536"/>
    <w:rsid w:val="00F5355B"/>
    <w:rsid w:val="00F54DB5"/>
    <w:rsid w:val="00F55BB2"/>
    <w:rsid w:val="00F55D22"/>
    <w:rsid w:val="00F62988"/>
    <w:rsid w:val="00F63CCE"/>
    <w:rsid w:val="00F63E80"/>
    <w:rsid w:val="00F66B53"/>
    <w:rsid w:val="00F67D84"/>
    <w:rsid w:val="00F72B00"/>
    <w:rsid w:val="00F74FC5"/>
    <w:rsid w:val="00F75489"/>
    <w:rsid w:val="00F76FC1"/>
    <w:rsid w:val="00F778C9"/>
    <w:rsid w:val="00F80194"/>
    <w:rsid w:val="00F815D4"/>
    <w:rsid w:val="00F81870"/>
    <w:rsid w:val="00F847D6"/>
    <w:rsid w:val="00F867FA"/>
    <w:rsid w:val="00F87343"/>
    <w:rsid w:val="00F953B0"/>
    <w:rsid w:val="00FA6CF9"/>
    <w:rsid w:val="00FA7184"/>
    <w:rsid w:val="00FB5487"/>
    <w:rsid w:val="00FB64A8"/>
    <w:rsid w:val="00FC2912"/>
    <w:rsid w:val="00FC2D3D"/>
    <w:rsid w:val="00FC4623"/>
    <w:rsid w:val="00FC7BBC"/>
    <w:rsid w:val="00FD3E15"/>
    <w:rsid w:val="00FD7167"/>
    <w:rsid w:val="00FE0FE4"/>
    <w:rsid w:val="00FE133A"/>
    <w:rsid w:val="00FE1BE3"/>
    <w:rsid w:val="00FE4AD7"/>
    <w:rsid w:val="00FE68C9"/>
    <w:rsid w:val="00FF01E9"/>
    <w:rsid w:val="00FF05DD"/>
    <w:rsid w:val="00FF41C7"/>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9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4160"/>
    <w:rPr>
      <w:color w:val="808080"/>
    </w:rPr>
  </w:style>
  <w:style w:type="paragraph" w:styleId="Bibliography">
    <w:name w:val="Bibliography"/>
    <w:basedOn w:val="Normal"/>
    <w:next w:val="Normal"/>
    <w:uiPriority w:val="37"/>
    <w:unhideWhenUsed/>
    <w:rsid w:val="000D0A64"/>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92847">
      <w:bodyDiv w:val="1"/>
      <w:marLeft w:val="0"/>
      <w:marRight w:val="0"/>
      <w:marTop w:val="0"/>
      <w:marBottom w:val="0"/>
      <w:divBdr>
        <w:top w:val="none" w:sz="0" w:space="0" w:color="auto"/>
        <w:left w:val="none" w:sz="0" w:space="0" w:color="auto"/>
        <w:bottom w:val="none" w:sz="0" w:space="0" w:color="auto"/>
        <w:right w:val="none" w:sz="0" w:space="0" w:color="auto"/>
      </w:divBdr>
    </w:div>
    <w:div w:id="21315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20264</TotalTime>
  <Pages>6</Pages>
  <Words>2513</Words>
  <Characters>14304</Characters>
  <Application>Microsoft Office Word</Application>
  <DocSecurity>0</DocSecurity>
  <Lines>247</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Marcello Maria Bozzini</cp:lastModifiedBy>
  <cp:revision>1013</cp:revision>
  <cp:lastPrinted>2023-11-30T12:50:00Z</cp:lastPrinted>
  <dcterms:created xsi:type="dcterms:W3CDTF">2023-10-02T07:50:00Z</dcterms:created>
  <dcterms:modified xsi:type="dcterms:W3CDTF">2023-12-19T14:30:00Z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id="0zuGPHcv"/&gt;&lt;style id="ESCAPE33" hasBibliography="1" bibliographyStyleHasBeenSet="1"/&gt;&lt;prefs&gt;&lt;pref name="fieldType" value="Field"/&gt;&lt;/prefs&gt;&lt;/data&gt;</vt:lpwstr>
  </property>
</Properties>
</file>