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1AB988C" w:rsidR="00DD3D9E" w:rsidRPr="009D1565" w:rsidRDefault="009D1565" w:rsidP="00767D82">
      <w:pPr>
        <w:spacing w:before="240" w:after="120"/>
        <w:rPr>
          <w:b/>
          <w:bCs/>
          <w:sz w:val="32"/>
          <w:szCs w:val="32"/>
          <w:lang w:val="en-US"/>
        </w:rPr>
      </w:pPr>
      <w:bookmarkStart w:id="0" w:name="_Hlk149833395"/>
      <w:bookmarkStart w:id="1" w:name="_GoBack"/>
      <w:bookmarkEnd w:id="0"/>
      <w:bookmarkEnd w:id="1"/>
      <w:r w:rsidRPr="009D1565">
        <w:rPr>
          <w:b/>
          <w:bCs/>
          <w:sz w:val="32"/>
          <w:szCs w:val="32"/>
          <w:lang w:val="en-US"/>
        </w:rPr>
        <w:t xml:space="preserve">Integrated Recycling of End-of-Life Tires through Pyrolysis </w:t>
      </w:r>
      <w:r w:rsidR="00105812">
        <w:rPr>
          <w:b/>
          <w:bCs/>
          <w:sz w:val="32"/>
          <w:szCs w:val="32"/>
          <w:lang w:val="en-US"/>
        </w:rPr>
        <w:t xml:space="preserve">for </w:t>
      </w:r>
      <w:r w:rsidRPr="009D1565">
        <w:rPr>
          <w:b/>
          <w:bCs/>
          <w:sz w:val="32"/>
          <w:szCs w:val="32"/>
          <w:lang w:val="en-US"/>
        </w:rPr>
        <w:t>Fuels Production with Hydrogen Recovery</w:t>
      </w:r>
    </w:p>
    <w:p w14:paraId="144DE680" w14:textId="3BA6F234" w:rsidR="00DD3D9E" w:rsidRPr="004F2663" w:rsidRDefault="00A03A03">
      <w:pPr>
        <w:pStyle w:val="Els-Author"/>
        <w:rPr>
          <w:vertAlign w:val="subscript"/>
          <w:lang w:val="it-IT"/>
        </w:rPr>
      </w:pPr>
      <w:r w:rsidRPr="004F2663">
        <w:rPr>
          <w:lang w:val="it-IT"/>
        </w:rPr>
        <w:t xml:space="preserve">Simone Caspani </w:t>
      </w:r>
      <w:r w:rsidRPr="004F2663">
        <w:rPr>
          <w:vertAlign w:val="superscript"/>
          <w:lang w:val="it-IT"/>
        </w:rPr>
        <w:t>a</w:t>
      </w:r>
      <w:r w:rsidRPr="004F2663">
        <w:rPr>
          <w:lang w:val="it-IT"/>
        </w:rPr>
        <w:t>, Anna Nova</w:t>
      </w:r>
      <w:r w:rsidRPr="004F2663">
        <w:rPr>
          <w:vertAlign w:val="superscript"/>
          <w:lang w:val="it-IT"/>
        </w:rPr>
        <w:t xml:space="preserve"> a</w:t>
      </w:r>
      <w:r w:rsidRPr="004F2663">
        <w:rPr>
          <w:lang w:val="it-IT"/>
        </w:rPr>
        <w:t>, Francesco Negri</w:t>
      </w:r>
      <w:r w:rsidRPr="004F2663">
        <w:rPr>
          <w:vertAlign w:val="superscript"/>
          <w:lang w:val="it-IT"/>
        </w:rPr>
        <w:t xml:space="preserve"> a</w:t>
      </w:r>
      <w:r w:rsidR="002075F8" w:rsidRPr="004F2663">
        <w:rPr>
          <w:vertAlign w:val="superscript"/>
          <w:lang w:val="it-IT"/>
        </w:rPr>
        <w:t>,</w:t>
      </w:r>
      <w:r w:rsidRPr="004F2663">
        <w:rPr>
          <w:vertAlign w:val="superscript"/>
          <w:lang w:val="it-IT"/>
        </w:rPr>
        <w:t xml:space="preserve"> b</w:t>
      </w:r>
      <w:r w:rsidRPr="004F2663">
        <w:rPr>
          <w:lang w:val="it-IT"/>
        </w:rPr>
        <w:t>, Flavio Manenti</w:t>
      </w:r>
      <w:r w:rsidRPr="004F2663">
        <w:rPr>
          <w:vertAlign w:val="superscript"/>
          <w:lang w:val="it-IT"/>
        </w:rPr>
        <w:t xml:space="preserve"> a</w:t>
      </w:r>
      <w:r w:rsidR="002075F8" w:rsidRPr="004F2663">
        <w:rPr>
          <w:vertAlign w:val="superscript"/>
          <w:lang w:val="it-IT"/>
        </w:rPr>
        <w:t>,</w:t>
      </w:r>
      <w:r w:rsidRPr="004F2663">
        <w:rPr>
          <w:vertAlign w:val="superscript"/>
          <w:lang w:val="it-IT"/>
        </w:rPr>
        <w:t xml:space="preserve"> </w:t>
      </w:r>
      <w:r w:rsidRPr="004F2663">
        <w:rPr>
          <w:lang w:val="it-IT"/>
        </w:rPr>
        <w:t>*</w:t>
      </w:r>
    </w:p>
    <w:p w14:paraId="1D79D045" w14:textId="78B78DEA" w:rsidR="00A03A03" w:rsidRDefault="00A03A03" w:rsidP="00A03A03">
      <w:pPr>
        <w:pStyle w:val="Els-Affiliation"/>
        <w:rPr>
          <w:lang w:val="it-IT"/>
        </w:rPr>
      </w:pPr>
      <w:r w:rsidRPr="00646121">
        <w:rPr>
          <w:vertAlign w:val="superscript"/>
          <w:lang w:val="it-IT"/>
        </w:rPr>
        <w:t>a</w:t>
      </w:r>
      <w:r w:rsidRPr="00646121">
        <w:rPr>
          <w:lang w:val="it-IT"/>
        </w:rPr>
        <w:t>Politecnico di Milano</w:t>
      </w:r>
      <w:r>
        <w:rPr>
          <w:lang w:val="it-IT"/>
        </w:rPr>
        <w:t xml:space="preserve">, Dipartimento </w:t>
      </w:r>
      <w:r w:rsidRPr="00E63B97">
        <w:rPr>
          <w:lang w:val="it-IT"/>
        </w:rPr>
        <w:t>CMIC "Giulio Natta"</w:t>
      </w:r>
      <w:r w:rsidRPr="00646121">
        <w:rPr>
          <w:lang w:val="it-IT"/>
        </w:rPr>
        <w:t>, Piazza L</w:t>
      </w:r>
      <w:r>
        <w:rPr>
          <w:lang w:val="it-IT"/>
        </w:rPr>
        <w:t>eonardo da Vinci, 32, Milano 20133, Italia</w:t>
      </w:r>
    </w:p>
    <w:p w14:paraId="144DE683" w14:textId="657C0D01" w:rsidR="008D2649" w:rsidRPr="006700DD" w:rsidRDefault="002075F8" w:rsidP="006700DD">
      <w:pPr>
        <w:pStyle w:val="Els-Affiliation"/>
        <w:rPr>
          <w:lang w:val="it-IT"/>
        </w:rPr>
      </w:pPr>
      <w:r w:rsidRPr="004F2663">
        <w:rPr>
          <w:vertAlign w:val="superscript"/>
          <w:lang w:val="it-IT"/>
        </w:rPr>
        <w:t>b</w:t>
      </w:r>
      <w:r w:rsidRPr="004F2663">
        <w:rPr>
          <w:lang w:val="it-IT"/>
        </w:rPr>
        <w:t>Itelyum Regeneration S.p.A., Via Tavernelle 19, Pieve Fissiraga 26854, Lodi, Italia</w:t>
      </w:r>
      <w:r>
        <w:t xml:space="preserve"> </w:t>
      </w:r>
      <w:r w:rsidR="00A03A03">
        <w:t>flavio.manenti@polimi.it</w:t>
      </w:r>
    </w:p>
    <w:p w14:paraId="144DE684" w14:textId="77777777" w:rsidR="008D2649" w:rsidRDefault="008D2649" w:rsidP="00454D81">
      <w:pPr>
        <w:pStyle w:val="Els-Abstract"/>
      </w:pPr>
      <w:r>
        <w:t>Abstract</w:t>
      </w:r>
    </w:p>
    <w:p w14:paraId="1964B5A9" w14:textId="4834B134" w:rsidR="00BD119D" w:rsidRPr="006601D8" w:rsidRDefault="00D65401" w:rsidP="00BD119D">
      <w:pPr>
        <w:jc w:val="both"/>
        <w:rPr>
          <w:lang w:val="en-US"/>
        </w:rPr>
      </w:pPr>
      <w:r>
        <w:t xml:space="preserve">Waste tire management is a </w:t>
      </w:r>
      <w:r w:rsidR="004C63D4">
        <w:t>crucial</w:t>
      </w:r>
      <w:r>
        <w:t xml:space="preserve"> and actual problem. </w:t>
      </w:r>
      <w:r w:rsidR="00BD119D">
        <w:t>Exploiting new technologies for the</w:t>
      </w:r>
      <w:r w:rsidR="0064264C">
        <w:t>ir</w:t>
      </w:r>
      <w:r w:rsidR="00BD119D">
        <w:t xml:space="preserve"> treatment is a key point in an optical of circularity. </w:t>
      </w:r>
      <w:r w:rsidR="00BD119D" w:rsidRPr="006601D8">
        <w:rPr>
          <w:lang w:val="en-US"/>
        </w:rPr>
        <w:t>The objective of this</w:t>
      </w:r>
      <w:r w:rsidR="002F3FE4">
        <w:rPr>
          <w:lang w:val="en-US"/>
        </w:rPr>
        <w:t xml:space="preserve"> preliminary</w:t>
      </w:r>
      <w:r w:rsidR="00BD119D" w:rsidRPr="006601D8">
        <w:rPr>
          <w:lang w:val="en-US"/>
        </w:rPr>
        <w:t xml:space="preserve"> project is to </w:t>
      </w:r>
      <w:r w:rsidR="00BD119D">
        <w:rPr>
          <w:lang w:val="en-US"/>
        </w:rPr>
        <w:t>design</w:t>
      </w:r>
      <w:r w:rsidR="00BD119D" w:rsidRPr="006601D8">
        <w:rPr>
          <w:lang w:val="en-US"/>
        </w:rPr>
        <w:t xml:space="preserve"> and simulate a novel approach for recycling </w:t>
      </w:r>
      <w:r w:rsidR="00147966">
        <w:rPr>
          <w:lang w:val="en-US"/>
        </w:rPr>
        <w:t xml:space="preserve">of </w:t>
      </w:r>
      <w:r w:rsidR="00BD119D">
        <w:rPr>
          <w:lang w:val="en-US"/>
        </w:rPr>
        <w:t>end</w:t>
      </w:r>
      <w:r w:rsidR="00147966">
        <w:rPr>
          <w:lang w:val="en-US"/>
        </w:rPr>
        <w:t>-</w:t>
      </w:r>
      <w:r w:rsidR="00BD119D">
        <w:rPr>
          <w:lang w:val="en-US"/>
        </w:rPr>
        <w:t>of</w:t>
      </w:r>
      <w:r w:rsidR="00147966">
        <w:rPr>
          <w:lang w:val="en-US"/>
        </w:rPr>
        <w:t>-</w:t>
      </w:r>
      <w:r w:rsidR="00BD119D">
        <w:rPr>
          <w:lang w:val="en-US"/>
        </w:rPr>
        <w:t>life</w:t>
      </w:r>
      <w:r w:rsidR="00BD119D" w:rsidRPr="006601D8">
        <w:rPr>
          <w:lang w:val="en-US"/>
        </w:rPr>
        <w:t xml:space="preserve"> tires. This involves implementing tire pyrolysis, followed by well</w:t>
      </w:r>
      <w:r w:rsidR="00BD119D">
        <w:rPr>
          <w:lang w:val="en-US"/>
        </w:rPr>
        <w:t>-</w:t>
      </w:r>
      <w:r w:rsidR="00BD119D" w:rsidRPr="006601D8">
        <w:rPr>
          <w:lang w:val="en-US"/>
        </w:rPr>
        <w:t xml:space="preserve">known processes to enhance the quality of the resulting gaseous and liquid outputs. </w:t>
      </w:r>
      <w:r w:rsidR="00402284" w:rsidRPr="00402284">
        <w:rPr>
          <w:lang w:val="en-US"/>
        </w:rPr>
        <w:t xml:space="preserve">Enhancing treatment methods </w:t>
      </w:r>
      <w:r w:rsidR="00381599">
        <w:rPr>
          <w:lang w:val="en-US"/>
        </w:rPr>
        <w:t>are</w:t>
      </w:r>
      <w:r w:rsidR="00402284" w:rsidRPr="00402284">
        <w:rPr>
          <w:lang w:val="en-US"/>
        </w:rPr>
        <w:t xml:space="preserve"> crucial, given the substantial sulfur content in the feedstock (approximately 2 </w:t>
      </w:r>
      <w:proofErr w:type="spellStart"/>
      <w:r w:rsidR="00402284" w:rsidRPr="00402284">
        <w:rPr>
          <w:lang w:val="en-US"/>
        </w:rPr>
        <w:t>w</w:t>
      </w:r>
      <w:r w:rsidR="001C67C0">
        <w:rPr>
          <w:lang w:val="en-US"/>
        </w:rPr>
        <w:t>.</w:t>
      </w:r>
      <w:r w:rsidR="00402284" w:rsidRPr="00402284">
        <w:rPr>
          <w:lang w:val="en-US"/>
        </w:rPr>
        <w:t>t</w:t>
      </w:r>
      <w:r w:rsidR="001C67C0">
        <w:rPr>
          <w:lang w:val="en-US"/>
        </w:rPr>
        <w:t>.</w:t>
      </w:r>
      <w:proofErr w:type="spellEnd"/>
      <w:r w:rsidR="00402284" w:rsidRPr="00402284">
        <w:rPr>
          <w:lang w:val="en-US"/>
        </w:rPr>
        <w:t>%). Indeed, this sulfur can lead to the generation of numerous impurities during pyrolysis.</w:t>
      </w:r>
    </w:p>
    <w:p w14:paraId="3C545580" w14:textId="74E83129" w:rsidR="00BD119D" w:rsidRDefault="00E25241" w:rsidP="00D96A06">
      <w:pPr>
        <w:spacing w:after="60"/>
        <w:jc w:val="both"/>
      </w:pPr>
      <w:r w:rsidRPr="006601D8">
        <w:t>Th</w:t>
      </w:r>
      <w:r>
        <w:t xml:space="preserve">is contribution is proposing a conceptual process design </w:t>
      </w:r>
      <w:r w:rsidRPr="006601D8">
        <w:t>utilizing Aspen Plus V11</w:t>
      </w:r>
      <w:r w:rsidRPr="00E25241">
        <w:t xml:space="preserve"> </w:t>
      </w:r>
      <w:r>
        <w:t>coupled with MATLAB for specific unconventional units</w:t>
      </w:r>
      <w:r w:rsidRPr="006601D8">
        <w:t>.</w:t>
      </w:r>
      <w:r>
        <w:t xml:space="preserve"> </w:t>
      </w:r>
      <w:r w:rsidR="002F3FE4" w:rsidRPr="006601D8">
        <w:rPr>
          <w:lang w:val="en-US"/>
        </w:rPr>
        <w:t xml:space="preserve">The process is divided into </w:t>
      </w:r>
      <w:r w:rsidR="002F3FE4">
        <w:rPr>
          <w:lang w:val="en-US"/>
        </w:rPr>
        <w:t>three</w:t>
      </w:r>
      <w:r w:rsidR="002F3FE4" w:rsidRPr="006601D8">
        <w:rPr>
          <w:lang w:val="en-US"/>
        </w:rPr>
        <w:t xml:space="preserve"> main blocks: pyrolysis</w:t>
      </w:r>
      <w:r w:rsidR="00942265">
        <w:rPr>
          <w:lang w:val="en-US"/>
        </w:rPr>
        <w:t>;</w:t>
      </w:r>
      <w:r w:rsidR="002F3FE4" w:rsidRPr="006601D8">
        <w:rPr>
          <w:lang w:val="en-US"/>
        </w:rPr>
        <w:t xml:space="preserve"> </w:t>
      </w:r>
      <w:r w:rsidR="002F3FE4">
        <w:rPr>
          <w:lang w:val="en-US"/>
        </w:rPr>
        <w:t>oil</w:t>
      </w:r>
      <w:r w:rsidR="002F3FE4" w:rsidRPr="006601D8">
        <w:rPr>
          <w:lang w:val="en-US"/>
        </w:rPr>
        <w:t xml:space="preserve"> upgrading</w:t>
      </w:r>
      <w:r w:rsidR="002F3FE4">
        <w:rPr>
          <w:lang w:val="en-US"/>
        </w:rPr>
        <w:t xml:space="preserve"> via hydrotreating</w:t>
      </w:r>
      <w:r w:rsidR="00942265">
        <w:rPr>
          <w:lang w:val="en-US"/>
        </w:rPr>
        <w:t>;</w:t>
      </w:r>
      <w:r w:rsidR="002F3FE4" w:rsidRPr="006601D8">
        <w:rPr>
          <w:lang w:val="en-US"/>
        </w:rPr>
        <w:t xml:space="preserve"> hydrogen recovery system.</w:t>
      </w:r>
      <w:r>
        <w:rPr>
          <w:lang w:val="en-US"/>
        </w:rPr>
        <w:t xml:space="preserve"> </w:t>
      </w:r>
      <w:r w:rsidR="002F3FE4" w:rsidRPr="006601D8">
        <w:t>This allowed to assess the performance of each plant section and make preliminary evaluations regarding</w:t>
      </w:r>
      <w:r w:rsidR="00477C8C">
        <w:t xml:space="preserve"> </w:t>
      </w:r>
      <w:r w:rsidR="00F15247">
        <w:t>hydrogen consumption</w:t>
      </w:r>
      <w:r w:rsidR="002F3FE4">
        <w:t>.</w:t>
      </w:r>
      <w:r w:rsidR="00F03019">
        <w:t xml:space="preserve"> </w:t>
      </w:r>
    </w:p>
    <w:p w14:paraId="144DE687" w14:textId="5A0AC7BF" w:rsidR="008D2649" w:rsidRDefault="008D2649" w:rsidP="008D2649">
      <w:pPr>
        <w:pStyle w:val="Els-body-text"/>
        <w:spacing w:after="120"/>
        <w:rPr>
          <w:lang w:val="en-GB"/>
        </w:rPr>
      </w:pPr>
      <w:r>
        <w:rPr>
          <w:b/>
          <w:bCs/>
          <w:lang w:val="en-GB"/>
        </w:rPr>
        <w:t>Keywords</w:t>
      </w:r>
      <w:r>
        <w:rPr>
          <w:lang w:val="en-GB"/>
        </w:rPr>
        <w:t xml:space="preserve">: </w:t>
      </w:r>
      <w:r w:rsidR="004D6E89">
        <w:rPr>
          <w:lang w:val="en-GB"/>
        </w:rPr>
        <w:t>P</w:t>
      </w:r>
      <w:proofErr w:type="spellStart"/>
      <w:r w:rsidR="00A8253F">
        <w:t>rocess</w:t>
      </w:r>
      <w:proofErr w:type="spellEnd"/>
      <w:r w:rsidR="00A8253F">
        <w:t xml:space="preserve"> </w:t>
      </w:r>
      <w:r w:rsidR="004D6E89">
        <w:t>S</w:t>
      </w:r>
      <w:r w:rsidR="00A8253F">
        <w:t>imulation</w:t>
      </w:r>
      <w:r w:rsidR="00767D82">
        <w:t>,</w:t>
      </w:r>
      <w:r w:rsidR="00A8253F">
        <w:t xml:space="preserve"> </w:t>
      </w:r>
      <w:r w:rsidR="004D6E89">
        <w:t>W</w:t>
      </w:r>
      <w:r w:rsidR="00A8253F">
        <w:t xml:space="preserve">aste </w:t>
      </w:r>
      <w:r w:rsidR="004D6E89">
        <w:t>T</w:t>
      </w:r>
      <w:r w:rsidR="00A8253F">
        <w:t>ire</w:t>
      </w:r>
      <w:r w:rsidR="00767D82">
        <w:t xml:space="preserve">, </w:t>
      </w:r>
      <w:r w:rsidR="004D6E89">
        <w:t>C</w:t>
      </w:r>
      <w:r w:rsidR="00E25241">
        <w:t xml:space="preserve">hemical </w:t>
      </w:r>
      <w:r w:rsidR="004D6E89">
        <w:t>R</w:t>
      </w:r>
      <w:r w:rsidR="00A8253F">
        <w:t>ecycling</w:t>
      </w:r>
      <w:r w:rsidR="00767D82">
        <w:t>,</w:t>
      </w:r>
      <w:r w:rsidR="00A8253F">
        <w:t xml:space="preserve"> </w:t>
      </w:r>
      <w:r w:rsidR="004D6E89">
        <w:t>P</w:t>
      </w:r>
      <w:r w:rsidR="00A8253F">
        <w:t>yrolysis</w:t>
      </w:r>
      <w:r w:rsidR="00767D82">
        <w:t>,</w:t>
      </w:r>
      <w:r w:rsidR="00E25241">
        <w:t xml:space="preserve"> H</w:t>
      </w:r>
      <w:r w:rsidR="00E25241" w:rsidRPr="00E25241">
        <w:rPr>
          <w:vertAlign w:val="subscript"/>
        </w:rPr>
        <w:t>2</w:t>
      </w:r>
      <w:r w:rsidR="00E25241">
        <w:t>S</w:t>
      </w:r>
    </w:p>
    <w:p w14:paraId="144DE689" w14:textId="6E277D4C" w:rsidR="008D2649" w:rsidRDefault="00A8253F" w:rsidP="00454D81">
      <w:pPr>
        <w:pStyle w:val="Els-1storder-head"/>
        <w:spacing w:after="120"/>
      </w:pPr>
      <w:r>
        <w:t>Introduction</w:t>
      </w:r>
    </w:p>
    <w:p w14:paraId="18C55FCC" w14:textId="77777777" w:rsidR="005C3EC8" w:rsidRPr="006601D8" w:rsidRDefault="005C3EC8" w:rsidP="005C3EC8">
      <w:pPr>
        <w:jc w:val="both"/>
        <w:rPr>
          <w:lang w:val="en-US"/>
        </w:rPr>
      </w:pPr>
      <w:r w:rsidRPr="006601D8">
        <w:rPr>
          <w:lang w:val="en-US"/>
        </w:rPr>
        <w:t xml:space="preserve">In the context of contemporary production, the management of waste tires has emerged as a significant concern. </w:t>
      </w:r>
    </w:p>
    <w:p w14:paraId="70F796E1" w14:textId="4B487937" w:rsidR="005C3EC8" w:rsidRPr="006601D8" w:rsidRDefault="005C3EC8" w:rsidP="005C3EC8">
      <w:pPr>
        <w:jc w:val="both"/>
        <w:rPr>
          <w:lang w:val="en-US"/>
        </w:rPr>
      </w:pPr>
      <w:r w:rsidRPr="006601D8">
        <w:rPr>
          <w:lang w:val="en-US"/>
        </w:rPr>
        <w:t>Mechanical recycling technologies have attained a high level of industrial readiness, particularly within the construction sector and in the reutilization of tires (</w:t>
      </w:r>
      <w:r>
        <w:rPr>
          <w:lang w:val="en-US"/>
        </w:rPr>
        <w:t>retreading</w:t>
      </w:r>
      <w:r w:rsidRPr="006601D8">
        <w:rPr>
          <w:lang w:val="en-US"/>
        </w:rPr>
        <w:t xml:space="preserve">). </w:t>
      </w:r>
      <w:r w:rsidR="004D6E89">
        <w:rPr>
          <w:lang w:val="en-US"/>
        </w:rPr>
        <w:t>Especially</w:t>
      </w:r>
      <w:r w:rsidRPr="006601D8">
        <w:rPr>
          <w:lang w:val="en-US"/>
        </w:rPr>
        <w:t>, a substantial volume of end-of-life (</w:t>
      </w:r>
      <w:proofErr w:type="spellStart"/>
      <w:r w:rsidRPr="006601D8">
        <w:rPr>
          <w:lang w:val="en-US"/>
        </w:rPr>
        <w:t>EoL</w:t>
      </w:r>
      <w:proofErr w:type="spellEnd"/>
      <w:r w:rsidRPr="006601D8">
        <w:rPr>
          <w:lang w:val="en-US"/>
        </w:rPr>
        <w:t>) tires is typically consigned to landfill</w:t>
      </w:r>
      <w:r w:rsidR="00A03F9C">
        <w:rPr>
          <w:lang w:val="en-US"/>
        </w:rPr>
        <w:t xml:space="preserve"> </w:t>
      </w:r>
      <w:r w:rsidR="00A03F9C">
        <w:rPr>
          <w:color w:val="F79646" w:themeColor="accent6"/>
          <w:lang w:val="en-US"/>
        </w:rPr>
        <w:fldChar w:fldCharType="begin"/>
      </w:r>
      <w:r w:rsidR="00A03F9C">
        <w:rPr>
          <w:color w:val="F79646" w:themeColor="accent6"/>
          <w:lang w:val="en-US"/>
        </w:rPr>
        <w:instrText xml:space="preserve"> ADDIN ZOTERO_ITEM CSL_CITATION {"citationID":"tmCvpAqu","properties":{"unsorted":true,"formattedCitation":"(Valentini and Pegoretti, 2022)","plainCitation":"(Valentini and Pegoretti, 2022)","noteIndex":0},"citationItems":[{"id":12,"uris":["http://zotero.org/users/local/4x05yQb7/items/VKYTH46K"],"itemData":{"id":12,"type":"article-journal","abstract":"The increasing motorisation rate worldwide is responsible for the demand of huge quantities of tyres that, after their useful service life, become waste and should be properly managed. Due to the relative low cost of tyres and the complexity related to recycling, worldwide around 41% of the total amount of end-of-life tyres is discarded into landfills or stockpiles without any recovery of the material or of the energy. Moreover, the chemical composition of tyres makes them extremely resistant to degradation phenomena with a potential long-term permanence in the environment. The high energy amount required for the production of tyres and the related environmental impact should encourage the recycling of tyres and also promote the adoption of maintenance activities, such as retreading, that allow a considerable increase in the useful service life of tyres with consequent reduction in GHG emissions. In this article the relevant literature describing the current status of end-of-life options worldwide, the European legislation regarding tyre waste, their possible uses and the related environmental aspects are presented.","collection-title":"Recycling of Rubbers","container-title":"Advanced Industrial and Engineering Polymer Research","DOI":"10.1016/j.aiepr.2022.08.006","ISSN":"2542-5048","issue":"4","journalAbbreviation":"Advanced Industrial and Engineering Polymer Research","page":"203-213","source":"ScienceDirect","title":"End-of-life options of tyres. A review","volume":"5","author":[{"family":"Valentini","given":"Francesco"},{"family":"Pegoretti","given":"Alessandro"}],"issued":{"date-parts":[["2022",10,1]]}}}],"schema":"https://github.com/citation-style-language/schema/raw/master/csl-citation.json"} </w:instrText>
      </w:r>
      <w:r w:rsidR="00A03F9C">
        <w:rPr>
          <w:color w:val="F79646" w:themeColor="accent6"/>
          <w:lang w:val="en-US"/>
        </w:rPr>
        <w:fldChar w:fldCharType="separate"/>
      </w:r>
      <w:r w:rsidR="00E87B43" w:rsidRPr="00E87B43">
        <w:t>(Valentini and Pegoretti, 2022)</w:t>
      </w:r>
      <w:r w:rsidR="00A03F9C">
        <w:rPr>
          <w:color w:val="F79646" w:themeColor="accent6"/>
          <w:lang w:val="en-US"/>
        </w:rPr>
        <w:fldChar w:fldCharType="end"/>
      </w:r>
      <w:r w:rsidRPr="006601D8">
        <w:rPr>
          <w:lang w:val="en-US"/>
        </w:rPr>
        <w:t xml:space="preserve">. To advance towards a comprehensive circular approach, numerous treatment methods are presently under investigation. Of particular interest are the potential thermal processes such as: gasification, pyrolysis and liquefaction, aimed at converting </w:t>
      </w:r>
      <w:proofErr w:type="spellStart"/>
      <w:r w:rsidRPr="006601D8">
        <w:rPr>
          <w:lang w:val="en-US"/>
        </w:rPr>
        <w:t>EoL</w:t>
      </w:r>
      <w:proofErr w:type="spellEnd"/>
      <w:r w:rsidRPr="006601D8">
        <w:rPr>
          <w:lang w:val="en-US"/>
        </w:rPr>
        <w:t xml:space="preserve"> tires into chemicals</w:t>
      </w:r>
      <w:r w:rsidR="00A03F9C">
        <w:rPr>
          <w:lang w:val="en-US"/>
        </w:rPr>
        <w:t xml:space="preserve"> </w:t>
      </w:r>
      <w:r w:rsidR="00A03F9C">
        <w:rPr>
          <w:lang w:val="en-US"/>
        </w:rPr>
        <w:fldChar w:fldCharType="begin"/>
      </w:r>
      <w:r w:rsidR="00A03F9C">
        <w:rPr>
          <w:lang w:val="en-US"/>
        </w:rPr>
        <w:instrText xml:space="preserve"> ADDIN ZOTERO_ITEM CSL_CITATION {"citationID":"18P5LfCi","properties":{"formattedCitation":"(Nkosi et al., 2021)","plainCitation":"(Nkosi et al., 2021)","noteIndex":0},"citationItems":[{"id":10,"uris":["http://zotero.org/users/local/4x05yQb7/items/P4NAXZM6"],"itemData":{"id":10,"type":"article-journal","container-title":"RSC Advances","DOI":"10.1039/D0RA08966D","issue":"20","language":"en","note":"publisher: Royal Society of Chemistry","page":"11844-11871","source":"pubs.rsc.org","title":"Developments in waste tyre thermochemical conversion processes: gasification, pyrolysis and liquefaction","title-short":"Developments in waste tyre thermochemical conversion processes","volume":"11","author":[{"family":"Nkosi","given":"N."},{"family":"Muzenda","given":"E."},{"family":"Gorimbo","given":"J."},{"family":"Belaid","given":"M."}],"issued":{"date-parts":[["2021"]]}}}],"schema":"https://github.com/citation-style-language/schema/raw/master/csl-citation.json"} </w:instrText>
      </w:r>
      <w:r w:rsidR="00A03F9C">
        <w:rPr>
          <w:lang w:val="en-US"/>
        </w:rPr>
        <w:fldChar w:fldCharType="separate"/>
      </w:r>
      <w:r w:rsidR="00E87B43" w:rsidRPr="00E87B43">
        <w:t>(Nkosi et al., 2021)</w:t>
      </w:r>
      <w:r w:rsidR="00A03F9C">
        <w:rPr>
          <w:lang w:val="en-US"/>
        </w:rPr>
        <w:fldChar w:fldCharType="end"/>
      </w:r>
      <w:r w:rsidR="00A03F9C">
        <w:rPr>
          <w:lang w:val="en-US"/>
        </w:rPr>
        <w:t>.</w:t>
      </w:r>
      <w:r w:rsidR="00ED00FF">
        <w:rPr>
          <w:lang w:val="en-US"/>
        </w:rPr>
        <w:t xml:space="preserve"> </w:t>
      </w:r>
    </w:p>
    <w:p w14:paraId="656418F1" w14:textId="0637388D" w:rsidR="005C3EC8" w:rsidRPr="006601D8" w:rsidRDefault="005C3EC8" w:rsidP="005C3EC8">
      <w:pPr>
        <w:jc w:val="both"/>
        <w:rPr>
          <w:lang w:val="en-US"/>
        </w:rPr>
      </w:pPr>
      <w:r w:rsidRPr="006601D8">
        <w:rPr>
          <w:lang w:val="en-US"/>
        </w:rPr>
        <w:t>Pyrolysis stands out as the most commonly employed and extensively developed chemical treatment among various options. Waste tires undergo an intense thermal treatment (T &gt; 400 °C) under atmospheric pressure to generate a gaseous and liquid stream</w:t>
      </w:r>
      <w:r>
        <w:rPr>
          <w:lang w:val="en-US"/>
        </w:rPr>
        <w:t xml:space="preserve"> (</w:t>
      </w:r>
      <w:r w:rsidR="00D64607">
        <w:rPr>
          <w:lang w:val="en-US"/>
        </w:rPr>
        <w:t xml:space="preserve">scrap </w:t>
      </w:r>
      <w:r>
        <w:rPr>
          <w:lang w:val="en-US"/>
        </w:rPr>
        <w:t>tire pyrolytic oil</w:t>
      </w:r>
      <w:r w:rsidR="0060560B">
        <w:rPr>
          <w:lang w:val="en-US"/>
        </w:rPr>
        <w:t>,</w:t>
      </w:r>
      <w:r>
        <w:rPr>
          <w:lang w:val="en-US"/>
        </w:rPr>
        <w:t xml:space="preserve"> </w:t>
      </w:r>
      <w:r w:rsidR="00D64607">
        <w:rPr>
          <w:lang w:val="en-US"/>
        </w:rPr>
        <w:t>S</w:t>
      </w:r>
      <w:r>
        <w:rPr>
          <w:lang w:val="en-US"/>
        </w:rPr>
        <w:t>TPO)</w:t>
      </w:r>
      <w:r w:rsidRPr="006601D8">
        <w:rPr>
          <w:lang w:val="en-US"/>
        </w:rPr>
        <w:t xml:space="preserve"> as desired products</w:t>
      </w:r>
      <w:r w:rsidR="003426DC">
        <w:rPr>
          <w:lang w:val="en-US"/>
        </w:rPr>
        <w:t>,</w:t>
      </w:r>
      <w:r w:rsidRPr="006601D8">
        <w:rPr>
          <w:lang w:val="en-US"/>
        </w:rPr>
        <w:t xml:space="preserve"> </w:t>
      </w:r>
      <w:r w:rsidR="008A65DD">
        <w:rPr>
          <w:lang w:val="en-US"/>
        </w:rPr>
        <w:t>together w</w:t>
      </w:r>
      <w:r w:rsidR="003426DC">
        <w:rPr>
          <w:lang w:val="en-US"/>
        </w:rPr>
        <w:t>i</w:t>
      </w:r>
      <w:r w:rsidR="008A65DD">
        <w:rPr>
          <w:lang w:val="en-US"/>
        </w:rPr>
        <w:t>th</w:t>
      </w:r>
      <w:r w:rsidRPr="006601D8">
        <w:rPr>
          <w:lang w:val="en-US"/>
        </w:rPr>
        <w:t xml:space="preserve"> a solid residu</w:t>
      </w:r>
      <w:r w:rsidR="00D64607">
        <w:rPr>
          <w:lang w:val="en-US"/>
        </w:rPr>
        <w:t>e</w:t>
      </w:r>
      <w:r w:rsidRPr="006601D8">
        <w:rPr>
          <w:lang w:val="en-US"/>
        </w:rPr>
        <w:t>.</w:t>
      </w:r>
    </w:p>
    <w:p w14:paraId="4C1DC245" w14:textId="3ABB453E" w:rsidR="005C3EC8" w:rsidRDefault="005C3EC8" w:rsidP="005C3EC8">
      <w:pPr>
        <w:jc w:val="both"/>
        <w:rPr>
          <w:lang w:val="en-US"/>
        </w:rPr>
      </w:pPr>
      <w:r w:rsidRPr="006601D8">
        <w:rPr>
          <w:lang w:val="en-US"/>
        </w:rPr>
        <w:t xml:space="preserve">Because the feedstock contains a relatively high sulfur </w:t>
      </w:r>
      <w:r w:rsidR="00197814">
        <w:rPr>
          <w:lang w:val="en-US"/>
        </w:rPr>
        <w:t>fraction</w:t>
      </w:r>
      <w:r w:rsidRPr="006601D8">
        <w:rPr>
          <w:lang w:val="en-US"/>
        </w:rPr>
        <w:t xml:space="preserve"> (approximately 2</w:t>
      </w:r>
      <w:r w:rsidR="00905E4D">
        <w:rPr>
          <w:lang w:val="en-US"/>
        </w:rPr>
        <w:t xml:space="preserve"> </w:t>
      </w:r>
      <w:proofErr w:type="spellStart"/>
      <w:r w:rsidR="00905E4D">
        <w:rPr>
          <w:lang w:val="en-US"/>
        </w:rPr>
        <w:t>w</w:t>
      </w:r>
      <w:r w:rsidR="001C67C0">
        <w:rPr>
          <w:lang w:val="en-US"/>
        </w:rPr>
        <w:t>.</w:t>
      </w:r>
      <w:r w:rsidR="00905E4D">
        <w:rPr>
          <w:lang w:val="en-US"/>
        </w:rPr>
        <w:t>t</w:t>
      </w:r>
      <w:r w:rsidR="001C67C0">
        <w:rPr>
          <w:lang w:val="en-US"/>
        </w:rPr>
        <w:t>.</w:t>
      </w:r>
      <w:proofErr w:type="spellEnd"/>
      <w:r w:rsidRPr="006601D8">
        <w:rPr>
          <w:lang w:val="en-US"/>
        </w:rPr>
        <w:t xml:space="preserve">%), several impurities, such </w:t>
      </w:r>
      <w:r w:rsidRPr="00905E4D">
        <w:rPr>
          <w:lang w:val="en-US"/>
        </w:rPr>
        <w:t>as</w:t>
      </w:r>
      <w:r w:rsidR="004D6E89">
        <w:rPr>
          <w:lang w:val="en-US"/>
        </w:rPr>
        <w:t xml:space="preserve"> H</w:t>
      </w:r>
      <w:r w:rsidR="004D6E89">
        <w:rPr>
          <w:vertAlign w:val="subscript"/>
          <w:lang w:val="en-US"/>
        </w:rPr>
        <w:t>2</w:t>
      </w:r>
      <w:r w:rsidR="004D6E89">
        <w:rPr>
          <w:lang w:val="en-US"/>
        </w:rPr>
        <w:t>S</w:t>
      </w:r>
      <w:r w:rsidRPr="00905E4D">
        <w:rPr>
          <w:lang w:val="en-US"/>
        </w:rPr>
        <w:t xml:space="preserve"> and</w:t>
      </w:r>
      <w:r w:rsidRPr="006601D8">
        <w:rPr>
          <w:lang w:val="en-US"/>
        </w:rPr>
        <w:t xml:space="preserve"> benzothiazole, are detectable in the gas and liquid output. Hence </w:t>
      </w:r>
      <w:r>
        <w:rPr>
          <w:lang w:val="en-US"/>
        </w:rPr>
        <w:t xml:space="preserve">upgrading treatments as </w:t>
      </w:r>
      <w:r w:rsidRPr="006601D8">
        <w:rPr>
          <w:lang w:val="en-US"/>
        </w:rPr>
        <w:t xml:space="preserve">sulfur removal </w:t>
      </w:r>
      <w:r>
        <w:rPr>
          <w:lang w:val="en-US"/>
        </w:rPr>
        <w:t>and oil cracking are necessary</w:t>
      </w:r>
      <w:r w:rsidRPr="006601D8">
        <w:rPr>
          <w:lang w:val="en-US"/>
        </w:rPr>
        <w:t>.</w:t>
      </w:r>
    </w:p>
    <w:p w14:paraId="5DE7E266" w14:textId="4F68E87C" w:rsidR="00BB4A2E" w:rsidRDefault="00A32CBB" w:rsidP="00FE20B1">
      <w:pPr>
        <w:pStyle w:val="Els-body-text"/>
        <w:jc w:val="center"/>
      </w:pPr>
      <w:r>
        <w:rPr>
          <w:noProof/>
        </w:rPr>
        <w:lastRenderedPageBreak/>
        <w:drawing>
          <wp:inline distT="0" distB="0" distL="0" distR="0" wp14:anchorId="1490EE5E" wp14:editId="0227F33E">
            <wp:extent cx="4490085" cy="2087880"/>
            <wp:effectExtent l="0" t="0" r="571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0085" cy="2087880"/>
                    </a:xfrm>
                    <a:prstGeom prst="rect">
                      <a:avLst/>
                    </a:prstGeom>
                    <a:noFill/>
                    <a:ln>
                      <a:noFill/>
                    </a:ln>
                  </pic:spPr>
                </pic:pic>
              </a:graphicData>
            </a:graphic>
          </wp:inline>
        </w:drawing>
      </w:r>
    </w:p>
    <w:p w14:paraId="1DE9B47C" w14:textId="6D90737E" w:rsidR="00756A97" w:rsidRPr="001E2D64" w:rsidRDefault="00BB4A2E" w:rsidP="00142437">
      <w:pPr>
        <w:pStyle w:val="Els-body-text"/>
        <w:spacing w:before="120" w:after="120"/>
        <w:jc w:val="left"/>
        <w:rPr>
          <w:sz w:val="16"/>
          <w:szCs w:val="16"/>
        </w:rPr>
      </w:pPr>
      <w:r w:rsidRPr="00E4731A">
        <w:rPr>
          <w:sz w:val="16"/>
          <w:szCs w:val="16"/>
        </w:rPr>
        <w:t>Figure 1:</w:t>
      </w:r>
      <w:r w:rsidRPr="001E2D64">
        <w:rPr>
          <w:sz w:val="16"/>
          <w:szCs w:val="16"/>
        </w:rPr>
        <w:t xml:space="preserve"> </w:t>
      </w:r>
      <w:r w:rsidR="009A2C2B" w:rsidRPr="001E2D64">
        <w:rPr>
          <w:sz w:val="16"/>
          <w:szCs w:val="16"/>
        </w:rPr>
        <w:t xml:space="preserve">Process flow diagram of the conceptual process for </w:t>
      </w:r>
      <w:proofErr w:type="spellStart"/>
      <w:r w:rsidR="009A2C2B" w:rsidRPr="001E2D64">
        <w:rPr>
          <w:sz w:val="16"/>
          <w:szCs w:val="16"/>
        </w:rPr>
        <w:t>EoL</w:t>
      </w:r>
      <w:proofErr w:type="spellEnd"/>
      <w:r w:rsidR="009A2C2B" w:rsidRPr="001E2D64">
        <w:rPr>
          <w:sz w:val="16"/>
          <w:szCs w:val="16"/>
        </w:rPr>
        <w:t xml:space="preserve"> tires recycling.</w:t>
      </w:r>
    </w:p>
    <w:p w14:paraId="17722E9B" w14:textId="77777777" w:rsidR="0045044A" w:rsidRDefault="0045044A" w:rsidP="0045044A">
      <w:pPr>
        <w:pStyle w:val="Els-1storder-head"/>
        <w:spacing w:after="120"/>
      </w:pPr>
      <w:r>
        <w:t>Materials and Methods</w:t>
      </w:r>
    </w:p>
    <w:p w14:paraId="2D0CBD2A" w14:textId="221E8BA7" w:rsidR="008D3BAF" w:rsidRPr="007B62DF" w:rsidRDefault="0045044A" w:rsidP="00F61047">
      <w:pPr>
        <w:pStyle w:val="Els-body-text"/>
      </w:pPr>
      <w:r>
        <w:rPr>
          <w:bCs/>
        </w:rPr>
        <w:t>T</w:t>
      </w:r>
      <w:r w:rsidRPr="00EB5C6F">
        <w:rPr>
          <w:bCs/>
        </w:rPr>
        <w:t xml:space="preserve">he key concept behind this study is to </w:t>
      </w:r>
      <w:r>
        <w:rPr>
          <w:bCs/>
        </w:rPr>
        <w:t>explore</w:t>
      </w:r>
      <w:r w:rsidRPr="00EB5C6F">
        <w:rPr>
          <w:bCs/>
        </w:rPr>
        <w:t xml:space="preserve"> the possibility of a fully self-sustainable process for waste tire recycling and following upgrading of the products in terms of hydrogen consumption.</w:t>
      </w:r>
      <w:r>
        <w:rPr>
          <w:bCs/>
        </w:rPr>
        <w:t xml:space="preserve"> </w:t>
      </w:r>
      <w:r w:rsidRPr="00EB5C6F">
        <w:rPr>
          <w:bCs/>
        </w:rPr>
        <w:t>A schematic representation of the plant scheme is reported in Figure</w:t>
      </w:r>
      <w:r>
        <w:rPr>
          <w:bCs/>
        </w:rPr>
        <w:t xml:space="preserve"> 1</w:t>
      </w:r>
      <w:r w:rsidRPr="00EB5C6F">
        <w:rPr>
          <w:bCs/>
        </w:rPr>
        <w:t>.</w:t>
      </w:r>
      <w:r>
        <w:rPr>
          <w:bCs/>
        </w:rPr>
        <w:t xml:space="preserve"> </w:t>
      </w:r>
      <w:r w:rsidR="00C15CAB" w:rsidRPr="00E54554">
        <w:t xml:space="preserve">A stream of 100 kg/h of waste tires, previously treated to remove metals and fibers, is firstly </w:t>
      </w:r>
      <w:r w:rsidR="00CA5371" w:rsidRPr="00E54554">
        <w:t>crushed</w:t>
      </w:r>
      <w:r w:rsidR="00C15CAB" w:rsidRPr="00E54554">
        <w:t xml:space="preserve"> in a miller (Unit 1)</w:t>
      </w:r>
      <w:r w:rsidR="00CD67A1" w:rsidRPr="00E54554">
        <w:t>, to obtain homogenous solid particle</w:t>
      </w:r>
      <w:r w:rsidR="004F2663" w:rsidRPr="00E54554">
        <w:t>s</w:t>
      </w:r>
      <w:r w:rsidR="00CD67A1" w:rsidRPr="00E54554">
        <w:t xml:space="preserve"> distribution (i.e., 0.006 – 0.015 m)</w:t>
      </w:r>
      <w:r w:rsidR="00C15CAB" w:rsidRPr="00E54554">
        <w:t>.</w:t>
      </w:r>
      <w:r w:rsidR="00CD67A1" w:rsidRPr="00E54554">
        <w:t xml:space="preserve"> </w:t>
      </w:r>
      <w:r w:rsidR="00C15CAB" w:rsidRPr="00E54554">
        <w:t>The feed stream</w:t>
      </w:r>
      <w:r w:rsidR="00147966" w:rsidRPr="00E54554">
        <w:t xml:space="preserve"> is a non-conventional solid. Properties and composition are estimated starting from </w:t>
      </w:r>
      <w:r w:rsidR="00C15CAB" w:rsidRPr="00E54554">
        <w:t>Ultimate</w:t>
      </w:r>
      <w:r w:rsidR="00147966" w:rsidRPr="00E54554">
        <w:t>,</w:t>
      </w:r>
      <w:r w:rsidR="00C15CAB" w:rsidRPr="00E54554">
        <w:t xml:space="preserve"> Proximate</w:t>
      </w:r>
      <w:r w:rsidR="009674BB" w:rsidRPr="00E54554">
        <w:t xml:space="preserve"> analysis</w:t>
      </w:r>
      <w:r w:rsidR="00AF6939" w:rsidRPr="00E54554">
        <w:t>,</w:t>
      </w:r>
      <w:r w:rsidR="00800623" w:rsidRPr="00E54554">
        <w:t xml:space="preserve"> </w:t>
      </w:r>
      <w:r w:rsidR="007C0132" w:rsidRPr="00E54554">
        <w:t xml:space="preserve">as </w:t>
      </w:r>
      <w:r w:rsidR="00800623" w:rsidRPr="00E54554">
        <w:t>reported</w:t>
      </w:r>
      <w:r w:rsidR="007C0132" w:rsidRPr="00E54554">
        <w:t xml:space="preserve"> in</w:t>
      </w:r>
      <w:r w:rsidR="00C15CAB" w:rsidRPr="00E54554">
        <w:t xml:space="preserve"> Table </w:t>
      </w:r>
      <w:r w:rsidR="00700C60" w:rsidRPr="00E54554">
        <w:t>1</w:t>
      </w:r>
      <w:r w:rsidR="00AF6939" w:rsidRPr="00E54554">
        <w:t>, in accordance with</w:t>
      </w:r>
      <w:r w:rsidR="00C632A3" w:rsidRPr="00E54554">
        <w:t xml:space="preserve"> </w:t>
      </w:r>
      <w:r w:rsidR="00F91D37" w:rsidRPr="00E54554">
        <w:t>literature</w:t>
      </w:r>
      <w:r w:rsidR="00C632A3" w:rsidRPr="00E54554">
        <w:t xml:space="preserve"> </w:t>
      </w:r>
      <w:r w:rsidR="00C632A3" w:rsidRPr="00E54554">
        <w:rPr>
          <w:b/>
          <w:color w:val="F79646" w:themeColor="accent6"/>
        </w:rPr>
        <w:fldChar w:fldCharType="begin"/>
      </w:r>
      <w:r w:rsidR="00C632A3" w:rsidRPr="00E54554">
        <w:rPr>
          <w:color w:val="F79646" w:themeColor="accent6"/>
        </w:rPr>
        <w:instrText xml:space="preserve"> ADDIN ZOTERO_ITEM CSL_CITATION {"citationID":"CfXvOC2w","properties":{"formattedCitation":"(Ismail et al., 2017)","plainCitation":"(Ismail et al., 2017)","noteIndex":0},"citationItems":[{"id":1,"uris":["http://zotero.org/users/local/4x05yQb7/items/HCLU3RA2"],"itemData":{"id":1,"type":"article-journal","abstract":"This paper presents a simulation flowsheet model of a waste tire pyrolysis process with feed capacity of 150kg/h. A kinetic rate-based reaction model is formulated in a form implementable in the simulation package Aspen Plus, giving the flowsheet model the capability to predict more than 110 tire pyrolysis products as reported in experiments by Laresgoiti et al. (2004) and Williams (2013) for the oil and gas products respectively. The simulation model is successfully validated in two stages: firstly against experimental data from Olazar et al. (2008) by comparing the mass fractions for the oil products (gas, liquids (non-aromatics), aromatics, and tar) at temperatures of 425, 500, 550 and 610°C, and secondly against experimental results of main hydrocarbon products (C7 to C15) obtained by Laresgoiti et al. (2004) at temperatures of 400, 500, 600, and 700°C. The model was then used to analyze the effect of pyrolysis process temperature and showed that increased temperatures led to chain fractions from C10 and higher to decrease while smaller chains increased; this is attributed to the extensive cracking of the larger hydrocarbon chains at higher temperatures. The utility of the flowsheet model was highlighted through an energy analysis that targeted power efficiency of the process determined through production profiles of gasoline and diesel at various temperatures. This shows, through the summation of the net power gain from the plant for gasoline plus diesel that the maximum net power lies at the lower temperatures corresponding to minimum production of gasoline and maximum production of diesel. This simulation model can thus serve as a robust tool to respond to market conditions that dictate fuel demand and prices while at the same time identifying optimum process conditions (e.g. temperature) driven by process economics.","collection-title":"Special Thematic Issue: Urban Mining and Circular Economy","container-title":"Waste Management","DOI":"10.1016/j.wasman.2016.10.024","ISSN":"0956-053X","journalAbbreviation":"Waste Management","page":"482-493","source":"ScienceDirect","title":"Pyrolysis of waste tires: A modeling and parameter estimation study using Aspen Plus®","title-short":"Pyrolysis of waste tires","volume":"60","author":[{"family":"Ismail","given":"Hamza Y."},{"family":"Abbas","given":"Ali"},{"family":"Azizi","given":"Fouad"},{"family":"Zeaiter","given":"Joseph"}],"issued":{"date-parts":[["2017",2,1]]}}}],"schema":"https://github.com/citation-style-language/schema/raw/master/csl-citation.json"} </w:instrText>
      </w:r>
      <w:r w:rsidR="00C632A3" w:rsidRPr="00E54554">
        <w:rPr>
          <w:b/>
          <w:color w:val="F79646" w:themeColor="accent6"/>
        </w:rPr>
        <w:fldChar w:fldCharType="separate"/>
      </w:r>
      <w:r w:rsidR="00E87B43" w:rsidRPr="00E54554">
        <w:t>(Ismail et al., 2017)</w:t>
      </w:r>
      <w:r w:rsidR="00C632A3" w:rsidRPr="00E54554">
        <w:rPr>
          <w:b/>
          <w:color w:val="F79646" w:themeColor="accent6"/>
        </w:rPr>
        <w:fldChar w:fldCharType="end"/>
      </w:r>
      <w:r w:rsidR="00284B33" w:rsidRPr="00E54554">
        <w:t>.</w:t>
      </w:r>
      <w:r w:rsidR="00C15CAB" w:rsidRPr="0045044A">
        <w:t xml:space="preserve"> </w:t>
      </w:r>
      <w:r w:rsidR="009A7656" w:rsidRPr="00EB5C6F">
        <w:rPr>
          <w:bCs/>
        </w:rPr>
        <w:t>The waste stream is firstly processed in a pyrolysis reactor (</w:t>
      </w:r>
      <w:r w:rsidR="009A7656">
        <w:rPr>
          <w:bCs/>
        </w:rPr>
        <w:t>U</w:t>
      </w:r>
      <w:r w:rsidR="009A7656" w:rsidRPr="00EB5C6F">
        <w:rPr>
          <w:bCs/>
        </w:rPr>
        <w:t>nit 2), operating at 500</w:t>
      </w:r>
      <w:r w:rsidR="009A7656">
        <w:rPr>
          <w:bCs/>
        </w:rPr>
        <w:t xml:space="preserve"> </w:t>
      </w:r>
      <w:r w:rsidR="009A7656" w:rsidRPr="00EB5C6F">
        <w:rPr>
          <w:bCs/>
        </w:rPr>
        <w:t>°C and atmospheric pressure</w:t>
      </w:r>
      <w:r w:rsidR="009A7656">
        <w:rPr>
          <w:bCs/>
        </w:rPr>
        <w:t>.</w:t>
      </w:r>
      <w:r w:rsidR="00343BF8">
        <w:rPr>
          <w:bCs/>
        </w:rPr>
        <w:t xml:space="preserve"> </w:t>
      </w:r>
      <w:r w:rsidR="00343BF8" w:rsidRPr="00343BF8">
        <w:t>Pyrolysis is a complex thermo-chemical process</w:t>
      </w:r>
      <w:r w:rsidR="00721123">
        <w:t>. Its</w:t>
      </w:r>
      <w:r w:rsidR="00343BF8" w:rsidRPr="00343BF8">
        <w:t xml:space="preserve"> behavior depends on many factors such as temperature, pressure, and the characteristic dimension of the feed, among others. The conducted simulation of this step is a simplification. </w:t>
      </w:r>
      <w:r w:rsidR="00C86661">
        <w:t>Indeed</w:t>
      </w:r>
      <w:r w:rsidR="00343BF8" w:rsidRPr="00343BF8">
        <w:t xml:space="preserve">, by breaking down the non-conventional solid into its elemental components, it becomes possible to integrate fictitious lumped reactions among these elements </w:t>
      </w:r>
      <w:r w:rsidR="002F27D0">
        <w:t>according to</w:t>
      </w:r>
      <w:r w:rsidR="00343BF8" w:rsidRPr="00343BF8">
        <w:t xml:space="preserve"> the conventional product distribution </w:t>
      </w:r>
      <w:r w:rsidR="00483503">
        <w:t xml:space="preserve">obtained </w:t>
      </w:r>
      <w:r w:rsidR="00343BF8" w:rsidRPr="00343BF8">
        <w:t>during pyrolysis, without taking into account the effects of other parameters.</w:t>
      </w:r>
      <w:r w:rsidR="00F61047">
        <w:rPr>
          <w:bCs/>
          <w:color w:val="FF0000"/>
        </w:rPr>
        <w:t xml:space="preserve"> </w:t>
      </w:r>
      <w:r w:rsidR="00CF7068" w:rsidRPr="00CF7068">
        <w:rPr>
          <w:bCs/>
        </w:rPr>
        <w:t>T</w:t>
      </w:r>
      <w:r w:rsidR="00C15CAB" w:rsidRPr="00CF7068">
        <w:rPr>
          <w:bCs/>
        </w:rPr>
        <w:t>h</w:t>
      </w:r>
      <w:r w:rsidR="00C15CAB" w:rsidRPr="00EB5C6F">
        <w:rPr>
          <w:bCs/>
        </w:rPr>
        <w:t>e unit modelled in Aspen Plus V11.</w:t>
      </w:r>
      <w:r w:rsidR="00CD3024">
        <w:rPr>
          <w:bCs/>
        </w:rPr>
        <w:t xml:space="preserve"> i</w:t>
      </w:r>
      <w:r w:rsidR="00C15CAB" w:rsidRPr="00EB5C6F">
        <w:rPr>
          <w:bCs/>
        </w:rPr>
        <w:t>s the combination of a yield reactor and a plug flow reactor</w:t>
      </w:r>
      <w:r w:rsidR="00BB4A2E">
        <w:rPr>
          <w:bCs/>
        </w:rPr>
        <w:t xml:space="preserve"> (PFR)</w:t>
      </w:r>
      <w:r w:rsidR="00C15CAB" w:rsidRPr="00EB5C6F">
        <w:rPr>
          <w:bCs/>
        </w:rPr>
        <w:t xml:space="preserve"> </w:t>
      </w:r>
      <w:r w:rsidR="00284B33" w:rsidRPr="00E87B43">
        <w:rPr>
          <w:b/>
          <w:bCs/>
          <w:color w:val="F79646" w:themeColor="accent6"/>
        </w:rPr>
        <w:fldChar w:fldCharType="begin"/>
      </w:r>
      <w:r w:rsidR="00E87B43" w:rsidRPr="00E87B43">
        <w:rPr>
          <w:bCs/>
          <w:color w:val="F79646" w:themeColor="accent6"/>
        </w:rPr>
        <w:instrText xml:space="preserve"> ADDIN ZOTERO_ITEM CSL_CITATION {"citationID":"UfeAvhvQ","properties":{"formattedCitation":"(Ismail et al., 2017)","plainCitation":"(Ismail et al., 2017)","noteIndex":0},"citationItems":[{"id":1,"uris":["http://zotero.org/users/local/4x05yQb7/items/HCLU3RA2"],"itemData":{"id":1,"type":"article-journal","abstract":"This paper presents a simulation flowsheet model of a waste tire pyrolysis process with feed capacity of 150kg/h. A kinetic rate-based reaction model is formulated in a form implementable in the simulation package Aspen Plus, giving the flowsheet model the capability to predict more than 110 tire pyrolysis products as reported in experiments by Laresgoiti et al. (2004) and Williams (2013) for the oil and gas products respectively. The simulation model is successfully validated in two stages: firstly against experimental data from Olazar et al. (2008) by comparing the mass fractions for the oil products (gas, liquids (non-aromatics), aromatics, and tar) at temperatures of 425, 500, 550 and 610°C, and secondly against experimental results of main hydrocarbon products (C7 to C15) obtained by Laresgoiti et al. (2004) at temperatures of 400, 500, 600, and 700°C. The model was then used to analyze the effect of pyrolysis process temperature and showed that increased temperatures led to chain fractions from C10 and higher to decrease while smaller chains increased; this is attributed to the extensive cracking of the larger hydrocarbon chains at higher temperatures. The utility of the flowsheet model was highlighted through an energy analysis that targeted power efficiency of the process determined through production profiles of gasoline and diesel at various temperatures. This shows, through the summation of the net power gain from the plant for gasoline plus diesel that the maximum net power lies at the lower temperatures corresponding to minimum production of gasoline and maximum production of diesel. This simulation model can thus serve as a robust tool to respond to market conditions that dictate fuel demand and prices while at the same time identifying optimum process conditions (e.g. temperature) driven by process economics.","collection-title":"Special Thematic Issue: Urban Mining and Circular Economy","container-title":"Waste Management","DOI":"10.1016/j.wasman.2016.10.024","ISSN":"0956-053X","journalAbbreviation":"Waste Management","page":"482-493","source":"ScienceDirect","title":"Pyrolysis of waste tires: A modeling and parameter estimation study using Aspen Plus®","title-short":"Pyrolysis of waste tires","volume":"60","author":[{"family":"Ismail","given":"Hamza Y."},{"family":"Abbas","given":"Ali"},{"family":"Azizi","given":"Fouad"},{"family":"Zeaiter","given":"Joseph"}],"issued":{"date-parts":[["2017",2,1]]}}}],"schema":"https://github.com/citation-style-language/schema/raw/master/csl-citation.json"} </w:instrText>
      </w:r>
      <w:r w:rsidR="00284B33" w:rsidRPr="00E87B43">
        <w:rPr>
          <w:b/>
          <w:bCs/>
          <w:color w:val="F79646" w:themeColor="accent6"/>
        </w:rPr>
        <w:fldChar w:fldCharType="separate"/>
      </w:r>
      <w:r w:rsidR="00E87B43" w:rsidRPr="00E87B43">
        <w:rPr>
          <w:bCs/>
        </w:rPr>
        <w:t>(Ismail et al., 2017)</w:t>
      </w:r>
      <w:r w:rsidR="00284B33" w:rsidRPr="00E87B43">
        <w:rPr>
          <w:b/>
          <w:bCs/>
          <w:color w:val="F79646" w:themeColor="accent6"/>
        </w:rPr>
        <w:fldChar w:fldCharType="end"/>
      </w:r>
      <w:r w:rsidR="00C15CAB" w:rsidRPr="00DB2295">
        <w:rPr>
          <w:bCs/>
        </w:rPr>
        <w:t>.</w:t>
      </w:r>
      <w:r w:rsidR="00C07CB5">
        <w:rPr>
          <w:b/>
          <w:bCs/>
        </w:rPr>
        <w:t xml:space="preserve"> </w:t>
      </w:r>
      <w:r w:rsidR="00147966">
        <w:rPr>
          <w:bCs/>
        </w:rPr>
        <w:t>I</w:t>
      </w:r>
      <w:r w:rsidR="00C15CAB" w:rsidRPr="00EB5C6F">
        <w:rPr>
          <w:bCs/>
        </w:rPr>
        <w:t xml:space="preserve">n the first </w:t>
      </w:r>
      <w:r w:rsidR="00CD3024">
        <w:rPr>
          <w:bCs/>
        </w:rPr>
        <w:t>reactor</w:t>
      </w:r>
      <w:r w:rsidR="00C15CAB" w:rsidRPr="00EB5C6F">
        <w:rPr>
          <w:bCs/>
        </w:rPr>
        <w:t xml:space="preserve"> </w:t>
      </w:r>
      <w:r w:rsidR="00147966">
        <w:rPr>
          <w:bCs/>
        </w:rPr>
        <w:t xml:space="preserve">the non-conventional solid feed </w:t>
      </w:r>
      <w:r w:rsidR="00BB4A2E">
        <w:rPr>
          <w:bCs/>
        </w:rPr>
        <w:t xml:space="preserve">is decomposed in a pseudo component, in the form </w:t>
      </w:r>
      <w:proofErr w:type="spellStart"/>
      <w:r w:rsidR="00BB4A2E" w:rsidRPr="00CC47DD">
        <w:rPr>
          <w:bCs/>
        </w:rPr>
        <w:t>C</w:t>
      </w:r>
      <w:r w:rsidR="00CC47DD">
        <w:rPr>
          <w:bCs/>
          <w:vertAlign w:val="subscript"/>
        </w:rPr>
        <w:t>a</w:t>
      </w:r>
      <w:r w:rsidR="00CC47DD">
        <w:rPr>
          <w:bCs/>
        </w:rPr>
        <w:t>H</w:t>
      </w:r>
      <w:r w:rsidR="00CC47DD">
        <w:rPr>
          <w:bCs/>
          <w:vertAlign w:val="subscript"/>
        </w:rPr>
        <w:t>b</w:t>
      </w:r>
      <w:r w:rsidR="00CC47DD">
        <w:rPr>
          <w:bCs/>
        </w:rPr>
        <w:t>O</w:t>
      </w:r>
      <w:r w:rsidR="00CC47DD">
        <w:rPr>
          <w:bCs/>
          <w:vertAlign w:val="subscript"/>
        </w:rPr>
        <w:t>c</w:t>
      </w:r>
      <w:r w:rsidR="00CC47DD">
        <w:rPr>
          <w:bCs/>
        </w:rPr>
        <w:t>N</w:t>
      </w:r>
      <w:r w:rsidR="00CC47DD">
        <w:rPr>
          <w:bCs/>
          <w:vertAlign w:val="subscript"/>
        </w:rPr>
        <w:t>d</w:t>
      </w:r>
      <w:r w:rsidR="00CC47DD">
        <w:rPr>
          <w:bCs/>
        </w:rPr>
        <w:t>S</w:t>
      </w:r>
      <w:r w:rsidR="00CC47DD">
        <w:rPr>
          <w:bCs/>
          <w:vertAlign w:val="subscript"/>
        </w:rPr>
        <w:t>e</w:t>
      </w:r>
      <w:proofErr w:type="spellEnd"/>
      <w:r w:rsidR="00BB4A2E" w:rsidRPr="00EB5C6F">
        <w:rPr>
          <w:bCs/>
        </w:rPr>
        <w:t xml:space="preserve"> + ASH</w:t>
      </w:r>
      <w:r w:rsidR="00BB4A2E">
        <w:rPr>
          <w:bCs/>
        </w:rPr>
        <w:t>, that</w:t>
      </w:r>
      <w:r w:rsidR="00147966">
        <w:rPr>
          <w:bCs/>
        </w:rPr>
        <w:t xml:space="preserve"> </w:t>
      </w:r>
      <w:r w:rsidR="00C15CAB" w:rsidRPr="00EB5C6F">
        <w:rPr>
          <w:bCs/>
        </w:rPr>
        <w:t>takes into account only of the atom composition</w:t>
      </w:r>
      <w:r w:rsidR="00BB4A2E">
        <w:rPr>
          <w:bCs/>
        </w:rPr>
        <w:t>.</w:t>
      </w:r>
      <w:r w:rsidR="00C15CAB" w:rsidRPr="00EB5C6F">
        <w:rPr>
          <w:bCs/>
        </w:rPr>
        <w:t xml:space="preserve"> </w:t>
      </w:r>
      <w:r w:rsidR="00BB4A2E">
        <w:rPr>
          <w:bCs/>
        </w:rPr>
        <w:t>The fictitious component obtained is then processed i</w:t>
      </w:r>
      <w:r w:rsidR="00C15CAB" w:rsidRPr="00EB5C6F">
        <w:rPr>
          <w:bCs/>
        </w:rPr>
        <w:t>n the PFR</w:t>
      </w:r>
      <w:r w:rsidR="00BB4A2E">
        <w:rPr>
          <w:bCs/>
        </w:rPr>
        <w:t>.</w:t>
      </w:r>
      <w:r w:rsidR="008D3BAF">
        <w:rPr>
          <w:bCs/>
        </w:rPr>
        <w:t xml:space="preserve"> </w:t>
      </w:r>
    </w:p>
    <w:p w14:paraId="55A6AA12" w14:textId="47996E9A" w:rsidR="008D3BAF" w:rsidRPr="001E2D64" w:rsidRDefault="008D3BAF" w:rsidP="008D3BAF">
      <w:pPr>
        <w:pStyle w:val="Els-1storder-head"/>
        <w:numPr>
          <w:ilvl w:val="0"/>
          <w:numId w:val="0"/>
        </w:numPr>
        <w:spacing w:before="120" w:after="120"/>
        <w:jc w:val="left"/>
        <w:rPr>
          <w:b w:val="0"/>
          <w:bCs/>
          <w:sz w:val="16"/>
          <w:szCs w:val="16"/>
        </w:rPr>
      </w:pPr>
      <w:r w:rsidRPr="00E4731A">
        <w:rPr>
          <w:b w:val="0"/>
          <w:bCs/>
          <w:sz w:val="16"/>
          <w:szCs w:val="16"/>
        </w:rPr>
        <w:t>Table 1</w:t>
      </w:r>
      <w:r w:rsidR="00E4731A">
        <w:rPr>
          <w:sz w:val="16"/>
          <w:szCs w:val="16"/>
        </w:rPr>
        <w:t>:</w:t>
      </w:r>
      <w:r w:rsidRPr="001E2D64">
        <w:rPr>
          <w:b w:val="0"/>
          <w:bCs/>
          <w:sz w:val="16"/>
          <w:szCs w:val="16"/>
        </w:rPr>
        <w:t xml:space="preserve"> Feedstock’s Ultimate </w:t>
      </w:r>
      <w:proofErr w:type="spellStart"/>
      <w:r w:rsidRPr="001E2D64">
        <w:rPr>
          <w:b w:val="0"/>
          <w:bCs/>
          <w:sz w:val="16"/>
          <w:szCs w:val="16"/>
        </w:rPr>
        <w:t>Analysis</w:t>
      </w:r>
      <w:r w:rsidRPr="001E2D64">
        <w:rPr>
          <w:b w:val="0"/>
          <w:bCs/>
          <w:sz w:val="16"/>
          <w:szCs w:val="16"/>
          <w:vertAlign w:val="superscript"/>
        </w:rPr>
        <w:t>a</w:t>
      </w:r>
      <w:proofErr w:type="spellEnd"/>
      <w:r w:rsidRPr="001E2D64">
        <w:rPr>
          <w:b w:val="0"/>
          <w:bCs/>
          <w:sz w:val="16"/>
          <w:szCs w:val="16"/>
        </w:rPr>
        <w:t xml:space="preserve"> and Proximate </w:t>
      </w:r>
      <w:proofErr w:type="spellStart"/>
      <w:r w:rsidRPr="001E2D64">
        <w:rPr>
          <w:b w:val="0"/>
          <w:bCs/>
          <w:sz w:val="16"/>
          <w:szCs w:val="16"/>
        </w:rPr>
        <w:t>Analysis</w:t>
      </w:r>
      <w:r w:rsidRPr="001E2D64">
        <w:rPr>
          <w:b w:val="0"/>
          <w:bCs/>
          <w:sz w:val="16"/>
          <w:szCs w:val="16"/>
          <w:vertAlign w:val="superscript"/>
        </w:rPr>
        <w:t>b</w:t>
      </w:r>
      <w:proofErr w:type="spellEnd"/>
      <w:r w:rsidRPr="001E2D64">
        <w:rPr>
          <w:b w:val="0"/>
          <w:bCs/>
          <w:sz w:val="16"/>
          <w:szCs w:val="16"/>
        </w:rPr>
        <w:t>.</w:t>
      </w:r>
    </w:p>
    <w:tbl>
      <w:tblPr>
        <w:tblpPr w:leftFromText="141" w:rightFromText="141" w:vertAnchor="text" w:horzAnchor="margin" w:tblpXSpec="center" w:tblpY="51"/>
        <w:tblW w:w="5665" w:type="dxa"/>
        <w:tblCellMar>
          <w:left w:w="70" w:type="dxa"/>
          <w:right w:w="70" w:type="dxa"/>
        </w:tblCellMar>
        <w:tblLook w:val="04A0" w:firstRow="1" w:lastRow="0" w:firstColumn="1" w:lastColumn="0" w:noHBand="0" w:noVBand="1"/>
      </w:tblPr>
      <w:tblGrid>
        <w:gridCol w:w="992"/>
        <w:gridCol w:w="1134"/>
        <w:gridCol w:w="1276"/>
        <w:gridCol w:w="1413"/>
        <w:gridCol w:w="850"/>
      </w:tblGrid>
      <w:tr w:rsidR="008D3BAF" w:rsidRPr="00663EF4" w14:paraId="49D031DE" w14:textId="77777777" w:rsidTr="003C1300">
        <w:trPr>
          <w:gridAfter w:val="2"/>
          <w:wAfter w:w="2263" w:type="dxa"/>
          <w:trHeight w:val="289"/>
        </w:trPr>
        <w:tc>
          <w:tcPr>
            <w:tcW w:w="2126" w:type="dxa"/>
            <w:gridSpan w:val="2"/>
            <w:tcBorders>
              <w:top w:val="single" w:sz="4" w:space="0" w:color="auto"/>
              <w:bottom w:val="single" w:sz="4" w:space="0" w:color="auto"/>
            </w:tcBorders>
            <w:shd w:val="clear" w:color="auto" w:fill="auto"/>
            <w:noWrap/>
            <w:vAlign w:val="center"/>
            <w:hideMark/>
          </w:tcPr>
          <w:p w14:paraId="75D74A7B" w14:textId="77777777" w:rsidR="008D3BAF" w:rsidRPr="00663EF4" w:rsidRDefault="008D3BAF" w:rsidP="003C1300">
            <w:pPr>
              <w:jc w:val="center"/>
              <w:rPr>
                <w:b/>
                <w:bCs/>
                <w:color w:val="000000"/>
                <w:sz w:val="16"/>
                <w:szCs w:val="16"/>
                <w:lang w:val="it-IT" w:eastAsia="it-IT"/>
              </w:rPr>
            </w:pPr>
            <w:proofErr w:type="spellStart"/>
            <w:r w:rsidRPr="00663EF4">
              <w:rPr>
                <w:b/>
                <w:bCs/>
                <w:color w:val="000000"/>
                <w:sz w:val="16"/>
                <w:szCs w:val="16"/>
                <w:lang w:val="it-IT" w:eastAsia="it-IT"/>
              </w:rPr>
              <w:t>UA</w:t>
            </w:r>
            <w:r w:rsidRPr="00663EF4">
              <w:rPr>
                <w:b/>
                <w:bCs/>
                <w:color w:val="000000"/>
                <w:sz w:val="16"/>
                <w:szCs w:val="16"/>
                <w:vertAlign w:val="superscript"/>
                <w:lang w:val="it-IT" w:eastAsia="it-IT"/>
              </w:rPr>
              <w:t>a</w:t>
            </w:r>
            <w:proofErr w:type="spellEnd"/>
            <w:r w:rsidRPr="00663EF4">
              <w:rPr>
                <w:b/>
                <w:bCs/>
                <w:color w:val="000000"/>
                <w:sz w:val="16"/>
                <w:szCs w:val="16"/>
                <w:lang w:val="it-IT" w:eastAsia="it-IT"/>
              </w:rPr>
              <w:t xml:space="preserve"> [w.t.%]</w:t>
            </w:r>
          </w:p>
        </w:tc>
        <w:tc>
          <w:tcPr>
            <w:tcW w:w="1276" w:type="dxa"/>
            <w:vMerge w:val="restart"/>
          </w:tcPr>
          <w:p w14:paraId="5F5137A2" w14:textId="77777777" w:rsidR="008D3BAF" w:rsidRPr="00663EF4" w:rsidRDefault="008D3BAF" w:rsidP="003C1300">
            <w:pPr>
              <w:jc w:val="center"/>
              <w:rPr>
                <w:color w:val="000000"/>
                <w:sz w:val="16"/>
                <w:szCs w:val="16"/>
                <w:lang w:val="it-IT" w:eastAsia="it-IT"/>
              </w:rPr>
            </w:pPr>
          </w:p>
        </w:tc>
      </w:tr>
      <w:tr w:rsidR="008D3BAF" w:rsidRPr="00663EF4" w14:paraId="00E6F02E" w14:textId="77777777" w:rsidTr="003C1300">
        <w:trPr>
          <w:trHeight w:val="289"/>
        </w:trPr>
        <w:tc>
          <w:tcPr>
            <w:tcW w:w="992" w:type="dxa"/>
            <w:tcBorders>
              <w:top w:val="single" w:sz="4" w:space="0" w:color="auto"/>
            </w:tcBorders>
            <w:shd w:val="clear" w:color="auto" w:fill="auto"/>
            <w:noWrap/>
            <w:vAlign w:val="center"/>
            <w:hideMark/>
          </w:tcPr>
          <w:p w14:paraId="531600B1"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ASH</w:t>
            </w:r>
          </w:p>
        </w:tc>
        <w:tc>
          <w:tcPr>
            <w:tcW w:w="1134" w:type="dxa"/>
            <w:tcBorders>
              <w:top w:val="single" w:sz="4" w:space="0" w:color="auto"/>
            </w:tcBorders>
            <w:shd w:val="clear" w:color="auto" w:fill="auto"/>
            <w:noWrap/>
            <w:vAlign w:val="center"/>
            <w:hideMark/>
          </w:tcPr>
          <w:p w14:paraId="0E25677C"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13.5</w:t>
            </w:r>
          </w:p>
        </w:tc>
        <w:tc>
          <w:tcPr>
            <w:tcW w:w="1276" w:type="dxa"/>
            <w:vMerge/>
          </w:tcPr>
          <w:p w14:paraId="4BFFCA13" w14:textId="77777777" w:rsidR="008D3BAF" w:rsidRPr="00663EF4" w:rsidRDefault="008D3BAF" w:rsidP="003C1300">
            <w:pPr>
              <w:jc w:val="center"/>
              <w:rPr>
                <w:color w:val="000000"/>
                <w:sz w:val="16"/>
                <w:szCs w:val="16"/>
                <w:lang w:val="it-IT" w:eastAsia="it-IT"/>
              </w:rPr>
            </w:pPr>
          </w:p>
        </w:tc>
        <w:tc>
          <w:tcPr>
            <w:tcW w:w="2263" w:type="dxa"/>
            <w:gridSpan w:val="2"/>
            <w:tcBorders>
              <w:top w:val="single" w:sz="4" w:space="0" w:color="auto"/>
              <w:bottom w:val="single" w:sz="4" w:space="0" w:color="auto"/>
            </w:tcBorders>
            <w:shd w:val="clear" w:color="auto" w:fill="auto"/>
            <w:noWrap/>
            <w:vAlign w:val="center"/>
          </w:tcPr>
          <w:p w14:paraId="2EF8266D" w14:textId="77777777" w:rsidR="008D3BAF" w:rsidRPr="00663EF4" w:rsidRDefault="008D3BAF" w:rsidP="003C1300">
            <w:pPr>
              <w:jc w:val="center"/>
              <w:rPr>
                <w:b/>
                <w:bCs/>
                <w:color w:val="000000"/>
                <w:sz w:val="16"/>
                <w:szCs w:val="16"/>
                <w:lang w:val="it-IT" w:eastAsia="it-IT"/>
              </w:rPr>
            </w:pPr>
            <w:proofErr w:type="spellStart"/>
            <w:r w:rsidRPr="00663EF4">
              <w:rPr>
                <w:b/>
                <w:bCs/>
                <w:color w:val="000000"/>
                <w:sz w:val="16"/>
                <w:szCs w:val="16"/>
                <w:lang w:val="it-IT" w:eastAsia="it-IT"/>
              </w:rPr>
              <w:t>PA</w:t>
            </w:r>
            <w:r w:rsidRPr="00663EF4">
              <w:rPr>
                <w:b/>
                <w:bCs/>
                <w:color w:val="000000"/>
                <w:sz w:val="16"/>
                <w:szCs w:val="16"/>
                <w:vertAlign w:val="superscript"/>
                <w:lang w:val="it-IT" w:eastAsia="it-IT"/>
              </w:rPr>
              <w:t>b</w:t>
            </w:r>
            <w:proofErr w:type="spellEnd"/>
            <w:r w:rsidRPr="00663EF4">
              <w:rPr>
                <w:b/>
                <w:bCs/>
                <w:color w:val="000000"/>
                <w:sz w:val="16"/>
                <w:szCs w:val="16"/>
                <w:lang w:val="it-IT" w:eastAsia="it-IT"/>
              </w:rPr>
              <w:t xml:space="preserve"> [w.t.%]</w:t>
            </w:r>
          </w:p>
        </w:tc>
      </w:tr>
      <w:tr w:rsidR="008D3BAF" w:rsidRPr="00663EF4" w14:paraId="3ABFDBDE" w14:textId="77777777" w:rsidTr="003C1300">
        <w:trPr>
          <w:trHeight w:val="289"/>
        </w:trPr>
        <w:tc>
          <w:tcPr>
            <w:tcW w:w="992" w:type="dxa"/>
            <w:shd w:val="clear" w:color="auto" w:fill="auto"/>
            <w:noWrap/>
            <w:vAlign w:val="center"/>
            <w:hideMark/>
          </w:tcPr>
          <w:p w14:paraId="3698BA40"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C</w:t>
            </w:r>
          </w:p>
        </w:tc>
        <w:tc>
          <w:tcPr>
            <w:tcW w:w="1134" w:type="dxa"/>
            <w:shd w:val="clear" w:color="auto" w:fill="auto"/>
            <w:noWrap/>
            <w:vAlign w:val="center"/>
            <w:hideMark/>
          </w:tcPr>
          <w:p w14:paraId="1C2E032B"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75.0</w:t>
            </w:r>
          </w:p>
        </w:tc>
        <w:tc>
          <w:tcPr>
            <w:tcW w:w="1276" w:type="dxa"/>
          </w:tcPr>
          <w:p w14:paraId="2C3C465D" w14:textId="77777777" w:rsidR="008D3BAF" w:rsidRPr="00663EF4" w:rsidRDefault="008D3BAF" w:rsidP="003C1300">
            <w:pPr>
              <w:jc w:val="center"/>
              <w:rPr>
                <w:color w:val="000000"/>
                <w:sz w:val="16"/>
                <w:szCs w:val="16"/>
                <w:lang w:val="it-IT" w:eastAsia="it-IT"/>
              </w:rPr>
            </w:pPr>
          </w:p>
        </w:tc>
        <w:tc>
          <w:tcPr>
            <w:tcW w:w="1413" w:type="dxa"/>
            <w:tcBorders>
              <w:top w:val="single" w:sz="4" w:space="0" w:color="auto"/>
            </w:tcBorders>
            <w:shd w:val="clear" w:color="auto" w:fill="auto"/>
            <w:noWrap/>
            <w:vAlign w:val="center"/>
          </w:tcPr>
          <w:p w14:paraId="1F642B0A" w14:textId="77777777" w:rsidR="008D3BAF" w:rsidRPr="00663EF4" w:rsidRDefault="008D3BAF" w:rsidP="003C1300">
            <w:pPr>
              <w:jc w:val="center"/>
              <w:rPr>
                <w:color w:val="000000"/>
                <w:sz w:val="16"/>
                <w:szCs w:val="16"/>
                <w:lang w:val="it-IT" w:eastAsia="it-IT"/>
              </w:rPr>
            </w:pPr>
            <w:proofErr w:type="spellStart"/>
            <w:r w:rsidRPr="00663EF4">
              <w:rPr>
                <w:color w:val="000000"/>
                <w:sz w:val="16"/>
                <w:szCs w:val="16"/>
                <w:lang w:val="it-IT" w:eastAsia="it-IT"/>
              </w:rPr>
              <w:t>Moisture</w:t>
            </w:r>
            <w:proofErr w:type="spellEnd"/>
          </w:p>
        </w:tc>
        <w:tc>
          <w:tcPr>
            <w:tcW w:w="850" w:type="dxa"/>
            <w:tcBorders>
              <w:top w:val="single" w:sz="4" w:space="0" w:color="auto"/>
            </w:tcBorders>
            <w:shd w:val="clear" w:color="auto" w:fill="auto"/>
            <w:noWrap/>
            <w:vAlign w:val="center"/>
          </w:tcPr>
          <w:p w14:paraId="60D3DC86"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1.5</w:t>
            </w:r>
          </w:p>
        </w:tc>
      </w:tr>
      <w:tr w:rsidR="008D3BAF" w:rsidRPr="00663EF4" w14:paraId="663F8BFA" w14:textId="77777777" w:rsidTr="003C1300">
        <w:trPr>
          <w:trHeight w:val="289"/>
        </w:trPr>
        <w:tc>
          <w:tcPr>
            <w:tcW w:w="992" w:type="dxa"/>
            <w:shd w:val="clear" w:color="auto" w:fill="auto"/>
            <w:noWrap/>
            <w:vAlign w:val="center"/>
            <w:hideMark/>
          </w:tcPr>
          <w:p w14:paraId="6D62AFA8"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H</w:t>
            </w:r>
          </w:p>
        </w:tc>
        <w:tc>
          <w:tcPr>
            <w:tcW w:w="1134" w:type="dxa"/>
            <w:shd w:val="clear" w:color="auto" w:fill="auto"/>
            <w:noWrap/>
            <w:vAlign w:val="center"/>
            <w:hideMark/>
          </w:tcPr>
          <w:p w14:paraId="7DF9C254"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7.0</w:t>
            </w:r>
          </w:p>
        </w:tc>
        <w:tc>
          <w:tcPr>
            <w:tcW w:w="1276" w:type="dxa"/>
          </w:tcPr>
          <w:p w14:paraId="71A10BEB" w14:textId="77777777" w:rsidR="008D3BAF" w:rsidRPr="00663EF4" w:rsidRDefault="008D3BAF" w:rsidP="003C1300">
            <w:pPr>
              <w:jc w:val="center"/>
              <w:rPr>
                <w:color w:val="000000"/>
                <w:sz w:val="16"/>
                <w:szCs w:val="16"/>
                <w:lang w:val="it-IT" w:eastAsia="it-IT"/>
              </w:rPr>
            </w:pPr>
          </w:p>
        </w:tc>
        <w:tc>
          <w:tcPr>
            <w:tcW w:w="1413" w:type="dxa"/>
            <w:shd w:val="clear" w:color="auto" w:fill="auto"/>
            <w:noWrap/>
            <w:vAlign w:val="center"/>
          </w:tcPr>
          <w:p w14:paraId="4A533CDE" w14:textId="77777777" w:rsidR="008D3BAF" w:rsidRPr="00663EF4" w:rsidRDefault="008D3BAF" w:rsidP="003C1300">
            <w:pPr>
              <w:jc w:val="center"/>
              <w:rPr>
                <w:color w:val="000000"/>
                <w:sz w:val="16"/>
                <w:szCs w:val="16"/>
                <w:lang w:val="it-IT" w:eastAsia="it-IT"/>
              </w:rPr>
            </w:pPr>
            <w:proofErr w:type="spellStart"/>
            <w:r w:rsidRPr="00663EF4">
              <w:rPr>
                <w:color w:val="000000"/>
                <w:sz w:val="16"/>
                <w:szCs w:val="16"/>
                <w:lang w:val="it-IT" w:eastAsia="it-IT"/>
              </w:rPr>
              <w:t>Fixed</w:t>
            </w:r>
            <w:proofErr w:type="spellEnd"/>
            <w:r w:rsidRPr="00663EF4">
              <w:rPr>
                <w:color w:val="000000"/>
                <w:sz w:val="16"/>
                <w:szCs w:val="16"/>
                <w:lang w:val="it-IT" w:eastAsia="it-IT"/>
              </w:rPr>
              <w:t xml:space="preserve"> Carbon</w:t>
            </w:r>
          </w:p>
        </w:tc>
        <w:tc>
          <w:tcPr>
            <w:tcW w:w="850" w:type="dxa"/>
            <w:shd w:val="clear" w:color="auto" w:fill="auto"/>
            <w:noWrap/>
            <w:vAlign w:val="center"/>
          </w:tcPr>
          <w:p w14:paraId="7652EC48"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30.0</w:t>
            </w:r>
          </w:p>
        </w:tc>
      </w:tr>
      <w:tr w:rsidR="008D3BAF" w:rsidRPr="00663EF4" w14:paraId="02DEB8A2" w14:textId="77777777" w:rsidTr="003C1300">
        <w:trPr>
          <w:trHeight w:val="289"/>
        </w:trPr>
        <w:tc>
          <w:tcPr>
            <w:tcW w:w="992" w:type="dxa"/>
            <w:shd w:val="clear" w:color="auto" w:fill="auto"/>
            <w:noWrap/>
            <w:vAlign w:val="center"/>
            <w:hideMark/>
          </w:tcPr>
          <w:p w14:paraId="2EE9DF8C"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N</w:t>
            </w:r>
          </w:p>
        </w:tc>
        <w:tc>
          <w:tcPr>
            <w:tcW w:w="1134" w:type="dxa"/>
            <w:shd w:val="clear" w:color="auto" w:fill="auto"/>
            <w:noWrap/>
            <w:vAlign w:val="center"/>
            <w:hideMark/>
          </w:tcPr>
          <w:p w14:paraId="5D31BCA6"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0.3</w:t>
            </w:r>
          </w:p>
        </w:tc>
        <w:tc>
          <w:tcPr>
            <w:tcW w:w="1276" w:type="dxa"/>
          </w:tcPr>
          <w:p w14:paraId="581F0E62" w14:textId="77777777" w:rsidR="008D3BAF" w:rsidRPr="00663EF4" w:rsidRDefault="008D3BAF" w:rsidP="003C1300">
            <w:pPr>
              <w:jc w:val="center"/>
              <w:rPr>
                <w:color w:val="000000"/>
                <w:sz w:val="16"/>
                <w:szCs w:val="16"/>
                <w:lang w:val="it-IT" w:eastAsia="it-IT"/>
              </w:rPr>
            </w:pPr>
          </w:p>
        </w:tc>
        <w:tc>
          <w:tcPr>
            <w:tcW w:w="1413" w:type="dxa"/>
            <w:shd w:val="clear" w:color="auto" w:fill="auto"/>
            <w:noWrap/>
            <w:vAlign w:val="center"/>
          </w:tcPr>
          <w:p w14:paraId="3A77BCE3"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 xml:space="preserve">Volatile </w:t>
            </w:r>
            <w:proofErr w:type="spellStart"/>
            <w:r w:rsidRPr="00663EF4">
              <w:rPr>
                <w:color w:val="000000"/>
                <w:sz w:val="16"/>
                <w:szCs w:val="16"/>
                <w:lang w:val="it-IT" w:eastAsia="it-IT"/>
              </w:rPr>
              <w:t>Matter</w:t>
            </w:r>
            <w:proofErr w:type="spellEnd"/>
          </w:p>
        </w:tc>
        <w:tc>
          <w:tcPr>
            <w:tcW w:w="850" w:type="dxa"/>
            <w:shd w:val="clear" w:color="auto" w:fill="auto"/>
            <w:noWrap/>
            <w:vAlign w:val="center"/>
          </w:tcPr>
          <w:p w14:paraId="1E9630E6"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55.0</w:t>
            </w:r>
          </w:p>
        </w:tc>
      </w:tr>
      <w:tr w:rsidR="008D3BAF" w:rsidRPr="00663EF4" w14:paraId="1A37574A" w14:textId="77777777" w:rsidTr="003C1300">
        <w:trPr>
          <w:trHeight w:val="289"/>
        </w:trPr>
        <w:tc>
          <w:tcPr>
            <w:tcW w:w="992" w:type="dxa"/>
            <w:shd w:val="clear" w:color="auto" w:fill="auto"/>
            <w:noWrap/>
            <w:vAlign w:val="center"/>
            <w:hideMark/>
          </w:tcPr>
          <w:p w14:paraId="355DC07F"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S</w:t>
            </w:r>
          </w:p>
        </w:tc>
        <w:tc>
          <w:tcPr>
            <w:tcW w:w="1134" w:type="dxa"/>
            <w:shd w:val="clear" w:color="auto" w:fill="auto"/>
            <w:noWrap/>
            <w:vAlign w:val="center"/>
            <w:hideMark/>
          </w:tcPr>
          <w:p w14:paraId="68AE90F8"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1.5</w:t>
            </w:r>
          </w:p>
        </w:tc>
        <w:tc>
          <w:tcPr>
            <w:tcW w:w="1276" w:type="dxa"/>
          </w:tcPr>
          <w:p w14:paraId="0BFC59DB" w14:textId="77777777" w:rsidR="008D3BAF" w:rsidRPr="00663EF4" w:rsidRDefault="008D3BAF" w:rsidP="003C1300">
            <w:pPr>
              <w:jc w:val="center"/>
              <w:rPr>
                <w:sz w:val="16"/>
                <w:szCs w:val="16"/>
                <w:lang w:val="it-IT" w:eastAsia="it-IT"/>
              </w:rPr>
            </w:pPr>
          </w:p>
        </w:tc>
        <w:tc>
          <w:tcPr>
            <w:tcW w:w="1413" w:type="dxa"/>
            <w:tcBorders>
              <w:bottom w:val="single" w:sz="4" w:space="0" w:color="auto"/>
            </w:tcBorders>
            <w:shd w:val="clear" w:color="auto" w:fill="auto"/>
            <w:noWrap/>
            <w:vAlign w:val="center"/>
            <w:hideMark/>
          </w:tcPr>
          <w:p w14:paraId="6B0FDF47" w14:textId="77777777" w:rsidR="008D3BAF" w:rsidRPr="00663EF4" w:rsidRDefault="008D3BAF" w:rsidP="003C1300">
            <w:pPr>
              <w:jc w:val="center"/>
              <w:rPr>
                <w:sz w:val="16"/>
                <w:szCs w:val="16"/>
                <w:lang w:val="it-IT" w:eastAsia="it-IT"/>
              </w:rPr>
            </w:pPr>
            <w:r w:rsidRPr="00663EF4">
              <w:rPr>
                <w:color w:val="000000"/>
                <w:sz w:val="16"/>
                <w:szCs w:val="16"/>
                <w:lang w:val="it-IT" w:eastAsia="it-IT"/>
              </w:rPr>
              <w:t>ASH</w:t>
            </w:r>
          </w:p>
        </w:tc>
        <w:tc>
          <w:tcPr>
            <w:tcW w:w="850" w:type="dxa"/>
            <w:tcBorders>
              <w:bottom w:val="single" w:sz="4" w:space="0" w:color="auto"/>
            </w:tcBorders>
            <w:shd w:val="clear" w:color="auto" w:fill="auto"/>
            <w:noWrap/>
            <w:vAlign w:val="center"/>
            <w:hideMark/>
          </w:tcPr>
          <w:p w14:paraId="5AF593E3" w14:textId="77777777" w:rsidR="008D3BAF" w:rsidRPr="00663EF4" w:rsidRDefault="008D3BAF" w:rsidP="003C1300">
            <w:pPr>
              <w:jc w:val="center"/>
              <w:rPr>
                <w:sz w:val="16"/>
                <w:szCs w:val="16"/>
                <w:lang w:val="it-IT" w:eastAsia="it-IT"/>
              </w:rPr>
            </w:pPr>
            <w:r w:rsidRPr="00663EF4">
              <w:rPr>
                <w:color w:val="000000"/>
                <w:sz w:val="16"/>
                <w:szCs w:val="16"/>
                <w:lang w:val="it-IT" w:eastAsia="it-IT"/>
              </w:rPr>
              <w:t>13.5</w:t>
            </w:r>
          </w:p>
        </w:tc>
      </w:tr>
      <w:tr w:rsidR="008D3BAF" w:rsidRPr="00663EF4" w14:paraId="663BB6C9" w14:textId="77777777" w:rsidTr="003C1300">
        <w:trPr>
          <w:gridAfter w:val="3"/>
          <w:wAfter w:w="3539" w:type="dxa"/>
          <w:trHeight w:val="289"/>
        </w:trPr>
        <w:tc>
          <w:tcPr>
            <w:tcW w:w="992" w:type="dxa"/>
            <w:tcBorders>
              <w:bottom w:val="single" w:sz="4" w:space="0" w:color="auto"/>
            </w:tcBorders>
            <w:shd w:val="clear" w:color="auto" w:fill="auto"/>
            <w:noWrap/>
            <w:vAlign w:val="center"/>
            <w:hideMark/>
          </w:tcPr>
          <w:p w14:paraId="581C73F8" w14:textId="77777777" w:rsidR="008D3BAF" w:rsidRPr="00663EF4" w:rsidRDefault="008D3BAF" w:rsidP="002A65D0">
            <w:pPr>
              <w:jc w:val="center"/>
              <w:rPr>
                <w:color w:val="000000"/>
                <w:sz w:val="16"/>
                <w:szCs w:val="16"/>
                <w:lang w:val="it-IT" w:eastAsia="it-IT"/>
              </w:rPr>
            </w:pPr>
            <w:r w:rsidRPr="00663EF4">
              <w:rPr>
                <w:color w:val="000000"/>
                <w:sz w:val="16"/>
                <w:szCs w:val="16"/>
                <w:lang w:val="it-IT" w:eastAsia="it-IT"/>
              </w:rPr>
              <w:t>O</w:t>
            </w:r>
          </w:p>
        </w:tc>
        <w:tc>
          <w:tcPr>
            <w:tcW w:w="1134" w:type="dxa"/>
            <w:tcBorders>
              <w:bottom w:val="single" w:sz="4" w:space="0" w:color="auto"/>
            </w:tcBorders>
            <w:shd w:val="clear" w:color="auto" w:fill="auto"/>
            <w:noWrap/>
            <w:vAlign w:val="center"/>
            <w:hideMark/>
          </w:tcPr>
          <w:p w14:paraId="5699D2E0" w14:textId="77777777" w:rsidR="008D3BAF" w:rsidRPr="00663EF4" w:rsidRDefault="008D3BAF" w:rsidP="003C1300">
            <w:pPr>
              <w:jc w:val="center"/>
              <w:rPr>
                <w:color w:val="000000"/>
                <w:sz w:val="16"/>
                <w:szCs w:val="16"/>
                <w:lang w:val="it-IT" w:eastAsia="it-IT"/>
              </w:rPr>
            </w:pPr>
            <w:r w:rsidRPr="00663EF4">
              <w:rPr>
                <w:color w:val="000000"/>
                <w:sz w:val="16"/>
                <w:szCs w:val="16"/>
                <w:lang w:val="it-IT" w:eastAsia="it-IT"/>
              </w:rPr>
              <w:t>2.7</w:t>
            </w:r>
          </w:p>
        </w:tc>
      </w:tr>
    </w:tbl>
    <w:p w14:paraId="4F8EBF1B" w14:textId="1E939EEF" w:rsidR="00206008" w:rsidRPr="00BF4AA4" w:rsidRDefault="00BF4AA4" w:rsidP="00BF4AA4">
      <w:pPr>
        <w:pStyle w:val="Els-body-text"/>
        <w:rPr>
          <w:bCs/>
          <w:color w:val="FF0000"/>
        </w:rPr>
      </w:pPr>
      <w:r>
        <w:rPr>
          <w:bCs/>
        </w:rPr>
        <w:lastRenderedPageBreak/>
        <w:t>L</w:t>
      </w:r>
      <w:r w:rsidRPr="00EB5C6F">
        <w:rPr>
          <w:bCs/>
        </w:rPr>
        <w:t xml:space="preserve">umped </w:t>
      </w:r>
      <w:r>
        <w:rPr>
          <w:bCs/>
        </w:rPr>
        <w:t xml:space="preserve">kinetic </w:t>
      </w:r>
      <w:r w:rsidRPr="00EB5C6F">
        <w:rPr>
          <w:bCs/>
        </w:rPr>
        <w:t>reactions among the element</w:t>
      </w:r>
      <w:r>
        <w:rPr>
          <w:bCs/>
        </w:rPr>
        <w:t>s</w:t>
      </w:r>
      <w:r w:rsidRPr="00EB5C6F">
        <w:rPr>
          <w:bCs/>
        </w:rPr>
        <w:t xml:space="preserve"> occur</w:t>
      </w:r>
      <w:r>
        <w:rPr>
          <w:bCs/>
        </w:rPr>
        <w:t xml:space="preserve"> in the unit,</w:t>
      </w:r>
      <w:r w:rsidRPr="00EB5C6F">
        <w:rPr>
          <w:bCs/>
        </w:rPr>
        <w:t xml:space="preserve"> </w:t>
      </w:r>
      <w:r>
        <w:rPr>
          <w:bCs/>
        </w:rPr>
        <w:t>f</w:t>
      </w:r>
      <w:r w:rsidRPr="00EB5C6F">
        <w:rPr>
          <w:bCs/>
        </w:rPr>
        <w:t xml:space="preserve">ollowing the kinetic scheme </w:t>
      </w:r>
      <w:r>
        <w:rPr>
          <w:bCs/>
        </w:rPr>
        <w:t>described</w:t>
      </w:r>
      <w:r w:rsidRPr="00EB5C6F">
        <w:rPr>
          <w:bCs/>
        </w:rPr>
        <w:t xml:space="preserve"> by</w:t>
      </w:r>
      <w:r>
        <w:rPr>
          <w:bCs/>
        </w:rPr>
        <w:t xml:space="preserve"> </w:t>
      </w:r>
      <w:r w:rsidRPr="00896FD0">
        <w:rPr>
          <w:b/>
          <w:bCs/>
        </w:rPr>
        <w:fldChar w:fldCharType="begin"/>
      </w:r>
      <w:r>
        <w:rPr>
          <w:bCs/>
        </w:rPr>
        <w:instrText xml:space="preserve"> ADDIN ZOTERO_ITEM CSL_CITATION {"citationID":"thIdQfc4","properties":{"formattedCitation":"(Olazar et al., 2008)","plainCitation":"(Olazar et al., 2008)","dontUpdate":true,"noteIndex":0},"citationItems":[{"id":25,"uris":["http://zotero.org/users/local/4x05yQb7/items/28XUCIA7"],"itemData":{"id":25,"type":"article-journal","abstract":"A novel kinetic model has been proposed for the thermal pyrolysis of tyres. The model is based on a reaction scheme that considers an intermediate lump and parallel reactions for the formation of the different product lumps. Seven lumps have been taken, which are gas (C4), non-aromatic liquid (C5−C), aromatics (C), tar (C11+), char (low grade carbon black), intermediate and the original tyre. The kinetic data have been obtained in a pilot plant provided with a conical spouted bed reactor. The inert gas used is nitrogen and the temperature has been varied from 425 to 610°C. Discontinuous runs have been carried out for obtaining the kinetic data, and the product stream has been analysed on-line at different reaction times, thereby monitoring the evolution with time of mass fraction of the different components. The kinetic model gives reasonable predictions for lump yields.","container-title":"Journal of Analytical and Applied Pyrolysis","DOI":"10.1016/j.jaap.2007.09.011","ISSN":"0165-2370","issue":"1","journalAbbreviation":"Journal of Analytical and Applied Pyrolysis","page":"127-132","source":"ScienceDirect","title":"Kinetic modelling of tyre pyrolysis in a conical spouted bed reactor","volume":"81","author":[{"family":"Olazar","given":"Martin"},{"family":"Lopez","given":"Gartzen"},{"family":"Arabiourrutia","given":"Miriam"},{"family":"Elordi","given":"Gorka"},{"family":"Aguado","given":"Roberto"},{"family":"Bilbao","given":"Javier"}],"issued":{"date-parts":[["2008",1,1]]}}}],"schema":"https://github.com/citation-style-language/schema/raw/master/csl-citation.json"} </w:instrText>
      </w:r>
      <w:r w:rsidRPr="00896FD0">
        <w:rPr>
          <w:b/>
          <w:bCs/>
        </w:rPr>
        <w:fldChar w:fldCharType="separate"/>
      </w:r>
      <w:r w:rsidRPr="00896FD0">
        <w:rPr>
          <w:bCs/>
        </w:rPr>
        <w:t>Olazar et al.</w:t>
      </w:r>
      <w:r>
        <w:rPr>
          <w:bCs/>
        </w:rPr>
        <w:t xml:space="preserve"> (</w:t>
      </w:r>
      <w:r w:rsidRPr="00896FD0">
        <w:rPr>
          <w:bCs/>
        </w:rPr>
        <w:t>2008)</w:t>
      </w:r>
      <w:r w:rsidRPr="00896FD0">
        <w:rPr>
          <w:b/>
          <w:bCs/>
        </w:rPr>
        <w:fldChar w:fldCharType="end"/>
      </w:r>
      <w:r>
        <w:rPr>
          <w:bCs/>
        </w:rPr>
        <w:t>.</w:t>
      </w:r>
      <w:r>
        <w:rPr>
          <w:b/>
          <w:bCs/>
        </w:rPr>
        <w:t xml:space="preserve"> </w:t>
      </w:r>
      <w:r w:rsidR="00C07CB5">
        <w:rPr>
          <w:bCs/>
        </w:rPr>
        <w:t>Kinetics are based on a conventional power law, with Arrhenius’ kinetic parameters estimated in accordance with typical products distribution down pyrolysis for gaseous and liquid output</w:t>
      </w:r>
      <w:r w:rsidR="0009580C">
        <w:rPr>
          <w:bCs/>
        </w:rPr>
        <w:t>.</w:t>
      </w:r>
      <w:r w:rsidR="00C07CB5">
        <w:rPr>
          <w:b/>
          <w:bCs/>
        </w:rPr>
        <w:t xml:space="preserve"> </w:t>
      </w:r>
      <w:r w:rsidR="00BB4A2E">
        <w:rPr>
          <w:bCs/>
        </w:rPr>
        <w:t>According to the kinetic scheme adopted t</w:t>
      </w:r>
      <w:r w:rsidR="00C15CAB" w:rsidRPr="00EB5C6F">
        <w:rPr>
          <w:bCs/>
        </w:rPr>
        <w:t>he limiting reactant is hydrog</w:t>
      </w:r>
      <w:r w:rsidR="00CC47DD">
        <w:rPr>
          <w:bCs/>
        </w:rPr>
        <w:t xml:space="preserve">en. </w:t>
      </w:r>
      <w:r w:rsidR="00273507" w:rsidRPr="00273507">
        <w:rPr>
          <w:bCs/>
        </w:rPr>
        <w:t>The characteristic dimension</w:t>
      </w:r>
      <w:r w:rsidR="00273507">
        <w:rPr>
          <w:bCs/>
        </w:rPr>
        <w:t xml:space="preserve"> and residence time</w:t>
      </w:r>
      <w:r w:rsidR="00273507" w:rsidRPr="00273507">
        <w:rPr>
          <w:bCs/>
        </w:rPr>
        <w:t xml:space="preserve"> of the unit </w:t>
      </w:r>
      <w:r w:rsidR="00D03781">
        <w:rPr>
          <w:bCs/>
        </w:rPr>
        <w:t>have</w:t>
      </w:r>
      <w:r w:rsidR="00273507" w:rsidRPr="00273507">
        <w:rPr>
          <w:bCs/>
        </w:rPr>
        <w:t xml:space="preserve"> been selected according to a sensitivity analysis in order to obtain a hydrogen concentration in the gaseous stream similar to literature</w:t>
      </w:r>
      <w:r w:rsidR="00C867F3">
        <w:rPr>
          <w:bCs/>
        </w:rPr>
        <w:t xml:space="preserve"> </w:t>
      </w:r>
      <w:r w:rsidR="00C867F3" w:rsidRPr="00E87B43">
        <w:rPr>
          <w:b/>
          <w:bCs/>
        </w:rPr>
        <w:fldChar w:fldCharType="begin"/>
      </w:r>
      <w:r w:rsidR="00C867F3" w:rsidRPr="00E87B43">
        <w:rPr>
          <w:bCs/>
        </w:rPr>
        <w:instrText xml:space="preserve"> ADDIN ZOTERO_ITEM CSL_CITATION {"citationID":"e8sBCjHs","properties":{"formattedCitation":"(Kyari et al., 2005)","plainCitation":"(Kyari et al., 2005)","noteIndex":0},"citationItems":[{"id":15,"uris":["http://zotero.org/users/local/4x05yQb7/items/7G52TL6V"],"itemData":{"id":15,"type":"article-journal","abstract":"Different types and brands of used automotive tires from several countries throughout the world have been pyrolyzed in a fixed-bed reactor under identical conditions. The aim of the experiments was to determine the influence of tire origin on the yield and composition of the products of pyrolysis. The yields of char, oil, and gas were very similar for the seven tires investigated under the process conditions of pyrolysis operating in this work. The gas composition showed noticeable variations between the tire types pyrolyzed, with each of the main pyrolysis gases of carbon dioxide, carbon monoxide, hydrogen, methane, and other hydrocarbon gases showing different compositions depending on the origin of the tire. The oil derived from the pyrolysis of the tires showed very similar broad compositional properties as measured by infrared spectrometry and size-exclusion chromatography. However, detailed analysis of the oils showed variations in the concentration of certain aromatic compounds depending on the tire type and origin. In addition, experiments were conducted with an equal mixture of all seven tires, and the results of both yield and composition showed that the resultant products reflected the mixture of the individual tire yields and compositions.","container-title":"Energy &amp; Fuels","DOI":"10.1021/ef049686x","ISSN":"0887-0624","issue":"3","journalAbbreviation":"Energy Fuels","note":"publisher: American Chemical Society","page":"1165-1173","source":"ACS Publications","title":"Characterization of Oils, Gases, and Char in Relation to the Pyrolysis of Different Brands of Scrap Automotive Tires","volume":"19","author":[{"family":"Kyari","given":"Mohammed"},{"family":"Cunliffe","given":"Adrian"},{"family":"Williams","given":"Paul T."}],"issued":{"date-parts":[["2005",5,1]]}}}],"schema":"https://github.com/citation-style-language/schema/raw/master/csl-citation.json"} </w:instrText>
      </w:r>
      <w:r w:rsidR="00C867F3" w:rsidRPr="00E87B43">
        <w:rPr>
          <w:b/>
          <w:bCs/>
        </w:rPr>
        <w:fldChar w:fldCharType="separate"/>
      </w:r>
      <w:r w:rsidR="00E87B43" w:rsidRPr="00E87B43">
        <w:rPr>
          <w:bCs/>
        </w:rPr>
        <w:t>(Kyari et al., 2005)</w:t>
      </w:r>
      <w:r w:rsidR="00C867F3" w:rsidRPr="00E87B43">
        <w:rPr>
          <w:b/>
          <w:bCs/>
        </w:rPr>
        <w:fldChar w:fldCharType="end"/>
      </w:r>
      <w:r w:rsidR="00273507" w:rsidRPr="00273507">
        <w:rPr>
          <w:bCs/>
        </w:rPr>
        <w:t>.</w:t>
      </w:r>
      <w:r w:rsidR="00273507">
        <w:rPr>
          <w:lang w:val="en-GB"/>
        </w:rPr>
        <w:t xml:space="preserve"> </w:t>
      </w:r>
      <w:r w:rsidR="005C3EC8" w:rsidRPr="005C3EC8">
        <w:rPr>
          <w:bCs/>
        </w:rPr>
        <w:t xml:space="preserve">To avoid the presence of unreacted oxygen in the gaseous stream, the kinetic adopted has been slightly </w:t>
      </w:r>
      <w:r w:rsidR="00776BA9">
        <w:rPr>
          <w:bCs/>
        </w:rPr>
        <w:t>adjusted</w:t>
      </w:r>
      <w:r w:rsidR="005C3EC8" w:rsidRPr="005C3EC8">
        <w:rPr>
          <w:bCs/>
        </w:rPr>
        <w:t xml:space="preserve">. Indeed, to </w:t>
      </w:r>
      <w:r w:rsidR="000226A8" w:rsidRPr="005C3EC8">
        <w:rPr>
          <w:bCs/>
        </w:rPr>
        <w:t>favor</w:t>
      </w:r>
      <w:r w:rsidR="005C3EC8" w:rsidRPr="005C3EC8">
        <w:rPr>
          <w:bCs/>
        </w:rPr>
        <w:t xml:space="preserve"> oxygen conversion, water synthesis reaction has been introduced and also </w:t>
      </w:r>
      <w:proofErr w:type="spellStart"/>
      <w:r w:rsidR="005C3EC8" w:rsidRPr="005C3EC8">
        <w:rPr>
          <w:bCs/>
        </w:rPr>
        <w:t>CO</w:t>
      </w:r>
      <w:r w:rsidR="006E5FDE">
        <w:rPr>
          <w:bCs/>
          <w:vertAlign w:val="subscript"/>
        </w:rPr>
        <w:t>x</w:t>
      </w:r>
      <w:proofErr w:type="spellEnd"/>
      <w:r w:rsidR="005C3EC8" w:rsidRPr="005C3EC8">
        <w:rPr>
          <w:bCs/>
        </w:rPr>
        <w:t xml:space="preserve"> synthesis has been </w:t>
      </w:r>
      <w:r w:rsidR="000226A8" w:rsidRPr="005C3EC8">
        <w:rPr>
          <w:bCs/>
        </w:rPr>
        <w:t>favored</w:t>
      </w:r>
      <w:r w:rsidR="005C3EC8" w:rsidRPr="005C3EC8">
        <w:rPr>
          <w:bCs/>
        </w:rPr>
        <w:t xml:space="preserve"> adopting equilibrium reactions</w:t>
      </w:r>
      <w:r w:rsidR="005C3EC8">
        <w:rPr>
          <w:bCs/>
        </w:rPr>
        <w:t>.</w:t>
      </w:r>
      <w:r w:rsidR="005C3EC8">
        <w:rPr>
          <w:lang w:val="en-GB"/>
        </w:rPr>
        <w:t xml:space="preserve"> </w:t>
      </w:r>
      <w:r w:rsidR="00C15CAB" w:rsidRPr="00EB5C6F">
        <w:rPr>
          <w:bCs/>
        </w:rPr>
        <w:t>The solid output obtained, mainly composed by unreacted carbon and ASH, is store</w:t>
      </w:r>
      <w:r w:rsidR="00731ADE">
        <w:rPr>
          <w:bCs/>
        </w:rPr>
        <w:t>d</w:t>
      </w:r>
      <w:r w:rsidR="00C15CAB" w:rsidRPr="00EB5C6F">
        <w:rPr>
          <w:bCs/>
        </w:rPr>
        <w:t xml:space="preserve">. The liquid and gaseous output is </w:t>
      </w:r>
      <w:r w:rsidR="004C63D4">
        <w:rPr>
          <w:bCs/>
        </w:rPr>
        <w:t>then</w:t>
      </w:r>
      <w:r w:rsidR="00C15CAB" w:rsidRPr="00EB5C6F">
        <w:rPr>
          <w:bCs/>
        </w:rPr>
        <w:t xml:space="preserve"> </w:t>
      </w:r>
      <w:proofErr w:type="spellStart"/>
      <w:r w:rsidR="00C15CAB" w:rsidRPr="00EB5C6F">
        <w:rPr>
          <w:bCs/>
        </w:rPr>
        <w:t>split</w:t>
      </w:r>
      <w:r w:rsidR="006C3E11">
        <w:rPr>
          <w:bCs/>
        </w:rPr>
        <w:t>ted</w:t>
      </w:r>
      <w:proofErr w:type="spellEnd"/>
      <w:r w:rsidR="00C15CAB" w:rsidRPr="00EB5C6F">
        <w:rPr>
          <w:bCs/>
        </w:rPr>
        <w:t xml:space="preserve"> in an ideal flash </w:t>
      </w:r>
      <w:r w:rsidR="00D35660" w:rsidRPr="00EB5C6F">
        <w:rPr>
          <w:bCs/>
        </w:rPr>
        <w:t xml:space="preserve">(Unit </w:t>
      </w:r>
      <w:r w:rsidR="00D35660">
        <w:rPr>
          <w:bCs/>
        </w:rPr>
        <w:t>3</w:t>
      </w:r>
      <w:r w:rsidR="00D35660" w:rsidRPr="00EB5C6F">
        <w:rPr>
          <w:bCs/>
        </w:rPr>
        <w:t>)</w:t>
      </w:r>
      <w:r w:rsidR="00D35660">
        <w:rPr>
          <w:bCs/>
        </w:rPr>
        <w:t xml:space="preserve"> </w:t>
      </w:r>
      <w:r w:rsidR="00C15CAB" w:rsidRPr="00EB5C6F">
        <w:rPr>
          <w:bCs/>
        </w:rPr>
        <w:t>operating at 35 °C.</w:t>
      </w:r>
      <w:r w:rsidR="009E0EA0">
        <w:rPr>
          <w:bCs/>
        </w:rPr>
        <w:t xml:space="preserve"> </w:t>
      </w:r>
    </w:p>
    <w:p w14:paraId="49922347" w14:textId="4ABCB95E" w:rsidR="00C15CAB" w:rsidRDefault="00C15CAB" w:rsidP="0054718B">
      <w:pPr>
        <w:pStyle w:val="Els-1storder-head"/>
        <w:numPr>
          <w:ilvl w:val="0"/>
          <w:numId w:val="0"/>
        </w:numPr>
        <w:spacing w:before="0" w:after="0"/>
        <w:rPr>
          <w:b w:val="0"/>
          <w:bCs/>
          <w:sz w:val="20"/>
        </w:rPr>
      </w:pPr>
      <w:r w:rsidRPr="00EB5C6F">
        <w:rPr>
          <w:b w:val="0"/>
          <w:bCs/>
          <w:sz w:val="20"/>
        </w:rPr>
        <w:t>The liquid output</w:t>
      </w:r>
      <w:r w:rsidR="00DF4F1B">
        <w:rPr>
          <w:b w:val="0"/>
          <w:bCs/>
          <w:sz w:val="20"/>
        </w:rPr>
        <w:t>,</w:t>
      </w:r>
      <w:r w:rsidRPr="00EB5C6F">
        <w:rPr>
          <w:b w:val="0"/>
          <w:bCs/>
          <w:sz w:val="20"/>
        </w:rPr>
        <w:t xml:space="preserve"> scrap tire pyrolysis oil (STPO)</w:t>
      </w:r>
      <w:r w:rsidR="00CD5FE4">
        <w:rPr>
          <w:b w:val="0"/>
          <w:bCs/>
          <w:sz w:val="20"/>
        </w:rPr>
        <w:t>,</w:t>
      </w:r>
      <w:r w:rsidR="00DF4F1B">
        <w:rPr>
          <w:b w:val="0"/>
          <w:bCs/>
          <w:sz w:val="20"/>
        </w:rPr>
        <w:t xml:space="preserve"> </w:t>
      </w:r>
      <w:r w:rsidRPr="00EB5C6F">
        <w:rPr>
          <w:b w:val="0"/>
          <w:bCs/>
          <w:sz w:val="20"/>
        </w:rPr>
        <w:t xml:space="preserve">is </w:t>
      </w:r>
      <w:r w:rsidR="005F0A69" w:rsidRPr="00EB5C6F">
        <w:rPr>
          <w:b w:val="0"/>
          <w:bCs/>
          <w:sz w:val="20"/>
        </w:rPr>
        <w:t>an</w:t>
      </w:r>
      <w:r w:rsidRPr="00EB5C6F">
        <w:rPr>
          <w:b w:val="0"/>
          <w:bCs/>
          <w:sz w:val="20"/>
        </w:rPr>
        <w:t xml:space="preserve"> oil composed of C</w:t>
      </w:r>
      <w:r w:rsidR="00D65401">
        <w:rPr>
          <w:b w:val="0"/>
          <w:bCs/>
          <w:sz w:val="20"/>
          <w:vertAlign w:val="subscript"/>
        </w:rPr>
        <w:t>5</w:t>
      </w:r>
      <w:r w:rsidRPr="00EB5C6F">
        <w:rPr>
          <w:b w:val="0"/>
          <w:bCs/>
          <w:sz w:val="20"/>
        </w:rPr>
        <w:t xml:space="preserve"> up to C</w:t>
      </w:r>
      <w:r w:rsidR="00D65401">
        <w:rPr>
          <w:b w:val="0"/>
          <w:bCs/>
          <w:sz w:val="20"/>
          <w:vertAlign w:val="subscript"/>
        </w:rPr>
        <w:t>20</w:t>
      </w:r>
      <w:r w:rsidRPr="00EB5C6F">
        <w:rPr>
          <w:b w:val="0"/>
          <w:bCs/>
          <w:sz w:val="20"/>
        </w:rPr>
        <w:t xml:space="preserve"> </w:t>
      </w:r>
      <w:r w:rsidR="00731ADE">
        <w:rPr>
          <w:b w:val="0"/>
          <w:bCs/>
          <w:sz w:val="20"/>
        </w:rPr>
        <w:t>molecules</w:t>
      </w:r>
      <w:r w:rsidRPr="00EB5C6F">
        <w:rPr>
          <w:b w:val="0"/>
          <w:bCs/>
          <w:sz w:val="20"/>
        </w:rPr>
        <w:t>.</w:t>
      </w:r>
      <w:r w:rsidR="00560B43">
        <w:rPr>
          <w:b w:val="0"/>
          <w:bCs/>
          <w:sz w:val="20"/>
        </w:rPr>
        <w:t xml:space="preserve"> The oil is characterized in cuts</w:t>
      </w:r>
      <w:r w:rsidR="00A03C68">
        <w:rPr>
          <w:b w:val="0"/>
          <w:bCs/>
          <w:sz w:val="20"/>
        </w:rPr>
        <w:t>, a</w:t>
      </w:r>
      <w:r w:rsidR="00560B43">
        <w:rPr>
          <w:b w:val="0"/>
          <w:bCs/>
          <w:sz w:val="20"/>
        </w:rPr>
        <w:t>ccording to carbon atoms number and normal boiling point (N.B.P.)</w:t>
      </w:r>
      <w:r w:rsidR="00A03C68">
        <w:rPr>
          <w:b w:val="0"/>
          <w:bCs/>
          <w:sz w:val="20"/>
        </w:rPr>
        <w:t>, and</w:t>
      </w:r>
      <w:r w:rsidR="00560B43">
        <w:rPr>
          <w:b w:val="0"/>
          <w:bCs/>
          <w:sz w:val="20"/>
        </w:rPr>
        <w:t xml:space="preserve"> </w:t>
      </w:r>
      <w:r w:rsidR="00A03C68">
        <w:rPr>
          <w:b w:val="0"/>
          <w:bCs/>
          <w:sz w:val="20"/>
        </w:rPr>
        <w:t>f</w:t>
      </w:r>
      <w:r w:rsidR="00560B43">
        <w:rPr>
          <w:b w:val="0"/>
          <w:bCs/>
          <w:sz w:val="20"/>
        </w:rPr>
        <w:t>unctional groups</w:t>
      </w:r>
      <w:r w:rsidR="00A03C68">
        <w:rPr>
          <w:b w:val="0"/>
          <w:bCs/>
          <w:sz w:val="20"/>
        </w:rPr>
        <w:t xml:space="preserve">. </w:t>
      </w:r>
      <w:r w:rsidR="00534FA5">
        <w:rPr>
          <w:b w:val="0"/>
          <w:bCs/>
          <w:sz w:val="20"/>
        </w:rPr>
        <w:t>The oil is</w:t>
      </w:r>
      <w:r w:rsidR="007A7009">
        <w:rPr>
          <w:b w:val="0"/>
          <w:bCs/>
          <w:sz w:val="20"/>
        </w:rPr>
        <w:t>,</w:t>
      </w:r>
      <w:r w:rsidR="00534FA5">
        <w:rPr>
          <w:b w:val="0"/>
          <w:bCs/>
          <w:sz w:val="20"/>
        </w:rPr>
        <w:t xml:space="preserve"> then</w:t>
      </w:r>
      <w:r w:rsidR="007A7009">
        <w:rPr>
          <w:b w:val="0"/>
          <w:bCs/>
          <w:sz w:val="20"/>
        </w:rPr>
        <w:t>,</w:t>
      </w:r>
      <w:r w:rsidR="00534FA5">
        <w:rPr>
          <w:b w:val="0"/>
          <w:bCs/>
          <w:sz w:val="20"/>
        </w:rPr>
        <w:t xml:space="preserve"> gro</w:t>
      </w:r>
      <w:r w:rsidR="007A7009">
        <w:rPr>
          <w:b w:val="0"/>
          <w:bCs/>
          <w:sz w:val="20"/>
        </w:rPr>
        <w:t>u</w:t>
      </w:r>
      <w:r w:rsidR="00534FA5">
        <w:rPr>
          <w:b w:val="0"/>
          <w:bCs/>
          <w:sz w:val="20"/>
        </w:rPr>
        <w:t xml:space="preserve">ped in </w:t>
      </w:r>
      <w:r w:rsidR="00A03C68">
        <w:rPr>
          <w:b w:val="0"/>
          <w:bCs/>
          <w:sz w:val="20"/>
        </w:rPr>
        <w:t>Gasoil, Diesel, Naphtha fractions</w:t>
      </w:r>
      <w:r w:rsidR="009F37BE">
        <w:rPr>
          <w:b w:val="0"/>
          <w:bCs/>
          <w:sz w:val="20"/>
        </w:rPr>
        <w:t xml:space="preserve"> </w:t>
      </w:r>
      <w:r w:rsidR="00A03C68">
        <w:rPr>
          <w:b w:val="0"/>
          <w:bCs/>
          <w:sz w:val="20"/>
        </w:rPr>
        <w:t>for the cuts and</w:t>
      </w:r>
      <w:r w:rsidR="00560B43">
        <w:rPr>
          <w:b w:val="0"/>
          <w:bCs/>
          <w:sz w:val="20"/>
        </w:rPr>
        <w:t xml:space="preserve"> Aromatics, </w:t>
      </w:r>
      <w:r w:rsidR="00905E4D">
        <w:rPr>
          <w:b w:val="0"/>
          <w:bCs/>
          <w:sz w:val="20"/>
        </w:rPr>
        <w:t>Naphthene</w:t>
      </w:r>
      <w:r w:rsidR="00560B43">
        <w:rPr>
          <w:b w:val="0"/>
          <w:bCs/>
          <w:sz w:val="20"/>
        </w:rPr>
        <w:t xml:space="preserve"> and Paraffines</w:t>
      </w:r>
      <w:r w:rsidR="00A03C68">
        <w:rPr>
          <w:b w:val="0"/>
          <w:bCs/>
          <w:sz w:val="20"/>
        </w:rPr>
        <w:t xml:space="preserve"> according to the different functional groups. </w:t>
      </w:r>
      <w:r w:rsidR="00CC47DD">
        <w:rPr>
          <w:b w:val="0"/>
          <w:bCs/>
          <w:sz w:val="20"/>
        </w:rPr>
        <w:t>Oil u</w:t>
      </w:r>
      <w:r w:rsidR="00A03C68" w:rsidRPr="00EB5C6F">
        <w:rPr>
          <w:b w:val="0"/>
          <w:bCs/>
          <w:sz w:val="20"/>
        </w:rPr>
        <w:t xml:space="preserve">pgrading treatments are </w:t>
      </w:r>
      <w:r w:rsidR="004C63D4">
        <w:rPr>
          <w:b w:val="0"/>
          <w:bCs/>
          <w:sz w:val="20"/>
        </w:rPr>
        <w:t xml:space="preserve">typically </w:t>
      </w:r>
      <w:r w:rsidR="00A03C68" w:rsidRPr="00EB5C6F">
        <w:rPr>
          <w:b w:val="0"/>
          <w:bCs/>
          <w:sz w:val="20"/>
        </w:rPr>
        <w:t>required</w:t>
      </w:r>
      <w:r w:rsidR="00F73127">
        <w:rPr>
          <w:b w:val="0"/>
          <w:bCs/>
          <w:sz w:val="20"/>
        </w:rPr>
        <w:t>,</w:t>
      </w:r>
      <w:r w:rsidR="00A03C68">
        <w:rPr>
          <w:b w:val="0"/>
          <w:bCs/>
          <w:sz w:val="20"/>
        </w:rPr>
        <w:t xml:space="preserve"> </w:t>
      </w:r>
      <w:r w:rsidR="00F73127">
        <w:rPr>
          <w:b w:val="0"/>
          <w:bCs/>
          <w:sz w:val="20"/>
        </w:rPr>
        <w:t>d</w:t>
      </w:r>
      <w:r w:rsidR="00A03C68">
        <w:rPr>
          <w:b w:val="0"/>
          <w:bCs/>
          <w:sz w:val="20"/>
        </w:rPr>
        <w:t xml:space="preserve">ue to the significant </w:t>
      </w:r>
      <w:proofErr w:type="gramStart"/>
      <w:r w:rsidR="00A03C68">
        <w:rPr>
          <w:b w:val="0"/>
          <w:bCs/>
          <w:sz w:val="20"/>
        </w:rPr>
        <w:t>amount</w:t>
      </w:r>
      <w:proofErr w:type="gramEnd"/>
      <w:r w:rsidR="00A03C68">
        <w:rPr>
          <w:b w:val="0"/>
          <w:bCs/>
          <w:sz w:val="20"/>
        </w:rPr>
        <w:t xml:space="preserve"> of Aromatics and Gasoil together with the relevant content of sulfur in the oil</w:t>
      </w:r>
      <w:r w:rsidRPr="00EB5C6F">
        <w:rPr>
          <w:b w:val="0"/>
          <w:bCs/>
          <w:sz w:val="20"/>
        </w:rPr>
        <w:t xml:space="preserve">. </w:t>
      </w:r>
      <w:r w:rsidR="00CD3024" w:rsidRPr="00EB5C6F">
        <w:rPr>
          <w:b w:val="0"/>
          <w:bCs/>
          <w:sz w:val="20"/>
        </w:rPr>
        <w:t>Indeed,</w:t>
      </w:r>
      <w:r w:rsidRPr="00EB5C6F">
        <w:rPr>
          <w:b w:val="0"/>
          <w:bCs/>
          <w:sz w:val="20"/>
        </w:rPr>
        <w:t xml:space="preserve"> the </w:t>
      </w:r>
      <w:r w:rsidR="004F63DC">
        <w:rPr>
          <w:b w:val="0"/>
          <w:bCs/>
          <w:sz w:val="20"/>
        </w:rPr>
        <w:t xml:space="preserve">liquid </w:t>
      </w:r>
      <w:r w:rsidRPr="00EB5C6F">
        <w:rPr>
          <w:b w:val="0"/>
          <w:bCs/>
          <w:sz w:val="20"/>
        </w:rPr>
        <w:t>stream is processed into a</w:t>
      </w:r>
      <w:r w:rsidR="009E0EA0">
        <w:rPr>
          <w:b w:val="0"/>
          <w:bCs/>
          <w:sz w:val="20"/>
        </w:rPr>
        <w:t xml:space="preserve"> catalytic</w:t>
      </w:r>
      <w:r w:rsidRPr="00EB5C6F">
        <w:rPr>
          <w:b w:val="0"/>
          <w:bCs/>
          <w:sz w:val="20"/>
        </w:rPr>
        <w:t xml:space="preserve"> hydrotreating </w:t>
      </w:r>
      <w:r w:rsidR="001B1486">
        <w:rPr>
          <w:b w:val="0"/>
          <w:bCs/>
          <w:sz w:val="20"/>
        </w:rPr>
        <w:t>reactor</w:t>
      </w:r>
      <w:r w:rsidR="009E0EA0">
        <w:rPr>
          <w:b w:val="0"/>
          <w:bCs/>
          <w:sz w:val="20"/>
        </w:rPr>
        <w:t xml:space="preserve"> (</w:t>
      </w:r>
      <w:r w:rsidR="00B52966">
        <w:rPr>
          <w:b w:val="0"/>
          <w:bCs/>
          <w:sz w:val="20"/>
        </w:rPr>
        <w:t>U</w:t>
      </w:r>
      <w:r w:rsidR="009E0EA0">
        <w:rPr>
          <w:b w:val="0"/>
          <w:bCs/>
          <w:sz w:val="20"/>
        </w:rPr>
        <w:t xml:space="preserve">nit </w:t>
      </w:r>
      <w:r w:rsidR="00B52966">
        <w:rPr>
          <w:b w:val="0"/>
          <w:bCs/>
          <w:sz w:val="20"/>
        </w:rPr>
        <w:t>4</w:t>
      </w:r>
      <w:r w:rsidR="009E0EA0">
        <w:rPr>
          <w:b w:val="0"/>
          <w:bCs/>
          <w:sz w:val="20"/>
        </w:rPr>
        <w:t>)</w:t>
      </w:r>
      <w:r w:rsidRPr="00EB5C6F">
        <w:rPr>
          <w:b w:val="0"/>
          <w:bCs/>
          <w:sz w:val="20"/>
        </w:rPr>
        <w:t xml:space="preserve">, operating at 65 </w:t>
      </w:r>
      <w:r w:rsidR="00CD3024" w:rsidRPr="00EB5C6F">
        <w:rPr>
          <w:b w:val="0"/>
          <w:bCs/>
          <w:sz w:val="20"/>
        </w:rPr>
        <w:t>bars</w:t>
      </w:r>
      <w:r w:rsidR="002D4D7D">
        <w:rPr>
          <w:b w:val="0"/>
          <w:bCs/>
          <w:sz w:val="20"/>
        </w:rPr>
        <w:t>, 375 °C</w:t>
      </w:r>
      <w:r w:rsidRPr="00EB5C6F">
        <w:rPr>
          <w:b w:val="0"/>
          <w:bCs/>
          <w:sz w:val="20"/>
        </w:rPr>
        <w:t xml:space="preserve"> </w:t>
      </w:r>
      <w:r w:rsidR="001B1486">
        <w:rPr>
          <w:b w:val="0"/>
          <w:bCs/>
          <w:sz w:val="20"/>
        </w:rPr>
        <w:t>and</w:t>
      </w:r>
      <w:r w:rsidRPr="00EB5C6F">
        <w:rPr>
          <w:b w:val="0"/>
          <w:bCs/>
          <w:sz w:val="20"/>
        </w:rPr>
        <w:t xml:space="preserve"> an </w:t>
      </w:r>
      <w:r w:rsidRPr="00731ADE">
        <w:rPr>
          <w:b w:val="0"/>
          <w:bCs/>
          <w:sz w:val="20"/>
        </w:rPr>
        <w:t>H</w:t>
      </w:r>
      <w:r w:rsidR="00731ADE">
        <w:rPr>
          <w:b w:val="0"/>
          <w:bCs/>
          <w:sz w:val="20"/>
          <w:vertAlign w:val="subscript"/>
        </w:rPr>
        <w:t>2</w:t>
      </w:r>
      <w:r w:rsidRPr="00EB5C6F">
        <w:rPr>
          <w:b w:val="0"/>
          <w:bCs/>
          <w:sz w:val="20"/>
        </w:rPr>
        <w:t>/</w:t>
      </w:r>
      <w:r w:rsidR="00731ADE">
        <w:rPr>
          <w:b w:val="0"/>
          <w:bCs/>
          <w:sz w:val="20"/>
        </w:rPr>
        <w:t>STPO</w:t>
      </w:r>
      <w:r w:rsidRPr="00EB5C6F">
        <w:rPr>
          <w:b w:val="0"/>
          <w:bCs/>
          <w:sz w:val="20"/>
        </w:rPr>
        <w:t xml:space="preserve"> ratio equal to 1000 Nm</w:t>
      </w:r>
      <w:r w:rsidR="00D65401">
        <w:rPr>
          <w:b w:val="0"/>
          <w:bCs/>
          <w:sz w:val="20"/>
          <w:vertAlign w:val="superscript"/>
        </w:rPr>
        <w:t>3</w:t>
      </w:r>
      <w:r w:rsidRPr="00EB5C6F">
        <w:rPr>
          <w:b w:val="0"/>
          <w:bCs/>
          <w:sz w:val="20"/>
        </w:rPr>
        <w:t>/m</w:t>
      </w:r>
      <w:r w:rsidR="00D65401">
        <w:rPr>
          <w:b w:val="0"/>
          <w:bCs/>
          <w:sz w:val="20"/>
          <w:vertAlign w:val="superscript"/>
        </w:rPr>
        <w:t>3</w:t>
      </w:r>
      <w:r w:rsidRPr="00EB5C6F">
        <w:rPr>
          <w:b w:val="0"/>
          <w:bCs/>
          <w:sz w:val="20"/>
        </w:rPr>
        <w:t xml:space="preserve">. The reaction occurs in presence of Ni/Mo </w:t>
      </w:r>
      <w:r w:rsidR="009E0EA0">
        <w:rPr>
          <w:b w:val="0"/>
          <w:bCs/>
          <w:sz w:val="20"/>
        </w:rPr>
        <w:t>ca</w:t>
      </w:r>
      <w:r w:rsidRPr="00EB5C6F">
        <w:rPr>
          <w:b w:val="0"/>
          <w:bCs/>
          <w:sz w:val="20"/>
        </w:rPr>
        <w:t>talyst over A</w:t>
      </w:r>
      <w:r w:rsidR="00905E4D">
        <w:rPr>
          <w:b w:val="0"/>
          <w:bCs/>
          <w:sz w:val="20"/>
        </w:rPr>
        <w:t>l</w:t>
      </w:r>
      <w:r w:rsidR="00905E4D">
        <w:rPr>
          <w:b w:val="0"/>
          <w:bCs/>
          <w:sz w:val="20"/>
          <w:vertAlign w:val="subscript"/>
        </w:rPr>
        <w:t>2</w:t>
      </w:r>
      <w:r w:rsidR="00905E4D">
        <w:rPr>
          <w:b w:val="0"/>
          <w:bCs/>
          <w:sz w:val="20"/>
        </w:rPr>
        <w:t>O</w:t>
      </w:r>
      <w:r w:rsidR="00905E4D">
        <w:rPr>
          <w:b w:val="0"/>
          <w:bCs/>
          <w:sz w:val="20"/>
          <w:vertAlign w:val="subscript"/>
        </w:rPr>
        <w:t>3</w:t>
      </w:r>
      <w:r w:rsidRPr="00EB5C6F">
        <w:rPr>
          <w:b w:val="0"/>
          <w:bCs/>
          <w:sz w:val="20"/>
        </w:rPr>
        <w:t xml:space="preserve"> </w:t>
      </w:r>
      <w:r w:rsidR="009E0EA0">
        <w:rPr>
          <w:b w:val="0"/>
          <w:bCs/>
          <w:sz w:val="20"/>
        </w:rPr>
        <w:t>support</w:t>
      </w:r>
      <w:r w:rsidRPr="00EB5C6F">
        <w:rPr>
          <w:b w:val="0"/>
          <w:bCs/>
          <w:sz w:val="20"/>
        </w:rPr>
        <w:t xml:space="preserve">. The time of stream is set </w:t>
      </w:r>
      <w:r w:rsidR="00AB09CE">
        <w:rPr>
          <w:b w:val="0"/>
          <w:bCs/>
          <w:sz w:val="20"/>
        </w:rPr>
        <w:t>equal to</w:t>
      </w:r>
      <w:r w:rsidRPr="00EB5C6F">
        <w:rPr>
          <w:b w:val="0"/>
          <w:bCs/>
          <w:sz w:val="20"/>
        </w:rPr>
        <w:t xml:space="preserve"> 8 h and the space time </w:t>
      </w:r>
      <w:r w:rsidR="00731ADE">
        <w:rPr>
          <w:b w:val="0"/>
          <w:bCs/>
          <w:sz w:val="20"/>
        </w:rPr>
        <w:t>equal</w:t>
      </w:r>
      <w:r w:rsidRPr="00EB5C6F">
        <w:rPr>
          <w:b w:val="0"/>
          <w:bCs/>
          <w:sz w:val="20"/>
        </w:rPr>
        <w:t xml:space="preserve"> to 0.5</w:t>
      </w:r>
      <w:r w:rsidR="00B51011">
        <w:rPr>
          <w:b w:val="0"/>
          <w:bCs/>
          <w:sz w:val="20"/>
        </w:rPr>
        <w:t xml:space="preserve"> </w:t>
      </w:r>
      <w:proofErr w:type="spellStart"/>
      <w:r w:rsidR="00B51011">
        <w:rPr>
          <w:b w:val="0"/>
          <w:bCs/>
          <w:sz w:val="20"/>
        </w:rPr>
        <w:t>g</w:t>
      </w:r>
      <w:r w:rsidR="00B51011">
        <w:rPr>
          <w:b w:val="0"/>
          <w:bCs/>
          <w:sz w:val="20"/>
          <w:vertAlign w:val="subscript"/>
        </w:rPr>
        <w:t>cat</w:t>
      </w:r>
      <w:proofErr w:type="spellEnd"/>
      <w:r w:rsidR="006224C0">
        <w:rPr>
          <w:b w:val="0"/>
          <w:bCs/>
          <w:sz w:val="20"/>
          <w:vertAlign w:val="subscript"/>
        </w:rPr>
        <w:t xml:space="preserve"> </w:t>
      </w:r>
      <w:r w:rsidR="005269EA">
        <w:rPr>
          <w:b w:val="0"/>
          <w:bCs/>
          <w:sz w:val="20"/>
        </w:rPr>
        <w:t>h/</w:t>
      </w:r>
      <w:proofErr w:type="spellStart"/>
      <w:r w:rsidR="006224C0">
        <w:rPr>
          <w:b w:val="0"/>
          <w:bCs/>
          <w:sz w:val="20"/>
        </w:rPr>
        <w:t>g</w:t>
      </w:r>
      <w:r w:rsidR="006224C0">
        <w:rPr>
          <w:b w:val="0"/>
          <w:bCs/>
          <w:sz w:val="20"/>
          <w:vertAlign w:val="subscript"/>
        </w:rPr>
        <w:t>feed</w:t>
      </w:r>
      <w:proofErr w:type="spellEnd"/>
      <w:r w:rsidRPr="00EB5C6F">
        <w:rPr>
          <w:b w:val="0"/>
          <w:bCs/>
          <w:sz w:val="20"/>
        </w:rPr>
        <w:t>.</w:t>
      </w:r>
      <w:r w:rsidR="00B43810">
        <w:rPr>
          <w:b w:val="0"/>
          <w:bCs/>
          <w:sz w:val="20"/>
        </w:rPr>
        <w:t xml:space="preserve"> Reaction conditions have been selected in accordance with literature to keep hydrogen content inside the liquid constant </w:t>
      </w:r>
      <w:r w:rsidR="00EE3A18">
        <w:rPr>
          <w:b w:val="0"/>
          <w:bCs/>
          <w:sz w:val="20"/>
        </w:rPr>
        <w:t>in</w:t>
      </w:r>
      <w:r w:rsidR="00B43810">
        <w:rPr>
          <w:b w:val="0"/>
          <w:bCs/>
          <w:sz w:val="20"/>
        </w:rPr>
        <w:t xml:space="preserve"> the unit, and to favor the conversion of </w:t>
      </w:r>
      <w:r w:rsidR="002901B4">
        <w:rPr>
          <w:b w:val="0"/>
          <w:bCs/>
          <w:sz w:val="20"/>
        </w:rPr>
        <w:t>ST</w:t>
      </w:r>
      <w:r w:rsidR="003F73E5">
        <w:rPr>
          <w:b w:val="0"/>
          <w:bCs/>
          <w:sz w:val="20"/>
        </w:rPr>
        <w:t>PO</w:t>
      </w:r>
      <w:r w:rsidR="00B43810">
        <w:rPr>
          <w:b w:val="0"/>
          <w:bCs/>
          <w:sz w:val="20"/>
        </w:rPr>
        <w:t xml:space="preserve">. </w:t>
      </w:r>
      <w:r w:rsidR="009E0EA0">
        <w:rPr>
          <w:b w:val="0"/>
          <w:bCs/>
          <w:sz w:val="20"/>
        </w:rPr>
        <w:t xml:space="preserve">Inside the unit three main reactions occurs: </w:t>
      </w:r>
      <w:r w:rsidR="000B1B1C">
        <w:rPr>
          <w:b w:val="0"/>
          <w:bCs/>
          <w:sz w:val="20"/>
        </w:rPr>
        <w:t>Hydrocracking</w:t>
      </w:r>
      <w:r w:rsidR="009E0EA0">
        <w:rPr>
          <w:b w:val="0"/>
          <w:bCs/>
          <w:sz w:val="20"/>
        </w:rPr>
        <w:t xml:space="preserve"> (HC), </w:t>
      </w:r>
      <w:proofErr w:type="spellStart"/>
      <w:r w:rsidR="009E0EA0">
        <w:rPr>
          <w:b w:val="0"/>
          <w:bCs/>
          <w:sz w:val="20"/>
        </w:rPr>
        <w:t>Hydrodearomatization</w:t>
      </w:r>
      <w:proofErr w:type="spellEnd"/>
      <w:r w:rsidR="009E0EA0">
        <w:rPr>
          <w:b w:val="0"/>
          <w:bCs/>
          <w:sz w:val="20"/>
        </w:rPr>
        <w:t xml:space="preserve"> (HDA) and Hydrodesulfurization </w:t>
      </w:r>
      <w:r w:rsidR="00CD3024">
        <w:rPr>
          <w:b w:val="0"/>
          <w:bCs/>
          <w:sz w:val="20"/>
        </w:rPr>
        <w:t>(HDS)</w:t>
      </w:r>
      <w:r w:rsidR="0070442F">
        <w:rPr>
          <w:b w:val="0"/>
          <w:bCs/>
          <w:sz w:val="20"/>
        </w:rPr>
        <w:t xml:space="preserve"> </w:t>
      </w:r>
      <w:r w:rsidR="00490B4A" w:rsidRPr="00E87B43">
        <w:rPr>
          <w:b w:val="0"/>
          <w:bCs/>
          <w:sz w:val="20"/>
        </w:rPr>
        <w:fldChar w:fldCharType="begin"/>
      </w:r>
      <w:r w:rsidR="00490B4A" w:rsidRPr="00E87B43">
        <w:rPr>
          <w:b w:val="0"/>
          <w:bCs/>
          <w:sz w:val="20"/>
        </w:rPr>
        <w:instrText xml:space="preserve"> ADDIN ZOTERO_ITEM CSL_CITATION {"citationID":"A0L65Opc","properties":{"formattedCitation":"(Hita et al., 2015)","plainCitation":"(Hita et al., 2015)","noteIndex":0},"citationItems":[{"id":17,"uris":["http://zotero.org/users/local/4x05yQb7/items/IJT7QQF8"],"itemData":{"id":17,"type":"article-journal","container-title":"Energy &amp; Fuels","DOI":"10.1021/acs.energyfuels.5b01502","ISSN":"0887-0624","issue":"11","journalAbbreviation":"Energy Fuels","note":"publisher: American Chemical Society","page":"7542-7553","source":"pubs.acs.org (Atypon)","title":"Kinetic Modeling of the Hydrotreating and Hydrocracking Stages for Upgrading Scrap Tires Pyrolysis Oil (STPO) toward High-Quality Fuels","volume":"29","author":[{"family":"Hita","given":"Idoia"},{"family":"Aguayo","given":"Andrés T."},{"family":"Olazar","given":"Martin"},{"family":"Azkoiti","given":"Miren J."},{"family":"Bilbao","given":"Javier"},{"family":"Arandes","given":"José M."},{"family":"Castaño","given":"Pedro"}],"issued":{"date-parts":[["2015",11,19]]}}}],"schema":"https://github.com/citation-style-language/schema/raw/master/csl-citation.json"} </w:instrText>
      </w:r>
      <w:r w:rsidR="00490B4A" w:rsidRPr="00E87B43">
        <w:rPr>
          <w:b w:val="0"/>
          <w:bCs/>
          <w:sz w:val="20"/>
        </w:rPr>
        <w:fldChar w:fldCharType="separate"/>
      </w:r>
      <w:r w:rsidR="00E87B43" w:rsidRPr="00E87B43">
        <w:rPr>
          <w:b w:val="0"/>
          <w:bCs/>
          <w:sz w:val="20"/>
        </w:rPr>
        <w:t>(Hita et al., 2015)</w:t>
      </w:r>
      <w:r w:rsidR="00490B4A" w:rsidRPr="00E87B43">
        <w:rPr>
          <w:b w:val="0"/>
          <w:bCs/>
          <w:sz w:val="20"/>
        </w:rPr>
        <w:fldChar w:fldCharType="end"/>
      </w:r>
      <w:r w:rsidR="009E0EA0" w:rsidRPr="00C867F3">
        <w:rPr>
          <w:b w:val="0"/>
          <w:bCs/>
          <w:sz w:val="20"/>
        </w:rPr>
        <w:t>.</w:t>
      </w:r>
      <w:r w:rsidR="009E0EA0">
        <w:rPr>
          <w:b w:val="0"/>
          <w:bCs/>
          <w:sz w:val="20"/>
        </w:rPr>
        <w:t xml:space="preserve"> </w:t>
      </w:r>
      <w:r w:rsidR="00DF4F1B">
        <w:rPr>
          <w:b w:val="0"/>
          <w:bCs/>
          <w:sz w:val="20"/>
        </w:rPr>
        <w:t xml:space="preserve">The hydrotreating unit is modelled in </w:t>
      </w:r>
      <w:r w:rsidR="000226A8">
        <w:rPr>
          <w:b w:val="0"/>
          <w:bCs/>
          <w:sz w:val="20"/>
        </w:rPr>
        <w:t>MATLAB</w:t>
      </w:r>
      <w:r w:rsidR="00DF4F1B">
        <w:rPr>
          <w:b w:val="0"/>
          <w:bCs/>
          <w:sz w:val="20"/>
        </w:rPr>
        <w:t xml:space="preserve"> following the lumped kinetics scheme for HC and </w:t>
      </w:r>
      <w:r w:rsidR="007D49C8">
        <w:rPr>
          <w:b w:val="0"/>
          <w:bCs/>
          <w:sz w:val="20"/>
        </w:rPr>
        <w:t xml:space="preserve">HDA. </w:t>
      </w:r>
      <w:r w:rsidR="00DF4F1B">
        <w:rPr>
          <w:b w:val="0"/>
          <w:bCs/>
          <w:sz w:val="20"/>
        </w:rPr>
        <w:t>The HDS</w:t>
      </w:r>
      <w:r w:rsidR="00731ADE">
        <w:rPr>
          <w:b w:val="0"/>
          <w:bCs/>
          <w:sz w:val="20"/>
        </w:rPr>
        <w:t xml:space="preserve"> reaction</w:t>
      </w:r>
      <w:r w:rsidR="00DF4F1B">
        <w:rPr>
          <w:b w:val="0"/>
          <w:bCs/>
          <w:sz w:val="20"/>
        </w:rPr>
        <w:t xml:space="preserve"> has not been simulated due to lack in kinetics. Although according to literature benzothiazole</w:t>
      </w:r>
      <w:r w:rsidR="00C01C79">
        <w:rPr>
          <w:b w:val="0"/>
          <w:bCs/>
          <w:sz w:val="20"/>
        </w:rPr>
        <w:t>, selected as representative sulfur contaminant in the liquid product</w:t>
      </w:r>
      <w:r w:rsidR="00DC569D">
        <w:rPr>
          <w:b w:val="0"/>
          <w:bCs/>
          <w:sz w:val="20"/>
        </w:rPr>
        <w:t>,</w:t>
      </w:r>
      <w:r w:rsidR="00DF4F1B">
        <w:rPr>
          <w:b w:val="0"/>
          <w:bCs/>
          <w:sz w:val="20"/>
        </w:rPr>
        <w:t xml:space="preserve"> is easily converted due to the low amount of carbon atoms. Sulfur </w:t>
      </w:r>
      <w:r w:rsidR="006A7DFD">
        <w:rPr>
          <w:b w:val="0"/>
          <w:bCs/>
          <w:sz w:val="20"/>
        </w:rPr>
        <w:t>conversion has</w:t>
      </w:r>
      <w:r w:rsidR="00EC6356">
        <w:rPr>
          <w:b w:val="0"/>
          <w:bCs/>
          <w:sz w:val="20"/>
        </w:rPr>
        <w:t xml:space="preserve"> been set </w:t>
      </w:r>
      <w:r w:rsidR="00B43810">
        <w:rPr>
          <w:b w:val="0"/>
          <w:bCs/>
          <w:sz w:val="20"/>
        </w:rPr>
        <w:t xml:space="preserve">equal to </w:t>
      </w:r>
      <w:r w:rsidR="00662129">
        <w:rPr>
          <w:b w:val="0"/>
          <w:bCs/>
          <w:sz w:val="20"/>
        </w:rPr>
        <w:t>8</w:t>
      </w:r>
      <w:r w:rsidR="00B43810">
        <w:rPr>
          <w:b w:val="0"/>
          <w:bCs/>
          <w:sz w:val="20"/>
        </w:rPr>
        <w:t xml:space="preserve">0 </w:t>
      </w:r>
      <w:proofErr w:type="spellStart"/>
      <w:r w:rsidR="00D70312">
        <w:rPr>
          <w:b w:val="0"/>
          <w:bCs/>
          <w:sz w:val="20"/>
        </w:rPr>
        <w:t>w.t.</w:t>
      </w:r>
      <w:proofErr w:type="spellEnd"/>
      <w:r w:rsidR="00B43810">
        <w:rPr>
          <w:b w:val="0"/>
          <w:bCs/>
          <w:sz w:val="20"/>
        </w:rPr>
        <w:t xml:space="preserve">% of the </w:t>
      </w:r>
      <w:r w:rsidR="00CD3024">
        <w:rPr>
          <w:b w:val="0"/>
          <w:bCs/>
          <w:sz w:val="20"/>
        </w:rPr>
        <w:t>total</w:t>
      </w:r>
      <w:r w:rsidR="00B43810">
        <w:rPr>
          <w:b w:val="0"/>
          <w:bCs/>
          <w:sz w:val="20"/>
        </w:rPr>
        <w:t xml:space="preserve"> amount fed</w:t>
      </w:r>
      <w:r w:rsidR="006A7DFD">
        <w:rPr>
          <w:b w:val="0"/>
          <w:bCs/>
          <w:sz w:val="20"/>
        </w:rPr>
        <w:t>.</w:t>
      </w:r>
      <w:r w:rsidR="00DF4F1B">
        <w:rPr>
          <w:b w:val="0"/>
          <w:bCs/>
          <w:sz w:val="20"/>
        </w:rPr>
        <w:t xml:space="preserve"> H</w:t>
      </w:r>
      <w:r w:rsidR="00A50184">
        <w:rPr>
          <w:b w:val="0"/>
          <w:bCs/>
          <w:sz w:val="20"/>
          <w:vertAlign w:val="subscript"/>
        </w:rPr>
        <w:t>2</w:t>
      </w:r>
      <w:r w:rsidR="00A50184">
        <w:rPr>
          <w:b w:val="0"/>
          <w:bCs/>
          <w:sz w:val="20"/>
        </w:rPr>
        <w:t>S</w:t>
      </w:r>
      <w:r w:rsidR="00DF4F1B">
        <w:rPr>
          <w:b w:val="0"/>
          <w:bCs/>
          <w:sz w:val="20"/>
        </w:rPr>
        <w:t xml:space="preserve"> production has been estimated according to the </w:t>
      </w:r>
      <w:r w:rsidR="001943A0">
        <w:rPr>
          <w:b w:val="0"/>
          <w:bCs/>
          <w:sz w:val="20"/>
        </w:rPr>
        <w:t xml:space="preserve">elemental </w:t>
      </w:r>
      <w:r w:rsidR="009844A1">
        <w:rPr>
          <w:b w:val="0"/>
          <w:bCs/>
          <w:sz w:val="20"/>
        </w:rPr>
        <w:t>stoichiometric</w:t>
      </w:r>
      <w:r w:rsidR="004874D2">
        <w:rPr>
          <w:b w:val="0"/>
          <w:bCs/>
          <w:sz w:val="20"/>
        </w:rPr>
        <w:t xml:space="preserve"> reaction among hydrogen and sulfur</w:t>
      </w:r>
      <w:r w:rsidR="001943A0">
        <w:rPr>
          <w:b w:val="0"/>
          <w:bCs/>
          <w:sz w:val="20"/>
        </w:rPr>
        <w:t>.</w:t>
      </w:r>
      <w:r w:rsidR="008B617A">
        <w:rPr>
          <w:b w:val="0"/>
          <w:bCs/>
          <w:sz w:val="20"/>
        </w:rPr>
        <w:t xml:space="preserve"> </w:t>
      </w:r>
    </w:p>
    <w:p w14:paraId="4CD4DC6A" w14:textId="48D82B71" w:rsidR="00D025EB" w:rsidRDefault="00D025EB" w:rsidP="0025535C">
      <w:pPr>
        <w:pStyle w:val="Els-body-text"/>
        <w:tabs>
          <w:tab w:val="center" w:pos="3543"/>
        </w:tabs>
      </w:pPr>
      <w:r>
        <w:t xml:space="preserve">Globally an upgraded oil is obtained, by lowering the </w:t>
      </w:r>
      <w:r w:rsidR="007942C3">
        <w:t>A</w:t>
      </w:r>
      <w:r>
        <w:t xml:space="preserve">romatic and </w:t>
      </w:r>
      <w:r w:rsidR="007942C3">
        <w:t>G</w:t>
      </w:r>
      <w:r>
        <w:t xml:space="preserve">asoil content and increasing the </w:t>
      </w:r>
      <w:r w:rsidR="007942C3">
        <w:t>P</w:t>
      </w:r>
      <w:r>
        <w:t xml:space="preserve">araffine and </w:t>
      </w:r>
      <w:r w:rsidR="007942C3">
        <w:t>D</w:t>
      </w:r>
      <w:r>
        <w:t>iesel fraction of the fuel.</w:t>
      </w:r>
      <w:r w:rsidR="00E2239F">
        <w:t xml:space="preserve"> </w:t>
      </w:r>
    </w:p>
    <w:p w14:paraId="180A50DE" w14:textId="1C79723D" w:rsidR="0025535C" w:rsidRPr="009A24B3" w:rsidRDefault="00D025EB" w:rsidP="00031A56">
      <w:pPr>
        <w:pStyle w:val="Els-body-text"/>
        <w:tabs>
          <w:tab w:val="center" w:pos="3543"/>
        </w:tabs>
        <w:rPr>
          <w:color w:val="FF0000"/>
        </w:rPr>
      </w:pPr>
      <w:r>
        <w:t xml:space="preserve">The hydrogen consumption in the hydrotreating unit is estimated adopting semi-empirical strategies </w:t>
      </w:r>
      <w:r w:rsidR="001056C7">
        <w:fldChar w:fldCharType="begin"/>
      </w:r>
      <w:r w:rsidR="001056C7">
        <w:instrText xml:space="preserve"> ADDIN ZOTERO_ITEM CSL_CITATION {"citationID":"ita9lF0f","properties":{"formattedCitation":"(Casta\\uc0\\u241{}eda et al., 2011)","plainCitation":"(Castañeda et al., 2011)","noteIndex":0},"citationItems":[{"id":19,"uris":["http://zotero.org/users/local/4x05yQb7/items/DJVU38ST"],"itemData":{"id":19,"type":"article-journal","abstract":"Different approaches to calculate the hydrogen consumption during hydrotreating of petroleum fractions are reviewed and discussed. Experimental information about the hydrotreating of various distillates (naphtha, light and heavy gasoils, atmospheric and vacuum residues) obtained in a bench-scale unit at typical operating conditions and commercial catalysts was used to determine the hydrogen consumption from global hydrogen balance and from the hydrogen balance in gas streams. The comparison of experimental hydrogen consumption calculated with the different approaches indicates that there is not a method that can predict hydrogen consumption with good accuracy. For quick calculation some correlations can be used, but the error can be as high as 15%. The common approach used in refineries, which does not take into account the dissolved hydrogen in the hydrotreated liquid, can give deviations up to 6% with respect to the experimental value. To account for this dissolved hydrogen into the balance all the correlations reported in the literature are suitable.","collection-title":"Environmental Modeling of Catalytic Reactions in the Oil Refining Industry","container-title":"Fuel","DOI":"10.1016/j.fuel.2010.11.047","ISSN":"0016-2361","issue":"12","journalAbbreviation":"Fuel","page":"3593-3601","source":"ScienceDirect","title":"Comparison of approaches to determine hydrogen consumption during catalytic hydrotreating of oil fractions","volume":"90","author":[{"family":"Castañeda","given":"L. C."},{"family":"Muñoz","given":"J. A. D."},{"family":"Ancheyta","given":"J."}],"issued":{"date-parts":[["2011",12,1]]}}}],"schema":"https://github.com/citation-style-language/schema/raw/master/csl-citation.json"} </w:instrText>
      </w:r>
      <w:r w:rsidR="001056C7">
        <w:fldChar w:fldCharType="separate"/>
      </w:r>
      <w:r w:rsidR="00E87B43" w:rsidRPr="00E87B43">
        <w:rPr>
          <w:szCs w:val="24"/>
        </w:rPr>
        <w:t>(Castañeda et al., 2011)</w:t>
      </w:r>
      <w:r w:rsidR="001056C7">
        <w:fldChar w:fldCharType="end"/>
      </w:r>
      <w:r>
        <w:t xml:space="preserve">. Hydrogen consumption is simply a function of the abatement efficiency of the unit. </w:t>
      </w:r>
      <w:r w:rsidRPr="00A50771">
        <w:t xml:space="preserve">In this first approach, it is </w:t>
      </w:r>
      <w:r w:rsidR="00FA1813" w:rsidRPr="00A50771">
        <w:t>based on</w:t>
      </w:r>
      <w:r w:rsidRPr="00A50771">
        <w:t xml:space="preserve"> the </w:t>
      </w:r>
      <w:r w:rsidR="004C63D4" w:rsidRPr="00A50771">
        <w:t>amount</w:t>
      </w:r>
      <w:r w:rsidRPr="00A50771">
        <w:t xml:space="preserve"> of sulfur and </w:t>
      </w:r>
      <w:r w:rsidR="00454E64">
        <w:t>A</w:t>
      </w:r>
      <w:r w:rsidRPr="00A50771">
        <w:t>romatics converted.</w:t>
      </w:r>
      <w:r w:rsidR="0025535C" w:rsidRPr="00A50771">
        <w:tab/>
      </w:r>
    </w:p>
    <w:p w14:paraId="1E49EC31" w14:textId="453490C6" w:rsidR="002D7040" w:rsidRDefault="00B43810" w:rsidP="00B43810">
      <w:pPr>
        <w:pStyle w:val="Els-body-text"/>
        <w:rPr>
          <w:color w:val="000000" w:themeColor="text1"/>
        </w:rPr>
      </w:pPr>
      <w:r w:rsidRPr="00474D02">
        <w:t>The gaseous stream obtained down the pyrolysis is mainly composed by H</w:t>
      </w:r>
      <w:r w:rsidR="00905E4D" w:rsidRPr="00474D02">
        <w:rPr>
          <w:vertAlign w:val="subscript"/>
        </w:rPr>
        <w:t>2</w:t>
      </w:r>
      <w:r w:rsidR="00CD3024" w:rsidRPr="00474D02">
        <w:t xml:space="preserve">, </w:t>
      </w:r>
      <w:proofErr w:type="spellStart"/>
      <w:r w:rsidR="00CD3024" w:rsidRPr="00474D02">
        <w:t>CO</w:t>
      </w:r>
      <w:r w:rsidR="00905E4D" w:rsidRPr="00474D02">
        <w:rPr>
          <w:vertAlign w:val="subscript"/>
        </w:rPr>
        <w:t>x</w:t>
      </w:r>
      <w:proofErr w:type="spellEnd"/>
      <w:r w:rsidRPr="00474D02">
        <w:t>, light hydrocarbons (</w:t>
      </w:r>
      <w:r w:rsidR="00905E4D" w:rsidRPr="00474D02">
        <w:t>i.e.,</w:t>
      </w:r>
      <w:r w:rsidRPr="00474D02">
        <w:t xml:space="preserve"> C</w:t>
      </w:r>
      <w:r w:rsidR="00905E4D" w:rsidRPr="00474D02">
        <w:rPr>
          <w:vertAlign w:val="subscript"/>
        </w:rPr>
        <w:t>1</w:t>
      </w:r>
      <w:r w:rsidRPr="00474D02">
        <w:t>-C</w:t>
      </w:r>
      <w:r w:rsidR="00905E4D" w:rsidRPr="00474D02">
        <w:rPr>
          <w:vertAlign w:val="subscript"/>
        </w:rPr>
        <w:t>4</w:t>
      </w:r>
      <w:r w:rsidRPr="00474D02">
        <w:t xml:space="preserve">) and </w:t>
      </w:r>
      <w:r w:rsidR="004C63D4" w:rsidRPr="00474D02">
        <w:t>H</w:t>
      </w:r>
      <w:r w:rsidR="004C63D4" w:rsidRPr="00474D02">
        <w:rPr>
          <w:vertAlign w:val="subscript"/>
        </w:rPr>
        <w:t>2</w:t>
      </w:r>
      <w:r w:rsidR="004C63D4" w:rsidRPr="00474D02">
        <w:t>S</w:t>
      </w:r>
      <w:r w:rsidRPr="00474D02">
        <w:t xml:space="preserve"> as contaminant. </w:t>
      </w:r>
      <w:r w:rsidR="009C55D4" w:rsidRPr="00474D02">
        <w:t xml:space="preserve">The stream is mixed with a recycle rich in hydrogen, </w:t>
      </w:r>
      <w:r w:rsidR="00CD3024" w:rsidRPr="00474D02">
        <w:t>exiting</w:t>
      </w:r>
      <w:r w:rsidR="009C55D4" w:rsidRPr="00474D02">
        <w:t xml:space="preserve"> from </w:t>
      </w:r>
      <w:r w:rsidR="00D11955">
        <w:t>the hydrogen recovery unit</w:t>
      </w:r>
      <w:r w:rsidR="009C55D4" w:rsidRPr="00474D02">
        <w:t xml:space="preserve"> (</w:t>
      </w:r>
      <w:r w:rsidR="00B52966" w:rsidRPr="00474D02">
        <w:t>U</w:t>
      </w:r>
      <w:r w:rsidR="009C55D4" w:rsidRPr="00474D02">
        <w:t>nit</w:t>
      </w:r>
      <w:r w:rsidR="00B52966" w:rsidRPr="00474D02">
        <w:t xml:space="preserve"> 6</w:t>
      </w:r>
      <w:r w:rsidR="009C55D4" w:rsidRPr="00474D02">
        <w:t>)</w:t>
      </w:r>
      <w:r w:rsidR="00562325" w:rsidRPr="00474D02">
        <w:t>. The mixture is</w:t>
      </w:r>
      <w:r w:rsidR="009C55D4" w:rsidRPr="00474D02">
        <w:t xml:space="preserve"> compressed </w:t>
      </w:r>
      <w:r w:rsidR="00E31D78" w:rsidRPr="00474D02">
        <w:t xml:space="preserve">and </w:t>
      </w:r>
      <w:r w:rsidR="009C55D4" w:rsidRPr="00474D02">
        <w:t>cooled at 35</w:t>
      </w:r>
      <w:r w:rsidR="00A27369">
        <w:t xml:space="preserve"> </w:t>
      </w:r>
      <w:r w:rsidR="009C55D4" w:rsidRPr="00474D02">
        <w:t xml:space="preserve">°C and 8 bar and sent to a membrane (Unit </w:t>
      </w:r>
      <w:r w:rsidR="00B52966" w:rsidRPr="00474D02">
        <w:t>5</w:t>
      </w:r>
      <w:r w:rsidR="009C55D4" w:rsidRPr="00474D02">
        <w:t xml:space="preserve">) for the separation of hydrogen. </w:t>
      </w:r>
      <w:r w:rsidR="007A531F">
        <w:t>Sepa</w:t>
      </w:r>
      <w:r w:rsidR="003342BF">
        <w:t>ration occurs thanks to h</w:t>
      </w:r>
      <w:r w:rsidR="0032394F">
        <w:t>igh se</w:t>
      </w:r>
      <w:r w:rsidR="007A531F">
        <w:t>lective membrane</w:t>
      </w:r>
      <w:r w:rsidR="003D56F8">
        <w:t xml:space="preserve"> (i.e., </w:t>
      </w:r>
      <w:proofErr w:type="spellStart"/>
      <w:r w:rsidR="003D56F8">
        <w:t>Matrimid</w:t>
      </w:r>
      <w:proofErr w:type="spellEnd"/>
      <w:r w:rsidR="003D56F8">
        <w:t xml:space="preserve"> 5218)</w:t>
      </w:r>
      <w:r w:rsidR="0007636C">
        <w:t>,</w:t>
      </w:r>
      <w:r w:rsidR="007A531F">
        <w:t xml:space="preserve"> </w:t>
      </w:r>
      <w:r w:rsidR="003342BF">
        <w:t>that can perform a complete remo</w:t>
      </w:r>
      <w:r w:rsidR="0056787F">
        <w:t>val of hydrogen</w:t>
      </w:r>
      <w:r w:rsidR="005437E7">
        <w:t xml:space="preserve"> </w:t>
      </w:r>
      <w:r w:rsidR="005437E7">
        <w:fldChar w:fldCharType="begin"/>
      </w:r>
      <w:r w:rsidR="005437E7">
        <w:instrText xml:space="preserve"> ADDIN ZOTERO_ITEM CSL_CITATION {"citationID":"xkD8E3ER","properties":{"formattedCitation":"(Scholes et al., 2011)","plainCitation":"(Scholes et al., 2011)","noteIndex":0},"citationItems":[{"id":22,"uris":["http://zotero.org/users/local/4x05yQb7/items/LRN3VFLZ"],"itemData":{"id":22,"type":"article-journal","abstract":"Multi-component gas systems can have a significant influence on the separation performance of polymeric gas separation membranes for carbon capture. CO2 permeability in Matrimid 5218 membranes is reported here for a laboratory grade CO2/N2 gas mixture, as well as when H2S and CO are present at ppm concentrations. The competitive sorption effects of N2, H2S and CO reduce the permeability of CO2 in Matrimid compared to the pure gas system. Asymmetric flat sheet Matrimid 5218 membranes were also tested on industrial unshifted syngas, as part of the CO2CRC Mulgrave capture project. For this multi-gas application, minor components such as H2S, water and hydrocarbons, in addition to the significant quantities of CO, N2 and H2, all serve to reduce CO2 permeance. However, partly as a consequence of this competitive sorption, the membrane displays relatively good H2 permeance and selectivity, in the mixed gas environment. Such a membrane might be useful in reducing the gas volumes processed in a downstream solvent absorption step, or might be used in a membrane reactor as part of the water gas shift reaction.","collection-title":"10th International Conference on Greenhouse Gas Control Technologies","container-title":"Energy Procedia","DOI":"10.1016/j.egypro.2011.01.105","ISSN":"1876-6102","journalAbbreviation":"Energy Procedia","page":"681-687","source":"ScienceDirect","title":"The effects of minor components on the gas separation performance of membranes for carbon capture","volume":"4","author":[{"family":"Scholes","given":"Colin A."},{"family":"Chen","given":"George Q."},{"family":"Tao","given":"Wen X."},{"family":"Bacus","given":"Joannelle"},{"family":"Anderson","given":"Clare"},{"family":"Stevens","given":"Geoff W."},{"family":"Kentish","given":"Sandra E."}],"issued":{"date-parts":[["2011",1,1]]}}}],"schema":"https://github.com/citation-style-language/schema/raw/master/csl-citation.json"} </w:instrText>
      </w:r>
      <w:r w:rsidR="005437E7">
        <w:fldChar w:fldCharType="separate"/>
      </w:r>
      <w:r w:rsidR="00E87B43" w:rsidRPr="00E87B43">
        <w:t>(Scholes et al., 2011)</w:t>
      </w:r>
      <w:r w:rsidR="005437E7">
        <w:fldChar w:fldCharType="end"/>
      </w:r>
      <w:r w:rsidR="0056787F">
        <w:t xml:space="preserve">. </w:t>
      </w:r>
      <w:r w:rsidR="00031A56">
        <w:rPr>
          <w:color w:val="000000" w:themeColor="text1"/>
        </w:rPr>
        <w:t>Only</w:t>
      </w:r>
      <w:r w:rsidR="0056787F" w:rsidRPr="0056787F">
        <w:rPr>
          <w:color w:val="000000" w:themeColor="text1"/>
        </w:rPr>
        <w:t xml:space="preserve"> CO</w:t>
      </w:r>
      <w:r w:rsidR="0056787F" w:rsidRPr="0056787F">
        <w:rPr>
          <w:color w:val="000000" w:themeColor="text1"/>
          <w:vertAlign w:val="subscript"/>
        </w:rPr>
        <w:t>2</w:t>
      </w:r>
      <w:r w:rsidR="0056787F" w:rsidRPr="0056787F">
        <w:rPr>
          <w:color w:val="000000" w:themeColor="text1"/>
        </w:rPr>
        <w:t xml:space="preserve"> as contaminant is detected in the filtered stream. In this first analysis no effect of H</w:t>
      </w:r>
      <w:r w:rsidR="0056787F" w:rsidRPr="0056787F">
        <w:rPr>
          <w:color w:val="000000" w:themeColor="text1"/>
          <w:vertAlign w:val="subscript"/>
        </w:rPr>
        <w:t>2</w:t>
      </w:r>
      <w:r w:rsidR="0056787F" w:rsidRPr="0056787F">
        <w:rPr>
          <w:color w:val="000000" w:themeColor="text1"/>
        </w:rPr>
        <w:t>S have been considered.</w:t>
      </w:r>
      <w:r w:rsidR="00407A3A">
        <w:rPr>
          <w:color w:val="000000" w:themeColor="text1"/>
        </w:rPr>
        <w:t xml:space="preserve"> </w:t>
      </w:r>
      <w:r w:rsidR="003C46C9" w:rsidRPr="004E3682">
        <w:rPr>
          <w:color w:val="000000" w:themeColor="text1"/>
        </w:rPr>
        <w:t>The filtered stream obtained</w:t>
      </w:r>
      <w:r w:rsidR="004E3682" w:rsidRPr="004E3682">
        <w:rPr>
          <w:color w:val="000000" w:themeColor="text1"/>
        </w:rPr>
        <w:t>,</w:t>
      </w:r>
      <w:r w:rsidR="003C46C9" w:rsidRPr="004E3682">
        <w:rPr>
          <w:color w:val="000000" w:themeColor="text1"/>
        </w:rPr>
        <w:t xml:space="preserve"> rich in hydrogen</w:t>
      </w:r>
      <w:r w:rsidR="004E3682" w:rsidRPr="004E3682">
        <w:rPr>
          <w:color w:val="000000" w:themeColor="text1"/>
        </w:rPr>
        <w:t>,</w:t>
      </w:r>
      <w:r w:rsidR="003C46C9" w:rsidRPr="004E3682">
        <w:rPr>
          <w:color w:val="000000" w:themeColor="text1"/>
        </w:rPr>
        <w:t xml:space="preserve"> is then compressed and sent to the Hydrotreating unit</w:t>
      </w:r>
      <w:r w:rsidR="004E3682" w:rsidRPr="004E3682">
        <w:rPr>
          <w:color w:val="000000" w:themeColor="text1"/>
        </w:rPr>
        <w:t xml:space="preserve"> (Unit 4)</w:t>
      </w:r>
      <w:r w:rsidR="003C46C9" w:rsidRPr="004E3682">
        <w:rPr>
          <w:color w:val="000000" w:themeColor="text1"/>
        </w:rPr>
        <w:t xml:space="preserve">. </w:t>
      </w:r>
      <w:r w:rsidR="003C46C9" w:rsidRPr="00934EB6">
        <w:rPr>
          <w:color w:val="000000" w:themeColor="text1"/>
        </w:rPr>
        <w:t>The residual stream, instead</w:t>
      </w:r>
      <w:r w:rsidR="00DF1144">
        <w:rPr>
          <w:color w:val="000000" w:themeColor="text1"/>
        </w:rPr>
        <w:t>,</w:t>
      </w:r>
      <w:r w:rsidR="003C46C9" w:rsidRPr="00934EB6">
        <w:rPr>
          <w:color w:val="000000" w:themeColor="text1"/>
        </w:rPr>
        <w:t xml:space="preserve"> is processed to </w:t>
      </w:r>
      <w:r w:rsidR="00332834">
        <w:rPr>
          <w:color w:val="000000" w:themeColor="text1"/>
        </w:rPr>
        <w:t>a hydrogen recovery</w:t>
      </w:r>
      <w:r w:rsidR="00AA3F64">
        <w:rPr>
          <w:color w:val="000000" w:themeColor="text1"/>
        </w:rPr>
        <w:t xml:space="preserve"> </w:t>
      </w:r>
      <w:r w:rsidR="003C46C9" w:rsidRPr="00934EB6">
        <w:rPr>
          <w:color w:val="000000" w:themeColor="text1"/>
        </w:rPr>
        <w:t>reactor</w:t>
      </w:r>
      <w:r w:rsidR="00AA3F64">
        <w:rPr>
          <w:color w:val="000000" w:themeColor="text1"/>
        </w:rPr>
        <w:t xml:space="preserve"> for H</w:t>
      </w:r>
      <w:r w:rsidR="00AA3F64">
        <w:rPr>
          <w:color w:val="000000" w:themeColor="text1"/>
          <w:vertAlign w:val="subscript"/>
        </w:rPr>
        <w:t>2</w:t>
      </w:r>
      <w:r w:rsidR="00AA3F64">
        <w:rPr>
          <w:color w:val="000000" w:themeColor="text1"/>
        </w:rPr>
        <w:t>S conversion</w:t>
      </w:r>
      <w:r w:rsidR="003C46C9" w:rsidRPr="00934EB6">
        <w:rPr>
          <w:color w:val="000000" w:themeColor="text1"/>
        </w:rPr>
        <w:t xml:space="preserve"> (Unit </w:t>
      </w:r>
      <w:r w:rsidR="00B52966" w:rsidRPr="00934EB6">
        <w:rPr>
          <w:color w:val="000000" w:themeColor="text1"/>
        </w:rPr>
        <w:t>6</w:t>
      </w:r>
      <w:r w:rsidR="003C46C9" w:rsidRPr="00934EB6">
        <w:rPr>
          <w:color w:val="000000" w:themeColor="text1"/>
        </w:rPr>
        <w:t>)</w:t>
      </w:r>
      <w:r w:rsidR="003725D0">
        <w:rPr>
          <w:color w:val="000000" w:themeColor="text1"/>
        </w:rPr>
        <w:t xml:space="preserve">. </w:t>
      </w:r>
      <w:r w:rsidR="00541A7D">
        <w:rPr>
          <w:color w:val="000000" w:themeColor="text1"/>
        </w:rPr>
        <w:t xml:space="preserve">Hydrogen recovery </w:t>
      </w:r>
      <w:r w:rsidR="00541A7D">
        <w:rPr>
          <w:color w:val="000000" w:themeColor="text1"/>
        </w:rPr>
        <w:lastRenderedPageBreak/>
        <w:t>occur</w:t>
      </w:r>
      <w:r w:rsidR="00135C90">
        <w:rPr>
          <w:color w:val="000000" w:themeColor="text1"/>
        </w:rPr>
        <w:t>s in a</w:t>
      </w:r>
      <w:r w:rsidR="003C46C9" w:rsidRPr="00934EB6">
        <w:rPr>
          <w:color w:val="000000" w:themeColor="text1"/>
        </w:rPr>
        <w:t xml:space="preserve"> </w:t>
      </w:r>
      <w:r w:rsidR="008C21DC">
        <w:rPr>
          <w:color w:val="000000" w:themeColor="text1"/>
        </w:rPr>
        <w:t>thermal</w:t>
      </w:r>
      <w:r w:rsidR="003C46C9" w:rsidRPr="00934EB6">
        <w:rPr>
          <w:color w:val="000000" w:themeColor="text1"/>
        </w:rPr>
        <w:t xml:space="preserve"> </w:t>
      </w:r>
      <w:r w:rsidR="00032262" w:rsidRPr="00934EB6">
        <w:rPr>
          <w:color w:val="000000" w:themeColor="text1"/>
        </w:rPr>
        <w:t>unit</w:t>
      </w:r>
      <w:r w:rsidR="003C46C9" w:rsidRPr="00934EB6">
        <w:rPr>
          <w:color w:val="000000" w:themeColor="text1"/>
        </w:rPr>
        <w:t xml:space="preserve"> operating at </w:t>
      </w:r>
      <w:r w:rsidR="001060BF">
        <w:rPr>
          <w:color w:val="000000" w:themeColor="text1"/>
        </w:rPr>
        <w:t>high temperature</w:t>
      </w:r>
      <w:r w:rsidR="00A43964">
        <w:rPr>
          <w:color w:val="000000" w:themeColor="text1"/>
        </w:rPr>
        <w:t xml:space="preserve"> (i.e., around </w:t>
      </w:r>
      <w:r w:rsidR="00501547">
        <w:rPr>
          <w:color w:val="000000" w:themeColor="text1"/>
        </w:rPr>
        <w:t>800</w:t>
      </w:r>
      <w:r w:rsidR="00A43964">
        <w:rPr>
          <w:color w:val="000000" w:themeColor="text1"/>
        </w:rPr>
        <w:t xml:space="preserve"> °C)</w:t>
      </w:r>
      <w:r w:rsidR="003C46C9" w:rsidRPr="00934EB6">
        <w:rPr>
          <w:color w:val="000000" w:themeColor="text1"/>
        </w:rPr>
        <w:t xml:space="preserve"> </w:t>
      </w:r>
      <w:r w:rsidR="00032262" w:rsidRPr="00934EB6">
        <w:rPr>
          <w:color w:val="000000" w:themeColor="text1"/>
        </w:rPr>
        <w:t>and ambient pressure conditions</w:t>
      </w:r>
      <w:r w:rsidR="003C46C9" w:rsidRPr="00934EB6">
        <w:rPr>
          <w:color w:val="000000" w:themeColor="text1"/>
        </w:rPr>
        <w:t xml:space="preserve"> in which the reaction of </w:t>
      </w:r>
      <w:r w:rsidR="000B1B1C" w:rsidRPr="00934EB6">
        <w:rPr>
          <w:color w:val="000000" w:themeColor="text1"/>
        </w:rPr>
        <w:t>dissociation</w:t>
      </w:r>
      <w:r w:rsidR="003C46C9" w:rsidRPr="00934EB6">
        <w:rPr>
          <w:color w:val="000000" w:themeColor="text1"/>
        </w:rPr>
        <w:t xml:space="preserve"> of </w:t>
      </w:r>
      <w:r w:rsidR="00AA2C13" w:rsidRPr="00934EB6">
        <w:rPr>
          <w:color w:val="000000" w:themeColor="text1"/>
        </w:rPr>
        <w:t>H</w:t>
      </w:r>
      <w:r w:rsidR="00AA2C13" w:rsidRPr="00934EB6">
        <w:rPr>
          <w:color w:val="000000" w:themeColor="text1"/>
          <w:vertAlign w:val="subscript"/>
        </w:rPr>
        <w:t>2</w:t>
      </w:r>
      <w:r w:rsidR="00AA2C13" w:rsidRPr="00934EB6">
        <w:rPr>
          <w:color w:val="000000" w:themeColor="text1"/>
        </w:rPr>
        <w:t xml:space="preserve">S </w:t>
      </w:r>
      <w:r w:rsidR="003C46C9" w:rsidRPr="00934EB6">
        <w:rPr>
          <w:color w:val="000000" w:themeColor="text1"/>
        </w:rPr>
        <w:t>in</w:t>
      </w:r>
      <w:r w:rsidR="00934EB6" w:rsidRPr="00934EB6">
        <w:rPr>
          <w:color w:val="000000" w:themeColor="text1"/>
        </w:rPr>
        <w:t>to</w:t>
      </w:r>
      <w:r w:rsidR="003C46C9" w:rsidRPr="00934EB6">
        <w:rPr>
          <w:color w:val="000000" w:themeColor="text1"/>
        </w:rPr>
        <w:t xml:space="preserve"> hydrogen and </w:t>
      </w:r>
      <w:r w:rsidR="00E31D78" w:rsidRPr="00934EB6">
        <w:rPr>
          <w:color w:val="000000" w:themeColor="text1"/>
        </w:rPr>
        <w:t>elemental</w:t>
      </w:r>
      <w:r w:rsidR="003C46C9" w:rsidRPr="00934EB6">
        <w:rPr>
          <w:color w:val="000000" w:themeColor="text1"/>
        </w:rPr>
        <w:t xml:space="preserve"> sul</w:t>
      </w:r>
      <w:r w:rsidR="00E31D78" w:rsidRPr="00934EB6">
        <w:rPr>
          <w:color w:val="000000" w:themeColor="text1"/>
        </w:rPr>
        <w:t>f</w:t>
      </w:r>
      <w:r w:rsidR="003C46C9" w:rsidRPr="00934EB6">
        <w:rPr>
          <w:color w:val="000000" w:themeColor="text1"/>
        </w:rPr>
        <w:t xml:space="preserve">ur </w:t>
      </w:r>
      <w:r w:rsidR="00135C90">
        <w:rPr>
          <w:color w:val="000000" w:themeColor="text1"/>
        </w:rPr>
        <w:t>take</w:t>
      </w:r>
      <w:r w:rsidR="00EC6356">
        <w:rPr>
          <w:color w:val="000000" w:themeColor="text1"/>
        </w:rPr>
        <w:t>s</w:t>
      </w:r>
      <w:r w:rsidR="00135C90">
        <w:rPr>
          <w:color w:val="000000" w:themeColor="text1"/>
        </w:rPr>
        <w:t xml:space="preserve"> place</w:t>
      </w:r>
      <w:r w:rsidR="005D549A">
        <w:rPr>
          <w:color w:val="000000" w:themeColor="text1"/>
        </w:rPr>
        <w:t xml:space="preserve"> </w:t>
      </w:r>
      <w:r w:rsidR="005D549A">
        <w:rPr>
          <w:color w:val="000000" w:themeColor="text1"/>
        </w:rPr>
        <w:fldChar w:fldCharType="begin"/>
      </w:r>
      <w:r w:rsidR="00EF1813">
        <w:rPr>
          <w:color w:val="000000" w:themeColor="text1"/>
        </w:rPr>
        <w:instrText xml:space="preserve"> ADDIN ZOTERO_ITEM CSL_CITATION {"citationID":"S3tUq54z","properties":{"formattedCitation":"(Nova et al., 2023)","plainCitation":"(Nova et al., 2023)","noteIndex":0},"citationItems":[{"id":33,"uris":["http://zotero.org/users/local/4x05yQb7/items/SU6FRFUB"],"itemData":{"id":33,"type":"chapter","abstract":"The splitting of hydrogen sulphide into hydrogen and elemental sulphur results to be a promising route for the treatment of this dangerous waste gas and, at the same time, for the sustainable production of hydrogen. To reach relevant production rates a comprehensive approach should be applied to the modelling of the process. This work investigates how the thermal decomposition of hydrogen sulphide can be described at different scales: the kinetic scale, the reactor scale, and the chemical process scale. In particular, a detailed kinetics is implemented into DSmoke, a reactor simulation suite for complex kinetics and non-ideal reactive systems. The obtained reactor model is validated through an experimental lab campaign. At the process scale, the splitting step is integrated into a complete plant design (considering a 10 t/h H2S feed, the mass flow of H2 produced from the simulated plant is equal to 543.8 kg/h, with a production cost of 2.39 $/kg).","collection-title":"33 European Symposium on Computer Aided Process Engineering","container-title":"Computer Aided Chemical Engineering","note":"DOI: 10.1016/B978-0-443-15274-0.50383-8","page":"2411-2416","publisher":"Elsevier","source":"ScienceDirect","title":"Multi-scale Modelling and Experimental Investigation of Hydrogen Sulphide Thermal Decomposition","URL":"https://www.sciencedirect.com/science/article/pii/B9780443152740503838","volume":"52","author":[{"family":"Nova","given":"Anna"},{"family":"Negri","given":"Francesco"},{"family":"Manenti","given":"Flavio"}],"editor":[{"family":"Kokossis","given":"Antonios C."},{"family":"Georgiadis","given":"Michael C."},{"family":"Pistikopoulos","given":"Efstratios"}],"accessed":{"date-parts":[["2023",11,30]]},"issued":{"date-parts":[["2023",1,1]]}}}],"schema":"https://github.com/citation-style-language/schema/raw/master/csl-citation.json"} </w:instrText>
      </w:r>
      <w:r w:rsidR="005D549A">
        <w:rPr>
          <w:color w:val="000000" w:themeColor="text1"/>
        </w:rPr>
        <w:fldChar w:fldCharType="separate"/>
      </w:r>
      <w:r w:rsidR="00EF1813" w:rsidRPr="00EF1813">
        <w:t>(Nova et al., 2023)</w:t>
      </w:r>
      <w:r w:rsidR="005D549A">
        <w:rPr>
          <w:color w:val="000000" w:themeColor="text1"/>
        </w:rPr>
        <w:fldChar w:fldCharType="end"/>
      </w:r>
      <w:r w:rsidR="003C46C9" w:rsidRPr="00934EB6">
        <w:rPr>
          <w:color w:val="000000" w:themeColor="text1"/>
        </w:rPr>
        <w:t xml:space="preserve">. </w:t>
      </w:r>
      <w:r w:rsidR="008D321B">
        <w:rPr>
          <w:color w:val="000000" w:themeColor="text1"/>
        </w:rPr>
        <w:t>F</w:t>
      </w:r>
      <w:r w:rsidR="003C46C9" w:rsidRPr="00934EB6">
        <w:rPr>
          <w:color w:val="000000" w:themeColor="text1"/>
        </w:rPr>
        <w:t xml:space="preserve">ull conversion of </w:t>
      </w:r>
      <w:r w:rsidR="00AA2C13" w:rsidRPr="00934EB6">
        <w:rPr>
          <w:color w:val="000000" w:themeColor="text1"/>
        </w:rPr>
        <w:t>H</w:t>
      </w:r>
      <w:r w:rsidR="00AA2C13" w:rsidRPr="00934EB6">
        <w:rPr>
          <w:color w:val="000000" w:themeColor="text1"/>
          <w:vertAlign w:val="subscript"/>
        </w:rPr>
        <w:t>2</w:t>
      </w:r>
      <w:r w:rsidR="00AA2C13" w:rsidRPr="00934EB6">
        <w:rPr>
          <w:color w:val="000000" w:themeColor="text1"/>
        </w:rPr>
        <w:t>S</w:t>
      </w:r>
      <w:r w:rsidR="00E105CB">
        <w:rPr>
          <w:color w:val="000000" w:themeColor="text1"/>
        </w:rPr>
        <w:t xml:space="preserve"> </w:t>
      </w:r>
      <w:r w:rsidR="00AC03CD">
        <w:rPr>
          <w:color w:val="000000" w:themeColor="text1"/>
        </w:rPr>
        <w:t xml:space="preserve">into element </w:t>
      </w:r>
      <w:r w:rsidR="00934EB6" w:rsidRPr="00934EB6">
        <w:rPr>
          <w:color w:val="000000" w:themeColor="text1"/>
        </w:rPr>
        <w:t>has been considered</w:t>
      </w:r>
      <w:r w:rsidR="00AC03CD">
        <w:rPr>
          <w:color w:val="000000" w:themeColor="text1"/>
        </w:rPr>
        <w:t xml:space="preserve"> in this unit</w:t>
      </w:r>
      <w:r w:rsidR="003C46C9" w:rsidRPr="00934EB6">
        <w:rPr>
          <w:color w:val="000000" w:themeColor="text1"/>
        </w:rPr>
        <w:t>.</w:t>
      </w:r>
      <w:r w:rsidR="0025535C" w:rsidRPr="00934EB6">
        <w:rPr>
          <w:color w:val="000000" w:themeColor="text1"/>
        </w:rPr>
        <w:t xml:space="preserve"> </w:t>
      </w:r>
    </w:p>
    <w:p w14:paraId="58763B3A" w14:textId="772D4200" w:rsidR="003C0209" w:rsidRPr="00CB32EF" w:rsidRDefault="003C46C9" w:rsidP="00B43810">
      <w:pPr>
        <w:pStyle w:val="Els-body-text"/>
      </w:pPr>
      <w:r w:rsidRPr="00CB32EF">
        <w:t xml:space="preserve">The solid </w:t>
      </w:r>
      <w:r w:rsidR="00E31D78" w:rsidRPr="00CB32EF">
        <w:t xml:space="preserve">sulfur </w:t>
      </w:r>
      <w:r w:rsidRPr="00CB32EF">
        <w:t>residual is then stored, while the gaseous</w:t>
      </w:r>
      <w:r w:rsidR="0025535C" w:rsidRPr="00CB32EF">
        <w:t xml:space="preserve"> output</w:t>
      </w:r>
      <w:r w:rsidR="00474774">
        <w:t>,</w:t>
      </w:r>
      <w:r w:rsidR="0025535C" w:rsidRPr="00CB32EF">
        <w:t xml:space="preserve"> </w:t>
      </w:r>
      <w:r w:rsidR="00AA2C13" w:rsidRPr="00CB32EF">
        <w:t>rich in</w:t>
      </w:r>
      <w:r w:rsidR="0025535C" w:rsidRPr="00CB32EF">
        <w:t xml:space="preserve"> H</w:t>
      </w:r>
      <w:r w:rsidR="00AA2C13" w:rsidRPr="00CB32EF">
        <w:rPr>
          <w:vertAlign w:val="subscript"/>
        </w:rPr>
        <w:t>2</w:t>
      </w:r>
      <w:r w:rsidR="0025535C" w:rsidRPr="00CB32EF">
        <w:t xml:space="preserve"> </w:t>
      </w:r>
      <w:r w:rsidR="007D4C73">
        <w:t>is spli</w:t>
      </w:r>
      <w:r w:rsidR="003525A4">
        <w:t>t:</w:t>
      </w:r>
      <w:r w:rsidR="00BA07B0">
        <w:t xml:space="preserve"> </w:t>
      </w:r>
      <w:r w:rsidR="0025535C" w:rsidRPr="00CB32EF">
        <w:t xml:space="preserve">part </w:t>
      </w:r>
      <w:r w:rsidRPr="00CB32EF">
        <w:t>is recycled back to the membrane separation section (</w:t>
      </w:r>
      <w:r w:rsidR="00B52966" w:rsidRPr="00CB32EF">
        <w:t>U</w:t>
      </w:r>
      <w:r w:rsidRPr="00CB32EF">
        <w:t>nit</w:t>
      </w:r>
      <w:r w:rsidR="00B52966" w:rsidRPr="00CB32EF">
        <w:t xml:space="preserve"> 5</w:t>
      </w:r>
      <w:r w:rsidRPr="00CB32EF">
        <w:t>) previously described</w:t>
      </w:r>
      <w:r w:rsidR="003525A4">
        <w:t>,</w:t>
      </w:r>
      <w:r w:rsidR="00BA07B0">
        <w:t xml:space="preserve"> </w:t>
      </w:r>
      <w:r w:rsidR="003525A4">
        <w:t>t</w:t>
      </w:r>
      <w:r w:rsidR="00BA07B0">
        <w:t>he remaining</w:t>
      </w:r>
      <w:r w:rsidR="00FF48F4">
        <w:t xml:space="preserve"> part</w:t>
      </w:r>
      <w:r w:rsidR="00BA07B0">
        <w:t xml:space="preserve"> </w:t>
      </w:r>
      <w:r w:rsidR="00BA07B0" w:rsidRPr="00CB32EF">
        <w:t>is purged, to avoid the buildup in the cycle loop.</w:t>
      </w:r>
    </w:p>
    <w:p w14:paraId="1B184458" w14:textId="6C8044D4" w:rsidR="00A868C5" w:rsidRDefault="00A8253F" w:rsidP="00454D81">
      <w:pPr>
        <w:pStyle w:val="Els-1storder-head"/>
        <w:spacing w:after="120"/>
        <w:rPr>
          <w:lang w:val="en-GB"/>
        </w:rPr>
      </w:pPr>
      <w:r>
        <w:rPr>
          <w:lang w:val="en-GB"/>
        </w:rPr>
        <w:t>Result</w:t>
      </w:r>
      <w:r w:rsidR="008D2649" w:rsidRPr="00A94774">
        <w:rPr>
          <w:lang w:val="en-GB"/>
        </w:rPr>
        <w:t>s</w:t>
      </w:r>
      <w:r>
        <w:rPr>
          <w:lang w:val="en-GB"/>
        </w:rPr>
        <w:t xml:space="preserve"> and Discussion</w:t>
      </w:r>
    </w:p>
    <w:p w14:paraId="31E8F78C" w14:textId="2F8FCD73" w:rsidR="0054102B" w:rsidRDefault="000226A8" w:rsidP="000769EA">
      <w:pPr>
        <w:pStyle w:val="Els-body-text"/>
        <w:spacing w:after="120"/>
      </w:pPr>
      <w:r>
        <w:t>The simulation carried out a preliminary investigation on the</w:t>
      </w:r>
      <w:r w:rsidR="007834CF">
        <w:t xml:space="preserve"> integration of </w:t>
      </w:r>
      <w:proofErr w:type="spellStart"/>
      <w:r w:rsidR="007834CF">
        <w:t>EoL</w:t>
      </w:r>
      <w:proofErr w:type="spellEnd"/>
      <w:r w:rsidR="007834CF">
        <w:t xml:space="preserve"> tires pyrolysis with upgrading treatments. </w:t>
      </w:r>
      <w:r w:rsidR="0054102B">
        <w:t>In this first study the in-depth simulation have</w:t>
      </w:r>
      <w:r w:rsidR="00D16426">
        <w:t xml:space="preserve"> been</w:t>
      </w:r>
      <w:r w:rsidR="0054102B">
        <w:t xml:space="preserve"> carried out only for pyrolysis and hydrodesulfurization process. </w:t>
      </w:r>
      <w:r w:rsidR="007834CF">
        <w:t xml:space="preserve">However interesting </w:t>
      </w:r>
      <w:r w:rsidR="0054102B">
        <w:t>prime approach results have been obtained.</w:t>
      </w:r>
    </w:p>
    <w:p w14:paraId="712C0ED9" w14:textId="16DC22F7" w:rsidR="0054102B" w:rsidRPr="000A6102" w:rsidRDefault="0054102B" w:rsidP="00ED4202">
      <w:pPr>
        <w:pStyle w:val="Els-body-text"/>
        <w:spacing w:after="60"/>
        <w:rPr>
          <w:i/>
          <w:iCs/>
        </w:rPr>
      </w:pPr>
      <w:r w:rsidRPr="000A6102">
        <w:rPr>
          <w:i/>
          <w:iCs/>
        </w:rPr>
        <w:t>3.1 Pyrolysis</w:t>
      </w:r>
    </w:p>
    <w:p w14:paraId="070BEC2B" w14:textId="3CC339DE" w:rsidR="00D70312" w:rsidRPr="00815C26" w:rsidRDefault="0054102B" w:rsidP="00CD67A1">
      <w:pPr>
        <w:pStyle w:val="Els-body-text"/>
      </w:pPr>
      <w:r>
        <w:t xml:space="preserve">Down pyrolysis </w:t>
      </w:r>
      <w:proofErr w:type="spellStart"/>
      <w:r>
        <w:t>EoL</w:t>
      </w:r>
      <w:proofErr w:type="spellEnd"/>
      <w:r>
        <w:t xml:space="preserve"> tire</w:t>
      </w:r>
      <w:r w:rsidR="00460037">
        <w:t>s</w:t>
      </w:r>
      <w:r>
        <w:t xml:space="preserve"> feed is decomposed in solid, liquid and gas</w:t>
      </w:r>
      <w:r w:rsidR="00CD67A1">
        <w:t>.</w:t>
      </w:r>
      <w:r w:rsidR="00EF64EB">
        <w:t xml:space="preserve"> </w:t>
      </w:r>
      <w:r w:rsidR="00CD67A1">
        <w:t xml:space="preserve">As expected, the liquid product represents the majority of the output (i.e., 62.27 </w:t>
      </w:r>
      <w:proofErr w:type="spellStart"/>
      <w:r w:rsidR="00CD67A1">
        <w:t>w</w:t>
      </w:r>
      <w:r w:rsidR="001C67C0">
        <w:t>.</w:t>
      </w:r>
      <w:r w:rsidR="00CD67A1">
        <w:t>t</w:t>
      </w:r>
      <w:r w:rsidR="001C67C0">
        <w:t>.</w:t>
      </w:r>
      <w:proofErr w:type="spellEnd"/>
      <w:r w:rsidR="00CD67A1">
        <w:t>%)</w:t>
      </w:r>
      <w:r w:rsidR="000A6102">
        <w:t xml:space="preserve">, the gaseous stream, instead, is the less favored product (i.e., 3.01 </w:t>
      </w:r>
      <w:proofErr w:type="spellStart"/>
      <w:r w:rsidR="000A6102">
        <w:t>w</w:t>
      </w:r>
      <w:r w:rsidR="001C67C0">
        <w:t>.</w:t>
      </w:r>
      <w:r w:rsidR="000A6102">
        <w:t>t</w:t>
      </w:r>
      <w:r w:rsidR="001C67C0">
        <w:t>.</w:t>
      </w:r>
      <w:proofErr w:type="spellEnd"/>
      <w:r w:rsidR="000A6102">
        <w:t xml:space="preserve">%). The remaining part is the solid residue (i.e., 34.73 </w:t>
      </w:r>
      <w:proofErr w:type="spellStart"/>
      <w:r w:rsidR="000A6102">
        <w:t>w</w:t>
      </w:r>
      <w:r w:rsidR="001C67C0">
        <w:t>.</w:t>
      </w:r>
      <w:r w:rsidR="000A6102">
        <w:t>t</w:t>
      </w:r>
      <w:r w:rsidR="001C67C0">
        <w:t>.</w:t>
      </w:r>
      <w:proofErr w:type="spellEnd"/>
      <w:r w:rsidR="000A6102">
        <w:t xml:space="preserve">%). The phase products distribution relies with literature results </w:t>
      </w:r>
      <w:r w:rsidR="0029247C">
        <w:fldChar w:fldCharType="begin"/>
      </w:r>
      <w:r w:rsidR="0029247C">
        <w:instrText xml:space="preserve"> ADDIN ZOTERO_ITEM CSL_CITATION {"citationID":"X4Lp1XUu","properties":{"formattedCitation":"(Kyari et al., 2005)","plainCitation":"(Kyari et al., 2005)","noteIndex":0},"citationItems":[{"id":15,"uris":["http://zotero.org/users/local/4x05yQb7/items/7G52TL6V"],"itemData":{"id":15,"type":"article-journal","abstract":"Different types and brands of used automotive tires from several countries throughout the world have been pyrolyzed in a fixed-bed reactor under identical conditions. The aim of the experiments was to determine the influence of tire origin on the yield and composition of the products of pyrolysis. The yields of char, oil, and gas were very similar for the seven tires investigated under the process conditions of pyrolysis operating in this work. The gas composition showed noticeable variations between the tire types pyrolyzed, with each of the main pyrolysis gases of carbon dioxide, carbon monoxide, hydrogen, methane, and other hydrocarbon gases showing different compositions depending on the origin of the tire. The oil derived from the pyrolysis of the tires showed very similar broad compositional properties as measured by infrared spectrometry and size-exclusion chromatography. However, detailed analysis of the oils showed variations in the concentration of certain aromatic compounds depending on the tire type and origin. In addition, experiments were conducted with an equal mixture of all seven tires, and the results of both yield and composition showed that the resultant products reflected the mixture of the individual tire yields and compositions.","container-title":"Energy &amp; Fuels","DOI":"10.1021/ef049686x","ISSN":"0887-0624","issue":"3","journalAbbreviation":"Energy Fuels","note":"publisher: American Chemical Society","page":"1165-1173","source":"ACS Publications","title":"Characterization of Oils, Gases, and Char in Relation to the Pyrolysis of Different Brands of Scrap Automotive Tires","volume":"19","author":[{"family":"Kyari","given":"Mohammed"},{"family":"Cunliffe","given":"Adrian"},{"family":"Williams","given":"Paul T."}],"issued":{"date-parts":[["2005",5,1]]}}}],"schema":"https://github.com/citation-style-language/schema/raw/master/csl-citation.json"} </w:instrText>
      </w:r>
      <w:r w:rsidR="0029247C">
        <w:fldChar w:fldCharType="separate"/>
      </w:r>
      <w:r w:rsidR="00E87B43" w:rsidRPr="00E87B43">
        <w:t>(Kyari et al., 2005)</w:t>
      </w:r>
      <w:r w:rsidR="0029247C">
        <w:fldChar w:fldCharType="end"/>
      </w:r>
      <w:r w:rsidR="000A6102">
        <w:t>.</w:t>
      </w:r>
      <w:r w:rsidR="002C468B">
        <w:t xml:space="preserve"> The solid residual obtained is composed by the whole ASH fed, inert in the reactor, the unreacted carbon and sulfur. In accordance with typical results almost the 50</w:t>
      </w:r>
      <w:r w:rsidR="00D70312">
        <w:t xml:space="preserve"> </w:t>
      </w:r>
      <w:proofErr w:type="spellStart"/>
      <w:r w:rsidR="00D70312">
        <w:t>w.t.</w:t>
      </w:r>
      <w:proofErr w:type="spellEnd"/>
      <w:r w:rsidR="002C468B">
        <w:t xml:space="preserve">% of the sulfur present in the feed is </w:t>
      </w:r>
      <w:r w:rsidR="00D70312">
        <w:t>trapped</w:t>
      </w:r>
      <w:r w:rsidR="002C468B">
        <w:t xml:space="preserve"> in the solid residual. However, no hydrogen content has been detected in the solid. This </w:t>
      </w:r>
      <w:r w:rsidR="00FD3D6E">
        <w:t xml:space="preserve">unusual </w:t>
      </w:r>
      <w:r w:rsidR="002C468B">
        <w:t>result can be explained on the base of the simulation model adopted</w:t>
      </w:r>
      <w:r w:rsidR="005772C0">
        <w:t>.</w:t>
      </w:r>
      <w:r w:rsidR="002C468B">
        <w:t xml:space="preserve"> </w:t>
      </w:r>
      <w:r w:rsidR="005772C0" w:rsidRPr="00815C26">
        <w:t>I</w:t>
      </w:r>
      <w:r w:rsidR="002C468B" w:rsidRPr="00815C26">
        <w:t>ndeed</w:t>
      </w:r>
      <w:r w:rsidR="005772C0" w:rsidRPr="00815C26">
        <w:t>,</w:t>
      </w:r>
      <w:r w:rsidR="002C468B" w:rsidRPr="00815C26">
        <w:t xml:space="preserve"> the elemental hydrogen reacting in the pseudo component is a </w:t>
      </w:r>
      <w:r w:rsidR="00815C26" w:rsidRPr="00815C26">
        <w:t xml:space="preserve">pure </w:t>
      </w:r>
      <w:r w:rsidR="002C468B" w:rsidRPr="00815C26">
        <w:t xml:space="preserve">gas. </w:t>
      </w:r>
    </w:p>
    <w:p w14:paraId="5560B979" w14:textId="39DE69CB" w:rsidR="00BE032F" w:rsidRPr="00355113" w:rsidRDefault="00D70312" w:rsidP="00CD67A1">
      <w:pPr>
        <w:pStyle w:val="Els-body-text"/>
      </w:pPr>
      <w:r>
        <w:t>The gas stream is a mixture of light hydrocarbons (i.e., C</w:t>
      </w:r>
      <w:r>
        <w:rPr>
          <w:vertAlign w:val="subscript"/>
        </w:rPr>
        <w:t>1</w:t>
      </w:r>
      <w:r>
        <w:t xml:space="preserve"> – C</w:t>
      </w:r>
      <w:r>
        <w:rPr>
          <w:vertAlign w:val="subscript"/>
        </w:rPr>
        <w:t>4</w:t>
      </w:r>
      <w:r>
        <w:t xml:space="preserve">), </w:t>
      </w:r>
      <w:proofErr w:type="spellStart"/>
      <w:r>
        <w:t>CO</w:t>
      </w:r>
      <w:r>
        <w:rPr>
          <w:vertAlign w:val="subscript"/>
        </w:rPr>
        <w:t>x</w:t>
      </w:r>
      <w:proofErr w:type="spellEnd"/>
      <w:r>
        <w:t>, H</w:t>
      </w:r>
      <w:r>
        <w:rPr>
          <w:vertAlign w:val="subscript"/>
        </w:rPr>
        <w:t>2</w:t>
      </w:r>
      <w:r>
        <w:t xml:space="preserve"> and H</w:t>
      </w:r>
      <w:r>
        <w:rPr>
          <w:vertAlign w:val="subscript"/>
        </w:rPr>
        <w:t>2</w:t>
      </w:r>
      <w:r>
        <w:t>S</w:t>
      </w:r>
      <w:r w:rsidR="00DD666C">
        <w:t>,</w:t>
      </w:r>
      <w:r w:rsidR="002F5D7E">
        <w:t xml:space="preserve"> as reported in Table 2</w:t>
      </w:r>
      <w:r>
        <w:t xml:space="preserve">. </w:t>
      </w:r>
      <w:r w:rsidR="00127AFE">
        <w:t xml:space="preserve">Oxygen content in the gaseous output is negligible, as expected. The significant amount </w:t>
      </w:r>
      <w:r w:rsidR="00AA2C13">
        <w:t xml:space="preserve">of </w:t>
      </w:r>
      <w:proofErr w:type="spellStart"/>
      <w:r w:rsidR="00940EEE">
        <w:t>CO</w:t>
      </w:r>
      <w:r w:rsidR="00940EEE">
        <w:rPr>
          <w:vertAlign w:val="subscript"/>
        </w:rPr>
        <w:t>x</w:t>
      </w:r>
      <w:proofErr w:type="spellEnd"/>
      <w:r w:rsidR="00940EEE">
        <w:t xml:space="preserve"> </w:t>
      </w:r>
      <w:r w:rsidR="00AA2C13">
        <w:t>can be</w:t>
      </w:r>
      <w:r w:rsidR="00127AFE">
        <w:t xml:space="preserve"> </w:t>
      </w:r>
      <w:r w:rsidR="00BA6836">
        <w:t>justified</w:t>
      </w:r>
      <w:r w:rsidR="00127AFE">
        <w:t xml:space="preserve"> by the variation adopted in the kinetic model that maximizes their production. Hydrogen content has been established in accordance to literature results. The </w:t>
      </w:r>
      <w:r w:rsidR="00AA2C13">
        <w:t>significant</w:t>
      </w:r>
      <w:r w:rsidR="00127AFE">
        <w:t xml:space="preserve"> </w:t>
      </w:r>
      <w:proofErr w:type="gramStart"/>
      <w:r w:rsidR="00127AFE">
        <w:t>amount</w:t>
      </w:r>
      <w:proofErr w:type="gramEnd"/>
      <w:r w:rsidR="00127AFE">
        <w:t xml:space="preserve"> of light hydrocarbons is justif</w:t>
      </w:r>
      <w:r w:rsidR="001D5DD2">
        <w:t>ied</w:t>
      </w:r>
      <w:r w:rsidR="00127AFE">
        <w:t xml:space="preserve"> by the presence of cracking reactions that occurs at this conditions</w:t>
      </w:r>
      <w:r w:rsidR="00AA2C13">
        <w:t>.</w:t>
      </w:r>
      <w:r w:rsidR="00127AFE">
        <w:t xml:space="preserve"> </w:t>
      </w:r>
      <w:r w:rsidR="00EA02D2">
        <w:t>To</w:t>
      </w:r>
      <w:r w:rsidR="00127AFE">
        <w:t xml:space="preserve"> maximize the amount of gas a </w:t>
      </w:r>
      <w:r w:rsidR="000B6A5C" w:rsidRPr="005D204C">
        <w:t>slow</w:t>
      </w:r>
      <w:r w:rsidR="00127AFE" w:rsidRPr="005D204C">
        <w:t xml:space="preserve"> pyrolysis set-up</w:t>
      </w:r>
      <w:r w:rsidR="005D204C" w:rsidRPr="005D204C">
        <w:t xml:space="preserve"> and longer residence time</w:t>
      </w:r>
      <w:r w:rsidR="00127AFE" w:rsidRPr="005D204C">
        <w:t xml:space="preserve"> should </w:t>
      </w:r>
      <w:r w:rsidR="00127AFE">
        <w:t xml:space="preserve">be adopted. </w:t>
      </w:r>
      <w:r w:rsidR="00127AFE" w:rsidRPr="00355113">
        <w:t xml:space="preserve">The relevant amount of </w:t>
      </w:r>
      <w:r w:rsidR="00AA2C13" w:rsidRPr="00355113">
        <w:t>H</w:t>
      </w:r>
      <w:r w:rsidR="00AA2C13" w:rsidRPr="00355113">
        <w:rPr>
          <w:vertAlign w:val="subscript"/>
        </w:rPr>
        <w:t>2</w:t>
      </w:r>
      <w:r w:rsidR="00AA2C13" w:rsidRPr="00355113">
        <w:t>S</w:t>
      </w:r>
      <w:r w:rsidR="00127AFE" w:rsidRPr="00355113">
        <w:t xml:space="preserve"> can be explained </w:t>
      </w:r>
      <w:r w:rsidR="00DC4913" w:rsidRPr="00355113">
        <w:t>thanks</w:t>
      </w:r>
      <w:r w:rsidR="00127AFE" w:rsidRPr="00355113">
        <w:t xml:space="preserve"> to the adoption of an equilibrium reaction</w:t>
      </w:r>
      <w:r w:rsidR="00355113" w:rsidRPr="00355113">
        <w:t>.</w:t>
      </w:r>
      <w:r w:rsidR="00E54554">
        <w:t xml:space="preserve"> The liquid output, as mentioned above, is the main product of pyrolysis. By assuming a perfect separation stage after pyrolysis, water is completely condensed in the liquid stream. The relevant amount of water detected is due to the insertion of water synthesis reaction in the kinetics, extremely favored at these conditions.</w:t>
      </w:r>
      <w:r w:rsidR="008D321B" w:rsidRPr="008D321B">
        <w:t xml:space="preserve"> </w:t>
      </w:r>
    </w:p>
    <w:p w14:paraId="6D11535E" w14:textId="31A91C98" w:rsidR="004544B9" w:rsidRPr="001E2D64" w:rsidRDefault="00E70AEA" w:rsidP="000C35A8">
      <w:pPr>
        <w:pStyle w:val="Els-body-text"/>
        <w:spacing w:before="120" w:after="120"/>
        <w:jc w:val="left"/>
        <w:rPr>
          <w:sz w:val="16"/>
          <w:szCs w:val="16"/>
        </w:rPr>
      </w:pPr>
      <w:r w:rsidRPr="00E4731A">
        <w:rPr>
          <w:sz w:val="16"/>
          <w:szCs w:val="16"/>
        </w:rPr>
        <w:t>Table 2:</w:t>
      </w:r>
      <w:r w:rsidR="006604EA" w:rsidRPr="001E2D64">
        <w:rPr>
          <w:sz w:val="16"/>
          <w:szCs w:val="16"/>
        </w:rPr>
        <w:t xml:space="preserve"> </w:t>
      </w:r>
      <w:r w:rsidR="00EC2D8D" w:rsidRPr="001E2D64">
        <w:rPr>
          <w:sz w:val="16"/>
          <w:szCs w:val="16"/>
        </w:rPr>
        <w:t>Pyrolysis p</w:t>
      </w:r>
      <w:r w:rsidR="00743862" w:rsidRPr="001E2D64">
        <w:rPr>
          <w:sz w:val="16"/>
          <w:szCs w:val="16"/>
        </w:rPr>
        <w:t>roducts distribution</w:t>
      </w:r>
      <w:r w:rsidR="00EC2D8D" w:rsidRPr="001E2D64">
        <w:rPr>
          <w:sz w:val="16"/>
          <w:szCs w:val="16"/>
        </w:rPr>
        <w:t>,</w:t>
      </w:r>
      <w:r w:rsidR="0092571E" w:rsidRPr="001E2D64">
        <w:rPr>
          <w:sz w:val="16"/>
          <w:szCs w:val="16"/>
        </w:rPr>
        <w:t xml:space="preserve"> </w:t>
      </w:r>
      <w:proofErr w:type="spellStart"/>
      <w:r w:rsidR="0092571E" w:rsidRPr="001E2D64">
        <w:rPr>
          <w:sz w:val="16"/>
          <w:szCs w:val="16"/>
        </w:rPr>
        <w:t>Gas</w:t>
      </w:r>
      <w:r w:rsidR="00EC2D8D" w:rsidRPr="001E2D64">
        <w:rPr>
          <w:sz w:val="16"/>
          <w:szCs w:val="16"/>
          <w:vertAlign w:val="superscript"/>
        </w:rPr>
        <w:t>a</w:t>
      </w:r>
      <w:proofErr w:type="spellEnd"/>
      <w:r w:rsidR="0092571E" w:rsidRPr="001E2D64">
        <w:rPr>
          <w:sz w:val="16"/>
          <w:szCs w:val="16"/>
        </w:rPr>
        <w:t xml:space="preserve"> molar </w:t>
      </w:r>
      <w:r w:rsidR="00EC2D8D" w:rsidRPr="001E2D64">
        <w:rPr>
          <w:sz w:val="16"/>
          <w:szCs w:val="16"/>
        </w:rPr>
        <w:t>fractions</w:t>
      </w:r>
      <w:r w:rsidR="0092571E" w:rsidRPr="001E2D64">
        <w:rPr>
          <w:sz w:val="16"/>
          <w:szCs w:val="16"/>
        </w:rPr>
        <w:t xml:space="preserve">, </w:t>
      </w:r>
      <w:proofErr w:type="spellStart"/>
      <w:r w:rsidR="0092571E" w:rsidRPr="001E2D64">
        <w:rPr>
          <w:sz w:val="16"/>
          <w:szCs w:val="16"/>
        </w:rPr>
        <w:t>ST</w:t>
      </w:r>
      <w:r w:rsidR="00EC2D8D" w:rsidRPr="001E2D64">
        <w:rPr>
          <w:sz w:val="16"/>
          <w:szCs w:val="16"/>
        </w:rPr>
        <w:t>PO</w:t>
      </w:r>
      <w:r w:rsidR="00EC2D8D" w:rsidRPr="001E2D64">
        <w:rPr>
          <w:sz w:val="16"/>
          <w:szCs w:val="16"/>
          <w:vertAlign w:val="superscript"/>
        </w:rPr>
        <w:t>b</w:t>
      </w:r>
      <w:proofErr w:type="spellEnd"/>
      <w:r w:rsidR="0092571E" w:rsidRPr="001E2D64">
        <w:rPr>
          <w:sz w:val="16"/>
          <w:szCs w:val="16"/>
        </w:rPr>
        <w:t xml:space="preserve"> mass fractions</w:t>
      </w:r>
      <w:r w:rsidR="00A45A0F">
        <w:rPr>
          <w:sz w:val="16"/>
          <w:szCs w:val="16"/>
        </w:rPr>
        <w:t>.</w:t>
      </w:r>
    </w:p>
    <w:tbl>
      <w:tblPr>
        <w:tblW w:w="7078" w:type="dxa"/>
        <w:jc w:val="center"/>
        <w:tblCellMar>
          <w:left w:w="70" w:type="dxa"/>
          <w:right w:w="70" w:type="dxa"/>
        </w:tblCellMar>
        <w:tblLook w:val="04A0" w:firstRow="1" w:lastRow="0" w:firstColumn="1" w:lastColumn="0" w:noHBand="0" w:noVBand="1"/>
      </w:tblPr>
      <w:tblGrid>
        <w:gridCol w:w="951"/>
        <w:gridCol w:w="969"/>
        <w:gridCol w:w="1047"/>
        <w:gridCol w:w="861"/>
        <w:gridCol w:w="992"/>
        <w:gridCol w:w="1417"/>
        <w:gridCol w:w="841"/>
      </w:tblGrid>
      <w:tr w:rsidR="0002298F" w:rsidRPr="007D1296" w14:paraId="7C030ED2" w14:textId="77777777" w:rsidTr="00927AA9">
        <w:trPr>
          <w:trHeight w:val="315"/>
          <w:jc w:val="center"/>
        </w:trPr>
        <w:tc>
          <w:tcPr>
            <w:tcW w:w="1920" w:type="dxa"/>
            <w:gridSpan w:val="2"/>
            <w:tcBorders>
              <w:top w:val="single" w:sz="4" w:space="0" w:color="auto"/>
              <w:bottom w:val="single" w:sz="4" w:space="0" w:color="auto"/>
            </w:tcBorders>
            <w:shd w:val="clear" w:color="auto" w:fill="auto"/>
            <w:noWrap/>
            <w:vAlign w:val="center"/>
            <w:hideMark/>
          </w:tcPr>
          <w:p w14:paraId="71A12F7F" w14:textId="77777777" w:rsidR="0002298F" w:rsidRPr="007D1296" w:rsidRDefault="0002298F" w:rsidP="00813B19">
            <w:pPr>
              <w:jc w:val="center"/>
              <w:rPr>
                <w:b/>
                <w:bCs/>
                <w:color w:val="000000"/>
                <w:sz w:val="16"/>
                <w:szCs w:val="16"/>
                <w:lang w:val="it-IT" w:eastAsia="it-IT"/>
              </w:rPr>
            </w:pPr>
            <w:r w:rsidRPr="007D1296">
              <w:rPr>
                <w:b/>
                <w:bCs/>
                <w:color w:val="000000"/>
                <w:sz w:val="16"/>
                <w:szCs w:val="16"/>
                <w:lang w:val="it-IT" w:eastAsia="it-IT"/>
              </w:rPr>
              <w:t>Gas</w:t>
            </w:r>
            <w:r w:rsidRPr="007D1296">
              <w:rPr>
                <w:b/>
                <w:bCs/>
                <w:color w:val="000000"/>
                <w:sz w:val="16"/>
                <w:szCs w:val="16"/>
                <w:vertAlign w:val="superscript"/>
                <w:lang w:val="it-IT" w:eastAsia="it-IT"/>
              </w:rPr>
              <w:t>a</w:t>
            </w:r>
            <w:r w:rsidRPr="007D1296">
              <w:rPr>
                <w:b/>
                <w:bCs/>
                <w:color w:val="000000"/>
                <w:sz w:val="16"/>
                <w:szCs w:val="16"/>
                <w:lang w:val="it-IT" w:eastAsia="it-IT"/>
              </w:rPr>
              <w:t xml:space="preserve"> [</w:t>
            </w:r>
            <w:proofErr w:type="spellStart"/>
            <w:proofErr w:type="gramStart"/>
            <w:r w:rsidRPr="007D1296">
              <w:rPr>
                <w:b/>
                <w:bCs/>
                <w:color w:val="000000"/>
                <w:sz w:val="16"/>
                <w:szCs w:val="16"/>
                <w:lang w:val="it-IT" w:eastAsia="it-IT"/>
              </w:rPr>
              <w:t>mol</w:t>
            </w:r>
            <w:proofErr w:type="spellEnd"/>
            <w:r w:rsidRPr="007D1296">
              <w:rPr>
                <w:b/>
                <w:bCs/>
                <w:color w:val="000000"/>
                <w:sz w:val="16"/>
                <w:szCs w:val="16"/>
                <w:lang w:val="it-IT" w:eastAsia="it-IT"/>
              </w:rPr>
              <w:t>.%</w:t>
            </w:r>
            <w:proofErr w:type="gramEnd"/>
            <w:r w:rsidRPr="007D1296">
              <w:rPr>
                <w:b/>
                <w:bCs/>
                <w:color w:val="000000"/>
                <w:sz w:val="16"/>
                <w:szCs w:val="16"/>
                <w:lang w:val="it-IT" w:eastAsia="it-IT"/>
              </w:rPr>
              <w:t>]</w:t>
            </w:r>
          </w:p>
        </w:tc>
        <w:tc>
          <w:tcPr>
            <w:tcW w:w="1047" w:type="dxa"/>
            <w:vMerge w:val="restart"/>
          </w:tcPr>
          <w:p w14:paraId="2AAA3D2C" w14:textId="77777777" w:rsidR="0002298F" w:rsidRPr="007D1296" w:rsidRDefault="0002298F" w:rsidP="00813B19">
            <w:pPr>
              <w:jc w:val="center"/>
              <w:rPr>
                <w:color w:val="000000"/>
                <w:sz w:val="16"/>
                <w:szCs w:val="16"/>
                <w:lang w:val="it-IT" w:eastAsia="it-IT"/>
              </w:rPr>
            </w:pPr>
          </w:p>
        </w:tc>
        <w:tc>
          <w:tcPr>
            <w:tcW w:w="861" w:type="dxa"/>
            <w:tcBorders>
              <w:bottom w:val="single" w:sz="4" w:space="0" w:color="auto"/>
            </w:tcBorders>
            <w:shd w:val="clear" w:color="auto" w:fill="auto"/>
            <w:noWrap/>
            <w:vAlign w:val="center"/>
          </w:tcPr>
          <w:p w14:paraId="3D7F39D2" w14:textId="77777777" w:rsidR="0002298F" w:rsidRPr="007D1296" w:rsidRDefault="0002298F" w:rsidP="00813B19">
            <w:pPr>
              <w:jc w:val="center"/>
              <w:rPr>
                <w:b/>
                <w:bCs/>
                <w:color w:val="000000"/>
                <w:sz w:val="16"/>
                <w:szCs w:val="16"/>
                <w:lang w:val="it-IT" w:eastAsia="it-IT"/>
              </w:rPr>
            </w:pPr>
          </w:p>
        </w:tc>
        <w:tc>
          <w:tcPr>
            <w:tcW w:w="992" w:type="dxa"/>
            <w:tcBorders>
              <w:bottom w:val="single" w:sz="4" w:space="0" w:color="auto"/>
            </w:tcBorders>
            <w:shd w:val="clear" w:color="auto" w:fill="auto"/>
            <w:vAlign w:val="center"/>
          </w:tcPr>
          <w:p w14:paraId="54D9FF7C" w14:textId="77777777" w:rsidR="0002298F" w:rsidRPr="007D1296" w:rsidRDefault="0002298F" w:rsidP="00813B19">
            <w:pPr>
              <w:jc w:val="center"/>
              <w:rPr>
                <w:b/>
                <w:bCs/>
                <w:color w:val="000000"/>
                <w:sz w:val="16"/>
                <w:szCs w:val="16"/>
                <w:lang w:val="it-IT" w:eastAsia="it-IT"/>
              </w:rPr>
            </w:pPr>
          </w:p>
        </w:tc>
        <w:tc>
          <w:tcPr>
            <w:tcW w:w="1417" w:type="dxa"/>
            <w:tcBorders>
              <w:bottom w:val="single" w:sz="4" w:space="0" w:color="auto"/>
            </w:tcBorders>
            <w:shd w:val="clear" w:color="auto" w:fill="auto"/>
            <w:vAlign w:val="center"/>
          </w:tcPr>
          <w:p w14:paraId="4A2B1BDA" w14:textId="77777777" w:rsidR="0002298F" w:rsidRPr="007D1296" w:rsidRDefault="0002298F" w:rsidP="00813B19">
            <w:pPr>
              <w:jc w:val="center"/>
              <w:rPr>
                <w:b/>
                <w:bCs/>
                <w:color w:val="000000"/>
                <w:sz w:val="16"/>
                <w:szCs w:val="16"/>
                <w:lang w:val="it-IT" w:eastAsia="it-IT"/>
              </w:rPr>
            </w:pPr>
          </w:p>
        </w:tc>
        <w:tc>
          <w:tcPr>
            <w:tcW w:w="841" w:type="dxa"/>
            <w:tcBorders>
              <w:bottom w:val="single" w:sz="4" w:space="0" w:color="auto"/>
            </w:tcBorders>
            <w:shd w:val="clear" w:color="auto" w:fill="auto"/>
            <w:vAlign w:val="center"/>
          </w:tcPr>
          <w:p w14:paraId="4FA80635" w14:textId="671220BF" w:rsidR="0002298F" w:rsidRPr="007D1296" w:rsidRDefault="0002298F" w:rsidP="00813B19">
            <w:pPr>
              <w:jc w:val="center"/>
              <w:rPr>
                <w:b/>
                <w:bCs/>
                <w:color w:val="000000"/>
                <w:sz w:val="16"/>
                <w:szCs w:val="16"/>
                <w:lang w:val="it-IT" w:eastAsia="it-IT"/>
              </w:rPr>
            </w:pPr>
          </w:p>
        </w:tc>
      </w:tr>
      <w:tr w:rsidR="00927AA9" w:rsidRPr="007D1296" w14:paraId="4531FB17" w14:textId="77777777" w:rsidTr="00927AA9">
        <w:trPr>
          <w:trHeight w:val="315"/>
          <w:jc w:val="center"/>
        </w:trPr>
        <w:tc>
          <w:tcPr>
            <w:tcW w:w="951" w:type="dxa"/>
            <w:tcBorders>
              <w:top w:val="single" w:sz="4" w:space="0" w:color="auto"/>
            </w:tcBorders>
            <w:shd w:val="clear" w:color="auto" w:fill="auto"/>
            <w:noWrap/>
            <w:vAlign w:val="center"/>
            <w:hideMark/>
          </w:tcPr>
          <w:p w14:paraId="1C5C79E3" w14:textId="77777777" w:rsidR="00927AA9" w:rsidRPr="007D1296" w:rsidRDefault="00927AA9" w:rsidP="0002298F">
            <w:pPr>
              <w:jc w:val="center"/>
              <w:rPr>
                <w:color w:val="000000"/>
                <w:sz w:val="16"/>
                <w:szCs w:val="16"/>
                <w:lang w:val="it-IT" w:eastAsia="it-IT"/>
              </w:rPr>
            </w:pPr>
            <w:r w:rsidRPr="007D1296">
              <w:rPr>
                <w:color w:val="000000"/>
                <w:sz w:val="16"/>
                <w:szCs w:val="16"/>
                <w:lang w:val="it-IT" w:eastAsia="it-IT"/>
              </w:rPr>
              <w:t>H</w:t>
            </w:r>
            <w:r w:rsidRPr="007D1296">
              <w:rPr>
                <w:color w:val="000000"/>
                <w:sz w:val="16"/>
                <w:szCs w:val="16"/>
                <w:vertAlign w:val="subscript"/>
                <w:lang w:val="it-IT" w:eastAsia="it-IT"/>
              </w:rPr>
              <w:t>2</w:t>
            </w:r>
          </w:p>
        </w:tc>
        <w:tc>
          <w:tcPr>
            <w:tcW w:w="969" w:type="dxa"/>
            <w:tcBorders>
              <w:top w:val="single" w:sz="4" w:space="0" w:color="auto"/>
            </w:tcBorders>
            <w:shd w:val="clear" w:color="auto" w:fill="auto"/>
            <w:noWrap/>
            <w:vAlign w:val="center"/>
            <w:hideMark/>
          </w:tcPr>
          <w:p w14:paraId="22BCCD03" w14:textId="77777777" w:rsidR="00927AA9" w:rsidRPr="007D1296" w:rsidRDefault="00927AA9" w:rsidP="0002298F">
            <w:pPr>
              <w:jc w:val="center"/>
              <w:rPr>
                <w:color w:val="000000"/>
                <w:sz w:val="16"/>
                <w:szCs w:val="16"/>
                <w:lang w:val="it-IT" w:eastAsia="it-IT"/>
              </w:rPr>
            </w:pPr>
            <w:r w:rsidRPr="007D1296">
              <w:rPr>
                <w:color w:val="000000"/>
                <w:sz w:val="16"/>
                <w:szCs w:val="16"/>
                <w:lang w:val="it-IT" w:eastAsia="it-IT"/>
              </w:rPr>
              <w:t>22.4</w:t>
            </w:r>
          </w:p>
        </w:tc>
        <w:tc>
          <w:tcPr>
            <w:tcW w:w="1047" w:type="dxa"/>
            <w:vMerge/>
          </w:tcPr>
          <w:p w14:paraId="349572C2" w14:textId="77777777" w:rsidR="00927AA9" w:rsidRPr="007D1296" w:rsidRDefault="00927AA9" w:rsidP="0002298F">
            <w:pPr>
              <w:jc w:val="center"/>
              <w:rPr>
                <w:color w:val="000000"/>
                <w:sz w:val="16"/>
                <w:szCs w:val="16"/>
                <w:lang w:val="it-IT" w:eastAsia="it-IT"/>
              </w:rPr>
            </w:pPr>
          </w:p>
        </w:tc>
        <w:tc>
          <w:tcPr>
            <w:tcW w:w="4111" w:type="dxa"/>
            <w:gridSpan w:val="4"/>
            <w:tcBorders>
              <w:top w:val="single" w:sz="4" w:space="0" w:color="auto"/>
              <w:bottom w:val="single" w:sz="4" w:space="0" w:color="auto"/>
            </w:tcBorders>
            <w:shd w:val="clear" w:color="auto" w:fill="auto"/>
            <w:noWrap/>
            <w:vAlign w:val="center"/>
          </w:tcPr>
          <w:p w14:paraId="022E4C4E" w14:textId="4DD4E2EB" w:rsidR="00927AA9" w:rsidRPr="007D1296" w:rsidRDefault="00927AA9" w:rsidP="0002298F">
            <w:pPr>
              <w:jc w:val="center"/>
              <w:rPr>
                <w:b/>
                <w:bCs/>
                <w:color w:val="000000"/>
                <w:sz w:val="16"/>
                <w:szCs w:val="16"/>
                <w:lang w:val="it-IT" w:eastAsia="it-IT"/>
              </w:rPr>
            </w:pPr>
            <w:proofErr w:type="spellStart"/>
            <w:r w:rsidRPr="007D1296">
              <w:rPr>
                <w:b/>
                <w:bCs/>
                <w:color w:val="000000"/>
                <w:sz w:val="16"/>
                <w:szCs w:val="16"/>
                <w:lang w:val="it-IT" w:eastAsia="it-IT"/>
              </w:rPr>
              <w:t>STPO</w:t>
            </w:r>
            <w:r w:rsidRPr="007D1296">
              <w:rPr>
                <w:b/>
                <w:bCs/>
                <w:color w:val="000000"/>
                <w:sz w:val="16"/>
                <w:szCs w:val="16"/>
                <w:vertAlign w:val="superscript"/>
                <w:lang w:val="it-IT" w:eastAsia="it-IT"/>
              </w:rPr>
              <w:t>b</w:t>
            </w:r>
            <w:proofErr w:type="spellEnd"/>
            <w:r w:rsidRPr="007D1296">
              <w:rPr>
                <w:b/>
                <w:bCs/>
                <w:color w:val="000000"/>
                <w:sz w:val="16"/>
                <w:szCs w:val="16"/>
                <w:lang w:val="it-IT" w:eastAsia="it-IT"/>
              </w:rPr>
              <w:t xml:space="preserve"> </w:t>
            </w:r>
          </w:p>
        </w:tc>
      </w:tr>
      <w:tr w:rsidR="00927AA9" w:rsidRPr="007D1296" w14:paraId="06C207AB" w14:textId="77777777" w:rsidTr="00927AA9">
        <w:trPr>
          <w:trHeight w:val="300"/>
          <w:jc w:val="center"/>
        </w:trPr>
        <w:tc>
          <w:tcPr>
            <w:tcW w:w="951" w:type="dxa"/>
            <w:shd w:val="clear" w:color="auto" w:fill="auto"/>
            <w:noWrap/>
            <w:vAlign w:val="center"/>
            <w:hideMark/>
          </w:tcPr>
          <w:p w14:paraId="297A8863" w14:textId="77777777" w:rsidR="00927AA9" w:rsidRPr="007D1296" w:rsidRDefault="00927AA9" w:rsidP="0002298F">
            <w:pPr>
              <w:jc w:val="center"/>
              <w:rPr>
                <w:color w:val="000000"/>
                <w:sz w:val="16"/>
                <w:szCs w:val="16"/>
                <w:lang w:val="it-IT" w:eastAsia="it-IT"/>
              </w:rPr>
            </w:pPr>
            <w:proofErr w:type="spellStart"/>
            <w:r w:rsidRPr="007D1296">
              <w:rPr>
                <w:color w:val="000000"/>
                <w:sz w:val="16"/>
                <w:szCs w:val="16"/>
                <w:lang w:val="it-IT" w:eastAsia="it-IT"/>
              </w:rPr>
              <w:t>CO</w:t>
            </w:r>
            <w:r w:rsidRPr="007D1296">
              <w:rPr>
                <w:color w:val="000000"/>
                <w:sz w:val="16"/>
                <w:szCs w:val="16"/>
                <w:vertAlign w:val="subscript"/>
                <w:lang w:val="it-IT" w:eastAsia="it-IT"/>
              </w:rPr>
              <w:t>x</w:t>
            </w:r>
            <w:proofErr w:type="spellEnd"/>
          </w:p>
        </w:tc>
        <w:tc>
          <w:tcPr>
            <w:tcW w:w="969" w:type="dxa"/>
            <w:shd w:val="clear" w:color="auto" w:fill="auto"/>
            <w:noWrap/>
            <w:vAlign w:val="center"/>
            <w:hideMark/>
          </w:tcPr>
          <w:p w14:paraId="5CCEFF13" w14:textId="77777777" w:rsidR="00927AA9" w:rsidRPr="007D1296" w:rsidRDefault="00927AA9" w:rsidP="0002298F">
            <w:pPr>
              <w:jc w:val="center"/>
              <w:rPr>
                <w:color w:val="000000"/>
                <w:sz w:val="16"/>
                <w:szCs w:val="16"/>
                <w:lang w:val="it-IT" w:eastAsia="it-IT"/>
              </w:rPr>
            </w:pPr>
            <w:r w:rsidRPr="007D1296">
              <w:rPr>
                <w:color w:val="000000"/>
                <w:sz w:val="16"/>
                <w:szCs w:val="16"/>
                <w:lang w:val="it-IT" w:eastAsia="it-IT"/>
              </w:rPr>
              <w:t>22.3</w:t>
            </w:r>
          </w:p>
        </w:tc>
        <w:tc>
          <w:tcPr>
            <w:tcW w:w="1047" w:type="dxa"/>
            <w:vMerge/>
          </w:tcPr>
          <w:p w14:paraId="49C6C0E1" w14:textId="77777777" w:rsidR="00927AA9" w:rsidRPr="007D1296" w:rsidRDefault="00927AA9" w:rsidP="0002298F">
            <w:pPr>
              <w:jc w:val="center"/>
              <w:rPr>
                <w:color w:val="000000"/>
                <w:sz w:val="16"/>
                <w:szCs w:val="16"/>
                <w:lang w:val="it-IT" w:eastAsia="it-IT"/>
              </w:rPr>
            </w:pPr>
          </w:p>
        </w:tc>
        <w:tc>
          <w:tcPr>
            <w:tcW w:w="1853" w:type="dxa"/>
            <w:gridSpan w:val="2"/>
            <w:tcBorders>
              <w:top w:val="single" w:sz="4" w:space="0" w:color="auto"/>
              <w:bottom w:val="single" w:sz="4" w:space="0" w:color="auto"/>
              <w:right w:val="single" w:sz="4" w:space="0" w:color="auto"/>
            </w:tcBorders>
            <w:shd w:val="clear" w:color="auto" w:fill="auto"/>
            <w:noWrap/>
            <w:vAlign w:val="center"/>
          </w:tcPr>
          <w:p w14:paraId="3AEED3B3" w14:textId="20A9A381" w:rsidR="00927AA9" w:rsidRPr="007D1296" w:rsidRDefault="00927AA9" w:rsidP="0002298F">
            <w:pPr>
              <w:jc w:val="center"/>
              <w:rPr>
                <w:color w:val="000000"/>
                <w:sz w:val="16"/>
                <w:szCs w:val="16"/>
                <w:lang w:val="it-IT" w:eastAsia="it-IT"/>
              </w:rPr>
            </w:pPr>
            <w:proofErr w:type="spellStart"/>
            <w:r w:rsidRPr="007D1296">
              <w:rPr>
                <w:b/>
                <w:bCs/>
                <w:color w:val="000000"/>
                <w:sz w:val="16"/>
                <w:szCs w:val="16"/>
                <w:lang w:val="it-IT" w:eastAsia="it-IT"/>
              </w:rPr>
              <w:t>Oil</w:t>
            </w:r>
            <w:proofErr w:type="spellEnd"/>
            <w:r w:rsidRPr="007D1296">
              <w:rPr>
                <w:b/>
                <w:bCs/>
                <w:color w:val="000000"/>
                <w:sz w:val="16"/>
                <w:szCs w:val="16"/>
                <w:lang w:val="it-IT" w:eastAsia="it-IT"/>
              </w:rPr>
              <w:t xml:space="preserve"> </w:t>
            </w:r>
            <w:proofErr w:type="spellStart"/>
            <w:r w:rsidRPr="007D1296">
              <w:rPr>
                <w:b/>
                <w:bCs/>
                <w:color w:val="000000"/>
                <w:sz w:val="16"/>
                <w:szCs w:val="16"/>
                <w:lang w:val="it-IT" w:eastAsia="it-IT"/>
              </w:rPr>
              <w:t>Cut</w:t>
            </w:r>
            <w:proofErr w:type="spellEnd"/>
            <w:r w:rsidRPr="007D1296">
              <w:rPr>
                <w:b/>
                <w:bCs/>
                <w:color w:val="000000"/>
                <w:sz w:val="16"/>
                <w:szCs w:val="16"/>
                <w:lang w:val="it-IT" w:eastAsia="it-IT"/>
              </w:rPr>
              <w:t xml:space="preserve"> [w.t.%]</w:t>
            </w:r>
          </w:p>
        </w:tc>
        <w:tc>
          <w:tcPr>
            <w:tcW w:w="2258" w:type="dxa"/>
            <w:gridSpan w:val="2"/>
            <w:tcBorders>
              <w:top w:val="single" w:sz="4" w:space="0" w:color="auto"/>
              <w:left w:val="single" w:sz="4" w:space="0" w:color="auto"/>
              <w:bottom w:val="single" w:sz="4" w:space="0" w:color="auto"/>
            </w:tcBorders>
            <w:shd w:val="clear" w:color="auto" w:fill="auto"/>
            <w:noWrap/>
            <w:vAlign w:val="center"/>
          </w:tcPr>
          <w:p w14:paraId="5D65001C" w14:textId="3B35F6F0" w:rsidR="00927AA9" w:rsidRPr="007D1296" w:rsidRDefault="00927AA9" w:rsidP="0002298F">
            <w:pPr>
              <w:jc w:val="center"/>
              <w:rPr>
                <w:color w:val="000000"/>
                <w:sz w:val="16"/>
                <w:szCs w:val="16"/>
                <w:lang w:val="it-IT" w:eastAsia="it-IT"/>
              </w:rPr>
            </w:pPr>
            <w:r w:rsidRPr="007D1296">
              <w:rPr>
                <w:b/>
                <w:bCs/>
                <w:color w:val="000000"/>
                <w:sz w:val="16"/>
                <w:szCs w:val="16"/>
                <w:lang w:val="it-IT" w:eastAsia="it-IT"/>
              </w:rPr>
              <w:t>Functional Group [w.t.%]</w:t>
            </w:r>
          </w:p>
        </w:tc>
      </w:tr>
      <w:tr w:rsidR="0002298F" w:rsidRPr="007D1296" w14:paraId="4B1B9505" w14:textId="77777777" w:rsidTr="00927AA9">
        <w:trPr>
          <w:trHeight w:val="300"/>
          <w:jc w:val="center"/>
        </w:trPr>
        <w:tc>
          <w:tcPr>
            <w:tcW w:w="951" w:type="dxa"/>
            <w:shd w:val="clear" w:color="auto" w:fill="auto"/>
            <w:noWrap/>
            <w:vAlign w:val="center"/>
            <w:hideMark/>
          </w:tcPr>
          <w:p w14:paraId="5CACE843"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C</w:t>
            </w:r>
            <w:r w:rsidRPr="007D1296">
              <w:rPr>
                <w:color w:val="000000"/>
                <w:sz w:val="16"/>
                <w:szCs w:val="16"/>
                <w:vertAlign w:val="subscript"/>
                <w:lang w:val="it-IT" w:eastAsia="it-IT"/>
              </w:rPr>
              <w:t>1</w:t>
            </w:r>
          </w:p>
        </w:tc>
        <w:tc>
          <w:tcPr>
            <w:tcW w:w="969" w:type="dxa"/>
            <w:shd w:val="clear" w:color="auto" w:fill="auto"/>
            <w:noWrap/>
            <w:vAlign w:val="center"/>
            <w:hideMark/>
          </w:tcPr>
          <w:p w14:paraId="70573491"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24.9</w:t>
            </w:r>
          </w:p>
        </w:tc>
        <w:tc>
          <w:tcPr>
            <w:tcW w:w="1047" w:type="dxa"/>
          </w:tcPr>
          <w:p w14:paraId="10F45F33" w14:textId="77777777" w:rsidR="0002298F" w:rsidRPr="007D1296" w:rsidRDefault="0002298F" w:rsidP="0002298F">
            <w:pPr>
              <w:jc w:val="center"/>
              <w:rPr>
                <w:color w:val="000000"/>
                <w:sz w:val="16"/>
                <w:szCs w:val="16"/>
                <w:lang w:val="it-IT" w:eastAsia="it-IT"/>
              </w:rPr>
            </w:pPr>
          </w:p>
        </w:tc>
        <w:tc>
          <w:tcPr>
            <w:tcW w:w="861" w:type="dxa"/>
            <w:tcBorders>
              <w:top w:val="single" w:sz="4" w:space="0" w:color="auto"/>
            </w:tcBorders>
            <w:shd w:val="clear" w:color="auto" w:fill="auto"/>
            <w:noWrap/>
            <w:vAlign w:val="center"/>
          </w:tcPr>
          <w:p w14:paraId="5C88A3E6" w14:textId="7614845B" w:rsidR="0002298F" w:rsidRPr="007D1296" w:rsidRDefault="0002298F" w:rsidP="0002298F">
            <w:pPr>
              <w:jc w:val="center"/>
              <w:rPr>
                <w:color w:val="000000"/>
                <w:sz w:val="16"/>
                <w:szCs w:val="16"/>
                <w:lang w:val="it-IT" w:eastAsia="it-IT"/>
              </w:rPr>
            </w:pPr>
            <w:proofErr w:type="spellStart"/>
            <w:r w:rsidRPr="007D1296">
              <w:rPr>
                <w:color w:val="000000"/>
                <w:sz w:val="16"/>
                <w:szCs w:val="16"/>
                <w:lang w:val="it-IT" w:eastAsia="it-IT"/>
              </w:rPr>
              <w:t>Gasoil</w:t>
            </w:r>
            <w:proofErr w:type="spellEnd"/>
          </w:p>
        </w:tc>
        <w:tc>
          <w:tcPr>
            <w:tcW w:w="992" w:type="dxa"/>
            <w:tcBorders>
              <w:top w:val="single" w:sz="4" w:space="0" w:color="auto"/>
              <w:right w:val="single" w:sz="4" w:space="0" w:color="auto"/>
            </w:tcBorders>
            <w:shd w:val="clear" w:color="auto" w:fill="auto"/>
            <w:noWrap/>
            <w:vAlign w:val="center"/>
          </w:tcPr>
          <w:p w14:paraId="010486E6" w14:textId="0C269DC8" w:rsidR="0002298F" w:rsidRPr="007D1296" w:rsidRDefault="0002298F" w:rsidP="0002298F">
            <w:pPr>
              <w:jc w:val="center"/>
              <w:rPr>
                <w:color w:val="000000"/>
                <w:sz w:val="16"/>
                <w:szCs w:val="16"/>
                <w:lang w:val="it-IT" w:eastAsia="it-IT"/>
              </w:rPr>
            </w:pPr>
            <w:r w:rsidRPr="007D1296">
              <w:rPr>
                <w:color w:val="000000"/>
                <w:sz w:val="16"/>
                <w:szCs w:val="16"/>
                <w:lang w:val="it-IT" w:eastAsia="it-IT"/>
              </w:rPr>
              <w:t>19.4</w:t>
            </w:r>
          </w:p>
        </w:tc>
        <w:tc>
          <w:tcPr>
            <w:tcW w:w="1417" w:type="dxa"/>
            <w:tcBorders>
              <w:top w:val="single" w:sz="4" w:space="0" w:color="auto"/>
              <w:left w:val="single" w:sz="4" w:space="0" w:color="auto"/>
            </w:tcBorders>
            <w:shd w:val="clear" w:color="auto" w:fill="auto"/>
            <w:noWrap/>
            <w:vAlign w:val="center"/>
          </w:tcPr>
          <w:p w14:paraId="25B7DEF4" w14:textId="407FCBE9" w:rsidR="0002298F" w:rsidRPr="007D1296" w:rsidRDefault="0002298F" w:rsidP="0002298F">
            <w:pPr>
              <w:jc w:val="center"/>
              <w:rPr>
                <w:color w:val="000000"/>
                <w:sz w:val="16"/>
                <w:szCs w:val="16"/>
                <w:lang w:val="it-IT" w:eastAsia="it-IT"/>
              </w:rPr>
            </w:pPr>
            <w:proofErr w:type="spellStart"/>
            <w:r w:rsidRPr="007D1296">
              <w:rPr>
                <w:color w:val="000000"/>
                <w:sz w:val="16"/>
                <w:szCs w:val="16"/>
                <w:lang w:val="it-IT" w:eastAsia="it-IT"/>
              </w:rPr>
              <w:t>Aromatic</w:t>
            </w:r>
            <w:proofErr w:type="spellEnd"/>
            <w:r w:rsidRPr="007D1296">
              <w:rPr>
                <w:color w:val="000000"/>
                <w:sz w:val="16"/>
                <w:szCs w:val="16"/>
                <w:lang w:val="it-IT" w:eastAsia="it-IT"/>
              </w:rPr>
              <w:t xml:space="preserve"> 2-ring</w:t>
            </w:r>
          </w:p>
        </w:tc>
        <w:tc>
          <w:tcPr>
            <w:tcW w:w="841" w:type="dxa"/>
            <w:tcBorders>
              <w:top w:val="single" w:sz="4" w:space="0" w:color="auto"/>
            </w:tcBorders>
            <w:shd w:val="clear" w:color="auto" w:fill="auto"/>
            <w:noWrap/>
            <w:vAlign w:val="center"/>
          </w:tcPr>
          <w:p w14:paraId="19F0EF5D" w14:textId="01BE83B6" w:rsidR="0002298F" w:rsidRPr="007D1296" w:rsidRDefault="0002298F" w:rsidP="0002298F">
            <w:pPr>
              <w:jc w:val="center"/>
              <w:rPr>
                <w:color w:val="000000"/>
                <w:sz w:val="16"/>
                <w:szCs w:val="16"/>
                <w:lang w:val="it-IT" w:eastAsia="it-IT"/>
              </w:rPr>
            </w:pPr>
            <w:r w:rsidRPr="007D1296">
              <w:rPr>
                <w:color w:val="000000"/>
                <w:sz w:val="16"/>
                <w:szCs w:val="16"/>
                <w:lang w:val="it-IT" w:eastAsia="it-IT"/>
              </w:rPr>
              <w:t>26.5</w:t>
            </w:r>
          </w:p>
        </w:tc>
      </w:tr>
      <w:tr w:rsidR="0002298F" w:rsidRPr="007D1296" w14:paraId="1D51C87F" w14:textId="77777777" w:rsidTr="00927AA9">
        <w:trPr>
          <w:trHeight w:val="300"/>
          <w:jc w:val="center"/>
        </w:trPr>
        <w:tc>
          <w:tcPr>
            <w:tcW w:w="951" w:type="dxa"/>
            <w:shd w:val="clear" w:color="auto" w:fill="auto"/>
            <w:noWrap/>
            <w:vAlign w:val="center"/>
            <w:hideMark/>
          </w:tcPr>
          <w:p w14:paraId="7C30B4EC"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C</w:t>
            </w:r>
            <w:r w:rsidRPr="007D1296">
              <w:rPr>
                <w:color w:val="000000"/>
                <w:sz w:val="16"/>
                <w:szCs w:val="16"/>
                <w:vertAlign w:val="subscript"/>
                <w:lang w:val="it-IT" w:eastAsia="it-IT"/>
              </w:rPr>
              <w:t>2</w:t>
            </w:r>
          </w:p>
        </w:tc>
        <w:tc>
          <w:tcPr>
            <w:tcW w:w="969" w:type="dxa"/>
            <w:shd w:val="clear" w:color="auto" w:fill="auto"/>
            <w:noWrap/>
            <w:vAlign w:val="center"/>
            <w:hideMark/>
          </w:tcPr>
          <w:p w14:paraId="7399AAA2"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14.1</w:t>
            </w:r>
          </w:p>
        </w:tc>
        <w:tc>
          <w:tcPr>
            <w:tcW w:w="1047" w:type="dxa"/>
          </w:tcPr>
          <w:p w14:paraId="5103F183" w14:textId="77777777" w:rsidR="0002298F" w:rsidRPr="007D1296" w:rsidRDefault="0002298F" w:rsidP="0002298F">
            <w:pPr>
              <w:jc w:val="center"/>
              <w:rPr>
                <w:color w:val="000000"/>
                <w:sz w:val="16"/>
                <w:szCs w:val="16"/>
                <w:lang w:val="it-IT" w:eastAsia="it-IT"/>
              </w:rPr>
            </w:pPr>
          </w:p>
        </w:tc>
        <w:tc>
          <w:tcPr>
            <w:tcW w:w="861" w:type="dxa"/>
            <w:shd w:val="clear" w:color="auto" w:fill="auto"/>
            <w:noWrap/>
            <w:vAlign w:val="center"/>
          </w:tcPr>
          <w:p w14:paraId="6933EE14" w14:textId="04CF9D56" w:rsidR="0002298F" w:rsidRPr="007D1296" w:rsidRDefault="0002298F" w:rsidP="0002298F">
            <w:pPr>
              <w:jc w:val="center"/>
              <w:rPr>
                <w:color w:val="000000"/>
                <w:sz w:val="16"/>
                <w:szCs w:val="16"/>
                <w:lang w:val="it-IT" w:eastAsia="it-IT"/>
              </w:rPr>
            </w:pPr>
            <w:r w:rsidRPr="007D1296">
              <w:rPr>
                <w:color w:val="000000"/>
                <w:sz w:val="16"/>
                <w:szCs w:val="16"/>
                <w:lang w:val="it-IT" w:eastAsia="it-IT"/>
              </w:rPr>
              <w:t>Diesel</w:t>
            </w:r>
          </w:p>
        </w:tc>
        <w:tc>
          <w:tcPr>
            <w:tcW w:w="992" w:type="dxa"/>
            <w:tcBorders>
              <w:right w:val="single" w:sz="4" w:space="0" w:color="auto"/>
            </w:tcBorders>
            <w:shd w:val="clear" w:color="auto" w:fill="auto"/>
            <w:noWrap/>
            <w:vAlign w:val="center"/>
          </w:tcPr>
          <w:p w14:paraId="08415E65" w14:textId="2BD392E9" w:rsidR="0002298F" w:rsidRPr="007D1296" w:rsidRDefault="0002298F" w:rsidP="0002298F">
            <w:pPr>
              <w:jc w:val="center"/>
              <w:rPr>
                <w:color w:val="000000"/>
                <w:sz w:val="16"/>
                <w:szCs w:val="16"/>
                <w:lang w:val="it-IT" w:eastAsia="it-IT"/>
              </w:rPr>
            </w:pPr>
            <w:r w:rsidRPr="007D1296">
              <w:rPr>
                <w:color w:val="000000"/>
                <w:sz w:val="16"/>
                <w:szCs w:val="16"/>
                <w:lang w:val="it-IT" w:eastAsia="it-IT"/>
              </w:rPr>
              <w:t>43.6</w:t>
            </w:r>
          </w:p>
        </w:tc>
        <w:tc>
          <w:tcPr>
            <w:tcW w:w="1417" w:type="dxa"/>
            <w:tcBorders>
              <w:left w:val="single" w:sz="4" w:space="0" w:color="auto"/>
            </w:tcBorders>
            <w:shd w:val="clear" w:color="auto" w:fill="auto"/>
            <w:noWrap/>
            <w:vAlign w:val="center"/>
          </w:tcPr>
          <w:p w14:paraId="4ECEF619" w14:textId="6EB7B49F" w:rsidR="0002298F" w:rsidRPr="007D1296" w:rsidRDefault="0002298F" w:rsidP="0002298F">
            <w:pPr>
              <w:jc w:val="center"/>
              <w:rPr>
                <w:color w:val="000000"/>
                <w:sz w:val="16"/>
                <w:szCs w:val="16"/>
                <w:lang w:val="it-IT" w:eastAsia="it-IT"/>
              </w:rPr>
            </w:pPr>
            <w:proofErr w:type="spellStart"/>
            <w:r w:rsidRPr="007D1296">
              <w:rPr>
                <w:color w:val="000000"/>
                <w:sz w:val="16"/>
                <w:szCs w:val="16"/>
                <w:lang w:val="it-IT" w:eastAsia="it-IT"/>
              </w:rPr>
              <w:t>Aromatic</w:t>
            </w:r>
            <w:proofErr w:type="spellEnd"/>
            <w:r w:rsidRPr="007D1296">
              <w:rPr>
                <w:color w:val="000000"/>
                <w:sz w:val="16"/>
                <w:szCs w:val="16"/>
                <w:lang w:val="it-IT" w:eastAsia="it-IT"/>
              </w:rPr>
              <w:t xml:space="preserve"> 1-ring</w:t>
            </w:r>
          </w:p>
        </w:tc>
        <w:tc>
          <w:tcPr>
            <w:tcW w:w="841" w:type="dxa"/>
            <w:shd w:val="clear" w:color="auto" w:fill="auto"/>
            <w:noWrap/>
            <w:vAlign w:val="center"/>
          </w:tcPr>
          <w:p w14:paraId="74C3F9C4" w14:textId="18992D5D" w:rsidR="0002298F" w:rsidRPr="007D1296" w:rsidRDefault="0002298F" w:rsidP="0002298F">
            <w:pPr>
              <w:jc w:val="center"/>
              <w:rPr>
                <w:color w:val="000000"/>
                <w:sz w:val="16"/>
                <w:szCs w:val="16"/>
                <w:lang w:val="it-IT" w:eastAsia="it-IT"/>
              </w:rPr>
            </w:pPr>
            <w:r w:rsidRPr="007D1296">
              <w:rPr>
                <w:color w:val="000000"/>
                <w:sz w:val="16"/>
                <w:szCs w:val="16"/>
                <w:lang w:val="it-IT" w:eastAsia="it-IT"/>
              </w:rPr>
              <w:t>16.3</w:t>
            </w:r>
          </w:p>
        </w:tc>
      </w:tr>
      <w:tr w:rsidR="0002298F" w:rsidRPr="007D1296" w14:paraId="3F764B2A" w14:textId="77777777" w:rsidTr="00927AA9">
        <w:trPr>
          <w:trHeight w:val="300"/>
          <w:jc w:val="center"/>
        </w:trPr>
        <w:tc>
          <w:tcPr>
            <w:tcW w:w="951" w:type="dxa"/>
            <w:shd w:val="clear" w:color="auto" w:fill="auto"/>
            <w:noWrap/>
            <w:vAlign w:val="center"/>
            <w:hideMark/>
          </w:tcPr>
          <w:p w14:paraId="65856004"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C</w:t>
            </w:r>
            <w:r w:rsidRPr="007D1296">
              <w:rPr>
                <w:color w:val="000000"/>
                <w:sz w:val="16"/>
                <w:szCs w:val="16"/>
                <w:vertAlign w:val="subscript"/>
                <w:lang w:val="it-IT" w:eastAsia="it-IT"/>
              </w:rPr>
              <w:t>3+</w:t>
            </w:r>
          </w:p>
        </w:tc>
        <w:tc>
          <w:tcPr>
            <w:tcW w:w="969" w:type="dxa"/>
            <w:shd w:val="clear" w:color="auto" w:fill="auto"/>
            <w:noWrap/>
            <w:vAlign w:val="center"/>
            <w:hideMark/>
          </w:tcPr>
          <w:p w14:paraId="48C155EA"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6.1</w:t>
            </w:r>
          </w:p>
        </w:tc>
        <w:tc>
          <w:tcPr>
            <w:tcW w:w="1047" w:type="dxa"/>
          </w:tcPr>
          <w:p w14:paraId="62C90B47" w14:textId="77777777" w:rsidR="0002298F" w:rsidRPr="007D1296" w:rsidRDefault="0002298F" w:rsidP="0002298F">
            <w:pPr>
              <w:jc w:val="center"/>
              <w:rPr>
                <w:color w:val="000000"/>
                <w:sz w:val="16"/>
                <w:szCs w:val="16"/>
                <w:lang w:val="it-IT" w:eastAsia="it-IT"/>
              </w:rPr>
            </w:pPr>
          </w:p>
        </w:tc>
        <w:tc>
          <w:tcPr>
            <w:tcW w:w="861" w:type="dxa"/>
            <w:shd w:val="clear" w:color="auto" w:fill="auto"/>
            <w:noWrap/>
            <w:vAlign w:val="center"/>
          </w:tcPr>
          <w:p w14:paraId="3C09D164" w14:textId="476E12BD" w:rsidR="0002298F" w:rsidRPr="007D1296" w:rsidRDefault="0002298F" w:rsidP="0002298F">
            <w:pPr>
              <w:jc w:val="center"/>
              <w:rPr>
                <w:color w:val="000000"/>
                <w:sz w:val="16"/>
                <w:szCs w:val="16"/>
                <w:lang w:val="it-IT" w:eastAsia="it-IT"/>
              </w:rPr>
            </w:pPr>
            <w:proofErr w:type="spellStart"/>
            <w:r w:rsidRPr="007D1296">
              <w:rPr>
                <w:color w:val="000000"/>
                <w:sz w:val="16"/>
                <w:szCs w:val="16"/>
                <w:lang w:val="it-IT" w:eastAsia="it-IT"/>
              </w:rPr>
              <w:t>Nap</w:t>
            </w:r>
            <w:r>
              <w:rPr>
                <w:color w:val="000000"/>
                <w:sz w:val="16"/>
                <w:szCs w:val="16"/>
                <w:lang w:val="it-IT" w:eastAsia="it-IT"/>
              </w:rPr>
              <w:t>h</w:t>
            </w:r>
            <w:r w:rsidRPr="007D1296">
              <w:rPr>
                <w:color w:val="000000"/>
                <w:sz w:val="16"/>
                <w:szCs w:val="16"/>
                <w:lang w:val="it-IT" w:eastAsia="it-IT"/>
              </w:rPr>
              <w:t>tha</w:t>
            </w:r>
            <w:proofErr w:type="spellEnd"/>
          </w:p>
        </w:tc>
        <w:tc>
          <w:tcPr>
            <w:tcW w:w="992" w:type="dxa"/>
            <w:tcBorders>
              <w:right w:val="single" w:sz="4" w:space="0" w:color="auto"/>
            </w:tcBorders>
            <w:shd w:val="clear" w:color="auto" w:fill="auto"/>
            <w:noWrap/>
            <w:vAlign w:val="center"/>
          </w:tcPr>
          <w:p w14:paraId="5FB2CBEF" w14:textId="68FAB0E2" w:rsidR="0002298F" w:rsidRPr="007D1296" w:rsidRDefault="0002298F" w:rsidP="0002298F">
            <w:pPr>
              <w:jc w:val="center"/>
              <w:rPr>
                <w:color w:val="000000"/>
                <w:sz w:val="16"/>
                <w:szCs w:val="16"/>
                <w:lang w:val="it-IT" w:eastAsia="it-IT"/>
              </w:rPr>
            </w:pPr>
            <w:r w:rsidRPr="007D1296">
              <w:rPr>
                <w:color w:val="000000"/>
                <w:sz w:val="16"/>
                <w:szCs w:val="16"/>
                <w:lang w:val="it-IT" w:eastAsia="it-IT"/>
              </w:rPr>
              <w:t>31</w:t>
            </w:r>
            <w:r w:rsidR="000D0C5D">
              <w:rPr>
                <w:color w:val="000000"/>
                <w:sz w:val="16"/>
                <w:szCs w:val="16"/>
                <w:lang w:val="it-IT" w:eastAsia="it-IT"/>
              </w:rPr>
              <w:t>.1</w:t>
            </w:r>
          </w:p>
        </w:tc>
        <w:tc>
          <w:tcPr>
            <w:tcW w:w="1417" w:type="dxa"/>
            <w:tcBorders>
              <w:left w:val="single" w:sz="4" w:space="0" w:color="auto"/>
            </w:tcBorders>
            <w:shd w:val="clear" w:color="auto" w:fill="auto"/>
            <w:noWrap/>
            <w:vAlign w:val="center"/>
          </w:tcPr>
          <w:p w14:paraId="69466B29" w14:textId="03F314E0" w:rsidR="0002298F" w:rsidRPr="007D1296" w:rsidRDefault="0002298F" w:rsidP="0002298F">
            <w:pPr>
              <w:jc w:val="center"/>
              <w:rPr>
                <w:color w:val="000000"/>
                <w:sz w:val="16"/>
                <w:szCs w:val="16"/>
                <w:lang w:val="it-IT" w:eastAsia="it-IT"/>
              </w:rPr>
            </w:pPr>
            <w:proofErr w:type="spellStart"/>
            <w:r w:rsidRPr="007D1296">
              <w:rPr>
                <w:color w:val="000000"/>
                <w:sz w:val="16"/>
                <w:szCs w:val="16"/>
                <w:lang w:val="it-IT" w:eastAsia="it-IT"/>
              </w:rPr>
              <w:t>Napht</w:t>
            </w:r>
            <w:r w:rsidR="00521B1B">
              <w:rPr>
                <w:color w:val="000000"/>
                <w:sz w:val="16"/>
                <w:szCs w:val="16"/>
                <w:lang w:val="it-IT" w:eastAsia="it-IT"/>
              </w:rPr>
              <w:t>h</w:t>
            </w:r>
            <w:r w:rsidRPr="007D1296">
              <w:rPr>
                <w:color w:val="000000"/>
                <w:sz w:val="16"/>
                <w:szCs w:val="16"/>
                <w:lang w:val="it-IT" w:eastAsia="it-IT"/>
              </w:rPr>
              <w:t>enes</w:t>
            </w:r>
            <w:proofErr w:type="spellEnd"/>
          </w:p>
        </w:tc>
        <w:tc>
          <w:tcPr>
            <w:tcW w:w="841" w:type="dxa"/>
            <w:shd w:val="clear" w:color="auto" w:fill="auto"/>
            <w:noWrap/>
            <w:vAlign w:val="center"/>
          </w:tcPr>
          <w:p w14:paraId="4D89EDD8" w14:textId="21080810" w:rsidR="0002298F" w:rsidRPr="007D1296" w:rsidRDefault="0002298F" w:rsidP="0002298F">
            <w:pPr>
              <w:jc w:val="center"/>
              <w:rPr>
                <w:color w:val="000000"/>
                <w:sz w:val="16"/>
                <w:szCs w:val="16"/>
                <w:lang w:val="it-IT" w:eastAsia="it-IT"/>
              </w:rPr>
            </w:pPr>
            <w:r w:rsidRPr="007D1296">
              <w:rPr>
                <w:color w:val="000000"/>
                <w:sz w:val="16"/>
                <w:szCs w:val="16"/>
                <w:lang w:val="it-IT" w:eastAsia="it-IT"/>
              </w:rPr>
              <w:t>32</w:t>
            </w:r>
            <w:r w:rsidR="00521B1B">
              <w:rPr>
                <w:color w:val="000000"/>
                <w:sz w:val="16"/>
                <w:szCs w:val="16"/>
                <w:lang w:val="it-IT" w:eastAsia="it-IT"/>
              </w:rPr>
              <w:t>.2</w:t>
            </w:r>
          </w:p>
        </w:tc>
      </w:tr>
      <w:tr w:rsidR="0002298F" w:rsidRPr="007D1296" w14:paraId="5536D631" w14:textId="77777777" w:rsidTr="00927AA9">
        <w:trPr>
          <w:trHeight w:val="315"/>
          <w:jc w:val="center"/>
        </w:trPr>
        <w:tc>
          <w:tcPr>
            <w:tcW w:w="951" w:type="dxa"/>
            <w:shd w:val="clear" w:color="auto" w:fill="auto"/>
            <w:noWrap/>
            <w:vAlign w:val="center"/>
            <w:hideMark/>
          </w:tcPr>
          <w:p w14:paraId="382E5FFA"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H</w:t>
            </w:r>
            <w:r w:rsidRPr="007D1296">
              <w:rPr>
                <w:color w:val="000000"/>
                <w:sz w:val="16"/>
                <w:szCs w:val="16"/>
                <w:vertAlign w:val="subscript"/>
                <w:lang w:val="it-IT" w:eastAsia="it-IT"/>
              </w:rPr>
              <w:t>2</w:t>
            </w:r>
            <w:r w:rsidRPr="007D1296">
              <w:rPr>
                <w:color w:val="000000"/>
                <w:sz w:val="16"/>
                <w:szCs w:val="16"/>
                <w:lang w:val="it-IT" w:eastAsia="it-IT"/>
              </w:rPr>
              <w:t>S</w:t>
            </w:r>
          </w:p>
        </w:tc>
        <w:tc>
          <w:tcPr>
            <w:tcW w:w="969" w:type="dxa"/>
            <w:shd w:val="clear" w:color="auto" w:fill="auto"/>
            <w:noWrap/>
            <w:vAlign w:val="center"/>
            <w:hideMark/>
          </w:tcPr>
          <w:p w14:paraId="6624CBDD" w14:textId="77777777" w:rsidR="0002298F" w:rsidRPr="007D1296" w:rsidRDefault="0002298F" w:rsidP="0002298F">
            <w:pPr>
              <w:jc w:val="center"/>
              <w:rPr>
                <w:color w:val="000000"/>
                <w:sz w:val="16"/>
                <w:szCs w:val="16"/>
                <w:lang w:val="it-IT" w:eastAsia="it-IT"/>
              </w:rPr>
            </w:pPr>
            <w:r w:rsidRPr="007D1296">
              <w:rPr>
                <w:color w:val="000000"/>
                <w:sz w:val="16"/>
                <w:szCs w:val="16"/>
                <w:lang w:val="it-IT" w:eastAsia="it-IT"/>
              </w:rPr>
              <w:t>7.8</w:t>
            </w:r>
          </w:p>
        </w:tc>
        <w:tc>
          <w:tcPr>
            <w:tcW w:w="1047" w:type="dxa"/>
          </w:tcPr>
          <w:p w14:paraId="66AE2420" w14:textId="77777777" w:rsidR="0002298F" w:rsidRPr="007D1296" w:rsidRDefault="0002298F" w:rsidP="0002298F">
            <w:pPr>
              <w:rPr>
                <w:color w:val="000000"/>
                <w:sz w:val="16"/>
                <w:szCs w:val="16"/>
                <w:lang w:val="it-IT" w:eastAsia="it-IT"/>
              </w:rPr>
            </w:pPr>
          </w:p>
        </w:tc>
        <w:tc>
          <w:tcPr>
            <w:tcW w:w="861" w:type="dxa"/>
            <w:tcBorders>
              <w:bottom w:val="single" w:sz="4" w:space="0" w:color="auto"/>
            </w:tcBorders>
            <w:shd w:val="clear" w:color="auto" w:fill="auto"/>
            <w:noWrap/>
            <w:vAlign w:val="center"/>
            <w:hideMark/>
          </w:tcPr>
          <w:p w14:paraId="18B0242E" w14:textId="67FA9918" w:rsidR="0002298F" w:rsidRPr="007D1296" w:rsidRDefault="0002298F" w:rsidP="00927AA9">
            <w:pPr>
              <w:jc w:val="center"/>
              <w:rPr>
                <w:color w:val="000000"/>
                <w:sz w:val="16"/>
                <w:szCs w:val="16"/>
                <w:lang w:val="it-IT" w:eastAsia="it-IT"/>
              </w:rPr>
            </w:pPr>
            <w:r w:rsidRPr="007D1296">
              <w:rPr>
                <w:color w:val="000000"/>
                <w:sz w:val="16"/>
                <w:szCs w:val="16"/>
                <w:lang w:val="it-IT" w:eastAsia="it-IT"/>
              </w:rPr>
              <w:t>Water</w:t>
            </w:r>
          </w:p>
        </w:tc>
        <w:tc>
          <w:tcPr>
            <w:tcW w:w="992" w:type="dxa"/>
            <w:tcBorders>
              <w:bottom w:val="single" w:sz="4" w:space="0" w:color="auto"/>
              <w:right w:val="single" w:sz="4" w:space="0" w:color="auto"/>
            </w:tcBorders>
            <w:shd w:val="clear" w:color="auto" w:fill="auto"/>
            <w:vAlign w:val="center"/>
          </w:tcPr>
          <w:p w14:paraId="3868BE78" w14:textId="13D01AF8" w:rsidR="0002298F" w:rsidRPr="007D1296" w:rsidRDefault="0002298F" w:rsidP="00927AA9">
            <w:pPr>
              <w:jc w:val="center"/>
              <w:rPr>
                <w:color w:val="000000"/>
                <w:sz w:val="16"/>
                <w:szCs w:val="16"/>
                <w:lang w:val="it-IT" w:eastAsia="it-IT"/>
              </w:rPr>
            </w:pPr>
            <w:r w:rsidRPr="007D1296">
              <w:rPr>
                <w:color w:val="000000"/>
                <w:sz w:val="16"/>
                <w:szCs w:val="16"/>
                <w:lang w:val="it-IT" w:eastAsia="it-IT"/>
              </w:rPr>
              <w:t>5.9</w:t>
            </w:r>
          </w:p>
        </w:tc>
        <w:tc>
          <w:tcPr>
            <w:tcW w:w="1417" w:type="dxa"/>
            <w:tcBorders>
              <w:left w:val="single" w:sz="4" w:space="0" w:color="auto"/>
              <w:bottom w:val="single" w:sz="4" w:space="0" w:color="auto"/>
            </w:tcBorders>
            <w:shd w:val="clear" w:color="auto" w:fill="auto"/>
            <w:vAlign w:val="center"/>
          </w:tcPr>
          <w:p w14:paraId="255FDF8E" w14:textId="31A74920" w:rsidR="0002298F" w:rsidRPr="007D1296" w:rsidRDefault="0002298F" w:rsidP="00927AA9">
            <w:pPr>
              <w:jc w:val="center"/>
              <w:rPr>
                <w:color w:val="000000"/>
                <w:sz w:val="16"/>
                <w:szCs w:val="16"/>
                <w:lang w:val="it-IT" w:eastAsia="it-IT"/>
              </w:rPr>
            </w:pPr>
            <w:proofErr w:type="spellStart"/>
            <w:r w:rsidRPr="007D1296">
              <w:rPr>
                <w:color w:val="000000"/>
                <w:sz w:val="16"/>
                <w:szCs w:val="16"/>
                <w:lang w:val="it-IT" w:eastAsia="it-IT"/>
              </w:rPr>
              <w:t>Paraffines</w:t>
            </w:r>
            <w:proofErr w:type="spellEnd"/>
          </w:p>
        </w:tc>
        <w:tc>
          <w:tcPr>
            <w:tcW w:w="841" w:type="dxa"/>
            <w:tcBorders>
              <w:bottom w:val="single" w:sz="4" w:space="0" w:color="auto"/>
            </w:tcBorders>
            <w:shd w:val="clear" w:color="auto" w:fill="auto"/>
            <w:vAlign w:val="center"/>
          </w:tcPr>
          <w:p w14:paraId="45D69C4B" w14:textId="79AD30D4" w:rsidR="0002298F" w:rsidRPr="007D1296" w:rsidRDefault="0002298F" w:rsidP="00927AA9">
            <w:pPr>
              <w:jc w:val="center"/>
              <w:rPr>
                <w:color w:val="000000"/>
                <w:sz w:val="16"/>
                <w:szCs w:val="16"/>
                <w:lang w:val="it-IT" w:eastAsia="it-IT"/>
              </w:rPr>
            </w:pPr>
            <w:r w:rsidRPr="007D1296">
              <w:rPr>
                <w:color w:val="000000"/>
                <w:sz w:val="16"/>
                <w:szCs w:val="16"/>
                <w:lang w:val="it-IT" w:eastAsia="it-IT"/>
              </w:rPr>
              <w:t>19.1</w:t>
            </w:r>
          </w:p>
        </w:tc>
      </w:tr>
      <w:tr w:rsidR="0002298F" w:rsidRPr="007D1296" w14:paraId="479B58AE" w14:textId="77777777" w:rsidTr="00927AA9">
        <w:trPr>
          <w:trHeight w:val="315"/>
          <w:jc w:val="center"/>
        </w:trPr>
        <w:tc>
          <w:tcPr>
            <w:tcW w:w="951" w:type="dxa"/>
            <w:tcBorders>
              <w:bottom w:val="single" w:sz="4" w:space="0" w:color="auto"/>
            </w:tcBorders>
            <w:shd w:val="clear" w:color="auto" w:fill="auto"/>
            <w:noWrap/>
            <w:vAlign w:val="center"/>
          </w:tcPr>
          <w:p w14:paraId="7E571EE8" w14:textId="4C2A0AF4" w:rsidR="0002298F" w:rsidRPr="007D1296" w:rsidRDefault="0002298F" w:rsidP="0002298F">
            <w:pPr>
              <w:jc w:val="center"/>
              <w:rPr>
                <w:color w:val="000000"/>
                <w:sz w:val="16"/>
                <w:szCs w:val="16"/>
                <w:lang w:val="it-IT" w:eastAsia="it-IT"/>
              </w:rPr>
            </w:pPr>
            <w:r>
              <w:rPr>
                <w:color w:val="000000"/>
                <w:sz w:val="16"/>
                <w:szCs w:val="16"/>
                <w:lang w:val="it-IT" w:eastAsia="it-IT"/>
              </w:rPr>
              <w:t>Other</w:t>
            </w:r>
            <w:r w:rsidR="00521B1B">
              <w:rPr>
                <w:color w:val="000000"/>
                <w:sz w:val="16"/>
                <w:szCs w:val="16"/>
                <w:lang w:val="it-IT" w:eastAsia="it-IT"/>
              </w:rPr>
              <w:t>s</w:t>
            </w:r>
          </w:p>
        </w:tc>
        <w:tc>
          <w:tcPr>
            <w:tcW w:w="969" w:type="dxa"/>
            <w:tcBorders>
              <w:bottom w:val="single" w:sz="4" w:space="0" w:color="auto"/>
            </w:tcBorders>
            <w:shd w:val="clear" w:color="auto" w:fill="auto"/>
            <w:noWrap/>
            <w:vAlign w:val="center"/>
          </w:tcPr>
          <w:p w14:paraId="6F49B5DF" w14:textId="139ADAAF" w:rsidR="0002298F" w:rsidRPr="007D1296" w:rsidRDefault="00E66EA7" w:rsidP="0002298F">
            <w:pPr>
              <w:jc w:val="center"/>
              <w:rPr>
                <w:color w:val="000000"/>
                <w:sz w:val="16"/>
                <w:szCs w:val="16"/>
                <w:lang w:val="it-IT" w:eastAsia="it-IT"/>
              </w:rPr>
            </w:pPr>
            <w:r>
              <w:rPr>
                <w:color w:val="000000"/>
                <w:sz w:val="16"/>
                <w:szCs w:val="16"/>
                <w:lang w:val="it-IT" w:eastAsia="it-IT"/>
              </w:rPr>
              <w:t>2.4</w:t>
            </w:r>
          </w:p>
        </w:tc>
        <w:tc>
          <w:tcPr>
            <w:tcW w:w="1047" w:type="dxa"/>
          </w:tcPr>
          <w:p w14:paraId="79D31522" w14:textId="77777777" w:rsidR="0002298F" w:rsidRPr="007D1296" w:rsidRDefault="0002298F" w:rsidP="0002298F">
            <w:pPr>
              <w:rPr>
                <w:color w:val="000000"/>
                <w:sz w:val="16"/>
                <w:szCs w:val="16"/>
                <w:lang w:val="it-IT" w:eastAsia="it-IT"/>
              </w:rPr>
            </w:pPr>
          </w:p>
        </w:tc>
        <w:tc>
          <w:tcPr>
            <w:tcW w:w="861" w:type="dxa"/>
            <w:tcBorders>
              <w:top w:val="single" w:sz="4" w:space="0" w:color="auto"/>
            </w:tcBorders>
            <w:shd w:val="clear" w:color="auto" w:fill="auto"/>
            <w:noWrap/>
            <w:vAlign w:val="center"/>
          </w:tcPr>
          <w:p w14:paraId="4705CC1D" w14:textId="77777777" w:rsidR="0002298F" w:rsidRPr="007D1296" w:rsidRDefault="0002298F" w:rsidP="0002298F">
            <w:pPr>
              <w:rPr>
                <w:color w:val="000000"/>
                <w:sz w:val="16"/>
                <w:szCs w:val="16"/>
                <w:lang w:val="it-IT" w:eastAsia="it-IT"/>
              </w:rPr>
            </w:pPr>
          </w:p>
        </w:tc>
        <w:tc>
          <w:tcPr>
            <w:tcW w:w="992" w:type="dxa"/>
            <w:tcBorders>
              <w:top w:val="single" w:sz="4" w:space="0" w:color="auto"/>
            </w:tcBorders>
            <w:shd w:val="clear" w:color="auto" w:fill="auto"/>
            <w:vAlign w:val="center"/>
          </w:tcPr>
          <w:p w14:paraId="44745006" w14:textId="77777777" w:rsidR="0002298F" w:rsidRPr="007D1296" w:rsidRDefault="0002298F" w:rsidP="0002298F">
            <w:pPr>
              <w:rPr>
                <w:color w:val="000000"/>
                <w:sz w:val="16"/>
                <w:szCs w:val="16"/>
                <w:lang w:val="it-IT" w:eastAsia="it-IT"/>
              </w:rPr>
            </w:pPr>
          </w:p>
        </w:tc>
        <w:tc>
          <w:tcPr>
            <w:tcW w:w="1417" w:type="dxa"/>
            <w:tcBorders>
              <w:top w:val="single" w:sz="4" w:space="0" w:color="auto"/>
            </w:tcBorders>
            <w:shd w:val="clear" w:color="auto" w:fill="auto"/>
            <w:vAlign w:val="center"/>
          </w:tcPr>
          <w:p w14:paraId="3D2EC7B4" w14:textId="77777777" w:rsidR="0002298F" w:rsidRPr="007D1296" w:rsidRDefault="0002298F" w:rsidP="0002298F">
            <w:pPr>
              <w:rPr>
                <w:color w:val="000000"/>
                <w:sz w:val="16"/>
                <w:szCs w:val="16"/>
                <w:lang w:val="it-IT" w:eastAsia="it-IT"/>
              </w:rPr>
            </w:pPr>
          </w:p>
        </w:tc>
        <w:tc>
          <w:tcPr>
            <w:tcW w:w="841" w:type="dxa"/>
            <w:tcBorders>
              <w:top w:val="single" w:sz="4" w:space="0" w:color="auto"/>
            </w:tcBorders>
            <w:shd w:val="clear" w:color="auto" w:fill="auto"/>
            <w:vAlign w:val="center"/>
          </w:tcPr>
          <w:p w14:paraId="31DEB390" w14:textId="1E629549" w:rsidR="0002298F" w:rsidRPr="007D1296" w:rsidRDefault="0002298F" w:rsidP="0002298F">
            <w:pPr>
              <w:rPr>
                <w:color w:val="000000"/>
                <w:sz w:val="16"/>
                <w:szCs w:val="16"/>
                <w:lang w:val="it-IT" w:eastAsia="it-IT"/>
              </w:rPr>
            </w:pPr>
          </w:p>
        </w:tc>
      </w:tr>
    </w:tbl>
    <w:p w14:paraId="16AC6578" w14:textId="248D7347" w:rsidR="00D70312" w:rsidRPr="000769EA" w:rsidRDefault="00C07CB5" w:rsidP="000769EA">
      <w:pPr>
        <w:pStyle w:val="Els-body-text"/>
        <w:spacing w:after="120"/>
        <w:rPr>
          <w:color w:val="FF0000"/>
        </w:rPr>
      </w:pPr>
      <w:r>
        <w:lastRenderedPageBreak/>
        <w:t xml:space="preserve">Benzothiazole is selected as representative compound of sulfur species in the oil, its content even though is low is non negligible (i.e., 0.43 </w:t>
      </w:r>
      <w:proofErr w:type="spellStart"/>
      <w:r>
        <w:t>w.t.</w:t>
      </w:r>
      <w:proofErr w:type="spellEnd"/>
      <w:r>
        <w:t xml:space="preserve">%). STPO has a global H/C ratio equal to 1.45. The results obtained assuming the subdivision based on N.B.P. temperatures and functional groups are reported in Table </w:t>
      </w:r>
      <w:proofErr w:type="gramStart"/>
      <w:r>
        <w:t>2.</w:t>
      </w:r>
      <w:r w:rsidR="00083D21">
        <w:t>As</w:t>
      </w:r>
      <w:proofErr w:type="gramEnd"/>
      <w:r w:rsidR="00083D21">
        <w:t xml:space="preserve"> </w:t>
      </w:r>
      <w:r w:rsidR="00F23E5E">
        <w:t>can be observed</w:t>
      </w:r>
      <w:r w:rsidR="00083D21">
        <w:t xml:space="preserve"> </w:t>
      </w:r>
      <w:r w:rsidR="00580C8B">
        <w:t xml:space="preserve">STPO </w:t>
      </w:r>
      <w:r w:rsidR="00C900EF">
        <w:t xml:space="preserve">is a light oil that </w:t>
      </w:r>
      <w:r w:rsidR="00C7413F">
        <w:t xml:space="preserve">has a wide </w:t>
      </w:r>
      <w:r w:rsidR="00E822ED">
        <w:t>range of boiling points</w:t>
      </w:r>
      <w:r w:rsidR="006D2428">
        <w:t xml:space="preserve"> and a large number of aromatics</w:t>
      </w:r>
      <w:r w:rsidR="007D56A7">
        <w:t xml:space="preserve">, </w:t>
      </w:r>
      <w:r w:rsidR="00740715">
        <w:t>as expected for an</w:t>
      </w:r>
      <w:r w:rsidR="007D56A7">
        <w:t xml:space="preserve"> unrefined oil</w:t>
      </w:r>
      <w:r w:rsidR="00364311">
        <w:t>.</w:t>
      </w:r>
      <w:r w:rsidR="00325D98">
        <w:t xml:space="preserve"> </w:t>
      </w:r>
      <w:r w:rsidR="00162E0B">
        <w:t xml:space="preserve">The significant </w:t>
      </w:r>
      <w:proofErr w:type="gramStart"/>
      <w:r w:rsidR="00162E0B">
        <w:t>amount</w:t>
      </w:r>
      <w:proofErr w:type="gramEnd"/>
      <w:r w:rsidR="00162E0B">
        <w:t xml:space="preserve"> of aromatics</w:t>
      </w:r>
      <w:r w:rsidR="003F48F2">
        <w:t xml:space="preserve"> can</w:t>
      </w:r>
      <w:r w:rsidR="00325D98">
        <w:t xml:space="preserve"> be </w:t>
      </w:r>
      <w:r w:rsidR="00FA1813">
        <w:t>justified</w:t>
      </w:r>
      <w:r w:rsidR="00325D98">
        <w:t xml:space="preserve"> by the nature of the feedstock,</w:t>
      </w:r>
      <w:r w:rsidR="009D59EA">
        <w:t xml:space="preserve"> </w:t>
      </w:r>
      <w:r w:rsidR="00325D98">
        <w:t>a mixture of natural rubber and synthetic rubber</w:t>
      </w:r>
      <w:r w:rsidR="000224F4">
        <w:t>.</w:t>
      </w:r>
      <w:r w:rsidR="00325D98">
        <w:t xml:space="preserve"> </w:t>
      </w:r>
    </w:p>
    <w:p w14:paraId="66919435" w14:textId="6ED231E7" w:rsidR="00205A9E" w:rsidRDefault="00EF64EB" w:rsidP="00ED4202">
      <w:pPr>
        <w:pStyle w:val="Els-body-text"/>
        <w:spacing w:after="60"/>
        <w:rPr>
          <w:i/>
          <w:iCs/>
        </w:rPr>
      </w:pPr>
      <w:r w:rsidRPr="000A6102">
        <w:rPr>
          <w:i/>
          <w:iCs/>
        </w:rPr>
        <w:t>3.</w:t>
      </w:r>
      <w:r>
        <w:rPr>
          <w:i/>
          <w:iCs/>
        </w:rPr>
        <w:t>2</w:t>
      </w:r>
      <w:r w:rsidRPr="000A6102">
        <w:rPr>
          <w:i/>
          <w:iCs/>
        </w:rPr>
        <w:t xml:space="preserve"> </w:t>
      </w:r>
      <w:r>
        <w:rPr>
          <w:i/>
          <w:iCs/>
        </w:rPr>
        <w:t>Hydrotreating</w:t>
      </w:r>
    </w:p>
    <w:p w14:paraId="117E3AE3" w14:textId="25782A99" w:rsidR="000769EA" w:rsidRDefault="00BA6836" w:rsidP="000769EA">
      <w:pPr>
        <w:pStyle w:val="Els-body-text"/>
      </w:pPr>
      <w:r>
        <w:t>Under the above-mentioned operative conditions, the hydrotreating stage provide a sensible improvement in oil composition.</w:t>
      </w:r>
      <w:r w:rsidR="0082303A">
        <w:t xml:space="preserve"> </w:t>
      </w:r>
      <w:r w:rsidR="00527C48">
        <w:t>Figure 2</w:t>
      </w:r>
      <w:r w:rsidR="00F52990">
        <w:t xml:space="preserve"> and Figure 3</w:t>
      </w:r>
      <w:r w:rsidR="00527C48">
        <w:t xml:space="preserve"> illustrates </w:t>
      </w:r>
      <w:r w:rsidR="00BB4335">
        <w:t xml:space="preserve">the variations in mass fractions for both the oil cut and functional groups, by </w:t>
      </w:r>
      <w:r w:rsidR="00EF6C69">
        <w:t>varying the space time velocity.</w:t>
      </w:r>
      <w:r w:rsidR="00691560">
        <w:t xml:space="preserve"> As can be observed </w:t>
      </w:r>
      <w:r w:rsidR="00C75B8C">
        <w:t>after the hydrotreating t</w:t>
      </w:r>
      <w:r>
        <w:t>he content of heavy compounds is drastically diminished.</w:t>
      </w:r>
      <w:r w:rsidR="00313158" w:rsidRPr="00313158">
        <w:t xml:space="preserve"> </w:t>
      </w:r>
      <w:r w:rsidR="00313158">
        <w:t>Indeed, the upgraded oil is a mixture of lighter hydrocarbon</w:t>
      </w:r>
      <w:r w:rsidR="00F27920">
        <w:t>s</w:t>
      </w:r>
      <w:r w:rsidR="00313158">
        <w:t xml:space="preserve"> with </w:t>
      </w:r>
      <w:r w:rsidR="00B54520">
        <w:t>D</w:t>
      </w:r>
      <w:r w:rsidR="00313158">
        <w:t xml:space="preserve">iesel as main cut. </w:t>
      </w:r>
      <w:r>
        <w:t xml:space="preserve">The asymptotic conditions are achieved for higher space velocity, due to the </w:t>
      </w:r>
      <w:r w:rsidR="002528C5">
        <w:t xml:space="preserve">higher </w:t>
      </w:r>
      <w:r>
        <w:t>amount of catalyst</w:t>
      </w:r>
      <w:r w:rsidR="00AA311F">
        <w:t xml:space="preserve"> used</w:t>
      </w:r>
      <w:r>
        <w:t xml:space="preserve">. </w:t>
      </w:r>
      <w:r w:rsidR="006E61C5">
        <w:t>As can be observed in the plot</w:t>
      </w:r>
      <w:r w:rsidR="000D27E0">
        <w:t>s reported below</w:t>
      </w:r>
      <w:r w:rsidR="006E61C5">
        <w:t xml:space="preserve"> the two rings’ </w:t>
      </w:r>
      <w:r w:rsidR="002528C5">
        <w:t>A</w:t>
      </w:r>
      <w:r w:rsidR="006E61C5">
        <w:t>romatics content is drastically decreased.</w:t>
      </w:r>
      <w:r w:rsidR="001D3E91">
        <w:t xml:space="preserve"> </w:t>
      </w:r>
      <w:r>
        <w:t xml:space="preserve">The global </w:t>
      </w:r>
      <w:r w:rsidR="00B12E07">
        <w:t>number</w:t>
      </w:r>
      <w:r w:rsidR="001D3E91">
        <w:t xml:space="preserve"> of </w:t>
      </w:r>
      <w:r>
        <w:t xml:space="preserve">Aromatic </w:t>
      </w:r>
      <w:r w:rsidR="001D3E91">
        <w:t>compounds</w:t>
      </w:r>
      <w:r w:rsidR="00761BF6">
        <w:t xml:space="preserve"> drop</w:t>
      </w:r>
      <w:r w:rsidR="003A1AB3">
        <w:t xml:space="preserve"> of </w:t>
      </w:r>
      <w:r w:rsidR="006B0E55">
        <w:t xml:space="preserve">4.6 </w:t>
      </w:r>
      <w:proofErr w:type="spellStart"/>
      <w:r w:rsidR="006B0E55">
        <w:t>w.t.</w:t>
      </w:r>
      <w:proofErr w:type="spellEnd"/>
      <w:r w:rsidR="006B0E55">
        <w:t>%.</w:t>
      </w:r>
      <w:r w:rsidR="00724326">
        <w:t xml:space="preserve"> S</w:t>
      </w:r>
      <w:r>
        <w:t>ulfur content</w:t>
      </w:r>
      <w:r w:rsidR="00724326">
        <w:t xml:space="preserve"> is decreased</w:t>
      </w:r>
      <w:r>
        <w:t xml:space="preserve"> according to the imposed conversion</w:t>
      </w:r>
      <w:r w:rsidR="000D61F1">
        <w:t xml:space="preserve"> leading to the formation of H</w:t>
      </w:r>
      <w:r w:rsidR="000D61F1">
        <w:rPr>
          <w:vertAlign w:val="subscript"/>
        </w:rPr>
        <w:t>2</w:t>
      </w:r>
      <w:r w:rsidR="000D61F1">
        <w:t>S</w:t>
      </w:r>
      <w:r>
        <w:t>.</w:t>
      </w:r>
      <w:r w:rsidR="000769EA" w:rsidRPr="000769EA">
        <w:t xml:space="preserve"> </w:t>
      </w:r>
      <w:r w:rsidR="00045815">
        <w:t xml:space="preserve">The </w:t>
      </w:r>
      <w:r w:rsidR="00411F2C">
        <w:t>resulting</w:t>
      </w:r>
      <w:r w:rsidR="00045815">
        <w:t xml:space="preserve"> liquid stream is </w:t>
      </w:r>
      <w:r w:rsidR="00411F2C">
        <w:t xml:space="preserve">then </w:t>
      </w:r>
      <w:r w:rsidR="00E63B58">
        <w:t xml:space="preserve">a lighter oil with less </w:t>
      </w:r>
      <w:r w:rsidR="002528C5">
        <w:t>A</w:t>
      </w:r>
      <w:r w:rsidR="00E63B58">
        <w:t>romatics and sulfur components</w:t>
      </w:r>
      <w:r w:rsidR="002224AD">
        <w:t xml:space="preserve"> and a higher content of </w:t>
      </w:r>
      <w:r w:rsidR="002528C5">
        <w:t>P</w:t>
      </w:r>
      <w:r w:rsidR="002224AD">
        <w:t>araffines</w:t>
      </w:r>
      <w:r w:rsidR="00E63B58">
        <w:t>.</w:t>
      </w:r>
    </w:p>
    <w:p w14:paraId="340D0224" w14:textId="67C25B2F" w:rsidR="000769EA" w:rsidRDefault="00F90ADF" w:rsidP="000769EA">
      <w:pPr>
        <w:pStyle w:val="Els-body-text"/>
        <w:spacing w:after="120"/>
      </w:pPr>
      <w:r>
        <w:t>The</w:t>
      </w:r>
      <w:r w:rsidR="000769EA">
        <w:t xml:space="preserve"> amount of hydrogen consumed </w:t>
      </w:r>
      <w:r w:rsidR="002D7A2B">
        <w:t>in</w:t>
      </w:r>
      <w:r w:rsidR="000769EA">
        <w:t xml:space="preserve"> the hydrotreating</w:t>
      </w:r>
      <w:r w:rsidR="00A30683">
        <w:t xml:space="preserve"> stage</w:t>
      </w:r>
      <w:r w:rsidR="000769EA">
        <w:t xml:space="preserve"> </w:t>
      </w:r>
      <w:r w:rsidR="00BB634C">
        <w:t>is</w:t>
      </w:r>
      <w:r w:rsidR="000769EA">
        <w:t xml:space="preserve"> equal to 0.14 kg/h</w:t>
      </w:r>
      <w:r w:rsidR="00BB634C">
        <w:t xml:space="preserve">, </w:t>
      </w:r>
      <w:r w:rsidR="002D7A2B">
        <w:t xml:space="preserve">corresponding to </w:t>
      </w:r>
      <w:r w:rsidR="00BB634C">
        <w:t xml:space="preserve">a </w:t>
      </w:r>
      <w:r w:rsidR="008D5CF1">
        <w:t xml:space="preserve">specific </w:t>
      </w:r>
      <w:r w:rsidR="00607640">
        <w:t>consumption</w:t>
      </w:r>
      <w:r w:rsidR="00CA5035">
        <w:t xml:space="preserve"> ratio</w:t>
      </w:r>
      <w:r w:rsidR="00BB634C">
        <w:t xml:space="preserve"> </w:t>
      </w:r>
      <w:r w:rsidR="00431D45" w:rsidRPr="00431D45">
        <w:t>H</w:t>
      </w:r>
      <w:r w:rsidR="00431D45">
        <w:rPr>
          <w:vertAlign w:val="subscript"/>
        </w:rPr>
        <w:t>2</w:t>
      </w:r>
      <w:r w:rsidR="00431D45">
        <w:t>/</w:t>
      </w:r>
      <w:r w:rsidR="00182A22">
        <w:t>STPO</w:t>
      </w:r>
      <w:r w:rsidR="00431D45">
        <w:t xml:space="preserve"> </w:t>
      </w:r>
      <w:r w:rsidR="00E77CA5" w:rsidRPr="00431D45">
        <w:t>equal</w:t>
      </w:r>
      <w:r w:rsidR="00E77CA5">
        <w:t xml:space="preserve"> to </w:t>
      </w:r>
      <w:r w:rsidR="00B547E5">
        <w:t>22</w:t>
      </w:r>
      <w:r w:rsidR="00431D45">
        <w:t>.2</w:t>
      </w:r>
      <w:r>
        <w:t xml:space="preserve"> </w:t>
      </w:r>
      <w:r w:rsidR="00431D45" w:rsidRPr="00EB5C6F">
        <w:rPr>
          <w:bCs/>
        </w:rPr>
        <w:t>Nm</w:t>
      </w:r>
      <w:r w:rsidR="00431D45">
        <w:rPr>
          <w:bCs/>
          <w:vertAlign w:val="superscript"/>
        </w:rPr>
        <w:t>3</w:t>
      </w:r>
      <w:r w:rsidR="00431D45" w:rsidRPr="00EB5C6F">
        <w:rPr>
          <w:bCs/>
        </w:rPr>
        <w:t>/m</w:t>
      </w:r>
      <w:r w:rsidR="00431D45">
        <w:rPr>
          <w:bCs/>
          <w:vertAlign w:val="superscript"/>
        </w:rPr>
        <w:t>3</w:t>
      </w:r>
      <w:r w:rsidR="000769EA">
        <w:t>.</w:t>
      </w:r>
    </w:p>
    <w:p w14:paraId="1A2F5D9A" w14:textId="5B3EDD48" w:rsidR="00602236" w:rsidRDefault="00E67F32" w:rsidP="00341F85">
      <w:pPr>
        <w:pStyle w:val="Els-body-text"/>
        <w:spacing w:after="60"/>
        <w:jc w:val="center"/>
      </w:pPr>
      <w:r>
        <w:rPr>
          <w:noProof/>
        </w:rPr>
        <w:drawing>
          <wp:inline distT="0" distB="0" distL="0" distR="0" wp14:anchorId="15BBF89D" wp14:editId="17EA574D">
            <wp:extent cx="2376000" cy="1782000"/>
            <wp:effectExtent l="0" t="0" r="571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000" cy="1782000"/>
                    </a:xfrm>
                    <a:prstGeom prst="rect">
                      <a:avLst/>
                    </a:prstGeom>
                    <a:noFill/>
                    <a:ln>
                      <a:noFill/>
                    </a:ln>
                  </pic:spPr>
                </pic:pic>
              </a:graphicData>
            </a:graphic>
          </wp:inline>
        </w:drawing>
      </w:r>
    </w:p>
    <w:p w14:paraId="7FDD2E4C" w14:textId="33D3E014" w:rsidR="00AE6DE8" w:rsidRDefault="00AE6DE8" w:rsidP="00910845">
      <w:pPr>
        <w:pStyle w:val="Els-body-text"/>
        <w:jc w:val="left"/>
      </w:pPr>
      <w:r w:rsidRPr="00E4731A">
        <w:rPr>
          <w:sz w:val="16"/>
          <w:szCs w:val="16"/>
        </w:rPr>
        <w:t>Figure 2:</w:t>
      </w:r>
      <w:r>
        <w:rPr>
          <w:sz w:val="16"/>
          <w:szCs w:val="16"/>
        </w:rPr>
        <w:t xml:space="preserve"> Hydrotreating effects</w:t>
      </w:r>
      <w:r w:rsidR="00B65E4C">
        <w:rPr>
          <w:sz w:val="16"/>
          <w:szCs w:val="16"/>
        </w:rPr>
        <w:t xml:space="preserve"> </w:t>
      </w:r>
      <w:r w:rsidR="00784863">
        <w:rPr>
          <w:sz w:val="16"/>
          <w:szCs w:val="16"/>
        </w:rPr>
        <w:t>on</w:t>
      </w:r>
      <w:r w:rsidR="00B65E4C">
        <w:rPr>
          <w:sz w:val="16"/>
          <w:szCs w:val="16"/>
        </w:rPr>
        <w:t xml:space="preserve"> o</w:t>
      </w:r>
      <w:r>
        <w:rPr>
          <w:sz w:val="16"/>
          <w:szCs w:val="16"/>
        </w:rPr>
        <w:t>il</w:t>
      </w:r>
      <w:r w:rsidR="00B65E4C">
        <w:rPr>
          <w:sz w:val="16"/>
          <w:szCs w:val="16"/>
        </w:rPr>
        <w:t>’s cut</w:t>
      </w:r>
      <w:r>
        <w:rPr>
          <w:sz w:val="16"/>
          <w:szCs w:val="16"/>
        </w:rPr>
        <w:t xml:space="preserve"> </w:t>
      </w:r>
      <w:proofErr w:type="spellStart"/>
      <w:r>
        <w:rPr>
          <w:sz w:val="16"/>
          <w:szCs w:val="16"/>
        </w:rPr>
        <w:t>cut</w:t>
      </w:r>
      <w:proofErr w:type="spellEnd"/>
      <w:r>
        <w:rPr>
          <w:sz w:val="16"/>
          <w:szCs w:val="16"/>
        </w:rPr>
        <w:t xml:space="preserve"> mass fractions of Gasoil (</w:t>
      </w:r>
      <w:proofErr w:type="spellStart"/>
      <w:r>
        <w:rPr>
          <w:sz w:val="16"/>
          <w:szCs w:val="16"/>
        </w:rPr>
        <w:t>xG</w:t>
      </w:r>
      <w:proofErr w:type="spellEnd"/>
      <w:r>
        <w:rPr>
          <w:sz w:val="16"/>
          <w:szCs w:val="16"/>
        </w:rPr>
        <w:t>) Diesel (</w:t>
      </w:r>
      <w:proofErr w:type="spellStart"/>
      <w:r>
        <w:rPr>
          <w:sz w:val="16"/>
          <w:szCs w:val="16"/>
        </w:rPr>
        <w:t>xD</w:t>
      </w:r>
      <w:proofErr w:type="spellEnd"/>
      <w:r>
        <w:rPr>
          <w:sz w:val="16"/>
          <w:szCs w:val="16"/>
        </w:rPr>
        <w:t xml:space="preserve">) and </w:t>
      </w:r>
      <w:proofErr w:type="spellStart"/>
      <w:r>
        <w:rPr>
          <w:sz w:val="16"/>
          <w:szCs w:val="16"/>
        </w:rPr>
        <w:t>Naphhta</w:t>
      </w:r>
      <w:proofErr w:type="spellEnd"/>
      <w:r>
        <w:rPr>
          <w:sz w:val="16"/>
          <w:szCs w:val="16"/>
        </w:rPr>
        <w:t xml:space="preserve"> (</w:t>
      </w:r>
      <w:proofErr w:type="spellStart"/>
      <w:r>
        <w:rPr>
          <w:sz w:val="16"/>
          <w:szCs w:val="16"/>
        </w:rPr>
        <w:t>xN</w:t>
      </w:r>
      <w:proofErr w:type="spellEnd"/>
      <w:r>
        <w:rPr>
          <w:sz w:val="16"/>
          <w:szCs w:val="16"/>
        </w:rPr>
        <w:t>)</w:t>
      </w:r>
      <w:r w:rsidR="00EC38F2">
        <w:rPr>
          <w:sz w:val="16"/>
          <w:szCs w:val="16"/>
        </w:rPr>
        <w:t>.</w:t>
      </w:r>
    </w:p>
    <w:p w14:paraId="46C162B2" w14:textId="526E41C4" w:rsidR="002E2E5B" w:rsidRDefault="00E67F32" w:rsidP="00341F85">
      <w:pPr>
        <w:pStyle w:val="Els-body-text"/>
        <w:spacing w:before="120" w:after="60"/>
        <w:jc w:val="center"/>
      </w:pPr>
      <w:r>
        <w:rPr>
          <w:noProof/>
        </w:rPr>
        <w:drawing>
          <wp:inline distT="0" distB="0" distL="0" distR="0" wp14:anchorId="289E2394" wp14:editId="1423D54E">
            <wp:extent cx="2376000" cy="1782000"/>
            <wp:effectExtent l="0" t="0" r="571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6000" cy="1782000"/>
                    </a:xfrm>
                    <a:prstGeom prst="rect">
                      <a:avLst/>
                    </a:prstGeom>
                    <a:noFill/>
                    <a:ln>
                      <a:noFill/>
                    </a:ln>
                  </pic:spPr>
                </pic:pic>
              </a:graphicData>
            </a:graphic>
          </wp:inline>
        </w:drawing>
      </w:r>
    </w:p>
    <w:p w14:paraId="7A876CE2" w14:textId="32AAD1C7" w:rsidR="00BF5FCD" w:rsidRPr="001E2D64" w:rsidRDefault="00E66C4C" w:rsidP="00910845">
      <w:pPr>
        <w:pStyle w:val="Els-body-text"/>
        <w:spacing w:after="120"/>
        <w:rPr>
          <w:sz w:val="16"/>
          <w:szCs w:val="16"/>
        </w:rPr>
      </w:pPr>
      <w:r w:rsidRPr="00E4731A">
        <w:rPr>
          <w:sz w:val="16"/>
          <w:szCs w:val="16"/>
        </w:rPr>
        <w:t>Fig</w:t>
      </w:r>
      <w:r w:rsidR="00B07167" w:rsidRPr="00E4731A">
        <w:rPr>
          <w:sz w:val="16"/>
          <w:szCs w:val="16"/>
        </w:rPr>
        <w:t>ure</w:t>
      </w:r>
      <w:r w:rsidR="004544B9" w:rsidRPr="00E4731A">
        <w:rPr>
          <w:sz w:val="16"/>
          <w:szCs w:val="16"/>
        </w:rPr>
        <w:t xml:space="preserve"> </w:t>
      </w:r>
      <w:r w:rsidR="00E67F32" w:rsidRPr="00E4731A">
        <w:rPr>
          <w:sz w:val="16"/>
          <w:szCs w:val="16"/>
        </w:rPr>
        <w:t>3</w:t>
      </w:r>
      <w:r w:rsidR="00B07167" w:rsidRPr="00E4731A">
        <w:rPr>
          <w:sz w:val="16"/>
          <w:szCs w:val="16"/>
        </w:rPr>
        <w:t>:</w:t>
      </w:r>
      <w:r w:rsidR="0095238D">
        <w:rPr>
          <w:sz w:val="16"/>
          <w:szCs w:val="16"/>
        </w:rPr>
        <w:t xml:space="preserve"> </w:t>
      </w:r>
      <w:r w:rsidR="000A3B12">
        <w:rPr>
          <w:sz w:val="16"/>
          <w:szCs w:val="16"/>
        </w:rPr>
        <w:t>Hydrotreating effects</w:t>
      </w:r>
      <w:r w:rsidR="00453C07">
        <w:rPr>
          <w:sz w:val="16"/>
          <w:szCs w:val="16"/>
        </w:rPr>
        <w:t xml:space="preserve"> </w:t>
      </w:r>
      <w:r w:rsidR="00341F85">
        <w:rPr>
          <w:sz w:val="16"/>
          <w:szCs w:val="16"/>
        </w:rPr>
        <w:t>on f</w:t>
      </w:r>
      <w:r w:rsidR="00453C07">
        <w:rPr>
          <w:sz w:val="16"/>
          <w:szCs w:val="16"/>
        </w:rPr>
        <w:t>unctional group</w:t>
      </w:r>
      <w:r w:rsidR="000A4861">
        <w:rPr>
          <w:sz w:val="16"/>
          <w:szCs w:val="16"/>
        </w:rPr>
        <w:t>s</w:t>
      </w:r>
      <w:r w:rsidR="00453C07">
        <w:rPr>
          <w:sz w:val="16"/>
          <w:szCs w:val="16"/>
        </w:rPr>
        <w:t xml:space="preserve"> fractions</w:t>
      </w:r>
      <w:r w:rsidR="00B70350">
        <w:rPr>
          <w:sz w:val="16"/>
          <w:szCs w:val="16"/>
        </w:rPr>
        <w:t xml:space="preserve"> of</w:t>
      </w:r>
      <w:r w:rsidR="00453C07">
        <w:rPr>
          <w:sz w:val="16"/>
          <w:szCs w:val="16"/>
        </w:rPr>
        <w:t xml:space="preserve"> </w:t>
      </w:r>
      <w:r w:rsidR="00B70350">
        <w:rPr>
          <w:sz w:val="16"/>
          <w:szCs w:val="16"/>
        </w:rPr>
        <w:t>Aromatic</w:t>
      </w:r>
      <w:r w:rsidR="00C152EE">
        <w:rPr>
          <w:sz w:val="16"/>
          <w:szCs w:val="16"/>
        </w:rPr>
        <w:t>s</w:t>
      </w:r>
      <w:r w:rsidR="00B70350">
        <w:rPr>
          <w:sz w:val="16"/>
          <w:szCs w:val="16"/>
        </w:rPr>
        <w:t xml:space="preserve"> 2 </w:t>
      </w:r>
      <w:r w:rsidR="00C152EE">
        <w:rPr>
          <w:sz w:val="16"/>
          <w:szCs w:val="16"/>
        </w:rPr>
        <w:t xml:space="preserve">and 1 </w:t>
      </w:r>
      <w:r w:rsidR="00B70350">
        <w:rPr>
          <w:sz w:val="16"/>
          <w:szCs w:val="16"/>
        </w:rPr>
        <w:t>ring (xA</w:t>
      </w:r>
      <w:proofErr w:type="gramStart"/>
      <w:r w:rsidR="00B70350">
        <w:rPr>
          <w:sz w:val="16"/>
          <w:szCs w:val="16"/>
          <w:vertAlign w:val="subscript"/>
        </w:rPr>
        <w:t>2</w:t>
      </w:r>
      <w:r w:rsidR="00C152EE">
        <w:rPr>
          <w:sz w:val="16"/>
          <w:szCs w:val="16"/>
          <w:vertAlign w:val="subscript"/>
        </w:rPr>
        <w:t xml:space="preserve"> </w:t>
      </w:r>
      <w:r w:rsidR="00C152EE">
        <w:rPr>
          <w:sz w:val="16"/>
          <w:szCs w:val="16"/>
        </w:rPr>
        <w:t>;</w:t>
      </w:r>
      <w:proofErr w:type="gramEnd"/>
      <w:r w:rsidR="00C152EE">
        <w:rPr>
          <w:sz w:val="16"/>
          <w:szCs w:val="16"/>
        </w:rPr>
        <w:t xml:space="preserve"> xA</w:t>
      </w:r>
      <w:r w:rsidR="00C152EE">
        <w:rPr>
          <w:sz w:val="16"/>
          <w:szCs w:val="16"/>
          <w:vertAlign w:val="subscript"/>
        </w:rPr>
        <w:t>1</w:t>
      </w:r>
      <w:r w:rsidR="00C152EE">
        <w:rPr>
          <w:sz w:val="16"/>
          <w:szCs w:val="16"/>
        </w:rPr>
        <w:t>)</w:t>
      </w:r>
      <w:r w:rsidR="00AE2C8E">
        <w:rPr>
          <w:sz w:val="16"/>
          <w:szCs w:val="16"/>
        </w:rPr>
        <w:t>,</w:t>
      </w:r>
      <w:r w:rsidR="00BD44BB">
        <w:rPr>
          <w:sz w:val="16"/>
          <w:szCs w:val="16"/>
        </w:rPr>
        <w:t xml:space="preserve"> Napht</w:t>
      </w:r>
      <w:r w:rsidR="00341F85">
        <w:rPr>
          <w:sz w:val="16"/>
          <w:szCs w:val="16"/>
        </w:rPr>
        <w:t>h</w:t>
      </w:r>
      <w:r w:rsidR="00BD44BB">
        <w:rPr>
          <w:sz w:val="16"/>
          <w:szCs w:val="16"/>
        </w:rPr>
        <w:t>ene (</w:t>
      </w:r>
      <w:proofErr w:type="spellStart"/>
      <w:r w:rsidR="00BD44BB">
        <w:rPr>
          <w:sz w:val="16"/>
          <w:szCs w:val="16"/>
        </w:rPr>
        <w:t>xNa</w:t>
      </w:r>
      <w:proofErr w:type="spellEnd"/>
      <w:r w:rsidR="00BD44BB">
        <w:rPr>
          <w:sz w:val="16"/>
          <w:szCs w:val="16"/>
        </w:rPr>
        <w:t>), Paraffine (</w:t>
      </w:r>
      <w:proofErr w:type="spellStart"/>
      <w:r w:rsidR="00BD44BB">
        <w:rPr>
          <w:sz w:val="16"/>
          <w:szCs w:val="16"/>
        </w:rPr>
        <w:t>xPf</w:t>
      </w:r>
      <w:proofErr w:type="spellEnd"/>
      <w:r w:rsidR="00BD44BB">
        <w:rPr>
          <w:sz w:val="16"/>
          <w:szCs w:val="16"/>
        </w:rPr>
        <w:t>).</w:t>
      </w:r>
      <w:r w:rsidR="00B70350">
        <w:rPr>
          <w:sz w:val="16"/>
          <w:szCs w:val="16"/>
        </w:rPr>
        <w:t xml:space="preserve"> </w:t>
      </w:r>
    </w:p>
    <w:p w14:paraId="4065E4B3" w14:textId="2BD526E6" w:rsidR="00A8253F" w:rsidRPr="000750AD" w:rsidRDefault="008D2649" w:rsidP="00454D81">
      <w:pPr>
        <w:pStyle w:val="Els-1storder-head"/>
        <w:spacing w:after="120"/>
        <w:rPr>
          <w:lang w:val="en-GB"/>
        </w:rPr>
      </w:pPr>
      <w:r w:rsidRPr="000750AD">
        <w:rPr>
          <w:lang w:val="en-GB"/>
        </w:rPr>
        <w:lastRenderedPageBreak/>
        <w:t>Conclusions</w:t>
      </w:r>
      <w:r w:rsidR="00A8253F" w:rsidRPr="000750AD">
        <w:rPr>
          <w:lang w:val="en-GB"/>
        </w:rPr>
        <w:t xml:space="preserve"> and Future Developments</w:t>
      </w:r>
    </w:p>
    <w:p w14:paraId="0F59E113" w14:textId="1BAD9A3C" w:rsidR="00FB4D4A" w:rsidRDefault="003C37A4" w:rsidP="00FB4D4A">
      <w:pPr>
        <w:pStyle w:val="Els-body-text"/>
        <w:rPr>
          <w:lang w:val="en-GB"/>
        </w:rPr>
      </w:pPr>
      <w:r>
        <w:rPr>
          <w:lang w:val="en-GB"/>
        </w:rPr>
        <w:t xml:space="preserve">The </w:t>
      </w:r>
      <w:r w:rsidR="007C3EE9">
        <w:rPr>
          <w:lang w:val="en-GB"/>
        </w:rPr>
        <w:t>research activity provides a first A</w:t>
      </w:r>
      <w:r w:rsidR="00872ED8">
        <w:rPr>
          <w:lang w:val="en-GB"/>
        </w:rPr>
        <w:t>spen</w:t>
      </w:r>
      <w:r w:rsidR="00C87578">
        <w:rPr>
          <w:lang w:val="en-GB"/>
        </w:rPr>
        <w:t xml:space="preserve"> </w:t>
      </w:r>
      <w:r w:rsidR="00872ED8">
        <w:rPr>
          <w:lang w:val="en-GB"/>
        </w:rPr>
        <w:t>Plus</w:t>
      </w:r>
      <w:r w:rsidR="00C87578">
        <w:rPr>
          <w:lang w:val="en-GB"/>
        </w:rPr>
        <w:t xml:space="preserve"> V11</w:t>
      </w:r>
      <w:r w:rsidR="007C3EE9">
        <w:rPr>
          <w:lang w:val="en-GB"/>
        </w:rPr>
        <w:t xml:space="preserve">-MATLAB process </w:t>
      </w:r>
      <w:r w:rsidR="00002BD9">
        <w:rPr>
          <w:lang w:val="en-GB"/>
        </w:rPr>
        <w:t>simulation</w:t>
      </w:r>
      <w:r w:rsidR="002E5D4E">
        <w:rPr>
          <w:lang w:val="en-GB"/>
        </w:rPr>
        <w:t xml:space="preserve"> </w:t>
      </w:r>
      <w:r w:rsidR="007C3EE9">
        <w:rPr>
          <w:lang w:val="en-GB"/>
        </w:rPr>
        <w:t xml:space="preserve">filling the literature gap. </w:t>
      </w:r>
      <w:r w:rsidR="00083EC6" w:rsidRPr="00083EC6">
        <w:rPr>
          <w:lang w:val="en-GB"/>
        </w:rPr>
        <w:t xml:space="preserve">Promising preliminary </w:t>
      </w:r>
      <w:r w:rsidR="00083EC6">
        <w:rPr>
          <w:lang w:val="en-GB"/>
        </w:rPr>
        <w:t>results</w:t>
      </w:r>
      <w:r w:rsidR="00083EC6" w:rsidRPr="00083EC6">
        <w:rPr>
          <w:lang w:val="en-GB"/>
        </w:rPr>
        <w:t xml:space="preserve"> indicate a significant improvement in oil quality</w:t>
      </w:r>
      <w:r w:rsidR="00083EC6">
        <w:rPr>
          <w:lang w:val="en-GB"/>
        </w:rPr>
        <w:t xml:space="preserve"> down hydrotreating</w:t>
      </w:r>
      <w:r w:rsidR="00083EC6" w:rsidRPr="00083EC6">
        <w:rPr>
          <w:lang w:val="en-GB"/>
        </w:rPr>
        <w:t xml:space="preserve">, particularly in reducing heavy and </w:t>
      </w:r>
      <w:r w:rsidR="008515F9">
        <w:rPr>
          <w:lang w:val="en-GB"/>
        </w:rPr>
        <w:t>A</w:t>
      </w:r>
      <w:r w:rsidR="00083EC6" w:rsidRPr="00083EC6">
        <w:rPr>
          <w:lang w:val="en-GB"/>
        </w:rPr>
        <w:t xml:space="preserve">romatic fractions, at a hydrogen consumption ratio </w:t>
      </w:r>
      <w:r w:rsidR="0083140D" w:rsidRPr="00431D45">
        <w:t>H</w:t>
      </w:r>
      <w:r w:rsidR="0083140D">
        <w:rPr>
          <w:vertAlign w:val="subscript"/>
        </w:rPr>
        <w:t>2</w:t>
      </w:r>
      <w:r w:rsidR="0083140D">
        <w:t xml:space="preserve">/STPO </w:t>
      </w:r>
      <w:r w:rsidR="0083140D" w:rsidRPr="00431D45">
        <w:t>equal</w:t>
      </w:r>
      <w:r w:rsidR="0083140D">
        <w:t xml:space="preserve"> to 22.2 </w:t>
      </w:r>
      <w:r w:rsidR="0083140D" w:rsidRPr="00EB5C6F">
        <w:rPr>
          <w:bCs/>
        </w:rPr>
        <w:t>Nm</w:t>
      </w:r>
      <w:r w:rsidR="0083140D">
        <w:rPr>
          <w:bCs/>
          <w:vertAlign w:val="superscript"/>
        </w:rPr>
        <w:t>3</w:t>
      </w:r>
      <w:r w:rsidR="0083140D" w:rsidRPr="00EB5C6F">
        <w:rPr>
          <w:bCs/>
        </w:rPr>
        <w:t>/m</w:t>
      </w:r>
      <w:r w:rsidR="0083140D">
        <w:rPr>
          <w:bCs/>
          <w:vertAlign w:val="superscript"/>
        </w:rPr>
        <w:t>3</w:t>
      </w:r>
      <w:r w:rsidR="0083140D">
        <w:t>.</w:t>
      </w:r>
      <w:r w:rsidR="007A0723">
        <w:t xml:space="preserve"> </w:t>
      </w:r>
      <w:r w:rsidR="00DE0C95">
        <w:t>F</w:t>
      </w:r>
      <w:proofErr w:type="spellStart"/>
      <w:r w:rsidR="00DE0C95">
        <w:rPr>
          <w:lang w:val="en-GB"/>
        </w:rPr>
        <w:t>uture</w:t>
      </w:r>
      <w:proofErr w:type="spellEnd"/>
      <w:r w:rsidR="007C3EE9">
        <w:rPr>
          <w:lang w:val="en-GB"/>
        </w:rPr>
        <w:t xml:space="preserve"> developments dealing with </w:t>
      </w:r>
      <w:r w:rsidR="00674496">
        <w:rPr>
          <w:lang w:val="en-GB"/>
        </w:rPr>
        <w:t>an accurate</w:t>
      </w:r>
      <w:r w:rsidR="00205A9E">
        <w:rPr>
          <w:lang w:val="en-GB"/>
        </w:rPr>
        <w:t xml:space="preserve"> </w:t>
      </w:r>
      <w:r w:rsidR="00910F2B">
        <w:rPr>
          <w:lang w:val="en-GB"/>
        </w:rPr>
        <w:t xml:space="preserve">estimation of </w:t>
      </w:r>
      <w:r w:rsidR="00205A9E">
        <w:rPr>
          <w:lang w:val="en-GB"/>
        </w:rPr>
        <w:t>hydrogen consumption</w:t>
      </w:r>
      <w:r w:rsidR="007C3EE9">
        <w:rPr>
          <w:lang w:val="en-GB"/>
        </w:rPr>
        <w:t xml:space="preserve"> </w:t>
      </w:r>
      <w:r w:rsidR="007A0723">
        <w:rPr>
          <w:lang w:val="en-GB"/>
        </w:rPr>
        <w:t>are required</w:t>
      </w:r>
      <w:r w:rsidR="00205A9E">
        <w:rPr>
          <w:lang w:val="en-GB"/>
        </w:rPr>
        <w:t>.</w:t>
      </w:r>
    </w:p>
    <w:p w14:paraId="37A391A2" w14:textId="61568B20" w:rsidR="00205A9E" w:rsidRDefault="00910F2B" w:rsidP="00FB4D4A">
      <w:pPr>
        <w:pStyle w:val="Els-body-text"/>
        <w:rPr>
          <w:lang w:val="en-GB"/>
        </w:rPr>
      </w:pPr>
      <w:r>
        <w:rPr>
          <w:lang w:val="en-GB"/>
        </w:rPr>
        <w:t>F</w:t>
      </w:r>
      <w:r w:rsidR="00C91E16" w:rsidRPr="00C91E16">
        <w:rPr>
          <w:lang w:val="en-GB"/>
        </w:rPr>
        <w:t>or a more robust and comprehensive simulation of the process, it is</w:t>
      </w:r>
      <w:r w:rsidR="00A546FF">
        <w:rPr>
          <w:lang w:val="en-GB"/>
        </w:rPr>
        <w:t xml:space="preserve"> necessary</w:t>
      </w:r>
      <w:r w:rsidR="00C91E16" w:rsidRPr="00C91E16">
        <w:rPr>
          <w:lang w:val="en-GB"/>
        </w:rPr>
        <w:t xml:space="preserve"> to integrate the presented </w:t>
      </w:r>
      <w:r w:rsidR="005A7446">
        <w:rPr>
          <w:lang w:val="en-GB"/>
        </w:rPr>
        <w:t>work</w:t>
      </w:r>
      <w:r w:rsidR="00C91E16" w:rsidRPr="00C91E16">
        <w:rPr>
          <w:lang w:val="en-GB"/>
        </w:rPr>
        <w:t xml:space="preserve"> with </w:t>
      </w:r>
      <w:r w:rsidR="00133E2A" w:rsidRPr="00C91E16">
        <w:rPr>
          <w:lang w:val="en-GB"/>
        </w:rPr>
        <w:t>other</w:t>
      </w:r>
      <w:r w:rsidR="00C91E16" w:rsidRPr="00C91E16">
        <w:rPr>
          <w:lang w:val="en-GB"/>
        </w:rPr>
        <w:t xml:space="preserve"> </w:t>
      </w:r>
      <w:r w:rsidR="004B42C4">
        <w:rPr>
          <w:lang w:val="en-GB"/>
        </w:rPr>
        <w:t>relevant researc</w:t>
      </w:r>
      <w:r w:rsidR="005E3C8D">
        <w:rPr>
          <w:lang w:val="en-GB"/>
        </w:rPr>
        <w:t>h</w:t>
      </w:r>
      <w:r w:rsidR="00C91E16" w:rsidRPr="00C91E16">
        <w:rPr>
          <w:lang w:val="en-GB"/>
        </w:rPr>
        <w:t>.</w:t>
      </w:r>
      <w:r w:rsidR="006A2D67">
        <w:rPr>
          <w:lang w:val="en-GB"/>
        </w:rPr>
        <w:t xml:space="preserve"> </w:t>
      </w:r>
      <w:r w:rsidR="000C55B3">
        <w:rPr>
          <w:lang w:val="en-GB"/>
        </w:rPr>
        <w:t>Simulation and a</w:t>
      </w:r>
      <w:r w:rsidR="005E3C8D">
        <w:rPr>
          <w:lang w:val="en-GB"/>
        </w:rPr>
        <w:t>ccurate</w:t>
      </w:r>
      <w:r w:rsidR="00347261">
        <w:rPr>
          <w:lang w:val="en-GB"/>
        </w:rPr>
        <w:t xml:space="preserve"> estimation of hydrogen</w:t>
      </w:r>
      <w:r w:rsidR="00575375">
        <w:rPr>
          <w:lang w:val="en-GB"/>
        </w:rPr>
        <w:t>,</w:t>
      </w:r>
      <w:r w:rsidR="00347261">
        <w:rPr>
          <w:lang w:val="en-GB"/>
        </w:rPr>
        <w:t xml:space="preserve"> </w:t>
      </w:r>
      <w:r w:rsidR="000C55B3">
        <w:rPr>
          <w:lang w:val="en-GB"/>
        </w:rPr>
        <w:t>recovered</w:t>
      </w:r>
      <w:r w:rsidR="00347261">
        <w:rPr>
          <w:lang w:val="en-GB"/>
        </w:rPr>
        <w:t xml:space="preserve"> from </w:t>
      </w:r>
      <w:r w:rsidR="00AA1A8E">
        <w:rPr>
          <w:lang w:val="en-GB"/>
        </w:rPr>
        <w:t>the</w:t>
      </w:r>
      <w:r w:rsidR="00985A46">
        <w:rPr>
          <w:lang w:val="en-GB"/>
        </w:rPr>
        <w:t xml:space="preserve"> </w:t>
      </w:r>
      <w:r w:rsidR="00DD46AC">
        <w:rPr>
          <w:lang w:val="en-GB"/>
        </w:rPr>
        <w:t>thermal unit</w:t>
      </w:r>
      <w:r w:rsidR="00347261">
        <w:rPr>
          <w:lang w:val="en-GB"/>
        </w:rPr>
        <w:t xml:space="preserve"> adopting detailed simulation with more accurate kinetics</w:t>
      </w:r>
      <w:r w:rsidR="00575375">
        <w:rPr>
          <w:lang w:val="en-GB"/>
        </w:rPr>
        <w:t>,</w:t>
      </w:r>
      <w:r w:rsidR="00EE6023">
        <w:rPr>
          <w:lang w:val="en-GB"/>
        </w:rPr>
        <w:t xml:space="preserve"> should be adopted</w:t>
      </w:r>
      <w:r w:rsidR="00347261">
        <w:rPr>
          <w:lang w:val="en-GB"/>
        </w:rPr>
        <w:t xml:space="preserve">. </w:t>
      </w:r>
      <w:r w:rsidR="001574C5">
        <w:rPr>
          <w:lang w:val="en-GB"/>
        </w:rPr>
        <w:t xml:space="preserve">Detailed simulation </w:t>
      </w:r>
      <w:r w:rsidR="009335B0">
        <w:rPr>
          <w:lang w:val="en-GB"/>
        </w:rPr>
        <w:t xml:space="preserve">of the distillation and separation units </w:t>
      </w:r>
      <w:r w:rsidR="000851C7">
        <w:rPr>
          <w:lang w:val="en-GB"/>
        </w:rPr>
        <w:t xml:space="preserve">for </w:t>
      </w:r>
      <w:r w:rsidR="00BE1A1D">
        <w:rPr>
          <w:lang w:val="en-GB"/>
        </w:rPr>
        <w:t xml:space="preserve">the refining of the </w:t>
      </w:r>
      <w:r w:rsidR="000851C7">
        <w:rPr>
          <w:lang w:val="en-GB"/>
        </w:rPr>
        <w:t>upgrade oil</w:t>
      </w:r>
      <w:r w:rsidR="00EE6023">
        <w:rPr>
          <w:lang w:val="en-GB"/>
        </w:rPr>
        <w:t xml:space="preserve"> must be integrated</w:t>
      </w:r>
      <w:r w:rsidR="000851C7">
        <w:rPr>
          <w:lang w:val="en-GB"/>
        </w:rPr>
        <w:t>.</w:t>
      </w:r>
      <w:r w:rsidR="0074362A">
        <w:rPr>
          <w:lang w:val="en-GB"/>
        </w:rPr>
        <w:t xml:space="preserve"> </w:t>
      </w:r>
      <w:r w:rsidR="002174CD">
        <w:rPr>
          <w:lang w:val="en-GB"/>
        </w:rPr>
        <w:t>Once obtained a more comprehensive simulation</w:t>
      </w:r>
      <w:r w:rsidR="00575375">
        <w:rPr>
          <w:lang w:val="en-GB"/>
        </w:rPr>
        <w:t>,</w:t>
      </w:r>
      <w:r w:rsidR="002174CD">
        <w:rPr>
          <w:lang w:val="en-GB"/>
        </w:rPr>
        <w:t xml:space="preserve"> </w:t>
      </w:r>
      <w:r w:rsidR="005039BA">
        <w:rPr>
          <w:lang w:val="en-GB"/>
        </w:rPr>
        <w:t xml:space="preserve">an energy analysis </w:t>
      </w:r>
      <w:r w:rsidR="00150A1E">
        <w:rPr>
          <w:lang w:val="en-GB"/>
        </w:rPr>
        <w:t>should</w:t>
      </w:r>
      <w:r w:rsidR="005039BA">
        <w:rPr>
          <w:lang w:val="en-GB"/>
        </w:rPr>
        <w:t xml:space="preserve"> be carried out.</w:t>
      </w:r>
      <w:r w:rsidR="00BE1A1D">
        <w:rPr>
          <w:lang w:val="en-GB"/>
        </w:rPr>
        <w:t xml:space="preserve"> </w:t>
      </w:r>
      <w:r w:rsidR="006B49CF">
        <w:rPr>
          <w:lang w:val="en-GB"/>
        </w:rPr>
        <w:t xml:space="preserve">Further improvements that </w:t>
      </w:r>
      <w:r w:rsidR="00150A1E">
        <w:rPr>
          <w:lang w:val="en-GB"/>
        </w:rPr>
        <w:t>have to</w:t>
      </w:r>
      <w:r w:rsidR="006B49CF">
        <w:rPr>
          <w:lang w:val="en-GB"/>
        </w:rPr>
        <w:t xml:space="preserve"> be investigated are a sensitivity analysis on pyrolysis conditions</w:t>
      </w:r>
      <w:r w:rsidR="0044370B">
        <w:rPr>
          <w:lang w:val="en-GB"/>
        </w:rPr>
        <w:t>,</w:t>
      </w:r>
      <w:r w:rsidR="006B49CF">
        <w:rPr>
          <w:lang w:val="en-GB"/>
        </w:rPr>
        <w:t xml:space="preserve"> to get a fully hydrogen self-sustainable system</w:t>
      </w:r>
      <w:r w:rsidR="00BA1B40">
        <w:rPr>
          <w:lang w:val="en-GB"/>
        </w:rPr>
        <w:t>.</w:t>
      </w:r>
    </w:p>
    <w:p w14:paraId="38FB90D2" w14:textId="11CAD8B9" w:rsidR="00EC5210" w:rsidRDefault="00205A9E" w:rsidP="007C3EE9">
      <w:pPr>
        <w:pStyle w:val="Els-body-text"/>
        <w:rPr>
          <w:lang w:val="en-GB"/>
        </w:rPr>
      </w:pPr>
      <w:r>
        <w:rPr>
          <w:lang w:val="en-GB"/>
        </w:rPr>
        <w:t xml:space="preserve">The interest in this work is high, indeed the choice of waste tire as feed is </w:t>
      </w:r>
      <w:r w:rsidR="00955042">
        <w:rPr>
          <w:lang w:val="en-GB"/>
        </w:rPr>
        <w:t>i</w:t>
      </w:r>
      <w:r>
        <w:rPr>
          <w:lang w:val="en-GB"/>
        </w:rPr>
        <w:t>n line with the current problematic</w:t>
      </w:r>
      <w:r w:rsidR="00E46A92">
        <w:rPr>
          <w:lang w:val="en-GB"/>
        </w:rPr>
        <w:t>s</w:t>
      </w:r>
      <w:r>
        <w:rPr>
          <w:lang w:val="en-GB"/>
        </w:rPr>
        <w:t xml:space="preserve"> of waste recycling. The choice of maximiz</w:t>
      </w:r>
      <w:r w:rsidR="00DB411A">
        <w:rPr>
          <w:lang w:val="en-GB"/>
        </w:rPr>
        <w:t>ing</w:t>
      </w:r>
      <w:r>
        <w:rPr>
          <w:lang w:val="en-GB"/>
        </w:rPr>
        <w:t xml:space="preserve"> liquid production is interesting, indeed the production of fuels and base chemicals</w:t>
      </w:r>
      <w:r w:rsidR="0044370B">
        <w:rPr>
          <w:lang w:val="en-GB"/>
        </w:rPr>
        <w:t>,</w:t>
      </w:r>
      <w:r>
        <w:rPr>
          <w:lang w:val="en-GB"/>
        </w:rPr>
        <w:t xml:space="preserve"> avoiding the use of virgin oil</w:t>
      </w:r>
      <w:r w:rsidR="0044370B">
        <w:rPr>
          <w:lang w:val="en-GB"/>
        </w:rPr>
        <w:t>,</w:t>
      </w:r>
      <w:r>
        <w:rPr>
          <w:lang w:val="en-GB"/>
        </w:rPr>
        <w:t xml:space="preserve"> is fundamental</w:t>
      </w:r>
      <w:r w:rsidR="00004F94">
        <w:rPr>
          <w:lang w:val="en-GB"/>
        </w:rPr>
        <w:t>.</w:t>
      </w:r>
    </w:p>
    <w:p w14:paraId="6C95D31E" w14:textId="1CC27EB4" w:rsidR="001C67C0" w:rsidRPr="00904631" w:rsidRDefault="001C67C0" w:rsidP="00ED7177">
      <w:pPr>
        <w:pStyle w:val="Els-body-text"/>
        <w:spacing w:before="240" w:after="120"/>
        <w:rPr>
          <w:b/>
          <w:bCs/>
          <w:sz w:val="22"/>
          <w:szCs w:val="22"/>
        </w:rPr>
      </w:pPr>
      <w:r w:rsidRPr="00904631">
        <w:rPr>
          <w:b/>
          <w:bCs/>
          <w:sz w:val="22"/>
          <w:szCs w:val="22"/>
        </w:rPr>
        <w:t>References</w:t>
      </w:r>
    </w:p>
    <w:p w14:paraId="191E43D9" w14:textId="77777777" w:rsidR="00EF1813" w:rsidRPr="00EF1813" w:rsidRDefault="00516738" w:rsidP="00EF1813">
      <w:pPr>
        <w:pStyle w:val="Bibliografia"/>
        <w:rPr>
          <w:sz w:val="18"/>
        </w:rPr>
      </w:pPr>
      <w:r w:rsidRPr="001F2F84">
        <w:rPr>
          <w:sz w:val="18"/>
          <w:szCs w:val="18"/>
          <w:lang w:val="en-US"/>
        </w:rPr>
        <w:fldChar w:fldCharType="begin"/>
      </w:r>
      <w:r w:rsidR="00EF1813">
        <w:rPr>
          <w:sz w:val="18"/>
          <w:szCs w:val="18"/>
        </w:rPr>
        <w:instrText xml:space="preserve"> ADDIN ZOTERO_BIBL {"uncited":[],"omitted":[],"custom":[]} CSL_BIBLIOGRAPHY </w:instrText>
      </w:r>
      <w:r w:rsidRPr="001F2F84">
        <w:rPr>
          <w:sz w:val="18"/>
          <w:szCs w:val="18"/>
          <w:lang w:val="en-US"/>
        </w:rPr>
        <w:fldChar w:fldCharType="separate"/>
      </w:r>
      <w:r w:rsidR="00EF1813" w:rsidRPr="00EF1813">
        <w:rPr>
          <w:sz w:val="18"/>
        </w:rPr>
        <w:t>L.C. Castañeda, J.A.D. Muñoz, J. Ancheyta, 2011. Comparison of approaches to determine hydrogen consumption during catalytic hydrotreating of oil fractions. Fuel, Environmental Modeling of Catalytic Reactions in the Oil Refining Industry 90, 3593–3601.</w:t>
      </w:r>
    </w:p>
    <w:p w14:paraId="391D898A" w14:textId="77777777" w:rsidR="00EF1813" w:rsidRPr="00EF1813" w:rsidRDefault="00EF1813" w:rsidP="00EF1813">
      <w:pPr>
        <w:pStyle w:val="Bibliografia"/>
        <w:rPr>
          <w:sz w:val="18"/>
        </w:rPr>
      </w:pPr>
      <w:r w:rsidRPr="00EF1813">
        <w:rPr>
          <w:sz w:val="18"/>
        </w:rPr>
        <w:t>I. Hita, A.T. Aguayo, M. Olazar, M.J. Azkoiti, J. Bilbao, J.M. Arandes, P. Castaño, 2015. Kinetic Modeling of the Hydrotreating and Hydrocracking Stages for Upgrading Scrap Tires Pyrolysis Oil (STPO) toward High-Quality Fuels. Energy Fuels 29, 7542–7553.</w:t>
      </w:r>
    </w:p>
    <w:p w14:paraId="3D324554" w14:textId="77777777" w:rsidR="00EF1813" w:rsidRPr="00EF1813" w:rsidRDefault="00EF1813" w:rsidP="00EF1813">
      <w:pPr>
        <w:pStyle w:val="Bibliografia"/>
        <w:rPr>
          <w:sz w:val="18"/>
        </w:rPr>
      </w:pPr>
      <w:r w:rsidRPr="00EF1813">
        <w:rPr>
          <w:sz w:val="18"/>
        </w:rPr>
        <w:t>H.Y. Ismail, A. Abbas, F. Azizi, J. Zeaiter, 2017. Pyrolysis of waste tires: A modeling and parameter estimation study using Aspen Plus®. Waste Management, Special Thematic Issue: Urban Mining and Circular Economy 60, 482–493.</w:t>
      </w:r>
    </w:p>
    <w:p w14:paraId="4C9A8B52" w14:textId="77777777" w:rsidR="00EF1813" w:rsidRPr="00EF1813" w:rsidRDefault="00EF1813" w:rsidP="00EF1813">
      <w:pPr>
        <w:pStyle w:val="Bibliografia"/>
        <w:rPr>
          <w:sz w:val="18"/>
        </w:rPr>
      </w:pPr>
      <w:r w:rsidRPr="00EF1813">
        <w:rPr>
          <w:sz w:val="18"/>
        </w:rPr>
        <w:t>M. Kyari, A. Cunliffe, P.T. Williams, 2005. Characterization of Oils, Gases, and Char in Relation to the Pyrolysis of Different Brands of Scrap Automotive Tires. Energy Fuels 19, 1165–1173.</w:t>
      </w:r>
    </w:p>
    <w:p w14:paraId="5FDFA087" w14:textId="77777777" w:rsidR="00EF1813" w:rsidRPr="00EF1813" w:rsidRDefault="00EF1813" w:rsidP="00EF1813">
      <w:pPr>
        <w:pStyle w:val="Bibliografia"/>
        <w:rPr>
          <w:sz w:val="18"/>
        </w:rPr>
      </w:pPr>
      <w:r w:rsidRPr="00EF1813">
        <w:rPr>
          <w:sz w:val="18"/>
        </w:rPr>
        <w:t>N. Nkosi, E. Muzenda, J. Gorimbo, M. Belaid, 2021. Developments in waste tyre thermochemical conversion processes: gasification, pyrolysis and liquefaction. RSC Advances 11, 11844–11871.</w:t>
      </w:r>
    </w:p>
    <w:p w14:paraId="211E4FC9" w14:textId="77777777" w:rsidR="00EF1813" w:rsidRPr="00EF1813" w:rsidRDefault="00EF1813" w:rsidP="00EF1813">
      <w:pPr>
        <w:pStyle w:val="Bibliografia"/>
        <w:rPr>
          <w:sz w:val="18"/>
        </w:rPr>
      </w:pPr>
      <w:r w:rsidRPr="00EF1813">
        <w:rPr>
          <w:sz w:val="18"/>
        </w:rPr>
        <w:t>A. Nova, F. Negri, F. Manenti, 2023. Multi-scale Modelling and Experimental Investigation of Hydrogen Sulphide Thermal Decomposition, in: Kokossis, A.C., Georgiadis, M.C., Pistikopoulos, E. (Eds.), Computer Aided Chemical Engineering, 33 European Symposium on Computer Aided Process Engineering. Elsevier, pp. 2411–2416.</w:t>
      </w:r>
    </w:p>
    <w:p w14:paraId="22E78559" w14:textId="77777777" w:rsidR="00EF1813" w:rsidRPr="00EF1813" w:rsidRDefault="00EF1813" w:rsidP="00EF1813">
      <w:pPr>
        <w:pStyle w:val="Bibliografia"/>
        <w:rPr>
          <w:sz w:val="18"/>
        </w:rPr>
      </w:pPr>
      <w:r w:rsidRPr="00EF1813">
        <w:rPr>
          <w:sz w:val="18"/>
        </w:rPr>
        <w:t>M. Olazar, G. Lopez, M. Arabiourrutia, G. Elordi, R. Aguado, J. Bilbao, 2008. Kinetic modelling of tyre pyrolysis in a conical spouted bed reactor. Journal of Analytical and Applied Pyrolysis 81, 127–132.</w:t>
      </w:r>
    </w:p>
    <w:p w14:paraId="26F36B12" w14:textId="77777777" w:rsidR="00EF1813" w:rsidRPr="00EF1813" w:rsidRDefault="00EF1813" w:rsidP="00EF1813">
      <w:pPr>
        <w:pStyle w:val="Bibliografia"/>
        <w:rPr>
          <w:sz w:val="18"/>
        </w:rPr>
      </w:pPr>
      <w:r w:rsidRPr="00EF1813">
        <w:rPr>
          <w:sz w:val="18"/>
        </w:rPr>
        <w:t>C.A. Scholes, G.Q. Chen, W.X. Tao, J. Bacus, C. Anderson, G.W. Stevens, S.E. Kentish, 2011. The effects of minor components on the gas separation performance of membranes for carbon capture. Energy Procedia, 10th International Conference on Greenhouse Gas Control Technologies 4, 681–687.</w:t>
      </w:r>
    </w:p>
    <w:p w14:paraId="635F4CCE" w14:textId="77777777" w:rsidR="00EF1813" w:rsidRPr="00EF1813" w:rsidRDefault="00EF1813" w:rsidP="00EF1813">
      <w:pPr>
        <w:pStyle w:val="Bibliografia"/>
        <w:rPr>
          <w:sz w:val="18"/>
        </w:rPr>
      </w:pPr>
      <w:r w:rsidRPr="00EF1813">
        <w:rPr>
          <w:sz w:val="18"/>
        </w:rPr>
        <w:t>F. Valentini, A. Pegoretti, 2022. End-of-life options of tyres. A review. Advanced Industrial and Engineering Polymer Research, Recycling of Rubbers 5, 203–213.</w:t>
      </w:r>
    </w:p>
    <w:p w14:paraId="3B157C70" w14:textId="102CB5A6" w:rsidR="004C3720" w:rsidRPr="004C3720" w:rsidRDefault="00516738" w:rsidP="006C686B">
      <w:pPr>
        <w:pStyle w:val="Bibliografia"/>
        <w:spacing w:after="60"/>
        <w:rPr>
          <w:szCs w:val="18"/>
        </w:rPr>
      </w:pPr>
      <w:r w:rsidRPr="001F2F84">
        <w:rPr>
          <w:szCs w:val="18"/>
        </w:rPr>
        <w:fldChar w:fldCharType="end"/>
      </w:r>
    </w:p>
    <w:sectPr w:rsidR="004C3720" w:rsidRPr="004C3720"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362F" w14:textId="77777777" w:rsidR="00E10FD8" w:rsidRDefault="00E10FD8">
      <w:r>
        <w:separator/>
      </w:r>
    </w:p>
  </w:endnote>
  <w:endnote w:type="continuationSeparator" w:id="0">
    <w:p w14:paraId="0B634008" w14:textId="77777777" w:rsidR="00E10FD8" w:rsidRDefault="00E1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A690" w14:textId="77777777" w:rsidR="00E10FD8" w:rsidRDefault="00E10FD8">
      <w:r>
        <w:separator/>
      </w:r>
    </w:p>
  </w:footnote>
  <w:footnote w:type="continuationSeparator" w:id="0">
    <w:p w14:paraId="7501B99B" w14:textId="77777777" w:rsidR="00E10FD8" w:rsidRDefault="00E1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D002B29" w:rsidR="00DD3D9E" w:rsidRDefault="00DD3D9E">
    <w:pPr>
      <w:pStyle w:val="Intestazione"/>
      <w:tabs>
        <w:tab w:val="clear" w:pos="7200"/>
        <w:tab w:val="right" w:pos="7088"/>
      </w:tabs>
    </w:pPr>
    <w:r>
      <w:rPr>
        <w:rStyle w:val="Numeropagina"/>
      </w:rPr>
      <w:tab/>
    </w:r>
    <w:r>
      <w:rPr>
        <w:rStyle w:val="Numeropagina"/>
        <w:i/>
      </w:rPr>
      <w:tab/>
    </w:r>
    <w:r w:rsidR="00A868C5">
      <w:rPr>
        <w:i/>
      </w:rPr>
      <w:t>S</w:t>
    </w:r>
    <w:r w:rsidR="007C3EE9">
      <w:rPr>
        <w:i/>
      </w:rPr>
      <w:t>.</w:t>
    </w:r>
    <w:r w:rsidR="00A868C5">
      <w:rPr>
        <w:i/>
      </w:rPr>
      <w:t xml:space="preserve"> Caspani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95D5A72" w:rsidR="00DD3D9E" w:rsidRPr="007F6248" w:rsidRDefault="00A868C5" w:rsidP="00A868C5">
    <w:pPr>
      <w:rPr>
        <w:i/>
        <w:iCs/>
        <w:lang w:val="en-US"/>
      </w:rPr>
    </w:pPr>
    <w:r w:rsidRPr="007F6248">
      <w:rPr>
        <w:i/>
        <w:iCs/>
        <w:lang w:val="en-US"/>
      </w:rPr>
      <w:t>Integrated Recycling of End-of-Life Tires through Pyrolysis</w:t>
    </w:r>
    <w:r w:rsidR="003962BE" w:rsidRPr="007F6248">
      <w:rPr>
        <w:i/>
        <w:iCs/>
        <w:lang w:val="en-US"/>
      </w:rPr>
      <w:t xml:space="preserve"> for </w:t>
    </w:r>
    <w:r w:rsidRPr="007F6248">
      <w:rPr>
        <w:i/>
        <w:iCs/>
        <w:lang w:val="en-US"/>
      </w:rPr>
      <w:t>Fuels Production with Hydrogen Recovery</w:t>
    </w:r>
    <w:r w:rsidR="00DD3D9E" w:rsidRPr="007F6248">
      <w:rPr>
        <w:rStyle w:val="Numeropagina"/>
        <w:i/>
        <w:iCs/>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EA6559"/>
    <w:multiLevelType w:val="hybridMultilevel"/>
    <w:tmpl w:val="837EE1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E2581D"/>
    <w:multiLevelType w:val="hybridMultilevel"/>
    <w:tmpl w:val="1010A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BD9"/>
    <w:rsid w:val="0000307B"/>
    <w:rsid w:val="00004F94"/>
    <w:rsid w:val="000224F4"/>
    <w:rsid w:val="000226A8"/>
    <w:rsid w:val="000228E8"/>
    <w:rsid w:val="0002298F"/>
    <w:rsid w:val="0002481D"/>
    <w:rsid w:val="00031A56"/>
    <w:rsid w:val="00032262"/>
    <w:rsid w:val="00032637"/>
    <w:rsid w:val="000356CD"/>
    <w:rsid w:val="00045815"/>
    <w:rsid w:val="0005306B"/>
    <w:rsid w:val="0005394C"/>
    <w:rsid w:val="00053A51"/>
    <w:rsid w:val="000659D5"/>
    <w:rsid w:val="00071826"/>
    <w:rsid w:val="000750AD"/>
    <w:rsid w:val="0007636C"/>
    <w:rsid w:val="000769EA"/>
    <w:rsid w:val="00083D21"/>
    <w:rsid w:val="00083EC6"/>
    <w:rsid w:val="000851C7"/>
    <w:rsid w:val="00092445"/>
    <w:rsid w:val="00095023"/>
    <w:rsid w:val="0009580C"/>
    <w:rsid w:val="000A3B12"/>
    <w:rsid w:val="000A4861"/>
    <w:rsid w:val="000A4CC4"/>
    <w:rsid w:val="000A6102"/>
    <w:rsid w:val="000B055F"/>
    <w:rsid w:val="000B1B1C"/>
    <w:rsid w:val="000B6A5C"/>
    <w:rsid w:val="000B6C26"/>
    <w:rsid w:val="000C10D7"/>
    <w:rsid w:val="000C1400"/>
    <w:rsid w:val="000C22E2"/>
    <w:rsid w:val="000C35A8"/>
    <w:rsid w:val="000C55B3"/>
    <w:rsid w:val="000D0C5D"/>
    <w:rsid w:val="000D15D9"/>
    <w:rsid w:val="000D27E0"/>
    <w:rsid w:val="000D3665"/>
    <w:rsid w:val="000D3D9B"/>
    <w:rsid w:val="000D61F1"/>
    <w:rsid w:val="000F5120"/>
    <w:rsid w:val="000F5A39"/>
    <w:rsid w:val="00100114"/>
    <w:rsid w:val="00102A51"/>
    <w:rsid w:val="001056C7"/>
    <w:rsid w:val="00105812"/>
    <w:rsid w:val="001060BF"/>
    <w:rsid w:val="0010639A"/>
    <w:rsid w:val="00106C9F"/>
    <w:rsid w:val="00124D4F"/>
    <w:rsid w:val="00127809"/>
    <w:rsid w:val="00127971"/>
    <w:rsid w:val="00127AFE"/>
    <w:rsid w:val="00133340"/>
    <w:rsid w:val="00133E2A"/>
    <w:rsid w:val="00135C90"/>
    <w:rsid w:val="00136A33"/>
    <w:rsid w:val="0014057D"/>
    <w:rsid w:val="00142437"/>
    <w:rsid w:val="00144FED"/>
    <w:rsid w:val="001470E0"/>
    <w:rsid w:val="00147966"/>
    <w:rsid w:val="00150A1E"/>
    <w:rsid w:val="001574C5"/>
    <w:rsid w:val="0016032F"/>
    <w:rsid w:val="00162E0B"/>
    <w:rsid w:val="00177B91"/>
    <w:rsid w:val="00182A22"/>
    <w:rsid w:val="001879F6"/>
    <w:rsid w:val="001943A0"/>
    <w:rsid w:val="00197814"/>
    <w:rsid w:val="001A7E2C"/>
    <w:rsid w:val="001B1486"/>
    <w:rsid w:val="001B6E18"/>
    <w:rsid w:val="001C0148"/>
    <w:rsid w:val="001C67C0"/>
    <w:rsid w:val="001C757E"/>
    <w:rsid w:val="001D127E"/>
    <w:rsid w:val="001D2971"/>
    <w:rsid w:val="001D3E91"/>
    <w:rsid w:val="001D3F0B"/>
    <w:rsid w:val="001D4C4E"/>
    <w:rsid w:val="001D5DD2"/>
    <w:rsid w:val="001D5F77"/>
    <w:rsid w:val="001E2D64"/>
    <w:rsid w:val="001F2F84"/>
    <w:rsid w:val="001F6050"/>
    <w:rsid w:val="001F7E8C"/>
    <w:rsid w:val="00200E68"/>
    <w:rsid w:val="00201798"/>
    <w:rsid w:val="0020390F"/>
    <w:rsid w:val="00203A7C"/>
    <w:rsid w:val="00205A9E"/>
    <w:rsid w:val="00206008"/>
    <w:rsid w:val="002075F8"/>
    <w:rsid w:val="002174CD"/>
    <w:rsid w:val="002224AD"/>
    <w:rsid w:val="00233BF2"/>
    <w:rsid w:val="00234294"/>
    <w:rsid w:val="002440F6"/>
    <w:rsid w:val="002528C5"/>
    <w:rsid w:val="0025535C"/>
    <w:rsid w:val="002612E6"/>
    <w:rsid w:val="00264926"/>
    <w:rsid w:val="00265290"/>
    <w:rsid w:val="002703FB"/>
    <w:rsid w:val="0027186D"/>
    <w:rsid w:val="00273507"/>
    <w:rsid w:val="0028109A"/>
    <w:rsid w:val="00282290"/>
    <w:rsid w:val="00284B33"/>
    <w:rsid w:val="00287E30"/>
    <w:rsid w:val="002901B4"/>
    <w:rsid w:val="00290892"/>
    <w:rsid w:val="0029247C"/>
    <w:rsid w:val="00297B51"/>
    <w:rsid w:val="002A222A"/>
    <w:rsid w:val="002A2CA7"/>
    <w:rsid w:val="002A4EAF"/>
    <w:rsid w:val="002A65D0"/>
    <w:rsid w:val="002C468B"/>
    <w:rsid w:val="002D4D7D"/>
    <w:rsid w:val="002D7040"/>
    <w:rsid w:val="002D7A2B"/>
    <w:rsid w:val="002E2236"/>
    <w:rsid w:val="002E2E5B"/>
    <w:rsid w:val="002E5D4E"/>
    <w:rsid w:val="002E7A80"/>
    <w:rsid w:val="002E7B8B"/>
    <w:rsid w:val="002F140C"/>
    <w:rsid w:val="002F27D0"/>
    <w:rsid w:val="002F331E"/>
    <w:rsid w:val="002F34D7"/>
    <w:rsid w:val="002F3FE4"/>
    <w:rsid w:val="002F590A"/>
    <w:rsid w:val="002F5D7E"/>
    <w:rsid w:val="003002A1"/>
    <w:rsid w:val="0030067B"/>
    <w:rsid w:val="003106A8"/>
    <w:rsid w:val="0031127E"/>
    <w:rsid w:val="00313158"/>
    <w:rsid w:val="00316749"/>
    <w:rsid w:val="00320D54"/>
    <w:rsid w:val="0032324E"/>
    <w:rsid w:val="0032394F"/>
    <w:rsid w:val="00325D98"/>
    <w:rsid w:val="00332834"/>
    <w:rsid w:val="003342BF"/>
    <w:rsid w:val="00335931"/>
    <w:rsid w:val="003411C0"/>
    <w:rsid w:val="00341F85"/>
    <w:rsid w:val="003426DC"/>
    <w:rsid w:val="00343BF8"/>
    <w:rsid w:val="00345CE8"/>
    <w:rsid w:val="00347261"/>
    <w:rsid w:val="003525A4"/>
    <w:rsid w:val="00355113"/>
    <w:rsid w:val="00360157"/>
    <w:rsid w:val="003628E6"/>
    <w:rsid w:val="00364311"/>
    <w:rsid w:val="003725D0"/>
    <w:rsid w:val="00373C4A"/>
    <w:rsid w:val="00375018"/>
    <w:rsid w:val="00375F1F"/>
    <w:rsid w:val="003779DC"/>
    <w:rsid w:val="00381599"/>
    <w:rsid w:val="00386AE2"/>
    <w:rsid w:val="003962BE"/>
    <w:rsid w:val="003A1AB3"/>
    <w:rsid w:val="003B4721"/>
    <w:rsid w:val="003B569B"/>
    <w:rsid w:val="003B6AB5"/>
    <w:rsid w:val="003C0209"/>
    <w:rsid w:val="003C37A4"/>
    <w:rsid w:val="003C46C9"/>
    <w:rsid w:val="003D1582"/>
    <w:rsid w:val="003D2227"/>
    <w:rsid w:val="003D45E8"/>
    <w:rsid w:val="003D56F8"/>
    <w:rsid w:val="003D7E4C"/>
    <w:rsid w:val="003E126C"/>
    <w:rsid w:val="003E41C2"/>
    <w:rsid w:val="003F48F2"/>
    <w:rsid w:val="003F73E5"/>
    <w:rsid w:val="0040167A"/>
    <w:rsid w:val="00402284"/>
    <w:rsid w:val="00405181"/>
    <w:rsid w:val="00407A3A"/>
    <w:rsid w:val="00411F2C"/>
    <w:rsid w:val="0042404B"/>
    <w:rsid w:val="00427635"/>
    <w:rsid w:val="00431D45"/>
    <w:rsid w:val="00432A55"/>
    <w:rsid w:val="0044370B"/>
    <w:rsid w:val="00445BC4"/>
    <w:rsid w:val="0045044A"/>
    <w:rsid w:val="00453C07"/>
    <w:rsid w:val="004544B9"/>
    <w:rsid w:val="00454D81"/>
    <w:rsid w:val="00454E64"/>
    <w:rsid w:val="00460037"/>
    <w:rsid w:val="00471D98"/>
    <w:rsid w:val="00474774"/>
    <w:rsid w:val="00474D02"/>
    <w:rsid w:val="00477C8C"/>
    <w:rsid w:val="00483503"/>
    <w:rsid w:val="00484874"/>
    <w:rsid w:val="00485AEF"/>
    <w:rsid w:val="004874D2"/>
    <w:rsid w:val="00490B4A"/>
    <w:rsid w:val="00493FD4"/>
    <w:rsid w:val="00495509"/>
    <w:rsid w:val="0049772C"/>
    <w:rsid w:val="004A1A87"/>
    <w:rsid w:val="004B2EE4"/>
    <w:rsid w:val="004B42C4"/>
    <w:rsid w:val="004C3720"/>
    <w:rsid w:val="004C3CEA"/>
    <w:rsid w:val="004C6274"/>
    <w:rsid w:val="004C63D4"/>
    <w:rsid w:val="004D17E2"/>
    <w:rsid w:val="004D203A"/>
    <w:rsid w:val="004D52A5"/>
    <w:rsid w:val="004D6E89"/>
    <w:rsid w:val="004D7BD6"/>
    <w:rsid w:val="004E0ECE"/>
    <w:rsid w:val="004E316F"/>
    <w:rsid w:val="004E3682"/>
    <w:rsid w:val="004E662F"/>
    <w:rsid w:val="004F2663"/>
    <w:rsid w:val="004F63DC"/>
    <w:rsid w:val="004F7156"/>
    <w:rsid w:val="005002F8"/>
    <w:rsid w:val="00501547"/>
    <w:rsid w:val="005039BA"/>
    <w:rsid w:val="005148D8"/>
    <w:rsid w:val="00516738"/>
    <w:rsid w:val="00520BCA"/>
    <w:rsid w:val="00521B1B"/>
    <w:rsid w:val="005269EA"/>
    <w:rsid w:val="00527C48"/>
    <w:rsid w:val="00534FA5"/>
    <w:rsid w:val="00540833"/>
    <w:rsid w:val="00540CAD"/>
    <w:rsid w:val="0054102B"/>
    <w:rsid w:val="00541A7D"/>
    <w:rsid w:val="00542CFD"/>
    <w:rsid w:val="005437E7"/>
    <w:rsid w:val="0054718B"/>
    <w:rsid w:val="0055035F"/>
    <w:rsid w:val="0055231D"/>
    <w:rsid w:val="00552EEB"/>
    <w:rsid w:val="005550AE"/>
    <w:rsid w:val="00560B43"/>
    <w:rsid w:val="005620F9"/>
    <w:rsid w:val="00562325"/>
    <w:rsid w:val="0056787F"/>
    <w:rsid w:val="00574192"/>
    <w:rsid w:val="00575375"/>
    <w:rsid w:val="005772C0"/>
    <w:rsid w:val="00580C8B"/>
    <w:rsid w:val="0058569E"/>
    <w:rsid w:val="005964DF"/>
    <w:rsid w:val="005A7446"/>
    <w:rsid w:val="005C3DA3"/>
    <w:rsid w:val="005C3EC8"/>
    <w:rsid w:val="005C7C60"/>
    <w:rsid w:val="005D027A"/>
    <w:rsid w:val="005D0501"/>
    <w:rsid w:val="005D204C"/>
    <w:rsid w:val="005D5392"/>
    <w:rsid w:val="005D549A"/>
    <w:rsid w:val="005D79B9"/>
    <w:rsid w:val="005E3C8D"/>
    <w:rsid w:val="005E3E11"/>
    <w:rsid w:val="005E40F8"/>
    <w:rsid w:val="005E5361"/>
    <w:rsid w:val="005F0A69"/>
    <w:rsid w:val="005F0C45"/>
    <w:rsid w:val="005F3F58"/>
    <w:rsid w:val="005F70E6"/>
    <w:rsid w:val="00602236"/>
    <w:rsid w:val="00602ED0"/>
    <w:rsid w:val="0060560B"/>
    <w:rsid w:val="00607640"/>
    <w:rsid w:val="00607FFB"/>
    <w:rsid w:val="00615EC6"/>
    <w:rsid w:val="006224C0"/>
    <w:rsid w:val="00626953"/>
    <w:rsid w:val="0064264C"/>
    <w:rsid w:val="00642E61"/>
    <w:rsid w:val="00643963"/>
    <w:rsid w:val="00645A79"/>
    <w:rsid w:val="006604B1"/>
    <w:rsid w:val="006604EA"/>
    <w:rsid w:val="00662129"/>
    <w:rsid w:val="00663EF4"/>
    <w:rsid w:val="0066750C"/>
    <w:rsid w:val="006700DD"/>
    <w:rsid w:val="00672635"/>
    <w:rsid w:val="0067284C"/>
    <w:rsid w:val="00674496"/>
    <w:rsid w:val="006754CA"/>
    <w:rsid w:val="00681274"/>
    <w:rsid w:val="00683276"/>
    <w:rsid w:val="006912B7"/>
    <w:rsid w:val="00691560"/>
    <w:rsid w:val="006A2D67"/>
    <w:rsid w:val="006A47AA"/>
    <w:rsid w:val="006A69BF"/>
    <w:rsid w:val="006A7DFD"/>
    <w:rsid w:val="006B0E55"/>
    <w:rsid w:val="006B2074"/>
    <w:rsid w:val="006B49CF"/>
    <w:rsid w:val="006C1F46"/>
    <w:rsid w:val="006C3E11"/>
    <w:rsid w:val="006C686B"/>
    <w:rsid w:val="006D1C4F"/>
    <w:rsid w:val="006D2428"/>
    <w:rsid w:val="006D34FF"/>
    <w:rsid w:val="006E2605"/>
    <w:rsid w:val="006E5FDE"/>
    <w:rsid w:val="006E61C5"/>
    <w:rsid w:val="00700C60"/>
    <w:rsid w:val="00700D0F"/>
    <w:rsid w:val="0070442F"/>
    <w:rsid w:val="007106D1"/>
    <w:rsid w:val="00711DF4"/>
    <w:rsid w:val="00713074"/>
    <w:rsid w:val="0071419E"/>
    <w:rsid w:val="00717521"/>
    <w:rsid w:val="00721123"/>
    <w:rsid w:val="00721728"/>
    <w:rsid w:val="00724326"/>
    <w:rsid w:val="00731280"/>
    <w:rsid w:val="00731ADE"/>
    <w:rsid w:val="00740715"/>
    <w:rsid w:val="007429BA"/>
    <w:rsid w:val="0074362A"/>
    <w:rsid w:val="00743862"/>
    <w:rsid w:val="00745FB2"/>
    <w:rsid w:val="00750360"/>
    <w:rsid w:val="00750D2C"/>
    <w:rsid w:val="00756A97"/>
    <w:rsid w:val="00761BF6"/>
    <w:rsid w:val="00764DFF"/>
    <w:rsid w:val="00767D82"/>
    <w:rsid w:val="00774D94"/>
    <w:rsid w:val="00776BA9"/>
    <w:rsid w:val="00777A18"/>
    <w:rsid w:val="007805EA"/>
    <w:rsid w:val="007834CF"/>
    <w:rsid w:val="007837F0"/>
    <w:rsid w:val="00784863"/>
    <w:rsid w:val="007858D6"/>
    <w:rsid w:val="007942C3"/>
    <w:rsid w:val="007A0723"/>
    <w:rsid w:val="007A531F"/>
    <w:rsid w:val="007A7009"/>
    <w:rsid w:val="007B482E"/>
    <w:rsid w:val="007B62DF"/>
    <w:rsid w:val="007C0132"/>
    <w:rsid w:val="007C1DB0"/>
    <w:rsid w:val="007C36B7"/>
    <w:rsid w:val="007C3EE9"/>
    <w:rsid w:val="007C49F6"/>
    <w:rsid w:val="007D0ADF"/>
    <w:rsid w:val="007D1296"/>
    <w:rsid w:val="007D49C8"/>
    <w:rsid w:val="007D4C73"/>
    <w:rsid w:val="007D56A7"/>
    <w:rsid w:val="007D70A1"/>
    <w:rsid w:val="007E02F6"/>
    <w:rsid w:val="007E0D68"/>
    <w:rsid w:val="007E268E"/>
    <w:rsid w:val="007E5861"/>
    <w:rsid w:val="007E6F3E"/>
    <w:rsid w:val="007F03BD"/>
    <w:rsid w:val="007F2F2A"/>
    <w:rsid w:val="007F5387"/>
    <w:rsid w:val="007F6248"/>
    <w:rsid w:val="00800623"/>
    <w:rsid w:val="008132E8"/>
    <w:rsid w:val="00813B19"/>
    <w:rsid w:val="00814508"/>
    <w:rsid w:val="008149B9"/>
    <w:rsid w:val="008155A9"/>
    <w:rsid w:val="00815C26"/>
    <w:rsid w:val="0082303A"/>
    <w:rsid w:val="00823407"/>
    <w:rsid w:val="0082418E"/>
    <w:rsid w:val="0083140D"/>
    <w:rsid w:val="0083152C"/>
    <w:rsid w:val="00833C46"/>
    <w:rsid w:val="008357CD"/>
    <w:rsid w:val="008515F9"/>
    <w:rsid w:val="00856138"/>
    <w:rsid w:val="008566E1"/>
    <w:rsid w:val="0086084E"/>
    <w:rsid w:val="00864A59"/>
    <w:rsid w:val="00870DDB"/>
    <w:rsid w:val="00872D51"/>
    <w:rsid w:val="00872ED8"/>
    <w:rsid w:val="008777B8"/>
    <w:rsid w:val="008838F1"/>
    <w:rsid w:val="00885380"/>
    <w:rsid w:val="008861BB"/>
    <w:rsid w:val="00896FD0"/>
    <w:rsid w:val="008A65DD"/>
    <w:rsid w:val="008A7B12"/>
    <w:rsid w:val="008B0184"/>
    <w:rsid w:val="008B617A"/>
    <w:rsid w:val="008B690F"/>
    <w:rsid w:val="008C21DC"/>
    <w:rsid w:val="008C5D02"/>
    <w:rsid w:val="008D2649"/>
    <w:rsid w:val="008D321B"/>
    <w:rsid w:val="008D3BAF"/>
    <w:rsid w:val="008D5CF1"/>
    <w:rsid w:val="008E567E"/>
    <w:rsid w:val="008F6B06"/>
    <w:rsid w:val="00903FEA"/>
    <w:rsid w:val="00904631"/>
    <w:rsid w:val="0090568D"/>
    <w:rsid w:val="00905E4D"/>
    <w:rsid w:val="00910845"/>
    <w:rsid w:val="00910F2B"/>
    <w:rsid w:val="009125C9"/>
    <w:rsid w:val="00913879"/>
    <w:rsid w:val="00914896"/>
    <w:rsid w:val="009161D0"/>
    <w:rsid w:val="009170BC"/>
    <w:rsid w:val="00917661"/>
    <w:rsid w:val="0092571E"/>
    <w:rsid w:val="00927AA9"/>
    <w:rsid w:val="00930496"/>
    <w:rsid w:val="00931029"/>
    <w:rsid w:val="009335B0"/>
    <w:rsid w:val="0093389B"/>
    <w:rsid w:val="00934EB6"/>
    <w:rsid w:val="00940EEE"/>
    <w:rsid w:val="00942265"/>
    <w:rsid w:val="0095238D"/>
    <w:rsid w:val="00952DB7"/>
    <w:rsid w:val="00955042"/>
    <w:rsid w:val="00957B20"/>
    <w:rsid w:val="0096417E"/>
    <w:rsid w:val="009674BB"/>
    <w:rsid w:val="00970095"/>
    <w:rsid w:val="00970E5D"/>
    <w:rsid w:val="00972E73"/>
    <w:rsid w:val="00975E85"/>
    <w:rsid w:val="0097701C"/>
    <w:rsid w:val="00980A65"/>
    <w:rsid w:val="00980D5D"/>
    <w:rsid w:val="009844A1"/>
    <w:rsid w:val="00985A46"/>
    <w:rsid w:val="0098743F"/>
    <w:rsid w:val="0099307F"/>
    <w:rsid w:val="00997C5F"/>
    <w:rsid w:val="009A0348"/>
    <w:rsid w:val="009A24B3"/>
    <w:rsid w:val="009A2C2B"/>
    <w:rsid w:val="009A39FD"/>
    <w:rsid w:val="009A3F19"/>
    <w:rsid w:val="009A52F7"/>
    <w:rsid w:val="009A7656"/>
    <w:rsid w:val="009B1286"/>
    <w:rsid w:val="009B3DC0"/>
    <w:rsid w:val="009C30E4"/>
    <w:rsid w:val="009C4257"/>
    <w:rsid w:val="009C55D4"/>
    <w:rsid w:val="009C5FC4"/>
    <w:rsid w:val="009D0BA3"/>
    <w:rsid w:val="009D1565"/>
    <w:rsid w:val="009D59EA"/>
    <w:rsid w:val="009D6814"/>
    <w:rsid w:val="009E0EA0"/>
    <w:rsid w:val="009E78A4"/>
    <w:rsid w:val="009F37BE"/>
    <w:rsid w:val="009F40CA"/>
    <w:rsid w:val="00A02B24"/>
    <w:rsid w:val="00A03A03"/>
    <w:rsid w:val="00A03C68"/>
    <w:rsid w:val="00A03F9C"/>
    <w:rsid w:val="00A05E24"/>
    <w:rsid w:val="00A06823"/>
    <w:rsid w:val="00A11FD0"/>
    <w:rsid w:val="00A21722"/>
    <w:rsid w:val="00A23FCF"/>
    <w:rsid w:val="00A25E70"/>
    <w:rsid w:val="00A27369"/>
    <w:rsid w:val="00A27DAA"/>
    <w:rsid w:val="00A30683"/>
    <w:rsid w:val="00A32CBB"/>
    <w:rsid w:val="00A33765"/>
    <w:rsid w:val="00A37AF9"/>
    <w:rsid w:val="00A43964"/>
    <w:rsid w:val="00A45A0F"/>
    <w:rsid w:val="00A45CAC"/>
    <w:rsid w:val="00A47E40"/>
    <w:rsid w:val="00A50184"/>
    <w:rsid w:val="00A50771"/>
    <w:rsid w:val="00A51C07"/>
    <w:rsid w:val="00A546FF"/>
    <w:rsid w:val="00A63150"/>
    <w:rsid w:val="00A63269"/>
    <w:rsid w:val="00A7047F"/>
    <w:rsid w:val="00A76192"/>
    <w:rsid w:val="00A8253F"/>
    <w:rsid w:val="00A868C5"/>
    <w:rsid w:val="00A92377"/>
    <w:rsid w:val="00AA1A8E"/>
    <w:rsid w:val="00AA2C13"/>
    <w:rsid w:val="00AA311F"/>
    <w:rsid w:val="00AA3F64"/>
    <w:rsid w:val="00AB09CE"/>
    <w:rsid w:val="00AB145E"/>
    <w:rsid w:val="00AB29ED"/>
    <w:rsid w:val="00AC03CD"/>
    <w:rsid w:val="00AC123C"/>
    <w:rsid w:val="00AC1A41"/>
    <w:rsid w:val="00AC2FE2"/>
    <w:rsid w:val="00AC34DD"/>
    <w:rsid w:val="00AC671E"/>
    <w:rsid w:val="00AD216E"/>
    <w:rsid w:val="00AD21DA"/>
    <w:rsid w:val="00AE0DE9"/>
    <w:rsid w:val="00AE2782"/>
    <w:rsid w:val="00AE2C8E"/>
    <w:rsid w:val="00AE4BD8"/>
    <w:rsid w:val="00AE6DE8"/>
    <w:rsid w:val="00AF6939"/>
    <w:rsid w:val="00B0042D"/>
    <w:rsid w:val="00B015AE"/>
    <w:rsid w:val="00B02C94"/>
    <w:rsid w:val="00B0529F"/>
    <w:rsid w:val="00B0549A"/>
    <w:rsid w:val="00B07167"/>
    <w:rsid w:val="00B11C8F"/>
    <w:rsid w:val="00B12BB8"/>
    <w:rsid w:val="00B12E07"/>
    <w:rsid w:val="00B12F27"/>
    <w:rsid w:val="00B13A46"/>
    <w:rsid w:val="00B141AB"/>
    <w:rsid w:val="00B15494"/>
    <w:rsid w:val="00B1670D"/>
    <w:rsid w:val="00B26614"/>
    <w:rsid w:val="00B27540"/>
    <w:rsid w:val="00B27E33"/>
    <w:rsid w:val="00B364E1"/>
    <w:rsid w:val="00B43810"/>
    <w:rsid w:val="00B4388F"/>
    <w:rsid w:val="00B47FD9"/>
    <w:rsid w:val="00B51011"/>
    <w:rsid w:val="00B52966"/>
    <w:rsid w:val="00B54520"/>
    <w:rsid w:val="00B547E5"/>
    <w:rsid w:val="00B63237"/>
    <w:rsid w:val="00B64D22"/>
    <w:rsid w:val="00B6592A"/>
    <w:rsid w:val="00B65E4C"/>
    <w:rsid w:val="00B70350"/>
    <w:rsid w:val="00B85B92"/>
    <w:rsid w:val="00B92AA8"/>
    <w:rsid w:val="00B96641"/>
    <w:rsid w:val="00BA07B0"/>
    <w:rsid w:val="00BA1B40"/>
    <w:rsid w:val="00BA1F10"/>
    <w:rsid w:val="00BA6836"/>
    <w:rsid w:val="00BB1AF7"/>
    <w:rsid w:val="00BB4335"/>
    <w:rsid w:val="00BB4A2E"/>
    <w:rsid w:val="00BB611A"/>
    <w:rsid w:val="00BB634C"/>
    <w:rsid w:val="00BB653B"/>
    <w:rsid w:val="00BB6CC8"/>
    <w:rsid w:val="00BD119D"/>
    <w:rsid w:val="00BD30AA"/>
    <w:rsid w:val="00BD4245"/>
    <w:rsid w:val="00BD44BB"/>
    <w:rsid w:val="00BD474B"/>
    <w:rsid w:val="00BE032F"/>
    <w:rsid w:val="00BE1A1D"/>
    <w:rsid w:val="00BE271B"/>
    <w:rsid w:val="00BF142E"/>
    <w:rsid w:val="00BF4AA4"/>
    <w:rsid w:val="00BF53FB"/>
    <w:rsid w:val="00BF5FCD"/>
    <w:rsid w:val="00C01362"/>
    <w:rsid w:val="00C01C79"/>
    <w:rsid w:val="00C01D34"/>
    <w:rsid w:val="00C032ED"/>
    <w:rsid w:val="00C0535F"/>
    <w:rsid w:val="00C07AE5"/>
    <w:rsid w:val="00C07CB5"/>
    <w:rsid w:val="00C127A7"/>
    <w:rsid w:val="00C152EE"/>
    <w:rsid w:val="00C15683"/>
    <w:rsid w:val="00C15CAB"/>
    <w:rsid w:val="00C17601"/>
    <w:rsid w:val="00C221D5"/>
    <w:rsid w:val="00C262B7"/>
    <w:rsid w:val="00C27E17"/>
    <w:rsid w:val="00C343F2"/>
    <w:rsid w:val="00C42C5C"/>
    <w:rsid w:val="00C607F3"/>
    <w:rsid w:val="00C632A3"/>
    <w:rsid w:val="00C63DAA"/>
    <w:rsid w:val="00C71139"/>
    <w:rsid w:val="00C7413F"/>
    <w:rsid w:val="00C75B8C"/>
    <w:rsid w:val="00C83C6A"/>
    <w:rsid w:val="00C843DA"/>
    <w:rsid w:val="00C86661"/>
    <w:rsid w:val="00C867F3"/>
    <w:rsid w:val="00C86A6F"/>
    <w:rsid w:val="00C87578"/>
    <w:rsid w:val="00C900EF"/>
    <w:rsid w:val="00C91E16"/>
    <w:rsid w:val="00C9232D"/>
    <w:rsid w:val="00C960DC"/>
    <w:rsid w:val="00CA5035"/>
    <w:rsid w:val="00CA5371"/>
    <w:rsid w:val="00CB274D"/>
    <w:rsid w:val="00CB32EF"/>
    <w:rsid w:val="00CC08F1"/>
    <w:rsid w:val="00CC47DD"/>
    <w:rsid w:val="00CC4C62"/>
    <w:rsid w:val="00CD015B"/>
    <w:rsid w:val="00CD3024"/>
    <w:rsid w:val="00CD56C6"/>
    <w:rsid w:val="00CD5FE4"/>
    <w:rsid w:val="00CD67A1"/>
    <w:rsid w:val="00CE1B99"/>
    <w:rsid w:val="00CE2074"/>
    <w:rsid w:val="00CE38FF"/>
    <w:rsid w:val="00CF1F96"/>
    <w:rsid w:val="00CF39CF"/>
    <w:rsid w:val="00CF3A72"/>
    <w:rsid w:val="00CF4881"/>
    <w:rsid w:val="00CF7068"/>
    <w:rsid w:val="00D009CE"/>
    <w:rsid w:val="00D025EB"/>
    <w:rsid w:val="00D02C75"/>
    <w:rsid w:val="00D03781"/>
    <w:rsid w:val="00D0577B"/>
    <w:rsid w:val="00D10E22"/>
    <w:rsid w:val="00D11955"/>
    <w:rsid w:val="00D13846"/>
    <w:rsid w:val="00D13D2C"/>
    <w:rsid w:val="00D16426"/>
    <w:rsid w:val="00D2208B"/>
    <w:rsid w:val="00D35660"/>
    <w:rsid w:val="00D420C7"/>
    <w:rsid w:val="00D440CD"/>
    <w:rsid w:val="00D56535"/>
    <w:rsid w:val="00D6030C"/>
    <w:rsid w:val="00D6085F"/>
    <w:rsid w:val="00D64607"/>
    <w:rsid w:val="00D64761"/>
    <w:rsid w:val="00D65401"/>
    <w:rsid w:val="00D65703"/>
    <w:rsid w:val="00D70312"/>
    <w:rsid w:val="00D71760"/>
    <w:rsid w:val="00D71FA2"/>
    <w:rsid w:val="00D96161"/>
    <w:rsid w:val="00D96A06"/>
    <w:rsid w:val="00DA3D2E"/>
    <w:rsid w:val="00DA5B0A"/>
    <w:rsid w:val="00DA7863"/>
    <w:rsid w:val="00DB2295"/>
    <w:rsid w:val="00DB411A"/>
    <w:rsid w:val="00DB4CD3"/>
    <w:rsid w:val="00DC2F94"/>
    <w:rsid w:val="00DC4913"/>
    <w:rsid w:val="00DC569D"/>
    <w:rsid w:val="00DD3D9E"/>
    <w:rsid w:val="00DD46AC"/>
    <w:rsid w:val="00DD666C"/>
    <w:rsid w:val="00DD6DEF"/>
    <w:rsid w:val="00DD7908"/>
    <w:rsid w:val="00DE0C95"/>
    <w:rsid w:val="00DE23C8"/>
    <w:rsid w:val="00DF1144"/>
    <w:rsid w:val="00DF4F1B"/>
    <w:rsid w:val="00DF61AD"/>
    <w:rsid w:val="00E105CB"/>
    <w:rsid w:val="00E10FD8"/>
    <w:rsid w:val="00E12CAA"/>
    <w:rsid w:val="00E16186"/>
    <w:rsid w:val="00E17C51"/>
    <w:rsid w:val="00E210F7"/>
    <w:rsid w:val="00E2239F"/>
    <w:rsid w:val="00E2298A"/>
    <w:rsid w:val="00E25241"/>
    <w:rsid w:val="00E25C4A"/>
    <w:rsid w:val="00E25DE9"/>
    <w:rsid w:val="00E31D78"/>
    <w:rsid w:val="00E36AF3"/>
    <w:rsid w:val="00E420B3"/>
    <w:rsid w:val="00E457AF"/>
    <w:rsid w:val="00E46A92"/>
    <w:rsid w:val="00E4731A"/>
    <w:rsid w:val="00E54554"/>
    <w:rsid w:val="00E57147"/>
    <w:rsid w:val="00E5732F"/>
    <w:rsid w:val="00E63B58"/>
    <w:rsid w:val="00E63BC2"/>
    <w:rsid w:val="00E64F47"/>
    <w:rsid w:val="00E66C4C"/>
    <w:rsid w:val="00E66EA7"/>
    <w:rsid w:val="00E67F32"/>
    <w:rsid w:val="00E70AEA"/>
    <w:rsid w:val="00E722FA"/>
    <w:rsid w:val="00E74534"/>
    <w:rsid w:val="00E77CA5"/>
    <w:rsid w:val="00E817AD"/>
    <w:rsid w:val="00E82297"/>
    <w:rsid w:val="00E822ED"/>
    <w:rsid w:val="00E8335B"/>
    <w:rsid w:val="00E87B43"/>
    <w:rsid w:val="00E96EFF"/>
    <w:rsid w:val="00EA02D2"/>
    <w:rsid w:val="00EA0DC1"/>
    <w:rsid w:val="00EB2A18"/>
    <w:rsid w:val="00EB5411"/>
    <w:rsid w:val="00EB5C6F"/>
    <w:rsid w:val="00EB5CA4"/>
    <w:rsid w:val="00EC2D8D"/>
    <w:rsid w:val="00EC38F2"/>
    <w:rsid w:val="00EC5210"/>
    <w:rsid w:val="00EC5726"/>
    <w:rsid w:val="00EC6356"/>
    <w:rsid w:val="00ED00FF"/>
    <w:rsid w:val="00ED2A99"/>
    <w:rsid w:val="00ED3024"/>
    <w:rsid w:val="00ED4202"/>
    <w:rsid w:val="00ED7177"/>
    <w:rsid w:val="00EE3A18"/>
    <w:rsid w:val="00EE6023"/>
    <w:rsid w:val="00EF07AD"/>
    <w:rsid w:val="00EF1813"/>
    <w:rsid w:val="00EF39FD"/>
    <w:rsid w:val="00EF64EB"/>
    <w:rsid w:val="00EF6C69"/>
    <w:rsid w:val="00F03019"/>
    <w:rsid w:val="00F06842"/>
    <w:rsid w:val="00F107FD"/>
    <w:rsid w:val="00F14B7E"/>
    <w:rsid w:val="00F15247"/>
    <w:rsid w:val="00F21658"/>
    <w:rsid w:val="00F23E5E"/>
    <w:rsid w:val="00F268A5"/>
    <w:rsid w:val="00F27920"/>
    <w:rsid w:val="00F46060"/>
    <w:rsid w:val="00F52990"/>
    <w:rsid w:val="00F52AE3"/>
    <w:rsid w:val="00F52F24"/>
    <w:rsid w:val="00F54818"/>
    <w:rsid w:val="00F61047"/>
    <w:rsid w:val="00F6211C"/>
    <w:rsid w:val="00F66FA2"/>
    <w:rsid w:val="00F73066"/>
    <w:rsid w:val="00F73127"/>
    <w:rsid w:val="00F756F0"/>
    <w:rsid w:val="00F87C20"/>
    <w:rsid w:val="00F904CD"/>
    <w:rsid w:val="00F90A7C"/>
    <w:rsid w:val="00F90ADF"/>
    <w:rsid w:val="00F91D37"/>
    <w:rsid w:val="00F922B9"/>
    <w:rsid w:val="00F95601"/>
    <w:rsid w:val="00FA1813"/>
    <w:rsid w:val="00FA7193"/>
    <w:rsid w:val="00FB4D4A"/>
    <w:rsid w:val="00FB64A8"/>
    <w:rsid w:val="00FD273A"/>
    <w:rsid w:val="00FD3D6E"/>
    <w:rsid w:val="00FD3DDE"/>
    <w:rsid w:val="00FD460E"/>
    <w:rsid w:val="00FD684A"/>
    <w:rsid w:val="00FE20B1"/>
    <w:rsid w:val="00FE2F15"/>
    <w:rsid w:val="00FE4380"/>
    <w:rsid w:val="00FE65FD"/>
    <w:rsid w:val="00FE72CF"/>
    <w:rsid w:val="00FF308A"/>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454D81"/>
    <w:pPr>
      <w:numPr>
        <w:ilvl w:val="0"/>
        <w:numId w:val="0"/>
      </w:numPr>
      <w:spacing w:after="120"/>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5C3EC8"/>
    <w:rPr>
      <w:color w:val="605E5C"/>
      <w:shd w:val="clear" w:color="auto" w:fill="E1DFDD"/>
    </w:rPr>
  </w:style>
  <w:style w:type="paragraph" w:styleId="Testonotadichiusura">
    <w:name w:val="endnote text"/>
    <w:basedOn w:val="Normale"/>
    <w:link w:val="TestonotadichiusuraCarattere"/>
    <w:uiPriority w:val="99"/>
    <w:semiHidden/>
    <w:unhideWhenUsed/>
    <w:rsid w:val="002F3FE4"/>
    <w:rPr>
      <w:rFonts w:asciiTheme="minorHAnsi" w:eastAsiaTheme="minorHAnsi" w:hAnsiTheme="minorHAnsi" w:cstheme="minorBidi"/>
      <w:kern w:val="2"/>
      <w:lang w:val="it-IT"/>
      <w14:ligatures w14:val="standardContextual"/>
    </w:rPr>
  </w:style>
  <w:style w:type="character" w:customStyle="1" w:styleId="TestonotadichiusuraCarattere">
    <w:name w:val="Testo nota di chiusura Carattere"/>
    <w:basedOn w:val="Carpredefinitoparagrafo"/>
    <w:link w:val="Testonotadichiusura"/>
    <w:uiPriority w:val="99"/>
    <w:semiHidden/>
    <w:rsid w:val="002F3FE4"/>
    <w:rPr>
      <w:rFonts w:asciiTheme="minorHAnsi" w:eastAsiaTheme="minorHAnsi" w:hAnsiTheme="minorHAnsi" w:cstheme="minorBidi"/>
      <w:kern w:val="2"/>
      <w:lang w:val="it-IT" w:eastAsia="en-US"/>
      <w14:ligatures w14:val="standardContextual"/>
    </w:rPr>
  </w:style>
  <w:style w:type="paragraph" w:styleId="Bibliografia">
    <w:name w:val="Bibliography"/>
    <w:basedOn w:val="Normale"/>
    <w:next w:val="Normale"/>
    <w:uiPriority w:val="37"/>
    <w:unhideWhenUsed/>
    <w:rsid w:val="00B52966"/>
    <w:pPr>
      <w:ind w:left="720" w:hanging="720"/>
    </w:pPr>
  </w:style>
  <w:style w:type="paragraph" w:styleId="NormaleWeb">
    <w:name w:val="Normal (Web)"/>
    <w:basedOn w:val="Normale"/>
    <w:uiPriority w:val="99"/>
    <w:semiHidden/>
    <w:unhideWhenUsed/>
    <w:rsid w:val="00D13846"/>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541">
      <w:bodyDiv w:val="1"/>
      <w:marLeft w:val="0"/>
      <w:marRight w:val="0"/>
      <w:marTop w:val="0"/>
      <w:marBottom w:val="0"/>
      <w:divBdr>
        <w:top w:val="none" w:sz="0" w:space="0" w:color="auto"/>
        <w:left w:val="none" w:sz="0" w:space="0" w:color="auto"/>
        <w:bottom w:val="none" w:sz="0" w:space="0" w:color="auto"/>
        <w:right w:val="none" w:sz="0" w:space="0" w:color="auto"/>
      </w:divBdr>
    </w:div>
    <w:div w:id="224030670">
      <w:bodyDiv w:val="1"/>
      <w:marLeft w:val="0"/>
      <w:marRight w:val="0"/>
      <w:marTop w:val="0"/>
      <w:marBottom w:val="0"/>
      <w:divBdr>
        <w:top w:val="none" w:sz="0" w:space="0" w:color="auto"/>
        <w:left w:val="none" w:sz="0" w:space="0" w:color="auto"/>
        <w:bottom w:val="none" w:sz="0" w:space="0" w:color="auto"/>
        <w:right w:val="none" w:sz="0" w:space="0" w:color="auto"/>
      </w:divBdr>
    </w:div>
    <w:div w:id="479926471">
      <w:bodyDiv w:val="1"/>
      <w:marLeft w:val="0"/>
      <w:marRight w:val="0"/>
      <w:marTop w:val="0"/>
      <w:marBottom w:val="0"/>
      <w:divBdr>
        <w:top w:val="none" w:sz="0" w:space="0" w:color="auto"/>
        <w:left w:val="none" w:sz="0" w:space="0" w:color="auto"/>
        <w:bottom w:val="none" w:sz="0" w:space="0" w:color="auto"/>
        <w:right w:val="none" w:sz="0" w:space="0" w:color="auto"/>
      </w:divBdr>
    </w:div>
    <w:div w:id="759764381">
      <w:bodyDiv w:val="1"/>
      <w:marLeft w:val="0"/>
      <w:marRight w:val="0"/>
      <w:marTop w:val="0"/>
      <w:marBottom w:val="0"/>
      <w:divBdr>
        <w:top w:val="none" w:sz="0" w:space="0" w:color="auto"/>
        <w:left w:val="none" w:sz="0" w:space="0" w:color="auto"/>
        <w:bottom w:val="none" w:sz="0" w:space="0" w:color="auto"/>
        <w:right w:val="none" w:sz="0" w:space="0" w:color="auto"/>
      </w:divBdr>
    </w:div>
    <w:div w:id="976495220">
      <w:bodyDiv w:val="1"/>
      <w:marLeft w:val="0"/>
      <w:marRight w:val="0"/>
      <w:marTop w:val="0"/>
      <w:marBottom w:val="0"/>
      <w:divBdr>
        <w:top w:val="none" w:sz="0" w:space="0" w:color="auto"/>
        <w:left w:val="none" w:sz="0" w:space="0" w:color="auto"/>
        <w:bottom w:val="none" w:sz="0" w:space="0" w:color="auto"/>
        <w:right w:val="none" w:sz="0" w:space="0" w:color="auto"/>
      </w:divBdr>
    </w:div>
    <w:div w:id="1137913587">
      <w:bodyDiv w:val="1"/>
      <w:marLeft w:val="0"/>
      <w:marRight w:val="0"/>
      <w:marTop w:val="0"/>
      <w:marBottom w:val="0"/>
      <w:divBdr>
        <w:top w:val="none" w:sz="0" w:space="0" w:color="auto"/>
        <w:left w:val="none" w:sz="0" w:space="0" w:color="auto"/>
        <w:bottom w:val="none" w:sz="0" w:space="0" w:color="auto"/>
        <w:right w:val="none" w:sz="0" w:space="0" w:color="auto"/>
      </w:divBdr>
    </w:div>
    <w:div w:id="1404523758">
      <w:bodyDiv w:val="1"/>
      <w:marLeft w:val="0"/>
      <w:marRight w:val="0"/>
      <w:marTop w:val="0"/>
      <w:marBottom w:val="0"/>
      <w:divBdr>
        <w:top w:val="none" w:sz="0" w:space="0" w:color="auto"/>
        <w:left w:val="none" w:sz="0" w:space="0" w:color="auto"/>
        <w:bottom w:val="none" w:sz="0" w:space="0" w:color="auto"/>
        <w:right w:val="none" w:sz="0" w:space="0" w:color="auto"/>
      </w:divBdr>
    </w:div>
    <w:div w:id="1646740392">
      <w:bodyDiv w:val="1"/>
      <w:marLeft w:val="0"/>
      <w:marRight w:val="0"/>
      <w:marTop w:val="0"/>
      <w:marBottom w:val="0"/>
      <w:divBdr>
        <w:top w:val="none" w:sz="0" w:space="0" w:color="auto"/>
        <w:left w:val="none" w:sz="0" w:space="0" w:color="auto"/>
        <w:bottom w:val="none" w:sz="0" w:space="0" w:color="auto"/>
        <w:right w:val="none" w:sz="0" w:space="0" w:color="auto"/>
      </w:divBdr>
    </w:div>
    <w:div w:id="1857112203">
      <w:bodyDiv w:val="1"/>
      <w:marLeft w:val="0"/>
      <w:marRight w:val="0"/>
      <w:marTop w:val="0"/>
      <w:marBottom w:val="0"/>
      <w:divBdr>
        <w:top w:val="none" w:sz="0" w:space="0" w:color="auto"/>
        <w:left w:val="none" w:sz="0" w:space="0" w:color="auto"/>
        <w:bottom w:val="none" w:sz="0" w:space="0" w:color="auto"/>
        <w:right w:val="none" w:sz="0" w:space="0" w:color="auto"/>
      </w:divBdr>
    </w:div>
    <w:div w:id="19940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9A97-73B7-4733-8DEF-CFDD4C07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6013</Words>
  <Characters>34280</Characters>
  <Application>Microsoft Office Word</Application>
  <DocSecurity>0</DocSecurity>
  <Lines>285</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2023-11-17T08:46:00Z</cp:lastPrinted>
  <dcterms:created xsi:type="dcterms:W3CDTF">2023-12-21T11:24:00Z</dcterms:created>
  <dcterms:modified xsi:type="dcterms:W3CDTF">2023-12-21T11:24:00Z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id="tVxpzmSU"/&gt;&lt;style id="ESCAPE33" hasBibliography="1" bibliographyStyleHasBeenSet="1"/&gt;&lt;prefs&gt;&lt;pref name="fieldType" value="Field"/&gt;&lt;/prefs&gt;&lt;/data&gt;</vt:lpwstr>
  </property>
</Properties>
</file>