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416F09D" w:rsidR="00DD3D9E" w:rsidRPr="00B4388F" w:rsidRDefault="00AD2251">
      <w:pPr>
        <w:pStyle w:val="Els-Title"/>
        <w:rPr>
          <w:color w:val="000000" w:themeColor="text1"/>
        </w:rPr>
      </w:pPr>
      <w:bookmarkStart w:id="0" w:name="_GoBack"/>
      <w:bookmarkEnd w:id="0"/>
      <w:r>
        <w:rPr>
          <w:color w:val="000000" w:themeColor="text1"/>
        </w:rPr>
        <w:t xml:space="preserve">Information sharing for cost-effective risk </w:t>
      </w:r>
      <w:r w:rsidR="00007CFA">
        <w:rPr>
          <w:color w:val="000000" w:themeColor="text1"/>
        </w:rPr>
        <w:t xml:space="preserve"> </w:t>
      </w:r>
      <w:r>
        <w:rPr>
          <w:color w:val="000000" w:themeColor="text1"/>
        </w:rPr>
        <w:t>mitigation in supply chains</w:t>
      </w:r>
      <w:r w:rsidR="005179BF">
        <w:rPr>
          <w:color w:val="000000" w:themeColor="text1"/>
        </w:rPr>
        <w:t>: A methodological framework</w:t>
      </w:r>
    </w:p>
    <w:p w14:paraId="144DE680" w14:textId="0C2BDAF9" w:rsidR="00DD3D9E" w:rsidRDefault="00DC0A50">
      <w:pPr>
        <w:pStyle w:val="Els-Author"/>
      </w:pPr>
      <w:r>
        <w:t>Shivam Vedant</w:t>
      </w:r>
      <w:r w:rsidRPr="00AD7470">
        <w:rPr>
          <w:vertAlign w:val="superscript"/>
        </w:rPr>
        <w:t>a,b</w:t>
      </w:r>
      <w:r>
        <w:t>, Rahul Kakodkar</w:t>
      </w:r>
      <w:r w:rsidRPr="00AD7470">
        <w:rPr>
          <w:vertAlign w:val="superscript"/>
        </w:rPr>
        <w:t>a,c</w:t>
      </w:r>
      <w:r>
        <w:t>, Natasha J. Chrisandina</w:t>
      </w:r>
      <w:r w:rsidR="00AD7470" w:rsidRPr="00AD7470">
        <w:rPr>
          <w:vertAlign w:val="superscript"/>
        </w:rPr>
        <w:t>a,c</w:t>
      </w:r>
      <w:r w:rsidR="00AD7470">
        <w:t>, Catherine Nkoutche</w:t>
      </w:r>
      <w:r w:rsidR="00AD7470" w:rsidRPr="00AD7470">
        <w:rPr>
          <w:vertAlign w:val="superscript"/>
        </w:rPr>
        <w:t>a,c</w:t>
      </w:r>
      <w:r w:rsidR="00AD7470">
        <w:t>, Eleftherios Iakovou</w:t>
      </w:r>
      <w:r w:rsidR="00AD7470" w:rsidRPr="00AD7470">
        <w:rPr>
          <w:vertAlign w:val="superscript"/>
        </w:rPr>
        <w:t>a,b,d</w:t>
      </w:r>
      <w:r w:rsidR="00AD7470">
        <w:t>, Mahmoud M. El-Halwagi</w:t>
      </w:r>
      <w:r w:rsidR="00AD7470" w:rsidRPr="00AD7470">
        <w:rPr>
          <w:vertAlign w:val="superscript"/>
        </w:rPr>
        <w:t>a,c</w:t>
      </w:r>
      <w:r w:rsidR="00AD7470">
        <w:t>, Efstratios N. Pistikopoulos</w:t>
      </w:r>
      <w:r w:rsidR="00AD7470" w:rsidRPr="00AD7470">
        <w:rPr>
          <w:vertAlign w:val="superscript"/>
        </w:rPr>
        <w:t>a,</w:t>
      </w:r>
      <w:r w:rsidR="00D621D1">
        <w:rPr>
          <w:vertAlign w:val="superscript"/>
        </w:rPr>
        <w:t>b,</w:t>
      </w:r>
      <w:r w:rsidR="00AD7470" w:rsidRPr="00AD7470">
        <w:rPr>
          <w:vertAlign w:val="superscript"/>
        </w:rPr>
        <w:t>c</w:t>
      </w:r>
      <w:r w:rsidR="0092188F">
        <w:rPr>
          <w:vertAlign w:val="superscript"/>
        </w:rPr>
        <w:t xml:space="preserve"> </w:t>
      </w:r>
      <w:r w:rsidR="00503DA4">
        <w:rPr>
          <w:vertAlign w:val="superscript"/>
        </w:rPr>
        <w:t>*</w:t>
      </w:r>
    </w:p>
    <w:p w14:paraId="144DE681" w14:textId="34C49628" w:rsidR="00DD3D9E" w:rsidRDefault="00BF0165">
      <w:pPr>
        <w:pStyle w:val="Els-Affiliation"/>
      </w:pPr>
      <w:r w:rsidRPr="00D621D1">
        <w:rPr>
          <w:vertAlign w:val="superscript"/>
        </w:rPr>
        <w:t>a</w:t>
      </w:r>
      <w:r>
        <w:t>Texas A&amp;M Energy Institute, Texas A&amp;M University, College Station, TX 77845</w:t>
      </w:r>
    </w:p>
    <w:p w14:paraId="144DE682" w14:textId="296721DF" w:rsidR="00DD3D9E" w:rsidRDefault="00BF0165">
      <w:pPr>
        <w:pStyle w:val="Els-Affiliation"/>
      </w:pPr>
      <w:r w:rsidRPr="00D621D1">
        <w:rPr>
          <w:vertAlign w:val="superscript"/>
        </w:rPr>
        <w:t>b</w:t>
      </w:r>
      <w:r>
        <w:t>Department of Multidisciplinary Engineering, Texas A&amp;M University</w:t>
      </w:r>
      <w:r w:rsidR="00C47C30">
        <w:t>, College Station 77840</w:t>
      </w:r>
    </w:p>
    <w:p w14:paraId="7A4E502F" w14:textId="299E3459" w:rsidR="00C47C30" w:rsidRDefault="00C47C30">
      <w:pPr>
        <w:pStyle w:val="Els-Affiliation"/>
      </w:pPr>
      <w:r w:rsidRPr="00D621D1">
        <w:rPr>
          <w:vertAlign w:val="superscript"/>
        </w:rPr>
        <w:t>c</w:t>
      </w:r>
      <w:r>
        <w:t>Artie McFerrin Department of Chemical Engineering, Texas A&amp;M University, College Station</w:t>
      </w:r>
      <w:r w:rsidR="00C014C4">
        <w:t xml:space="preserve"> 77840</w:t>
      </w:r>
    </w:p>
    <w:p w14:paraId="19972D16" w14:textId="664CC179" w:rsidR="00C014C4" w:rsidRDefault="00C014C4">
      <w:pPr>
        <w:pStyle w:val="Els-Affiliation"/>
      </w:pPr>
      <w:r w:rsidRPr="00D621D1">
        <w:rPr>
          <w:vertAlign w:val="superscript"/>
        </w:rPr>
        <w:t>d</w:t>
      </w:r>
      <w:r>
        <w:t xml:space="preserve">Department of Engineering Technology and Industrial Distribution, </w:t>
      </w:r>
      <w:r w:rsidR="00D621D1">
        <w:t>T</w:t>
      </w:r>
      <w:r>
        <w:t>exas A&amp;M University, College Station, TX 778</w:t>
      </w:r>
      <w:r w:rsidR="00D621D1">
        <w:t>43</w:t>
      </w:r>
    </w:p>
    <w:p w14:paraId="144DE683" w14:textId="325B9928" w:rsidR="008D2649" w:rsidRPr="00A94774" w:rsidRDefault="0092188F" w:rsidP="008D2649">
      <w:pPr>
        <w:pStyle w:val="Els-Affiliation"/>
        <w:spacing w:after="120"/>
      </w:pPr>
      <w:r>
        <w:t>stratos@tamu.edu</w:t>
      </w:r>
    </w:p>
    <w:p w14:paraId="7E26161A" w14:textId="1EAF015A" w:rsidR="008D2649" w:rsidRDefault="008D2649" w:rsidP="008D2649">
      <w:pPr>
        <w:pStyle w:val="Els-Abstract"/>
      </w:pPr>
      <w:r>
        <w:t>Abstract</w:t>
      </w:r>
    </w:p>
    <w:p w14:paraId="2DA924A8" w14:textId="18291CA7" w:rsidR="00A66B7C" w:rsidRDefault="00FE5C28" w:rsidP="00A66B7C">
      <w:pPr>
        <w:pStyle w:val="Els-body-text"/>
      </w:pPr>
      <w:r>
        <w:t>P</w:t>
      </w:r>
      <w:r w:rsidR="00912021">
        <w:t xml:space="preserve">rocess systems </w:t>
      </w:r>
      <w:r>
        <w:t xml:space="preserve">and their supply chains </w:t>
      </w:r>
      <w:r w:rsidR="00912021">
        <w:t xml:space="preserve">are </w:t>
      </w:r>
      <w:r w:rsidR="00C62C2F">
        <w:t xml:space="preserve">becoming increasingly </w:t>
      </w:r>
      <w:r w:rsidR="00912021">
        <w:t xml:space="preserve">susceptible to </w:t>
      </w:r>
      <w:r w:rsidR="00820376">
        <w:t xml:space="preserve">a plethora of </w:t>
      </w:r>
      <w:r w:rsidR="00912021">
        <w:t xml:space="preserve">exogenous </w:t>
      </w:r>
      <w:r w:rsidR="00116A0D">
        <w:t>factors that c</w:t>
      </w:r>
      <w:r w:rsidR="00691711">
        <w:t>an</w:t>
      </w:r>
      <w:r w:rsidR="00116A0D">
        <w:t xml:space="preserve"> induce disruptions. Information</w:t>
      </w:r>
      <w:r w:rsidR="00153BD3">
        <w:t xml:space="preserve"> from supply chain stakeholders</w:t>
      </w:r>
      <w:r w:rsidR="00116A0D">
        <w:t xml:space="preserve"> regarding an impending disruption can help decision-makers plan</w:t>
      </w:r>
      <w:r w:rsidR="00912021">
        <w:t xml:space="preserve"> </w:t>
      </w:r>
      <w:r w:rsidR="00FE743D">
        <w:t>operation schedules</w:t>
      </w:r>
      <w:r w:rsidR="00C9510A">
        <w:t xml:space="preserve"> to minimize the</w:t>
      </w:r>
      <w:r w:rsidR="00822461">
        <w:t>ir</w:t>
      </w:r>
      <w:r w:rsidR="00C9510A">
        <w:t xml:space="preserve"> impact</w:t>
      </w:r>
      <w:r w:rsidR="00F84A27">
        <w:t xml:space="preserve"> and improve supply chain resilience</w:t>
      </w:r>
      <w:r w:rsidR="00822461">
        <w:t xml:space="preserve">. Multiscale modeling and optimization </w:t>
      </w:r>
      <w:r w:rsidR="00691711">
        <w:t xml:space="preserve">frameworks </w:t>
      </w:r>
      <w:r w:rsidR="00822461">
        <w:t>often assume perfect information. Nevertheless, this</w:t>
      </w:r>
      <w:r>
        <w:t xml:space="preserve"> assumption</w:t>
      </w:r>
      <w:r w:rsidR="00822461">
        <w:t xml:space="preserve"> fails to capture the </w:t>
      </w:r>
      <w:r w:rsidR="00F727CB">
        <w:t>value</w:t>
      </w:r>
      <w:r w:rsidR="00822461">
        <w:t xml:space="preserve"> of information </w:t>
      </w:r>
      <w:r w:rsidR="00F727CB">
        <w:t xml:space="preserve">sharing about </w:t>
      </w:r>
      <w:r>
        <w:t xml:space="preserve">potential </w:t>
      </w:r>
      <w:r w:rsidR="00F727CB">
        <w:t>upcoming disruptions from supply chain stakeholders</w:t>
      </w:r>
      <w:r>
        <w:t xml:space="preserve"> who often have precious and timely advanced knowledge</w:t>
      </w:r>
      <w:r w:rsidR="00F727CB">
        <w:t>.</w:t>
      </w:r>
      <w:r w:rsidR="00822461">
        <w:t xml:space="preserve"> Notably, there </w:t>
      </w:r>
      <w:r w:rsidR="003620AD">
        <w:t>can be a lag in information flows</w:t>
      </w:r>
      <w:r w:rsidR="000B139B">
        <w:t xml:space="preserve"> sharing</w:t>
      </w:r>
      <w:r w:rsidR="003620AD">
        <w:t xml:space="preserve"> which can imped</w:t>
      </w:r>
      <w:r w:rsidR="001F3307">
        <w:t>e</w:t>
      </w:r>
      <w:r w:rsidR="003620AD">
        <w:t xml:space="preserve"> the ability of decision-makers to plan for </w:t>
      </w:r>
      <w:r w:rsidR="000B139B">
        <w:t xml:space="preserve">and then respond to </w:t>
      </w:r>
      <w:r w:rsidR="003620AD">
        <w:t xml:space="preserve">an impending </w:t>
      </w:r>
      <w:r w:rsidR="00D03449">
        <w:t>change of state.</w:t>
      </w:r>
      <w:r w:rsidR="00A66B7C">
        <w:t xml:space="preserve"> </w:t>
      </w:r>
      <w:r w:rsidR="00F727CB">
        <w:t>L</w:t>
      </w:r>
      <w:r w:rsidR="00A66B7C">
        <w:t xml:space="preserve">ack of </w:t>
      </w:r>
      <w:r w:rsidR="00F727CB">
        <w:t xml:space="preserve">timely and </w:t>
      </w:r>
      <w:r w:rsidR="00A66B7C">
        <w:t>effective information sharing among stakeholders</w:t>
      </w:r>
      <w:r w:rsidR="00F727CB">
        <w:t xml:space="preserve"> erodes supply chain </w:t>
      </w:r>
      <w:r w:rsidR="001740FC">
        <w:t>resilience</w:t>
      </w:r>
      <w:r w:rsidR="00A66B7C">
        <w:t xml:space="preserve">. To this end, we present a </w:t>
      </w:r>
      <w:r w:rsidR="000B139B">
        <w:t xml:space="preserve">first effort </w:t>
      </w:r>
      <w:r w:rsidR="00A66B7C">
        <w:t>mathematical</w:t>
      </w:r>
      <w:r w:rsidR="00965E70">
        <w:t xml:space="preserve"> </w:t>
      </w:r>
      <w:r w:rsidR="00A66B7C">
        <w:t>programming</w:t>
      </w:r>
      <w:r w:rsidR="000B139B">
        <w:t>-</w:t>
      </w:r>
      <w:r w:rsidR="00A66B7C">
        <w:t xml:space="preserve">based methodological framework </w:t>
      </w:r>
      <w:r w:rsidR="0053114E">
        <w:t>to quantify the impact of information sharing</w:t>
      </w:r>
      <w:r w:rsidR="00F727CB">
        <w:t xml:space="preserve"> for supply risk mitigation</w:t>
      </w:r>
      <w:r w:rsidR="00A66B7C">
        <w:t xml:space="preserve">. </w:t>
      </w:r>
      <w:r w:rsidR="000259DA">
        <w:t xml:space="preserve">In the multiperiod modeling framework, the information set is made available to the decision-makers at different </w:t>
      </w:r>
      <w:r w:rsidR="00BC66F2">
        <w:t>time periods</w:t>
      </w:r>
      <w:r w:rsidR="000259DA">
        <w:t xml:space="preserve"> in the planning horizon. The nominal scenario, wherein information is made available at the start of the temporal horizon is compared to </w:t>
      </w:r>
      <w:r w:rsidR="000F7CD4">
        <w:t xml:space="preserve">scenarios wherein the information is made available at later stages. In doing so, the economic </w:t>
      </w:r>
      <w:r w:rsidR="00D341FD">
        <w:t xml:space="preserve">benefit of sharing information is </w:t>
      </w:r>
      <w:r w:rsidR="00BA002B">
        <w:t>quantified,</w:t>
      </w:r>
      <w:r w:rsidR="00AB1865">
        <w:t xml:space="preserve"> and managerial insights </w:t>
      </w:r>
      <w:r w:rsidR="00A24388">
        <w:t>are obtained</w:t>
      </w:r>
      <w:r w:rsidR="00D341FD">
        <w:t xml:space="preserve">. </w:t>
      </w:r>
    </w:p>
    <w:p w14:paraId="0E9A9DF8" w14:textId="77777777" w:rsidR="00773D41" w:rsidRDefault="00773D41" w:rsidP="008D2649">
      <w:pPr>
        <w:pStyle w:val="Els-body-text"/>
        <w:spacing w:after="120"/>
        <w:rPr>
          <w:b/>
          <w:bCs/>
          <w:lang w:val="en-GB"/>
        </w:rPr>
      </w:pPr>
    </w:p>
    <w:p w14:paraId="144DE687" w14:textId="0D9C46EE" w:rsidR="008D2649" w:rsidRDefault="008D2649" w:rsidP="008D2649">
      <w:pPr>
        <w:pStyle w:val="Els-body-text"/>
        <w:spacing w:after="120"/>
        <w:rPr>
          <w:lang w:val="en-GB"/>
        </w:rPr>
      </w:pPr>
      <w:r>
        <w:rPr>
          <w:b/>
          <w:bCs/>
          <w:lang w:val="en-GB"/>
        </w:rPr>
        <w:t>Keywords</w:t>
      </w:r>
      <w:r>
        <w:rPr>
          <w:lang w:val="en-GB"/>
        </w:rPr>
        <w:t>:</w:t>
      </w:r>
      <w:r>
        <w:t xml:space="preserve"> </w:t>
      </w:r>
      <w:r w:rsidR="005147D1">
        <w:t xml:space="preserve">information </w:t>
      </w:r>
      <w:r w:rsidR="00414017">
        <w:t>flow</w:t>
      </w:r>
      <w:r w:rsidR="00FF36E6">
        <w:t>, supply chain optimization</w:t>
      </w:r>
      <w:r w:rsidR="009F399C">
        <w:t xml:space="preserve">, </w:t>
      </w:r>
      <w:r w:rsidR="007B1449">
        <w:t>multiscale modeling</w:t>
      </w:r>
      <w:r w:rsidR="00F727CB">
        <w:t>, supply chain risk mitigation</w:t>
      </w:r>
      <w:r w:rsidR="001740FC">
        <w:t xml:space="preserve">, resilience </w:t>
      </w:r>
    </w:p>
    <w:p w14:paraId="157D5864" w14:textId="403E286B" w:rsidR="00D30D29" w:rsidRDefault="00036FA0" w:rsidP="009543AC">
      <w:pPr>
        <w:pStyle w:val="Els-1storder-head"/>
      </w:pPr>
      <w:r>
        <w:t>Introduction</w:t>
      </w:r>
    </w:p>
    <w:p w14:paraId="3ECEB870" w14:textId="3094CFE3" w:rsidR="001A5286" w:rsidRPr="00E074FF" w:rsidRDefault="007E2802" w:rsidP="00D30D29">
      <w:pPr>
        <w:pStyle w:val="Els-body-text"/>
        <w:rPr>
          <w:lang w:val="en-GB"/>
        </w:rPr>
      </w:pPr>
      <w:r>
        <w:rPr>
          <w:lang w:val="en-GB"/>
        </w:rPr>
        <w:t>Supply</w:t>
      </w:r>
      <w:r w:rsidR="004754F4" w:rsidRPr="004754F4">
        <w:rPr>
          <w:lang w:val="en-GB"/>
        </w:rPr>
        <w:t xml:space="preserve"> chains</w:t>
      </w:r>
      <w:r w:rsidR="00747A9E">
        <w:rPr>
          <w:lang w:val="en-GB"/>
        </w:rPr>
        <w:t xml:space="preserve"> </w:t>
      </w:r>
      <w:r w:rsidR="004754F4" w:rsidRPr="004754F4">
        <w:rPr>
          <w:lang w:val="en-GB"/>
        </w:rPr>
        <w:t xml:space="preserve">play a crucial role in facilitating </w:t>
      </w:r>
      <w:r w:rsidR="00F727CB">
        <w:rPr>
          <w:lang w:val="en-GB"/>
        </w:rPr>
        <w:t xml:space="preserve">the </w:t>
      </w:r>
      <w:r w:rsidR="004754F4" w:rsidRPr="004754F4">
        <w:rPr>
          <w:lang w:val="en-GB"/>
        </w:rPr>
        <w:t xml:space="preserve">production and distribution of essential </w:t>
      </w:r>
      <w:r w:rsidR="00F727CB">
        <w:rPr>
          <w:lang w:val="en-GB"/>
        </w:rPr>
        <w:t xml:space="preserve">(and often critical for national security) </w:t>
      </w:r>
      <w:r w:rsidR="004754F4" w:rsidRPr="004754F4">
        <w:rPr>
          <w:lang w:val="en-GB"/>
        </w:rPr>
        <w:t>commodities</w:t>
      </w:r>
      <w:r w:rsidR="00F727CB">
        <w:rPr>
          <w:lang w:val="en-GB"/>
        </w:rPr>
        <w:t xml:space="preserve"> and products</w:t>
      </w:r>
      <w:r w:rsidR="004754F4" w:rsidRPr="004754F4">
        <w:rPr>
          <w:lang w:val="en-GB"/>
        </w:rPr>
        <w:t>, ranging from</w:t>
      </w:r>
      <w:r w:rsidR="004754F4">
        <w:rPr>
          <w:lang w:val="en-GB"/>
        </w:rPr>
        <w:t xml:space="preserve"> </w:t>
      </w:r>
      <w:r w:rsidR="004754F4" w:rsidRPr="004754F4">
        <w:rPr>
          <w:lang w:val="en-GB"/>
        </w:rPr>
        <w:t xml:space="preserve">energy carriers and specialty chemicals to consumer </w:t>
      </w:r>
      <w:r w:rsidR="00F727CB">
        <w:rPr>
          <w:lang w:val="en-GB"/>
        </w:rPr>
        <w:t>goods</w:t>
      </w:r>
      <w:r w:rsidR="004754F4" w:rsidRPr="004754F4">
        <w:rPr>
          <w:lang w:val="en-GB"/>
        </w:rPr>
        <w:t xml:space="preserve">. </w:t>
      </w:r>
      <w:r w:rsidR="00F727CB">
        <w:rPr>
          <w:lang w:val="en-GB"/>
        </w:rPr>
        <w:t>Chemical and energy supply chains</w:t>
      </w:r>
      <w:r w:rsidR="004754F4" w:rsidRPr="004754F4">
        <w:rPr>
          <w:lang w:val="en-GB"/>
        </w:rPr>
        <w:t xml:space="preserve"> comprise</w:t>
      </w:r>
      <w:r w:rsidR="004754F4">
        <w:rPr>
          <w:lang w:val="en-GB"/>
        </w:rPr>
        <w:t xml:space="preserve"> </w:t>
      </w:r>
      <w:r w:rsidR="004754F4" w:rsidRPr="004754F4">
        <w:rPr>
          <w:lang w:val="en-GB"/>
        </w:rPr>
        <w:t xml:space="preserve">interconnected chemical process plants that encompass various unit operations, </w:t>
      </w:r>
      <w:r w:rsidR="004754F4" w:rsidRPr="004754F4">
        <w:rPr>
          <w:lang w:val="en-GB"/>
        </w:rPr>
        <w:lastRenderedPageBreak/>
        <w:t>while also</w:t>
      </w:r>
      <w:r w:rsidR="004754F4">
        <w:rPr>
          <w:lang w:val="en-GB"/>
        </w:rPr>
        <w:t xml:space="preserve"> </w:t>
      </w:r>
      <w:r w:rsidR="004754F4" w:rsidRPr="004754F4">
        <w:rPr>
          <w:lang w:val="en-GB"/>
        </w:rPr>
        <w:t xml:space="preserve">establishing </w:t>
      </w:r>
      <w:r w:rsidR="00F727CB">
        <w:rPr>
          <w:lang w:val="en-GB"/>
        </w:rPr>
        <w:t xml:space="preserve">multi-echelon </w:t>
      </w:r>
      <w:r w:rsidR="004754F4" w:rsidRPr="004754F4">
        <w:rPr>
          <w:lang w:val="en-GB"/>
        </w:rPr>
        <w:t>connections with key stakeholders such as suppliers,</w:t>
      </w:r>
      <w:r w:rsidR="004754F4">
        <w:rPr>
          <w:lang w:val="en-GB"/>
        </w:rPr>
        <w:t xml:space="preserve"> </w:t>
      </w:r>
      <w:r w:rsidR="004754F4" w:rsidRPr="004754F4">
        <w:rPr>
          <w:lang w:val="en-GB"/>
        </w:rPr>
        <w:t xml:space="preserve">distributors, </w:t>
      </w:r>
      <w:r w:rsidR="00F727CB">
        <w:rPr>
          <w:lang w:val="en-GB"/>
        </w:rPr>
        <w:t xml:space="preserve">third party logistics operators (3PLs), </w:t>
      </w:r>
      <w:r w:rsidR="00513F2A">
        <w:rPr>
          <w:lang w:val="en-GB"/>
        </w:rPr>
        <w:t xml:space="preserve">industrial customers, </w:t>
      </w:r>
      <w:r w:rsidR="004754F4" w:rsidRPr="004754F4">
        <w:rPr>
          <w:lang w:val="en-GB"/>
        </w:rPr>
        <w:t>and consumers</w:t>
      </w:r>
      <w:r w:rsidR="000B139B">
        <w:rPr>
          <w:lang w:val="en-GB"/>
        </w:rPr>
        <w:t xml:space="preserve"> alike</w:t>
      </w:r>
      <w:r w:rsidR="004754F4" w:rsidRPr="004754F4">
        <w:rPr>
          <w:lang w:val="en-GB"/>
        </w:rPr>
        <w:t>.</w:t>
      </w:r>
      <w:r w:rsidR="0016785E">
        <w:rPr>
          <w:lang w:val="en-GB"/>
        </w:rPr>
        <w:t xml:space="preserve"> </w:t>
      </w:r>
      <w:r w:rsidR="0016785E" w:rsidRPr="0016785E">
        <w:rPr>
          <w:lang w:val="en-GB"/>
        </w:rPr>
        <w:t xml:space="preserve">However, </w:t>
      </w:r>
      <w:r w:rsidR="004746A2">
        <w:rPr>
          <w:lang w:val="en-GB"/>
        </w:rPr>
        <w:t>geographically dispersed</w:t>
      </w:r>
      <w:r w:rsidR="0016785E" w:rsidRPr="0016785E">
        <w:rPr>
          <w:lang w:val="en-GB"/>
        </w:rPr>
        <w:t xml:space="preserve"> </w:t>
      </w:r>
      <w:r w:rsidR="003C026E">
        <w:rPr>
          <w:lang w:val="en-GB"/>
        </w:rPr>
        <w:t>chains</w:t>
      </w:r>
      <w:r w:rsidR="0016785E" w:rsidRPr="0016785E">
        <w:rPr>
          <w:lang w:val="en-GB"/>
        </w:rPr>
        <w:t xml:space="preserve"> </w:t>
      </w:r>
      <w:r w:rsidR="009530E6">
        <w:rPr>
          <w:lang w:val="en-GB"/>
        </w:rPr>
        <w:t xml:space="preserve">are </w:t>
      </w:r>
      <w:r w:rsidR="003C026E">
        <w:rPr>
          <w:lang w:val="en-GB"/>
        </w:rPr>
        <w:t xml:space="preserve">increasingly </w:t>
      </w:r>
      <w:r w:rsidR="00D1181A">
        <w:rPr>
          <w:lang w:val="en-GB"/>
        </w:rPr>
        <w:t>exposed</w:t>
      </w:r>
      <w:r w:rsidR="009530E6">
        <w:rPr>
          <w:lang w:val="en-GB"/>
        </w:rPr>
        <w:t xml:space="preserve"> to exogenous factors</w:t>
      </w:r>
      <w:r w:rsidR="0012455F">
        <w:rPr>
          <w:lang w:val="en-GB"/>
        </w:rPr>
        <w:t xml:space="preserve"> which</w:t>
      </w:r>
      <w:r w:rsidR="0016785E" w:rsidRPr="0016785E">
        <w:rPr>
          <w:lang w:val="en-GB"/>
        </w:rPr>
        <w:t xml:space="preserve"> renders them vulnerable to</w:t>
      </w:r>
      <w:r w:rsidR="0016785E">
        <w:rPr>
          <w:lang w:val="en-GB"/>
        </w:rPr>
        <w:t xml:space="preserve"> </w:t>
      </w:r>
      <w:r w:rsidR="0016785E" w:rsidRPr="0016785E">
        <w:rPr>
          <w:lang w:val="en-GB"/>
        </w:rPr>
        <w:t>disruptions occurring across multiple operational scales, resulting in significant human and</w:t>
      </w:r>
      <w:r w:rsidR="0016785E">
        <w:rPr>
          <w:lang w:val="en-GB"/>
        </w:rPr>
        <w:t xml:space="preserve"> </w:t>
      </w:r>
      <w:r w:rsidR="0016785E" w:rsidRPr="0016785E">
        <w:rPr>
          <w:lang w:val="en-GB"/>
        </w:rPr>
        <w:t>economic consequences</w:t>
      </w:r>
      <w:r w:rsidR="007821F7">
        <w:rPr>
          <w:lang w:val="en-GB"/>
        </w:rPr>
        <w:t xml:space="preserve"> </w:t>
      </w:r>
      <w:r w:rsidR="007821F7">
        <w:t>(El-Halwagi et al., 2020)</w:t>
      </w:r>
      <w:r w:rsidR="003C026E">
        <w:t xml:space="preserve"> and reduced supply chain resilience</w:t>
      </w:r>
      <w:r w:rsidR="00965DF2">
        <w:t xml:space="preserve"> (Iakovou and White, 2020)</w:t>
      </w:r>
      <w:r w:rsidR="0016785E" w:rsidRPr="0016785E">
        <w:rPr>
          <w:lang w:val="en-GB"/>
        </w:rPr>
        <w:t>.</w:t>
      </w:r>
      <w:r w:rsidR="00E074FF">
        <w:rPr>
          <w:lang w:val="en-GB"/>
        </w:rPr>
        <w:t xml:space="preserve"> </w:t>
      </w:r>
      <w:r w:rsidR="001A5286" w:rsidRPr="001A5286">
        <w:rPr>
          <w:lang w:val="en-GB"/>
        </w:rPr>
        <w:t xml:space="preserve">Incidents such as </w:t>
      </w:r>
      <w:r w:rsidR="00C67685">
        <w:rPr>
          <w:lang w:val="en-GB"/>
        </w:rPr>
        <w:t xml:space="preserve">the </w:t>
      </w:r>
      <w:r w:rsidR="001A5286" w:rsidRPr="001A5286">
        <w:rPr>
          <w:lang w:val="en-GB"/>
        </w:rPr>
        <w:t xml:space="preserve">Bhopal gas </w:t>
      </w:r>
      <w:r w:rsidR="25311A59" w:rsidRPr="4F51FF1C">
        <w:rPr>
          <w:lang w:val="en-GB"/>
        </w:rPr>
        <w:t>leak</w:t>
      </w:r>
      <w:r w:rsidR="00B06EC2">
        <w:rPr>
          <w:lang w:val="en-GB"/>
        </w:rPr>
        <w:t xml:space="preserve"> (1984)</w:t>
      </w:r>
      <w:r w:rsidR="001A5286" w:rsidRPr="001A5286">
        <w:rPr>
          <w:lang w:val="en-GB"/>
        </w:rPr>
        <w:t>, the Deepwater Horizon oil spill</w:t>
      </w:r>
      <w:r w:rsidR="00AF0847">
        <w:rPr>
          <w:lang w:val="en-GB"/>
        </w:rPr>
        <w:t xml:space="preserve"> (2010)</w:t>
      </w:r>
      <w:r w:rsidR="001A5286" w:rsidRPr="001A5286">
        <w:rPr>
          <w:lang w:val="en-GB"/>
        </w:rPr>
        <w:t>, and the Beirut</w:t>
      </w:r>
      <w:r w:rsidR="001A5286">
        <w:rPr>
          <w:lang w:val="en-GB"/>
        </w:rPr>
        <w:t xml:space="preserve"> </w:t>
      </w:r>
      <w:r w:rsidR="001A5286" w:rsidRPr="001A5286">
        <w:rPr>
          <w:lang w:val="en-GB"/>
        </w:rPr>
        <w:t>explosion</w:t>
      </w:r>
      <w:r w:rsidR="003C026E">
        <w:rPr>
          <w:lang w:val="en-GB"/>
        </w:rPr>
        <w:t xml:space="preserve"> </w:t>
      </w:r>
      <w:r w:rsidR="009F4641">
        <w:rPr>
          <w:lang w:val="en-GB"/>
        </w:rPr>
        <w:t>(2020)</w:t>
      </w:r>
      <w:r w:rsidR="001A5286" w:rsidRPr="001A5286">
        <w:rPr>
          <w:lang w:val="en-GB"/>
        </w:rPr>
        <w:t>, have underscored the inherent risks</w:t>
      </w:r>
      <w:r w:rsidR="00236C26">
        <w:rPr>
          <w:lang w:val="en-GB"/>
        </w:rPr>
        <w:t xml:space="preserve"> </w:t>
      </w:r>
      <w:r w:rsidR="00BE16E4">
        <w:rPr>
          <w:lang w:val="en-GB"/>
        </w:rPr>
        <w:t xml:space="preserve">posed by </w:t>
      </w:r>
      <w:r w:rsidR="00FB1A9D">
        <w:rPr>
          <w:lang w:val="en-GB"/>
        </w:rPr>
        <w:t xml:space="preserve">operational </w:t>
      </w:r>
      <w:r w:rsidR="00BF2776">
        <w:rPr>
          <w:lang w:val="en-GB"/>
        </w:rPr>
        <w:t>discord</w:t>
      </w:r>
      <w:r w:rsidR="001A5286" w:rsidRPr="001A5286">
        <w:rPr>
          <w:lang w:val="en-GB"/>
        </w:rPr>
        <w:t xml:space="preserve">. Additionally, global </w:t>
      </w:r>
      <w:r w:rsidR="00824CC9">
        <w:rPr>
          <w:lang w:val="en-GB"/>
        </w:rPr>
        <w:t xml:space="preserve">“black swan” </w:t>
      </w:r>
      <w:r w:rsidR="001A5286" w:rsidRPr="001A5286">
        <w:rPr>
          <w:lang w:val="en-GB"/>
        </w:rPr>
        <w:t>disruptions,</w:t>
      </w:r>
      <w:r w:rsidR="00EA3EC8">
        <w:rPr>
          <w:lang w:val="en-GB"/>
        </w:rPr>
        <w:t xml:space="preserve"> </w:t>
      </w:r>
      <w:r w:rsidR="001A5286" w:rsidRPr="001A5286">
        <w:rPr>
          <w:lang w:val="en-GB"/>
        </w:rPr>
        <w:t>including the COVID-19 pandemic, natural</w:t>
      </w:r>
      <w:r w:rsidR="001A5286">
        <w:rPr>
          <w:lang w:val="en-GB"/>
        </w:rPr>
        <w:t xml:space="preserve"> </w:t>
      </w:r>
      <w:r w:rsidR="001A5286" w:rsidRPr="001A5286">
        <w:rPr>
          <w:lang w:val="en-GB"/>
        </w:rPr>
        <w:t xml:space="preserve">disasters, </w:t>
      </w:r>
      <w:r w:rsidR="000B139B">
        <w:rPr>
          <w:lang w:val="en-GB"/>
        </w:rPr>
        <w:t xml:space="preserve">wars, </w:t>
      </w:r>
      <w:r w:rsidR="00EA4A43">
        <w:rPr>
          <w:lang w:val="en-GB"/>
        </w:rPr>
        <w:t>tariff</w:t>
      </w:r>
      <w:r w:rsidR="003C18D1">
        <w:rPr>
          <w:lang w:val="en-GB"/>
        </w:rPr>
        <w:t xml:space="preserve"> wars, </w:t>
      </w:r>
      <w:r w:rsidR="001A5286" w:rsidRPr="001A5286">
        <w:rPr>
          <w:lang w:val="en-GB"/>
        </w:rPr>
        <w:t xml:space="preserve">and </w:t>
      </w:r>
      <w:r w:rsidR="003C026E" w:rsidRPr="001A5286">
        <w:rPr>
          <w:lang w:val="en-GB"/>
        </w:rPr>
        <w:t>labour</w:t>
      </w:r>
      <w:r w:rsidR="001A5286" w:rsidRPr="001A5286">
        <w:rPr>
          <w:lang w:val="en-GB"/>
        </w:rPr>
        <w:t xml:space="preserve"> shortages </w:t>
      </w:r>
      <w:r w:rsidR="00126392">
        <w:rPr>
          <w:lang w:val="en-GB"/>
        </w:rPr>
        <w:t>continue to have a</w:t>
      </w:r>
      <w:r w:rsidR="001A5286" w:rsidRPr="001A5286">
        <w:rPr>
          <w:lang w:val="en-GB"/>
        </w:rPr>
        <w:t xml:space="preserve"> profound impact on </w:t>
      </w:r>
      <w:r w:rsidR="00EA4A43">
        <w:rPr>
          <w:lang w:val="en-GB"/>
        </w:rPr>
        <w:t>business continuity</w:t>
      </w:r>
      <w:r w:rsidR="001A5286" w:rsidRPr="001A5286">
        <w:rPr>
          <w:lang w:val="en-GB"/>
        </w:rPr>
        <w:t>, leading to significant financial losses,</w:t>
      </w:r>
      <w:r w:rsidR="00BE4732">
        <w:rPr>
          <w:lang w:val="en-GB"/>
        </w:rPr>
        <w:t xml:space="preserve"> </w:t>
      </w:r>
      <w:r w:rsidR="001A5286" w:rsidRPr="001A5286">
        <w:rPr>
          <w:lang w:val="en-GB"/>
        </w:rPr>
        <w:t>disruptions in production, and escalated costs of critical consumer goods</w:t>
      </w:r>
      <w:r w:rsidR="00196C9A">
        <w:rPr>
          <w:lang w:val="en-GB"/>
        </w:rPr>
        <w:t>.</w:t>
      </w:r>
      <w:r w:rsidR="001740FC">
        <w:rPr>
          <w:lang w:val="en-GB"/>
        </w:rPr>
        <w:t xml:space="preserve"> New modelling approaches are needed to design cost-competitively resilient supply chains and assess the relevant trade-offs (“</w:t>
      </w:r>
      <w:proofErr w:type="spellStart"/>
      <w:r w:rsidR="001740FC">
        <w:rPr>
          <w:lang w:val="en-GB"/>
        </w:rPr>
        <w:t>optionalities</w:t>
      </w:r>
      <w:proofErr w:type="spellEnd"/>
      <w:r w:rsidR="001740FC">
        <w:rPr>
          <w:lang w:val="en-GB"/>
        </w:rPr>
        <w:t xml:space="preserve">”) between </w:t>
      </w:r>
      <w:r w:rsidR="000B139B">
        <w:rPr>
          <w:lang w:val="en-GB"/>
        </w:rPr>
        <w:t xml:space="preserve">cost </w:t>
      </w:r>
      <w:r w:rsidR="001740FC">
        <w:rPr>
          <w:lang w:val="en-GB"/>
        </w:rPr>
        <w:t>efficienc</w:t>
      </w:r>
      <w:r w:rsidR="000B139B">
        <w:rPr>
          <w:lang w:val="en-GB"/>
        </w:rPr>
        <w:t>y</w:t>
      </w:r>
      <w:r w:rsidR="001740FC">
        <w:rPr>
          <w:lang w:val="en-GB"/>
        </w:rPr>
        <w:t xml:space="preserve"> and resilience (</w:t>
      </w:r>
      <w:r w:rsidR="006E510A">
        <w:rPr>
          <w:lang w:val="en-GB"/>
        </w:rPr>
        <w:t>Gopal et al., 2023</w:t>
      </w:r>
      <w:r w:rsidR="001740FC">
        <w:rPr>
          <w:lang w:val="en-GB"/>
        </w:rPr>
        <w:t>).</w:t>
      </w:r>
    </w:p>
    <w:p w14:paraId="240D78B6" w14:textId="77777777" w:rsidR="001D6315" w:rsidRDefault="001D6315" w:rsidP="00D30D29">
      <w:pPr>
        <w:pStyle w:val="Els-body-text"/>
      </w:pPr>
    </w:p>
    <w:p w14:paraId="62A6F172" w14:textId="4F7F2221" w:rsidR="00662FCA" w:rsidRDefault="00852317" w:rsidP="00D30D29">
      <w:pPr>
        <w:pStyle w:val="Els-body-text"/>
      </w:pPr>
      <w:r>
        <w:t>Multiscale modeling and optimization can be applied</w:t>
      </w:r>
      <w:r w:rsidR="00E20A46">
        <w:t xml:space="preserve"> </w:t>
      </w:r>
      <w:r>
        <w:t>to</w:t>
      </w:r>
      <w:r w:rsidR="00E20A46">
        <w:t xml:space="preserve"> plan and manage end-to-end supply chains</w:t>
      </w:r>
      <w:r>
        <w:t xml:space="preserve"> with awareness </w:t>
      </w:r>
      <w:r w:rsidR="008F3C7B">
        <w:t>to phenomena occurring at disparate spatiotemporal scales</w:t>
      </w:r>
      <w:r w:rsidR="001105E6">
        <w:t>.</w:t>
      </w:r>
      <w:r w:rsidR="00E20A46">
        <w:t xml:space="preserve"> </w:t>
      </w:r>
      <w:r w:rsidR="00A10C79">
        <w:t>D</w:t>
      </w:r>
      <w:r w:rsidR="0079437D">
        <w:t>ecision</w:t>
      </w:r>
      <w:r w:rsidR="001105E6">
        <w:t>s</w:t>
      </w:r>
      <w:r w:rsidR="0079437D">
        <w:t xml:space="preserve"> taken </w:t>
      </w:r>
      <w:r w:rsidR="001105E6">
        <w:t>at</w:t>
      </w:r>
      <w:r w:rsidR="0079437D">
        <w:t xml:space="preserve"> different</w:t>
      </w:r>
      <w:r w:rsidR="0091707D">
        <w:t xml:space="preserve"> temporal levels </w:t>
      </w:r>
      <w:r w:rsidR="0079437D">
        <w:t xml:space="preserve">can be categorized </w:t>
      </w:r>
      <w:r w:rsidR="00F83574">
        <w:t>into</w:t>
      </w:r>
      <w:r w:rsidR="00E60D23">
        <w:t xml:space="preserve"> strategic (long-term),</w:t>
      </w:r>
      <w:r w:rsidR="00334843">
        <w:t xml:space="preserve"> tactical (mid-term), and operational (short-term)</w:t>
      </w:r>
      <w:r w:rsidR="00782038">
        <w:t xml:space="preserve"> (Shapiro, 1999)</w:t>
      </w:r>
      <w:r w:rsidR="00985314">
        <w:t>.</w:t>
      </w:r>
      <w:r w:rsidR="00105D24">
        <w:t xml:space="preserve"> </w:t>
      </w:r>
      <w:r w:rsidR="00767050">
        <w:t xml:space="preserve">Often, supply chain stakeholders (such as </w:t>
      </w:r>
      <w:r w:rsidR="00874429">
        <w:t xml:space="preserve">an upstream </w:t>
      </w:r>
      <w:r w:rsidR="00767050">
        <w:t xml:space="preserve">supplier at </w:t>
      </w:r>
      <w:r w:rsidR="00874429">
        <w:t>a faraway</w:t>
      </w:r>
      <w:r w:rsidR="00767050">
        <w:t xml:space="preserve"> location) have </w:t>
      </w:r>
      <w:r w:rsidR="003C026E">
        <w:t xml:space="preserve">intimate knowledge and local </w:t>
      </w:r>
      <w:r w:rsidR="00767050">
        <w:t xml:space="preserve">insights about upcoming </w:t>
      </w:r>
      <w:r w:rsidR="003C026E">
        <w:t xml:space="preserve">regionalized </w:t>
      </w:r>
      <w:r w:rsidR="00767050">
        <w:t>disruptions</w:t>
      </w:r>
      <w:r w:rsidR="00874429">
        <w:t xml:space="preserve">, </w:t>
      </w:r>
      <w:r w:rsidR="00767050">
        <w:t xml:space="preserve">such as labor strikes, resource </w:t>
      </w:r>
      <w:r w:rsidR="003C026E">
        <w:t>shortages</w:t>
      </w:r>
      <w:r w:rsidR="00767050">
        <w:t xml:space="preserve">, </w:t>
      </w:r>
      <w:r w:rsidR="003C026E">
        <w:t xml:space="preserve">social upheaval, </w:t>
      </w:r>
      <w:r w:rsidR="00767050">
        <w:t xml:space="preserve">and manufacturing capacity reductions. </w:t>
      </w:r>
      <w:r w:rsidR="005D5685" w:rsidRPr="00DB6AA1">
        <w:t xml:space="preserve">While the flow of resources </w:t>
      </w:r>
      <w:r w:rsidR="001105E6">
        <w:t xml:space="preserve">and information </w:t>
      </w:r>
      <w:r w:rsidR="005D5685" w:rsidRPr="00DB6AA1">
        <w:t>ha</w:t>
      </w:r>
      <w:r w:rsidR="001105E6">
        <w:t>ve</w:t>
      </w:r>
      <w:r w:rsidR="005D5685" w:rsidRPr="00DB6AA1">
        <w:t xml:space="preserve"> been </w:t>
      </w:r>
      <w:r w:rsidR="001105E6">
        <w:t xml:space="preserve">modeled under an integrated purview </w:t>
      </w:r>
      <w:r w:rsidR="001105E6" w:rsidRPr="00DB6AA1">
        <w:t>(Perez et al., 2023)</w:t>
      </w:r>
      <w:r w:rsidR="00105D24" w:rsidRPr="00DB6AA1">
        <w:t xml:space="preserve">, </w:t>
      </w:r>
      <w:r w:rsidR="0024413D">
        <w:t xml:space="preserve">the role of </w:t>
      </w:r>
      <w:r w:rsidR="00D00F80" w:rsidRPr="00DB6AA1">
        <w:t xml:space="preserve">efficient and timely information </w:t>
      </w:r>
      <w:r w:rsidR="003C026E">
        <w:t>sharing</w:t>
      </w:r>
      <w:r w:rsidR="002577BD">
        <w:t xml:space="preserve"> </w:t>
      </w:r>
      <w:r w:rsidR="00206CED" w:rsidRPr="00DB6AA1">
        <w:t xml:space="preserve">during </w:t>
      </w:r>
      <w:r w:rsidR="00157668" w:rsidRPr="00DB6AA1">
        <w:t>pre,</w:t>
      </w:r>
      <w:r w:rsidR="00206CED" w:rsidRPr="00DB6AA1">
        <w:t xml:space="preserve"> and post</w:t>
      </w:r>
      <w:r w:rsidR="007476DC" w:rsidRPr="00DB6AA1">
        <w:t xml:space="preserve"> stages of disruptions is not well studied.</w:t>
      </w:r>
      <w:r w:rsidR="006B51C4">
        <w:t xml:space="preserve"> </w:t>
      </w:r>
      <w:r w:rsidR="009370F4">
        <w:t>To this end</w:t>
      </w:r>
      <w:r w:rsidR="00985314">
        <w:t xml:space="preserve">, we present a </w:t>
      </w:r>
      <w:r w:rsidR="002577BD">
        <w:t xml:space="preserve">first effort </w:t>
      </w:r>
      <w:r w:rsidR="00985314">
        <w:t xml:space="preserve">methodology to </w:t>
      </w:r>
      <w:r w:rsidR="0088413F">
        <w:t>gauge</w:t>
      </w:r>
      <w:r w:rsidR="00985314">
        <w:t xml:space="preserve"> the impact of information sharing </w:t>
      </w:r>
      <w:r w:rsidR="002577BD">
        <w:t>for</w:t>
      </w:r>
      <w:r w:rsidR="0088413F">
        <w:t xml:space="preserve"> </w:t>
      </w:r>
      <w:r w:rsidR="005461C3">
        <w:t xml:space="preserve">upcoming </w:t>
      </w:r>
      <w:r w:rsidR="0088413F">
        <w:t>disruption scenarios.</w:t>
      </w:r>
      <w:r w:rsidR="0091707D">
        <w:t xml:space="preserve"> </w:t>
      </w:r>
      <w:r w:rsidR="00D36CDB">
        <w:t>Operational</w:t>
      </w:r>
      <w:r w:rsidR="004843A7">
        <w:t xml:space="preserve"> and scheduling decisions for a</w:t>
      </w:r>
      <w:r w:rsidR="0088413F">
        <w:t xml:space="preserve"> fixed network</w:t>
      </w:r>
      <w:r w:rsidR="004843A7">
        <w:t>-design</w:t>
      </w:r>
      <w:r w:rsidR="0088413F">
        <w:t xml:space="preserve"> </w:t>
      </w:r>
      <w:r w:rsidR="00921D40">
        <w:t>are</w:t>
      </w:r>
      <w:r w:rsidR="0088413F">
        <w:t xml:space="preserve"> </w:t>
      </w:r>
      <w:r w:rsidR="004843A7">
        <w:t>analyzed under varying</w:t>
      </w:r>
      <w:r w:rsidR="00921D40">
        <w:t xml:space="preserve"> levels of access to information</w:t>
      </w:r>
      <w:r w:rsidR="004843A7">
        <w:t>.</w:t>
      </w:r>
      <w:r w:rsidR="005C2C51">
        <w:t xml:space="preserve"> </w:t>
      </w:r>
      <w:r w:rsidR="00921D40">
        <w:t>The multiperiod problem is formulated as a linear program (LP)</w:t>
      </w:r>
      <w:r w:rsidR="005461C3">
        <w:t xml:space="preserve"> and d</w:t>
      </w:r>
      <w:r w:rsidR="001C4A83">
        <w:t xml:space="preserve">ifferent scenarios are </w:t>
      </w:r>
      <w:r w:rsidR="00FE0316">
        <w:t>compared</w:t>
      </w:r>
      <w:r w:rsidR="0058364C">
        <w:t xml:space="preserve"> </w:t>
      </w:r>
      <w:r w:rsidR="007C14F3">
        <w:t xml:space="preserve">where in </w:t>
      </w:r>
      <w:r w:rsidR="00D2365B">
        <w:t>the decisi</w:t>
      </w:r>
      <w:r w:rsidR="007D1FDF">
        <w:t>on-maker</w:t>
      </w:r>
      <w:r w:rsidR="00D2365B">
        <w:t xml:space="preserve"> has</w:t>
      </w:r>
      <w:r w:rsidR="002577BD">
        <w:t>:</w:t>
      </w:r>
      <w:r w:rsidR="00D2365B">
        <w:t xml:space="preserve"> 1) </w:t>
      </w:r>
      <w:r w:rsidR="002577BD">
        <w:t xml:space="preserve">early and </w:t>
      </w:r>
      <w:r w:rsidR="00D2365B">
        <w:t xml:space="preserve">perfect information regarding </w:t>
      </w:r>
      <w:r w:rsidR="00BE2579">
        <w:t>upcoming</w:t>
      </w:r>
      <w:r w:rsidR="006F581F">
        <w:t xml:space="preserve"> disruptions</w:t>
      </w:r>
      <w:r w:rsidR="002577BD">
        <w:t>;</w:t>
      </w:r>
      <w:r w:rsidR="006F581F">
        <w:t xml:space="preserve"> 2) </w:t>
      </w:r>
      <w:r w:rsidR="001951D7">
        <w:t>delayed access to information at various temporal levels</w:t>
      </w:r>
      <w:r w:rsidR="002577BD">
        <w:t>;</w:t>
      </w:r>
      <w:r w:rsidR="001951D7">
        <w:t xml:space="preserve"> 3) no insight until the disruption occurs. The primary goal</w:t>
      </w:r>
      <w:r w:rsidR="004C4A5F">
        <w:t>s</w:t>
      </w:r>
      <w:r w:rsidR="001951D7">
        <w:t xml:space="preserve"> of the framework </w:t>
      </w:r>
      <w:r w:rsidR="004C4A5F">
        <w:t>are</w:t>
      </w:r>
      <w:r w:rsidR="001951D7">
        <w:t xml:space="preserve"> to</w:t>
      </w:r>
      <w:r w:rsidR="002577BD">
        <w:t>:</w:t>
      </w:r>
      <w:r w:rsidR="004C4A5F">
        <w:t xml:space="preserve"> 1)</w:t>
      </w:r>
      <w:r w:rsidR="001951D7">
        <w:t xml:space="preserve"> quantitatively assign an economic value t</w:t>
      </w:r>
      <w:r w:rsidR="00191FE1">
        <w:t>o information sharing</w:t>
      </w:r>
      <w:r w:rsidR="002577BD">
        <w:t>; and</w:t>
      </w:r>
      <w:r w:rsidR="004C4A5F">
        <w:t xml:space="preserve"> 2) </w:t>
      </w:r>
      <w:r w:rsidR="004C37EE">
        <w:t xml:space="preserve">determine the optimal time </w:t>
      </w:r>
      <w:r w:rsidR="002577BD">
        <w:t xml:space="preserve">epoch </w:t>
      </w:r>
      <w:r w:rsidR="004C37EE">
        <w:t xml:space="preserve">of sharing information. The system is modeled in the </w:t>
      </w:r>
      <w:proofErr w:type="spellStart"/>
      <w:r w:rsidR="004C37EE" w:rsidRPr="004C3B8A">
        <w:rPr>
          <w:i/>
          <w:iCs/>
        </w:rPr>
        <w:t>energiapy</w:t>
      </w:r>
      <w:proofErr w:type="spellEnd"/>
      <w:r w:rsidR="004C37EE">
        <w:t xml:space="preserve"> python package</w:t>
      </w:r>
      <w:r w:rsidR="00633963">
        <w:t xml:space="preserve"> (</w:t>
      </w:r>
      <w:proofErr w:type="spellStart"/>
      <w:r w:rsidR="00633963">
        <w:t>Kakodkar</w:t>
      </w:r>
      <w:proofErr w:type="spellEnd"/>
      <w:r w:rsidR="00633963">
        <w:t xml:space="preserve"> and Pistikopoulos, 2023)</w:t>
      </w:r>
      <w:r w:rsidR="00662FCA">
        <w:t>.</w:t>
      </w:r>
    </w:p>
    <w:p w14:paraId="6A2C145B" w14:textId="44D5FF6D" w:rsidR="00E31F8C" w:rsidRDefault="007B6837" w:rsidP="009543AC">
      <w:pPr>
        <w:pStyle w:val="Els-1storder-head"/>
      </w:pPr>
      <w:r>
        <w:t>Methodology</w:t>
      </w:r>
    </w:p>
    <w:p w14:paraId="269DFDAD" w14:textId="09829989" w:rsidR="00DB13E6" w:rsidRDefault="001D14E7" w:rsidP="00DB13E6">
      <w:pPr>
        <w:pStyle w:val="Els-body-text"/>
      </w:pPr>
      <w:r>
        <w:t xml:space="preserve">The </w:t>
      </w:r>
      <w:r w:rsidR="005461C3">
        <w:t xml:space="preserve">developed </w:t>
      </w:r>
      <w:r>
        <w:t>framework utilizes a</w:t>
      </w:r>
      <w:r w:rsidR="004138DE">
        <w:t xml:space="preserve"> rolling-horizon</w:t>
      </w:r>
      <w:r>
        <w:t xml:space="preserve"> multiperiod methodology to model the </w:t>
      </w:r>
      <w:r w:rsidR="002577BD">
        <w:t>sharing</w:t>
      </w:r>
      <w:r>
        <w:t xml:space="preserve"> of information</w:t>
      </w:r>
      <w:r w:rsidR="002577BD">
        <w:t xml:space="preserve"> and the corresponding adjustments for supply chain recovery</w:t>
      </w:r>
      <w:r>
        <w:t>.</w:t>
      </w:r>
      <w:r w:rsidR="00275273" w:rsidRPr="00275273">
        <w:t xml:space="preserve"> </w:t>
      </w:r>
      <w:r w:rsidR="00275273" w:rsidRPr="00852684">
        <w:t>At the beginning of each period, the decision-maker has perfect information on disruptions and operational parameters (for that individual period)</w:t>
      </w:r>
      <w:r w:rsidR="00275273">
        <w:t xml:space="preserve"> and has an anticipated dataset for the following periods which </w:t>
      </w:r>
      <w:r w:rsidR="00261AE3">
        <w:t>may</w:t>
      </w:r>
      <w:r w:rsidR="00275273">
        <w:t xml:space="preserve"> be updated </w:t>
      </w:r>
      <w:r w:rsidR="00721B88">
        <w:t xml:space="preserve">through </w:t>
      </w:r>
      <w:r w:rsidR="00CD524A">
        <w:t>information sharing</w:t>
      </w:r>
      <w:r w:rsidR="00314866">
        <w:t>.</w:t>
      </w:r>
      <w:r w:rsidR="00852684" w:rsidRPr="00852684">
        <w:t xml:space="preserve"> </w:t>
      </w:r>
      <w:r w:rsidR="00D35860">
        <w:t>To model the</w:t>
      </w:r>
      <w:r w:rsidR="00314D03">
        <w:t xml:space="preserve"> temporal </w:t>
      </w:r>
      <w:r w:rsidR="00CD524A">
        <w:t>flow of</w:t>
      </w:r>
      <w:r w:rsidR="00314D03">
        <w:t xml:space="preserve"> information, the </w:t>
      </w:r>
      <w:r w:rsidR="005507A4">
        <w:t xml:space="preserve">information set is updated at </w:t>
      </w:r>
      <w:r w:rsidR="004B6DFF">
        <w:t>discrete time epochs</w:t>
      </w:r>
      <w:r w:rsidR="005507A4">
        <w:t xml:space="preserve"> of the temporal horizon. For example, in the perfect information (nominal) scenario, the decision-maker has access to the entire information set</w:t>
      </w:r>
      <w:r w:rsidR="00F26EAD">
        <w:t xml:space="preserve"> about the upcoming disruption</w:t>
      </w:r>
      <w:r w:rsidR="005507A4">
        <w:t xml:space="preserve"> at the start of the planning period itself. </w:t>
      </w:r>
      <w:r w:rsidR="00DB13E6">
        <w:t>In scenarios with time lag, the decision-maker gains access to updated information</w:t>
      </w:r>
      <w:r w:rsidR="00CA29EB">
        <w:t xml:space="preserve"> from other supply chain stakeholders</w:t>
      </w:r>
      <w:r w:rsidR="00DB13E6">
        <w:t xml:space="preserve"> only in later </w:t>
      </w:r>
      <w:r w:rsidR="005461C3">
        <w:t xml:space="preserve">time </w:t>
      </w:r>
      <w:r w:rsidR="00DB13E6">
        <w:t>periods.</w:t>
      </w:r>
      <w:r w:rsidR="002E7102">
        <w:t xml:space="preserve"> </w:t>
      </w:r>
      <w:r w:rsidR="00DB13E6">
        <w:t>In terms of mathematical modeling</w:t>
      </w:r>
      <w:r w:rsidR="002E7102">
        <w:t>,</w:t>
      </w:r>
      <w:r w:rsidR="00DB13E6">
        <w:t xml:space="preserve"> this corresponds to solving distinct </w:t>
      </w:r>
      <w:r w:rsidR="00DB13E6">
        <w:lastRenderedPageBreak/>
        <w:t>problems</w:t>
      </w:r>
      <w:r w:rsidR="0074593B">
        <w:t xml:space="preserve"> for varying </w:t>
      </w:r>
      <w:r w:rsidR="00F20791">
        <w:t>partitions of the temporal horizon</w:t>
      </w:r>
      <w:r w:rsidR="002577BD">
        <w:t>:</w:t>
      </w:r>
      <w:r w:rsidR="00DB13E6">
        <w:t xml:space="preserve"> </w:t>
      </w:r>
      <w:r w:rsidR="002577BD">
        <w:t>few</w:t>
      </w:r>
      <w:r w:rsidR="00DB13E6">
        <w:t xml:space="preserve"> with the expected information set (P1) and</w:t>
      </w:r>
      <w:r w:rsidR="002577BD">
        <w:t xml:space="preserve"> others</w:t>
      </w:r>
      <w:r w:rsidR="00DB13E6">
        <w:t xml:space="preserve"> with the updated information set (P2). Notably, the end state of the problem </w:t>
      </w:r>
      <w:r w:rsidR="005E0FCD">
        <w:t>with expected information</w:t>
      </w:r>
      <w:r w:rsidR="00DB13E6">
        <w:t xml:space="preserve"> </w:t>
      </w:r>
      <w:r w:rsidR="005E0FCD">
        <w:t xml:space="preserve">(P1) </w:t>
      </w:r>
      <w:r w:rsidR="00DB13E6">
        <w:t xml:space="preserve">is used to initialize the latter </w:t>
      </w:r>
      <w:r w:rsidR="005E0FCD">
        <w:t>(P2)</w:t>
      </w:r>
      <w:r w:rsidR="00DB13E6">
        <w:t xml:space="preserve"> to maintain continuity. </w:t>
      </w:r>
      <w:r w:rsidR="00DB13E6" w:rsidRPr="0014180E">
        <w:t xml:space="preserve">For </w:t>
      </w:r>
      <w:r w:rsidR="00DB13E6">
        <w:t>instance</w:t>
      </w:r>
      <w:r w:rsidR="00DB13E6" w:rsidRPr="0014180E">
        <w:t xml:space="preserve">, in </w:t>
      </w:r>
      <w:r w:rsidR="00DB13E6">
        <w:t>a</w:t>
      </w:r>
      <w:r w:rsidR="00DB13E6" w:rsidRPr="0014180E">
        <w:t xml:space="preserve"> scenario where the </w:t>
      </w:r>
      <w:r w:rsidR="008A21EC">
        <w:t>supply chain</w:t>
      </w:r>
      <w:r w:rsidR="00DB13E6" w:rsidRPr="0014180E">
        <w:t xml:space="preserve"> tiers obtain revised information at time period </w:t>
      </w:r>
      <w:r w:rsidR="00DB13E6" w:rsidRPr="0014180E">
        <w:rPr>
          <w:i/>
          <w:iCs/>
        </w:rPr>
        <w:t>K</w:t>
      </w:r>
      <w:r w:rsidR="00BB0309">
        <w:rPr>
          <w:i/>
          <w:iCs/>
        </w:rPr>
        <w:t>+1</w:t>
      </w:r>
      <w:r w:rsidR="00DB13E6" w:rsidRPr="0014180E">
        <w:t xml:space="preserve"> concerning a deviation occurring at time period </w:t>
      </w:r>
      <w:r w:rsidR="00DB13E6" w:rsidRPr="0014180E">
        <w:rPr>
          <w:i/>
          <w:iCs/>
        </w:rPr>
        <w:t>D</w:t>
      </w:r>
      <w:r w:rsidR="00DB13E6" w:rsidRPr="0014180E">
        <w:t xml:space="preserve"> from the anticipated dataset, the state variables</w:t>
      </w:r>
      <w:r w:rsidR="005C0984">
        <w:t xml:space="preserve"> (at time period </w:t>
      </w:r>
      <w:r w:rsidR="005C0984" w:rsidRPr="004C3B8A">
        <w:rPr>
          <w:i/>
          <w:iCs/>
        </w:rPr>
        <w:t>K</w:t>
      </w:r>
      <w:r w:rsidR="00EF10EE" w:rsidRPr="004C3B8A">
        <w:rPr>
          <w:i/>
          <w:iCs/>
        </w:rPr>
        <w:t>+1</w:t>
      </w:r>
      <w:r w:rsidR="005C0984">
        <w:t>)</w:t>
      </w:r>
      <w:r w:rsidR="00DB13E6" w:rsidRPr="0014180E">
        <w:t xml:space="preserve"> from problem (P1) can be employed to initialize problem (P2) with the updated information set</w:t>
      </w:r>
      <w:r w:rsidR="00DB13E6">
        <w:t xml:space="preserve"> (Figure 1)</w:t>
      </w:r>
      <w:r w:rsidR="00DB13E6" w:rsidRPr="0014180E">
        <w:t>.</w:t>
      </w:r>
      <w:r w:rsidR="00DB13E6">
        <w:t xml:space="preserve"> </w:t>
      </w:r>
      <w:r w:rsidR="00EF10EE">
        <w:t>Subsequently,</w:t>
      </w:r>
      <w:r w:rsidR="0011599E">
        <w:t xml:space="preserve"> problem (P2) is solved for time periods </w:t>
      </w:r>
      <w:r w:rsidR="0011599E" w:rsidRPr="004C3B8A">
        <w:rPr>
          <w:i/>
          <w:iCs/>
        </w:rPr>
        <w:t>K+1</w:t>
      </w:r>
      <w:r w:rsidR="0011599E">
        <w:t xml:space="preserve"> to </w:t>
      </w:r>
      <w:r w:rsidR="0011599E" w:rsidRPr="004C3B8A">
        <w:rPr>
          <w:i/>
          <w:iCs/>
        </w:rPr>
        <w:t>N</w:t>
      </w:r>
      <w:r w:rsidR="00ED553C">
        <w:t xml:space="preserve"> with the updated information set</w:t>
      </w:r>
      <w:r w:rsidR="0011599E">
        <w:t>.</w:t>
      </w:r>
      <w:r w:rsidR="006B7F67">
        <w:t xml:space="preserve"> </w:t>
      </w:r>
      <w:r w:rsidR="00DB13E6" w:rsidRPr="0011599E">
        <w:t>Furthermore</w:t>
      </w:r>
      <w:r w:rsidR="00DB13E6">
        <w:t xml:space="preserve">, it is assumed that once the </w:t>
      </w:r>
      <w:r w:rsidR="005E0FCD">
        <w:t>disruption occurs</w:t>
      </w:r>
      <w:r w:rsidR="00DB13E6">
        <w:t xml:space="preserve">, the information is immediately </w:t>
      </w:r>
      <w:r w:rsidR="005E0FCD">
        <w:t>made available</w:t>
      </w:r>
      <w:r w:rsidR="00DB13E6">
        <w:t xml:space="preserve"> </w:t>
      </w:r>
      <w:r w:rsidR="005E0FCD">
        <w:t>across</w:t>
      </w:r>
      <w:r w:rsidR="00DB13E6">
        <w:t xml:space="preserve"> the </w:t>
      </w:r>
      <w:r w:rsidR="00F11DBB">
        <w:t>supply chain</w:t>
      </w:r>
      <w:r w:rsidR="00DB13E6">
        <w:t xml:space="preserve"> </w:t>
      </w:r>
      <w:r w:rsidR="00F11DBB">
        <w:t>stakeholders.</w:t>
      </w:r>
      <w:r w:rsidR="006172BB">
        <w:t xml:space="preserve"> </w:t>
      </w:r>
    </w:p>
    <w:p w14:paraId="262C53A2" w14:textId="55C5A802" w:rsidR="004F42A3" w:rsidRDefault="004F42A3" w:rsidP="00DB13E6">
      <w:pPr>
        <w:pStyle w:val="Els-body-text"/>
      </w:pPr>
    </w:p>
    <w:p w14:paraId="7ED2D75B" w14:textId="77777777" w:rsidR="00DB13E6" w:rsidRDefault="00DB13E6" w:rsidP="000B509D">
      <w:pPr>
        <w:pStyle w:val="Els-body-text"/>
        <w:keepNext/>
        <w:jc w:val="center"/>
      </w:pPr>
      <w:r w:rsidRPr="00A72FBD">
        <w:rPr>
          <w:noProof/>
          <w:lang w:val="en-GB"/>
        </w:rPr>
        <w:drawing>
          <wp:inline distT="0" distB="0" distL="0" distR="0" wp14:anchorId="0D24E320" wp14:editId="6E4B6362">
            <wp:extent cx="3589725" cy="1181378"/>
            <wp:effectExtent l="0" t="0" r="4445" b="0"/>
            <wp:docPr id="1597473579" name="Picture 159747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73579" name=""/>
                    <pic:cNvPicPr/>
                  </pic:nvPicPr>
                  <pic:blipFill>
                    <a:blip r:embed="rId8"/>
                    <a:stretch>
                      <a:fillRect/>
                    </a:stretch>
                  </pic:blipFill>
                  <pic:spPr>
                    <a:xfrm>
                      <a:off x="0" y="0"/>
                      <a:ext cx="3712793" cy="1221880"/>
                    </a:xfrm>
                    <a:prstGeom prst="rect">
                      <a:avLst/>
                    </a:prstGeom>
                  </pic:spPr>
                </pic:pic>
              </a:graphicData>
            </a:graphic>
          </wp:inline>
        </w:drawing>
      </w:r>
    </w:p>
    <w:p w14:paraId="278F618A" w14:textId="3DD6B171" w:rsidR="00DB13E6" w:rsidRPr="00C17568" w:rsidRDefault="00DB13E6" w:rsidP="00DB13E6">
      <w:pPr>
        <w:pStyle w:val="Els-body-text"/>
        <w:jc w:val="center"/>
        <w:rPr>
          <w:sz w:val="18"/>
          <w:szCs w:val="18"/>
        </w:rPr>
      </w:pPr>
      <w:r w:rsidRPr="00C17568">
        <w:rPr>
          <w:sz w:val="18"/>
          <w:szCs w:val="18"/>
        </w:rPr>
        <w:t xml:space="preserve">Figure </w:t>
      </w:r>
      <w:r w:rsidRPr="00C17568">
        <w:rPr>
          <w:sz w:val="18"/>
          <w:szCs w:val="18"/>
        </w:rPr>
        <w:fldChar w:fldCharType="begin"/>
      </w:r>
      <w:r w:rsidRPr="00C17568">
        <w:rPr>
          <w:sz w:val="18"/>
          <w:szCs w:val="18"/>
        </w:rPr>
        <w:instrText xml:space="preserve"> SEQ Figure \* ARABIC </w:instrText>
      </w:r>
      <w:r w:rsidRPr="00C17568">
        <w:rPr>
          <w:sz w:val="18"/>
          <w:szCs w:val="18"/>
        </w:rPr>
        <w:fldChar w:fldCharType="separate"/>
      </w:r>
      <w:r w:rsidR="00FF32F9">
        <w:rPr>
          <w:noProof/>
          <w:sz w:val="18"/>
          <w:szCs w:val="18"/>
        </w:rPr>
        <w:t>1</w:t>
      </w:r>
      <w:r w:rsidRPr="00C17568">
        <w:rPr>
          <w:sz w:val="18"/>
          <w:szCs w:val="18"/>
        </w:rPr>
        <w:fldChar w:fldCharType="end"/>
      </w:r>
      <w:r w:rsidRPr="00C17568">
        <w:rPr>
          <w:sz w:val="18"/>
          <w:szCs w:val="18"/>
        </w:rPr>
        <w:t>. Modeling methodology for information flow</w:t>
      </w:r>
    </w:p>
    <w:p w14:paraId="19C044E1" w14:textId="77777777" w:rsidR="007519BF" w:rsidRDefault="007519BF" w:rsidP="00854D6C">
      <w:pPr>
        <w:pStyle w:val="Els-body-text"/>
      </w:pPr>
    </w:p>
    <w:p w14:paraId="53B65264" w14:textId="5A3E08E1" w:rsidR="001412CB" w:rsidRDefault="007519BF" w:rsidP="00854D6C">
      <w:pPr>
        <w:pStyle w:val="Els-body-text"/>
      </w:pPr>
      <w:r>
        <w:t xml:space="preserve">The system is represented using the resource task network (RTN) methodology and modeled as a multiperiod </w:t>
      </w:r>
      <w:r w:rsidR="005461C3">
        <w:t>LP</w:t>
      </w:r>
      <w:r>
        <w:t>. Notably, to incorporate both partial and complete failures normalized capacity factors are introduced to processes and transports to</w:t>
      </w:r>
      <w:r w:rsidR="005461C3">
        <w:t xml:space="preserve"> capture</w:t>
      </w:r>
      <w:r>
        <w:t xml:space="preserve"> the effects of supply chain disruptions (Eqns. 1 &amp; 2). Notations and descriptions for parameters and variables reported in the rest of the manuscript are shown in Table 1.</w:t>
      </w:r>
    </w:p>
    <w:p w14:paraId="1430D1FE" w14:textId="2367F4E4" w:rsidR="00754BC4" w:rsidRPr="002B40A5" w:rsidRDefault="000575BD" w:rsidP="00754BC4">
      <w:pPr>
        <w:pStyle w:val="Didascalia"/>
        <w:keepNext/>
        <w:rPr>
          <w:sz w:val="20"/>
          <w:szCs w:val="21"/>
        </w:rPr>
      </w:pPr>
      <w:r>
        <w:rPr>
          <w:sz w:val="20"/>
          <w:szCs w:val="21"/>
        </w:rPr>
        <w:t>T</w:t>
      </w:r>
      <w:r w:rsidR="00754BC4" w:rsidRPr="002B40A5">
        <w:rPr>
          <w:sz w:val="20"/>
          <w:szCs w:val="21"/>
        </w:rPr>
        <w:t xml:space="preserve">able </w:t>
      </w:r>
      <w:r w:rsidR="00754BC4" w:rsidRPr="002B40A5">
        <w:rPr>
          <w:sz w:val="20"/>
          <w:szCs w:val="21"/>
        </w:rPr>
        <w:fldChar w:fldCharType="begin"/>
      </w:r>
      <w:r w:rsidR="00754BC4" w:rsidRPr="002B40A5">
        <w:rPr>
          <w:sz w:val="20"/>
          <w:szCs w:val="21"/>
        </w:rPr>
        <w:instrText xml:space="preserve"> SEQ Table \* ARABIC </w:instrText>
      </w:r>
      <w:r w:rsidR="00754BC4" w:rsidRPr="002B40A5">
        <w:rPr>
          <w:sz w:val="20"/>
          <w:szCs w:val="21"/>
        </w:rPr>
        <w:fldChar w:fldCharType="separate"/>
      </w:r>
      <w:r w:rsidR="00FF32F9">
        <w:rPr>
          <w:noProof/>
          <w:sz w:val="20"/>
          <w:szCs w:val="21"/>
        </w:rPr>
        <w:t>1</w:t>
      </w:r>
      <w:r w:rsidR="00754BC4" w:rsidRPr="002B40A5">
        <w:rPr>
          <w:sz w:val="20"/>
          <w:szCs w:val="21"/>
        </w:rPr>
        <w:fldChar w:fldCharType="end"/>
      </w:r>
      <w:r w:rsidR="00754BC4" w:rsidRPr="002B40A5">
        <w:rPr>
          <w:sz w:val="20"/>
          <w:szCs w:val="21"/>
        </w:rPr>
        <w:t>. Notations and Descriptions for parameters and variables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821"/>
      </w:tblGrid>
      <w:tr w:rsidR="00C342DC" w14:paraId="236AD6D3" w14:textId="77777777" w:rsidTr="000B509D">
        <w:tc>
          <w:tcPr>
            <w:tcW w:w="1255" w:type="dxa"/>
            <w:tcBorders>
              <w:top w:val="single" w:sz="4" w:space="0" w:color="auto"/>
              <w:bottom w:val="single" w:sz="4" w:space="0" w:color="auto"/>
            </w:tcBorders>
            <w:vAlign w:val="center"/>
          </w:tcPr>
          <w:p w14:paraId="3DFF8C9C" w14:textId="61BE2612" w:rsidR="00C342DC" w:rsidRPr="00C342DC" w:rsidRDefault="0093591E" w:rsidP="00C342DC">
            <w:pPr>
              <w:pStyle w:val="Els-body-text"/>
              <w:rPr>
                <w:b/>
                <w:bCs/>
              </w:rPr>
            </w:pPr>
            <w:r>
              <w:rPr>
                <w:b/>
                <w:bCs/>
              </w:rPr>
              <w:t>Notation</w:t>
            </w:r>
          </w:p>
        </w:tc>
        <w:tc>
          <w:tcPr>
            <w:tcW w:w="5821" w:type="dxa"/>
            <w:tcBorders>
              <w:top w:val="single" w:sz="4" w:space="0" w:color="auto"/>
              <w:bottom w:val="single" w:sz="4" w:space="0" w:color="auto"/>
            </w:tcBorders>
            <w:vAlign w:val="center"/>
          </w:tcPr>
          <w:p w14:paraId="0FC2134B" w14:textId="00F12DE8" w:rsidR="00C342DC" w:rsidRPr="00C342DC" w:rsidRDefault="00C342DC" w:rsidP="00C342DC">
            <w:pPr>
              <w:pStyle w:val="Els-body-text"/>
              <w:rPr>
                <w:b/>
                <w:bCs/>
              </w:rPr>
            </w:pPr>
            <w:r w:rsidRPr="00C342DC">
              <w:rPr>
                <w:b/>
                <w:bCs/>
              </w:rPr>
              <w:t>Description</w:t>
            </w:r>
          </w:p>
        </w:tc>
      </w:tr>
      <w:tr w:rsidR="006F2F79" w14:paraId="1FA255BA" w14:textId="77777777" w:rsidTr="006852F6">
        <w:tc>
          <w:tcPr>
            <w:tcW w:w="1255" w:type="dxa"/>
            <w:tcBorders>
              <w:top w:val="single" w:sz="4" w:space="0" w:color="auto"/>
            </w:tcBorders>
            <w:vAlign w:val="center"/>
          </w:tcPr>
          <w:p w14:paraId="52CAA719" w14:textId="63C196CA" w:rsidR="006F2F79" w:rsidRDefault="001C7A90" w:rsidP="00C342DC">
            <w:pPr>
              <w:pStyle w:val="Els-body-text"/>
            </w:pPr>
            <m:oMathPara>
              <m:oMath>
                <m:sSup>
                  <m:sSupPr>
                    <m:ctrlPr>
                      <w:rPr>
                        <w:rFonts w:ascii="Cambria Math" w:hAnsi="Cambria Math"/>
                        <w:i/>
                      </w:rPr>
                    </m:ctrlPr>
                  </m:sSupPr>
                  <m:e>
                    <m:r>
                      <m:rPr>
                        <m:scr m:val="script"/>
                      </m:rPr>
                      <w:rPr>
                        <w:rFonts w:ascii="Cambria Math" w:hAnsi="Cambria Math"/>
                      </w:rPr>
                      <m:t>R</m:t>
                    </m:r>
                  </m:e>
                  <m:sup>
                    <m:r>
                      <m:rPr>
                        <m:scr m:val="script"/>
                      </m:rPr>
                      <w:rPr>
                        <w:rFonts w:ascii="Cambria Math" w:hAnsi="Cambria Math"/>
                      </w:rPr>
                      <m:t>trans</m:t>
                    </m:r>
                  </m:sup>
                </m:sSup>
              </m:oMath>
            </m:oMathPara>
          </w:p>
        </w:tc>
        <w:tc>
          <w:tcPr>
            <w:tcW w:w="5821" w:type="dxa"/>
            <w:tcBorders>
              <w:top w:val="single" w:sz="4" w:space="0" w:color="auto"/>
            </w:tcBorders>
            <w:vAlign w:val="center"/>
          </w:tcPr>
          <w:p w14:paraId="43794D96" w14:textId="65C612B9" w:rsidR="006F2F79" w:rsidRDefault="006F2F79" w:rsidP="00C342DC">
            <w:pPr>
              <w:pStyle w:val="Els-body-text"/>
              <w:rPr>
                <w:lang w:val="en-GB"/>
              </w:rPr>
            </w:pPr>
            <w:r>
              <w:rPr>
                <w:lang w:val="en-GB"/>
              </w:rPr>
              <w:t>Set of resources that can be transported</w:t>
            </w:r>
          </w:p>
        </w:tc>
      </w:tr>
      <w:tr w:rsidR="00C342DC" w14:paraId="51B337C8" w14:textId="77777777" w:rsidTr="006852F6">
        <w:tc>
          <w:tcPr>
            <w:tcW w:w="1255" w:type="dxa"/>
            <w:vAlign w:val="center"/>
          </w:tcPr>
          <w:p w14:paraId="54C0276E" w14:textId="4E834FE0" w:rsidR="00C342DC" w:rsidRDefault="001C7A90" w:rsidP="00C342DC">
            <w:pPr>
              <w:pStyle w:val="Els-body-text"/>
            </w:pPr>
            <m:oMathPara>
              <m:oMath>
                <m:sSub>
                  <m:sSubPr>
                    <m:ctrlPr>
                      <w:rPr>
                        <w:rFonts w:ascii="Cambria Math" w:hAnsi="Cambria Math"/>
                        <w:i/>
                      </w:rPr>
                    </m:ctrlPr>
                  </m:sSubPr>
                  <m:e>
                    <m:r>
                      <w:rPr>
                        <w:rFonts w:ascii="Cambria Math" w:hAnsi="Cambria Math"/>
                      </w:rPr>
                      <m:t>P</m:t>
                    </m:r>
                  </m:e>
                  <m:sub>
                    <m:r>
                      <w:rPr>
                        <w:rFonts w:ascii="Cambria Math" w:hAnsi="Cambria Math"/>
                      </w:rPr>
                      <m:t>l,p,t</m:t>
                    </m:r>
                  </m:sub>
                </m:sSub>
              </m:oMath>
            </m:oMathPara>
          </w:p>
        </w:tc>
        <w:tc>
          <w:tcPr>
            <w:tcW w:w="5821" w:type="dxa"/>
            <w:vAlign w:val="center"/>
          </w:tcPr>
          <w:p w14:paraId="6AB58B70" w14:textId="09C34341" w:rsidR="00C342DC" w:rsidRDefault="0000756D" w:rsidP="00C342DC">
            <w:pPr>
              <w:pStyle w:val="Els-body-text"/>
            </w:pPr>
            <w:r>
              <w:rPr>
                <w:lang w:val="en-GB"/>
              </w:rPr>
              <w:t>P</w:t>
            </w:r>
            <w:r w:rsidR="00C342DC" w:rsidRPr="005F03DC">
              <w:rPr>
                <w:lang w:val="en-GB"/>
              </w:rPr>
              <w:t>roduction level of p</w:t>
            </w:r>
          </w:p>
        </w:tc>
      </w:tr>
      <w:tr w:rsidR="00C342DC" w14:paraId="2AAC6776" w14:textId="77777777" w:rsidTr="006852F6">
        <w:tc>
          <w:tcPr>
            <w:tcW w:w="1255" w:type="dxa"/>
            <w:vAlign w:val="center"/>
          </w:tcPr>
          <w:p w14:paraId="636FC34E" w14:textId="3BEBE67F" w:rsidR="00C342DC" w:rsidRDefault="00C342DC" w:rsidP="00C342DC">
            <w:pPr>
              <w:pStyle w:val="Els-body-text"/>
            </w:pPr>
            <m:oMathPara>
              <m:oMath>
                <m:r>
                  <w:rPr>
                    <w:rFonts w:ascii="Cambria Math" w:hAnsi="Cambria Math"/>
                  </w:rPr>
                  <m:t>Ca</m:t>
                </m:r>
                <m:sSubSup>
                  <m:sSubSupPr>
                    <m:ctrlPr>
                      <w:rPr>
                        <w:rFonts w:ascii="Cambria Math" w:hAnsi="Cambria Math"/>
                        <w:i/>
                      </w:rPr>
                    </m:ctrlPr>
                  </m:sSubSupPr>
                  <m:e>
                    <m:r>
                      <w:rPr>
                        <w:rFonts w:ascii="Cambria Math" w:hAnsi="Cambria Math"/>
                      </w:rPr>
                      <m:t>p</m:t>
                    </m:r>
                  </m:e>
                  <m:sub>
                    <m:r>
                      <w:rPr>
                        <w:rFonts w:ascii="Cambria Math" w:hAnsi="Cambria Math"/>
                      </w:rPr>
                      <m:t>l,p,t</m:t>
                    </m:r>
                  </m:sub>
                  <m:sup>
                    <m:r>
                      <w:rPr>
                        <w:rFonts w:ascii="Cambria Math" w:hAnsi="Cambria Math"/>
                      </w:rPr>
                      <m:t>f-P</m:t>
                    </m:r>
                  </m:sup>
                </m:sSubSup>
              </m:oMath>
            </m:oMathPara>
          </w:p>
        </w:tc>
        <w:tc>
          <w:tcPr>
            <w:tcW w:w="5821" w:type="dxa"/>
            <w:vAlign w:val="center"/>
          </w:tcPr>
          <w:p w14:paraId="51A46465" w14:textId="35ED6F64" w:rsidR="00C342DC" w:rsidRDefault="0000756D" w:rsidP="00C342DC">
            <w:pPr>
              <w:pStyle w:val="Els-body-text"/>
            </w:pPr>
            <w:r>
              <w:rPr>
                <w:lang w:val="en-GB"/>
              </w:rPr>
              <w:t>C</w:t>
            </w:r>
            <w:r w:rsidR="00C342DC" w:rsidRPr="00295620">
              <w:rPr>
                <w:lang w:val="en-GB"/>
              </w:rPr>
              <w:t>apacity factor for the production levels of process p</w:t>
            </w:r>
          </w:p>
        </w:tc>
      </w:tr>
      <w:tr w:rsidR="00C342DC" w14:paraId="7BC4EC4D" w14:textId="77777777" w:rsidTr="000B509D">
        <w:tc>
          <w:tcPr>
            <w:tcW w:w="1255" w:type="dxa"/>
            <w:vAlign w:val="center"/>
          </w:tcPr>
          <w:p w14:paraId="3309DB81" w14:textId="0D361AF9" w:rsidR="00C342DC" w:rsidRDefault="00C342DC" w:rsidP="00C342DC">
            <w:pPr>
              <w:pStyle w:val="Els-body-text"/>
            </w:pPr>
            <m:oMathPara>
              <m:oMath>
                <m:r>
                  <w:rPr>
                    <w:rFonts w:ascii="Cambria Math" w:hAnsi="Cambria Math"/>
                  </w:rPr>
                  <m:t>Ca</m:t>
                </m:r>
                <m:sSubSup>
                  <m:sSubSupPr>
                    <m:ctrlPr>
                      <w:rPr>
                        <w:rFonts w:ascii="Cambria Math" w:hAnsi="Cambria Math"/>
                        <w:i/>
                      </w:rPr>
                    </m:ctrlPr>
                  </m:sSubSupPr>
                  <m:e>
                    <m:r>
                      <w:rPr>
                        <w:rFonts w:ascii="Cambria Math" w:hAnsi="Cambria Math"/>
                      </w:rPr>
                      <m:t>p</m:t>
                    </m:r>
                  </m:e>
                  <m:sub>
                    <m:r>
                      <w:rPr>
                        <w:rFonts w:ascii="Cambria Math" w:hAnsi="Cambria Math"/>
                      </w:rPr>
                      <m:t>l,p,t</m:t>
                    </m:r>
                  </m:sub>
                  <m:sup>
                    <m:r>
                      <w:rPr>
                        <w:rFonts w:ascii="Cambria Math" w:hAnsi="Cambria Math"/>
                      </w:rPr>
                      <m:t>P</m:t>
                    </m:r>
                  </m:sup>
                </m:sSubSup>
              </m:oMath>
            </m:oMathPara>
          </w:p>
        </w:tc>
        <w:tc>
          <w:tcPr>
            <w:tcW w:w="5821" w:type="dxa"/>
            <w:vAlign w:val="center"/>
          </w:tcPr>
          <w:p w14:paraId="1C36C233" w14:textId="4B3AC2E4" w:rsidR="00C342DC" w:rsidRDefault="00C342DC" w:rsidP="00C342DC">
            <w:pPr>
              <w:pStyle w:val="Els-body-text"/>
            </w:pPr>
            <w:r>
              <w:t>I</w:t>
            </w:r>
            <w:r w:rsidRPr="00D474C7">
              <w:t>nstalled production capacity for process p</w:t>
            </w:r>
          </w:p>
        </w:tc>
      </w:tr>
      <w:tr w:rsidR="00C342DC" w14:paraId="2D8DF4AA" w14:textId="77777777" w:rsidTr="000B509D">
        <w:tc>
          <w:tcPr>
            <w:tcW w:w="1255" w:type="dxa"/>
            <w:vAlign w:val="center"/>
          </w:tcPr>
          <w:p w14:paraId="4CAA34A4" w14:textId="2C696879" w:rsidR="00C342DC" w:rsidRDefault="00C342DC" w:rsidP="00C342DC">
            <w:pPr>
              <w:pStyle w:val="Els-body-text"/>
            </w:pPr>
            <m:oMathPara>
              <m:oMath>
                <m:r>
                  <w:rPr>
                    <w:rFonts w:ascii="Cambria Math" w:hAnsi="Cambria Math"/>
                  </w:rPr>
                  <m:t>Ex</m:t>
                </m:r>
                <m:sSubSup>
                  <m:sSubSupPr>
                    <m:ctrlPr>
                      <w:rPr>
                        <w:rFonts w:ascii="Cambria Math" w:hAnsi="Cambria Math"/>
                        <w:i/>
                      </w:rPr>
                    </m:ctrlPr>
                  </m:sSubSupPr>
                  <m:e>
                    <m:r>
                      <w:rPr>
                        <w:rFonts w:ascii="Cambria Math" w:hAnsi="Cambria Math"/>
                      </w:rPr>
                      <m:t>p</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,r,t</m:t>
                    </m:r>
                  </m:sub>
                  <m:sup>
                    <m:r>
                      <w:rPr>
                        <w:rFonts w:ascii="Cambria Math" w:hAnsi="Cambria Math"/>
                      </w:rPr>
                      <m:t>F</m:t>
                    </m:r>
                  </m:sup>
                </m:sSubSup>
              </m:oMath>
            </m:oMathPara>
          </w:p>
        </w:tc>
        <w:tc>
          <w:tcPr>
            <w:tcW w:w="5821" w:type="dxa"/>
            <w:vAlign w:val="center"/>
          </w:tcPr>
          <w:p w14:paraId="38B25C5C" w14:textId="75FCF37A" w:rsidR="00C342DC" w:rsidRDefault="006F2F79" w:rsidP="00C342DC">
            <w:pPr>
              <w:pStyle w:val="Els-body-text"/>
            </w:pPr>
            <w:r>
              <w:rPr>
                <w:lang w:val="en-GB"/>
              </w:rPr>
              <w:t>Amount</w:t>
            </w:r>
            <w:r w:rsidR="00C342DC" w:rsidRPr="00773FF3">
              <w:rPr>
                <w:lang w:val="en-GB"/>
              </w:rPr>
              <w:t xml:space="preserve"> exported between sources and sinks</w:t>
            </w:r>
            <w:r w:rsidR="000C2301">
              <w:rPr>
                <w:lang w:val="en-GB"/>
              </w:rPr>
              <w:t xml:space="preserve"> for an individual resource</w:t>
            </w:r>
          </w:p>
        </w:tc>
      </w:tr>
      <w:tr w:rsidR="00C342DC" w14:paraId="5B45A7ED" w14:textId="77777777" w:rsidTr="000B509D">
        <w:tc>
          <w:tcPr>
            <w:tcW w:w="1255" w:type="dxa"/>
            <w:vAlign w:val="center"/>
          </w:tcPr>
          <w:p w14:paraId="39EFDCEC" w14:textId="1BA442A7" w:rsidR="00C342DC" w:rsidRDefault="00C342DC" w:rsidP="00C342DC">
            <w:pPr>
              <w:pStyle w:val="Els-body-text"/>
            </w:pPr>
            <m:oMathPara>
              <m:oMath>
                <m:r>
                  <w:rPr>
                    <w:rFonts w:ascii="Cambria Math" w:hAnsi="Cambria Math"/>
                  </w:rPr>
                  <m:t>Ca</m:t>
                </m:r>
                <m:sSubSup>
                  <m:sSubSupPr>
                    <m:ctrlPr>
                      <w:rPr>
                        <w:rFonts w:ascii="Cambria Math" w:hAnsi="Cambria Math"/>
                        <w:i/>
                      </w:rPr>
                    </m:ctrlPr>
                  </m:sSubSupPr>
                  <m:e>
                    <m:r>
                      <w:rPr>
                        <w:rFonts w:ascii="Cambria Math" w:hAnsi="Cambria Math"/>
                      </w:rPr>
                      <m:t>p</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,t</m:t>
                    </m:r>
                  </m:sub>
                  <m:sup>
                    <m:r>
                      <w:rPr>
                        <w:rFonts w:ascii="Cambria Math" w:hAnsi="Cambria Math"/>
                      </w:rPr>
                      <m:t>f-F</m:t>
                    </m:r>
                  </m:sup>
                </m:sSubSup>
              </m:oMath>
            </m:oMathPara>
          </w:p>
        </w:tc>
        <w:tc>
          <w:tcPr>
            <w:tcW w:w="5821" w:type="dxa"/>
            <w:vAlign w:val="center"/>
          </w:tcPr>
          <w:p w14:paraId="41FB284B" w14:textId="5FCD9A4D" w:rsidR="00C342DC" w:rsidRDefault="00C342DC" w:rsidP="00C342DC">
            <w:pPr>
              <w:pStyle w:val="Els-body-text"/>
            </w:pPr>
            <w:r w:rsidRPr="007A69B2">
              <w:rPr>
                <w:lang w:val="en-GB"/>
              </w:rPr>
              <w:t>Capacity factor for export between locations</w:t>
            </w:r>
          </w:p>
        </w:tc>
      </w:tr>
      <w:tr w:rsidR="00C342DC" w14:paraId="2F217EF5" w14:textId="77777777" w:rsidTr="000B509D">
        <w:tc>
          <w:tcPr>
            <w:tcW w:w="1255" w:type="dxa"/>
            <w:vAlign w:val="center"/>
          </w:tcPr>
          <w:p w14:paraId="1A481168" w14:textId="6DA56817" w:rsidR="00C342DC" w:rsidRDefault="00C342DC" w:rsidP="00C342DC">
            <w:pPr>
              <w:pStyle w:val="Els-body-text"/>
            </w:pPr>
            <m:oMathPara>
              <m:oMath>
                <m:r>
                  <w:rPr>
                    <w:rFonts w:ascii="Cambria Math" w:hAnsi="Cambria Math"/>
                  </w:rPr>
                  <m:t>Ca</m:t>
                </m:r>
                <m:sSubSup>
                  <m:sSubSupPr>
                    <m:ctrlPr>
                      <w:rPr>
                        <w:rFonts w:ascii="Cambria Math" w:hAnsi="Cambria Math"/>
                        <w:i/>
                      </w:rPr>
                    </m:ctrlPr>
                  </m:sSubSupPr>
                  <m:e>
                    <m:r>
                      <w:rPr>
                        <w:rFonts w:ascii="Cambria Math" w:hAnsi="Cambria Math"/>
                      </w:rPr>
                      <m:t>p</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,t</m:t>
                    </m:r>
                  </m:sub>
                  <m:sup>
                    <m:r>
                      <w:rPr>
                        <w:rFonts w:ascii="Cambria Math" w:hAnsi="Cambria Math"/>
                      </w:rPr>
                      <m:t>F</m:t>
                    </m:r>
                  </m:sup>
                </m:sSubSup>
              </m:oMath>
            </m:oMathPara>
          </w:p>
        </w:tc>
        <w:tc>
          <w:tcPr>
            <w:tcW w:w="5821" w:type="dxa"/>
            <w:vAlign w:val="center"/>
          </w:tcPr>
          <w:p w14:paraId="59D0823F" w14:textId="5A1B6731" w:rsidR="00B15353" w:rsidRPr="00B15353" w:rsidRDefault="00F57C9B" w:rsidP="00C342DC">
            <w:pPr>
              <w:pStyle w:val="Els-body-text"/>
              <w:rPr>
                <w:lang w:val="en-GB"/>
              </w:rPr>
            </w:pPr>
            <w:r>
              <w:rPr>
                <w:lang w:val="en-GB"/>
              </w:rPr>
              <w:t>Installed</w:t>
            </w:r>
            <w:r w:rsidR="00C342DC" w:rsidRPr="00DC74CF">
              <w:rPr>
                <w:lang w:val="en-GB"/>
              </w:rPr>
              <w:t xml:space="preserve"> export capacity of </w:t>
            </w:r>
            <w:r w:rsidR="00F564A4">
              <w:rPr>
                <w:lang w:val="en-GB"/>
              </w:rPr>
              <w:t xml:space="preserve">a transport </w:t>
            </w:r>
            <w:r w:rsidR="00C342DC" w:rsidRPr="00DC74CF">
              <w:rPr>
                <w:lang w:val="en-GB"/>
              </w:rPr>
              <w:t>mode</w:t>
            </w:r>
          </w:p>
        </w:tc>
      </w:tr>
      <w:tr w:rsidR="00B15353" w14:paraId="263BCD57" w14:textId="77777777" w:rsidTr="000B509D">
        <w:tc>
          <w:tcPr>
            <w:tcW w:w="1255" w:type="dxa"/>
            <w:vAlign w:val="center"/>
          </w:tcPr>
          <w:p w14:paraId="244333FD" w14:textId="015FB244" w:rsidR="00B15353" w:rsidRDefault="00B15353" w:rsidP="00C342DC">
            <w:pPr>
              <w:pStyle w:val="Els-body-text"/>
            </w:pPr>
            <m:oMathPara>
              <m:oMath>
                <m:r>
                  <w:rPr>
                    <w:rFonts w:ascii="Cambria Math" w:hAnsi="Cambria Math"/>
                  </w:rPr>
                  <m:t>Vope</m:t>
                </m:r>
                <m:sSubSup>
                  <m:sSubSupPr>
                    <m:ctrlPr>
                      <w:rPr>
                        <w:rFonts w:ascii="Cambria Math" w:hAnsi="Cambria Math"/>
                        <w:i/>
                        <w:iCs/>
                      </w:rPr>
                    </m:ctrlPr>
                  </m:sSubSupPr>
                  <m:e>
                    <m:r>
                      <w:rPr>
                        <w:rFonts w:ascii="Cambria Math" w:hAnsi="Cambria Math"/>
                      </w:rPr>
                      <m:t>x</m:t>
                    </m:r>
                  </m:e>
                  <m:sub>
                    <m:r>
                      <w:rPr>
                        <w:rFonts w:ascii="Cambria Math" w:hAnsi="Cambria Math"/>
                      </w:rPr>
                      <m:t>t</m:t>
                    </m:r>
                  </m:sub>
                  <m:sup>
                    <m:r>
                      <w:rPr>
                        <w:rFonts w:ascii="Cambria Math" w:hAnsi="Cambria Math"/>
                      </w:rPr>
                      <m:t>N</m:t>
                    </m:r>
                  </m:sup>
                </m:sSubSup>
              </m:oMath>
            </m:oMathPara>
          </w:p>
        </w:tc>
        <w:tc>
          <w:tcPr>
            <w:tcW w:w="5821" w:type="dxa"/>
            <w:vAlign w:val="center"/>
          </w:tcPr>
          <w:p w14:paraId="412E3F36" w14:textId="431D965A" w:rsidR="00B15353" w:rsidRDefault="00B15353" w:rsidP="00C342DC">
            <w:pPr>
              <w:pStyle w:val="Els-body-text"/>
              <w:rPr>
                <w:lang w:val="en-GB"/>
              </w:rPr>
            </w:pPr>
            <w:r>
              <w:rPr>
                <w:lang w:val="en-GB"/>
              </w:rPr>
              <w:t>Operating costs for the network</w:t>
            </w:r>
          </w:p>
        </w:tc>
      </w:tr>
      <w:tr w:rsidR="001B7911" w14:paraId="14213686" w14:textId="77777777" w:rsidTr="000B509D">
        <w:tc>
          <w:tcPr>
            <w:tcW w:w="1255" w:type="dxa"/>
            <w:vAlign w:val="center"/>
          </w:tcPr>
          <w:p w14:paraId="49EF6F1B" w14:textId="54F477D5" w:rsidR="001B7911" w:rsidRDefault="001C7A90" w:rsidP="00C342DC">
            <w:pPr>
              <w:pStyle w:val="Els-body-text"/>
            </w:pPr>
            <m:oMathPara>
              <m:oMath>
                <m:sSubSup>
                  <m:sSubSupPr>
                    <m:ctrlPr>
                      <w:rPr>
                        <w:rFonts w:ascii="Cambria Math" w:hAnsi="Cambria Math"/>
                        <w:i/>
                        <w:iCs/>
                      </w:rPr>
                    </m:ctrlPr>
                  </m:sSubSupPr>
                  <m:e>
                    <m:r>
                      <m:rPr>
                        <m:sty m:val="p"/>
                      </m:rPr>
                      <w:rPr>
                        <w:rFonts w:ascii="Cambria Math" w:hAnsi="Cambria Math"/>
                      </w:rPr>
                      <m:t>Φ</m:t>
                    </m:r>
                  </m:e>
                  <m:sub>
                    <m:r>
                      <w:rPr>
                        <w:rFonts w:ascii="Cambria Math" w:hAnsi="Cambria Math"/>
                      </w:rPr>
                      <m:t>t</m:t>
                    </m:r>
                  </m:sub>
                  <m:sup>
                    <m:r>
                      <w:rPr>
                        <w:rFonts w:ascii="Cambria Math" w:hAnsi="Cambria Math"/>
                      </w:rPr>
                      <m:t>N</m:t>
                    </m:r>
                  </m:sup>
                </m:sSubSup>
              </m:oMath>
            </m:oMathPara>
          </w:p>
        </w:tc>
        <w:tc>
          <w:tcPr>
            <w:tcW w:w="5821" w:type="dxa"/>
            <w:vAlign w:val="center"/>
          </w:tcPr>
          <w:p w14:paraId="01863162" w14:textId="56E260FE" w:rsidR="001B7911" w:rsidRDefault="00F310C5" w:rsidP="00C342DC">
            <w:pPr>
              <w:pStyle w:val="Els-body-text"/>
              <w:rPr>
                <w:lang w:val="en-GB"/>
              </w:rPr>
            </w:pPr>
            <w:r>
              <w:rPr>
                <w:lang w:val="en-GB"/>
              </w:rPr>
              <w:t>Penalty incurred due to unmet demand for the network</w:t>
            </w:r>
          </w:p>
        </w:tc>
      </w:tr>
      <w:tr w:rsidR="00B15353" w14:paraId="7158BD35" w14:textId="77777777" w:rsidTr="000B509D">
        <w:tc>
          <w:tcPr>
            <w:tcW w:w="1255" w:type="dxa"/>
            <w:tcBorders>
              <w:bottom w:val="single" w:sz="4" w:space="0" w:color="auto"/>
            </w:tcBorders>
            <w:vAlign w:val="center"/>
          </w:tcPr>
          <w:p w14:paraId="327106A0" w14:textId="70307CA4" w:rsidR="00B15353" w:rsidRDefault="001C7A90" w:rsidP="00C342DC">
            <w:pPr>
              <w:pStyle w:val="Els-body-text"/>
            </w:pPr>
            <m:oMathPara>
              <m:oMath>
                <m:sSubSup>
                  <m:sSubSupPr>
                    <m:ctrlPr>
                      <w:rPr>
                        <w:rFonts w:ascii="Cambria Math" w:hAnsi="Cambria Math"/>
                      </w:rPr>
                    </m:ctrlPr>
                  </m:sSubSupPr>
                  <m:e>
                    <m:r>
                      <w:rPr>
                        <w:rFonts w:ascii="Cambria Math" w:hAnsi="Cambria Math"/>
                      </w:rPr>
                      <m:t>InvCost</m:t>
                    </m:r>
                  </m:e>
                  <m:sub>
                    <m:r>
                      <w:rPr>
                        <w:rFonts w:ascii="Cambria Math" w:hAnsi="Cambria Math"/>
                      </w:rPr>
                      <m:t>t</m:t>
                    </m:r>
                  </m:sub>
                  <m:sup>
                    <m:r>
                      <w:rPr>
                        <w:rFonts w:ascii="Cambria Math" w:hAnsi="Cambria Math"/>
                      </w:rPr>
                      <m:t>N</m:t>
                    </m:r>
                  </m:sup>
                </m:sSubSup>
              </m:oMath>
            </m:oMathPara>
          </w:p>
        </w:tc>
        <w:tc>
          <w:tcPr>
            <w:tcW w:w="5821" w:type="dxa"/>
            <w:tcBorders>
              <w:bottom w:val="single" w:sz="4" w:space="0" w:color="auto"/>
            </w:tcBorders>
            <w:vAlign w:val="center"/>
          </w:tcPr>
          <w:p w14:paraId="3517E92A" w14:textId="310505F5" w:rsidR="00B15353" w:rsidRDefault="00B15353" w:rsidP="00C342DC">
            <w:pPr>
              <w:pStyle w:val="Els-body-text"/>
              <w:rPr>
                <w:lang w:val="en-GB"/>
              </w:rPr>
            </w:pPr>
            <w:r>
              <w:rPr>
                <w:lang w:val="en-GB"/>
              </w:rPr>
              <w:t>Inventory storage costs for the network</w:t>
            </w:r>
          </w:p>
        </w:tc>
      </w:tr>
    </w:tbl>
    <w:p w14:paraId="6193A952" w14:textId="77777777" w:rsidR="00ED1933" w:rsidRDefault="00ED1933" w:rsidP="00854D6C">
      <w:pPr>
        <w:pStyle w:val="Els-body-text"/>
        <w:rPr>
          <w:highlight w:val="yellow"/>
        </w:rPr>
      </w:pPr>
    </w:p>
    <w:tbl>
      <w:tblPr>
        <w:tblStyle w:val="Grigliatabella"/>
        <w:tblW w:w="73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788"/>
      </w:tblGrid>
      <w:tr w:rsidR="00570775" w14:paraId="749101FF" w14:textId="77777777" w:rsidTr="00F310C5">
        <w:trPr>
          <w:trHeight w:val="432"/>
          <w:jc w:val="center"/>
        </w:trPr>
        <w:tc>
          <w:tcPr>
            <w:tcW w:w="6570" w:type="dxa"/>
            <w:vAlign w:val="center"/>
          </w:tcPr>
          <w:p w14:paraId="72943A29" w14:textId="7A456742" w:rsidR="00570775" w:rsidRPr="000B509D" w:rsidRDefault="001C7A90" w:rsidP="000B509D">
            <w:pPr>
              <w:pStyle w:val="Els-body-text"/>
              <w:jc w:val="center"/>
              <w:rPr>
                <w:rFonts w:ascii="Cambria Math" w:hAnsi="Cambria Math"/>
                <w:oMath/>
              </w:rPr>
            </w:pPr>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l,p,t</m:t>
                    </m:r>
                  </m:sub>
                </m:sSub>
                <m:r>
                  <m:rPr>
                    <m:sty m:val="p"/>
                  </m:rPr>
                  <w:rPr>
                    <w:rFonts w:ascii="Cambria Math" w:hAnsi="Cambria Math"/>
                  </w:rPr>
                  <m:t>≤</m:t>
                </m:r>
                <m:r>
                  <w:rPr>
                    <w:rFonts w:ascii="Cambria Math" w:hAnsi="Cambria Math"/>
                  </w:rPr>
                  <m:t>Ca</m:t>
                </m:r>
                <m:sSubSup>
                  <m:sSubSupPr>
                    <m:ctrlPr>
                      <w:rPr>
                        <w:rFonts w:ascii="Cambria Math" w:hAnsi="Cambria Math"/>
                        <w:i/>
                      </w:rPr>
                    </m:ctrlPr>
                  </m:sSubSupPr>
                  <m:e>
                    <m:r>
                      <w:rPr>
                        <w:rFonts w:ascii="Cambria Math" w:hAnsi="Cambria Math"/>
                      </w:rPr>
                      <m:t>p</m:t>
                    </m:r>
                  </m:e>
                  <m:sub>
                    <m:r>
                      <w:rPr>
                        <w:rFonts w:ascii="Cambria Math" w:hAnsi="Cambria Math"/>
                      </w:rPr>
                      <m:t>l,p,t</m:t>
                    </m:r>
                  </m:sub>
                  <m:sup>
                    <m:r>
                      <w:rPr>
                        <w:rFonts w:ascii="Cambria Math" w:hAnsi="Cambria Math"/>
                      </w:rPr>
                      <m:t>f-P</m:t>
                    </m:r>
                  </m:sup>
                </m:sSubSup>
                <m:r>
                  <m:rPr>
                    <m:sty m:val="p"/>
                  </m:rPr>
                  <w:rPr>
                    <w:rFonts w:ascii="Cambria Math" w:hAnsi="Cambria Math"/>
                  </w:rPr>
                  <m:t>⋅</m:t>
                </m:r>
                <m:r>
                  <w:rPr>
                    <w:rFonts w:ascii="Cambria Math" w:hAnsi="Cambria Math"/>
                  </w:rPr>
                  <m:t>Ca</m:t>
                </m:r>
                <m:sSubSup>
                  <m:sSubSupPr>
                    <m:ctrlPr>
                      <w:rPr>
                        <w:rFonts w:ascii="Cambria Math" w:hAnsi="Cambria Math"/>
                        <w:i/>
                      </w:rPr>
                    </m:ctrlPr>
                  </m:sSubSupPr>
                  <m:e>
                    <m:r>
                      <w:rPr>
                        <w:rFonts w:ascii="Cambria Math" w:hAnsi="Cambria Math"/>
                      </w:rPr>
                      <m:t>p</m:t>
                    </m:r>
                  </m:e>
                  <m:sub>
                    <m:r>
                      <w:rPr>
                        <w:rFonts w:ascii="Cambria Math" w:hAnsi="Cambria Math"/>
                      </w:rPr>
                      <m:t>l,p,t</m:t>
                    </m:r>
                  </m:sub>
                  <m:sup>
                    <m:r>
                      <w:rPr>
                        <w:rFonts w:ascii="Cambria Math" w:hAnsi="Cambria Math"/>
                      </w:rPr>
                      <m:t>P</m:t>
                    </m:r>
                  </m:sup>
                </m:sSubSup>
              </m:oMath>
            </m:oMathPara>
          </w:p>
        </w:tc>
        <w:tc>
          <w:tcPr>
            <w:tcW w:w="788" w:type="dxa"/>
            <w:vAlign w:val="center"/>
          </w:tcPr>
          <w:p w14:paraId="3B883CCB" w14:textId="5055650A" w:rsidR="00570775" w:rsidRDefault="00570775" w:rsidP="00D53A7A">
            <w:pPr>
              <w:pStyle w:val="Els-body-text"/>
              <w:jc w:val="center"/>
            </w:pPr>
            <w:r>
              <w:t>(1)</w:t>
            </w:r>
          </w:p>
        </w:tc>
      </w:tr>
      <w:tr w:rsidR="00570775" w14:paraId="4B60996E" w14:textId="77777777" w:rsidTr="00F310C5">
        <w:trPr>
          <w:trHeight w:val="432"/>
          <w:jc w:val="center"/>
        </w:trPr>
        <w:tc>
          <w:tcPr>
            <w:tcW w:w="6570" w:type="dxa"/>
            <w:vAlign w:val="center"/>
          </w:tcPr>
          <w:p w14:paraId="7A069410" w14:textId="528F91BD" w:rsidR="00570775" w:rsidRPr="000B509D" w:rsidRDefault="001C7A90" w:rsidP="000B509D">
            <w:pPr>
              <w:pStyle w:val="Els-body-text"/>
              <w:jc w:val="center"/>
            </w:pPr>
            <m:oMathPara>
              <m:oMathParaPr>
                <m:jc m:val="center"/>
              </m:oMathParaPr>
              <m:oMath>
                <m:nary>
                  <m:naryPr>
                    <m:chr m:val="∑"/>
                    <m:supHide m:val="1"/>
                    <m:ctrlPr>
                      <w:rPr>
                        <w:rFonts w:ascii="Cambria Math" w:hAnsi="Cambria Math"/>
                      </w:rPr>
                    </m:ctrlPr>
                  </m:naryPr>
                  <m:sub>
                    <m:r>
                      <w:rPr>
                        <w:rFonts w:ascii="Cambria Math" w:hAnsi="Cambria Math"/>
                      </w:rPr>
                      <m:t>r</m:t>
                    </m:r>
                    <m:r>
                      <m:rPr>
                        <m:sty m:val="p"/>
                      </m:rPr>
                      <w:rPr>
                        <w:rFonts w:ascii="Cambria Math" w:hAnsi="Cambria Math"/>
                      </w:rPr>
                      <m:t>∈</m:t>
                    </m:r>
                    <m:sSup>
                      <m:sSupPr>
                        <m:ctrlPr>
                          <w:rPr>
                            <w:rFonts w:ascii="Cambria Math" w:hAnsi="Cambria Math"/>
                            <w:i/>
                          </w:rPr>
                        </m:ctrlPr>
                      </m:sSupPr>
                      <m:e>
                        <m:r>
                          <m:rPr>
                            <m:scr m:val="script"/>
                          </m:rPr>
                          <w:rPr>
                            <w:rFonts w:ascii="Cambria Math" w:hAnsi="Cambria Math"/>
                          </w:rPr>
                          <m:t>R</m:t>
                        </m:r>
                      </m:e>
                      <m:sup>
                        <m:r>
                          <m:rPr>
                            <m:scr m:val="script"/>
                          </m:rPr>
                          <w:rPr>
                            <w:rFonts w:ascii="Cambria Math" w:hAnsi="Cambria Math"/>
                          </w:rPr>
                          <m:t>trans</m:t>
                        </m:r>
                      </m:sup>
                    </m:sSup>
                    <m:ctrlPr>
                      <w:rPr>
                        <w:rFonts w:ascii="Cambria Math" w:hAnsi="Cambria Math"/>
                        <w:i/>
                      </w:rPr>
                    </m:ctrlPr>
                  </m:sub>
                  <m:sup>
                    <m:ctrlPr>
                      <w:rPr>
                        <w:rFonts w:ascii="Cambria Math" w:hAnsi="Cambria Math"/>
                        <w:i/>
                      </w:rPr>
                    </m:ctrlPr>
                  </m:sup>
                  <m:e>
                    <m:r>
                      <w:rPr>
                        <w:rFonts w:ascii="Cambria Math" w:hAnsi="Cambria Math"/>
                      </w:rPr>
                      <m:t>Ex</m:t>
                    </m:r>
                    <m:sSubSup>
                      <m:sSubSupPr>
                        <m:ctrlPr>
                          <w:rPr>
                            <w:rFonts w:ascii="Cambria Math" w:hAnsi="Cambria Math"/>
                            <w:i/>
                          </w:rPr>
                        </m:ctrlPr>
                      </m:sSubSupPr>
                      <m:e>
                        <m:r>
                          <w:rPr>
                            <w:rFonts w:ascii="Cambria Math" w:hAnsi="Cambria Math"/>
                          </w:rPr>
                          <m:t>p</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,r,t</m:t>
                        </m:r>
                      </m:sub>
                      <m:sup>
                        <m:r>
                          <w:rPr>
                            <w:rFonts w:ascii="Cambria Math" w:hAnsi="Cambria Math"/>
                          </w:rPr>
                          <m:t>F</m:t>
                        </m:r>
                      </m:sup>
                    </m:sSubSup>
                    <m:ctrlPr>
                      <w:rPr>
                        <w:rFonts w:ascii="Cambria Math" w:hAnsi="Cambria Math"/>
                        <w:i/>
                      </w:rPr>
                    </m:ctrlPr>
                  </m:e>
                </m:nary>
                <m:r>
                  <m:rPr>
                    <m:sty m:val="p"/>
                  </m:rPr>
                  <w:rPr>
                    <w:rFonts w:ascii="Cambria Math" w:hAnsi="Cambria Math"/>
                  </w:rPr>
                  <m:t>≤</m:t>
                </m:r>
                <m:r>
                  <w:rPr>
                    <w:rFonts w:ascii="Cambria Math" w:hAnsi="Cambria Math"/>
                  </w:rPr>
                  <m:t>Ca</m:t>
                </m:r>
                <m:sSubSup>
                  <m:sSubSupPr>
                    <m:ctrlPr>
                      <w:rPr>
                        <w:rFonts w:ascii="Cambria Math" w:hAnsi="Cambria Math"/>
                        <w:i/>
                      </w:rPr>
                    </m:ctrlPr>
                  </m:sSubSupPr>
                  <m:e>
                    <m:r>
                      <w:rPr>
                        <w:rFonts w:ascii="Cambria Math" w:hAnsi="Cambria Math"/>
                      </w:rPr>
                      <m:t>p</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,t</m:t>
                    </m:r>
                  </m:sub>
                  <m:sup>
                    <m:r>
                      <w:rPr>
                        <w:rFonts w:ascii="Cambria Math" w:hAnsi="Cambria Math"/>
                      </w:rPr>
                      <m:t>f-F</m:t>
                    </m:r>
                  </m:sup>
                </m:sSubSup>
                <m:r>
                  <m:rPr>
                    <m:sty m:val="p"/>
                  </m:rPr>
                  <w:rPr>
                    <w:rFonts w:ascii="Cambria Math" w:hAnsi="Cambria Math"/>
                  </w:rPr>
                  <m:t>⋅</m:t>
                </m:r>
                <m:r>
                  <w:rPr>
                    <w:rFonts w:ascii="Cambria Math" w:hAnsi="Cambria Math"/>
                  </w:rPr>
                  <m:t>Ca</m:t>
                </m:r>
                <m:sSubSup>
                  <m:sSubSupPr>
                    <m:ctrlPr>
                      <w:rPr>
                        <w:rFonts w:ascii="Cambria Math" w:hAnsi="Cambria Math"/>
                        <w:i/>
                      </w:rPr>
                    </m:ctrlPr>
                  </m:sSubSupPr>
                  <m:e>
                    <m:r>
                      <w:rPr>
                        <w:rFonts w:ascii="Cambria Math" w:hAnsi="Cambria Math"/>
                      </w:rPr>
                      <m:t>p</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,t</m:t>
                    </m:r>
                  </m:sub>
                  <m:sup>
                    <m:r>
                      <w:rPr>
                        <w:rFonts w:ascii="Cambria Math" w:hAnsi="Cambria Math"/>
                      </w:rPr>
                      <m:t>F</m:t>
                    </m:r>
                  </m:sup>
                </m:sSubSup>
              </m:oMath>
            </m:oMathPara>
          </w:p>
        </w:tc>
        <w:tc>
          <w:tcPr>
            <w:tcW w:w="788" w:type="dxa"/>
            <w:vAlign w:val="center"/>
          </w:tcPr>
          <w:p w14:paraId="696B1063" w14:textId="33183249" w:rsidR="00570775" w:rsidRDefault="00570775" w:rsidP="00D53A7A">
            <w:pPr>
              <w:pStyle w:val="Els-body-text"/>
              <w:jc w:val="center"/>
            </w:pPr>
            <w:r>
              <w:t>(2)</w:t>
            </w:r>
          </w:p>
        </w:tc>
      </w:tr>
    </w:tbl>
    <w:p w14:paraId="0520DF8E" w14:textId="77777777" w:rsidR="00C51C9B" w:rsidRDefault="00C51C9B" w:rsidP="002D69D6">
      <w:pPr>
        <w:pStyle w:val="Els-body-text"/>
      </w:pPr>
    </w:p>
    <w:p w14:paraId="2C414AC4" w14:textId="1A857028" w:rsidR="009E58FF" w:rsidRDefault="00C268EA" w:rsidP="002D69D6">
      <w:pPr>
        <w:pStyle w:val="Els-body-text"/>
      </w:pPr>
      <w:r>
        <w:t>The objective</w:t>
      </w:r>
      <w:r w:rsidR="002577BD">
        <w:t xml:space="preserve"> function</w:t>
      </w:r>
      <w:r>
        <w:t xml:space="preserve"> is </w:t>
      </w:r>
      <w:r w:rsidR="002577BD">
        <w:t>the</w:t>
      </w:r>
      <w:r>
        <w:t xml:space="preserve"> minimiz</w:t>
      </w:r>
      <w:r w:rsidR="002577BD">
        <w:t>ation of</w:t>
      </w:r>
      <w:r>
        <w:t xml:space="preserve"> total</w:t>
      </w:r>
      <w:r w:rsidR="00233837">
        <w:t xml:space="preserve"> </w:t>
      </w:r>
      <w:r>
        <w:t>cost</w:t>
      </w:r>
      <w:r w:rsidR="004901C1">
        <w:t xml:space="preserve"> over the finite planning horizon</w:t>
      </w:r>
      <w:r w:rsidR="00432075">
        <w:t xml:space="preserve">. This includes </w:t>
      </w:r>
      <w:r w:rsidR="007A7364">
        <w:t>the operating costs (</w:t>
      </w:r>
      <w:r w:rsidR="005E0FCD">
        <w:t xml:space="preserve">for </w:t>
      </w:r>
      <w:r w:rsidR="004E0F61">
        <w:t xml:space="preserve">processing, </w:t>
      </w:r>
      <w:r w:rsidR="005E0FCD">
        <w:t>maintaining inventory</w:t>
      </w:r>
      <w:r w:rsidR="004E0F61">
        <w:t>,</w:t>
      </w:r>
      <w:r w:rsidR="007A7364">
        <w:t xml:space="preserve"> and transport)</w:t>
      </w:r>
      <w:r w:rsidR="004E0F61">
        <w:t xml:space="preserve">, </w:t>
      </w:r>
      <w:r w:rsidR="004E0F61">
        <w:lastRenderedPageBreak/>
        <w:t>and penalt</w:t>
      </w:r>
      <w:r w:rsidR="00016B00">
        <w:t>ies</w:t>
      </w:r>
      <w:r w:rsidR="004E0F61">
        <w:t xml:space="preserve"> incurred due to unmet demand.</w:t>
      </w:r>
      <w:r w:rsidR="00CC6268">
        <w:t xml:space="preserve"> Since, this is a distribution planning problem and no value is being added to the commodity </w:t>
      </w:r>
      <w:r w:rsidR="002046A5">
        <w:t xml:space="preserve">within the network, procuring and selling prices are assumed to </w:t>
      </w:r>
      <w:r w:rsidR="0016545D">
        <w:t>be</w:t>
      </w:r>
      <w:r w:rsidR="002046A5">
        <w:t xml:space="preserve"> </w:t>
      </w:r>
      <w:r w:rsidR="005461C3">
        <w:t>fixed</w:t>
      </w:r>
      <w:r w:rsidR="002046A5">
        <w:t>.</w:t>
      </w:r>
      <w:r w:rsidR="00BD647D">
        <w:t xml:space="preserve"> The</w:t>
      </w:r>
      <w:r w:rsidR="001B228B">
        <w:t xml:space="preserve"> </w:t>
      </w:r>
      <w:r w:rsidR="007218C5">
        <w:t>cost</w:t>
      </w:r>
      <w:r w:rsidR="001B228B">
        <w:t xml:space="preserve"> objective is </w:t>
      </w:r>
      <w:r w:rsidR="00016B00">
        <w:t xml:space="preserve">thus </w:t>
      </w:r>
      <w:r w:rsidR="00123D76">
        <w:t>given by Eq 3</w:t>
      </w:r>
      <w:r w:rsidR="00016B00">
        <w:t>:</w:t>
      </w:r>
    </w:p>
    <w:p w14:paraId="62CC7430" w14:textId="77777777" w:rsidR="009E58FF" w:rsidRDefault="009E58FF" w:rsidP="002D69D6">
      <w:pPr>
        <w:pStyle w:val="Els-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01"/>
      </w:tblGrid>
      <w:tr w:rsidR="00A658BA" w14:paraId="54D8775F" w14:textId="77777777" w:rsidTr="00ED1933">
        <w:tc>
          <w:tcPr>
            <w:tcW w:w="6475" w:type="dxa"/>
            <w:vAlign w:val="center"/>
          </w:tcPr>
          <w:p w14:paraId="497A5293" w14:textId="1DCBDCF5" w:rsidR="00A658BA" w:rsidRDefault="001C7A90" w:rsidP="00123D76">
            <w:pPr>
              <w:pStyle w:val="Els-body-text"/>
              <w:jc w:val="center"/>
            </w:pPr>
            <m:oMathPara>
              <m:oMath>
                <m:nary>
                  <m:naryPr>
                    <m:chr m:val="∑"/>
                    <m:limLoc m:val="subSup"/>
                    <m:supHide m:val="1"/>
                    <m:ctrlPr>
                      <w:rPr>
                        <w:rFonts w:ascii="Cambria Math" w:hAnsi="Cambria Math"/>
                        <w:i/>
                        <w:iCs/>
                      </w:rPr>
                    </m:ctrlPr>
                  </m:naryPr>
                  <m:sub>
                    <m:r>
                      <w:rPr>
                        <w:rFonts w:ascii="Cambria Math" w:hAnsi="Cambria Math"/>
                      </w:rPr>
                      <m:t>t</m:t>
                    </m:r>
                    <m:r>
                      <m:rPr>
                        <m:sty m:val="p"/>
                      </m:rPr>
                      <w:rPr>
                        <w:rFonts w:ascii="Cambria Math" w:hAnsi="Cambria Math"/>
                      </w:rPr>
                      <m:t>∈</m:t>
                    </m:r>
                    <m:sSup>
                      <m:sSupPr>
                        <m:ctrlPr>
                          <w:rPr>
                            <w:rFonts w:ascii="Cambria Math" w:hAnsi="Cambria Math"/>
                            <w:i/>
                            <w:iCs/>
                          </w:rPr>
                        </m:ctrlPr>
                      </m:sSupPr>
                      <m:e>
                        <m:r>
                          <m:rPr>
                            <m:scr m:val="script"/>
                            <m:sty m:val="p"/>
                          </m:rPr>
                          <w:rPr>
                            <w:rFonts w:ascii="Cambria Math" w:hAnsi="Cambria Math"/>
                          </w:rPr>
                          <m:t>T</m:t>
                        </m:r>
                      </m:e>
                      <m:sup>
                        <m:r>
                          <m:rPr>
                            <m:scr m:val="script"/>
                            <m:sty m:val="p"/>
                          </m:rPr>
                          <w:rPr>
                            <w:rFonts w:ascii="Cambria Math" w:hAnsi="Cambria Math"/>
                          </w:rPr>
                          <m:t>network</m:t>
                        </m:r>
                      </m:sup>
                    </m:sSup>
                  </m:sub>
                  <m:sup/>
                  <m:e>
                    <m:r>
                      <w:rPr>
                        <w:rFonts w:ascii="Cambria Math" w:hAnsi="Cambria Math"/>
                      </w:rPr>
                      <m:t>Vope</m:t>
                    </m:r>
                    <m:sSubSup>
                      <m:sSubSupPr>
                        <m:ctrlPr>
                          <w:rPr>
                            <w:rFonts w:ascii="Cambria Math" w:hAnsi="Cambria Math"/>
                            <w:i/>
                            <w:iCs/>
                          </w:rPr>
                        </m:ctrlPr>
                      </m:sSubSupPr>
                      <m:e>
                        <m:r>
                          <w:rPr>
                            <w:rFonts w:ascii="Cambria Math" w:hAnsi="Cambria Math"/>
                          </w:rPr>
                          <m:t>x</m:t>
                        </m:r>
                      </m:e>
                      <m:sub>
                        <m:r>
                          <w:rPr>
                            <w:rFonts w:ascii="Cambria Math" w:hAnsi="Cambria Math"/>
                          </w:rPr>
                          <m:t>t</m:t>
                        </m:r>
                      </m:sub>
                      <m:sup>
                        <m:r>
                          <w:rPr>
                            <w:rFonts w:ascii="Cambria Math" w:hAnsi="Cambria Math"/>
                          </w:rPr>
                          <m:t>N</m:t>
                        </m:r>
                      </m:sup>
                    </m:sSubSup>
                    <m:r>
                      <m:rPr>
                        <m:sty m:val="p"/>
                      </m:rPr>
                      <w:rPr>
                        <w:rFonts w:ascii="Cambria Math" w:hAnsi="Cambria Math"/>
                      </w:rPr>
                      <m:t>+</m:t>
                    </m:r>
                    <m:sSubSup>
                      <m:sSubSupPr>
                        <m:ctrlPr>
                          <w:rPr>
                            <w:rFonts w:ascii="Cambria Math" w:hAnsi="Cambria Math"/>
                          </w:rPr>
                        </m:ctrlPr>
                      </m:sSubSupPr>
                      <m:e>
                        <m:r>
                          <w:rPr>
                            <w:rFonts w:ascii="Cambria Math" w:hAnsi="Cambria Math"/>
                          </w:rPr>
                          <m:t>InvCost</m:t>
                        </m:r>
                      </m:e>
                      <m:sub>
                        <m:r>
                          <w:rPr>
                            <w:rFonts w:ascii="Cambria Math" w:hAnsi="Cambria Math"/>
                          </w:rPr>
                          <m:t>t</m:t>
                        </m:r>
                      </m:sub>
                      <m:sup>
                        <m:r>
                          <w:rPr>
                            <w:rFonts w:ascii="Cambria Math" w:hAnsi="Cambria Math"/>
                          </w:rPr>
                          <m:t>N</m:t>
                        </m:r>
                      </m:sup>
                    </m:sSubSup>
                    <m:r>
                      <m:rPr>
                        <m:sty m:val="p"/>
                      </m:rPr>
                      <w:rPr>
                        <w:rFonts w:ascii="Cambria Math" w:hAnsi="Cambria Math"/>
                      </w:rPr>
                      <m:t>+</m:t>
                    </m:r>
                    <m:r>
                      <w:rPr>
                        <w:rFonts w:ascii="Cambria Math" w:hAnsi="Cambria Math"/>
                      </w:rPr>
                      <m:t>TransCos</m:t>
                    </m:r>
                    <m:sSubSup>
                      <m:sSubSupPr>
                        <m:ctrlPr>
                          <w:rPr>
                            <w:rFonts w:ascii="Cambria Math" w:hAnsi="Cambria Math"/>
                            <w:i/>
                            <w:iCs/>
                          </w:rPr>
                        </m:ctrlPr>
                      </m:sSubSupPr>
                      <m:e>
                        <m:r>
                          <w:rPr>
                            <w:rFonts w:ascii="Cambria Math" w:hAnsi="Cambria Math"/>
                          </w:rPr>
                          <m:t>t</m:t>
                        </m:r>
                      </m:e>
                      <m:sub>
                        <m:r>
                          <w:rPr>
                            <w:rFonts w:ascii="Cambria Math" w:hAnsi="Cambria Math"/>
                          </w:rPr>
                          <m:t>t</m:t>
                        </m:r>
                      </m:sub>
                      <m:sup>
                        <m:r>
                          <w:rPr>
                            <w:rFonts w:ascii="Cambria Math" w:hAnsi="Cambria Math"/>
                          </w:rPr>
                          <m:t>N</m:t>
                        </m:r>
                      </m:sup>
                    </m:sSubSup>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Φ</m:t>
                        </m:r>
                      </m:e>
                      <m:sub>
                        <m:r>
                          <w:rPr>
                            <w:rFonts w:ascii="Cambria Math" w:hAnsi="Cambria Math"/>
                          </w:rPr>
                          <m:t>t</m:t>
                        </m:r>
                      </m:sub>
                      <m:sup>
                        <m:r>
                          <w:rPr>
                            <w:rFonts w:ascii="Cambria Math" w:hAnsi="Cambria Math"/>
                          </w:rPr>
                          <m:t>N</m:t>
                        </m:r>
                      </m:sup>
                    </m:sSubSup>
                  </m:e>
                </m:nary>
              </m:oMath>
            </m:oMathPara>
          </w:p>
        </w:tc>
        <w:tc>
          <w:tcPr>
            <w:tcW w:w="601" w:type="dxa"/>
            <w:vAlign w:val="center"/>
          </w:tcPr>
          <w:p w14:paraId="74BEBFFE" w14:textId="42465992" w:rsidR="00A658BA" w:rsidRDefault="00A658BA" w:rsidP="00123D76">
            <w:pPr>
              <w:pStyle w:val="Els-body-text"/>
              <w:jc w:val="center"/>
            </w:pPr>
            <w:r>
              <w:t>(3)</w:t>
            </w:r>
          </w:p>
        </w:tc>
      </w:tr>
    </w:tbl>
    <w:p w14:paraId="18AD23C8" w14:textId="303776DE" w:rsidR="005C4D05" w:rsidRPr="005C4D05" w:rsidRDefault="000C3850" w:rsidP="009543AC">
      <w:pPr>
        <w:pStyle w:val="Els-1storder-head"/>
      </w:pPr>
      <w:r>
        <w:t>Motivating Example</w:t>
      </w:r>
    </w:p>
    <w:p w14:paraId="4C8F295D" w14:textId="423BC3B4" w:rsidR="00ED1933" w:rsidRDefault="002754A1" w:rsidP="004107CE">
      <w:pPr>
        <w:pStyle w:val="Els-body-text"/>
      </w:pPr>
      <w:r w:rsidRPr="005F2DD1">
        <w:rPr>
          <w:sz w:val="21"/>
          <w:szCs w:val="21"/>
        </w:rPr>
        <w:fldChar w:fldCharType="begin"/>
      </w:r>
      <w:r w:rsidRPr="005F2DD1">
        <w:rPr>
          <w:sz w:val="21"/>
          <w:szCs w:val="21"/>
        </w:rPr>
        <w:instrText xml:space="preserve"> REF _Ref152702008 \h </w:instrText>
      </w:r>
      <w:r w:rsidR="005F2DD1">
        <w:rPr>
          <w:sz w:val="21"/>
          <w:szCs w:val="21"/>
        </w:rPr>
        <w:instrText xml:space="preserve"> \* MERGEFORMAT </w:instrText>
      </w:r>
      <w:r w:rsidRPr="005F2DD1">
        <w:rPr>
          <w:sz w:val="21"/>
          <w:szCs w:val="21"/>
        </w:rPr>
      </w:r>
      <w:r w:rsidRPr="005F2DD1">
        <w:rPr>
          <w:sz w:val="21"/>
          <w:szCs w:val="21"/>
        </w:rPr>
        <w:fldChar w:fldCharType="separate"/>
      </w:r>
      <w:r w:rsidR="00FF32F9" w:rsidRPr="00FF32F9">
        <w:t xml:space="preserve">Figure </w:t>
      </w:r>
      <w:r w:rsidR="00FF32F9" w:rsidRPr="00FF32F9">
        <w:rPr>
          <w:noProof/>
        </w:rPr>
        <w:t>2</w:t>
      </w:r>
      <w:r w:rsidRPr="005F2DD1">
        <w:rPr>
          <w:sz w:val="21"/>
          <w:szCs w:val="21"/>
        </w:rPr>
        <w:fldChar w:fldCharType="end"/>
      </w:r>
      <w:r>
        <w:t xml:space="preserve"> </w:t>
      </w:r>
      <w:r w:rsidR="00C81A1D">
        <w:t>depicts</w:t>
      </w:r>
      <w:r w:rsidR="009A159B">
        <w:t xml:space="preserve"> </w:t>
      </w:r>
      <w:r w:rsidR="0077061A">
        <w:t>the</w:t>
      </w:r>
      <w:r w:rsidR="00213EB5">
        <w:t xml:space="preserve"> distribution planning problem </w:t>
      </w:r>
      <w:r w:rsidR="00B14BD3">
        <w:t xml:space="preserve">(DPP) </w:t>
      </w:r>
      <w:r w:rsidR="0077061A">
        <w:t xml:space="preserve">adapted </w:t>
      </w:r>
      <w:r w:rsidR="00016B00">
        <w:t xml:space="preserve">with modifications that </w:t>
      </w:r>
      <w:r w:rsidR="005461C3">
        <w:t>is based on</w:t>
      </w:r>
      <w:r w:rsidR="00016B00">
        <w:t xml:space="preserve"> a</w:t>
      </w:r>
      <w:r w:rsidR="005461C3">
        <w:t xml:space="preserve">n </w:t>
      </w:r>
      <w:r w:rsidR="00C1607B">
        <w:t>indicative</w:t>
      </w:r>
      <w:r w:rsidR="00016B00">
        <w:t xml:space="preserve"> tactical problem </w:t>
      </w:r>
      <w:r w:rsidR="005461C3">
        <w:t>proposed and studied by</w:t>
      </w:r>
      <w:r w:rsidR="00C85A18">
        <w:t xml:space="preserve"> </w:t>
      </w:r>
      <w:r w:rsidR="00487F16">
        <w:t>Ivanov et al.</w:t>
      </w:r>
      <w:r w:rsidR="00606606">
        <w:t xml:space="preserve"> (</w:t>
      </w:r>
      <w:r w:rsidR="00A92761">
        <w:t>2014</w:t>
      </w:r>
      <w:r w:rsidR="00606606">
        <w:t>)</w:t>
      </w:r>
      <w:r w:rsidR="00213EB5">
        <w:t>.</w:t>
      </w:r>
      <w:r w:rsidR="004107CE">
        <w:t xml:space="preserve"> A </w:t>
      </w:r>
      <w:r w:rsidR="006F3107">
        <w:t xml:space="preserve">non-perishable </w:t>
      </w:r>
      <w:r w:rsidR="004107CE">
        <w:t xml:space="preserve">commodity is available at two </w:t>
      </w:r>
      <w:r w:rsidR="00FF2DFC">
        <w:t xml:space="preserve">network locations, 1 </w:t>
      </w:r>
      <w:r w:rsidR="00016B00">
        <w:t>and</w:t>
      </w:r>
      <w:r w:rsidR="00FF2DFC">
        <w:t xml:space="preserve"> 6</w:t>
      </w:r>
      <w:r w:rsidR="004107CE">
        <w:t xml:space="preserve">. The commodity has a </w:t>
      </w:r>
      <w:r w:rsidR="0016678E">
        <w:t xml:space="preserve">nominal </w:t>
      </w:r>
      <w:r w:rsidR="00723528">
        <w:t xml:space="preserve">daily </w:t>
      </w:r>
      <w:r w:rsidR="004107CE">
        <w:t>demand of 100 k</w:t>
      </w:r>
      <w:r w:rsidR="00016B00">
        <w:t>gs</w:t>
      </w:r>
      <w:r w:rsidR="004107CE">
        <w:t xml:space="preserve"> at </w:t>
      </w:r>
      <w:r w:rsidR="000B5E50">
        <w:t>location</w:t>
      </w:r>
      <w:r w:rsidR="004107CE">
        <w:t xml:space="preserve"> 5. </w:t>
      </w:r>
      <w:r w:rsidR="00960459">
        <w:t xml:space="preserve">Storage facilities are available in all locations throughout the network. </w:t>
      </w:r>
      <w:r w:rsidR="002A2843">
        <w:t xml:space="preserve">The analysis is conducted for 12 months </w:t>
      </w:r>
      <w:r w:rsidR="00016B00">
        <w:t>of a calendar</w:t>
      </w:r>
      <w:r w:rsidR="002A2843">
        <w:t xml:space="preserve"> year</w:t>
      </w:r>
      <w:r w:rsidR="00C1607B">
        <w:t xml:space="preserve"> as the planning horizon</w:t>
      </w:r>
      <w:r w:rsidR="002A2843">
        <w:t xml:space="preserve">. </w:t>
      </w:r>
      <w:r w:rsidR="00016B00">
        <w:t>Each month</w:t>
      </w:r>
      <w:r w:rsidR="00DD2800">
        <w:t xml:space="preserve"> </w:t>
      </w:r>
      <w:r w:rsidR="00016B00">
        <w:t xml:space="preserve">is </w:t>
      </w:r>
      <w:r w:rsidR="00DD2800">
        <w:t>further divided into 30</w:t>
      </w:r>
      <w:r w:rsidR="00A41971">
        <w:t xml:space="preserve"> </w:t>
      </w:r>
      <w:r w:rsidR="007C769B">
        <w:t>scheduling</w:t>
      </w:r>
      <w:r w:rsidR="00A41971">
        <w:t xml:space="preserve"> </w:t>
      </w:r>
      <w:r w:rsidR="00DD2800">
        <w:t>days</w:t>
      </w:r>
      <w:r w:rsidR="002A151F">
        <w:t xml:space="preserve">. </w:t>
      </w:r>
      <w:r w:rsidR="002A2843">
        <w:t>Furthermore,</w:t>
      </w:r>
      <w:r w:rsidR="004107CE">
        <w:t xml:space="preserve"> we assume a </w:t>
      </w:r>
      <w:r w:rsidR="00016B00">
        <w:t>given</w:t>
      </w:r>
      <w:r w:rsidR="004107CE">
        <w:t xml:space="preserve"> </w:t>
      </w:r>
      <w:r w:rsidR="00016B00">
        <w:t xml:space="preserve">supply chain </w:t>
      </w:r>
      <w:r w:rsidR="004107CE">
        <w:t xml:space="preserve">network structure, i.e., </w:t>
      </w:r>
      <w:r w:rsidR="00016B00">
        <w:t xml:space="preserve">encompassing </w:t>
      </w:r>
      <w:r w:rsidR="002C3C16">
        <w:t xml:space="preserve">fixed </w:t>
      </w:r>
      <w:r w:rsidR="00DD2800">
        <w:t>pro</w:t>
      </w:r>
      <w:r w:rsidR="002B2777">
        <w:t>cessing</w:t>
      </w:r>
      <w:r w:rsidR="00DD2800">
        <w:t xml:space="preserve"> </w:t>
      </w:r>
      <w:r w:rsidR="002C3C16">
        <w:t xml:space="preserve">facilities </w:t>
      </w:r>
      <w:r w:rsidR="00C1607B">
        <w:t>and</w:t>
      </w:r>
      <w:r w:rsidR="002C3C16">
        <w:t xml:space="preserve"> </w:t>
      </w:r>
      <w:r w:rsidR="00DD2800">
        <w:t xml:space="preserve">capacities, </w:t>
      </w:r>
      <w:r w:rsidR="00016B00">
        <w:t xml:space="preserve">distribution centers, </w:t>
      </w:r>
      <w:r w:rsidR="006B55AC">
        <w:t>inventory buffer capacities</w:t>
      </w:r>
      <w:r w:rsidR="00DD2800">
        <w:t>,</w:t>
      </w:r>
      <w:r w:rsidR="004107CE">
        <w:t xml:space="preserve"> and transport </w:t>
      </w:r>
      <w:r w:rsidR="006B55AC">
        <w:t xml:space="preserve">arc </w:t>
      </w:r>
      <w:r w:rsidR="004107CE">
        <w:t xml:space="preserve">facilities. </w:t>
      </w:r>
      <w:r w:rsidR="00034B25">
        <w:t>In addition</w:t>
      </w:r>
      <w:r w:rsidR="004107CE">
        <w:t xml:space="preserve">, the information set can be updated only at the </w:t>
      </w:r>
      <w:r w:rsidR="00AB1865">
        <w:t>beginning</w:t>
      </w:r>
      <w:r w:rsidR="004107CE">
        <w:t xml:space="preserve"> of </w:t>
      </w:r>
      <w:r w:rsidR="005461C3">
        <w:t>each</w:t>
      </w:r>
      <w:r w:rsidR="004107CE">
        <w:t xml:space="preserve"> month. </w:t>
      </w: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3384"/>
      </w:tblGrid>
      <w:tr w:rsidR="008434C8" w14:paraId="77D33E9B" w14:textId="77777777" w:rsidTr="00ED1933">
        <w:tc>
          <w:tcPr>
            <w:tcW w:w="3865" w:type="dxa"/>
            <w:vAlign w:val="center"/>
          </w:tcPr>
          <w:p w14:paraId="77F0451A" w14:textId="09CFA297" w:rsidR="005C4D05" w:rsidRDefault="006C39A2" w:rsidP="00BB4528">
            <w:pPr>
              <w:pStyle w:val="Els-body-text"/>
              <w:jc w:val="center"/>
            </w:pPr>
            <w:r w:rsidRPr="006C39A2">
              <w:rPr>
                <w:noProof/>
                <w:lang w:val="en-GB"/>
              </w:rPr>
              <w:t xml:space="preserve"> </w:t>
            </w:r>
            <w:r w:rsidR="00761644" w:rsidRPr="00761644">
              <w:rPr>
                <w:noProof/>
                <w:lang w:val="en-GB"/>
              </w:rPr>
              <w:drawing>
                <wp:inline distT="0" distB="0" distL="0" distR="0" wp14:anchorId="24F1699B" wp14:editId="01A0E0E2">
                  <wp:extent cx="2194560" cy="1598103"/>
                  <wp:effectExtent l="0" t="0" r="2540" b="2540"/>
                  <wp:docPr id="33783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36409" name=""/>
                          <pic:cNvPicPr/>
                        </pic:nvPicPr>
                        <pic:blipFill rotWithShape="1">
                          <a:blip r:embed="rId9"/>
                          <a:srcRect r="12250"/>
                          <a:stretch/>
                        </pic:blipFill>
                        <pic:spPr bwMode="auto">
                          <a:xfrm>
                            <a:off x="0" y="0"/>
                            <a:ext cx="2194560" cy="1598103"/>
                          </a:xfrm>
                          <a:prstGeom prst="rect">
                            <a:avLst/>
                          </a:prstGeom>
                          <a:ln>
                            <a:noFill/>
                          </a:ln>
                          <a:extLst>
                            <a:ext uri="{53640926-AAD7-44D8-BBD7-CCE9431645EC}">
                              <a14:shadowObscured xmlns:a14="http://schemas.microsoft.com/office/drawing/2010/main"/>
                            </a:ext>
                          </a:extLst>
                        </pic:spPr>
                      </pic:pic>
                    </a:graphicData>
                  </a:graphic>
                </wp:inline>
              </w:drawing>
            </w:r>
          </w:p>
        </w:tc>
        <w:tc>
          <w:tcPr>
            <w:tcW w:w="3212" w:type="dxa"/>
          </w:tcPr>
          <w:p w14:paraId="002E22C9" w14:textId="77777777" w:rsidR="005C4D05" w:rsidRDefault="005C4D05" w:rsidP="00A074DD">
            <w:pPr>
              <w:pStyle w:val="Els-body-text"/>
              <w:jc w:val="center"/>
            </w:pPr>
          </w:p>
          <w:p w14:paraId="5797DBAC" w14:textId="33E9D816" w:rsidR="005C4D05" w:rsidRDefault="0047055B" w:rsidP="00A074DD">
            <w:pPr>
              <w:pStyle w:val="Els-body-text"/>
              <w:jc w:val="center"/>
            </w:pPr>
            <w:r>
              <w:rPr>
                <w:noProof/>
              </w:rPr>
              <w:drawing>
                <wp:inline distT="0" distB="0" distL="0" distR="0" wp14:anchorId="2D1384E0" wp14:editId="0F136E04">
                  <wp:extent cx="2011680" cy="1617066"/>
                  <wp:effectExtent l="0" t="0" r="0" b="0"/>
                  <wp:docPr id="1194066317" name="Picture 1194066317" descr="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66317" name="Picture 4" descr="A graph with red and blue lin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1617066"/>
                          </a:xfrm>
                          <a:prstGeom prst="rect">
                            <a:avLst/>
                          </a:prstGeom>
                        </pic:spPr>
                      </pic:pic>
                    </a:graphicData>
                  </a:graphic>
                </wp:inline>
              </w:drawing>
            </w:r>
          </w:p>
        </w:tc>
      </w:tr>
      <w:tr w:rsidR="008434C8" w14:paraId="3084A967" w14:textId="77777777" w:rsidTr="00ED1933">
        <w:tc>
          <w:tcPr>
            <w:tcW w:w="3865" w:type="dxa"/>
          </w:tcPr>
          <w:p w14:paraId="7E15BA70" w14:textId="54EB5A04" w:rsidR="005C4D05" w:rsidRPr="00C17568" w:rsidRDefault="005C4D05" w:rsidP="004107CE">
            <w:pPr>
              <w:pStyle w:val="Els-body-text"/>
              <w:rPr>
                <w:sz w:val="18"/>
                <w:szCs w:val="18"/>
              </w:rPr>
            </w:pPr>
            <w:bookmarkStart w:id="1" w:name="_Ref152702008"/>
            <w:bookmarkStart w:id="2" w:name="_Ref152701989"/>
            <w:r w:rsidRPr="00C17568">
              <w:rPr>
                <w:sz w:val="18"/>
                <w:szCs w:val="18"/>
              </w:rPr>
              <w:t xml:space="preserve">Figure </w:t>
            </w:r>
            <w:r w:rsidRPr="00C17568">
              <w:rPr>
                <w:sz w:val="18"/>
                <w:szCs w:val="18"/>
              </w:rPr>
              <w:fldChar w:fldCharType="begin"/>
            </w:r>
            <w:r w:rsidRPr="00C17568">
              <w:rPr>
                <w:sz w:val="18"/>
                <w:szCs w:val="18"/>
              </w:rPr>
              <w:instrText xml:space="preserve"> SEQ Figure \* ARABIC </w:instrText>
            </w:r>
            <w:r w:rsidRPr="00C17568">
              <w:rPr>
                <w:sz w:val="18"/>
                <w:szCs w:val="18"/>
              </w:rPr>
              <w:fldChar w:fldCharType="separate"/>
            </w:r>
            <w:r w:rsidR="00FF32F9">
              <w:rPr>
                <w:noProof/>
                <w:sz w:val="18"/>
                <w:szCs w:val="18"/>
              </w:rPr>
              <w:t>2</w:t>
            </w:r>
            <w:r w:rsidRPr="00C17568">
              <w:rPr>
                <w:sz w:val="18"/>
                <w:szCs w:val="18"/>
              </w:rPr>
              <w:fldChar w:fldCharType="end"/>
            </w:r>
            <w:bookmarkEnd w:id="1"/>
            <w:r w:rsidRPr="00C17568">
              <w:rPr>
                <w:sz w:val="18"/>
                <w:szCs w:val="18"/>
              </w:rPr>
              <w:t>. Case Study - Distribution Network</w:t>
            </w:r>
            <w:bookmarkEnd w:id="2"/>
          </w:p>
        </w:tc>
        <w:tc>
          <w:tcPr>
            <w:tcW w:w="3212" w:type="dxa"/>
          </w:tcPr>
          <w:p w14:paraId="229E5DE4" w14:textId="26BB8D4F" w:rsidR="005C4D05" w:rsidRPr="00C17568" w:rsidRDefault="005C4D05" w:rsidP="004107CE">
            <w:pPr>
              <w:pStyle w:val="Els-body-text"/>
              <w:rPr>
                <w:sz w:val="18"/>
                <w:szCs w:val="18"/>
              </w:rPr>
            </w:pPr>
            <w:r w:rsidRPr="00C17568">
              <w:rPr>
                <w:sz w:val="18"/>
                <w:szCs w:val="18"/>
              </w:rPr>
              <w:t>Figure 3. Case Study - Expected vs Actual resource availability</w:t>
            </w:r>
          </w:p>
        </w:tc>
      </w:tr>
    </w:tbl>
    <w:p w14:paraId="25BB7C15" w14:textId="77777777" w:rsidR="005C4D05" w:rsidRDefault="005C4D05" w:rsidP="004107CE">
      <w:pPr>
        <w:pStyle w:val="Els-body-text"/>
      </w:pPr>
    </w:p>
    <w:p w14:paraId="12FDF69B" w14:textId="6C662A54" w:rsidR="005E3BA5" w:rsidRPr="005E3BA5" w:rsidRDefault="005F2F0D" w:rsidP="004107CE">
      <w:pPr>
        <w:pStyle w:val="Els-body-text"/>
        <w:rPr>
          <w:u w:val="single"/>
        </w:rPr>
      </w:pPr>
      <w:r>
        <w:rPr>
          <w:u w:val="single"/>
        </w:rPr>
        <w:t xml:space="preserve">Information Sharing </w:t>
      </w:r>
      <w:r w:rsidR="005E3BA5" w:rsidRPr="005E3BA5">
        <w:rPr>
          <w:u w:val="single"/>
        </w:rPr>
        <w:t>Scenario</w:t>
      </w:r>
      <w:r w:rsidR="005461C3">
        <w:rPr>
          <w:u w:val="single"/>
        </w:rPr>
        <w:t>s</w:t>
      </w:r>
    </w:p>
    <w:p w14:paraId="63C2CBEC" w14:textId="321CAEFA" w:rsidR="00FE44FF" w:rsidRDefault="00FE44FF" w:rsidP="004107CE">
      <w:pPr>
        <w:pStyle w:val="Els-body-text"/>
      </w:pPr>
      <w:r>
        <w:t xml:space="preserve">The </w:t>
      </w:r>
      <w:r w:rsidR="002B2777">
        <w:t xml:space="preserve">processing facility at location 6 is going to </w:t>
      </w:r>
      <w:r w:rsidR="005E3BA5">
        <w:t>experience a catastrophic failure at the beginning of month 7</w:t>
      </w:r>
      <w:r w:rsidR="00D20045">
        <w:t>. To compare the cost of information sharing, the overall cost</w:t>
      </w:r>
      <w:r w:rsidR="00016B00">
        <w:t xml:space="preserve"> </w:t>
      </w:r>
      <w:r w:rsidR="00D20045">
        <w:t xml:space="preserve">is obtained for </w:t>
      </w:r>
      <w:r w:rsidR="00490BB0">
        <w:t>three scenarios</w:t>
      </w:r>
      <w:r w:rsidR="00016B00">
        <w:t>:</w:t>
      </w:r>
    </w:p>
    <w:p w14:paraId="4A906D7C" w14:textId="77777777" w:rsidR="00766289" w:rsidRDefault="00766289" w:rsidP="00D30D29">
      <w:pPr>
        <w:pStyle w:val="Els-body-text"/>
      </w:pPr>
    </w:p>
    <w:p w14:paraId="0026C7FC" w14:textId="2672B8F3" w:rsidR="001530ED" w:rsidRDefault="006F20FD" w:rsidP="006F20FD">
      <w:pPr>
        <w:pStyle w:val="Els-body-text"/>
        <w:numPr>
          <w:ilvl w:val="0"/>
          <w:numId w:val="19"/>
        </w:numPr>
        <w:jc w:val="left"/>
      </w:pPr>
      <w:r>
        <w:t xml:space="preserve">Scenario 1 - </w:t>
      </w:r>
      <w:r w:rsidR="001530ED">
        <w:t xml:space="preserve">Information is shared at the beginning </w:t>
      </w:r>
      <w:r w:rsidR="00876C97">
        <w:t>of month 1</w:t>
      </w:r>
      <w:r w:rsidR="005F2F0D">
        <w:t>;</w:t>
      </w:r>
    </w:p>
    <w:p w14:paraId="52F4D9A0" w14:textId="1A2E136D" w:rsidR="00876C97" w:rsidRDefault="006F20FD" w:rsidP="006F20FD">
      <w:pPr>
        <w:pStyle w:val="Els-body-text"/>
        <w:numPr>
          <w:ilvl w:val="0"/>
          <w:numId w:val="19"/>
        </w:numPr>
        <w:jc w:val="left"/>
      </w:pPr>
      <w:r>
        <w:t xml:space="preserve">Scenario </w:t>
      </w:r>
      <w:r w:rsidR="00490BB0">
        <w:t>2</w:t>
      </w:r>
      <w:r>
        <w:t xml:space="preserve"> - </w:t>
      </w:r>
      <w:r w:rsidR="00876C97">
        <w:t xml:space="preserve">Information is shared at the beginning of month </w:t>
      </w:r>
      <w:r w:rsidR="00DB3199">
        <w:t>6</w:t>
      </w:r>
      <w:r w:rsidR="005F2F0D">
        <w:t>; and</w:t>
      </w:r>
    </w:p>
    <w:p w14:paraId="3758D1D2" w14:textId="6EEA48FF" w:rsidR="00BC17A5" w:rsidRDefault="006F20FD" w:rsidP="00BC17A5">
      <w:pPr>
        <w:pStyle w:val="Els-body-text"/>
        <w:numPr>
          <w:ilvl w:val="0"/>
          <w:numId w:val="19"/>
        </w:numPr>
        <w:jc w:val="left"/>
      </w:pPr>
      <w:r>
        <w:t xml:space="preserve">Scenario </w:t>
      </w:r>
      <w:r w:rsidR="00490BB0">
        <w:t>3</w:t>
      </w:r>
      <w:r>
        <w:t xml:space="preserve"> - </w:t>
      </w:r>
      <w:r w:rsidR="00876C97">
        <w:t xml:space="preserve">Information is shared at the beginning of month 7 when the </w:t>
      </w:r>
      <w:r w:rsidR="00FD29FD">
        <w:t>disruption</w:t>
      </w:r>
      <w:r w:rsidR="00876C97">
        <w:t xml:space="preserve"> occurs</w:t>
      </w:r>
      <w:r w:rsidR="00016B00">
        <w:t>.</w:t>
      </w:r>
    </w:p>
    <w:p w14:paraId="05B90838" w14:textId="77777777" w:rsidR="00DB5347" w:rsidRDefault="00DB5347" w:rsidP="00DB5347">
      <w:pPr>
        <w:pStyle w:val="Els-body-text"/>
        <w:jc w:val="left"/>
      </w:pPr>
    </w:p>
    <w:p w14:paraId="1A24FD37" w14:textId="6F2A9E41" w:rsidR="00DB5347" w:rsidRDefault="00573BCE" w:rsidP="00DB5347">
      <w:pPr>
        <w:pStyle w:val="Els-body-text"/>
        <w:jc w:val="left"/>
      </w:pPr>
      <w:r>
        <w:t>To assess the resilience of the supply chain network, we are using the overall demand f</w:t>
      </w:r>
      <w:r w:rsidR="005F2F0D">
        <w:t>ill</w:t>
      </w:r>
      <w:r>
        <w:t xml:space="preserve"> rate </w:t>
      </w:r>
      <w:r w:rsidR="001740FC">
        <w:t>as a key performance indicator</w:t>
      </w:r>
      <w:r>
        <w:t>:</w:t>
      </w:r>
    </w:p>
    <w:p w14:paraId="6563687F" w14:textId="77777777" w:rsidR="00573BCE" w:rsidRDefault="00573BCE" w:rsidP="00DB5347">
      <w:pPr>
        <w:pStyle w:val="Els-body-text"/>
        <w:jc w:val="left"/>
      </w:pPr>
    </w:p>
    <w:p w14:paraId="12F79A66" w14:textId="0FF23CCD" w:rsidR="00573BCE" w:rsidRDefault="001740FC" w:rsidP="00DB5347">
      <w:pPr>
        <w:pStyle w:val="Els-body-text"/>
        <w:jc w:val="left"/>
      </w:pPr>
      <m:oMathPara>
        <m:oMath>
          <m:r>
            <w:rPr>
              <w:rFonts w:ascii="Cambria Math" w:hAnsi="Cambria Math"/>
            </w:rPr>
            <m:t xml:space="preserve">Fill Rate = </m:t>
          </m:r>
          <m:f>
            <m:fPr>
              <m:ctrlPr>
                <w:rPr>
                  <w:rFonts w:ascii="Cambria Math" w:hAnsi="Cambria Math"/>
                  <w:i/>
                </w:rPr>
              </m:ctrlPr>
            </m:fPr>
            <m:num>
              <m:r>
                <w:rPr>
                  <w:rFonts w:ascii="Cambria Math" w:hAnsi="Cambria Math"/>
                </w:rPr>
                <m:t>Total demand satisfied over the planning horizon</m:t>
              </m:r>
            </m:num>
            <m:den>
              <m:r>
                <w:rPr>
                  <w:rFonts w:ascii="Cambria Math" w:hAnsi="Cambria Math"/>
                </w:rPr>
                <m:t>Total demand over the planning horizon</m:t>
              </m:r>
            </m:den>
          </m:f>
        </m:oMath>
      </m:oMathPara>
    </w:p>
    <w:p w14:paraId="47744087" w14:textId="72901BA3" w:rsidR="000C3850" w:rsidRDefault="000C3850" w:rsidP="000C3850">
      <w:pPr>
        <w:pStyle w:val="Els-1storder-head"/>
      </w:pPr>
      <w:r>
        <w:lastRenderedPageBreak/>
        <w:t>Results and Discussions</w:t>
      </w:r>
    </w:p>
    <w:p w14:paraId="14011868" w14:textId="1AEF1A07" w:rsidR="00193FAB" w:rsidRPr="00FE21B2" w:rsidRDefault="006326AC" w:rsidP="00CF4675">
      <w:pPr>
        <w:pStyle w:val="Els-body-text"/>
        <w:rPr>
          <w:b/>
        </w:rPr>
      </w:pPr>
      <w:r>
        <w:t xml:space="preserve">Initially, the </w:t>
      </w:r>
      <w:r w:rsidR="00B14BD3">
        <w:t>DPP is solved</w:t>
      </w:r>
      <w:r>
        <w:t xml:space="preserve"> with the expected </w:t>
      </w:r>
      <w:r w:rsidR="003B2576">
        <w:t xml:space="preserve">information set </w:t>
      </w:r>
      <w:r w:rsidR="00B14BD3">
        <w:t>(problem P1)</w:t>
      </w:r>
      <w:r w:rsidR="00490BB0">
        <w:t xml:space="preserve"> to </w:t>
      </w:r>
      <w:r w:rsidR="003B2576">
        <w:t xml:space="preserve">obtain the </w:t>
      </w:r>
      <w:r w:rsidR="00DB450F">
        <w:t>system state variables (</w:t>
      </w:r>
      <w:r w:rsidR="003B2576">
        <w:t>inventory level</w:t>
      </w:r>
      <w:r w:rsidR="00DB450F">
        <w:t>s)</w:t>
      </w:r>
      <w:r w:rsidR="003B2576">
        <w:t xml:space="preserve"> values </w:t>
      </w:r>
      <w:r w:rsidR="00246AE8">
        <w:t xml:space="preserve">at the beginning of </w:t>
      </w:r>
      <w:r w:rsidR="001C2EB6">
        <w:t>m</w:t>
      </w:r>
      <w:r w:rsidR="00BA0BA3">
        <w:t xml:space="preserve">onths </w:t>
      </w:r>
      <w:r w:rsidR="00990724">
        <w:t>6</w:t>
      </w:r>
      <w:r w:rsidR="00BA0BA3">
        <w:t>,</w:t>
      </w:r>
      <w:r w:rsidR="00246AE8">
        <w:t xml:space="preserve"> and </w:t>
      </w:r>
      <w:r w:rsidR="006433FA">
        <w:t>7</w:t>
      </w:r>
      <w:r w:rsidR="00F22000">
        <w:t>.</w:t>
      </w:r>
      <w:r w:rsidR="00CC58A0">
        <w:t xml:space="preserve"> </w:t>
      </w:r>
      <w:r w:rsidR="0094030D">
        <w:t xml:space="preserve">The initial inventory values for all locations were zero. </w:t>
      </w:r>
      <w:r w:rsidR="00193FAB">
        <w:t xml:space="preserve">This follows from the fact the under the assumption of no disruption, the system is fully capable of meeting the daily demand without storing the commodity. </w:t>
      </w:r>
      <w:r w:rsidR="00F22000">
        <w:t xml:space="preserve">Using </w:t>
      </w:r>
      <w:r w:rsidR="00880D01">
        <w:t xml:space="preserve">these </w:t>
      </w:r>
      <w:r w:rsidR="00F22000">
        <w:t>values</w:t>
      </w:r>
      <w:r w:rsidR="00880D01">
        <w:t>,</w:t>
      </w:r>
      <w:r w:rsidR="007853AB">
        <w:t xml:space="preserve"> </w:t>
      </w:r>
      <w:r w:rsidR="00E84CB9">
        <w:t xml:space="preserve">instances of </w:t>
      </w:r>
      <w:r w:rsidR="00F22000">
        <w:t xml:space="preserve">problem (P2) </w:t>
      </w:r>
      <w:r w:rsidR="00E84CB9">
        <w:t>are</w:t>
      </w:r>
      <w:r w:rsidR="00F22000">
        <w:t xml:space="preserve"> i</w:t>
      </w:r>
      <w:r w:rsidR="002D1601">
        <w:t xml:space="preserve">nitialized </w:t>
      </w:r>
      <w:r w:rsidR="00B424FC">
        <w:t xml:space="preserve">for </w:t>
      </w:r>
      <w:r w:rsidR="00C42D84">
        <w:t>the</w:t>
      </w:r>
      <w:r w:rsidR="00E84CB9">
        <w:t xml:space="preserve">ir </w:t>
      </w:r>
      <w:r w:rsidR="00C42D84">
        <w:t>respective scenarios</w:t>
      </w:r>
      <w:r w:rsidR="003B3B6A">
        <w:t xml:space="preserve"> 2</w:t>
      </w:r>
      <w:r w:rsidR="007853AB">
        <w:t>,</w:t>
      </w:r>
      <w:r w:rsidR="003B3B6A">
        <w:t xml:space="preserve"> </w:t>
      </w:r>
      <w:r w:rsidR="00D47748">
        <w:t>and 3</w:t>
      </w:r>
      <w:r w:rsidR="00C42D84">
        <w:t>.</w:t>
      </w:r>
      <w:r w:rsidR="00CF4675">
        <w:t xml:space="preserve"> </w:t>
      </w:r>
      <w:r w:rsidR="00F54356" w:rsidRPr="00D73CFA">
        <w:t xml:space="preserve">The results obtained from the </w:t>
      </w:r>
      <w:r w:rsidR="00894E24">
        <w:t>four</w:t>
      </w:r>
      <w:r w:rsidR="00BD13DA" w:rsidRPr="00D73CFA">
        <w:t xml:space="preserve"> scenarios are reported below:</w:t>
      </w:r>
    </w:p>
    <w:p w14:paraId="3DFB3BF1" w14:textId="7626A6BE" w:rsidR="00FE21B2" w:rsidRDefault="00FE21B2" w:rsidP="00FE21B2">
      <w:pPr>
        <w:pStyle w:val="Didascalia"/>
        <w:keepNext/>
      </w:pPr>
      <w:r>
        <w:t xml:space="preserve">Table </w:t>
      </w:r>
      <w:r w:rsidR="005C1B06">
        <w:t>2</w:t>
      </w:r>
      <w:r>
        <w:t>. Cost performances for different scenarios</w:t>
      </w:r>
    </w:p>
    <w:tbl>
      <w:tblPr>
        <w:tblStyle w:val="Grigliatabella"/>
        <w:tblW w:w="3748" w:type="pct"/>
        <w:jc w:val="center"/>
        <w:tblLook w:val="04A0" w:firstRow="1" w:lastRow="0" w:firstColumn="1" w:lastColumn="0" w:noHBand="0" w:noVBand="1"/>
      </w:tblPr>
      <w:tblGrid>
        <w:gridCol w:w="1248"/>
        <w:gridCol w:w="2030"/>
        <w:gridCol w:w="2026"/>
      </w:tblGrid>
      <w:tr w:rsidR="002C39DC" w14:paraId="27BB2F01" w14:textId="42F50A3B" w:rsidTr="002C39DC">
        <w:trPr>
          <w:jc w:val="center"/>
        </w:trPr>
        <w:tc>
          <w:tcPr>
            <w:tcW w:w="1176" w:type="pct"/>
            <w:vAlign w:val="center"/>
          </w:tcPr>
          <w:p w14:paraId="7E8FC23B" w14:textId="230E7430" w:rsidR="002C39DC" w:rsidRPr="008C0391" w:rsidRDefault="002C39DC" w:rsidP="008C0391">
            <w:pPr>
              <w:pStyle w:val="Els-body-text"/>
              <w:jc w:val="left"/>
              <w:rPr>
                <w:b/>
                <w:bCs/>
              </w:rPr>
            </w:pPr>
            <w:r w:rsidRPr="008C0391">
              <w:rPr>
                <w:b/>
                <w:bCs/>
              </w:rPr>
              <w:t>Scenario</w:t>
            </w:r>
          </w:p>
        </w:tc>
        <w:tc>
          <w:tcPr>
            <w:tcW w:w="1914" w:type="pct"/>
            <w:vAlign w:val="center"/>
          </w:tcPr>
          <w:p w14:paraId="6C1B469E" w14:textId="2DB2E064" w:rsidR="002C39DC" w:rsidRPr="008C0391" w:rsidRDefault="002C39DC" w:rsidP="008C0391">
            <w:pPr>
              <w:pStyle w:val="Els-body-text"/>
              <w:jc w:val="center"/>
              <w:rPr>
                <w:b/>
                <w:bCs/>
              </w:rPr>
            </w:pPr>
            <w:r w:rsidRPr="008C0391">
              <w:rPr>
                <w:b/>
                <w:bCs/>
              </w:rPr>
              <w:t>Total Cost ($USD)</w:t>
            </w:r>
          </w:p>
        </w:tc>
        <w:tc>
          <w:tcPr>
            <w:tcW w:w="1911" w:type="pct"/>
          </w:tcPr>
          <w:p w14:paraId="4D96409D" w14:textId="5B1340B7" w:rsidR="002C39DC" w:rsidRPr="008C0391" w:rsidRDefault="00B273A0" w:rsidP="008C0391">
            <w:pPr>
              <w:pStyle w:val="Els-body-text"/>
              <w:jc w:val="center"/>
              <w:rPr>
                <w:b/>
                <w:bCs/>
              </w:rPr>
            </w:pPr>
            <w:r>
              <w:rPr>
                <w:b/>
                <w:bCs/>
              </w:rPr>
              <w:t>Fill Rate</w:t>
            </w:r>
            <w:r w:rsidR="002C39DC">
              <w:rPr>
                <w:b/>
                <w:bCs/>
              </w:rPr>
              <w:t xml:space="preserve"> (%)</w:t>
            </w:r>
          </w:p>
        </w:tc>
      </w:tr>
      <w:tr w:rsidR="002C39DC" w14:paraId="17844208" w14:textId="00A3897C" w:rsidTr="002C39DC">
        <w:trPr>
          <w:jc w:val="center"/>
        </w:trPr>
        <w:tc>
          <w:tcPr>
            <w:tcW w:w="1176" w:type="pct"/>
            <w:vAlign w:val="center"/>
          </w:tcPr>
          <w:p w14:paraId="5306FDEC" w14:textId="2C2F327F" w:rsidR="002C39DC" w:rsidRDefault="002C39DC" w:rsidP="008C0391">
            <w:pPr>
              <w:pStyle w:val="Els-body-text"/>
              <w:jc w:val="left"/>
            </w:pPr>
            <w:r>
              <w:t>Scenario 1</w:t>
            </w:r>
          </w:p>
        </w:tc>
        <w:tc>
          <w:tcPr>
            <w:tcW w:w="1914" w:type="pct"/>
            <w:vAlign w:val="center"/>
          </w:tcPr>
          <w:p w14:paraId="4E48284A" w14:textId="61C64F8A" w:rsidR="002C39DC" w:rsidRDefault="00F001C2" w:rsidP="008C0391">
            <w:pPr>
              <w:pStyle w:val="Els-body-text"/>
              <w:jc w:val="center"/>
            </w:pPr>
            <w:r>
              <w:t>657</w:t>
            </w:r>
            <w:r w:rsidR="00552D2B">
              <w:t>,</w:t>
            </w:r>
            <w:r>
              <w:t>231.25</w:t>
            </w:r>
          </w:p>
        </w:tc>
        <w:tc>
          <w:tcPr>
            <w:tcW w:w="1911" w:type="pct"/>
          </w:tcPr>
          <w:p w14:paraId="1CDDFA0B" w14:textId="039F06E9" w:rsidR="002C39DC" w:rsidRDefault="00DE4D65" w:rsidP="008C0391">
            <w:pPr>
              <w:pStyle w:val="Els-body-text"/>
              <w:jc w:val="center"/>
            </w:pPr>
            <w:r>
              <w:t>88</w:t>
            </w:r>
          </w:p>
        </w:tc>
      </w:tr>
      <w:tr w:rsidR="002C39DC" w14:paraId="6345DF39" w14:textId="76BDF6A5" w:rsidTr="002C39DC">
        <w:trPr>
          <w:jc w:val="center"/>
        </w:trPr>
        <w:tc>
          <w:tcPr>
            <w:tcW w:w="1176" w:type="pct"/>
            <w:vAlign w:val="center"/>
          </w:tcPr>
          <w:p w14:paraId="121F58E0" w14:textId="07C3F506" w:rsidR="002C39DC" w:rsidRDefault="002C39DC" w:rsidP="002C39DC">
            <w:pPr>
              <w:pStyle w:val="Els-body-text"/>
              <w:jc w:val="left"/>
            </w:pPr>
            <w:r>
              <w:t>Scenario 2</w:t>
            </w:r>
          </w:p>
        </w:tc>
        <w:tc>
          <w:tcPr>
            <w:tcW w:w="1914" w:type="pct"/>
            <w:vAlign w:val="center"/>
          </w:tcPr>
          <w:p w14:paraId="57A154FA" w14:textId="0FE6488A" w:rsidR="002C39DC" w:rsidRDefault="00F001C2" w:rsidP="002C39DC">
            <w:pPr>
              <w:pStyle w:val="Els-body-text"/>
              <w:jc w:val="center"/>
            </w:pPr>
            <w:r>
              <w:t>657</w:t>
            </w:r>
            <w:r w:rsidR="00552D2B">
              <w:t>,</w:t>
            </w:r>
            <w:r>
              <w:t>231.25</w:t>
            </w:r>
          </w:p>
        </w:tc>
        <w:tc>
          <w:tcPr>
            <w:tcW w:w="1911" w:type="pct"/>
          </w:tcPr>
          <w:p w14:paraId="70AC055F" w14:textId="47018896" w:rsidR="002C39DC" w:rsidRDefault="00DE4D65" w:rsidP="002C39DC">
            <w:pPr>
              <w:pStyle w:val="Els-body-text"/>
              <w:jc w:val="center"/>
            </w:pPr>
            <w:r>
              <w:t>88</w:t>
            </w:r>
          </w:p>
        </w:tc>
      </w:tr>
      <w:tr w:rsidR="002C39DC" w14:paraId="010DF684" w14:textId="6D98CC74" w:rsidTr="002C39DC">
        <w:trPr>
          <w:jc w:val="center"/>
        </w:trPr>
        <w:tc>
          <w:tcPr>
            <w:tcW w:w="1176" w:type="pct"/>
            <w:vAlign w:val="center"/>
          </w:tcPr>
          <w:p w14:paraId="47E5FB5B" w14:textId="4FEF5F9D" w:rsidR="002C39DC" w:rsidRDefault="002C39DC" w:rsidP="002C39DC">
            <w:pPr>
              <w:pStyle w:val="Els-body-text"/>
              <w:jc w:val="left"/>
            </w:pPr>
            <w:r>
              <w:t>Scenario 3</w:t>
            </w:r>
          </w:p>
        </w:tc>
        <w:tc>
          <w:tcPr>
            <w:tcW w:w="1914" w:type="pct"/>
            <w:vAlign w:val="center"/>
          </w:tcPr>
          <w:p w14:paraId="5CE8B2B7" w14:textId="10797CB9" w:rsidR="002C39DC" w:rsidRDefault="00616258" w:rsidP="002C39DC">
            <w:pPr>
              <w:pStyle w:val="Els-body-text"/>
              <w:jc w:val="center"/>
            </w:pPr>
            <w:r>
              <w:t>662</w:t>
            </w:r>
            <w:r w:rsidR="00552D2B">
              <w:t>,</w:t>
            </w:r>
            <w:r>
              <w:t>274.0</w:t>
            </w:r>
          </w:p>
        </w:tc>
        <w:tc>
          <w:tcPr>
            <w:tcW w:w="1911" w:type="pct"/>
          </w:tcPr>
          <w:p w14:paraId="19E86BC3" w14:textId="25FE9A39" w:rsidR="002C39DC" w:rsidRDefault="00DE4D65" w:rsidP="002C39DC">
            <w:pPr>
              <w:pStyle w:val="Els-body-text"/>
              <w:jc w:val="center"/>
            </w:pPr>
            <w:r>
              <w:t>87.5</w:t>
            </w:r>
          </w:p>
        </w:tc>
      </w:tr>
    </w:tbl>
    <w:p w14:paraId="0CE31F91" w14:textId="77777777" w:rsidR="006C568F" w:rsidRDefault="006C568F" w:rsidP="0056059C">
      <w:pPr>
        <w:pStyle w:val="Els-body-text"/>
        <w:rPr>
          <w:lang w:val="en-GB"/>
        </w:rPr>
      </w:pPr>
    </w:p>
    <w:p w14:paraId="6676758B" w14:textId="37089112" w:rsidR="00330A37" w:rsidRPr="00E5013E" w:rsidRDefault="00042EF7" w:rsidP="0056059C">
      <w:pPr>
        <w:pStyle w:val="Els-body-text"/>
        <w:rPr>
          <w:lang w:val="en-GB"/>
        </w:rPr>
      </w:pPr>
      <w:r>
        <w:rPr>
          <w:lang w:val="en-GB"/>
        </w:rPr>
        <w:t>Results show that</w:t>
      </w:r>
      <w:r w:rsidR="00662454">
        <w:rPr>
          <w:lang w:val="en-GB"/>
        </w:rPr>
        <w:t xml:space="preserve"> </w:t>
      </w:r>
      <w:r w:rsidR="00806192" w:rsidRPr="00806192">
        <w:rPr>
          <w:lang w:val="en-GB"/>
        </w:rPr>
        <w:t xml:space="preserve">Scenario </w:t>
      </w:r>
      <w:r w:rsidR="005C1B06">
        <w:rPr>
          <w:lang w:val="en-GB"/>
        </w:rPr>
        <w:t>3</w:t>
      </w:r>
      <w:r w:rsidR="00BF59F1">
        <w:rPr>
          <w:lang w:val="en-GB"/>
        </w:rPr>
        <w:t xml:space="preserve"> </w:t>
      </w:r>
      <w:r w:rsidR="00806192" w:rsidRPr="00806192">
        <w:rPr>
          <w:lang w:val="en-GB"/>
        </w:rPr>
        <w:t xml:space="preserve">incurs the highest cost, as the information set is updated concurrently with the disruption event, hindering </w:t>
      </w:r>
      <w:r w:rsidR="00BD35DF">
        <w:rPr>
          <w:lang w:val="en-GB"/>
        </w:rPr>
        <w:t>supply chain risk mitigation and response</w:t>
      </w:r>
      <w:r w:rsidR="00806192" w:rsidRPr="00806192">
        <w:rPr>
          <w:lang w:val="en-GB"/>
        </w:rPr>
        <w:t xml:space="preserve">. </w:t>
      </w:r>
      <w:r w:rsidR="00C05498">
        <w:rPr>
          <w:lang w:val="en-GB"/>
        </w:rPr>
        <w:t xml:space="preserve">Furthermore, Scenario 3, has a </w:t>
      </w:r>
      <w:r w:rsidR="00EB4773">
        <w:rPr>
          <w:lang w:val="en-GB"/>
        </w:rPr>
        <w:t xml:space="preserve">lower demand </w:t>
      </w:r>
      <w:r w:rsidR="00EF1383">
        <w:rPr>
          <w:lang w:val="en-GB"/>
        </w:rPr>
        <w:t>fulfilment</w:t>
      </w:r>
      <w:r w:rsidR="00016B00">
        <w:rPr>
          <w:lang w:val="en-GB"/>
        </w:rPr>
        <w:t xml:space="preserve"> (fill)</w:t>
      </w:r>
      <w:r w:rsidR="00EF1383">
        <w:rPr>
          <w:lang w:val="en-GB"/>
        </w:rPr>
        <w:t xml:space="preserve"> </w:t>
      </w:r>
      <w:r w:rsidR="00EB4773">
        <w:rPr>
          <w:lang w:val="en-GB"/>
        </w:rPr>
        <w:t xml:space="preserve">rate indicating lower supply chain resilience due to lack of </w:t>
      </w:r>
      <w:r w:rsidR="00790AE2">
        <w:rPr>
          <w:lang w:val="en-GB"/>
        </w:rPr>
        <w:t>t</w:t>
      </w:r>
      <w:r w:rsidR="00016B00">
        <w:rPr>
          <w:lang w:val="en-GB"/>
        </w:rPr>
        <w:t xml:space="preserve">imely </w:t>
      </w:r>
      <w:r w:rsidR="00790AE2">
        <w:rPr>
          <w:lang w:val="en-GB"/>
        </w:rPr>
        <w:t>information</w:t>
      </w:r>
      <w:r w:rsidR="00A05339">
        <w:rPr>
          <w:lang w:val="en-GB"/>
        </w:rPr>
        <w:t xml:space="preserve">. </w:t>
      </w:r>
      <w:r w:rsidR="00790AE2">
        <w:rPr>
          <w:lang w:val="en-GB"/>
        </w:rPr>
        <w:t xml:space="preserve">Higher costs for Scenario 3 are due to the incurred </w:t>
      </w:r>
      <w:r w:rsidR="00254449">
        <w:rPr>
          <w:lang w:val="en-GB"/>
        </w:rPr>
        <w:t>penalty resulting from unsatisfied demand</w:t>
      </w:r>
      <w:r w:rsidR="00E63182">
        <w:rPr>
          <w:lang w:val="en-GB"/>
        </w:rPr>
        <w:t>.</w:t>
      </w:r>
      <w:r w:rsidR="00DF2437">
        <w:rPr>
          <w:lang w:val="en-GB"/>
        </w:rPr>
        <w:t xml:space="preserve"> </w:t>
      </w:r>
      <w:r w:rsidR="007E6216">
        <w:rPr>
          <w:lang w:val="en-GB"/>
        </w:rPr>
        <w:t xml:space="preserve">However, </w:t>
      </w:r>
      <w:r w:rsidR="00806192" w:rsidRPr="00806192">
        <w:rPr>
          <w:lang w:val="en-GB"/>
        </w:rPr>
        <w:t xml:space="preserve">Scenarios 1 and 2 exhibit </w:t>
      </w:r>
      <w:r w:rsidR="00506A11">
        <w:rPr>
          <w:lang w:val="en-GB"/>
        </w:rPr>
        <w:t>equitable</w:t>
      </w:r>
      <w:r w:rsidR="00806192" w:rsidRPr="00806192">
        <w:rPr>
          <w:lang w:val="en-GB"/>
        </w:rPr>
        <w:t xml:space="preserve"> cost performance</w:t>
      </w:r>
      <w:r w:rsidR="00DB5347">
        <w:rPr>
          <w:lang w:val="en-GB"/>
        </w:rPr>
        <w:t xml:space="preserve"> and </w:t>
      </w:r>
      <w:r w:rsidR="00C1607B">
        <w:rPr>
          <w:lang w:val="en-GB"/>
        </w:rPr>
        <w:t xml:space="preserve">demand </w:t>
      </w:r>
      <w:r w:rsidR="00DB5347">
        <w:rPr>
          <w:lang w:val="en-GB"/>
        </w:rPr>
        <w:t>f</w:t>
      </w:r>
      <w:r w:rsidR="00C1607B">
        <w:rPr>
          <w:lang w:val="en-GB"/>
        </w:rPr>
        <w:t>ill</w:t>
      </w:r>
      <w:r w:rsidR="00DB5347">
        <w:rPr>
          <w:lang w:val="en-GB"/>
        </w:rPr>
        <w:t xml:space="preserve"> rate</w:t>
      </w:r>
      <w:r w:rsidR="00C1607B">
        <w:rPr>
          <w:lang w:val="en-GB"/>
        </w:rPr>
        <w:t>s</w:t>
      </w:r>
      <w:r w:rsidR="00806192" w:rsidRPr="00806192">
        <w:rPr>
          <w:lang w:val="en-GB"/>
        </w:rPr>
        <w:t xml:space="preserve">. </w:t>
      </w:r>
      <w:r w:rsidR="001B435C">
        <w:rPr>
          <w:lang w:val="en-GB"/>
        </w:rPr>
        <w:t>The observed</w:t>
      </w:r>
      <w:r w:rsidR="00563472">
        <w:rPr>
          <w:lang w:val="en-GB"/>
        </w:rPr>
        <w:t xml:space="preserve"> </w:t>
      </w:r>
      <w:r w:rsidR="007E0C52">
        <w:rPr>
          <w:lang w:val="en-GB"/>
        </w:rPr>
        <w:t xml:space="preserve">behaviour </w:t>
      </w:r>
      <w:r w:rsidR="005B7109">
        <w:rPr>
          <w:lang w:val="en-GB"/>
        </w:rPr>
        <w:t>suggests</w:t>
      </w:r>
      <w:r w:rsidR="00A253FC">
        <w:rPr>
          <w:lang w:val="en-GB"/>
        </w:rPr>
        <w:t xml:space="preserve"> a temporal threshold</w:t>
      </w:r>
      <w:r w:rsidR="00BD35DF">
        <w:rPr>
          <w:lang w:val="en-GB"/>
        </w:rPr>
        <w:t xml:space="preserve"> (at month 6)</w:t>
      </w:r>
      <w:r w:rsidR="00A253FC">
        <w:rPr>
          <w:lang w:val="en-GB"/>
        </w:rPr>
        <w:t xml:space="preserve"> </w:t>
      </w:r>
      <w:r w:rsidR="007E4760">
        <w:rPr>
          <w:lang w:val="en-GB"/>
        </w:rPr>
        <w:t>after</w:t>
      </w:r>
      <w:r w:rsidR="00A253FC">
        <w:rPr>
          <w:lang w:val="en-GB"/>
        </w:rPr>
        <w:t xml:space="preserve"> which </w:t>
      </w:r>
      <w:r w:rsidR="007E4760">
        <w:rPr>
          <w:lang w:val="en-GB"/>
        </w:rPr>
        <w:t>when information is shared, the overall cost increases</w:t>
      </w:r>
      <w:r w:rsidR="00806192" w:rsidRPr="00806192">
        <w:rPr>
          <w:lang w:val="en-GB"/>
        </w:rPr>
        <w:t xml:space="preserve">. </w:t>
      </w:r>
      <w:r w:rsidR="00C83249">
        <w:rPr>
          <w:lang w:val="en-GB"/>
        </w:rPr>
        <w:t xml:space="preserve">It can also be seen from the inventory </w:t>
      </w:r>
      <w:r w:rsidR="00C1607B">
        <w:rPr>
          <w:lang w:val="en-GB"/>
        </w:rPr>
        <w:t xml:space="preserve">build-up </w:t>
      </w:r>
      <w:r w:rsidR="00C83249">
        <w:rPr>
          <w:lang w:val="en-GB"/>
        </w:rPr>
        <w:t xml:space="preserve">results that the network does not start </w:t>
      </w:r>
      <w:r w:rsidR="00016B00">
        <w:rPr>
          <w:lang w:val="en-GB"/>
        </w:rPr>
        <w:t>building up</w:t>
      </w:r>
      <w:r w:rsidR="00C83249">
        <w:rPr>
          <w:lang w:val="en-GB"/>
        </w:rPr>
        <w:t xml:space="preserve"> inventories until </w:t>
      </w:r>
      <w:r w:rsidR="006411BB">
        <w:rPr>
          <w:lang w:val="en-GB"/>
        </w:rPr>
        <w:t>after</w:t>
      </w:r>
      <w:r w:rsidR="00C83249">
        <w:rPr>
          <w:lang w:val="en-GB"/>
        </w:rPr>
        <w:t xml:space="preserve"> month </w:t>
      </w:r>
      <w:r w:rsidR="007C4FB1">
        <w:rPr>
          <w:lang w:val="en-GB"/>
        </w:rPr>
        <w:t>6</w:t>
      </w:r>
      <w:r w:rsidR="00480556">
        <w:rPr>
          <w:lang w:val="en-GB"/>
        </w:rPr>
        <w:t xml:space="preserve"> (Figure 4)</w:t>
      </w:r>
      <w:r w:rsidR="00C83249">
        <w:rPr>
          <w:lang w:val="en-GB"/>
        </w:rPr>
        <w:t xml:space="preserve">. </w:t>
      </w:r>
      <w:r w:rsidR="00480556">
        <w:rPr>
          <w:lang w:val="en-GB"/>
        </w:rPr>
        <w:t>This observation suggests that s</w:t>
      </w:r>
      <w:r w:rsidR="00CB3661">
        <w:rPr>
          <w:lang w:val="en-GB"/>
        </w:rPr>
        <w:t xml:space="preserve">haring information earlier than that, </w:t>
      </w:r>
      <w:r w:rsidR="004841CA">
        <w:rPr>
          <w:lang w:val="en-GB"/>
        </w:rPr>
        <w:t>does</w:t>
      </w:r>
      <w:r w:rsidR="00CB3661">
        <w:rPr>
          <w:lang w:val="en-GB"/>
        </w:rPr>
        <w:t xml:space="preserve"> not result in a competitive advantage. </w:t>
      </w:r>
      <w:r w:rsidR="00C1607B">
        <w:rPr>
          <w:lang w:val="en-GB"/>
        </w:rPr>
        <w:t xml:space="preserve">This </w:t>
      </w:r>
      <w:r w:rsidR="00AB1865">
        <w:rPr>
          <w:lang w:val="en-GB"/>
        </w:rPr>
        <w:t xml:space="preserve">managerial </w:t>
      </w:r>
      <w:r w:rsidR="00C1607B">
        <w:rPr>
          <w:lang w:val="en-GB"/>
        </w:rPr>
        <w:t xml:space="preserve">insight </w:t>
      </w:r>
      <w:r w:rsidR="002B6158">
        <w:rPr>
          <w:lang w:val="en-GB"/>
        </w:rPr>
        <w:t xml:space="preserve">could </w:t>
      </w:r>
      <w:r w:rsidR="00C1607B">
        <w:rPr>
          <w:lang w:val="en-GB"/>
        </w:rPr>
        <w:t xml:space="preserve">provide valuable </w:t>
      </w:r>
      <w:r w:rsidR="002B6158">
        <w:rPr>
          <w:lang w:val="en-GB"/>
        </w:rPr>
        <w:t>guidance</w:t>
      </w:r>
      <w:r w:rsidR="00806192" w:rsidRPr="00806192">
        <w:rPr>
          <w:lang w:val="en-GB"/>
        </w:rPr>
        <w:t xml:space="preserve"> for decision-makers</w:t>
      </w:r>
      <w:r w:rsidR="001B5210">
        <w:rPr>
          <w:lang w:val="en-GB"/>
        </w:rPr>
        <w:t xml:space="preserve"> to determine</w:t>
      </w:r>
      <w:r w:rsidR="00806192" w:rsidRPr="00806192">
        <w:rPr>
          <w:lang w:val="en-GB"/>
        </w:rPr>
        <w:t xml:space="preserve"> a deadline for information sharing to avoid incurring additional penalties.</w:t>
      </w:r>
      <w:r w:rsidR="007A5C32">
        <w:rPr>
          <w:lang w:val="en-GB"/>
        </w:rPr>
        <w:t xml:space="preserve"> </w:t>
      </w:r>
    </w:p>
    <w:tbl>
      <w:tblPr>
        <w:tblStyle w:val="Grigliatabella"/>
        <w:tblW w:w="7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7"/>
      </w:tblGrid>
      <w:tr w:rsidR="009D7B1C" w14:paraId="0734C845" w14:textId="77777777" w:rsidTr="000579C5">
        <w:trPr>
          <w:jc w:val="center"/>
        </w:trPr>
        <w:tc>
          <w:tcPr>
            <w:tcW w:w="7077" w:type="dxa"/>
            <w:vAlign w:val="center"/>
          </w:tcPr>
          <w:p w14:paraId="6C229ED8" w14:textId="33678A4F" w:rsidR="009D7B1C" w:rsidRDefault="00713798" w:rsidP="005F51BF">
            <w:pPr>
              <w:pStyle w:val="Els-body-text"/>
              <w:jc w:val="center"/>
              <w:rPr>
                <w:lang w:val="en-GB"/>
              </w:rPr>
            </w:pPr>
            <w:r>
              <w:rPr>
                <w:noProof/>
                <w:lang w:val="en-GB"/>
              </w:rPr>
              <w:drawing>
                <wp:inline distT="0" distB="0" distL="0" distR="0" wp14:anchorId="6739413A" wp14:editId="71E8E7D9">
                  <wp:extent cx="2785403" cy="2255524"/>
                  <wp:effectExtent l="0" t="0" r="0" b="5080"/>
                  <wp:docPr id="66418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85815" name="Picture 664185815"/>
                          <pic:cNvPicPr/>
                        </pic:nvPicPr>
                        <pic:blipFill>
                          <a:blip r:embed="rId11">
                            <a:extLst>
                              <a:ext uri="{28A0092B-C50C-407E-A947-70E740481C1C}">
                                <a14:useLocalDpi xmlns:a14="http://schemas.microsoft.com/office/drawing/2010/main" val="0"/>
                              </a:ext>
                            </a:extLst>
                          </a:blip>
                          <a:stretch>
                            <a:fillRect/>
                          </a:stretch>
                        </pic:blipFill>
                        <pic:spPr>
                          <a:xfrm>
                            <a:off x="0" y="0"/>
                            <a:ext cx="2830971" cy="2292423"/>
                          </a:xfrm>
                          <a:prstGeom prst="rect">
                            <a:avLst/>
                          </a:prstGeom>
                        </pic:spPr>
                      </pic:pic>
                    </a:graphicData>
                  </a:graphic>
                </wp:inline>
              </w:drawing>
            </w:r>
          </w:p>
        </w:tc>
      </w:tr>
      <w:tr w:rsidR="009D7B1C" w14:paraId="6A34E695" w14:textId="77777777" w:rsidTr="000579C5">
        <w:trPr>
          <w:jc w:val="center"/>
        </w:trPr>
        <w:tc>
          <w:tcPr>
            <w:tcW w:w="7077" w:type="dxa"/>
            <w:vAlign w:val="center"/>
          </w:tcPr>
          <w:p w14:paraId="3900AE8B" w14:textId="70CDD9E9" w:rsidR="009D7B1C" w:rsidRPr="001D0CDD" w:rsidRDefault="009D7B1C" w:rsidP="005F51BF">
            <w:pPr>
              <w:pStyle w:val="Els-body-text"/>
              <w:jc w:val="center"/>
              <w:rPr>
                <w:sz w:val="18"/>
                <w:szCs w:val="18"/>
                <w:lang w:val="en-GB"/>
              </w:rPr>
            </w:pPr>
            <w:r w:rsidRPr="001D0CDD">
              <w:rPr>
                <w:sz w:val="18"/>
                <w:szCs w:val="18"/>
                <w:lang w:val="en-GB"/>
              </w:rPr>
              <w:t>Figure 4</w:t>
            </w:r>
            <w:r w:rsidR="00BF506A" w:rsidRPr="001D0CDD">
              <w:rPr>
                <w:sz w:val="18"/>
                <w:szCs w:val="18"/>
                <w:lang w:val="en-GB"/>
              </w:rPr>
              <w:t>. Inventory levels</w:t>
            </w:r>
            <w:r w:rsidR="001669E7" w:rsidRPr="001D0CDD">
              <w:rPr>
                <w:sz w:val="18"/>
                <w:szCs w:val="18"/>
                <w:lang w:val="en-GB"/>
              </w:rPr>
              <w:t xml:space="preserve"> at </w:t>
            </w:r>
            <w:r w:rsidR="001946FD">
              <w:rPr>
                <w:sz w:val="18"/>
                <w:szCs w:val="18"/>
                <w:lang w:val="en-GB"/>
              </w:rPr>
              <w:t xml:space="preserve">network </w:t>
            </w:r>
            <w:r w:rsidR="001669E7" w:rsidRPr="001D0CDD">
              <w:rPr>
                <w:sz w:val="18"/>
                <w:szCs w:val="18"/>
                <w:lang w:val="en-GB"/>
              </w:rPr>
              <w:t>location</w:t>
            </w:r>
            <w:r w:rsidR="00D97890">
              <w:rPr>
                <w:sz w:val="18"/>
                <w:szCs w:val="18"/>
                <w:lang w:val="en-GB"/>
              </w:rPr>
              <w:t>s</w:t>
            </w:r>
            <w:r w:rsidR="001669E7" w:rsidRPr="001D0CDD">
              <w:rPr>
                <w:sz w:val="18"/>
                <w:szCs w:val="18"/>
                <w:lang w:val="en-GB"/>
              </w:rPr>
              <w:t xml:space="preserve"> </w:t>
            </w:r>
            <w:r w:rsidR="00567CD7" w:rsidRPr="001D0CDD">
              <w:rPr>
                <w:sz w:val="18"/>
                <w:szCs w:val="18"/>
                <w:lang w:val="en-GB"/>
              </w:rPr>
              <w:t xml:space="preserve">during </w:t>
            </w:r>
            <w:r w:rsidR="001D0CDD">
              <w:rPr>
                <w:sz w:val="18"/>
                <w:szCs w:val="18"/>
                <w:lang w:val="en-GB"/>
              </w:rPr>
              <w:t>S</w:t>
            </w:r>
            <w:r w:rsidR="00567CD7" w:rsidRPr="001D0CDD">
              <w:rPr>
                <w:sz w:val="18"/>
                <w:szCs w:val="18"/>
                <w:lang w:val="en-GB"/>
              </w:rPr>
              <w:t xml:space="preserve">cenario </w:t>
            </w:r>
            <w:r w:rsidR="00435AB3">
              <w:rPr>
                <w:sz w:val="18"/>
                <w:szCs w:val="18"/>
                <w:lang w:val="en-GB"/>
              </w:rPr>
              <w:t>1</w:t>
            </w:r>
          </w:p>
        </w:tc>
      </w:tr>
    </w:tbl>
    <w:p w14:paraId="48FBC283" w14:textId="01570151" w:rsidR="00DA338D" w:rsidRPr="00DA338D" w:rsidRDefault="000C3850" w:rsidP="00DA338D">
      <w:pPr>
        <w:pStyle w:val="Els-1storder-head"/>
      </w:pPr>
      <w:r>
        <w:t>Conclusions and Future Directions</w:t>
      </w:r>
    </w:p>
    <w:p w14:paraId="3C4BBA8E" w14:textId="35492B8E" w:rsidR="00485024" w:rsidRPr="00D30D29" w:rsidRDefault="00FD18C3" w:rsidP="00C3137A">
      <w:pPr>
        <w:pStyle w:val="Els-body-text"/>
      </w:pPr>
      <w:r>
        <w:t xml:space="preserve">In this work, we have presented </w:t>
      </w:r>
      <w:r w:rsidR="000748F6">
        <w:t xml:space="preserve">a </w:t>
      </w:r>
      <w:r w:rsidR="005F7646">
        <w:t xml:space="preserve">first effort towards a </w:t>
      </w:r>
      <w:r w:rsidR="000748F6">
        <w:t>methodolog</w:t>
      </w:r>
      <w:r w:rsidR="005F7646">
        <w:t>ical framework</w:t>
      </w:r>
      <w:r w:rsidR="000748F6">
        <w:t xml:space="preserve"> to model </w:t>
      </w:r>
      <w:r w:rsidR="00081FEF">
        <w:t xml:space="preserve">the value of </w:t>
      </w:r>
      <w:r w:rsidR="00C941F3">
        <w:t xml:space="preserve">information </w:t>
      </w:r>
      <w:r w:rsidR="00081FEF">
        <w:t>sharing about upcoming disruptions</w:t>
      </w:r>
      <w:r w:rsidR="00C941F3">
        <w:t xml:space="preserve"> </w:t>
      </w:r>
      <w:r w:rsidR="00081FEF">
        <w:t>in the</w:t>
      </w:r>
      <w:r w:rsidR="00C941F3">
        <w:t xml:space="preserve"> supply chains. </w:t>
      </w:r>
      <w:r w:rsidR="00C941F3">
        <w:lastRenderedPageBreak/>
        <w:t xml:space="preserve">The approach involves </w:t>
      </w:r>
      <w:r w:rsidR="005B794F">
        <w:t>partitioning</w:t>
      </w:r>
      <w:r w:rsidR="00C941F3">
        <w:t xml:space="preserve"> the </w:t>
      </w:r>
      <w:r w:rsidR="000508B4">
        <w:t>problem into two parts</w:t>
      </w:r>
      <w:r w:rsidR="001740FC">
        <w:t>:</w:t>
      </w:r>
      <w:r w:rsidR="005D0E6C">
        <w:t xml:space="preserve"> before </w:t>
      </w:r>
      <w:r w:rsidR="0039120D">
        <w:t xml:space="preserve">(P1) </w:t>
      </w:r>
      <w:r w:rsidR="005D0E6C">
        <w:t>and after the information is received</w:t>
      </w:r>
      <w:r w:rsidR="0039120D">
        <w:t xml:space="preserve"> (P2)</w:t>
      </w:r>
      <w:r w:rsidR="005D0E6C">
        <w:t xml:space="preserve">. </w:t>
      </w:r>
      <w:r w:rsidR="00C3137A">
        <w:t>After receiving the latest information regarding</w:t>
      </w:r>
      <w:r w:rsidR="00C1607B">
        <w:t xml:space="preserve"> an</w:t>
      </w:r>
      <w:r w:rsidR="00C3137A">
        <w:t xml:space="preserve"> upcoming disturbance, the optimization problem (P2) is constructed by utilizing the system state variables (such as inventory, </w:t>
      </w:r>
      <w:r w:rsidR="001740FC">
        <w:t xml:space="preserve">product flows, </w:t>
      </w:r>
      <w:r w:rsidR="00C3137A">
        <w:t>etc.) from the initial formulation (P1) for initialization</w:t>
      </w:r>
      <w:r w:rsidR="00761F5C">
        <w:t xml:space="preserve">. </w:t>
      </w:r>
      <w:r w:rsidR="002148BE" w:rsidRPr="00A210EB">
        <w:t xml:space="preserve">The results show that </w:t>
      </w:r>
      <w:r w:rsidR="006A526F" w:rsidRPr="00A210EB">
        <w:t xml:space="preserve">early </w:t>
      </w:r>
      <w:r w:rsidR="006E1A5A" w:rsidRPr="00A210EB">
        <w:t>sharing information</w:t>
      </w:r>
      <w:r w:rsidR="0001434C">
        <w:t xml:space="preserve"> not only</w:t>
      </w:r>
      <w:r w:rsidR="0063341C">
        <w:t xml:space="preserve"> has </w:t>
      </w:r>
      <w:r w:rsidR="00B21059">
        <w:t>economic benefits</w:t>
      </w:r>
      <w:r w:rsidR="0001434C">
        <w:t>, but also enables higher supply chain performance</w:t>
      </w:r>
      <w:r w:rsidR="005B04B1">
        <w:t>.</w:t>
      </w:r>
      <w:r w:rsidR="00B21059">
        <w:t xml:space="preserve"> Moreover, the system </w:t>
      </w:r>
      <w:r w:rsidR="00E8313C">
        <w:t>can</w:t>
      </w:r>
      <w:r w:rsidR="00B21059">
        <w:t xml:space="preserve"> accommodate some lag in information transfer without incurring a </w:t>
      </w:r>
      <w:r w:rsidR="002A2514">
        <w:t xml:space="preserve">high </w:t>
      </w:r>
      <w:r w:rsidR="00B21059">
        <w:t>penalty.</w:t>
      </w:r>
      <w:r w:rsidR="005B04B1">
        <w:t xml:space="preserve"> </w:t>
      </w:r>
      <w:r w:rsidR="002A2514">
        <w:t xml:space="preserve">Thus, the framework allows </w:t>
      </w:r>
      <w:r w:rsidR="00C1607B">
        <w:t>for the</w:t>
      </w:r>
      <w:r w:rsidR="002A2514">
        <w:t xml:space="preserve"> quantitative assessment of not only the cost of information sharing but also provides an ideal time of sharing </w:t>
      </w:r>
      <w:r w:rsidR="00C1607B">
        <w:t>critical</w:t>
      </w:r>
      <w:r w:rsidR="002A2514">
        <w:t xml:space="preserve"> information.</w:t>
      </w:r>
      <w:r w:rsidR="005B04B1">
        <w:t xml:space="preserve"> </w:t>
      </w:r>
      <w:r w:rsidR="001740FC">
        <w:t xml:space="preserve">In the near future, we intend to expand the </w:t>
      </w:r>
      <w:r w:rsidR="00C63304">
        <w:t xml:space="preserve">presented work by including </w:t>
      </w:r>
      <w:r w:rsidR="001740FC">
        <w:t xml:space="preserve">the early sharing of </w:t>
      </w:r>
      <w:r w:rsidR="00C63304">
        <w:t>probability-based disruption</w:t>
      </w:r>
      <w:r w:rsidR="001740FC">
        <w:t xml:space="preserve"> scenarios</w:t>
      </w:r>
      <w:r w:rsidR="00C63304">
        <w:t xml:space="preserve"> in the analysis through </w:t>
      </w:r>
      <w:r w:rsidR="00200C08">
        <w:t>stochastic model</w:t>
      </w:r>
      <w:r w:rsidR="001740FC">
        <w:t>ing</w:t>
      </w:r>
      <w:r w:rsidR="00C1607B">
        <w:t>.</w:t>
      </w:r>
    </w:p>
    <w:p w14:paraId="4556F4FF" w14:textId="2619124F" w:rsidR="00DA338D" w:rsidRDefault="00DA338D" w:rsidP="00662EF8">
      <w:pPr>
        <w:pStyle w:val="Els-1storder-head"/>
      </w:pPr>
      <w:r>
        <w:t>Acknowledgement</w:t>
      </w:r>
      <w:r w:rsidR="0002350E">
        <w:t>s</w:t>
      </w:r>
    </w:p>
    <w:p w14:paraId="3DF25A1A" w14:textId="5318AB12" w:rsidR="00BC3E2D" w:rsidRDefault="00BC3E2D" w:rsidP="009C5D22">
      <w:pPr>
        <w:pStyle w:val="Els-body-text"/>
      </w:pPr>
      <w:r w:rsidRPr="00BC3E2D">
        <w:t xml:space="preserve">Research was sponsored </w:t>
      </w:r>
      <w:r w:rsidR="001740FC">
        <w:t xml:space="preserve">partially </w:t>
      </w:r>
      <w:r w:rsidRPr="00BC3E2D">
        <w:t>by the ARM (Advanced Robotics for Manufacturing) Institute through a grant from the National Institute of Standards and Technology (NIST) and was accomplished under Agreement Number W911NF-17-3-0004. The views and conclusions contained in this document are those of the authors and should not be interpreted as representing the official policies, either expressed or implied, of the Office of the Secretary of Defense or the U.S. Government. The U.S. Government is authorized to reproduce and distribute reprints for Government purposes notwithstanding any copyright notation herein.</w:t>
      </w:r>
      <w:r w:rsidR="00992B8C">
        <w:t xml:space="preserve"> Furthermore,</w:t>
      </w:r>
      <w:r w:rsidR="00C1607B">
        <w:t xml:space="preserve"> the authors</w:t>
      </w:r>
      <w:r w:rsidR="00992B8C">
        <w:t xml:space="preserve"> acknowledge the financial support from the Texas A&amp;M Energy Institute.</w:t>
      </w:r>
    </w:p>
    <w:p w14:paraId="06937D1D" w14:textId="2C229265" w:rsidR="00662EF8" w:rsidRPr="00662EF8" w:rsidRDefault="00662EF8" w:rsidP="00662EF8">
      <w:pPr>
        <w:pStyle w:val="Els-1storder-head"/>
      </w:pPr>
      <w:r>
        <w:t>References</w:t>
      </w:r>
    </w:p>
    <w:p w14:paraId="679D2292" w14:textId="77777777" w:rsidR="008A3D45" w:rsidRDefault="00311E9D" w:rsidP="008523FF">
      <w:pPr>
        <w:pStyle w:val="Els-referenceno-number"/>
        <w:ind w:left="245" w:hanging="245"/>
        <w:rPr>
          <w:rStyle w:val="Collegamentoipertestuale"/>
          <w:lang w:val="en-US"/>
        </w:rPr>
      </w:pPr>
      <w:r w:rsidRPr="001B3B4A">
        <w:rPr>
          <w:lang w:val="en-US"/>
        </w:rPr>
        <w:t xml:space="preserve">Iakovou, E., &amp; White, C. (2020). How to build more secure, resilient, next-gen US supply chains. </w:t>
      </w:r>
      <w:r w:rsidRPr="005C3886">
        <w:rPr>
          <w:i/>
          <w:iCs/>
          <w:lang w:val="en-US"/>
        </w:rPr>
        <w:t>Brookings Institute Tech street</w:t>
      </w:r>
      <w:r>
        <w:rPr>
          <w:lang w:val="en-US"/>
        </w:rPr>
        <w:t xml:space="preserve">. </w:t>
      </w:r>
      <w:hyperlink r:id="rId12" w:history="1">
        <w:r w:rsidRPr="00B93A99">
          <w:rPr>
            <w:rStyle w:val="Collegamentoipertestuale"/>
            <w:lang w:val="en-US"/>
          </w:rPr>
          <w:t>https://www.brookings.edu/articles/how-to-build-more-secure-resilient-next-gen-u-s-supply-chains/</w:t>
        </w:r>
      </w:hyperlink>
    </w:p>
    <w:p w14:paraId="551D08A6" w14:textId="14AA62CE" w:rsidR="006F045E" w:rsidRDefault="00FD502A" w:rsidP="008523FF">
      <w:pPr>
        <w:pStyle w:val="Els-referenceno-number"/>
        <w:ind w:left="245" w:hanging="245"/>
      </w:pPr>
      <w:r w:rsidRPr="0033528E">
        <w:t xml:space="preserve">Chrisandina, N. J., Vedant, S., Iakovou, E., Pistikopoulos, E. N., &amp; El-Halwagi, M. M. (2022). Multi-scale integration for enhanced resilience of sustainable energy supply chains: Perspectives and challenges. </w:t>
      </w:r>
      <w:r w:rsidRPr="00860357">
        <w:rPr>
          <w:i/>
          <w:iCs/>
        </w:rPr>
        <w:t>Computers &amp; Chemical Engineering</w:t>
      </w:r>
      <w:r w:rsidRPr="0033528E">
        <w:t>, 164, 107891.</w:t>
      </w:r>
    </w:p>
    <w:p w14:paraId="5EF1C7DA" w14:textId="77777777" w:rsidR="008523FF" w:rsidRDefault="00EA3D74" w:rsidP="008523FF">
      <w:pPr>
        <w:pStyle w:val="Els-referenceno-number"/>
        <w:ind w:left="245" w:hanging="245"/>
        <w:rPr>
          <w:lang w:val="en-US"/>
        </w:rPr>
      </w:pPr>
      <w:r w:rsidRPr="005C3886">
        <w:rPr>
          <w:lang w:val="en-US"/>
        </w:rPr>
        <w:t xml:space="preserve">El-Halwagi, M. M., Sengupta, D., Pistikopoulos, E. N., Sammons, J., Eljack, F., &amp; Kazi, M. K. (2020). Disaster-resilient design of manufacturing facilities through process integration: principal strategies, perspectives, and research challenges. </w:t>
      </w:r>
      <w:r w:rsidRPr="005C3886">
        <w:rPr>
          <w:i/>
          <w:iCs/>
          <w:lang w:val="en-US"/>
        </w:rPr>
        <w:t>Frontiers in Sustainability</w:t>
      </w:r>
      <w:r w:rsidRPr="005C3886">
        <w:rPr>
          <w:lang w:val="en-US"/>
        </w:rPr>
        <w:t>, 1, 595961.</w:t>
      </w:r>
    </w:p>
    <w:p w14:paraId="77FD44F1" w14:textId="2F3D3548" w:rsidR="009D61B3" w:rsidRPr="008523FF" w:rsidRDefault="00DF706A" w:rsidP="008523FF">
      <w:pPr>
        <w:pStyle w:val="Els-referenceno-number"/>
        <w:ind w:left="245" w:hanging="245"/>
        <w:rPr>
          <w:lang w:val="en-US"/>
        </w:rPr>
      </w:pPr>
      <w:r w:rsidRPr="00D52C67">
        <w:rPr>
          <w:lang w:val="en-US"/>
        </w:rPr>
        <w:t xml:space="preserve">Perez, H. D., Harshbarger, K. C., Wassick, J. M., &amp; Grossmann, I. E. (2023). Integrating information, financial, and material flows in a chemical supply chain. </w:t>
      </w:r>
      <w:r w:rsidRPr="00860357">
        <w:rPr>
          <w:i/>
          <w:iCs/>
          <w:lang w:val="en-US"/>
        </w:rPr>
        <w:t>Computers &amp; Chemical Engineering</w:t>
      </w:r>
      <w:r w:rsidRPr="00D52C67">
        <w:rPr>
          <w:lang w:val="en-US"/>
        </w:rPr>
        <w:t>, 178, 108363.</w:t>
      </w:r>
    </w:p>
    <w:p w14:paraId="2DD30080" w14:textId="71CDE6EF" w:rsidR="006C3159" w:rsidRPr="009B5BDF" w:rsidRDefault="009B5BDF" w:rsidP="009B5BDF">
      <w:pPr>
        <w:pBdr>
          <w:top w:val="nil"/>
          <w:left w:val="nil"/>
          <w:bottom w:val="nil"/>
          <w:right w:val="nil"/>
          <w:between w:val="nil"/>
        </w:pBdr>
        <w:ind w:left="240" w:hanging="240"/>
        <w:rPr>
          <w:color w:val="000000"/>
          <w:sz w:val="18"/>
          <w:szCs w:val="18"/>
        </w:rPr>
      </w:pPr>
      <w:r w:rsidRPr="00C8730D">
        <w:rPr>
          <w:color w:val="000000"/>
          <w:sz w:val="18"/>
          <w:szCs w:val="18"/>
        </w:rPr>
        <w:t xml:space="preserve">Kakodkar, R., &amp; Pistikopoulos, E. (2023, November). </w:t>
      </w:r>
      <w:proofErr w:type="spellStart"/>
      <w:r w:rsidRPr="00C8730D">
        <w:rPr>
          <w:color w:val="000000"/>
          <w:sz w:val="18"/>
          <w:szCs w:val="18"/>
        </w:rPr>
        <w:t>Energiapy</w:t>
      </w:r>
      <w:proofErr w:type="spellEnd"/>
      <w:r w:rsidRPr="00C8730D">
        <w:rPr>
          <w:color w:val="000000"/>
          <w:sz w:val="18"/>
          <w:szCs w:val="18"/>
        </w:rPr>
        <w:t xml:space="preserve">-an Open Source Python Package for Multiscale </w:t>
      </w:r>
      <w:proofErr w:type="spellStart"/>
      <w:r w:rsidRPr="00C8730D">
        <w:rPr>
          <w:color w:val="000000"/>
          <w:sz w:val="18"/>
          <w:szCs w:val="18"/>
        </w:rPr>
        <w:t>Modeling</w:t>
      </w:r>
      <w:proofErr w:type="spellEnd"/>
      <w:r w:rsidRPr="00C8730D">
        <w:rPr>
          <w:color w:val="000000"/>
          <w:sz w:val="18"/>
          <w:szCs w:val="18"/>
        </w:rPr>
        <w:t xml:space="preserve"> &amp; Optimization of Energy Systems. In 2023 AIChE Annual Meeting. AIChE.</w:t>
      </w:r>
    </w:p>
    <w:p w14:paraId="41F0295A" w14:textId="77777777" w:rsidR="00B56578" w:rsidRDefault="0091562D" w:rsidP="0091562D">
      <w:pPr>
        <w:ind w:left="245" w:hanging="245"/>
        <w:rPr>
          <w:sz w:val="18"/>
          <w:szCs w:val="18"/>
        </w:rPr>
      </w:pPr>
      <w:r w:rsidRPr="0091562D">
        <w:rPr>
          <w:sz w:val="18"/>
          <w:szCs w:val="18"/>
        </w:rPr>
        <w:t xml:space="preserve">Shapiro, J. F. (1999). Bottom-up vs. top-down approaches to supply chain </w:t>
      </w:r>
      <w:proofErr w:type="spellStart"/>
      <w:r w:rsidRPr="0091562D">
        <w:rPr>
          <w:sz w:val="18"/>
          <w:szCs w:val="18"/>
        </w:rPr>
        <w:t>modeling</w:t>
      </w:r>
      <w:proofErr w:type="spellEnd"/>
      <w:r w:rsidRPr="0091562D">
        <w:rPr>
          <w:sz w:val="18"/>
          <w:szCs w:val="18"/>
        </w:rPr>
        <w:t>.</w:t>
      </w:r>
      <w:r w:rsidR="00782038">
        <w:rPr>
          <w:sz w:val="18"/>
          <w:szCs w:val="18"/>
        </w:rPr>
        <w:t xml:space="preserve"> </w:t>
      </w:r>
      <w:r w:rsidRPr="0091562D">
        <w:rPr>
          <w:sz w:val="18"/>
          <w:szCs w:val="18"/>
        </w:rPr>
        <w:t>In </w:t>
      </w:r>
      <w:r w:rsidRPr="0091562D">
        <w:rPr>
          <w:i/>
          <w:iCs/>
          <w:sz w:val="18"/>
          <w:szCs w:val="18"/>
        </w:rPr>
        <w:t>Quantitative models for supply chain management</w:t>
      </w:r>
      <w:r w:rsidRPr="0091562D">
        <w:rPr>
          <w:sz w:val="18"/>
          <w:szCs w:val="18"/>
        </w:rPr>
        <w:t> (pp. 737-759). Boston, MA: Springer US.</w:t>
      </w:r>
    </w:p>
    <w:p w14:paraId="144DE6C3" w14:textId="6B085F1F" w:rsidR="008D2649" w:rsidRDefault="00B56578" w:rsidP="00F163C7">
      <w:pPr>
        <w:ind w:left="245" w:hanging="245"/>
        <w:rPr>
          <w:sz w:val="18"/>
          <w:szCs w:val="18"/>
        </w:rPr>
      </w:pPr>
      <w:r w:rsidRPr="00B56578">
        <w:rPr>
          <w:sz w:val="18"/>
          <w:szCs w:val="18"/>
        </w:rPr>
        <w:t>Ivanov, D., Pavlov, A., &amp; Sokolov, B. (2014). Optimal distribution (re) planning in a centralized multi-stage supply network under conditions of the ripple effect and structure dynamics. European Journal of Operational Research, 237(2), 758-770.</w:t>
      </w:r>
    </w:p>
    <w:p w14:paraId="089DB5FD" w14:textId="7FF89157" w:rsidR="00C33446" w:rsidRPr="00482439" w:rsidRDefault="00DE6E6B" w:rsidP="00FC6583">
      <w:pPr>
        <w:ind w:left="245" w:hanging="245"/>
        <w:rPr>
          <w:bCs/>
          <w:sz w:val="18"/>
          <w:szCs w:val="15"/>
        </w:rPr>
      </w:pPr>
      <w:r w:rsidRPr="00DE6E6B">
        <w:rPr>
          <w:sz w:val="18"/>
          <w:szCs w:val="18"/>
        </w:rPr>
        <w:t>Gopal, C., Tyndall, G., Partsch, W., &amp; Iakovou, E. (2023). Breakthrough Supply Chains: How Companies and Nations Can Thrive and Prosper in an Uncertain World. McGraw Hill Professional.</w:t>
      </w:r>
    </w:p>
    <w:sectPr w:rsidR="00C33446" w:rsidRPr="00482439" w:rsidSect="006B5F5F">
      <w:headerReference w:type="even" r:id="rId13"/>
      <w:headerReference w:type="default" r:id="rId14"/>
      <w:footerReference w:type="even" r:id="rId15"/>
      <w:foot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3CA9" w14:textId="77777777" w:rsidR="001C7A90" w:rsidRDefault="001C7A90">
      <w:r>
        <w:separator/>
      </w:r>
    </w:p>
  </w:endnote>
  <w:endnote w:type="continuationSeparator" w:id="0">
    <w:p w14:paraId="6B922DB4" w14:textId="77777777" w:rsidR="001C7A90" w:rsidRDefault="001C7A90">
      <w:r>
        <w:continuationSeparator/>
      </w:r>
    </w:p>
  </w:endnote>
  <w:endnote w:type="continuationNotice" w:id="1">
    <w:p w14:paraId="5C161D88" w14:textId="77777777" w:rsidR="001C7A90" w:rsidRDefault="001C7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25D4" w14:textId="77777777" w:rsidR="00CF7D3C" w:rsidRDefault="00CF7D3C" w:rsidP="00CF7D3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2630" w14:textId="77777777" w:rsidR="00CF7D3C" w:rsidRDefault="00CF7D3C" w:rsidP="00CF7D3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843AB" w14:textId="77777777" w:rsidR="001C7A90" w:rsidRDefault="001C7A90">
      <w:r>
        <w:separator/>
      </w:r>
    </w:p>
  </w:footnote>
  <w:footnote w:type="continuationSeparator" w:id="0">
    <w:p w14:paraId="14FF38D6" w14:textId="77777777" w:rsidR="001C7A90" w:rsidRDefault="001C7A90">
      <w:r>
        <w:continuationSeparator/>
      </w:r>
    </w:p>
  </w:footnote>
  <w:footnote w:type="continuationNotice" w:id="1">
    <w:p w14:paraId="4F6049E1" w14:textId="77777777" w:rsidR="001C7A90" w:rsidRDefault="001C7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98C4475" w:rsidR="00DD3D9E" w:rsidRDefault="00DD3D9E">
    <w:pPr>
      <w:pStyle w:val="Intestazione"/>
      <w:tabs>
        <w:tab w:val="clear" w:pos="7200"/>
        <w:tab w:val="right" w:pos="7088"/>
      </w:tabs>
    </w:pPr>
    <w:r>
      <w:rPr>
        <w:rStyle w:val="Numeropagina"/>
      </w:rPr>
      <w:tab/>
    </w:r>
    <w:r>
      <w:rPr>
        <w:rStyle w:val="Numeropagina"/>
        <w:i/>
      </w:rPr>
      <w:tab/>
    </w:r>
    <w:r w:rsidR="002912BF">
      <w:rPr>
        <w:i/>
      </w:rPr>
      <w:t>Vedant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1A7B87C" w:rsidR="00DD3D9E" w:rsidRDefault="00EB5400" w:rsidP="00036FA0">
    <w:pPr>
      <w:pStyle w:val="Intestazione"/>
      <w:tabs>
        <w:tab w:val="clear" w:pos="7200"/>
        <w:tab w:val="right" w:pos="7088"/>
      </w:tabs>
      <w:rPr>
        <w:sz w:val="24"/>
      </w:rPr>
    </w:pPr>
    <w:r w:rsidRPr="00EB5400">
      <w:rPr>
        <w:i/>
      </w:rPr>
      <w:t>Information sharing for cost-effective risk mitigation in supply chains: A methodological framework</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A22D35"/>
    <w:multiLevelType w:val="hybridMultilevel"/>
    <w:tmpl w:val="BCCC7BD6"/>
    <w:lvl w:ilvl="0" w:tplc="8026BED0">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B77260F"/>
    <w:multiLevelType w:val="hybridMultilevel"/>
    <w:tmpl w:val="B0A8BD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4"/>
  </w:num>
  <w:num w:numId="8">
    <w:abstractNumId w:val="1"/>
  </w:num>
  <w:num w:numId="9">
    <w:abstractNumId w:val="11"/>
  </w:num>
  <w:num w:numId="10">
    <w:abstractNumId w:val="16"/>
  </w:num>
  <w:num w:numId="11">
    <w:abstractNumId w:val="15"/>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FEB"/>
    <w:rsid w:val="00002E51"/>
    <w:rsid w:val="00004B19"/>
    <w:rsid w:val="00006A35"/>
    <w:rsid w:val="0000756D"/>
    <w:rsid w:val="00007CFA"/>
    <w:rsid w:val="00013003"/>
    <w:rsid w:val="00013DBB"/>
    <w:rsid w:val="0001434C"/>
    <w:rsid w:val="00016B00"/>
    <w:rsid w:val="00017F55"/>
    <w:rsid w:val="00023107"/>
    <w:rsid w:val="0002350E"/>
    <w:rsid w:val="000259DA"/>
    <w:rsid w:val="00027145"/>
    <w:rsid w:val="0002749F"/>
    <w:rsid w:val="00027DBB"/>
    <w:rsid w:val="00030F82"/>
    <w:rsid w:val="000340C5"/>
    <w:rsid w:val="000346CD"/>
    <w:rsid w:val="00034B25"/>
    <w:rsid w:val="00036D68"/>
    <w:rsid w:val="00036FA0"/>
    <w:rsid w:val="000371E7"/>
    <w:rsid w:val="00037BBA"/>
    <w:rsid w:val="00040C3D"/>
    <w:rsid w:val="00042EF7"/>
    <w:rsid w:val="00044FC0"/>
    <w:rsid w:val="00045710"/>
    <w:rsid w:val="00046EF0"/>
    <w:rsid w:val="000501EA"/>
    <w:rsid w:val="000508B4"/>
    <w:rsid w:val="000521FD"/>
    <w:rsid w:val="00056903"/>
    <w:rsid w:val="00056C4C"/>
    <w:rsid w:val="000575BD"/>
    <w:rsid w:val="000579C5"/>
    <w:rsid w:val="00060B3E"/>
    <w:rsid w:val="00063397"/>
    <w:rsid w:val="000647E1"/>
    <w:rsid w:val="00066820"/>
    <w:rsid w:val="00066A96"/>
    <w:rsid w:val="0007152D"/>
    <w:rsid w:val="000748F6"/>
    <w:rsid w:val="000779A1"/>
    <w:rsid w:val="00081FEF"/>
    <w:rsid w:val="00082BF0"/>
    <w:rsid w:val="00082E3B"/>
    <w:rsid w:val="0008563F"/>
    <w:rsid w:val="000861A9"/>
    <w:rsid w:val="000877C7"/>
    <w:rsid w:val="0009520E"/>
    <w:rsid w:val="000A52BF"/>
    <w:rsid w:val="000A685E"/>
    <w:rsid w:val="000B03D0"/>
    <w:rsid w:val="000B139B"/>
    <w:rsid w:val="000B509D"/>
    <w:rsid w:val="000B5E50"/>
    <w:rsid w:val="000C0CA8"/>
    <w:rsid w:val="000C2301"/>
    <w:rsid w:val="000C2752"/>
    <w:rsid w:val="000C3850"/>
    <w:rsid w:val="000D01B3"/>
    <w:rsid w:val="000D3BC2"/>
    <w:rsid w:val="000D3D97"/>
    <w:rsid w:val="000D3D9B"/>
    <w:rsid w:val="000E1628"/>
    <w:rsid w:val="000E2586"/>
    <w:rsid w:val="000E43BA"/>
    <w:rsid w:val="000E5A84"/>
    <w:rsid w:val="000E748A"/>
    <w:rsid w:val="000E784A"/>
    <w:rsid w:val="000F08DB"/>
    <w:rsid w:val="000F4307"/>
    <w:rsid w:val="000F5EF3"/>
    <w:rsid w:val="000F7CD4"/>
    <w:rsid w:val="001043FA"/>
    <w:rsid w:val="00104B2F"/>
    <w:rsid w:val="00104C2C"/>
    <w:rsid w:val="00105D24"/>
    <w:rsid w:val="001070E8"/>
    <w:rsid w:val="001105E6"/>
    <w:rsid w:val="00110DAE"/>
    <w:rsid w:val="00114574"/>
    <w:rsid w:val="0011599E"/>
    <w:rsid w:val="00116A0D"/>
    <w:rsid w:val="001175C4"/>
    <w:rsid w:val="0012032D"/>
    <w:rsid w:val="00120E1D"/>
    <w:rsid w:val="00121972"/>
    <w:rsid w:val="00123D76"/>
    <w:rsid w:val="0012455F"/>
    <w:rsid w:val="00124F53"/>
    <w:rsid w:val="00126392"/>
    <w:rsid w:val="0013199A"/>
    <w:rsid w:val="001355C7"/>
    <w:rsid w:val="00137F89"/>
    <w:rsid w:val="00140A19"/>
    <w:rsid w:val="001412CB"/>
    <w:rsid w:val="0014180E"/>
    <w:rsid w:val="00142D84"/>
    <w:rsid w:val="00143324"/>
    <w:rsid w:val="00145052"/>
    <w:rsid w:val="001502A3"/>
    <w:rsid w:val="001530ED"/>
    <w:rsid w:val="00153BD3"/>
    <w:rsid w:val="00155464"/>
    <w:rsid w:val="00157668"/>
    <w:rsid w:val="0016032F"/>
    <w:rsid w:val="00161AC1"/>
    <w:rsid w:val="00163C7F"/>
    <w:rsid w:val="0016545D"/>
    <w:rsid w:val="00166619"/>
    <w:rsid w:val="0016678E"/>
    <w:rsid w:val="001667CC"/>
    <w:rsid w:val="001669E7"/>
    <w:rsid w:val="001674C0"/>
    <w:rsid w:val="0016785E"/>
    <w:rsid w:val="001720E9"/>
    <w:rsid w:val="001721E9"/>
    <w:rsid w:val="001725EF"/>
    <w:rsid w:val="00172C03"/>
    <w:rsid w:val="001740FC"/>
    <w:rsid w:val="001748FB"/>
    <w:rsid w:val="0018294F"/>
    <w:rsid w:val="00183C49"/>
    <w:rsid w:val="00186006"/>
    <w:rsid w:val="0018691F"/>
    <w:rsid w:val="0018735A"/>
    <w:rsid w:val="001879F6"/>
    <w:rsid w:val="00187A43"/>
    <w:rsid w:val="00190304"/>
    <w:rsid w:val="00191FE1"/>
    <w:rsid w:val="00193C6B"/>
    <w:rsid w:val="00193FAB"/>
    <w:rsid w:val="001946FD"/>
    <w:rsid w:val="001951D7"/>
    <w:rsid w:val="00196C9A"/>
    <w:rsid w:val="0019754E"/>
    <w:rsid w:val="00197C71"/>
    <w:rsid w:val="001A1920"/>
    <w:rsid w:val="001A1D57"/>
    <w:rsid w:val="001A250B"/>
    <w:rsid w:val="001A402C"/>
    <w:rsid w:val="001A5286"/>
    <w:rsid w:val="001B228B"/>
    <w:rsid w:val="001B435C"/>
    <w:rsid w:val="001B5210"/>
    <w:rsid w:val="001B6FFF"/>
    <w:rsid w:val="001B7911"/>
    <w:rsid w:val="001C0148"/>
    <w:rsid w:val="001C2EB6"/>
    <w:rsid w:val="001C3048"/>
    <w:rsid w:val="001C3DBE"/>
    <w:rsid w:val="001C4A83"/>
    <w:rsid w:val="001C4F0C"/>
    <w:rsid w:val="001C539D"/>
    <w:rsid w:val="001C5676"/>
    <w:rsid w:val="001C6DB2"/>
    <w:rsid w:val="001C6DDE"/>
    <w:rsid w:val="001C757E"/>
    <w:rsid w:val="001C7A90"/>
    <w:rsid w:val="001D03F2"/>
    <w:rsid w:val="001D0CDD"/>
    <w:rsid w:val="001D12DD"/>
    <w:rsid w:val="001D14E7"/>
    <w:rsid w:val="001D179F"/>
    <w:rsid w:val="001D1D24"/>
    <w:rsid w:val="001D3CD4"/>
    <w:rsid w:val="001D3D62"/>
    <w:rsid w:val="001D3E1B"/>
    <w:rsid w:val="001D4E46"/>
    <w:rsid w:val="001D6315"/>
    <w:rsid w:val="001D660B"/>
    <w:rsid w:val="001D6A65"/>
    <w:rsid w:val="001E3D85"/>
    <w:rsid w:val="001E5C22"/>
    <w:rsid w:val="001E7971"/>
    <w:rsid w:val="001F3307"/>
    <w:rsid w:val="001F371E"/>
    <w:rsid w:val="00200C08"/>
    <w:rsid w:val="0020390F"/>
    <w:rsid w:val="002046A5"/>
    <w:rsid w:val="00205E0C"/>
    <w:rsid w:val="00206236"/>
    <w:rsid w:val="00206CED"/>
    <w:rsid w:val="00206ED7"/>
    <w:rsid w:val="002101F0"/>
    <w:rsid w:val="00211D94"/>
    <w:rsid w:val="0021266D"/>
    <w:rsid w:val="00213225"/>
    <w:rsid w:val="00213EB5"/>
    <w:rsid w:val="002148BE"/>
    <w:rsid w:val="00217744"/>
    <w:rsid w:val="002208AD"/>
    <w:rsid w:val="00220DF4"/>
    <w:rsid w:val="002226BF"/>
    <w:rsid w:val="00224889"/>
    <w:rsid w:val="00226FD0"/>
    <w:rsid w:val="00232993"/>
    <w:rsid w:val="00233837"/>
    <w:rsid w:val="002351DE"/>
    <w:rsid w:val="00235623"/>
    <w:rsid w:val="00235D2F"/>
    <w:rsid w:val="00236C26"/>
    <w:rsid w:val="0024022F"/>
    <w:rsid w:val="0024413D"/>
    <w:rsid w:val="00246AE8"/>
    <w:rsid w:val="002470C4"/>
    <w:rsid w:val="00250E9A"/>
    <w:rsid w:val="00254449"/>
    <w:rsid w:val="00254FD8"/>
    <w:rsid w:val="002558FB"/>
    <w:rsid w:val="002577BD"/>
    <w:rsid w:val="00260432"/>
    <w:rsid w:val="00261839"/>
    <w:rsid w:val="00261AE3"/>
    <w:rsid w:val="00262032"/>
    <w:rsid w:val="00263763"/>
    <w:rsid w:val="00264926"/>
    <w:rsid w:val="002652F9"/>
    <w:rsid w:val="0027001F"/>
    <w:rsid w:val="00271113"/>
    <w:rsid w:val="00273A79"/>
    <w:rsid w:val="00275273"/>
    <w:rsid w:val="002754A1"/>
    <w:rsid w:val="00280F22"/>
    <w:rsid w:val="0028286D"/>
    <w:rsid w:val="002904BB"/>
    <w:rsid w:val="002912BF"/>
    <w:rsid w:val="00294436"/>
    <w:rsid w:val="002950D8"/>
    <w:rsid w:val="00295620"/>
    <w:rsid w:val="002A151F"/>
    <w:rsid w:val="002A2514"/>
    <w:rsid w:val="002A2843"/>
    <w:rsid w:val="002A4FA0"/>
    <w:rsid w:val="002B2777"/>
    <w:rsid w:val="002B40A5"/>
    <w:rsid w:val="002B4687"/>
    <w:rsid w:val="002B5984"/>
    <w:rsid w:val="002B5CE2"/>
    <w:rsid w:val="002B6158"/>
    <w:rsid w:val="002B6DF3"/>
    <w:rsid w:val="002C14E5"/>
    <w:rsid w:val="002C39DC"/>
    <w:rsid w:val="002C3C16"/>
    <w:rsid w:val="002C5470"/>
    <w:rsid w:val="002C660B"/>
    <w:rsid w:val="002D093C"/>
    <w:rsid w:val="002D1493"/>
    <w:rsid w:val="002D1601"/>
    <w:rsid w:val="002D43D1"/>
    <w:rsid w:val="002D6928"/>
    <w:rsid w:val="002D69D6"/>
    <w:rsid w:val="002D773E"/>
    <w:rsid w:val="002E0434"/>
    <w:rsid w:val="002E0B18"/>
    <w:rsid w:val="002E1161"/>
    <w:rsid w:val="002E565F"/>
    <w:rsid w:val="002E5D6B"/>
    <w:rsid w:val="002E7102"/>
    <w:rsid w:val="002F0CAE"/>
    <w:rsid w:val="002F0EF3"/>
    <w:rsid w:val="002F2A26"/>
    <w:rsid w:val="002F3505"/>
    <w:rsid w:val="002F3A27"/>
    <w:rsid w:val="00300982"/>
    <w:rsid w:val="00311E9D"/>
    <w:rsid w:val="00313425"/>
    <w:rsid w:val="00314866"/>
    <w:rsid w:val="00314D03"/>
    <w:rsid w:val="0031518A"/>
    <w:rsid w:val="00316FE4"/>
    <w:rsid w:val="00317FEA"/>
    <w:rsid w:val="00320237"/>
    <w:rsid w:val="00320EAE"/>
    <w:rsid w:val="0032220C"/>
    <w:rsid w:val="0032549F"/>
    <w:rsid w:val="0032570B"/>
    <w:rsid w:val="00326DA9"/>
    <w:rsid w:val="00330967"/>
    <w:rsid w:val="00330A37"/>
    <w:rsid w:val="00332EBE"/>
    <w:rsid w:val="00333552"/>
    <w:rsid w:val="00333621"/>
    <w:rsid w:val="00334843"/>
    <w:rsid w:val="00334C0D"/>
    <w:rsid w:val="00337681"/>
    <w:rsid w:val="00340E20"/>
    <w:rsid w:val="003412C2"/>
    <w:rsid w:val="0034502F"/>
    <w:rsid w:val="0034607C"/>
    <w:rsid w:val="0035112E"/>
    <w:rsid w:val="00352A3A"/>
    <w:rsid w:val="00354E83"/>
    <w:rsid w:val="00356CB0"/>
    <w:rsid w:val="0035766D"/>
    <w:rsid w:val="003604C4"/>
    <w:rsid w:val="003620AD"/>
    <w:rsid w:val="00363A19"/>
    <w:rsid w:val="0036525A"/>
    <w:rsid w:val="00365A03"/>
    <w:rsid w:val="00370AB1"/>
    <w:rsid w:val="003712EA"/>
    <w:rsid w:val="0037291B"/>
    <w:rsid w:val="00375C19"/>
    <w:rsid w:val="00376A62"/>
    <w:rsid w:val="003820FA"/>
    <w:rsid w:val="00386A90"/>
    <w:rsid w:val="00387C37"/>
    <w:rsid w:val="0039030B"/>
    <w:rsid w:val="003905F0"/>
    <w:rsid w:val="00390FA2"/>
    <w:rsid w:val="0039120D"/>
    <w:rsid w:val="00392EAA"/>
    <w:rsid w:val="003930EB"/>
    <w:rsid w:val="003A1AED"/>
    <w:rsid w:val="003A6A5F"/>
    <w:rsid w:val="003B0B81"/>
    <w:rsid w:val="003B2576"/>
    <w:rsid w:val="003B263F"/>
    <w:rsid w:val="003B3362"/>
    <w:rsid w:val="003B3B6A"/>
    <w:rsid w:val="003B3D2C"/>
    <w:rsid w:val="003B3D36"/>
    <w:rsid w:val="003B4B11"/>
    <w:rsid w:val="003B7721"/>
    <w:rsid w:val="003B7F07"/>
    <w:rsid w:val="003C026E"/>
    <w:rsid w:val="003C11F0"/>
    <w:rsid w:val="003C18D1"/>
    <w:rsid w:val="003C2F25"/>
    <w:rsid w:val="003C34B6"/>
    <w:rsid w:val="003C7B19"/>
    <w:rsid w:val="003D0C53"/>
    <w:rsid w:val="003D1582"/>
    <w:rsid w:val="003D36CE"/>
    <w:rsid w:val="003D4483"/>
    <w:rsid w:val="003D49D9"/>
    <w:rsid w:val="003D548F"/>
    <w:rsid w:val="003D7E4C"/>
    <w:rsid w:val="003E09C7"/>
    <w:rsid w:val="003E3079"/>
    <w:rsid w:val="003E41C2"/>
    <w:rsid w:val="003E4BC1"/>
    <w:rsid w:val="003E5298"/>
    <w:rsid w:val="003E7133"/>
    <w:rsid w:val="003E716A"/>
    <w:rsid w:val="003F39E4"/>
    <w:rsid w:val="003F4F27"/>
    <w:rsid w:val="003F61FD"/>
    <w:rsid w:val="003F7009"/>
    <w:rsid w:val="00401325"/>
    <w:rsid w:val="0040241A"/>
    <w:rsid w:val="00405B25"/>
    <w:rsid w:val="0040643B"/>
    <w:rsid w:val="00406B07"/>
    <w:rsid w:val="004107CE"/>
    <w:rsid w:val="004138DE"/>
    <w:rsid w:val="00414017"/>
    <w:rsid w:val="004159AB"/>
    <w:rsid w:val="00416277"/>
    <w:rsid w:val="00426CAB"/>
    <w:rsid w:val="0043171E"/>
    <w:rsid w:val="00432075"/>
    <w:rsid w:val="00433AD3"/>
    <w:rsid w:val="00434246"/>
    <w:rsid w:val="00434F2E"/>
    <w:rsid w:val="00435AB3"/>
    <w:rsid w:val="00440942"/>
    <w:rsid w:val="00442DAB"/>
    <w:rsid w:val="004439BD"/>
    <w:rsid w:val="004473F9"/>
    <w:rsid w:val="004478AE"/>
    <w:rsid w:val="00450D93"/>
    <w:rsid w:val="00451B95"/>
    <w:rsid w:val="00454A2F"/>
    <w:rsid w:val="004555E6"/>
    <w:rsid w:val="004607B1"/>
    <w:rsid w:val="0046198C"/>
    <w:rsid w:val="00463BCA"/>
    <w:rsid w:val="004658FF"/>
    <w:rsid w:val="0047055B"/>
    <w:rsid w:val="004706B1"/>
    <w:rsid w:val="00472748"/>
    <w:rsid w:val="004733C9"/>
    <w:rsid w:val="00474569"/>
    <w:rsid w:val="004746A2"/>
    <w:rsid w:val="004754F4"/>
    <w:rsid w:val="00475C14"/>
    <w:rsid w:val="00475E96"/>
    <w:rsid w:val="00476C97"/>
    <w:rsid w:val="00480556"/>
    <w:rsid w:val="0048076E"/>
    <w:rsid w:val="00482439"/>
    <w:rsid w:val="0048286B"/>
    <w:rsid w:val="00482FE9"/>
    <w:rsid w:val="00483C49"/>
    <w:rsid w:val="004841CA"/>
    <w:rsid w:val="004843A7"/>
    <w:rsid w:val="00484812"/>
    <w:rsid w:val="0048497F"/>
    <w:rsid w:val="00485024"/>
    <w:rsid w:val="00487F16"/>
    <w:rsid w:val="004901C1"/>
    <w:rsid w:val="00490BB0"/>
    <w:rsid w:val="00490C6B"/>
    <w:rsid w:val="00491A5A"/>
    <w:rsid w:val="004946F7"/>
    <w:rsid w:val="00494974"/>
    <w:rsid w:val="004959F4"/>
    <w:rsid w:val="00497263"/>
    <w:rsid w:val="0049772C"/>
    <w:rsid w:val="004A0DB8"/>
    <w:rsid w:val="004A3BEC"/>
    <w:rsid w:val="004B2B71"/>
    <w:rsid w:val="004B2F3C"/>
    <w:rsid w:val="004B4B34"/>
    <w:rsid w:val="004B5EDF"/>
    <w:rsid w:val="004B6DFF"/>
    <w:rsid w:val="004C098E"/>
    <w:rsid w:val="004C0E37"/>
    <w:rsid w:val="004C37EE"/>
    <w:rsid w:val="004C38BB"/>
    <w:rsid w:val="004C3B8A"/>
    <w:rsid w:val="004C3D93"/>
    <w:rsid w:val="004C4A5F"/>
    <w:rsid w:val="004C6156"/>
    <w:rsid w:val="004C6406"/>
    <w:rsid w:val="004C6C1C"/>
    <w:rsid w:val="004D0F2D"/>
    <w:rsid w:val="004D182C"/>
    <w:rsid w:val="004D5FA5"/>
    <w:rsid w:val="004D7366"/>
    <w:rsid w:val="004D7852"/>
    <w:rsid w:val="004E0F61"/>
    <w:rsid w:val="004E298E"/>
    <w:rsid w:val="004E4A7E"/>
    <w:rsid w:val="004E5B2B"/>
    <w:rsid w:val="004E751F"/>
    <w:rsid w:val="004F065C"/>
    <w:rsid w:val="004F42A3"/>
    <w:rsid w:val="004F65B8"/>
    <w:rsid w:val="00502AB4"/>
    <w:rsid w:val="00503DA4"/>
    <w:rsid w:val="005040CA"/>
    <w:rsid w:val="00505660"/>
    <w:rsid w:val="00505BC2"/>
    <w:rsid w:val="00505D26"/>
    <w:rsid w:val="00506697"/>
    <w:rsid w:val="00506A11"/>
    <w:rsid w:val="005101E6"/>
    <w:rsid w:val="00511E07"/>
    <w:rsid w:val="00513F2A"/>
    <w:rsid w:val="005147D1"/>
    <w:rsid w:val="005179BF"/>
    <w:rsid w:val="0052437B"/>
    <w:rsid w:val="005243E9"/>
    <w:rsid w:val="00525472"/>
    <w:rsid w:val="005261A7"/>
    <w:rsid w:val="0053114E"/>
    <w:rsid w:val="00531BC1"/>
    <w:rsid w:val="0053257E"/>
    <w:rsid w:val="00533866"/>
    <w:rsid w:val="00535050"/>
    <w:rsid w:val="00536F2E"/>
    <w:rsid w:val="005411CF"/>
    <w:rsid w:val="00543794"/>
    <w:rsid w:val="005439F4"/>
    <w:rsid w:val="00544963"/>
    <w:rsid w:val="005461C3"/>
    <w:rsid w:val="00547ABD"/>
    <w:rsid w:val="00550342"/>
    <w:rsid w:val="005507A4"/>
    <w:rsid w:val="0055191A"/>
    <w:rsid w:val="00552D2B"/>
    <w:rsid w:val="00552EEB"/>
    <w:rsid w:val="0055443F"/>
    <w:rsid w:val="00554985"/>
    <w:rsid w:val="00555941"/>
    <w:rsid w:val="005562DA"/>
    <w:rsid w:val="00557428"/>
    <w:rsid w:val="0056059C"/>
    <w:rsid w:val="005606A1"/>
    <w:rsid w:val="00563472"/>
    <w:rsid w:val="0056435C"/>
    <w:rsid w:val="00567CD7"/>
    <w:rsid w:val="00570775"/>
    <w:rsid w:val="00573BCE"/>
    <w:rsid w:val="00577D00"/>
    <w:rsid w:val="00581786"/>
    <w:rsid w:val="005819C0"/>
    <w:rsid w:val="00582A22"/>
    <w:rsid w:val="0058364C"/>
    <w:rsid w:val="00584E87"/>
    <w:rsid w:val="00584EC2"/>
    <w:rsid w:val="005934E5"/>
    <w:rsid w:val="005938AF"/>
    <w:rsid w:val="0059500B"/>
    <w:rsid w:val="0059562E"/>
    <w:rsid w:val="00596512"/>
    <w:rsid w:val="00596CA7"/>
    <w:rsid w:val="00597EE8"/>
    <w:rsid w:val="005A278F"/>
    <w:rsid w:val="005B04B1"/>
    <w:rsid w:val="005B2CEA"/>
    <w:rsid w:val="005B40FE"/>
    <w:rsid w:val="005B69A0"/>
    <w:rsid w:val="005B7109"/>
    <w:rsid w:val="005B7314"/>
    <w:rsid w:val="005B794F"/>
    <w:rsid w:val="005C0733"/>
    <w:rsid w:val="005C0984"/>
    <w:rsid w:val="005C165F"/>
    <w:rsid w:val="005C1B06"/>
    <w:rsid w:val="005C2C51"/>
    <w:rsid w:val="005C4D05"/>
    <w:rsid w:val="005C744B"/>
    <w:rsid w:val="005D0E6C"/>
    <w:rsid w:val="005D3525"/>
    <w:rsid w:val="005D414D"/>
    <w:rsid w:val="005D5685"/>
    <w:rsid w:val="005D75FC"/>
    <w:rsid w:val="005E0A2A"/>
    <w:rsid w:val="005E0FCD"/>
    <w:rsid w:val="005E3BA5"/>
    <w:rsid w:val="005F03DC"/>
    <w:rsid w:val="005F2DD1"/>
    <w:rsid w:val="005F2F0D"/>
    <w:rsid w:val="005F51BF"/>
    <w:rsid w:val="005F65AA"/>
    <w:rsid w:val="005F7646"/>
    <w:rsid w:val="00600333"/>
    <w:rsid w:val="00600715"/>
    <w:rsid w:val="00600CEF"/>
    <w:rsid w:val="006021D6"/>
    <w:rsid w:val="00602785"/>
    <w:rsid w:val="00606606"/>
    <w:rsid w:val="006100DF"/>
    <w:rsid w:val="00613FF6"/>
    <w:rsid w:val="006146FC"/>
    <w:rsid w:val="00615005"/>
    <w:rsid w:val="00616258"/>
    <w:rsid w:val="006165B7"/>
    <w:rsid w:val="006172BB"/>
    <w:rsid w:val="006179AE"/>
    <w:rsid w:val="00620C54"/>
    <w:rsid w:val="0062112A"/>
    <w:rsid w:val="0063030D"/>
    <w:rsid w:val="006326AC"/>
    <w:rsid w:val="0063341C"/>
    <w:rsid w:val="00633963"/>
    <w:rsid w:val="00634632"/>
    <w:rsid w:val="006347E1"/>
    <w:rsid w:val="00634D48"/>
    <w:rsid w:val="00636039"/>
    <w:rsid w:val="00636C2F"/>
    <w:rsid w:val="006375F4"/>
    <w:rsid w:val="006378D1"/>
    <w:rsid w:val="006411BB"/>
    <w:rsid w:val="00641414"/>
    <w:rsid w:val="00642252"/>
    <w:rsid w:val="006433FA"/>
    <w:rsid w:val="006502DE"/>
    <w:rsid w:val="00650D5E"/>
    <w:rsid w:val="00653B65"/>
    <w:rsid w:val="00662454"/>
    <w:rsid w:val="00662EF8"/>
    <w:rsid w:val="00662FCA"/>
    <w:rsid w:val="006657E3"/>
    <w:rsid w:val="00666579"/>
    <w:rsid w:val="00670C70"/>
    <w:rsid w:val="00671B79"/>
    <w:rsid w:val="00671F29"/>
    <w:rsid w:val="00671F9C"/>
    <w:rsid w:val="00677BC7"/>
    <w:rsid w:val="00682C53"/>
    <w:rsid w:val="006852F6"/>
    <w:rsid w:val="00686BF0"/>
    <w:rsid w:val="00691711"/>
    <w:rsid w:val="006952D4"/>
    <w:rsid w:val="006A247B"/>
    <w:rsid w:val="006A526F"/>
    <w:rsid w:val="006A69BF"/>
    <w:rsid w:val="006B04A6"/>
    <w:rsid w:val="006B0E75"/>
    <w:rsid w:val="006B3CDD"/>
    <w:rsid w:val="006B51C4"/>
    <w:rsid w:val="006B55AC"/>
    <w:rsid w:val="006B5F5F"/>
    <w:rsid w:val="006B7F67"/>
    <w:rsid w:val="006C2A48"/>
    <w:rsid w:val="006C3159"/>
    <w:rsid w:val="006C39A2"/>
    <w:rsid w:val="006C568F"/>
    <w:rsid w:val="006C7771"/>
    <w:rsid w:val="006D0133"/>
    <w:rsid w:val="006D16FE"/>
    <w:rsid w:val="006D3C93"/>
    <w:rsid w:val="006D47B1"/>
    <w:rsid w:val="006D4D01"/>
    <w:rsid w:val="006E03D9"/>
    <w:rsid w:val="006E1A5A"/>
    <w:rsid w:val="006E3EB0"/>
    <w:rsid w:val="006E510A"/>
    <w:rsid w:val="006E5E28"/>
    <w:rsid w:val="006E628C"/>
    <w:rsid w:val="006E6F82"/>
    <w:rsid w:val="006E79B7"/>
    <w:rsid w:val="006F045E"/>
    <w:rsid w:val="006F0AAA"/>
    <w:rsid w:val="006F20FD"/>
    <w:rsid w:val="006F2B1A"/>
    <w:rsid w:val="006F2F79"/>
    <w:rsid w:val="006F3107"/>
    <w:rsid w:val="006F36E7"/>
    <w:rsid w:val="006F4750"/>
    <w:rsid w:val="006F581F"/>
    <w:rsid w:val="00703762"/>
    <w:rsid w:val="0070514A"/>
    <w:rsid w:val="0070720C"/>
    <w:rsid w:val="00707B71"/>
    <w:rsid w:val="00711DF4"/>
    <w:rsid w:val="00713798"/>
    <w:rsid w:val="007218C5"/>
    <w:rsid w:val="00721B88"/>
    <w:rsid w:val="00723528"/>
    <w:rsid w:val="00727115"/>
    <w:rsid w:val="0072719A"/>
    <w:rsid w:val="0073071B"/>
    <w:rsid w:val="00730E71"/>
    <w:rsid w:val="00730FC9"/>
    <w:rsid w:val="00735C6A"/>
    <w:rsid w:val="0073613F"/>
    <w:rsid w:val="00741D4C"/>
    <w:rsid w:val="00743635"/>
    <w:rsid w:val="0074593B"/>
    <w:rsid w:val="007464C9"/>
    <w:rsid w:val="007476DC"/>
    <w:rsid w:val="00747A9E"/>
    <w:rsid w:val="00747C77"/>
    <w:rsid w:val="007519BF"/>
    <w:rsid w:val="007545CC"/>
    <w:rsid w:val="00754BC4"/>
    <w:rsid w:val="007578B9"/>
    <w:rsid w:val="00761644"/>
    <w:rsid w:val="00761BE4"/>
    <w:rsid w:val="00761F5C"/>
    <w:rsid w:val="0076218D"/>
    <w:rsid w:val="00763601"/>
    <w:rsid w:val="00765762"/>
    <w:rsid w:val="00766289"/>
    <w:rsid w:val="00767050"/>
    <w:rsid w:val="00767054"/>
    <w:rsid w:val="0077061A"/>
    <w:rsid w:val="00773D41"/>
    <w:rsid w:val="00773FF3"/>
    <w:rsid w:val="00775783"/>
    <w:rsid w:val="0077634C"/>
    <w:rsid w:val="00782038"/>
    <w:rsid w:val="007821F7"/>
    <w:rsid w:val="007824C3"/>
    <w:rsid w:val="007853AB"/>
    <w:rsid w:val="0078614C"/>
    <w:rsid w:val="00790AE2"/>
    <w:rsid w:val="00791B64"/>
    <w:rsid w:val="0079437D"/>
    <w:rsid w:val="00795F87"/>
    <w:rsid w:val="00796717"/>
    <w:rsid w:val="00796842"/>
    <w:rsid w:val="007A2382"/>
    <w:rsid w:val="007A4AC7"/>
    <w:rsid w:val="007A5C32"/>
    <w:rsid w:val="007A69B2"/>
    <w:rsid w:val="007A7364"/>
    <w:rsid w:val="007B1449"/>
    <w:rsid w:val="007B3783"/>
    <w:rsid w:val="007B39D1"/>
    <w:rsid w:val="007B6837"/>
    <w:rsid w:val="007B795A"/>
    <w:rsid w:val="007B7C73"/>
    <w:rsid w:val="007C13FA"/>
    <w:rsid w:val="007C14F3"/>
    <w:rsid w:val="007C473E"/>
    <w:rsid w:val="007C4F16"/>
    <w:rsid w:val="007C4FB1"/>
    <w:rsid w:val="007C769B"/>
    <w:rsid w:val="007D0D10"/>
    <w:rsid w:val="007D161C"/>
    <w:rsid w:val="007D1846"/>
    <w:rsid w:val="007D1857"/>
    <w:rsid w:val="007D1FDF"/>
    <w:rsid w:val="007D28BE"/>
    <w:rsid w:val="007D47EC"/>
    <w:rsid w:val="007D56E2"/>
    <w:rsid w:val="007D5808"/>
    <w:rsid w:val="007D70A1"/>
    <w:rsid w:val="007E0C52"/>
    <w:rsid w:val="007E16F3"/>
    <w:rsid w:val="007E2802"/>
    <w:rsid w:val="007E3AD1"/>
    <w:rsid w:val="007E4760"/>
    <w:rsid w:val="007E52C4"/>
    <w:rsid w:val="007E6216"/>
    <w:rsid w:val="007F186F"/>
    <w:rsid w:val="007F1B36"/>
    <w:rsid w:val="007F2D3D"/>
    <w:rsid w:val="007F4601"/>
    <w:rsid w:val="00806192"/>
    <w:rsid w:val="00807E6D"/>
    <w:rsid w:val="0081224E"/>
    <w:rsid w:val="00812E1D"/>
    <w:rsid w:val="008132E8"/>
    <w:rsid w:val="00820376"/>
    <w:rsid w:val="00822461"/>
    <w:rsid w:val="00823407"/>
    <w:rsid w:val="0082469B"/>
    <w:rsid w:val="00824CC9"/>
    <w:rsid w:val="00825E89"/>
    <w:rsid w:val="00827D41"/>
    <w:rsid w:val="00830278"/>
    <w:rsid w:val="008361BC"/>
    <w:rsid w:val="008434C8"/>
    <w:rsid w:val="00844B53"/>
    <w:rsid w:val="00844FC2"/>
    <w:rsid w:val="00852317"/>
    <w:rsid w:val="008523FF"/>
    <w:rsid w:val="00852684"/>
    <w:rsid w:val="00852F58"/>
    <w:rsid w:val="00853BCD"/>
    <w:rsid w:val="00854003"/>
    <w:rsid w:val="00854D6C"/>
    <w:rsid w:val="00860175"/>
    <w:rsid w:val="00862D76"/>
    <w:rsid w:val="00866C67"/>
    <w:rsid w:val="00866D6D"/>
    <w:rsid w:val="00866E23"/>
    <w:rsid w:val="0087002A"/>
    <w:rsid w:val="00870256"/>
    <w:rsid w:val="00872DF5"/>
    <w:rsid w:val="00873138"/>
    <w:rsid w:val="00873FF7"/>
    <w:rsid w:val="00874429"/>
    <w:rsid w:val="008747AC"/>
    <w:rsid w:val="008747EA"/>
    <w:rsid w:val="00876413"/>
    <w:rsid w:val="00876C97"/>
    <w:rsid w:val="00877CA0"/>
    <w:rsid w:val="0088090E"/>
    <w:rsid w:val="00880D01"/>
    <w:rsid w:val="00882861"/>
    <w:rsid w:val="00883F84"/>
    <w:rsid w:val="0088413F"/>
    <w:rsid w:val="00886A06"/>
    <w:rsid w:val="00893224"/>
    <w:rsid w:val="008938F4"/>
    <w:rsid w:val="00894E24"/>
    <w:rsid w:val="00894FF2"/>
    <w:rsid w:val="008956B0"/>
    <w:rsid w:val="008A0147"/>
    <w:rsid w:val="008A0E2A"/>
    <w:rsid w:val="008A1A74"/>
    <w:rsid w:val="008A21EC"/>
    <w:rsid w:val="008A2B9D"/>
    <w:rsid w:val="008A36C9"/>
    <w:rsid w:val="008A3D45"/>
    <w:rsid w:val="008A5316"/>
    <w:rsid w:val="008B0184"/>
    <w:rsid w:val="008B248D"/>
    <w:rsid w:val="008C0391"/>
    <w:rsid w:val="008C4AD8"/>
    <w:rsid w:val="008C5D02"/>
    <w:rsid w:val="008C6D4E"/>
    <w:rsid w:val="008D2649"/>
    <w:rsid w:val="008D2A5C"/>
    <w:rsid w:val="008D38F0"/>
    <w:rsid w:val="008D5522"/>
    <w:rsid w:val="008D5949"/>
    <w:rsid w:val="008D7B58"/>
    <w:rsid w:val="008D7E71"/>
    <w:rsid w:val="008E1654"/>
    <w:rsid w:val="008E75D0"/>
    <w:rsid w:val="008F3C7B"/>
    <w:rsid w:val="00903669"/>
    <w:rsid w:val="0090568D"/>
    <w:rsid w:val="009072F5"/>
    <w:rsid w:val="0090765B"/>
    <w:rsid w:val="00911D67"/>
    <w:rsid w:val="00912021"/>
    <w:rsid w:val="009125C9"/>
    <w:rsid w:val="00912AB8"/>
    <w:rsid w:val="00913879"/>
    <w:rsid w:val="0091562D"/>
    <w:rsid w:val="0091707D"/>
    <w:rsid w:val="00917661"/>
    <w:rsid w:val="0092188F"/>
    <w:rsid w:val="00921D40"/>
    <w:rsid w:val="0092609F"/>
    <w:rsid w:val="00927C05"/>
    <w:rsid w:val="0093513B"/>
    <w:rsid w:val="009358DB"/>
    <w:rsid w:val="0093591E"/>
    <w:rsid w:val="0093609B"/>
    <w:rsid w:val="009370F4"/>
    <w:rsid w:val="0094030D"/>
    <w:rsid w:val="009472B4"/>
    <w:rsid w:val="009530E6"/>
    <w:rsid w:val="00953D18"/>
    <w:rsid w:val="009543AC"/>
    <w:rsid w:val="00960459"/>
    <w:rsid w:val="009606AA"/>
    <w:rsid w:val="00961BE0"/>
    <w:rsid w:val="00961DD5"/>
    <w:rsid w:val="00962B62"/>
    <w:rsid w:val="00965DF2"/>
    <w:rsid w:val="00965E70"/>
    <w:rsid w:val="00970E5D"/>
    <w:rsid w:val="00972D15"/>
    <w:rsid w:val="00972D28"/>
    <w:rsid w:val="0097701C"/>
    <w:rsid w:val="00980A65"/>
    <w:rsid w:val="00980E3B"/>
    <w:rsid w:val="0098100E"/>
    <w:rsid w:val="00982DD9"/>
    <w:rsid w:val="00985178"/>
    <w:rsid w:val="00985314"/>
    <w:rsid w:val="009856DE"/>
    <w:rsid w:val="0098627C"/>
    <w:rsid w:val="00990724"/>
    <w:rsid w:val="0099137F"/>
    <w:rsid w:val="00992B8C"/>
    <w:rsid w:val="009966BE"/>
    <w:rsid w:val="009974C8"/>
    <w:rsid w:val="009A1289"/>
    <w:rsid w:val="009A159B"/>
    <w:rsid w:val="009A1B9F"/>
    <w:rsid w:val="009A325A"/>
    <w:rsid w:val="009A3AB6"/>
    <w:rsid w:val="009B1506"/>
    <w:rsid w:val="009B4C69"/>
    <w:rsid w:val="009B5BDF"/>
    <w:rsid w:val="009B78BD"/>
    <w:rsid w:val="009C2664"/>
    <w:rsid w:val="009C5D22"/>
    <w:rsid w:val="009D0026"/>
    <w:rsid w:val="009D03FA"/>
    <w:rsid w:val="009D29FD"/>
    <w:rsid w:val="009D61B3"/>
    <w:rsid w:val="009D7745"/>
    <w:rsid w:val="009D78F0"/>
    <w:rsid w:val="009D7B1C"/>
    <w:rsid w:val="009E1939"/>
    <w:rsid w:val="009E58FF"/>
    <w:rsid w:val="009F399C"/>
    <w:rsid w:val="009F4641"/>
    <w:rsid w:val="009F6AF8"/>
    <w:rsid w:val="00A016C2"/>
    <w:rsid w:val="00A0189C"/>
    <w:rsid w:val="00A04A01"/>
    <w:rsid w:val="00A05339"/>
    <w:rsid w:val="00A074DD"/>
    <w:rsid w:val="00A10C79"/>
    <w:rsid w:val="00A114A4"/>
    <w:rsid w:val="00A14206"/>
    <w:rsid w:val="00A17948"/>
    <w:rsid w:val="00A210EB"/>
    <w:rsid w:val="00A242A0"/>
    <w:rsid w:val="00A24388"/>
    <w:rsid w:val="00A251EE"/>
    <w:rsid w:val="00A253FC"/>
    <w:rsid w:val="00A25E70"/>
    <w:rsid w:val="00A30BB2"/>
    <w:rsid w:val="00A32CF0"/>
    <w:rsid w:val="00A33765"/>
    <w:rsid w:val="00A3773F"/>
    <w:rsid w:val="00A41971"/>
    <w:rsid w:val="00A4356B"/>
    <w:rsid w:val="00A4488C"/>
    <w:rsid w:val="00A4768E"/>
    <w:rsid w:val="00A5248E"/>
    <w:rsid w:val="00A57F33"/>
    <w:rsid w:val="00A6304F"/>
    <w:rsid w:val="00A63269"/>
    <w:rsid w:val="00A63941"/>
    <w:rsid w:val="00A658BA"/>
    <w:rsid w:val="00A66B7C"/>
    <w:rsid w:val="00A67F8A"/>
    <w:rsid w:val="00A72702"/>
    <w:rsid w:val="00A72FBD"/>
    <w:rsid w:val="00A74237"/>
    <w:rsid w:val="00A75C93"/>
    <w:rsid w:val="00A80142"/>
    <w:rsid w:val="00A858A9"/>
    <w:rsid w:val="00A92377"/>
    <w:rsid w:val="00A92658"/>
    <w:rsid w:val="00A92761"/>
    <w:rsid w:val="00A93CE5"/>
    <w:rsid w:val="00A9429C"/>
    <w:rsid w:val="00AA079B"/>
    <w:rsid w:val="00AA4DBE"/>
    <w:rsid w:val="00AA5EB7"/>
    <w:rsid w:val="00AA7FD8"/>
    <w:rsid w:val="00AB1865"/>
    <w:rsid w:val="00AB29ED"/>
    <w:rsid w:val="00AB61D5"/>
    <w:rsid w:val="00AB7CFB"/>
    <w:rsid w:val="00AC04A6"/>
    <w:rsid w:val="00AC1D1C"/>
    <w:rsid w:val="00AC3C39"/>
    <w:rsid w:val="00AC5C31"/>
    <w:rsid w:val="00AC7149"/>
    <w:rsid w:val="00AD20C0"/>
    <w:rsid w:val="00AD2251"/>
    <w:rsid w:val="00AD4BEE"/>
    <w:rsid w:val="00AD551D"/>
    <w:rsid w:val="00AD7470"/>
    <w:rsid w:val="00AE40F8"/>
    <w:rsid w:val="00AE4949"/>
    <w:rsid w:val="00AE4BD8"/>
    <w:rsid w:val="00AE6F75"/>
    <w:rsid w:val="00AE729E"/>
    <w:rsid w:val="00AF0847"/>
    <w:rsid w:val="00AF2C2E"/>
    <w:rsid w:val="00AF576F"/>
    <w:rsid w:val="00AF5E82"/>
    <w:rsid w:val="00AF62D4"/>
    <w:rsid w:val="00B04052"/>
    <w:rsid w:val="00B04540"/>
    <w:rsid w:val="00B06EC2"/>
    <w:rsid w:val="00B07291"/>
    <w:rsid w:val="00B077A6"/>
    <w:rsid w:val="00B11541"/>
    <w:rsid w:val="00B11825"/>
    <w:rsid w:val="00B128EA"/>
    <w:rsid w:val="00B1480D"/>
    <w:rsid w:val="00B14BD3"/>
    <w:rsid w:val="00B15353"/>
    <w:rsid w:val="00B1579B"/>
    <w:rsid w:val="00B16284"/>
    <w:rsid w:val="00B16E7C"/>
    <w:rsid w:val="00B1717C"/>
    <w:rsid w:val="00B21059"/>
    <w:rsid w:val="00B210CD"/>
    <w:rsid w:val="00B24333"/>
    <w:rsid w:val="00B24B96"/>
    <w:rsid w:val="00B273A0"/>
    <w:rsid w:val="00B27A33"/>
    <w:rsid w:val="00B41223"/>
    <w:rsid w:val="00B424FC"/>
    <w:rsid w:val="00B42E3A"/>
    <w:rsid w:val="00B42EA3"/>
    <w:rsid w:val="00B4388F"/>
    <w:rsid w:val="00B43B19"/>
    <w:rsid w:val="00B45588"/>
    <w:rsid w:val="00B50C73"/>
    <w:rsid w:val="00B51823"/>
    <w:rsid w:val="00B56578"/>
    <w:rsid w:val="00B571EF"/>
    <w:rsid w:val="00B57242"/>
    <w:rsid w:val="00B57672"/>
    <w:rsid w:val="00B63237"/>
    <w:rsid w:val="00B63803"/>
    <w:rsid w:val="00B639F8"/>
    <w:rsid w:val="00B66E54"/>
    <w:rsid w:val="00B724C0"/>
    <w:rsid w:val="00B74D47"/>
    <w:rsid w:val="00B77528"/>
    <w:rsid w:val="00B77B83"/>
    <w:rsid w:val="00B80817"/>
    <w:rsid w:val="00B81765"/>
    <w:rsid w:val="00B84AA2"/>
    <w:rsid w:val="00B86D2B"/>
    <w:rsid w:val="00B8772B"/>
    <w:rsid w:val="00B90E80"/>
    <w:rsid w:val="00B91B84"/>
    <w:rsid w:val="00B96FAB"/>
    <w:rsid w:val="00B97B4F"/>
    <w:rsid w:val="00BA002B"/>
    <w:rsid w:val="00BA0BA3"/>
    <w:rsid w:val="00BA0D98"/>
    <w:rsid w:val="00BA1E1D"/>
    <w:rsid w:val="00BA3AC5"/>
    <w:rsid w:val="00BA4825"/>
    <w:rsid w:val="00BA77F1"/>
    <w:rsid w:val="00BB0059"/>
    <w:rsid w:val="00BB0309"/>
    <w:rsid w:val="00BB146C"/>
    <w:rsid w:val="00BB1F7A"/>
    <w:rsid w:val="00BB4528"/>
    <w:rsid w:val="00BC05A0"/>
    <w:rsid w:val="00BC17A5"/>
    <w:rsid w:val="00BC3509"/>
    <w:rsid w:val="00BC3E2D"/>
    <w:rsid w:val="00BC3E5A"/>
    <w:rsid w:val="00BC533A"/>
    <w:rsid w:val="00BC66F2"/>
    <w:rsid w:val="00BC7036"/>
    <w:rsid w:val="00BC7231"/>
    <w:rsid w:val="00BC7F0A"/>
    <w:rsid w:val="00BD038D"/>
    <w:rsid w:val="00BD13DA"/>
    <w:rsid w:val="00BD35DF"/>
    <w:rsid w:val="00BD38AB"/>
    <w:rsid w:val="00BD647D"/>
    <w:rsid w:val="00BD6CDE"/>
    <w:rsid w:val="00BE16E4"/>
    <w:rsid w:val="00BE1AE8"/>
    <w:rsid w:val="00BE2579"/>
    <w:rsid w:val="00BE4732"/>
    <w:rsid w:val="00BE6214"/>
    <w:rsid w:val="00BE6F05"/>
    <w:rsid w:val="00BF0165"/>
    <w:rsid w:val="00BF0E97"/>
    <w:rsid w:val="00BF140C"/>
    <w:rsid w:val="00BF18D3"/>
    <w:rsid w:val="00BF2776"/>
    <w:rsid w:val="00BF506A"/>
    <w:rsid w:val="00BF59F1"/>
    <w:rsid w:val="00BF6D5B"/>
    <w:rsid w:val="00BF74E8"/>
    <w:rsid w:val="00C014C4"/>
    <w:rsid w:val="00C05498"/>
    <w:rsid w:val="00C05518"/>
    <w:rsid w:val="00C109A7"/>
    <w:rsid w:val="00C10BB6"/>
    <w:rsid w:val="00C126D4"/>
    <w:rsid w:val="00C1607B"/>
    <w:rsid w:val="00C171AC"/>
    <w:rsid w:val="00C17568"/>
    <w:rsid w:val="00C17CEF"/>
    <w:rsid w:val="00C21226"/>
    <w:rsid w:val="00C22E1E"/>
    <w:rsid w:val="00C22F1F"/>
    <w:rsid w:val="00C268EA"/>
    <w:rsid w:val="00C27DF0"/>
    <w:rsid w:val="00C3137A"/>
    <w:rsid w:val="00C32FF7"/>
    <w:rsid w:val="00C33446"/>
    <w:rsid w:val="00C342DC"/>
    <w:rsid w:val="00C34E3C"/>
    <w:rsid w:val="00C36DBB"/>
    <w:rsid w:val="00C42D84"/>
    <w:rsid w:val="00C44518"/>
    <w:rsid w:val="00C451A7"/>
    <w:rsid w:val="00C45212"/>
    <w:rsid w:val="00C46859"/>
    <w:rsid w:val="00C47B9C"/>
    <w:rsid w:val="00C47C30"/>
    <w:rsid w:val="00C51C9B"/>
    <w:rsid w:val="00C52F6A"/>
    <w:rsid w:val="00C537F4"/>
    <w:rsid w:val="00C5441F"/>
    <w:rsid w:val="00C54F19"/>
    <w:rsid w:val="00C54FDA"/>
    <w:rsid w:val="00C604CE"/>
    <w:rsid w:val="00C610EC"/>
    <w:rsid w:val="00C62C2F"/>
    <w:rsid w:val="00C63304"/>
    <w:rsid w:val="00C63A31"/>
    <w:rsid w:val="00C6465F"/>
    <w:rsid w:val="00C65803"/>
    <w:rsid w:val="00C669D1"/>
    <w:rsid w:val="00C6721D"/>
    <w:rsid w:val="00C675AC"/>
    <w:rsid w:val="00C67685"/>
    <w:rsid w:val="00C7533B"/>
    <w:rsid w:val="00C7537D"/>
    <w:rsid w:val="00C75C02"/>
    <w:rsid w:val="00C77208"/>
    <w:rsid w:val="00C77237"/>
    <w:rsid w:val="00C8065D"/>
    <w:rsid w:val="00C807E8"/>
    <w:rsid w:val="00C814FD"/>
    <w:rsid w:val="00C81A1D"/>
    <w:rsid w:val="00C824B2"/>
    <w:rsid w:val="00C8296F"/>
    <w:rsid w:val="00C83249"/>
    <w:rsid w:val="00C85A18"/>
    <w:rsid w:val="00C86368"/>
    <w:rsid w:val="00C86C81"/>
    <w:rsid w:val="00C873BD"/>
    <w:rsid w:val="00C91465"/>
    <w:rsid w:val="00C930C2"/>
    <w:rsid w:val="00C941F3"/>
    <w:rsid w:val="00C9510A"/>
    <w:rsid w:val="00C95501"/>
    <w:rsid w:val="00C960C7"/>
    <w:rsid w:val="00C960DC"/>
    <w:rsid w:val="00C968D3"/>
    <w:rsid w:val="00C97D12"/>
    <w:rsid w:val="00CA0170"/>
    <w:rsid w:val="00CA0251"/>
    <w:rsid w:val="00CA29EB"/>
    <w:rsid w:val="00CA3041"/>
    <w:rsid w:val="00CA35A5"/>
    <w:rsid w:val="00CA6938"/>
    <w:rsid w:val="00CA75DB"/>
    <w:rsid w:val="00CA796D"/>
    <w:rsid w:val="00CA7E93"/>
    <w:rsid w:val="00CB07DC"/>
    <w:rsid w:val="00CB1670"/>
    <w:rsid w:val="00CB3661"/>
    <w:rsid w:val="00CB72B1"/>
    <w:rsid w:val="00CB7913"/>
    <w:rsid w:val="00CC58A0"/>
    <w:rsid w:val="00CC6268"/>
    <w:rsid w:val="00CD1D7B"/>
    <w:rsid w:val="00CD3F10"/>
    <w:rsid w:val="00CD44BA"/>
    <w:rsid w:val="00CD524A"/>
    <w:rsid w:val="00CE060A"/>
    <w:rsid w:val="00CE564C"/>
    <w:rsid w:val="00CE6B61"/>
    <w:rsid w:val="00CF2F89"/>
    <w:rsid w:val="00CF4675"/>
    <w:rsid w:val="00CF7D3C"/>
    <w:rsid w:val="00D00F80"/>
    <w:rsid w:val="00D02C75"/>
    <w:rsid w:val="00D03449"/>
    <w:rsid w:val="00D04CD5"/>
    <w:rsid w:val="00D055C8"/>
    <w:rsid w:val="00D10E22"/>
    <w:rsid w:val="00D11131"/>
    <w:rsid w:val="00D1181A"/>
    <w:rsid w:val="00D11DA2"/>
    <w:rsid w:val="00D13D2C"/>
    <w:rsid w:val="00D13DB3"/>
    <w:rsid w:val="00D14BAE"/>
    <w:rsid w:val="00D159EE"/>
    <w:rsid w:val="00D15E55"/>
    <w:rsid w:val="00D1607E"/>
    <w:rsid w:val="00D20045"/>
    <w:rsid w:val="00D214CB"/>
    <w:rsid w:val="00D2365B"/>
    <w:rsid w:val="00D241A9"/>
    <w:rsid w:val="00D24A6C"/>
    <w:rsid w:val="00D25947"/>
    <w:rsid w:val="00D30A70"/>
    <w:rsid w:val="00D30D29"/>
    <w:rsid w:val="00D30E77"/>
    <w:rsid w:val="00D341FD"/>
    <w:rsid w:val="00D346D0"/>
    <w:rsid w:val="00D35860"/>
    <w:rsid w:val="00D36CDB"/>
    <w:rsid w:val="00D403E5"/>
    <w:rsid w:val="00D40502"/>
    <w:rsid w:val="00D416E7"/>
    <w:rsid w:val="00D427E5"/>
    <w:rsid w:val="00D42957"/>
    <w:rsid w:val="00D42D74"/>
    <w:rsid w:val="00D474C7"/>
    <w:rsid w:val="00D47647"/>
    <w:rsid w:val="00D47748"/>
    <w:rsid w:val="00D51A7C"/>
    <w:rsid w:val="00D524D4"/>
    <w:rsid w:val="00D53A7A"/>
    <w:rsid w:val="00D53DF1"/>
    <w:rsid w:val="00D57C93"/>
    <w:rsid w:val="00D61262"/>
    <w:rsid w:val="00D614BF"/>
    <w:rsid w:val="00D614EF"/>
    <w:rsid w:val="00D621D1"/>
    <w:rsid w:val="00D62F26"/>
    <w:rsid w:val="00D67F62"/>
    <w:rsid w:val="00D7230C"/>
    <w:rsid w:val="00D733F9"/>
    <w:rsid w:val="00D73CFA"/>
    <w:rsid w:val="00D7540D"/>
    <w:rsid w:val="00D7765C"/>
    <w:rsid w:val="00D81E09"/>
    <w:rsid w:val="00D82983"/>
    <w:rsid w:val="00D82EDD"/>
    <w:rsid w:val="00D83161"/>
    <w:rsid w:val="00D85D17"/>
    <w:rsid w:val="00D863AA"/>
    <w:rsid w:val="00D86EB1"/>
    <w:rsid w:val="00D87D9F"/>
    <w:rsid w:val="00D90354"/>
    <w:rsid w:val="00D9547E"/>
    <w:rsid w:val="00D97890"/>
    <w:rsid w:val="00DA338D"/>
    <w:rsid w:val="00DA579D"/>
    <w:rsid w:val="00DA6EC6"/>
    <w:rsid w:val="00DA7E35"/>
    <w:rsid w:val="00DB13E6"/>
    <w:rsid w:val="00DB3199"/>
    <w:rsid w:val="00DB450F"/>
    <w:rsid w:val="00DB5347"/>
    <w:rsid w:val="00DB6AA1"/>
    <w:rsid w:val="00DB7471"/>
    <w:rsid w:val="00DC0A50"/>
    <w:rsid w:val="00DC2F94"/>
    <w:rsid w:val="00DC4D40"/>
    <w:rsid w:val="00DC6DA4"/>
    <w:rsid w:val="00DC74CF"/>
    <w:rsid w:val="00DD00D9"/>
    <w:rsid w:val="00DD1F34"/>
    <w:rsid w:val="00DD2800"/>
    <w:rsid w:val="00DD3D9E"/>
    <w:rsid w:val="00DD416D"/>
    <w:rsid w:val="00DD5658"/>
    <w:rsid w:val="00DD7908"/>
    <w:rsid w:val="00DE06E6"/>
    <w:rsid w:val="00DE06F2"/>
    <w:rsid w:val="00DE4D65"/>
    <w:rsid w:val="00DE6971"/>
    <w:rsid w:val="00DE6E6B"/>
    <w:rsid w:val="00DF2437"/>
    <w:rsid w:val="00DF6D8C"/>
    <w:rsid w:val="00DF706A"/>
    <w:rsid w:val="00DF7C34"/>
    <w:rsid w:val="00E001D7"/>
    <w:rsid w:val="00E00B8C"/>
    <w:rsid w:val="00E010C2"/>
    <w:rsid w:val="00E02563"/>
    <w:rsid w:val="00E0274E"/>
    <w:rsid w:val="00E03CF1"/>
    <w:rsid w:val="00E074FF"/>
    <w:rsid w:val="00E07A0D"/>
    <w:rsid w:val="00E11179"/>
    <w:rsid w:val="00E11470"/>
    <w:rsid w:val="00E13A27"/>
    <w:rsid w:val="00E20A46"/>
    <w:rsid w:val="00E21433"/>
    <w:rsid w:val="00E2365A"/>
    <w:rsid w:val="00E2493A"/>
    <w:rsid w:val="00E24B70"/>
    <w:rsid w:val="00E253A6"/>
    <w:rsid w:val="00E31F8C"/>
    <w:rsid w:val="00E33FE3"/>
    <w:rsid w:val="00E3568C"/>
    <w:rsid w:val="00E35927"/>
    <w:rsid w:val="00E413D1"/>
    <w:rsid w:val="00E419F3"/>
    <w:rsid w:val="00E429AD"/>
    <w:rsid w:val="00E431A0"/>
    <w:rsid w:val="00E46E51"/>
    <w:rsid w:val="00E500C4"/>
    <w:rsid w:val="00E5013E"/>
    <w:rsid w:val="00E52987"/>
    <w:rsid w:val="00E540BA"/>
    <w:rsid w:val="00E55267"/>
    <w:rsid w:val="00E60D23"/>
    <w:rsid w:val="00E63182"/>
    <w:rsid w:val="00E71B3D"/>
    <w:rsid w:val="00E72A4F"/>
    <w:rsid w:val="00E754FD"/>
    <w:rsid w:val="00E75DCB"/>
    <w:rsid w:val="00E7661A"/>
    <w:rsid w:val="00E77D3F"/>
    <w:rsid w:val="00E80E37"/>
    <w:rsid w:val="00E82297"/>
    <w:rsid w:val="00E8313C"/>
    <w:rsid w:val="00E84CB9"/>
    <w:rsid w:val="00E918DE"/>
    <w:rsid w:val="00E954D0"/>
    <w:rsid w:val="00E96BF0"/>
    <w:rsid w:val="00EA26BC"/>
    <w:rsid w:val="00EA3A48"/>
    <w:rsid w:val="00EA3D74"/>
    <w:rsid w:val="00EA3EC8"/>
    <w:rsid w:val="00EA4A43"/>
    <w:rsid w:val="00EA4CBD"/>
    <w:rsid w:val="00EB2343"/>
    <w:rsid w:val="00EB2B03"/>
    <w:rsid w:val="00EB4773"/>
    <w:rsid w:val="00EB49FA"/>
    <w:rsid w:val="00EB5400"/>
    <w:rsid w:val="00EB6639"/>
    <w:rsid w:val="00EB67AC"/>
    <w:rsid w:val="00EB790C"/>
    <w:rsid w:val="00EC1125"/>
    <w:rsid w:val="00EC1C15"/>
    <w:rsid w:val="00EC2FBF"/>
    <w:rsid w:val="00EC3310"/>
    <w:rsid w:val="00ED0E89"/>
    <w:rsid w:val="00ED1933"/>
    <w:rsid w:val="00ED3E73"/>
    <w:rsid w:val="00ED4669"/>
    <w:rsid w:val="00ED46A4"/>
    <w:rsid w:val="00ED553C"/>
    <w:rsid w:val="00ED6DA8"/>
    <w:rsid w:val="00EE56FD"/>
    <w:rsid w:val="00EE5A4E"/>
    <w:rsid w:val="00EF0137"/>
    <w:rsid w:val="00EF10EE"/>
    <w:rsid w:val="00EF1383"/>
    <w:rsid w:val="00EF2C8A"/>
    <w:rsid w:val="00EF39FD"/>
    <w:rsid w:val="00EF7367"/>
    <w:rsid w:val="00EF7FF0"/>
    <w:rsid w:val="00F001C2"/>
    <w:rsid w:val="00F01CC2"/>
    <w:rsid w:val="00F031CB"/>
    <w:rsid w:val="00F04E88"/>
    <w:rsid w:val="00F05259"/>
    <w:rsid w:val="00F06842"/>
    <w:rsid w:val="00F07BC3"/>
    <w:rsid w:val="00F107FD"/>
    <w:rsid w:val="00F10E89"/>
    <w:rsid w:val="00F11DBB"/>
    <w:rsid w:val="00F13C89"/>
    <w:rsid w:val="00F163C7"/>
    <w:rsid w:val="00F1673D"/>
    <w:rsid w:val="00F20791"/>
    <w:rsid w:val="00F22000"/>
    <w:rsid w:val="00F227E0"/>
    <w:rsid w:val="00F23FB0"/>
    <w:rsid w:val="00F26EAD"/>
    <w:rsid w:val="00F310C5"/>
    <w:rsid w:val="00F320D3"/>
    <w:rsid w:val="00F32F92"/>
    <w:rsid w:val="00F34377"/>
    <w:rsid w:val="00F37099"/>
    <w:rsid w:val="00F37997"/>
    <w:rsid w:val="00F37B63"/>
    <w:rsid w:val="00F4071C"/>
    <w:rsid w:val="00F43D50"/>
    <w:rsid w:val="00F44968"/>
    <w:rsid w:val="00F46D59"/>
    <w:rsid w:val="00F50FE4"/>
    <w:rsid w:val="00F53CB5"/>
    <w:rsid w:val="00F54356"/>
    <w:rsid w:val="00F564A4"/>
    <w:rsid w:val="00F56F79"/>
    <w:rsid w:val="00F5754F"/>
    <w:rsid w:val="00F57C9B"/>
    <w:rsid w:val="00F60A43"/>
    <w:rsid w:val="00F6282B"/>
    <w:rsid w:val="00F63FE5"/>
    <w:rsid w:val="00F64B6E"/>
    <w:rsid w:val="00F678A3"/>
    <w:rsid w:val="00F71F0F"/>
    <w:rsid w:val="00F7271B"/>
    <w:rsid w:val="00F727CB"/>
    <w:rsid w:val="00F73FB3"/>
    <w:rsid w:val="00F7479A"/>
    <w:rsid w:val="00F75865"/>
    <w:rsid w:val="00F82AD7"/>
    <w:rsid w:val="00F83574"/>
    <w:rsid w:val="00F84A27"/>
    <w:rsid w:val="00F84BD0"/>
    <w:rsid w:val="00F9370B"/>
    <w:rsid w:val="00FA1B4F"/>
    <w:rsid w:val="00FA1DCB"/>
    <w:rsid w:val="00FA788A"/>
    <w:rsid w:val="00FB0518"/>
    <w:rsid w:val="00FB07E7"/>
    <w:rsid w:val="00FB13AD"/>
    <w:rsid w:val="00FB193B"/>
    <w:rsid w:val="00FB1A9D"/>
    <w:rsid w:val="00FB208D"/>
    <w:rsid w:val="00FB4072"/>
    <w:rsid w:val="00FB5EA1"/>
    <w:rsid w:val="00FB64A8"/>
    <w:rsid w:val="00FC2B85"/>
    <w:rsid w:val="00FC6583"/>
    <w:rsid w:val="00FC6E9B"/>
    <w:rsid w:val="00FC7633"/>
    <w:rsid w:val="00FD105E"/>
    <w:rsid w:val="00FD18C3"/>
    <w:rsid w:val="00FD26FB"/>
    <w:rsid w:val="00FD29FD"/>
    <w:rsid w:val="00FD3AD0"/>
    <w:rsid w:val="00FD502A"/>
    <w:rsid w:val="00FD620C"/>
    <w:rsid w:val="00FD6B87"/>
    <w:rsid w:val="00FE0316"/>
    <w:rsid w:val="00FE0F5C"/>
    <w:rsid w:val="00FE131B"/>
    <w:rsid w:val="00FE21B2"/>
    <w:rsid w:val="00FE28BE"/>
    <w:rsid w:val="00FE44FF"/>
    <w:rsid w:val="00FE4D3B"/>
    <w:rsid w:val="00FE5C28"/>
    <w:rsid w:val="00FE743D"/>
    <w:rsid w:val="00FF13FD"/>
    <w:rsid w:val="00FF236A"/>
    <w:rsid w:val="00FF28F6"/>
    <w:rsid w:val="00FF2DFC"/>
    <w:rsid w:val="00FF32F9"/>
    <w:rsid w:val="00FF36E6"/>
    <w:rsid w:val="00FF3859"/>
    <w:rsid w:val="00FF75AA"/>
    <w:rsid w:val="153E10DB"/>
    <w:rsid w:val="204948C4"/>
    <w:rsid w:val="21F4F336"/>
    <w:rsid w:val="25311A59"/>
    <w:rsid w:val="4F51F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EADAC77C-406A-DE40-9268-8C0B77C9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uiPriority w:val="9"/>
    <w:qFormat/>
    <w:rsid w:val="004A3B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1D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4A3BEC"/>
    <w:rPr>
      <w:rFonts w:asciiTheme="majorHAnsi" w:eastAsiaTheme="majorEastAsia" w:hAnsiTheme="majorHAnsi" w:cstheme="majorBidi"/>
      <w:b/>
      <w:bCs/>
      <w:color w:val="365F91" w:themeColor="accent1" w:themeShade="BF"/>
      <w:sz w:val="28"/>
      <w:szCs w:val="28"/>
      <w:lang w:val="en-US" w:eastAsia="en-US" w:bidi="en-US"/>
    </w:rPr>
  </w:style>
  <w:style w:type="character" w:styleId="Collegamentovisitato">
    <w:name w:val="FollowedHyperlink"/>
    <w:basedOn w:val="Carpredefinitoparagrafo"/>
    <w:semiHidden/>
    <w:unhideWhenUsed/>
    <w:rsid w:val="008A3D45"/>
    <w:rPr>
      <w:color w:val="800080" w:themeColor="followedHyperlink"/>
      <w:u w:val="single"/>
    </w:rPr>
  </w:style>
  <w:style w:type="character" w:styleId="Testosegnaposto">
    <w:name w:val="Placeholder Text"/>
    <w:basedOn w:val="Carpredefinitoparagrafo"/>
    <w:uiPriority w:val="99"/>
    <w:semiHidden/>
    <w:rsid w:val="002D69D6"/>
    <w:rPr>
      <w:color w:val="666666"/>
    </w:rPr>
  </w:style>
  <w:style w:type="paragraph" w:styleId="PreformattatoHTML">
    <w:name w:val="HTML Preformatted"/>
    <w:basedOn w:val="Normale"/>
    <w:link w:val="PreformattatoHTMLCarattere"/>
    <w:uiPriority w:val="99"/>
    <w:semiHidden/>
    <w:unhideWhenUsed/>
    <w:rsid w:val="00C8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tatoHTMLCarattere">
    <w:name w:val="Preformattato HTML Carattere"/>
    <w:basedOn w:val="Carpredefinitoparagrafo"/>
    <w:link w:val="PreformattatoHTML"/>
    <w:uiPriority w:val="99"/>
    <w:semiHidden/>
    <w:rsid w:val="00C86C81"/>
    <w:rPr>
      <w:rFonts w:ascii="Courier New" w:hAnsi="Courier New" w:cs="Courier New"/>
      <w:lang w:val="en-US" w:eastAsia="en-US"/>
    </w:rPr>
  </w:style>
  <w:style w:type="character" w:customStyle="1" w:styleId="hljs-meta">
    <w:name w:val="hljs-meta"/>
    <w:basedOn w:val="Carpredefinitoparagrafo"/>
    <w:rsid w:val="00C86C81"/>
  </w:style>
  <w:style w:type="character" w:customStyle="1" w:styleId="hljs-number">
    <w:name w:val="hljs-number"/>
    <w:basedOn w:val="Carpredefinitoparagrafo"/>
    <w:rsid w:val="00C86C81"/>
  </w:style>
  <w:style w:type="character" w:customStyle="1" w:styleId="hljs-string">
    <w:name w:val="hljs-string"/>
    <w:basedOn w:val="Carpredefinitoparagrafo"/>
    <w:rsid w:val="00C86C81"/>
  </w:style>
  <w:style w:type="paragraph" w:styleId="Revisione">
    <w:name w:val="Revision"/>
    <w:hidden/>
    <w:uiPriority w:val="99"/>
    <w:semiHidden/>
    <w:rsid w:val="00F727C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9782">
      <w:bodyDiv w:val="1"/>
      <w:marLeft w:val="0"/>
      <w:marRight w:val="0"/>
      <w:marTop w:val="0"/>
      <w:marBottom w:val="0"/>
      <w:divBdr>
        <w:top w:val="none" w:sz="0" w:space="0" w:color="auto"/>
        <w:left w:val="none" w:sz="0" w:space="0" w:color="auto"/>
        <w:bottom w:val="none" w:sz="0" w:space="0" w:color="auto"/>
        <w:right w:val="none" w:sz="0" w:space="0" w:color="auto"/>
      </w:divBdr>
    </w:div>
    <w:div w:id="169878230">
      <w:bodyDiv w:val="1"/>
      <w:marLeft w:val="0"/>
      <w:marRight w:val="0"/>
      <w:marTop w:val="0"/>
      <w:marBottom w:val="0"/>
      <w:divBdr>
        <w:top w:val="none" w:sz="0" w:space="0" w:color="auto"/>
        <w:left w:val="none" w:sz="0" w:space="0" w:color="auto"/>
        <w:bottom w:val="none" w:sz="0" w:space="0" w:color="auto"/>
        <w:right w:val="none" w:sz="0" w:space="0" w:color="auto"/>
      </w:divBdr>
    </w:div>
    <w:div w:id="204022775">
      <w:bodyDiv w:val="1"/>
      <w:marLeft w:val="0"/>
      <w:marRight w:val="0"/>
      <w:marTop w:val="0"/>
      <w:marBottom w:val="0"/>
      <w:divBdr>
        <w:top w:val="none" w:sz="0" w:space="0" w:color="auto"/>
        <w:left w:val="none" w:sz="0" w:space="0" w:color="auto"/>
        <w:bottom w:val="none" w:sz="0" w:space="0" w:color="auto"/>
        <w:right w:val="none" w:sz="0" w:space="0" w:color="auto"/>
      </w:divBdr>
    </w:div>
    <w:div w:id="210773768">
      <w:bodyDiv w:val="1"/>
      <w:marLeft w:val="0"/>
      <w:marRight w:val="0"/>
      <w:marTop w:val="0"/>
      <w:marBottom w:val="0"/>
      <w:divBdr>
        <w:top w:val="none" w:sz="0" w:space="0" w:color="auto"/>
        <w:left w:val="none" w:sz="0" w:space="0" w:color="auto"/>
        <w:bottom w:val="none" w:sz="0" w:space="0" w:color="auto"/>
        <w:right w:val="none" w:sz="0" w:space="0" w:color="auto"/>
      </w:divBdr>
    </w:div>
    <w:div w:id="266084637">
      <w:bodyDiv w:val="1"/>
      <w:marLeft w:val="0"/>
      <w:marRight w:val="0"/>
      <w:marTop w:val="0"/>
      <w:marBottom w:val="0"/>
      <w:divBdr>
        <w:top w:val="none" w:sz="0" w:space="0" w:color="auto"/>
        <w:left w:val="none" w:sz="0" w:space="0" w:color="auto"/>
        <w:bottom w:val="none" w:sz="0" w:space="0" w:color="auto"/>
        <w:right w:val="none" w:sz="0" w:space="0" w:color="auto"/>
      </w:divBdr>
    </w:div>
    <w:div w:id="437943772">
      <w:bodyDiv w:val="1"/>
      <w:marLeft w:val="0"/>
      <w:marRight w:val="0"/>
      <w:marTop w:val="0"/>
      <w:marBottom w:val="0"/>
      <w:divBdr>
        <w:top w:val="none" w:sz="0" w:space="0" w:color="auto"/>
        <w:left w:val="none" w:sz="0" w:space="0" w:color="auto"/>
        <w:bottom w:val="none" w:sz="0" w:space="0" w:color="auto"/>
        <w:right w:val="none" w:sz="0" w:space="0" w:color="auto"/>
      </w:divBdr>
    </w:div>
    <w:div w:id="449855740">
      <w:bodyDiv w:val="1"/>
      <w:marLeft w:val="0"/>
      <w:marRight w:val="0"/>
      <w:marTop w:val="0"/>
      <w:marBottom w:val="0"/>
      <w:divBdr>
        <w:top w:val="none" w:sz="0" w:space="0" w:color="auto"/>
        <w:left w:val="none" w:sz="0" w:space="0" w:color="auto"/>
        <w:bottom w:val="none" w:sz="0" w:space="0" w:color="auto"/>
        <w:right w:val="none" w:sz="0" w:space="0" w:color="auto"/>
      </w:divBdr>
    </w:div>
    <w:div w:id="621573575">
      <w:bodyDiv w:val="1"/>
      <w:marLeft w:val="0"/>
      <w:marRight w:val="0"/>
      <w:marTop w:val="0"/>
      <w:marBottom w:val="0"/>
      <w:divBdr>
        <w:top w:val="none" w:sz="0" w:space="0" w:color="auto"/>
        <w:left w:val="none" w:sz="0" w:space="0" w:color="auto"/>
        <w:bottom w:val="none" w:sz="0" w:space="0" w:color="auto"/>
        <w:right w:val="none" w:sz="0" w:space="0" w:color="auto"/>
      </w:divBdr>
    </w:div>
    <w:div w:id="754666013">
      <w:bodyDiv w:val="1"/>
      <w:marLeft w:val="0"/>
      <w:marRight w:val="0"/>
      <w:marTop w:val="0"/>
      <w:marBottom w:val="0"/>
      <w:divBdr>
        <w:top w:val="none" w:sz="0" w:space="0" w:color="auto"/>
        <w:left w:val="none" w:sz="0" w:space="0" w:color="auto"/>
        <w:bottom w:val="none" w:sz="0" w:space="0" w:color="auto"/>
        <w:right w:val="none" w:sz="0" w:space="0" w:color="auto"/>
      </w:divBdr>
    </w:div>
    <w:div w:id="776872061">
      <w:bodyDiv w:val="1"/>
      <w:marLeft w:val="0"/>
      <w:marRight w:val="0"/>
      <w:marTop w:val="0"/>
      <w:marBottom w:val="0"/>
      <w:divBdr>
        <w:top w:val="none" w:sz="0" w:space="0" w:color="auto"/>
        <w:left w:val="none" w:sz="0" w:space="0" w:color="auto"/>
        <w:bottom w:val="none" w:sz="0" w:space="0" w:color="auto"/>
        <w:right w:val="none" w:sz="0" w:space="0" w:color="auto"/>
      </w:divBdr>
    </w:div>
    <w:div w:id="802381315">
      <w:bodyDiv w:val="1"/>
      <w:marLeft w:val="0"/>
      <w:marRight w:val="0"/>
      <w:marTop w:val="0"/>
      <w:marBottom w:val="0"/>
      <w:divBdr>
        <w:top w:val="none" w:sz="0" w:space="0" w:color="auto"/>
        <w:left w:val="none" w:sz="0" w:space="0" w:color="auto"/>
        <w:bottom w:val="none" w:sz="0" w:space="0" w:color="auto"/>
        <w:right w:val="none" w:sz="0" w:space="0" w:color="auto"/>
      </w:divBdr>
    </w:div>
    <w:div w:id="816147664">
      <w:bodyDiv w:val="1"/>
      <w:marLeft w:val="0"/>
      <w:marRight w:val="0"/>
      <w:marTop w:val="0"/>
      <w:marBottom w:val="0"/>
      <w:divBdr>
        <w:top w:val="none" w:sz="0" w:space="0" w:color="auto"/>
        <w:left w:val="none" w:sz="0" w:space="0" w:color="auto"/>
        <w:bottom w:val="none" w:sz="0" w:space="0" w:color="auto"/>
        <w:right w:val="none" w:sz="0" w:space="0" w:color="auto"/>
      </w:divBdr>
    </w:div>
    <w:div w:id="820198719">
      <w:bodyDiv w:val="1"/>
      <w:marLeft w:val="0"/>
      <w:marRight w:val="0"/>
      <w:marTop w:val="0"/>
      <w:marBottom w:val="0"/>
      <w:divBdr>
        <w:top w:val="none" w:sz="0" w:space="0" w:color="auto"/>
        <w:left w:val="none" w:sz="0" w:space="0" w:color="auto"/>
        <w:bottom w:val="none" w:sz="0" w:space="0" w:color="auto"/>
        <w:right w:val="none" w:sz="0" w:space="0" w:color="auto"/>
      </w:divBdr>
    </w:div>
    <w:div w:id="903373755">
      <w:bodyDiv w:val="1"/>
      <w:marLeft w:val="0"/>
      <w:marRight w:val="0"/>
      <w:marTop w:val="0"/>
      <w:marBottom w:val="0"/>
      <w:divBdr>
        <w:top w:val="none" w:sz="0" w:space="0" w:color="auto"/>
        <w:left w:val="none" w:sz="0" w:space="0" w:color="auto"/>
        <w:bottom w:val="none" w:sz="0" w:space="0" w:color="auto"/>
        <w:right w:val="none" w:sz="0" w:space="0" w:color="auto"/>
      </w:divBdr>
    </w:div>
    <w:div w:id="915896070">
      <w:bodyDiv w:val="1"/>
      <w:marLeft w:val="0"/>
      <w:marRight w:val="0"/>
      <w:marTop w:val="0"/>
      <w:marBottom w:val="0"/>
      <w:divBdr>
        <w:top w:val="none" w:sz="0" w:space="0" w:color="auto"/>
        <w:left w:val="none" w:sz="0" w:space="0" w:color="auto"/>
        <w:bottom w:val="none" w:sz="0" w:space="0" w:color="auto"/>
        <w:right w:val="none" w:sz="0" w:space="0" w:color="auto"/>
      </w:divBdr>
    </w:div>
    <w:div w:id="1072317004">
      <w:bodyDiv w:val="1"/>
      <w:marLeft w:val="0"/>
      <w:marRight w:val="0"/>
      <w:marTop w:val="0"/>
      <w:marBottom w:val="0"/>
      <w:divBdr>
        <w:top w:val="none" w:sz="0" w:space="0" w:color="auto"/>
        <w:left w:val="none" w:sz="0" w:space="0" w:color="auto"/>
        <w:bottom w:val="none" w:sz="0" w:space="0" w:color="auto"/>
        <w:right w:val="none" w:sz="0" w:space="0" w:color="auto"/>
      </w:divBdr>
    </w:div>
    <w:div w:id="1136873067">
      <w:bodyDiv w:val="1"/>
      <w:marLeft w:val="0"/>
      <w:marRight w:val="0"/>
      <w:marTop w:val="0"/>
      <w:marBottom w:val="0"/>
      <w:divBdr>
        <w:top w:val="none" w:sz="0" w:space="0" w:color="auto"/>
        <w:left w:val="none" w:sz="0" w:space="0" w:color="auto"/>
        <w:bottom w:val="none" w:sz="0" w:space="0" w:color="auto"/>
        <w:right w:val="none" w:sz="0" w:space="0" w:color="auto"/>
      </w:divBdr>
    </w:div>
    <w:div w:id="1387753164">
      <w:bodyDiv w:val="1"/>
      <w:marLeft w:val="0"/>
      <w:marRight w:val="0"/>
      <w:marTop w:val="0"/>
      <w:marBottom w:val="0"/>
      <w:divBdr>
        <w:top w:val="none" w:sz="0" w:space="0" w:color="auto"/>
        <w:left w:val="none" w:sz="0" w:space="0" w:color="auto"/>
        <w:bottom w:val="none" w:sz="0" w:space="0" w:color="auto"/>
        <w:right w:val="none" w:sz="0" w:space="0" w:color="auto"/>
      </w:divBdr>
    </w:div>
    <w:div w:id="1503467421">
      <w:bodyDiv w:val="1"/>
      <w:marLeft w:val="0"/>
      <w:marRight w:val="0"/>
      <w:marTop w:val="0"/>
      <w:marBottom w:val="0"/>
      <w:divBdr>
        <w:top w:val="none" w:sz="0" w:space="0" w:color="auto"/>
        <w:left w:val="none" w:sz="0" w:space="0" w:color="auto"/>
        <w:bottom w:val="none" w:sz="0" w:space="0" w:color="auto"/>
        <w:right w:val="none" w:sz="0" w:space="0" w:color="auto"/>
      </w:divBdr>
      <w:divsChild>
        <w:div w:id="211192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075618">
              <w:marLeft w:val="0"/>
              <w:marRight w:val="0"/>
              <w:marTop w:val="0"/>
              <w:marBottom w:val="0"/>
              <w:divBdr>
                <w:top w:val="none" w:sz="0" w:space="0" w:color="auto"/>
                <w:left w:val="none" w:sz="0" w:space="0" w:color="auto"/>
                <w:bottom w:val="none" w:sz="0" w:space="0" w:color="auto"/>
                <w:right w:val="none" w:sz="0" w:space="0" w:color="auto"/>
              </w:divBdr>
              <w:divsChild>
                <w:div w:id="1737433765">
                  <w:marLeft w:val="0"/>
                  <w:marRight w:val="0"/>
                  <w:marTop w:val="0"/>
                  <w:marBottom w:val="0"/>
                  <w:divBdr>
                    <w:top w:val="none" w:sz="0" w:space="0" w:color="auto"/>
                    <w:left w:val="none" w:sz="0" w:space="0" w:color="auto"/>
                    <w:bottom w:val="none" w:sz="0" w:space="0" w:color="auto"/>
                    <w:right w:val="none" w:sz="0" w:space="0" w:color="auto"/>
                  </w:divBdr>
                  <w:divsChild>
                    <w:div w:id="13647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2443">
      <w:bodyDiv w:val="1"/>
      <w:marLeft w:val="0"/>
      <w:marRight w:val="0"/>
      <w:marTop w:val="0"/>
      <w:marBottom w:val="0"/>
      <w:divBdr>
        <w:top w:val="none" w:sz="0" w:space="0" w:color="auto"/>
        <w:left w:val="none" w:sz="0" w:space="0" w:color="auto"/>
        <w:bottom w:val="none" w:sz="0" w:space="0" w:color="auto"/>
        <w:right w:val="none" w:sz="0" w:space="0" w:color="auto"/>
      </w:divBdr>
    </w:div>
    <w:div w:id="1691681227">
      <w:bodyDiv w:val="1"/>
      <w:marLeft w:val="0"/>
      <w:marRight w:val="0"/>
      <w:marTop w:val="0"/>
      <w:marBottom w:val="0"/>
      <w:divBdr>
        <w:top w:val="none" w:sz="0" w:space="0" w:color="auto"/>
        <w:left w:val="none" w:sz="0" w:space="0" w:color="auto"/>
        <w:bottom w:val="none" w:sz="0" w:space="0" w:color="auto"/>
        <w:right w:val="none" w:sz="0" w:space="0" w:color="auto"/>
      </w:divBdr>
      <w:divsChild>
        <w:div w:id="1466043746">
          <w:marLeft w:val="0"/>
          <w:marRight w:val="0"/>
          <w:marTop w:val="0"/>
          <w:marBottom w:val="0"/>
          <w:divBdr>
            <w:top w:val="none" w:sz="0" w:space="0" w:color="auto"/>
            <w:left w:val="none" w:sz="0" w:space="0" w:color="auto"/>
            <w:bottom w:val="none" w:sz="0" w:space="0" w:color="auto"/>
            <w:right w:val="none" w:sz="0" w:space="0" w:color="auto"/>
          </w:divBdr>
        </w:div>
      </w:divsChild>
    </w:div>
    <w:div w:id="1803427065">
      <w:bodyDiv w:val="1"/>
      <w:marLeft w:val="0"/>
      <w:marRight w:val="0"/>
      <w:marTop w:val="0"/>
      <w:marBottom w:val="0"/>
      <w:divBdr>
        <w:top w:val="none" w:sz="0" w:space="0" w:color="auto"/>
        <w:left w:val="none" w:sz="0" w:space="0" w:color="auto"/>
        <w:bottom w:val="none" w:sz="0" w:space="0" w:color="auto"/>
        <w:right w:val="none" w:sz="0" w:space="0" w:color="auto"/>
      </w:divBdr>
    </w:div>
    <w:div w:id="1837762668">
      <w:bodyDiv w:val="1"/>
      <w:marLeft w:val="0"/>
      <w:marRight w:val="0"/>
      <w:marTop w:val="0"/>
      <w:marBottom w:val="0"/>
      <w:divBdr>
        <w:top w:val="none" w:sz="0" w:space="0" w:color="auto"/>
        <w:left w:val="none" w:sz="0" w:space="0" w:color="auto"/>
        <w:bottom w:val="none" w:sz="0" w:space="0" w:color="auto"/>
        <w:right w:val="none" w:sz="0" w:space="0" w:color="auto"/>
      </w:divBdr>
    </w:div>
    <w:div w:id="1846820234">
      <w:bodyDiv w:val="1"/>
      <w:marLeft w:val="0"/>
      <w:marRight w:val="0"/>
      <w:marTop w:val="0"/>
      <w:marBottom w:val="0"/>
      <w:divBdr>
        <w:top w:val="none" w:sz="0" w:space="0" w:color="auto"/>
        <w:left w:val="none" w:sz="0" w:space="0" w:color="auto"/>
        <w:bottom w:val="none" w:sz="0" w:space="0" w:color="auto"/>
        <w:right w:val="none" w:sz="0" w:space="0" w:color="auto"/>
      </w:divBdr>
    </w:div>
    <w:div w:id="1855145364">
      <w:bodyDiv w:val="1"/>
      <w:marLeft w:val="0"/>
      <w:marRight w:val="0"/>
      <w:marTop w:val="0"/>
      <w:marBottom w:val="0"/>
      <w:divBdr>
        <w:top w:val="none" w:sz="0" w:space="0" w:color="auto"/>
        <w:left w:val="none" w:sz="0" w:space="0" w:color="auto"/>
        <w:bottom w:val="none" w:sz="0" w:space="0" w:color="auto"/>
        <w:right w:val="none" w:sz="0" w:space="0" w:color="auto"/>
      </w:divBdr>
    </w:div>
    <w:div w:id="1945648055">
      <w:bodyDiv w:val="1"/>
      <w:marLeft w:val="0"/>
      <w:marRight w:val="0"/>
      <w:marTop w:val="0"/>
      <w:marBottom w:val="0"/>
      <w:divBdr>
        <w:top w:val="none" w:sz="0" w:space="0" w:color="auto"/>
        <w:left w:val="none" w:sz="0" w:space="0" w:color="auto"/>
        <w:bottom w:val="none" w:sz="0" w:space="0" w:color="auto"/>
        <w:right w:val="none" w:sz="0" w:space="0" w:color="auto"/>
      </w:divBdr>
    </w:div>
    <w:div w:id="1981692469">
      <w:bodyDiv w:val="1"/>
      <w:marLeft w:val="0"/>
      <w:marRight w:val="0"/>
      <w:marTop w:val="0"/>
      <w:marBottom w:val="0"/>
      <w:divBdr>
        <w:top w:val="none" w:sz="0" w:space="0" w:color="auto"/>
        <w:left w:val="none" w:sz="0" w:space="0" w:color="auto"/>
        <w:bottom w:val="none" w:sz="0" w:space="0" w:color="auto"/>
        <w:right w:val="none" w:sz="0" w:space="0" w:color="auto"/>
      </w:divBdr>
    </w:div>
    <w:div w:id="2006351672">
      <w:bodyDiv w:val="1"/>
      <w:marLeft w:val="0"/>
      <w:marRight w:val="0"/>
      <w:marTop w:val="0"/>
      <w:marBottom w:val="0"/>
      <w:divBdr>
        <w:top w:val="none" w:sz="0" w:space="0" w:color="auto"/>
        <w:left w:val="none" w:sz="0" w:space="0" w:color="auto"/>
        <w:bottom w:val="none" w:sz="0" w:space="0" w:color="auto"/>
        <w:right w:val="none" w:sz="0" w:space="0" w:color="auto"/>
      </w:divBdr>
    </w:div>
    <w:div w:id="2024161716">
      <w:bodyDiv w:val="1"/>
      <w:marLeft w:val="0"/>
      <w:marRight w:val="0"/>
      <w:marTop w:val="0"/>
      <w:marBottom w:val="0"/>
      <w:divBdr>
        <w:top w:val="none" w:sz="0" w:space="0" w:color="auto"/>
        <w:left w:val="none" w:sz="0" w:space="0" w:color="auto"/>
        <w:bottom w:val="none" w:sz="0" w:space="0" w:color="auto"/>
        <w:right w:val="none" w:sz="0" w:space="0" w:color="auto"/>
      </w:divBdr>
    </w:div>
    <w:div w:id="21279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okings.edu/articles/how-to-build-more-secure-resilient-next-gen-u-s-supply-cha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iak22</b:Tag>
    <b:SourceType>JournalArticle</b:SourceType>
    <b:Guid>{89F13B1B-C414-0546-A8EE-38ADDF04B963}</b:Guid>
    <b:Title>How to build more secure, resilient, next-gen US supply chains</b:Title>
    <b:JournalName>Brookings Institute Tech street</b:JournalName>
    <b:Year>2022</b:Year>
    <b:Author>
      <b:Author>
        <b:NameList>
          <b:Person>
            <b:Last>Iakovou</b:Last>
            <b:First>Eleftherios</b:First>
          </b:Person>
          <b:Person>
            <b:Last>White</b:Last>
            <b:First>Chelsea</b:First>
          </b:Person>
        </b:NameList>
      </b:Author>
    </b:Author>
    <b:RefOrder>1</b:RefOrder>
  </b:Source>
  <b:Source>
    <b:Tag>Mul</b:Tag>
    <b:SourceType>JournalArticle</b:SourceType>
    <b:Guid>{35B92F0A-8B06-9B43-85FB-F570B98C953E}</b:Guid>
    <b:Title>Multi-scale integration for enhanced resilience of sustainable energy supply chains: Perspectives and challenges</b:Title>
    <b:Author>
      <b:Author>
        <b:NameList>
          <b:Person>
            <b:Last>Chrisandina</b:Last>
            <b:First>Natasha</b:First>
            <b:Middle>Jane</b:Middle>
          </b:Person>
          <b:Person>
            <b:Last>Vedant</b:Last>
            <b:First>Shivam</b:First>
          </b:Person>
          <b:Person>
            <b:Last>Iakovou</b:Last>
            <b:First>Eleftherios</b:First>
          </b:Person>
          <b:Person>
            <b:Last>Pistikopoulos</b:Last>
            <b:First>Efstratios</b:First>
            <b:Middle>N.</b:Middle>
          </b:Person>
          <b:Person>
            <b:Last>El-Halwagi</b:Last>
            <b:First>Mahmoud</b:First>
            <b:Middle>M.</b:Middle>
          </b:Person>
        </b:NameList>
      </b:Author>
    </b:Author>
    <b:JournalName>Computers and Chemical Engineering</b:JournalName>
    <b:Year>2022</b:Year>
    <b:Pages>107891</b:Pages>
    <b:Volume>164</b:Volume>
    <b:RefOrder>2</b:RefOrder>
  </b:Source>
</b:Sources>
</file>

<file path=customXml/itemProps1.xml><?xml version="1.0" encoding="utf-8"?>
<ds:datastoreItem xmlns:ds="http://schemas.openxmlformats.org/officeDocument/2006/customXml" ds:itemID="{6E0EFA62-7DB0-47D4-918E-31710ED9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2512</Words>
  <Characters>14324</Characters>
  <Application>Microsoft Office Word</Application>
  <DocSecurity>0</DocSecurity>
  <Lines>119</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2</cp:revision>
  <cp:lastPrinted>2023-12-11T16:40:00Z</cp:lastPrinted>
  <dcterms:created xsi:type="dcterms:W3CDTF">2024-01-08T10:42:00Z</dcterms:created>
  <dcterms:modified xsi:type="dcterms:W3CDTF">2024-01-08T10:42:00Z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