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238B81C4" w:rsidR="00DD3D9E" w:rsidRPr="00D037B6" w:rsidRDefault="00213102">
      <w:pPr>
        <w:pStyle w:val="Els-Title"/>
        <w:rPr>
          <w:rFonts w:asciiTheme="majorBidi" w:hAnsiTheme="majorBidi" w:cstheme="majorBidi"/>
        </w:rPr>
      </w:pPr>
      <w:r w:rsidRPr="00D037B6">
        <w:rPr>
          <w:rFonts w:asciiTheme="majorBidi" w:hAnsiTheme="majorBidi" w:cstheme="majorBidi"/>
          <w:szCs w:val="28"/>
        </w:rPr>
        <w:t xml:space="preserve">Performance </w:t>
      </w:r>
      <w:r w:rsidR="00DB3E5B" w:rsidRPr="00D037B6">
        <w:rPr>
          <w:rFonts w:asciiTheme="majorBidi" w:hAnsiTheme="majorBidi" w:cstheme="majorBidi"/>
          <w:szCs w:val="28"/>
        </w:rPr>
        <w:t>A</w:t>
      </w:r>
      <w:r w:rsidRPr="00D037B6">
        <w:rPr>
          <w:rFonts w:asciiTheme="majorBidi" w:hAnsiTheme="majorBidi" w:cstheme="majorBidi"/>
          <w:szCs w:val="28"/>
        </w:rPr>
        <w:t xml:space="preserve">ssessment of </w:t>
      </w:r>
      <w:r w:rsidR="00DB3E5B" w:rsidRPr="00D037B6">
        <w:rPr>
          <w:rFonts w:asciiTheme="majorBidi" w:hAnsiTheme="majorBidi" w:cstheme="majorBidi"/>
          <w:szCs w:val="28"/>
        </w:rPr>
        <w:t>W</w:t>
      </w:r>
      <w:r w:rsidRPr="00D037B6">
        <w:rPr>
          <w:rFonts w:asciiTheme="majorBidi" w:hAnsiTheme="majorBidi" w:cstheme="majorBidi"/>
          <w:szCs w:val="28"/>
        </w:rPr>
        <w:t xml:space="preserve">aste and </w:t>
      </w:r>
      <w:r w:rsidR="00DB3E5B" w:rsidRPr="00D037B6">
        <w:rPr>
          <w:rFonts w:asciiTheme="majorBidi" w:hAnsiTheme="majorBidi" w:cstheme="majorBidi"/>
          <w:szCs w:val="28"/>
        </w:rPr>
        <w:t>B</w:t>
      </w:r>
      <w:r w:rsidRPr="00D037B6">
        <w:rPr>
          <w:rFonts w:asciiTheme="majorBidi" w:hAnsiTheme="majorBidi" w:cstheme="majorBidi"/>
          <w:szCs w:val="28"/>
        </w:rPr>
        <w:t xml:space="preserve">iomass </w:t>
      </w:r>
      <w:r w:rsidR="00DB3E5B" w:rsidRPr="00D037B6">
        <w:rPr>
          <w:rFonts w:asciiTheme="majorBidi" w:hAnsiTheme="majorBidi" w:cstheme="majorBidi"/>
          <w:szCs w:val="28"/>
        </w:rPr>
        <w:t>T</w:t>
      </w:r>
      <w:r w:rsidRPr="00D037B6">
        <w:rPr>
          <w:rFonts w:asciiTheme="majorBidi" w:hAnsiTheme="majorBidi" w:cstheme="majorBidi"/>
          <w:szCs w:val="28"/>
        </w:rPr>
        <w:t xml:space="preserve">wo-stage </w:t>
      </w:r>
      <w:r w:rsidR="00DB3E5B" w:rsidRPr="00D037B6">
        <w:rPr>
          <w:rFonts w:asciiTheme="majorBidi" w:hAnsiTheme="majorBidi" w:cstheme="majorBidi"/>
          <w:szCs w:val="28"/>
        </w:rPr>
        <w:t>P</w:t>
      </w:r>
      <w:r w:rsidRPr="00D037B6">
        <w:rPr>
          <w:rFonts w:asciiTheme="majorBidi" w:hAnsiTheme="majorBidi" w:cstheme="majorBidi"/>
          <w:szCs w:val="28"/>
        </w:rPr>
        <w:t>yrolysis/</w:t>
      </w:r>
      <w:r w:rsidR="00DB3E5B" w:rsidRPr="00D037B6">
        <w:rPr>
          <w:rFonts w:asciiTheme="majorBidi" w:hAnsiTheme="majorBidi" w:cstheme="majorBidi"/>
          <w:szCs w:val="28"/>
        </w:rPr>
        <w:t>S</w:t>
      </w:r>
      <w:r w:rsidRPr="00D037B6">
        <w:rPr>
          <w:rFonts w:asciiTheme="majorBidi" w:hAnsiTheme="majorBidi" w:cstheme="majorBidi"/>
          <w:szCs w:val="28"/>
        </w:rPr>
        <w:t xml:space="preserve">plit </w:t>
      </w:r>
      <w:r w:rsidR="00DB3E5B" w:rsidRPr="00D037B6">
        <w:rPr>
          <w:rFonts w:asciiTheme="majorBidi" w:hAnsiTheme="majorBidi" w:cstheme="majorBidi"/>
          <w:szCs w:val="28"/>
        </w:rPr>
        <w:t>P</w:t>
      </w:r>
      <w:r w:rsidRPr="00D037B6">
        <w:rPr>
          <w:rFonts w:asciiTheme="majorBidi" w:hAnsiTheme="majorBidi" w:cstheme="majorBidi"/>
          <w:szCs w:val="28"/>
        </w:rPr>
        <w:t xml:space="preserve">roduct </w:t>
      </w:r>
      <w:r w:rsidR="00DB3E5B" w:rsidRPr="00D037B6">
        <w:rPr>
          <w:rFonts w:asciiTheme="majorBidi" w:hAnsiTheme="majorBidi" w:cstheme="majorBidi"/>
          <w:szCs w:val="28"/>
        </w:rPr>
        <w:t>O</w:t>
      </w:r>
      <w:r w:rsidRPr="00D037B6">
        <w:rPr>
          <w:rFonts w:asciiTheme="majorBidi" w:hAnsiTheme="majorBidi" w:cstheme="majorBidi"/>
          <w:szCs w:val="28"/>
        </w:rPr>
        <w:t xml:space="preserve">xy-gasification (PSPOG) </w:t>
      </w:r>
      <w:r w:rsidR="00865D19" w:rsidRPr="00D037B6">
        <w:rPr>
          <w:rFonts w:asciiTheme="majorBidi" w:hAnsiTheme="majorBidi" w:cstheme="majorBidi"/>
          <w:szCs w:val="28"/>
        </w:rPr>
        <w:t>U</w:t>
      </w:r>
      <w:r w:rsidRPr="00D037B6">
        <w:rPr>
          <w:rFonts w:asciiTheme="majorBidi" w:hAnsiTheme="majorBidi" w:cstheme="majorBidi"/>
          <w:szCs w:val="28"/>
        </w:rPr>
        <w:t xml:space="preserve">sing Aspen </w:t>
      </w:r>
      <w:r w:rsidR="00DB3E5B" w:rsidRPr="00D037B6">
        <w:rPr>
          <w:rFonts w:asciiTheme="majorBidi" w:hAnsiTheme="majorBidi" w:cstheme="majorBidi"/>
          <w:szCs w:val="28"/>
        </w:rPr>
        <w:t>S</w:t>
      </w:r>
      <w:r w:rsidRPr="00D037B6">
        <w:rPr>
          <w:rFonts w:asciiTheme="majorBidi" w:hAnsiTheme="majorBidi" w:cstheme="majorBidi"/>
          <w:szCs w:val="28"/>
        </w:rPr>
        <w:t>imulation</w:t>
      </w:r>
    </w:p>
    <w:p w14:paraId="144DE680" w14:textId="14A41804" w:rsidR="00DD3D9E" w:rsidRPr="00D037B6" w:rsidRDefault="00213102">
      <w:pPr>
        <w:pStyle w:val="Els-Author"/>
      </w:pPr>
      <w:r w:rsidRPr="00D037B6">
        <w:t>Juma Haydary</w:t>
      </w:r>
      <w:r w:rsidR="00DB3E5B" w:rsidRPr="00D037B6">
        <w:t>*</w:t>
      </w:r>
    </w:p>
    <w:p w14:paraId="144DE683" w14:textId="0F5BFA96" w:rsidR="008D2649" w:rsidRPr="00D037B6" w:rsidRDefault="00213102" w:rsidP="00213102">
      <w:pPr>
        <w:pStyle w:val="Els-Affiliation"/>
        <w:rPr>
          <w:rFonts w:asciiTheme="majorBidi" w:hAnsiTheme="majorBidi" w:cstheme="majorBidi"/>
          <w:lang w:bidi="fa-IR"/>
        </w:rPr>
      </w:pPr>
      <w:r w:rsidRPr="00D037B6">
        <w:rPr>
          <w:rFonts w:asciiTheme="majorBidi" w:hAnsiTheme="majorBidi" w:cstheme="majorBidi"/>
          <w:lang w:val="en-US"/>
        </w:rPr>
        <w:t>Slovak University of Technology in Bratislava, Radlinského 9, 812 37 Bratislava, Slovakia</w:t>
      </w:r>
      <w:r w:rsidR="00DB3E5B" w:rsidRPr="00D037B6">
        <w:rPr>
          <w:rFonts w:asciiTheme="majorBidi" w:hAnsiTheme="majorBidi" w:cstheme="majorBidi"/>
          <w:lang w:val="en-US"/>
        </w:rPr>
        <w:t xml:space="preserve">, </w:t>
      </w:r>
      <w:hyperlink r:id="rId8" w:history="1">
        <w:r w:rsidR="00DB3E5B" w:rsidRPr="00D037B6">
          <w:rPr>
            <w:rStyle w:val="Hypertextovprepojenie"/>
            <w:rFonts w:asciiTheme="majorBidi" w:hAnsiTheme="majorBidi" w:cstheme="majorBidi"/>
            <w:color w:val="auto"/>
            <w:lang w:val="en-US"/>
          </w:rPr>
          <w:t>juma.haydary</w:t>
        </w:r>
        <w:r w:rsidR="00DB3E5B" w:rsidRPr="00D037B6">
          <w:rPr>
            <w:rStyle w:val="Hypertextovprepojenie"/>
            <w:rFonts w:asciiTheme="majorBidi" w:hAnsiTheme="majorBidi" w:cstheme="majorBidi"/>
            <w:color w:val="auto"/>
            <w:lang w:bidi="fa-IR"/>
          </w:rPr>
          <w:t>@stuba.sk</w:t>
        </w:r>
      </w:hyperlink>
      <w:r w:rsidR="00DB3E5B" w:rsidRPr="00D037B6">
        <w:rPr>
          <w:rFonts w:asciiTheme="majorBidi" w:hAnsiTheme="majorBidi" w:cstheme="majorBidi"/>
          <w:lang w:bidi="fa-IR"/>
        </w:rPr>
        <w:t xml:space="preserve"> </w:t>
      </w:r>
    </w:p>
    <w:p w14:paraId="144DE684" w14:textId="77777777" w:rsidR="008D2649" w:rsidRPr="00D037B6" w:rsidRDefault="008D2649" w:rsidP="008D2649">
      <w:pPr>
        <w:pStyle w:val="Els-Abstract"/>
      </w:pPr>
      <w:r w:rsidRPr="00D037B6">
        <w:t>Abstract</w:t>
      </w:r>
    </w:p>
    <w:p w14:paraId="485CF37D" w14:textId="1F5CCF78" w:rsidR="00213102" w:rsidRPr="00D037B6" w:rsidRDefault="003A34DC" w:rsidP="003C612E">
      <w:pPr>
        <w:pStyle w:val="Els-body-text"/>
        <w:spacing w:after="120"/>
        <w:rPr>
          <w:lang w:val="en-GB"/>
        </w:rPr>
      </w:pPr>
      <w:r w:rsidRPr="00D037B6">
        <w:rPr>
          <w:lang w:val="en-GB"/>
        </w:rPr>
        <w:t xml:space="preserve">Air blowing gasifiers produce syngas with low heating value, which can limit its application. </w:t>
      </w:r>
      <w:r w:rsidR="00865D19" w:rsidRPr="00D037B6">
        <w:rPr>
          <w:lang w:val="en-GB"/>
        </w:rPr>
        <w:t>The u</w:t>
      </w:r>
      <w:r w:rsidRPr="00D037B6">
        <w:rPr>
          <w:lang w:val="en-GB"/>
        </w:rPr>
        <w:t>se of pure oxygen increase</w:t>
      </w:r>
      <w:r w:rsidR="00C26980" w:rsidRPr="00D037B6">
        <w:rPr>
          <w:lang w:val="en-GB"/>
        </w:rPr>
        <w:t>s</w:t>
      </w:r>
      <w:r w:rsidRPr="00D037B6">
        <w:rPr>
          <w:lang w:val="en-GB"/>
        </w:rPr>
        <w:t xml:space="preserve"> the gas heating value, however, i</w:t>
      </w:r>
      <w:r w:rsidR="00213102" w:rsidRPr="00D037B6">
        <w:rPr>
          <w:lang w:val="en-GB"/>
        </w:rPr>
        <w:t>n a single-stage gasification process, total carbon conversion is reached at relatively high</w:t>
      </w:r>
      <w:r w:rsidR="006874F2" w:rsidRPr="00D037B6">
        <w:rPr>
          <w:lang w:val="en-GB"/>
        </w:rPr>
        <w:t xml:space="preserve"> equivalence ratio</w:t>
      </w:r>
      <w:r w:rsidR="00213102" w:rsidRPr="00D037B6">
        <w:rPr>
          <w:lang w:val="en-GB"/>
        </w:rPr>
        <w:t xml:space="preserve"> </w:t>
      </w:r>
      <w:r w:rsidR="006874F2" w:rsidRPr="00D037B6">
        <w:rPr>
          <w:lang w:val="en-GB"/>
        </w:rPr>
        <w:t>(</w:t>
      </w:r>
      <w:r w:rsidR="00213102" w:rsidRPr="00D037B6">
        <w:rPr>
          <w:lang w:val="en-GB"/>
        </w:rPr>
        <w:t>ER</w:t>
      </w:r>
      <w:r w:rsidR="006874F2" w:rsidRPr="00D037B6">
        <w:rPr>
          <w:lang w:val="en-GB"/>
        </w:rPr>
        <w:t>)</w:t>
      </w:r>
      <w:r w:rsidR="006D0855" w:rsidRPr="00D037B6">
        <w:rPr>
          <w:lang w:val="en-GB"/>
        </w:rPr>
        <w:t>, which</w:t>
      </w:r>
      <w:r w:rsidR="00213102" w:rsidRPr="00D037B6">
        <w:rPr>
          <w:lang w:val="en-GB"/>
        </w:rPr>
        <w:t xml:space="preserve"> result</w:t>
      </w:r>
      <w:r w:rsidR="006D0855" w:rsidRPr="00D037B6">
        <w:rPr>
          <w:lang w:val="en-GB"/>
        </w:rPr>
        <w:t>s</w:t>
      </w:r>
      <w:r w:rsidR="00213102" w:rsidRPr="00D037B6">
        <w:rPr>
          <w:lang w:val="en-GB"/>
        </w:rPr>
        <w:t xml:space="preserve"> in high </w:t>
      </w:r>
      <w:r w:rsidR="006D0855" w:rsidRPr="00D037B6">
        <w:rPr>
          <w:lang w:val="en-GB"/>
        </w:rPr>
        <w:t xml:space="preserve">oxygen </w:t>
      </w:r>
      <w:r w:rsidR="00213102" w:rsidRPr="00D037B6">
        <w:rPr>
          <w:lang w:val="en-GB"/>
        </w:rPr>
        <w:t xml:space="preserve">requirement. </w:t>
      </w:r>
      <w:r w:rsidR="006D5675" w:rsidRPr="00D037B6">
        <w:rPr>
          <w:lang w:val="en-GB"/>
        </w:rPr>
        <w:t>A</w:t>
      </w:r>
      <w:r w:rsidR="00213102" w:rsidRPr="00D037B6">
        <w:rPr>
          <w:lang w:val="en-GB"/>
        </w:rPr>
        <w:t xml:space="preserve"> two-stage pyrolysis/split product oxy-gasification (PSPOG) combined with steam reforming can reduce the required ER for complete carbon conversion at high cold gas efficiency </w:t>
      </w:r>
      <w:r w:rsidR="006D0855" w:rsidRPr="00D037B6">
        <w:rPr>
          <w:lang w:val="en-GB"/>
        </w:rPr>
        <w:t>(</w:t>
      </w:r>
      <w:r w:rsidR="00213102" w:rsidRPr="00D037B6">
        <w:rPr>
          <w:lang w:val="en-GB"/>
        </w:rPr>
        <w:t>CGE</w:t>
      </w:r>
      <w:r w:rsidR="006D0855" w:rsidRPr="00D037B6">
        <w:rPr>
          <w:lang w:val="en-GB"/>
        </w:rPr>
        <w:t>)</w:t>
      </w:r>
      <w:r w:rsidR="00213102" w:rsidRPr="00D037B6">
        <w:rPr>
          <w:lang w:val="en-GB"/>
        </w:rPr>
        <w:t xml:space="preserve"> and high gas heating value</w:t>
      </w:r>
      <w:r w:rsidR="006874F2" w:rsidRPr="00D037B6">
        <w:rPr>
          <w:lang w:val="en-GB"/>
        </w:rPr>
        <w:t xml:space="preserve">. </w:t>
      </w:r>
      <w:r w:rsidR="00213102" w:rsidRPr="00D037B6">
        <w:rPr>
          <w:lang w:val="en-GB"/>
        </w:rPr>
        <w:t xml:space="preserve">A laboratory scale </w:t>
      </w:r>
      <w:r w:rsidRPr="00D037B6">
        <w:rPr>
          <w:lang w:val="en-GB"/>
        </w:rPr>
        <w:t>PSPOG</w:t>
      </w:r>
      <w:r w:rsidR="00213102" w:rsidRPr="00D037B6">
        <w:rPr>
          <w:lang w:val="en-GB"/>
        </w:rPr>
        <w:t xml:space="preserve"> unit was used to determine suitable gasification conditions. In the next step, Aspen Plus simulation was employed to simulate </w:t>
      </w:r>
      <w:r w:rsidR="00443B6E" w:rsidRPr="00D037B6">
        <w:rPr>
          <w:lang w:val="en-GB"/>
        </w:rPr>
        <w:t>an</w:t>
      </w:r>
      <w:r w:rsidR="00213102" w:rsidRPr="00D037B6">
        <w:rPr>
          <w:lang w:val="en-GB"/>
        </w:rPr>
        <w:t xml:space="preserve"> industrial scale </w:t>
      </w:r>
      <w:r w:rsidRPr="00D037B6">
        <w:rPr>
          <w:lang w:val="en-GB"/>
        </w:rPr>
        <w:t>PSPOG process</w:t>
      </w:r>
      <w:r w:rsidR="00213102" w:rsidRPr="00D037B6">
        <w:rPr>
          <w:lang w:val="en-GB"/>
        </w:rPr>
        <w:t>. As a reference, a single-stage gasifier model was simulated. Carbon conversion in</w:t>
      </w:r>
      <w:r w:rsidR="006D0855" w:rsidRPr="00D037B6">
        <w:rPr>
          <w:lang w:val="en-GB"/>
        </w:rPr>
        <w:t xml:space="preserve"> the</w:t>
      </w:r>
      <w:r w:rsidR="00213102" w:rsidRPr="00D037B6">
        <w:rPr>
          <w:lang w:val="en-GB"/>
        </w:rPr>
        <w:t xml:space="preserve"> PSPOG process was </w:t>
      </w:r>
      <w:r w:rsidR="006874F2" w:rsidRPr="00D037B6">
        <w:rPr>
          <w:lang w:val="en-GB"/>
        </w:rPr>
        <w:t xml:space="preserve">completed </w:t>
      </w:r>
      <w:r w:rsidR="00213102" w:rsidRPr="00D037B6">
        <w:rPr>
          <w:lang w:val="en-GB"/>
        </w:rPr>
        <w:t>at ER of 0.1</w:t>
      </w:r>
      <w:r w:rsidR="00765A99" w:rsidRPr="00D037B6">
        <w:rPr>
          <w:lang w:val="en-GB"/>
        </w:rPr>
        <w:t>1</w:t>
      </w:r>
      <w:r w:rsidR="00213102" w:rsidRPr="00D037B6">
        <w:rPr>
          <w:lang w:val="en-GB"/>
        </w:rPr>
        <w:t xml:space="preserve"> which is</w:t>
      </w:r>
      <w:r w:rsidR="006D5675" w:rsidRPr="00D037B6">
        <w:rPr>
          <w:lang w:val="en-GB"/>
        </w:rPr>
        <w:t xml:space="preserve"> almost</w:t>
      </w:r>
      <w:r w:rsidR="00213102" w:rsidRPr="00D037B6">
        <w:rPr>
          <w:lang w:val="en-GB"/>
        </w:rPr>
        <w:t xml:space="preserve"> 2.5 times lower than th</w:t>
      </w:r>
      <w:r w:rsidR="006D0855" w:rsidRPr="00D037B6">
        <w:rPr>
          <w:lang w:val="en-GB"/>
        </w:rPr>
        <w:t>e</w:t>
      </w:r>
      <w:r w:rsidR="00213102" w:rsidRPr="00D037B6">
        <w:rPr>
          <w:lang w:val="en-GB"/>
        </w:rPr>
        <w:t xml:space="preserve"> value required in a single-stage gasifier for the same raw material. Theoretical CGE at this ER was 0.93, while for a single-stage gasifier it was 0.52 and reached </w:t>
      </w:r>
      <w:r w:rsidR="006D0855" w:rsidRPr="00D037B6">
        <w:rPr>
          <w:lang w:val="en-GB"/>
        </w:rPr>
        <w:t xml:space="preserve">the </w:t>
      </w:r>
      <w:r w:rsidR="00213102" w:rsidRPr="00D037B6">
        <w:rPr>
          <w:lang w:val="en-GB"/>
        </w:rPr>
        <w:t>maximum value of 0.89 at ER</w:t>
      </w:r>
      <w:r w:rsidR="006D0855" w:rsidRPr="00D037B6">
        <w:rPr>
          <w:lang w:val="en-GB"/>
        </w:rPr>
        <w:t xml:space="preserve"> of</w:t>
      </w:r>
      <w:r w:rsidR="00213102" w:rsidRPr="00D037B6">
        <w:rPr>
          <w:lang w:val="en-GB"/>
        </w:rPr>
        <w:t xml:space="preserve"> 0.25. Gas </w:t>
      </w:r>
      <w:r w:rsidR="006874F2" w:rsidRPr="00D037B6">
        <w:rPr>
          <w:lang w:val="en-GB"/>
        </w:rPr>
        <w:t>lower heating value (</w:t>
      </w:r>
      <w:r w:rsidR="00213102" w:rsidRPr="00D037B6">
        <w:rPr>
          <w:lang w:val="en-GB"/>
        </w:rPr>
        <w:t>LHV</w:t>
      </w:r>
      <w:r w:rsidR="006874F2" w:rsidRPr="00D037B6">
        <w:rPr>
          <w:lang w:val="en-GB"/>
        </w:rPr>
        <w:t>)</w:t>
      </w:r>
      <w:r w:rsidR="00213102" w:rsidRPr="00D037B6">
        <w:rPr>
          <w:lang w:val="en-GB"/>
        </w:rPr>
        <w:t xml:space="preserve"> at complete carbon conversion was 15 MJ/Nm</w:t>
      </w:r>
      <w:r w:rsidR="00213102" w:rsidRPr="00D037B6">
        <w:rPr>
          <w:vertAlign w:val="superscript"/>
          <w:lang w:val="en-GB"/>
        </w:rPr>
        <w:t>3</w:t>
      </w:r>
      <w:r w:rsidR="00213102" w:rsidRPr="00D037B6">
        <w:rPr>
          <w:lang w:val="en-GB"/>
        </w:rPr>
        <w:t xml:space="preserve"> versus 12 MJ/Nm</w:t>
      </w:r>
      <w:r w:rsidR="00213102" w:rsidRPr="00D037B6">
        <w:rPr>
          <w:vertAlign w:val="superscript"/>
          <w:lang w:val="en-GB"/>
        </w:rPr>
        <w:t>3</w:t>
      </w:r>
      <w:r w:rsidR="00213102" w:rsidRPr="00D037B6">
        <w:rPr>
          <w:lang w:val="en-GB"/>
        </w:rPr>
        <w:t xml:space="preserve"> for a single-stage gasifier. Recycling of 22% of the produced raw gas back to the char gasification reactor helped to maintain the </w:t>
      </w:r>
      <w:r w:rsidRPr="00D037B6">
        <w:rPr>
          <w:lang w:val="en-GB"/>
        </w:rPr>
        <w:t xml:space="preserve">required reactor </w:t>
      </w:r>
      <w:r w:rsidR="00213102" w:rsidRPr="00D037B6">
        <w:rPr>
          <w:lang w:val="en-GB"/>
        </w:rPr>
        <w:t>temperature</w:t>
      </w:r>
      <w:r w:rsidRPr="00D037B6">
        <w:rPr>
          <w:lang w:val="en-GB"/>
        </w:rPr>
        <w:t xml:space="preserve">. </w:t>
      </w:r>
    </w:p>
    <w:p w14:paraId="144DE687" w14:textId="34D21627" w:rsidR="008D2649" w:rsidRPr="00D037B6" w:rsidRDefault="008D2649" w:rsidP="008D2649">
      <w:pPr>
        <w:pStyle w:val="Els-body-text"/>
        <w:spacing w:after="120"/>
        <w:rPr>
          <w:lang w:val="en-GB"/>
        </w:rPr>
      </w:pPr>
      <w:r w:rsidRPr="00D037B6">
        <w:rPr>
          <w:b/>
          <w:bCs/>
          <w:lang w:val="en-GB"/>
        </w:rPr>
        <w:t>Keywords</w:t>
      </w:r>
      <w:r w:rsidRPr="00D037B6">
        <w:rPr>
          <w:lang w:val="en-GB"/>
        </w:rPr>
        <w:t xml:space="preserve">: </w:t>
      </w:r>
      <w:r w:rsidR="006874F2" w:rsidRPr="00D037B6">
        <w:rPr>
          <w:lang w:val="en-GB"/>
        </w:rPr>
        <w:t>gasification, two-stage, oxy-gasification, equivalence ratio, Aspen Plus</w:t>
      </w:r>
      <w:r w:rsidRPr="00D037B6">
        <w:rPr>
          <w:lang w:val="en-GB"/>
        </w:rPr>
        <w:t>.</w:t>
      </w:r>
    </w:p>
    <w:p w14:paraId="144DE689" w14:textId="14FB0FA7" w:rsidR="008D2649" w:rsidRPr="00D037B6" w:rsidRDefault="006874F2" w:rsidP="008D2649">
      <w:pPr>
        <w:pStyle w:val="Els-1storder-head"/>
      </w:pPr>
      <w:r w:rsidRPr="00D037B6">
        <w:t xml:space="preserve">Introduction </w:t>
      </w:r>
    </w:p>
    <w:p w14:paraId="7C049371" w14:textId="77777777" w:rsidR="00B726F8" w:rsidRPr="00D037B6" w:rsidRDefault="00B726F8" w:rsidP="008D2649">
      <w:pPr>
        <w:pStyle w:val="Els-body-text"/>
        <w:rPr>
          <w:lang w:val="en-GB"/>
        </w:rPr>
      </w:pPr>
    </w:p>
    <w:p w14:paraId="6B76C735" w14:textId="33822769" w:rsidR="00146BFA" w:rsidRPr="00D037B6" w:rsidRDefault="003A2090" w:rsidP="00146BFA">
      <w:pPr>
        <w:pStyle w:val="Els-body-text"/>
      </w:pPr>
      <w:r w:rsidRPr="00D037B6">
        <w:rPr>
          <w:lang w:val="en-GB"/>
        </w:rPr>
        <w:t xml:space="preserve">Most solid waste streams are in form of mixed waste, the mechanical recycling of which is inconvenient. </w:t>
      </w:r>
      <w:r w:rsidR="00656BE3" w:rsidRPr="00D037B6">
        <w:rPr>
          <w:lang w:val="en-GB"/>
        </w:rPr>
        <w:t>Based on OECD 2022 report</w:t>
      </w:r>
      <w:r w:rsidR="00D60A73" w:rsidRPr="00D037B6">
        <w:rPr>
          <w:lang w:val="en-GB"/>
        </w:rPr>
        <w:t>,</w:t>
      </w:r>
      <w:r w:rsidR="00656BE3" w:rsidRPr="00D037B6">
        <w:rPr>
          <w:lang w:val="en-GB"/>
        </w:rPr>
        <w:t xml:space="preserve"> only 9%</w:t>
      </w:r>
      <w:r w:rsidR="00656BE3" w:rsidRPr="00D037B6">
        <w:t xml:space="preserve"> </w:t>
      </w:r>
      <w:r w:rsidR="00656BE3" w:rsidRPr="00D037B6">
        <w:rPr>
          <w:lang w:val="en-GB"/>
        </w:rPr>
        <w:t>of plastic waste w</w:t>
      </w:r>
      <w:r w:rsidR="00C26980" w:rsidRPr="00D037B6">
        <w:rPr>
          <w:lang w:val="en-GB"/>
        </w:rPr>
        <w:t>ere</w:t>
      </w:r>
      <w:r w:rsidR="00656BE3" w:rsidRPr="00D037B6">
        <w:rPr>
          <w:lang w:val="en-GB"/>
        </w:rPr>
        <w:t xml:space="preserve"> recycled during the period </w:t>
      </w:r>
      <w:r w:rsidR="00D60A73" w:rsidRPr="00D037B6">
        <w:rPr>
          <w:lang w:val="en-GB"/>
        </w:rPr>
        <w:t xml:space="preserve">of </w:t>
      </w:r>
      <w:r w:rsidR="00656BE3" w:rsidRPr="00D037B6">
        <w:rPr>
          <w:lang w:val="en-GB"/>
        </w:rPr>
        <w:t>2000–2019 (Zheng and Watanabe, 2022)</w:t>
      </w:r>
      <w:r w:rsidR="003C612E" w:rsidRPr="00D037B6">
        <w:rPr>
          <w:lang w:val="en-GB"/>
        </w:rPr>
        <w:t>.</w:t>
      </w:r>
      <w:r w:rsidR="00656BE3" w:rsidRPr="00D037B6">
        <w:rPr>
          <w:lang w:val="en-GB"/>
        </w:rPr>
        <w:t xml:space="preserve"> </w:t>
      </w:r>
      <w:r w:rsidR="00B81EB0" w:rsidRPr="00D037B6">
        <w:rPr>
          <w:lang w:val="en-GB"/>
        </w:rPr>
        <w:t>Currently</w:t>
      </w:r>
      <w:r w:rsidR="00D60A73" w:rsidRPr="00D037B6">
        <w:rPr>
          <w:lang w:val="en-GB"/>
        </w:rPr>
        <w:t>,</w:t>
      </w:r>
      <w:r w:rsidR="00B81EB0" w:rsidRPr="00D037B6">
        <w:rPr>
          <w:lang w:val="en-GB"/>
        </w:rPr>
        <w:t xml:space="preserve"> </w:t>
      </w:r>
      <w:r w:rsidR="00840407" w:rsidRPr="00D037B6">
        <w:rPr>
          <w:lang w:val="en-GB"/>
        </w:rPr>
        <w:t>most of</w:t>
      </w:r>
      <w:r w:rsidR="00B81EB0" w:rsidRPr="00D037B6">
        <w:rPr>
          <w:lang w:val="en-GB"/>
        </w:rPr>
        <w:t xml:space="preserve"> this waste is disposed</w:t>
      </w:r>
      <w:r w:rsidR="00D60A73" w:rsidRPr="00D037B6">
        <w:rPr>
          <w:lang w:val="en-GB"/>
        </w:rPr>
        <w:t xml:space="preserve"> of</w:t>
      </w:r>
      <w:r w:rsidR="00B81EB0" w:rsidRPr="00D037B6">
        <w:rPr>
          <w:lang w:val="en-GB"/>
        </w:rPr>
        <w:t xml:space="preserve"> in landfills or incinerators. </w:t>
      </w:r>
      <w:r w:rsidR="00840407" w:rsidRPr="00D037B6">
        <w:rPr>
          <w:lang w:val="en-GB"/>
        </w:rPr>
        <w:t xml:space="preserve">Thermochemical methods like gasification and pyrolysis are </w:t>
      </w:r>
      <w:r w:rsidR="004D26F3" w:rsidRPr="00D037B6">
        <w:rPr>
          <w:lang w:val="en-GB"/>
        </w:rPr>
        <w:t xml:space="preserve">considered as better </w:t>
      </w:r>
      <w:r w:rsidR="00840407" w:rsidRPr="00D037B6">
        <w:rPr>
          <w:lang w:val="en-GB"/>
        </w:rPr>
        <w:t>alternatives</w:t>
      </w:r>
      <w:r w:rsidR="00C26980" w:rsidRPr="00D037B6">
        <w:rPr>
          <w:lang w:val="en-GB"/>
        </w:rPr>
        <w:t xml:space="preserve"> as they</w:t>
      </w:r>
      <w:r w:rsidR="004D26F3" w:rsidRPr="00D037B6">
        <w:rPr>
          <w:lang w:val="en-GB"/>
        </w:rPr>
        <w:t xml:space="preserve"> enable energy recovery and </w:t>
      </w:r>
      <w:r w:rsidR="00FF4877" w:rsidRPr="00D037B6">
        <w:rPr>
          <w:lang w:val="en-GB"/>
        </w:rPr>
        <w:t xml:space="preserve">recovery of </w:t>
      </w:r>
      <w:r w:rsidR="00840407" w:rsidRPr="00D037B6">
        <w:rPr>
          <w:lang w:val="en-GB"/>
        </w:rPr>
        <w:t>valuable chemicals</w:t>
      </w:r>
      <w:r w:rsidR="00C26980" w:rsidRPr="00D037B6">
        <w:rPr>
          <w:lang w:val="en-GB"/>
        </w:rPr>
        <w:t xml:space="preserve"> at the cost of much lower environmental side effects</w:t>
      </w:r>
      <w:r w:rsidR="004D26F3" w:rsidRPr="00D037B6">
        <w:rPr>
          <w:lang w:val="en-GB"/>
        </w:rPr>
        <w:t>.</w:t>
      </w:r>
      <w:r w:rsidR="00840407" w:rsidRPr="00D037B6">
        <w:rPr>
          <w:lang w:val="en-GB"/>
        </w:rPr>
        <w:t xml:space="preserve"> </w:t>
      </w:r>
      <w:r w:rsidR="00FF4877" w:rsidRPr="00D037B6">
        <w:rPr>
          <w:lang w:val="en-GB"/>
        </w:rPr>
        <w:t>Gasification can convert mixed plastic waste into syngas containing mainly CO, H</w:t>
      </w:r>
      <w:r w:rsidR="00FF4877" w:rsidRPr="00D037B6">
        <w:rPr>
          <w:vertAlign w:val="subscript"/>
          <w:lang w:val="en-GB"/>
        </w:rPr>
        <w:t>2</w:t>
      </w:r>
      <w:r w:rsidR="00FF4877" w:rsidRPr="00D037B6">
        <w:rPr>
          <w:lang w:val="en-GB"/>
        </w:rPr>
        <w:t>, CO</w:t>
      </w:r>
      <w:r w:rsidR="00FF4877" w:rsidRPr="00D037B6">
        <w:rPr>
          <w:vertAlign w:val="subscript"/>
          <w:lang w:val="en-GB"/>
        </w:rPr>
        <w:t>2</w:t>
      </w:r>
      <w:r w:rsidR="00FF4877" w:rsidRPr="00D037B6">
        <w:rPr>
          <w:lang w:val="en-GB"/>
        </w:rPr>
        <w:t>, H</w:t>
      </w:r>
      <w:r w:rsidR="00FF4877" w:rsidRPr="00D037B6">
        <w:rPr>
          <w:vertAlign w:val="subscript"/>
          <w:lang w:val="en-GB"/>
        </w:rPr>
        <w:t>2</w:t>
      </w:r>
      <w:r w:rsidR="00FF4877" w:rsidRPr="00D037B6">
        <w:rPr>
          <w:lang w:val="en-GB"/>
        </w:rPr>
        <w:t>O, and CH</w:t>
      </w:r>
      <w:r w:rsidR="00FF4877" w:rsidRPr="00D037B6">
        <w:rPr>
          <w:vertAlign w:val="subscript"/>
          <w:lang w:val="en-GB"/>
        </w:rPr>
        <w:t>4</w:t>
      </w:r>
      <w:r w:rsidR="00FF4877" w:rsidRPr="00D037B6">
        <w:rPr>
          <w:lang w:val="en-GB"/>
        </w:rPr>
        <w:t>. In addition to these major components</w:t>
      </w:r>
      <w:r w:rsidR="00146BFA" w:rsidRPr="00D037B6">
        <w:rPr>
          <w:lang w:val="en-GB"/>
        </w:rPr>
        <w:t>,</w:t>
      </w:r>
      <w:r w:rsidR="00FF4877" w:rsidRPr="00D037B6">
        <w:rPr>
          <w:lang w:val="en-GB"/>
        </w:rPr>
        <w:t xml:space="preserve"> syngas can</w:t>
      </w:r>
      <w:r w:rsidR="00765A99" w:rsidRPr="00D037B6">
        <w:rPr>
          <w:lang w:val="en-GB"/>
        </w:rPr>
        <w:t xml:space="preserve"> also</w:t>
      </w:r>
      <w:r w:rsidR="00FF4877" w:rsidRPr="00D037B6">
        <w:rPr>
          <w:lang w:val="en-GB"/>
        </w:rPr>
        <w:t xml:space="preserve"> </w:t>
      </w:r>
      <w:r w:rsidR="00146BFA" w:rsidRPr="00D037B6">
        <w:rPr>
          <w:lang w:val="en-GB"/>
        </w:rPr>
        <w:t>contain</w:t>
      </w:r>
      <w:r w:rsidR="00FF4877" w:rsidRPr="00D037B6">
        <w:rPr>
          <w:lang w:val="en-GB"/>
        </w:rPr>
        <w:t xml:space="preserve"> impurities like solid particles, tars, compounds of </w:t>
      </w:r>
      <w:proofErr w:type="spellStart"/>
      <w:r w:rsidR="00FF4877" w:rsidRPr="00D037B6">
        <w:rPr>
          <w:lang w:val="en-GB"/>
        </w:rPr>
        <w:t>sulfur</w:t>
      </w:r>
      <w:proofErr w:type="spellEnd"/>
      <w:r w:rsidR="00FF4877" w:rsidRPr="00D037B6">
        <w:rPr>
          <w:lang w:val="en-GB"/>
        </w:rPr>
        <w:t xml:space="preserve">, chlorine, etc. </w:t>
      </w:r>
      <w:r w:rsidR="00021929" w:rsidRPr="00D037B6">
        <w:rPr>
          <w:lang w:val="en-GB"/>
        </w:rPr>
        <w:t>(</w:t>
      </w:r>
      <w:proofErr w:type="spellStart"/>
      <w:r w:rsidR="00021929" w:rsidRPr="00D037B6">
        <w:rPr>
          <w:lang w:val="en-GB"/>
        </w:rPr>
        <w:t>Antoiou</w:t>
      </w:r>
      <w:proofErr w:type="spellEnd"/>
      <w:r w:rsidR="00021929" w:rsidRPr="00D037B6">
        <w:rPr>
          <w:lang w:val="en-GB"/>
        </w:rPr>
        <w:t xml:space="preserve"> et.al, 2014)</w:t>
      </w:r>
      <w:r w:rsidR="00765A99" w:rsidRPr="00D037B6">
        <w:rPr>
          <w:lang w:val="en-GB"/>
        </w:rPr>
        <w:t>.</w:t>
      </w:r>
      <w:r w:rsidR="00021929" w:rsidRPr="00D037B6">
        <w:rPr>
          <w:lang w:val="en-GB"/>
        </w:rPr>
        <w:t xml:space="preserve"> Syngas </w:t>
      </w:r>
      <w:r w:rsidR="00146BFA" w:rsidRPr="00D037B6">
        <w:rPr>
          <w:lang w:val="en-GB"/>
        </w:rPr>
        <w:t>composition</w:t>
      </w:r>
      <w:r w:rsidR="00C26980" w:rsidRPr="00D037B6">
        <w:rPr>
          <w:lang w:val="en-GB"/>
        </w:rPr>
        <w:t>,</w:t>
      </w:r>
      <w:r w:rsidR="00146BFA" w:rsidRPr="00D037B6">
        <w:rPr>
          <w:lang w:val="en-GB"/>
        </w:rPr>
        <w:t xml:space="preserve"> heating value</w:t>
      </w:r>
      <w:r w:rsidR="00C26980" w:rsidRPr="00D037B6">
        <w:rPr>
          <w:lang w:val="en-GB"/>
        </w:rPr>
        <w:t>,</w:t>
      </w:r>
      <w:r w:rsidR="00021929" w:rsidRPr="00D037B6">
        <w:rPr>
          <w:lang w:val="en-GB"/>
        </w:rPr>
        <w:t xml:space="preserve"> an</w:t>
      </w:r>
      <w:r w:rsidR="00146BFA" w:rsidRPr="00D037B6">
        <w:rPr>
          <w:lang w:val="en-GB"/>
        </w:rPr>
        <w:t>d</w:t>
      </w:r>
      <w:r w:rsidR="00021929" w:rsidRPr="00D037B6">
        <w:rPr>
          <w:lang w:val="en-GB"/>
        </w:rPr>
        <w:t xml:space="preserve"> </w:t>
      </w:r>
      <w:r w:rsidR="00146BFA" w:rsidRPr="00D037B6">
        <w:rPr>
          <w:lang w:val="en-GB"/>
        </w:rPr>
        <w:t>conversion</w:t>
      </w:r>
      <w:r w:rsidR="00021929" w:rsidRPr="00D037B6">
        <w:rPr>
          <w:lang w:val="en-GB"/>
        </w:rPr>
        <w:t xml:space="preserve"> efficiency depend</w:t>
      </w:r>
      <w:r w:rsidR="00C26980" w:rsidRPr="00D037B6">
        <w:rPr>
          <w:lang w:val="en-GB"/>
        </w:rPr>
        <w:t xml:space="preserve"> </w:t>
      </w:r>
      <w:r w:rsidR="00021929" w:rsidRPr="00D037B6">
        <w:rPr>
          <w:lang w:val="en-GB"/>
        </w:rPr>
        <w:t>on raw material composition, used gasification technology, process conditions</w:t>
      </w:r>
      <w:r w:rsidR="00C26980" w:rsidRPr="00D037B6">
        <w:rPr>
          <w:lang w:val="en-GB"/>
        </w:rPr>
        <w:t>,</w:t>
      </w:r>
      <w:r w:rsidR="00021929" w:rsidRPr="00D037B6">
        <w:rPr>
          <w:lang w:val="en-GB"/>
        </w:rPr>
        <w:t xml:space="preserve"> and</w:t>
      </w:r>
      <w:r w:rsidR="00C26980" w:rsidRPr="00D037B6">
        <w:rPr>
          <w:lang w:val="en-GB"/>
        </w:rPr>
        <w:t xml:space="preserve"> on the</w:t>
      </w:r>
      <w:r w:rsidR="00021929" w:rsidRPr="00D037B6">
        <w:rPr>
          <w:lang w:val="en-GB"/>
        </w:rPr>
        <w:t xml:space="preserve"> type of gasification agent used</w:t>
      </w:r>
      <w:r w:rsidR="00882E5E" w:rsidRPr="00D037B6">
        <w:rPr>
          <w:lang w:val="en-GB"/>
        </w:rPr>
        <w:t xml:space="preserve"> (Ahmad, et.al, 2016). </w:t>
      </w:r>
      <w:r w:rsidR="00021929" w:rsidRPr="00D037B6">
        <w:rPr>
          <w:lang w:val="en-GB"/>
        </w:rPr>
        <w:t>Air, pure oxygen, oxygen enriched air</w:t>
      </w:r>
      <w:r w:rsidR="00C26980" w:rsidRPr="00D037B6">
        <w:rPr>
          <w:lang w:val="en-GB"/>
        </w:rPr>
        <w:t>,</w:t>
      </w:r>
      <w:r w:rsidR="00021929" w:rsidRPr="00D037B6">
        <w:rPr>
          <w:lang w:val="en-GB"/>
        </w:rPr>
        <w:t xml:space="preserve"> and steam are the most often used gasification agents.</w:t>
      </w:r>
      <w:r w:rsidR="00146BFA" w:rsidRPr="00D037B6">
        <w:t xml:space="preserve"> </w:t>
      </w:r>
    </w:p>
    <w:p w14:paraId="533A8397" w14:textId="578F703E" w:rsidR="00AD5E1A" w:rsidRPr="00D037B6" w:rsidRDefault="00146BFA" w:rsidP="00146BFA">
      <w:pPr>
        <w:pStyle w:val="Els-body-text"/>
        <w:rPr>
          <w:lang w:val="en-GB"/>
        </w:rPr>
      </w:pPr>
      <w:r w:rsidRPr="00D037B6">
        <w:rPr>
          <w:lang w:val="en-GB"/>
        </w:rPr>
        <w:t xml:space="preserve">Air blowing gasifiers produce syngas with low heating value, which can significantly limit its application. </w:t>
      </w:r>
      <w:r w:rsidR="00C26980" w:rsidRPr="00D037B6">
        <w:rPr>
          <w:lang w:val="en-GB"/>
        </w:rPr>
        <w:t>The u</w:t>
      </w:r>
      <w:r w:rsidR="00110E60" w:rsidRPr="00D037B6">
        <w:rPr>
          <w:lang w:val="en-GB"/>
        </w:rPr>
        <w:t>se of pure oxygen or oxygen enriched air increase</w:t>
      </w:r>
      <w:r w:rsidR="00C26980" w:rsidRPr="00D037B6">
        <w:rPr>
          <w:lang w:val="en-GB"/>
        </w:rPr>
        <w:t>s</w:t>
      </w:r>
      <w:r w:rsidR="00110E60" w:rsidRPr="00D037B6">
        <w:rPr>
          <w:lang w:val="en-GB"/>
        </w:rPr>
        <w:t xml:space="preserve"> the gas heating value. However, process operational cost also increases; </w:t>
      </w:r>
      <w:r w:rsidR="00C26980" w:rsidRPr="00D037B6">
        <w:rPr>
          <w:lang w:val="en-GB"/>
        </w:rPr>
        <w:t>therefore</w:t>
      </w:r>
      <w:r w:rsidR="00110E60" w:rsidRPr="00D037B6">
        <w:rPr>
          <w:lang w:val="en-GB"/>
        </w:rPr>
        <w:t xml:space="preserve">, the amount of </w:t>
      </w:r>
      <w:r w:rsidR="00110E60" w:rsidRPr="00D037B6">
        <w:rPr>
          <w:lang w:val="en-GB"/>
        </w:rPr>
        <w:lastRenderedPageBreak/>
        <w:t xml:space="preserve">oxygen required </w:t>
      </w:r>
      <w:r w:rsidR="00C26980" w:rsidRPr="00D037B6">
        <w:rPr>
          <w:lang w:val="en-GB"/>
        </w:rPr>
        <w:t>is</w:t>
      </w:r>
      <w:r w:rsidR="00110E60" w:rsidRPr="00D037B6">
        <w:rPr>
          <w:lang w:val="en-GB"/>
        </w:rPr>
        <w:t xml:space="preserve"> very important. Syngas</w:t>
      </w:r>
      <w:r w:rsidRPr="00D037B6">
        <w:rPr>
          <w:lang w:val="en-GB"/>
        </w:rPr>
        <w:t xml:space="preserve"> composition and overall performance of a gasifier are mainly affected by the equivalence ratio (ER) defined as the ratio of actual amount of oxygen used to the stoichiometric mount of oxygen needed for combustion (</w:t>
      </w:r>
      <w:proofErr w:type="spellStart"/>
      <w:r w:rsidRPr="00D037B6">
        <w:rPr>
          <w:lang w:val="en-GB"/>
        </w:rPr>
        <w:t>Jangsawang</w:t>
      </w:r>
      <w:proofErr w:type="spellEnd"/>
      <w:r w:rsidRPr="00D037B6">
        <w:rPr>
          <w:lang w:val="en-GB"/>
        </w:rPr>
        <w:t xml:space="preserve">, et.al, 2015). </w:t>
      </w:r>
      <w:bookmarkStart w:id="0" w:name="_Hlk153793746"/>
      <w:r w:rsidR="00C347AA" w:rsidRPr="00D037B6">
        <w:rPr>
          <w:lang w:val="en-GB"/>
        </w:rPr>
        <w:t>O</w:t>
      </w:r>
      <w:r w:rsidR="00F51866" w:rsidRPr="00D037B6">
        <w:rPr>
          <w:lang w:val="en-GB"/>
        </w:rPr>
        <w:t>verall performance of</w:t>
      </w:r>
      <w:r w:rsidR="00C347AA" w:rsidRPr="00D037B6">
        <w:rPr>
          <w:lang w:val="en-GB"/>
        </w:rPr>
        <w:t xml:space="preserve"> the</w:t>
      </w:r>
      <w:r w:rsidR="00F51866" w:rsidRPr="00D037B6">
        <w:rPr>
          <w:lang w:val="en-GB"/>
        </w:rPr>
        <w:t xml:space="preserve"> gasification process </w:t>
      </w:r>
      <w:r w:rsidR="00AD5E1A" w:rsidRPr="00D037B6">
        <w:rPr>
          <w:lang w:val="en-GB"/>
        </w:rPr>
        <w:t>(Kuo et.al.</w:t>
      </w:r>
      <w:r w:rsidR="00765A99" w:rsidRPr="00D037B6">
        <w:rPr>
          <w:lang w:val="en-GB"/>
        </w:rPr>
        <w:t xml:space="preserve"> 2014</w:t>
      </w:r>
      <w:r w:rsidR="00AD5E1A" w:rsidRPr="00D037B6">
        <w:rPr>
          <w:lang w:val="en-GB"/>
        </w:rPr>
        <w:t xml:space="preserve">) </w:t>
      </w:r>
      <w:r w:rsidR="00F51866" w:rsidRPr="00D037B6">
        <w:rPr>
          <w:lang w:val="en-GB"/>
        </w:rPr>
        <w:t>is given by carbon conversion (</w:t>
      </w:r>
      <w:proofErr w:type="spellStart"/>
      <w:r w:rsidR="00F51866" w:rsidRPr="00D037B6">
        <w:rPr>
          <w:lang w:val="en-GB"/>
        </w:rPr>
        <w:t>CC</w:t>
      </w:r>
      <w:r w:rsidR="0021181A" w:rsidRPr="00D037B6">
        <w:rPr>
          <w:lang w:val="en-GB"/>
        </w:rPr>
        <w:t>onv</w:t>
      </w:r>
      <w:proofErr w:type="spellEnd"/>
      <w:r w:rsidR="00F51866" w:rsidRPr="00D037B6">
        <w:rPr>
          <w:lang w:val="en-GB"/>
        </w:rPr>
        <w:t>)</w:t>
      </w:r>
      <w:r w:rsidR="00C347AA" w:rsidRPr="00D037B6">
        <w:rPr>
          <w:lang w:val="en-GB"/>
        </w:rPr>
        <w:t xml:space="preserve"> and</w:t>
      </w:r>
      <w:r w:rsidR="00F51866" w:rsidRPr="00D037B6">
        <w:rPr>
          <w:lang w:val="en-GB"/>
        </w:rPr>
        <w:t xml:space="preserve"> cold gas efficiency</w:t>
      </w:r>
      <w:r w:rsidR="002F53C8" w:rsidRPr="00D037B6">
        <w:rPr>
          <w:lang w:val="en-GB"/>
        </w:rPr>
        <w:t xml:space="preserve"> (CGE)</w:t>
      </w:r>
      <w:r w:rsidR="00F51866" w:rsidRPr="00D037B6">
        <w:rPr>
          <w:lang w:val="en-GB"/>
        </w:rPr>
        <w:t xml:space="preserve">, which represent the yield </w:t>
      </w:r>
      <w:r w:rsidR="00AD5E1A" w:rsidRPr="00D037B6">
        <w:rPr>
          <w:lang w:val="en-GB"/>
        </w:rPr>
        <w:t xml:space="preserve">of </w:t>
      </w:r>
      <w:r w:rsidR="00F51866" w:rsidRPr="00D037B6">
        <w:rPr>
          <w:lang w:val="en-GB"/>
        </w:rPr>
        <w:t>raw material energy content transferred to syngas</w:t>
      </w:r>
      <w:bookmarkEnd w:id="0"/>
      <w:r w:rsidR="00F51866" w:rsidRPr="00D037B6">
        <w:rPr>
          <w:lang w:val="en-GB"/>
        </w:rPr>
        <w:t xml:space="preserve"> and carbon conversion efficiency</w:t>
      </w:r>
      <w:r w:rsidR="00AD5E1A" w:rsidRPr="00D037B6">
        <w:rPr>
          <w:lang w:val="en-GB"/>
        </w:rPr>
        <w:t xml:space="preserve"> (CCE)</w:t>
      </w:r>
      <w:r w:rsidR="00C347AA" w:rsidRPr="00D037B6">
        <w:rPr>
          <w:lang w:val="en-GB"/>
        </w:rPr>
        <w:t>,</w:t>
      </w:r>
      <w:r w:rsidR="00F51866" w:rsidRPr="00D037B6">
        <w:rPr>
          <w:lang w:val="en-GB"/>
        </w:rPr>
        <w:t xml:space="preserve"> which </w:t>
      </w:r>
      <w:r w:rsidR="00882E5E" w:rsidRPr="00D037B6">
        <w:rPr>
          <w:lang w:val="en-GB"/>
        </w:rPr>
        <w:t xml:space="preserve">is defined as </w:t>
      </w:r>
      <w:r w:rsidR="00C347AA" w:rsidRPr="00D037B6">
        <w:rPr>
          <w:lang w:val="en-GB"/>
        </w:rPr>
        <w:t xml:space="preserve">the </w:t>
      </w:r>
      <w:r w:rsidR="00882E5E" w:rsidRPr="00D037B6">
        <w:rPr>
          <w:lang w:val="en-GB"/>
        </w:rPr>
        <w:t>ratio of carbon transferred to syngas to total carbon present in raw material.</w:t>
      </w:r>
    </w:p>
    <w:p w14:paraId="37FEAE4A" w14:textId="056A8CA6" w:rsidR="004C269F" w:rsidRPr="00D037B6" w:rsidRDefault="00C347AA" w:rsidP="00146BFA">
      <w:pPr>
        <w:pStyle w:val="Els-body-text"/>
        <w:rPr>
          <w:lang w:val="en-GB"/>
        </w:rPr>
      </w:pPr>
      <w:r w:rsidRPr="00D037B6">
        <w:rPr>
          <w:lang w:val="en-GB"/>
        </w:rPr>
        <w:t>G</w:t>
      </w:r>
      <w:r w:rsidR="00AD5E1A" w:rsidRPr="00D037B6">
        <w:rPr>
          <w:lang w:val="en-GB"/>
        </w:rPr>
        <w:t>asification technologies with fixed bed, fluidized</w:t>
      </w:r>
      <w:r w:rsidR="00765A99" w:rsidRPr="00D037B6">
        <w:rPr>
          <w:lang w:val="en-GB"/>
        </w:rPr>
        <w:t xml:space="preserve"> bed</w:t>
      </w:r>
      <w:r w:rsidRPr="00D037B6">
        <w:rPr>
          <w:lang w:val="en-GB"/>
        </w:rPr>
        <w:t>,</w:t>
      </w:r>
      <w:r w:rsidR="00AD5E1A" w:rsidRPr="00D037B6">
        <w:rPr>
          <w:lang w:val="en-GB"/>
        </w:rPr>
        <w:t xml:space="preserve"> and entrained flow reactors commercialized in coal gasification use a singl</w:t>
      </w:r>
      <w:r w:rsidR="009236E5" w:rsidRPr="00D037B6">
        <w:rPr>
          <w:lang w:val="en-GB"/>
        </w:rPr>
        <w:t>e</w:t>
      </w:r>
      <w:r w:rsidR="00AD5E1A" w:rsidRPr="00D037B6">
        <w:rPr>
          <w:lang w:val="en-GB"/>
        </w:rPr>
        <w:t>-stage process</w:t>
      </w:r>
      <w:r w:rsidRPr="00D037B6">
        <w:rPr>
          <w:lang w:val="en-GB"/>
        </w:rPr>
        <w:t xml:space="preserve"> for the gasification of solid raw materials</w:t>
      </w:r>
      <w:r w:rsidR="00AD5E1A" w:rsidRPr="00D037B6">
        <w:rPr>
          <w:lang w:val="en-GB"/>
        </w:rPr>
        <w:t xml:space="preserve">. In a single-stage gasification process, total carbon conversion is reached usually at ER </w:t>
      </w:r>
      <w:r w:rsidRPr="00D037B6">
        <w:rPr>
          <w:lang w:val="en-GB"/>
        </w:rPr>
        <w:t>above</w:t>
      </w:r>
      <w:r w:rsidR="009236E5" w:rsidRPr="00D037B6">
        <w:rPr>
          <w:lang w:val="en-GB"/>
        </w:rPr>
        <w:t xml:space="preserve"> 0.3-0.5</w:t>
      </w:r>
      <w:r w:rsidR="00AD5E1A" w:rsidRPr="00D037B6">
        <w:rPr>
          <w:lang w:val="en-GB"/>
        </w:rPr>
        <w:t>. At lower ER, the conversion is not complete, gasification temperature is low, and the gas tar content is high. However, at higher ER, the gas is diluted by CO</w:t>
      </w:r>
      <w:r w:rsidR="00AD5E1A" w:rsidRPr="00D037B6">
        <w:rPr>
          <w:vertAlign w:val="subscript"/>
          <w:lang w:val="en-GB"/>
        </w:rPr>
        <w:t>2</w:t>
      </w:r>
      <w:r w:rsidR="00AD5E1A" w:rsidRPr="00D037B6">
        <w:rPr>
          <w:lang w:val="en-GB"/>
        </w:rPr>
        <w:t xml:space="preserve"> and cold gas efficiency (CGE) is low as a large amount of combustible matter is used to ensure suitable conditions for </w:t>
      </w:r>
      <w:r w:rsidRPr="00D037B6">
        <w:rPr>
          <w:lang w:val="en-GB"/>
        </w:rPr>
        <w:t xml:space="preserve">the </w:t>
      </w:r>
      <w:r w:rsidR="00AD5E1A" w:rsidRPr="00D037B6">
        <w:rPr>
          <w:lang w:val="en-GB"/>
        </w:rPr>
        <w:t>gasification</w:t>
      </w:r>
      <w:r w:rsidRPr="00D037B6">
        <w:rPr>
          <w:lang w:val="en-GB"/>
        </w:rPr>
        <w:t xml:space="preserve"> process</w:t>
      </w:r>
      <w:r w:rsidR="00AD5E1A" w:rsidRPr="00D037B6">
        <w:rPr>
          <w:lang w:val="en-GB"/>
        </w:rPr>
        <w:t>.</w:t>
      </w:r>
      <w:r w:rsidR="009236E5" w:rsidRPr="00D037B6">
        <w:rPr>
          <w:lang w:val="en-GB"/>
        </w:rPr>
        <w:t xml:space="preserve"> </w:t>
      </w:r>
    </w:p>
    <w:p w14:paraId="3D079155" w14:textId="6BD4C6C8" w:rsidR="00656BE3" w:rsidRPr="00D037B6" w:rsidRDefault="009236E5" w:rsidP="00F5281C">
      <w:pPr>
        <w:pStyle w:val="Els-body-text"/>
        <w:rPr>
          <w:lang w:val="en-GB" w:bidi="fa-IR"/>
        </w:rPr>
      </w:pPr>
      <w:r w:rsidRPr="00D037B6">
        <w:rPr>
          <w:lang w:val="en-GB"/>
        </w:rPr>
        <w:t xml:space="preserve">A </w:t>
      </w:r>
      <w:r w:rsidR="00A92C50" w:rsidRPr="00D037B6">
        <w:rPr>
          <w:lang w:val="en-GB"/>
        </w:rPr>
        <w:t>two</w:t>
      </w:r>
      <w:r w:rsidRPr="00D037B6">
        <w:rPr>
          <w:lang w:val="en-GB"/>
        </w:rPr>
        <w:t>-stage gasification unit consist</w:t>
      </w:r>
      <w:r w:rsidR="00C347AA" w:rsidRPr="00D037B6">
        <w:rPr>
          <w:lang w:val="en-GB"/>
        </w:rPr>
        <w:t>ing</w:t>
      </w:r>
      <w:r w:rsidRPr="00D037B6">
        <w:rPr>
          <w:lang w:val="en-GB"/>
        </w:rPr>
        <w:t xml:space="preserve"> of </w:t>
      </w:r>
      <w:r w:rsidR="004C269F" w:rsidRPr="00D037B6">
        <w:rPr>
          <w:lang w:val="en-GB"/>
        </w:rPr>
        <w:t xml:space="preserve">a pyrolysis stage and two gasification reactors for separate pyrolysis product gasification was developed </w:t>
      </w:r>
      <w:r w:rsidR="00C347AA" w:rsidRPr="00D037B6">
        <w:rPr>
          <w:lang w:val="en-GB"/>
        </w:rPr>
        <w:t>a</w:t>
      </w:r>
      <w:r w:rsidR="004C269F" w:rsidRPr="00D037B6">
        <w:rPr>
          <w:lang w:val="en-GB"/>
        </w:rPr>
        <w:t xml:space="preserve">nd tested in </w:t>
      </w:r>
      <w:r w:rsidR="00C347AA" w:rsidRPr="00D037B6">
        <w:rPr>
          <w:lang w:val="en-GB"/>
        </w:rPr>
        <w:t xml:space="preserve">a </w:t>
      </w:r>
      <w:r w:rsidR="004C269F" w:rsidRPr="00D037B6">
        <w:rPr>
          <w:lang w:val="en-GB"/>
        </w:rPr>
        <w:t xml:space="preserve">previous work </w:t>
      </w:r>
      <w:r w:rsidR="00C24296" w:rsidRPr="00D037B6">
        <w:rPr>
          <w:lang w:val="en-GB"/>
        </w:rPr>
        <w:t>(</w:t>
      </w:r>
      <w:r w:rsidR="00C24296" w:rsidRPr="00D037B6">
        <w:rPr>
          <w:lang w:val="sk-SK" w:bidi="fa-IR"/>
        </w:rPr>
        <w:t>Šuhaj et.al, 2022)</w:t>
      </w:r>
      <w:r w:rsidR="00F5281C" w:rsidRPr="00D037B6">
        <w:rPr>
          <w:lang w:val="sk-SK" w:bidi="fa-IR"/>
        </w:rPr>
        <w:t xml:space="preserve">. </w:t>
      </w:r>
      <w:r w:rsidR="00C24296" w:rsidRPr="00D037B6">
        <w:rPr>
          <w:lang w:val="en-GB" w:bidi="fa-IR"/>
        </w:rPr>
        <w:t>The unit is flexible for</w:t>
      </w:r>
      <w:r w:rsidR="00C347AA" w:rsidRPr="00D037B6">
        <w:rPr>
          <w:lang w:val="en-GB" w:bidi="fa-IR"/>
        </w:rPr>
        <w:t xml:space="preserve"> the</w:t>
      </w:r>
      <w:r w:rsidR="00C24296" w:rsidRPr="00D037B6">
        <w:rPr>
          <w:lang w:val="en-GB" w:bidi="fa-IR"/>
        </w:rPr>
        <w:t xml:space="preserve"> us</w:t>
      </w:r>
      <w:r w:rsidR="00C347AA" w:rsidRPr="00D037B6">
        <w:rPr>
          <w:lang w:val="en-GB" w:bidi="fa-IR"/>
        </w:rPr>
        <w:t>e of</w:t>
      </w:r>
      <w:r w:rsidR="00C24296" w:rsidRPr="00D037B6">
        <w:rPr>
          <w:lang w:val="en-GB" w:bidi="fa-IR"/>
        </w:rPr>
        <w:t xml:space="preserve"> different oxidizing agent</w:t>
      </w:r>
      <w:r w:rsidR="00C347AA" w:rsidRPr="00D037B6">
        <w:rPr>
          <w:lang w:val="en-GB" w:bidi="fa-IR"/>
        </w:rPr>
        <w:t>s</w:t>
      </w:r>
      <w:r w:rsidR="00C24296" w:rsidRPr="00D037B6">
        <w:rPr>
          <w:lang w:val="en-GB" w:bidi="fa-IR"/>
        </w:rPr>
        <w:t xml:space="preserve"> and can work under </w:t>
      </w:r>
      <w:r w:rsidR="00C347AA" w:rsidRPr="00D037B6">
        <w:rPr>
          <w:lang w:val="en-GB" w:bidi="fa-IR"/>
        </w:rPr>
        <w:t>any</w:t>
      </w:r>
      <w:r w:rsidR="00C24296" w:rsidRPr="00D037B6">
        <w:rPr>
          <w:lang w:val="en-GB" w:bidi="fa-IR"/>
        </w:rPr>
        <w:t xml:space="preserve"> pyrolysis, gasification, </w:t>
      </w:r>
      <w:r w:rsidR="00C347AA" w:rsidRPr="00D037B6">
        <w:rPr>
          <w:lang w:val="en-GB" w:bidi="fa-IR"/>
        </w:rPr>
        <w:t>or</w:t>
      </w:r>
      <w:r w:rsidR="00C24296" w:rsidRPr="00D037B6">
        <w:rPr>
          <w:lang w:val="en-GB" w:bidi="fa-IR"/>
        </w:rPr>
        <w:t xml:space="preserve"> oxy-gasification conditions. By splitting the pyrolysis products and oxidizing agents</w:t>
      </w:r>
      <w:r w:rsidR="00332D0A" w:rsidRPr="00D037B6">
        <w:rPr>
          <w:lang w:val="en-GB" w:bidi="fa-IR"/>
        </w:rPr>
        <w:t xml:space="preserve">, the system can work </w:t>
      </w:r>
      <w:r w:rsidR="00C347AA" w:rsidRPr="00D037B6">
        <w:rPr>
          <w:lang w:val="en-GB" w:bidi="fa-IR"/>
        </w:rPr>
        <w:t>at</w:t>
      </w:r>
      <w:r w:rsidR="00332D0A" w:rsidRPr="00D037B6">
        <w:rPr>
          <w:lang w:val="en-GB" w:bidi="fa-IR"/>
        </w:rPr>
        <w:t xml:space="preserve"> significantly lower ER</w:t>
      </w:r>
      <w:r w:rsidR="00C24296" w:rsidRPr="00D037B6">
        <w:rPr>
          <w:lang w:val="en-GB" w:bidi="fa-IR"/>
        </w:rPr>
        <w:t xml:space="preserve">. </w:t>
      </w:r>
      <w:r w:rsidR="00C347AA" w:rsidRPr="00D037B6">
        <w:rPr>
          <w:lang w:val="en-GB" w:bidi="fa-IR"/>
        </w:rPr>
        <w:t>In t</w:t>
      </w:r>
      <w:r w:rsidR="00C24296" w:rsidRPr="00D037B6">
        <w:rPr>
          <w:lang w:val="en-GB" w:bidi="fa-IR"/>
        </w:rPr>
        <w:t>his work</w:t>
      </w:r>
      <w:r w:rsidR="00C347AA" w:rsidRPr="00D037B6">
        <w:rPr>
          <w:lang w:val="en-GB" w:bidi="fa-IR"/>
        </w:rPr>
        <w:t>,</w:t>
      </w:r>
      <w:r w:rsidR="00C24296" w:rsidRPr="00D037B6">
        <w:rPr>
          <w:lang w:val="en-GB" w:bidi="fa-IR"/>
        </w:rPr>
        <w:t xml:space="preserve"> gasification performance</w:t>
      </w:r>
      <w:r w:rsidR="00332D0A" w:rsidRPr="00D037B6">
        <w:rPr>
          <w:lang w:val="en-GB" w:bidi="fa-IR"/>
        </w:rPr>
        <w:t xml:space="preserve"> parameters (</w:t>
      </w:r>
      <w:proofErr w:type="spellStart"/>
      <w:r w:rsidR="00332D0A" w:rsidRPr="00D037B6">
        <w:rPr>
          <w:lang w:val="en-GB" w:bidi="fa-IR"/>
        </w:rPr>
        <w:t>CC</w:t>
      </w:r>
      <w:r w:rsidR="0021181A" w:rsidRPr="00D037B6">
        <w:rPr>
          <w:lang w:val="en-GB" w:bidi="fa-IR"/>
        </w:rPr>
        <w:t>onv</w:t>
      </w:r>
      <w:proofErr w:type="spellEnd"/>
      <w:r w:rsidR="00332D0A" w:rsidRPr="00D037B6">
        <w:rPr>
          <w:lang w:val="en-GB" w:bidi="fa-IR"/>
        </w:rPr>
        <w:t>, CGE, CCE), gas composition</w:t>
      </w:r>
      <w:r w:rsidR="00C347AA" w:rsidRPr="00D037B6">
        <w:rPr>
          <w:lang w:val="en-GB" w:bidi="fa-IR"/>
        </w:rPr>
        <w:t>,</w:t>
      </w:r>
      <w:r w:rsidR="00332D0A" w:rsidRPr="00D037B6">
        <w:rPr>
          <w:lang w:val="en-GB" w:bidi="fa-IR"/>
        </w:rPr>
        <w:t xml:space="preserve"> and gas lower heating value </w:t>
      </w:r>
      <w:r w:rsidR="0039686D" w:rsidRPr="00D037B6">
        <w:rPr>
          <w:lang w:val="en-GB" w:bidi="fa-IR"/>
        </w:rPr>
        <w:t>(LHV)</w:t>
      </w:r>
      <w:r w:rsidR="00C347AA" w:rsidRPr="00D037B6">
        <w:rPr>
          <w:lang w:val="en-GB" w:bidi="fa-IR"/>
        </w:rPr>
        <w:t xml:space="preserve"> are investigated</w:t>
      </w:r>
      <w:r w:rsidR="0039686D" w:rsidRPr="00D037B6">
        <w:rPr>
          <w:lang w:val="en-GB" w:bidi="fa-IR"/>
        </w:rPr>
        <w:t xml:space="preserve"> </w:t>
      </w:r>
      <w:r w:rsidR="00C347AA" w:rsidRPr="00D037B6">
        <w:rPr>
          <w:lang w:val="en-GB" w:bidi="fa-IR"/>
        </w:rPr>
        <w:t>at</w:t>
      </w:r>
      <w:r w:rsidR="00332D0A" w:rsidRPr="00D037B6">
        <w:rPr>
          <w:lang w:val="en-GB" w:bidi="fa-IR"/>
        </w:rPr>
        <w:t xml:space="preserve"> different ER, oxygen split ratio (OSR), </w:t>
      </w:r>
      <w:r w:rsidR="00C347AA" w:rsidRPr="00D037B6">
        <w:rPr>
          <w:lang w:val="en-GB" w:bidi="fa-IR"/>
        </w:rPr>
        <w:t>s</w:t>
      </w:r>
      <w:r w:rsidR="00332D0A" w:rsidRPr="00D037B6">
        <w:rPr>
          <w:lang w:val="en-GB" w:bidi="fa-IR"/>
        </w:rPr>
        <w:t xml:space="preserve">team split </w:t>
      </w:r>
      <w:r w:rsidR="0039686D" w:rsidRPr="00D037B6">
        <w:rPr>
          <w:lang w:val="en-GB" w:bidi="fa-IR"/>
        </w:rPr>
        <w:t>r</w:t>
      </w:r>
      <w:r w:rsidR="00332D0A" w:rsidRPr="00D037B6">
        <w:rPr>
          <w:lang w:val="en-GB" w:bidi="fa-IR"/>
        </w:rPr>
        <w:t>atio (SSR)</w:t>
      </w:r>
      <w:r w:rsidR="00C347AA" w:rsidRPr="00D037B6">
        <w:rPr>
          <w:lang w:val="en-GB" w:bidi="fa-IR"/>
        </w:rPr>
        <w:t>,</w:t>
      </w:r>
      <w:r w:rsidR="00332D0A" w:rsidRPr="00D037B6">
        <w:rPr>
          <w:lang w:val="en-GB" w:bidi="fa-IR"/>
        </w:rPr>
        <w:t xml:space="preserve"> and </w:t>
      </w:r>
      <w:r w:rsidR="00C347AA" w:rsidRPr="00D037B6">
        <w:rPr>
          <w:lang w:val="en-GB" w:bidi="fa-IR"/>
        </w:rPr>
        <w:t>p</w:t>
      </w:r>
      <w:r w:rsidR="00332D0A" w:rsidRPr="00D037B6">
        <w:rPr>
          <w:lang w:val="en-GB" w:bidi="fa-IR"/>
        </w:rPr>
        <w:t>rocess gas recycling ratio (PGRR)</w:t>
      </w:r>
      <w:r w:rsidR="00A92C50" w:rsidRPr="00D037B6">
        <w:rPr>
          <w:lang w:val="en-GB" w:bidi="fa-IR"/>
        </w:rPr>
        <w:t xml:space="preserve"> in a </w:t>
      </w:r>
      <w:r w:rsidR="00A92C50" w:rsidRPr="00D037B6">
        <w:rPr>
          <w:lang w:val="en-GB"/>
        </w:rPr>
        <w:t>two-stage pyrolysis/split product oxy-gasification (PSPOG) unit</w:t>
      </w:r>
      <w:r w:rsidR="0039686D" w:rsidRPr="00D037B6">
        <w:rPr>
          <w:lang w:val="en-GB" w:bidi="fa-IR"/>
        </w:rPr>
        <w:t xml:space="preserve">. </w:t>
      </w:r>
      <w:r w:rsidR="00332D0A" w:rsidRPr="00D037B6">
        <w:rPr>
          <w:lang w:val="en-GB" w:bidi="fa-IR"/>
        </w:rPr>
        <w:t xml:space="preserve"> </w:t>
      </w:r>
    </w:p>
    <w:p w14:paraId="58503235" w14:textId="627B5F7D" w:rsidR="005A499A" w:rsidRPr="00D037B6" w:rsidRDefault="00DB3E5B" w:rsidP="003C612E">
      <w:pPr>
        <w:pStyle w:val="Els-1storder-head"/>
      </w:pPr>
      <w:r w:rsidRPr="00D037B6">
        <w:t xml:space="preserve">Materials and methods </w:t>
      </w:r>
    </w:p>
    <w:p w14:paraId="6FF0126F" w14:textId="77777777" w:rsidR="003C612E" w:rsidRPr="00D037B6" w:rsidRDefault="003C612E" w:rsidP="003C612E">
      <w:pPr>
        <w:pStyle w:val="Els-body-text"/>
      </w:pPr>
    </w:p>
    <w:p w14:paraId="65F139BA" w14:textId="45100FE4" w:rsidR="005A499A" w:rsidRPr="00D037B6" w:rsidRDefault="00CF4099" w:rsidP="00B33320">
      <w:pPr>
        <w:pStyle w:val="Els-body-text"/>
      </w:pPr>
      <w:r w:rsidRPr="00D037B6">
        <w:rPr>
          <w:rFonts w:asciiTheme="majorBidi" w:hAnsiTheme="majorBidi" w:cstheme="majorBidi"/>
        </w:rPr>
        <w:t xml:space="preserve">A plastic mixture consisting of </w:t>
      </w:r>
      <w:r w:rsidR="00A92C50" w:rsidRPr="00D037B6">
        <w:rPr>
          <w:rFonts w:asciiTheme="majorBidi" w:hAnsiTheme="majorBidi" w:cstheme="majorBidi"/>
        </w:rPr>
        <w:t>high-density polyethylene</w:t>
      </w:r>
      <w:r w:rsidR="00A80601" w:rsidRPr="00D037B6">
        <w:rPr>
          <w:rFonts w:asciiTheme="majorBidi" w:hAnsiTheme="majorBidi" w:cstheme="majorBidi"/>
        </w:rPr>
        <w:t xml:space="preserve"> (</w:t>
      </w:r>
      <w:r w:rsidR="00A92C50" w:rsidRPr="00D037B6">
        <w:rPr>
          <w:rFonts w:asciiTheme="majorBidi" w:hAnsiTheme="majorBidi" w:cstheme="majorBidi"/>
        </w:rPr>
        <w:t>HD</w:t>
      </w:r>
      <w:r w:rsidRPr="00D037B6">
        <w:rPr>
          <w:rFonts w:asciiTheme="majorBidi" w:hAnsiTheme="majorBidi" w:cstheme="majorBidi"/>
        </w:rPr>
        <w:t>PE</w:t>
      </w:r>
      <w:r w:rsidR="00A80601" w:rsidRPr="00D037B6">
        <w:rPr>
          <w:rFonts w:asciiTheme="majorBidi" w:hAnsiTheme="majorBidi" w:cstheme="majorBidi"/>
        </w:rPr>
        <w:t>,</w:t>
      </w:r>
      <w:r w:rsidRPr="00D037B6">
        <w:rPr>
          <w:rFonts w:asciiTheme="majorBidi" w:hAnsiTheme="majorBidi" w:cstheme="majorBidi"/>
        </w:rPr>
        <w:t xml:space="preserve"> 7.95 wt. %), polypropylene (PP, 49.37 wt. %), and polyethylene terephthalate (PET, 42.68 wt. %) was considered in this work. </w:t>
      </w:r>
      <w:r w:rsidR="00A80601" w:rsidRPr="00D037B6">
        <w:rPr>
          <w:rFonts w:asciiTheme="majorBidi" w:hAnsiTheme="majorBidi" w:cstheme="majorBidi"/>
        </w:rPr>
        <w:t>C</w:t>
      </w:r>
      <w:r w:rsidRPr="00D037B6">
        <w:rPr>
          <w:rFonts w:asciiTheme="majorBidi" w:hAnsiTheme="majorBidi" w:cstheme="majorBidi"/>
        </w:rPr>
        <w:t>omposition of the feed correspond</w:t>
      </w:r>
      <w:r w:rsidR="004D5BFB" w:rsidRPr="00D037B6">
        <w:rPr>
          <w:rFonts w:asciiTheme="majorBidi" w:hAnsiTheme="majorBidi" w:cstheme="majorBidi"/>
        </w:rPr>
        <w:t>ed</w:t>
      </w:r>
      <w:r w:rsidRPr="00D037B6">
        <w:rPr>
          <w:rFonts w:asciiTheme="majorBidi" w:hAnsiTheme="majorBidi" w:cstheme="majorBidi"/>
        </w:rPr>
        <w:t xml:space="preserve"> with average yields of individual plastic types in</w:t>
      </w:r>
      <w:r w:rsidR="004D5BFB" w:rsidRPr="00D037B6">
        <w:rPr>
          <w:rFonts w:asciiTheme="majorBidi" w:hAnsiTheme="majorBidi" w:cstheme="majorBidi"/>
        </w:rPr>
        <w:t xml:space="preserve"> lithium-ion batteries (Dunn et.al, 2014)</w:t>
      </w:r>
      <w:r w:rsidR="00F5281C" w:rsidRPr="00D037B6">
        <w:rPr>
          <w:rFonts w:asciiTheme="majorBidi" w:hAnsiTheme="majorBidi" w:cstheme="majorBidi"/>
        </w:rPr>
        <w:t xml:space="preserve">. </w:t>
      </w:r>
      <w:r w:rsidR="005A499A" w:rsidRPr="00D037B6">
        <w:rPr>
          <w:rFonts w:asciiTheme="majorBidi" w:hAnsiTheme="majorBidi" w:cstheme="majorBidi"/>
        </w:rPr>
        <w:t>Each type of plastic material was characterized by thermogravimetric analysis (TG), elemental analysis (EA)</w:t>
      </w:r>
      <w:r w:rsidR="00A80601" w:rsidRPr="00D037B6">
        <w:rPr>
          <w:rFonts w:asciiTheme="majorBidi" w:hAnsiTheme="majorBidi" w:cstheme="majorBidi"/>
        </w:rPr>
        <w:t>,</w:t>
      </w:r>
      <w:r w:rsidR="00B01813" w:rsidRPr="00D037B6">
        <w:rPr>
          <w:rFonts w:asciiTheme="majorBidi" w:hAnsiTheme="majorBidi" w:cstheme="majorBidi"/>
        </w:rPr>
        <w:t xml:space="preserve"> and </w:t>
      </w:r>
      <w:r w:rsidR="005A499A" w:rsidRPr="00D037B6">
        <w:rPr>
          <w:rFonts w:asciiTheme="majorBidi" w:hAnsiTheme="majorBidi" w:cstheme="majorBidi"/>
        </w:rPr>
        <w:t>calorimetric analysis (C</w:t>
      </w:r>
      <w:r w:rsidR="00B01813" w:rsidRPr="00D037B6">
        <w:rPr>
          <w:rFonts w:asciiTheme="majorBidi" w:hAnsiTheme="majorBidi" w:cstheme="majorBidi"/>
        </w:rPr>
        <w:t xml:space="preserve">A). Using thermogravimetric data obtained by </w:t>
      </w:r>
      <w:r w:rsidR="006C197B" w:rsidRPr="00D037B6">
        <w:rPr>
          <w:rFonts w:asciiTheme="majorBidi" w:hAnsiTheme="majorBidi" w:cstheme="majorBidi"/>
        </w:rPr>
        <w:t>a STA 409 PC Luxx (NETZSCH, Germany) thermogravimeter</w:t>
      </w:r>
      <w:r w:rsidR="00A80601" w:rsidRPr="00D037B6">
        <w:rPr>
          <w:rFonts w:asciiTheme="majorBidi" w:hAnsiTheme="majorBidi" w:cstheme="majorBidi"/>
        </w:rPr>
        <w:t>,</w:t>
      </w:r>
      <w:r w:rsidR="006C197B" w:rsidRPr="00D037B6">
        <w:rPr>
          <w:rFonts w:asciiTheme="majorBidi" w:hAnsiTheme="majorBidi" w:cstheme="majorBidi"/>
        </w:rPr>
        <w:t xml:space="preserve"> </w:t>
      </w:r>
      <w:r w:rsidR="00B01813" w:rsidRPr="00D037B6">
        <w:rPr>
          <w:rFonts w:asciiTheme="majorBidi" w:hAnsiTheme="majorBidi" w:cstheme="majorBidi"/>
        </w:rPr>
        <w:t xml:space="preserve">the content of </w:t>
      </w:r>
      <w:r w:rsidR="00765A99" w:rsidRPr="00D037B6">
        <w:rPr>
          <w:rFonts w:asciiTheme="majorBidi" w:hAnsiTheme="majorBidi" w:cstheme="majorBidi"/>
        </w:rPr>
        <w:t>m</w:t>
      </w:r>
      <w:r w:rsidR="00B01813" w:rsidRPr="00D037B6">
        <w:rPr>
          <w:rFonts w:asciiTheme="majorBidi" w:hAnsiTheme="majorBidi" w:cstheme="majorBidi"/>
        </w:rPr>
        <w:t>oisture, volatile mater (VM), fixed carbon (FC)</w:t>
      </w:r>
      <w:r w:rsidR="00A80601" w:rsidRPr="00D037B6">
        <w:rPr>
          <w:rFonts w:asciiTheme="majorBidi" w:hAnsiTheme="majorBidi" w:cstheme="majorBidi"/>
        </w:rPr>
        <w:t>,</w:t>
      </w:r>
      <w:r w:rsidR="00B01813" w:rsidRPr="00D037B6">
        <w:rPr>
          <w:rFonts w:asciiTheme="majorBidi" w:hAnsiTheme="majorBidi" w:cstheme="majorBidi"/>
        </w:rPr>
        <w:t xml:space="preserve"> and ash was determined</w:t>
      </w:r>
      <w:r w:rsidR="00765A99" w:rsidRPr="00D037B6">
        <w:rPr>
          <w:rFonts w:asciiTheme="majorBidi" w:hAnsiTheme="majorBidi" w:cstheme="majorBidi"/>
        </w:rPr>
        <w:t>.</w:t>
      </w:r>
      <w:r w:rsidR="00B01813" w:rsidRPr="00D037B6">
        <w:rPr>
          <w:rFonts w:asciiTheme="majorBidi" w:hAnsiTheme="majorBidi" w:cstheme="majorBidi"/>
        </w:rPr>
        <w:t xml:space="preserve"> </w:t>
      </w:r>
      <w:r w:rsidR="006C197B" w:rsidRPr="00D037B6">
        <w:rPr>
          <w:rFonts w:asciiTheme="majorBidi" w:hAnsiTheme="majorBidi" w:cstheme="majorBidi"/>
        </w:rPr>
        <w:t xml:space="preserve">The content </w:t>
      </w:r>
      <w:r w:rsidR="00B01813" w:rsidRPr="00D037B6">
        <w:rPr>
          <w:rFonts w:asciiTheme="majorBidi" w:hAnsiTheme="majorBidi" w:cstheme="majorBidi"/>
        </w:rPr>
        <w:t>of carbon, hydrogen, nitrogen</w:t>
      </w:r>
      <w:r w:rsidR="00A80601" w:rsidRPr="00D037B6">
        <w:rPr>
          <w:rFonts w:asciiTheme="majorBidi" w:hAnsiTheme="majorBidi" w:cstheme="majorBidi"/>
        </w:rPr>
        <w:t>,</w:t>
      </w:r>
      <w:r w:rsidR="006C197B" w:rsidRPr="00D037B6">
        <w:rPr>
          <w:rFonts w:asciiTheme="majorBidi" w:hAnsiTheme="majorBidi" w:cstheme="majorBidi"/>
        </w:rPr>
        <w:t xml:space="preserve"> and </w:t>
      </w:r>
      <w:r w:rsidR="00B01813" w:rsidRPr="00D037B6">
        <w:rPr>
          <w:rFonts w:asciiTheme="majorBidi" w:hAnsiTheme="majorBidi" w:cstheme="majorBidi"/>
        </w:rPr>
        <w:t>sulfur</w:t>
      </w:r>
      <w:r w:rsidR="006C197B" w:rsidRPr="00D037B6">
        <w:rPr>
          <w:rFonts w:asciiTheme="majorBidi" w:hAnsiTheme="majorBidi" w:cstheme="majorBidi"/>
        </w:rPr>
        <w:t xml:space="preserve"> was determined by a Vario Macro Cube® (</w:t>
      </w:r>
      <w:proofErr w:type="spellStart"/>
      <w:r w:rsidR="006C197B" w:rsidRPr="00D037B6">
        <w:rPr>
          <w:rFonts w:asciiTheme="majorBidi" w:hAnsiTheme="majorBidi" w:cstheme="majorBidi"/>
        </w:rPr>
        <w:t>Elementar</w:t>
      </w:r>
      <w:proofErr w:type="spellEnd"/>
      <w:r w:rsidR="006C197B" w:rsidRPr="00D037B6">
        <w:rPr>
          <w:rFonts w:asciiTheme="majorBidi" w:hAnsiTheme="majorBidi" w:cstheme="majorBidi"/>
        </w:rPr>
        <w:t xml:space="preserve">, Germany) CHNS </w:t>
      </w:r>
      <w:r w:rsidR="00636FBF" w:rsidRPr="00D037B6">
        <w:rPr>
          <w:rFonts w:asciiTheme="majorBidi" w:hAnsiTheme="majorBidi" w:cstheme="majorBidi"/>
        </w:rPr>
        <w:t>analyzer</w:t>
      </w:r>
      <w:r w:rsidR="006C197B" w:rsidRPr="00D037B6">
        <w:rPr>
          <w:rFonts w:asciiTheme="majorBidi" w:hAnsiTheme="majorBidi" w:cstheme="majorBidi"/>
        </w:rPr>
        <w:t>.</w:t>
      </w:r>
      <w:r w:rsidR="00B01813" w:rsidRPr="00D037B6">
        <w:rPr>
          <w:rFonts w:asciiTheme="majorBidi" w:hAnsiTheme="majorBidi" w:cstheme="majorBidi"/>
        </w:rPr>
        <w:t xml:space="preserve"> </w:t>
      </w:r>
      <w:r w:rsidR="001733DA" w:rsidRPr="00D037B6">
        <w:rPr>
          <w:rFonts w:asciiTheme="majorBidi" w:hAnsiTheme="majorBidi" w:cstheme="majorBidi"/>
        </w:rPr>
        <w:t>Results of proximate and elemental analys</w:t>
      </w:r>
      <w:r w:rsidR="00A80601" w:rsidRPr="00D037B6">
        <w:rPr>
          <w:rFonts w:asciiTheme="majorBidi" w:hAnsiTheme="majorBidi" w:cstheme="majorBidi"/>
        </w:rPr>
        <w:t>e</w:t>
      </w:r>
      <w:r w:rsidR="001733DA" w:rsidRPr="00D037B6">
        <w:rPr>
          <w:rFonts w:asciiTheme="majorBidi" w:hAnsiTheme="majorBidi" w:cstheme="majorBidi"/>
        </w:rPr>
        <w:t xml:space="preserve">s of all types of plastics </w:t>
      </w:r>
      <w:proofErr w:type="gramStart"/>
      <w:r w:rsidR="001733DA" w:rsidRPr="00D037B6">
        <w:rPr>
          <w:rFonts w:asciiTheme="majorBidi" w:hAnsiTheme="majorBidi" w:cstheme="majorBidi"/>
        </w:rPr>
        <w:t>present</w:t>
      </w:r>
      <w:proofErr w:type="gramEnd"/>
      <w:r w:rsidR="001733DA" w:rsidRPr="00D037B6">
        <w:t xml:space="preserve"> in </w:t>
      </w:r>
      <w:r w:rsidR="00636FBF" w:rsidRPr="00D037B6">
        <w:t xml:space="preserve">the </w:t>
      </w:r>
      <w:r w:rsidR="001733DA" w:rsidRPr="00D037B6">
        <w:t xml:space="preserve">waste </w:t>
      </w:r>
      <w:r w:rsidR="00254DF4" w:rsidRPr="00D037B6">
        <w:t>mixture</w:t>
      </w:r>
      <w:r w:rsidR="00636FBF" w:rsidRPr="00D037B6">
        <w:t>, feed</w:t>
      </w:r>
      <w:r w:rsidR="00A80601" w:rsidRPr="00D037B6">
        <w:t>,</w:t>
      </w:r>
      <w:r w:rsidR="00254DF4" w:rsidRPr="00D037B6">
        <w:t xml:space="preserve"> and char from pyrolysis stage</w:t>
      </w:r>
      <w:r w:rsidR="001733DA" w:rsidRPr="00D037B6">
        <w:t xml:space="preserve"> are shown in Table 1. </w:t>
      </w:r>
    </w:p>
    <w:p w14:paraId="3E2FACDE" w14:textId="77777777" w:rsidR="00B33320" w:rsidRPr="00D037B6" w:rsidRDefault="00B33320" w:rsidP="005A499A">
      <w:pPr>
        <w:pStyle w:val="Els-body-text"/>
      </w:pPr>
    </w:p>
    <w:p w14:paraId="3478335F" w14:textId="5866CC07" w:rsidR="00254DF4" w:rsidRPr="00D037B6" w:rsidRDefault="006C197B" w:rsidP="00254DF4">
      <w:pPr>
        <w:pStyle w:val="Els-body-text"/>
      </w:pPr>
      <w:r w:rsidRPr="00D037B6">
        <w:t xml:space="preserve">Table 1: </w:t>
      </w:r>
      <w:r w:rsidR="0092078D" w:rsidRPr="00D037B6">
        <w:t>P</w:t>
      </w:r>
      <w:r w:rsidRPr="00D037B6">
        <w:t>roximate and elemental analys</w:t>
      </w:r>
      <w:r w:rsidR="00A80601" w:rsidRPr="00D037B6">
        <w:t>e</w:t>
      </w:r>
      <w:r w:rsidRPr="00D037B6">
        <w:t>s of individual plastic</w:t>
      </w:r>
      <w:r w:rsidR="00254DF4" w:rsidRPr="00D037B6">
        <w:t>s,</w:t>
      </w:r>
      <w:r w:rsidRPr="00D037B6">
        <w:t xml:space="preserve"> waste mixture</w:t>
      </w:r>
      <w:r w:rsidR="00A80601" w:rsidRPr="00D037B6">
        <w:t>,</w:t>
      </w:r>
      <w:r w:rsidR="00254DF4" w:rsidRPr="00D037B6">
        <w:t xml:space="preserve"> and pyrolysis char</w:t>
      </w:r>
    </w:p>
    <w:tbl>
      <w:tblPr>
        <w:tblW w:w="7199" w:type="dxa"/>
        <w:tblLook w:val="0600" w:firstRow="0" w:lastRow="0" w:firstColumn="0" w:lastColumn="0" w:noHBand="1" w:noVBand="1"/>
      </w:tblPr>
      <w:tblGrid>
        <w:gridCol w:w="969"/>
        <w:gridCol w:w="1002"/>
        <w:gridCol w:w="686"/>
        <w:gridCol w:w="686"/>
        <w:gridCol w:w="621"/>
        <w:gridCol w:w="686"/>
        <w:gridCol w:w="621"/>
        <w:gridCol w:w="686"/>
        <w:gridCol w:w="621"/>
        <w:gridCol w:w="621"/>
      </w:tblGrid>
      <w:tr w:rsidR="00D037B6" w:rsidRPr="00D037B6" w14:paraId="0DF5FD00" w14:textId="77777777" w:rsidTr="00254DF4">
        <w:trPr>
          <w:trHeight w:val="242"/>
        </w:trPr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E8358" w14:textId="77777777" w:rsidR="00254DF4" w:rsidRPr="00D037B6" w:rsidRDefault="00254DF4" w:rsidP="00254DF4">
            <w:pPr>
              <w:jc w:val="both"/>
              <w:rPr>
                <w:b/>
                <w:bCs/>
                <w:lang w:val="en-US"/>
              </w:rPr>
            </w:pPr>
            <w:r w:rsidRPr="00D037B6">
              <w:rPr>
                <w:b/>
                <w:bCs/>
                <w:lang w:val="en-US"/>
              </w:rPr>
              <w:t>Waste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017B7F" w14:textId="77777777" w:rsidR="00254DF4" w:rsidRPr="00D037B6" w:rsidRDefault="00254DF4" w:rsidP="00254DF4">
            <w:pPr>
              <w:jc w:val="both"/>
              <w:rPr>
                <w:b/>
                <w:bCs/>
                <w:lang w:val="en-US"/>
              </w:rPr>
            </w:pPr>
            <w:r w:rsidRPr="00D037B6">
              <w:rPr>
                <w:b/>
                <w:bCs/>
                <w:lang w:val="en-US"/>
              </w:rPr>
              <w:t>Moisture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B7747" w14:textId="77777777" w:rsidR="00254DF4" w:rsidRPr="00D037B6" w:rsidRDefault="00254DF4" w:rsidP="00254DF4">
            <w:pPr>
              <w:jc w:val="both"/>
              <w:rPr>
                <w:b/>
                <w:bCs/>
                <w:lang w:val="en-US"/>
              </w:rPr>
            </w:pPr>
            <w:r w:rsidRPr="00D037B6">
              <w:rPr>
                <w:b/>
                <w:bCs/>
                <w:lang w:val="en-US"/>
              </w:rPr>
              <w:t>VM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BA4D9" w14:textId="77777777" w:rsidR="00254DF4" w:rsidRPr="00D037B6" w:rsidRDefault="00254DF4" w:rsidP="00254DF4">
            <w:pPr>
              <w:jc w:val="both"/>
              <w:rPr>
                <w:b/>
                <w:bCs/>
                <w:lang w:val="en-US"/>
              </w:rPr>
            </w:pPr>
            <w:r w:rsidRPr="00D037B6">
              <w:rPr>
                <w:b/>
                <w:bCs/>
                <w:lang w:val="en-US"/>
              </w:rPr>
              <w:t>FC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012AB" w14:textId="77777777" w:rsidR="00254DF4" w:rsidRPr="00D037B6" w:rsidRDefault="00254DF4" w:rsidP="00254DF4">
            <w:pPr>
              <w:jc w:val="both"/>
              <w:rPr>
                <w:b/>
                <w:bCs/>
                <w:lang w:val="en-US"/>
              </w:rPr>
            </w:pPr>
            <w:r w:rsidRPr="00D037B6">
              <w:rPr>
                <w:b/>
                <w:bCs/>
                <w:lang w:val="en-US"/>
              </w:rPr>
              <w:t>Ash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8EAEF" w14:textId="77777777" w:rsidR="00254DF4" w:rsidRPr="00D037B6" w:rsidRDefault="00254DF4" w:rsidP="00254DF4">
            <w:pPr>
              <w:jc w:val="both"/>
              <w:rPr>
                <w:b/>
                <w:bCs/>
                <w:lang w:val="en-US"/>
              </w:rPr>
            </w:pPr>
            <w:r w:rsidRPr="00D037B6">
              <w:rPr>
                <w:b/>
                <w:bCs/>
                <w:lang w:val="en-US"/>
              </w:rPr>
              <w:t>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9B13C" w14:textId="77777777" w:rsidR="00254DF4" w:rsidRPr="00D037B6" w:rsidRDefault="00254DF4" w:rsidP="00254DF4">
            <w:pPr>
              <w:jc w:val="both"/>
              <w:rPr>
                <w:b/>
                <w:bCs/>
                <w:lang w:val="en-US"/>
              </w:rPr>
            </w:pPr>
            <w:r w:rsidRPr="00D037B6">
              <w:rPr>
                <w:b/>
                <w:bCs/>
                <w:lang w:val="en-US"/>
              </w:rPr>
              <w:t>H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D11F8A" w14:textId="77777777" w:rsidR="00254DF4" w:rsidRPr="00D037B6" w:rsidRDefault="00254DF4" w:rsidP="00254DF4">
            <w:pPr>
              <w:jc w:val="both"/>
              <w:rPr>
                <w:b/>
                <w:bCs/>
                <w:lang w:val="en-US"/>
              </w:rPr>
            </w:pPr>
            <w:r w:rsidRPr="00D037B6">
              <w:rPr>
                <w:b/>
                <w:bCs/>
                <w:lang w:val="en-US"/>
              </w:rPr>
              <w:t>O*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B3DBAF" w14:textId="77777777" w:rsidR="00254DF4" w:rsidRPr="00D037B6" w:rsidRDefault="00254DF4" w:rsidP="00254DF4">
            <w:pPr>
              <w:jc w:val="both"/>
              <w:rPr>
                <w:b/>
                <w:bCs/>
                <w:lang w:val="en-US"/>
              </w:rPr>
            </w:pPr>
            <w:r w:rsidRPr="00D037B6">
              <w:rPr>
                <w:b/>
                <w:bCs/>
                <w:lang w:val="en-US"/>
              </w:rPr>
              <w:t>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F874A" w14:textId="77777777" w:rsidR="00254DF4" w:rsidRPr="00D037B6" w:rsidRDefault="00254DF4" w:rsidP="00254DF4">
            <w:pPr>
              <w:jc w:val="both"/>
              <w:rPr>
                <w:b/>
                <w:bCs/>
                <w:lang w:val="en-US"/>
              </w:rPr>
            </w:pPr>
            <w:r w:rsidRPr="00D037B6">
              <w:rPr>
                <w:b/>
                <w:bCs/>
                <w:lang w:val="en-US"/>
              </w:rPr>
              <w:t>S</w:t>
            </w:r>
          </w:p>
        </w:tc>
      </w:tr>
      <w:tr w:rsidR="00D037B6" w:rsidRPr="00D037B6" w14:paraId="3E2E2D69" w14:textId="77777777" w:rsidTr="00254DF4">
        <w:trPr>
          <w:trHeight w:val="23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7AEAF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HDPE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54691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0FE18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96.5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BB42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C92F7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2.74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EC38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85.3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D5B0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13.8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ACDBA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0.72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3E18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23A4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0.06</w:t>
            </w:r>
          </w:p>
        </w:tc>
      </w:tr>
      <w:tr w:rsidR="00D037B6" w:rsidRPr="00D037B6" w14:paraId="02D58181" w14:textId="77777777" w:rsidTr="00254DF4">
        <w:trPr>
          <w:trHeight w:val="23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DF07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PP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8C6C4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E2206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98.45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C0B55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1.54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9CD6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C993B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83.5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3DF5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8AB76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2.4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7DF8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8477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0.08</w:t>
            </w:r>
          </w:p>
        </w:tc>
      </w:tr>
      <w:tr w:rsidR="00D037B6" w:rsidRPr="00D037B6" w14:paraId="2B71E0C0" w14:textId="77777777" w:rsidTr="00254DF4">
        <w:trPr>
          <w:trHeight w:val="23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F526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PET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90FE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0.75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371E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88.21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4161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11.79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0B04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7E0F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62.9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CC49E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4.27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9999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32.79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3EE7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DDFDC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</w:t>
            </w:r>
          </w:p>
        </w:tc>
      </w:tr>
      <w:tr w:rsidR="00D037B6" w:rsidRPr="00D037B6" w14:paraId="487DAF4C" w14:textId="77777777" w:rsidTr="00254DF4">
        <w:trPr>
          <w:trHeight w:val="23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7F9D2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Feed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BF7C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0.32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9DBDA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93.92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411F0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5.85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0F291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5800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74.85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E21A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9.83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BAB7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15.24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CBF6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0.04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848CC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0.04</w:t>
            </w:r>
          </w:p>
        </w:tc>
      </w:tr>
      <w:tr w:rsidR="00D037B6" w:rsidRPr="00D037B6" w14:paraId="0B3B3F47" w14:textId="77777777" w:rsidTr="00254DF4">
        <w:trPr>
          <w:trHeight w:val="437"/>
        </w:trPr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AD3BF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Pyrolysis char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5A17C2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E515B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47.29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3EEC6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43.42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3BC5D2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9.29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20E35A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84.54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EDA45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5.72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87C76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B63DB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1289BF" w14:textId="77777777" w:rsidR="00254DF4" w:rsidRPr="00D037B6" w:rsidRDefault="00254DF4" w:rsidP="00254DF4">
            <w:pPr>
              <w:jc w:val="both"/>
              <w:rPr>
                <w:lang w:val="en-US"/>
              </w:rPr>
            </w:pPr>
            <w:r w:rsidRPr="00D037B6">
              <w:rPr>
                <w:lang w:val="en-US"/>
              </w:rPr>
              <w:t>0.09</w:t>
            </w:r>
          </w:p>
        </w:tc>
      </w:tr>
    </w:tbl>
    <w:p w14:paraId="75F0F7F3" w14:textId="52FFCD2A" w:rsidR="005A499A" w:rsidRPr="00D037B6" w:rsidRDefault="006C197B" w:rsidP="005A499A">
      <w:pPr>
        <w:pStyle w:val="Els-body-text"/>
        <w:rPr>
          <w:lang w:val="pl-PL"/>
        </w:rPr>
      </w:pPr>
      <w:r w:rsidRPr="00D037B6">
        <w:rPr>
          <w:lang w:val="pl-PL"/>
        </w:rPr>
        <w:t>*  Wt% O = 100-(Wt % C + Wt % H + Wt %N + Wt % Cl + Wt % S + Wt % ASH)</w:t>
      </w:r>
    </w:p>
    <w:p w14:paraId="19DE802D" w14:textId="148FCFD5" w:rsidR="00B33320" w:rsidRPr="00D037B6" w:rsidRDefault="00B33320" w:rsidP="00B33320">
      <w:pPr>
        <w:pStyle w:val="Els-body-text"/>
      </w:pPr>
      <w:r w:rsidRPr="00D037B6">
        <w:lastRenderedPageBreak/>
        <w:t>Lo</w:t>
      </w:r>
      <w:r w:rsidR="00636FBF" w:rsidRPr="00D037B6">
        <w:t>w</w:t>
      </w:r>
      <w:r w:rsidRPr="00D037B6">
        <w:t>er heating value of plastics was measured using a bomb calorimeter (Fire Testing Technology Ltd, United Kingdom). For LHV /values of 40.2 MJ/kg, 44.1 MJ/kg</w:t>
      </w:r>
      <w:r w:rsidR="00A80601" w:rsidRPr="00D037B6">
        <w:t>,</w:t>
      </w:r>
      <w:r w:rsidRPr="00D037B6">
        <w:t xml:space="preserve"> and 24.4 MJ/kg were measured for HDPE, PP</w:t>
      </w:r>
      <w:r w:rsidR="00A80601" w:rsidRPr="00D037B6">
        <w:t>,</w:t>
      </w:r>
      <w:r w:rsidRPr="00D037B6">
        <w:t xml:space="preserve"> and PET, respectively. </w:t>
      </w:r>
    </w:p>
    <w:p w14:paraId="224EB1D1" w14:textId="7AADFC16" w:rsidR="00B33320" w:rsidRPr="00D037B6" w:rsidRDefault="00B33320" w:rsidP="00B33320">
      <w:pPr>
        <w:pStyle w:val="Els-body-text"/>
      </w:pPr>
      <w:r w:rsidRPr="00D037B6">
        <w:t>A two-stage laboratory scale pyrolysis/split product gasification (PSPG) unit, described in (</w:t>
      </w:r>
      <w:r w:rsidRPr="00D037B6">
        <w:rPr>
          <w:lang w:val="sk-SK" w:bidi="fa-IR"/>
        </w:rPr>
        <w:t>Š</w:t>
      </w:r>
      <w:proofErr w:type="spellStart"/>
      <w:r w:rsidRPr="00D037B6">
        <w:t>uhaj</w:t>
      </w:r>
      <w:proofErr w:type="spellEnd"/>
      <w:r w:rsidRPr="00D037B6">
        <w:t xml:space="preserve"> et.al. 2022), was used to determine suitable gasification conditions, i.e., pyrolysis stage temperature, secondary catalytic reactor temperature, char gasification reactor temperature, product yield</w:t>
      </w:r>
      <w:r w:rsidR="00A80601" w:rsidRPr="00D037B6">
        <w:t>,</w:t>
      </w:r>
      <w:r w:rsidRPr="00D037B6">
        <w:t xml:space="preserve"> and gas tar content. </w:t>
      </w:r>
    </w:p>
    <w:p w14:paraId="50012B26" w14:textId="59A35041" w:rsidR="00254DF4" w:rsidRPr="00D037B6" w:rsidRDefault="005A499A" w:rsidP="00254DF4">
      <w:pPr>
        <w:pStyle w:val="Els-body-text"/>
        <w:rPr>
          <w:lang w:bidi="prs-AF"/>
        </w:rPr>
      </w:pPr>
      <w:r w:rsidRPr="00D037B6">
        <w:t>In the next step, Aspen Plus simulation was employed using experimental data to simulate the industrial scale two-stage pyrolysis/split product oxy-gasification process shown in Figure 1. As a reference, a single-stage gasifier model was simulated.</w:t>
      </w:r>
      <w:r w:rsidR="003622A8" w:rsidRPr="00D037B6">
        <w:t xml:space="preserve"> The feed of</w:t>
      </w:r>
      <w:r w:rsidRPr="00D037B6">
        <w:t xml:space="preserve"> </w:t>
      </w:r>
      <w:r w:rsidR="00D11C64" w:rsidRPr="00D037B6">
        <w:t xml:space="preserve">10 t/h of feedstock </w:t>
      </w:r>
      <w:r w:rsidR="002D52C2" w:rsidRPr="00D037B6">
        <w:t>in</w:t>
      </w:r>
      <w:r w:rsidR="00D11C64" w:rsidRPr="00D037B6">
        <w:t xml:space="preserve">to an industrial scale </w:t>
      </w:r>
      <w:r w:rsidR="002D52C2" w:rsidRPr="00D037B6">
        <w:t>PSPOG unit</w:t>
      </w:r>
      <w:r w:rsidR="003622A8" w:rsidRPr="00D037B6">
        <w:t xml:space="preserve"> was considered</w:t>
      </w:r>
      <w:r w:rsidR="002D52C2" w:rsidRPr="00D037B6">
        <w:t xml:space="preserve">. The feedstock is pyrolyzed at 740 </w:t>
      </w:r>
      <w:r w:rsidR="002D52C2" w:rsidRPr="00D037B6">
        <w:rPr>
          <w:lang w:val="sk-SK" w:bidi="fa-IR"/>
        </w:rPr>
        <w:t>°C</w:t>
      </w:r>
      <w:r w:rsidR="003622A8" w:rsidRPr="00D037B6">
        <w:rPr>
          <w:lang w:val="sk-SK" w:bidi="fa-IR"/>
        </w:rPr>
        <w:t xml:space="preserve"> </w:t>
      </w:r>
      <w:r w:rsidR="003622A8" w:rsidRPr="00D037B6">
        <w:t>in the first stage</w:t>
      </w:r>
      <w:r w:rsidR="002D52C2" w:rsidRPr="00D037B6">
        <w:rPr>
          <w:lang w:bidi="prs-AF"/>
        </w:rPr>
        <w:t>. The yield</w:t>
      </w:r>
      <w:r w:rsidR="000E101D" w:rsidRPr="00D037B6">
        <w:rPr>
          <w:lang w:bidi="prs-AF"/>
        </w:rPr>
        <w:t>s</w:t>
      </w:r>
      <w:r w:rsidR="002D52C2" w:rsidRPr="00D037B6">
        <w:rPr>
          <w:lang w:bidi="prs-AF"/>
        </w:rPr>
        <w:t xml:space="preserve"> of gas, liquid</w:t>
      </w:r>
      <w:r w:rsidR="003622A8" w:rsidRPr="00D037B6">
        <w:rPr>
          <w:lang w:bidi="prs-AF"/>
        </w:rPr>
        <w:t>,</w:t>
      </w:r>
      <w:r w:rsidR="002D52C2" w:rsidRPr="00D037B6">
        <w:rPr>
          <w:lang w:bidi="prs-AF"/>
        </w:rPr>
        <w:t xml:space="preserve"> and solid products </w:t>
      </w:r>
      <w:r w:rsidR="003622A8" w:rsidRPr="00D037B6">
        <w:rPr>
          <w:lang w:bidi="prs-AF"/>
        </w:rPr>
        <w:t>obtained</w:t>
      </w:r>
      <w:r w:rsidR="000E101D" w:rsidRPr="00D037B6">
        <w:rPr>
          <w:lang w:bidi="prs-AF"/>
        </w:rPr>
        <w:t xml:space="preserve"> from the laboratory experiments were 49.7 %</w:t>
      </w:r>
      <w:r w:rsidR="003622A8" w:rsidRPr="00D037B6">
        <w:rPr>
          <w:lang w:bidi="prs-AF"/>
        </w:rPr>
        <w:t>,</w:t>
      </w:r>
      <w:r w:rsidR="000E101D" w:rsidRPr="00D037B6">
        <w:rPr>
          <w:lang w:bidi="prs-AF"/>
        </w:rPr>
        <w:t xml:space="preserve"> 39.64</w:t>
      </w:r>
      <w:r w:rsidR="003622A8" w:rsidRPr="00D037B6">
        <w:rPr>
          <w:lang w:bidi="prs-AF"/>
        </w:rPr>
        <w:t>%,</w:t>
      </w:r>
      <w:r w:rsidR="000E101D" w:rsidRPr="00D037B6">
        <w:rPr>
          <w:lang w:bidi="prs-AF"/>
        </w:rPr>
        <w:t xml:space="preserve"> and 10.66 %, respectively. </w:t>
      </w:r>
    </w:p>
    <w:p w14:paraId="5720E065" w14:textId="4EE014A9" w:rsidR="006A4122" w:rsidRPr="00D037B6" w:rsidRDefault="00254DF4" w:rsidP="00F5281C">
      <w:pPr>
        <w:pStyle w:val="Els-body-text"/>
        <w:rPr>
          <w:lang w:bidi="prs-AF"/>
        </w:rPr>
      </w:pPr>
      <w:r w:rsidRPr="00D037B6">
        <w:rPr>
          <w:lang w:bidi="prs-AF"/>
        </w:rPr>
        <w:t xml:space="preserve">The composition of pyrolysis gases at 740 </w:t>
      </w:r>
      <w:r w:rsidRPr="00D037B6">
        <w:rPr>
          <w:lang w:val="sk-SK" w:bidi="fa-IR"/>
        </w:rPr>
        <w:t xml:space="preserve">°C </w:t>
      </w:r>
      <w:proofErr w:type="spellStart"/>
      <w:r w:rsidR="006A4122" w:rsidRPr="00D037B6">
        <w:rPr>
          <w:lang w:val="sk-SK" w:bidi="fa-IR"/>
        </w:rPr>
        <w:t>was</w:t>
      </w:r>
      <w:proofErr w:type="spellEnd"/>
      <w:r w:rsidR="006A4122" w:rsidRPr="00D037B6">
        <w:rPr>
          <w:lang w:val="sk-SK" w:bidi="fa-IR"/>
        </w:rPr>
        <w:t xml:space="preserve"> </w:t>
      </w:r>
      <w:r w:rsidRPr="00D037B6">
        <w:rPr>
          <w:lang w:val="en-GB" w:bidi="fa-IR"/>
        </w:rPr>
        <w:t>derived from the composition of the pyrolysis gas of</w:t>
      </w:r>
      <w:r w:rsidRPr="00D037B6">
        <w:rPr>
          <w:lang w:val="sk-SK" w:bidi="fa-IR"/>
        </w:rPr>
        <w:t xml:space="preserve"> </w:t>
      </w:r>
      <w:r w:rsidR="0007786C" w:rsidRPr="00D037B6">
        <w:rPr>
          <w:lang w:val="sk-SK" w:bidi="fa-IR"/>
        </w:rPr>
        <w:t>HD</w:t>
      </w:r>
      <w:r w:rsidR="0092078D" w:rsidRPr="00D037B6">
        <w:rPr>
          <w:lang w:bidi="prs-AF"/>
        </w:rPr>
        <w:t>PE, PP</w:t>
      </w:r>
      <w:r w:rsidR="003622A8" w:rsidRPr="00D037B6">
        <w:rPr>
          <w:lang w:bidi="prs-AF"/>
        </w:rPr>
        <w:t>,</w:t>
      </w:r>
      <w:r w:rsidR="0092078D" w:rsidRPr="00D037B6">
        <w:rPr>
          <w:lang w:bidi="prs-AF"/>
        </w:rPr>
        <w:t xml:space="preserve"> and PET </w:t>
      </w:r>
      <w:r w:rsidRPr="00D037B6">
        <w:rPr>
          <w:lang w:bidi="prs-AF"/>
        </w:rPr>
        <w:t>obtained from literature</w:t>
      </w:r>
      <w:r w:rsidR="006A4122" w:rsidRPr="00D037B6">
        <w:rPr>
          <w:lang w:bidi="prs-AF"/>
        </w:rPr>
        <w:t xml:space="preserve"> </w:t>
      </w:r>
      <w:r w:rsidR="0092078D" w:rsidRPr="00D037B6">
        <w:rPr>
          <w:lang w:bidi="prs-AF"/>
        </w:rPr>
        <w:t>(Jung et al. 2010)</w:t>
      </w:r>
      <w:r w:rsidRPr="00D037B6">
        <w:rPr>
          <w:lang w:bidi="prs-AF"/>
        </w:rPr>
        <w:t xml:space="preserve">. </w:t>
      </w:r>
      <w:r w:rsidR="006A4122" w:rsidRPr="00D037B6">
        <w:rPr>
          <w:lang w:bidi="prs-AF"/>
        </w:rPr>
        <w:t xml:space="preserve">The liquid pyrolysis product was modeled </w:t>
      </w:r>
      <w:r w:rsidR="003622A8" w:rsidRPr="00D037B6">
        <w:rPr>
          <w:lang w:bidi="prs-AF"/>
        </w:rPr>
        <w:t>according to</w:t>
      </w:r>
      <w:r w:rsidR="00FE34A7" w:rsidRPr="00D037B6">
        <w:rPr>
          <w:lang w:bidi="prs-AF"/>
        </w:rPr>
        <w:t xml:space="preserve"> </w:t>
      </w:r>
      <w:r w:rsidR="0007732B" w:rsidRPr="00D037B6">
        <w:rPr>
          <w:lang w:bidi="prs-AF"/>
        </w:rPr>
        <w:t>four</w:t>
      </w:r>
      <w:r w:rsidR="00FE34A7" w:rsidRPr="00D037B6">
        <w:rPr>
          <w:lang w:bidi="prs-AF"/>
        </w:rPr>
        <w:t xml:space="preserve"> representative components (naphthalene, ethylbenzene, toluene</w:t>
      </w:r>
      <w:r w:rsidR="003622A8" w:rsidRPr="00D037B6">
        <w:rPr>
          <w:lang w:bidi="prs-AF"/>
        </w:rPr>
        <w:t>,</w:t>
      </w:r>
      <w:r w:rsidR="00FE34A7" w:rsidRPr="00D037B6">
        <w:rPr>
          <w:lang w:bidi="prs-AF"/>
        </w:rPr>
        <w:t xml:space="preserve"> and benzenediol). </w:t>
      </w:r>
    </w:p>
    <w:p w14:paraId="088410DC" w14:textId="43A04A58" w:rsidR="00A92C50" w:rsidRPr="00D037B6" w:rsidRDefault="00A92C50" w:rsidP="0007786C">
      <w:pPr>
        <w:pStyle w:val="Els-body-text"/>
        <w:rPr>
          <w:lang w:bidi="prs-AF"/>
        </w:rPr>
      </w:pPr>
      <w:r w:rsidRPr="00D037B6">
        <w:t>The thermodynamic equilibrium model for gasification was employed to analyze the performance of the PSPOG system. The solid pyrolysis product is gasified in a char gasification reactor (CHGR)</w:t>
      </w:r>
      <w:r w:rsidRPr="00D037B6">
        <w:rPr>
          <w:lang w:bidi="prs-AF"/>
        </w:rPr>
        <w:t>; produced gas from CHGR is used together with additional oxygen and steam as gasifying agents in the secondary catalytic reactor (SCR). A portion of raw syngas is recycled to CHGR to maintain the reactor temperature. Raw gas is cooled and cleaned in a gas cleaning unit. A fraction of clean gas is used to heat the pyrolysis reactor. The equivalence ratio (ER), oxygen split ratio (OSR), steam split ratio (SSR), carbon conversion (</w:t>
      </w:r>
      <w:proofErr w:type="spellStart"/>
      <w:r w:rsidRPr="00D037B6">
        <w:rPr>
          <w:lang w:bidi="prs-AF"/>
        </w:rPr>
        <w:t>CConv</w:t>
      </w:r>
      <w:proofErr w:type="spellEnd"/>
      <w:r w:rsidRPr="00D037B6">
        <w:rPr>
          <w:lang w:bidi="prs-AF"/>
        </w:rPr>
        <w:t xml:space="preserve">), cold gas efficiency (CGE), and carbon conversion efficiency (CCE) are calculated by </w:t>
      </w:r>
      <w:proofErr w:type="spellStart"/>
      <w:r w:rsidRPr="00D037B6">
        <w:rPr>
          <w:lang w:bidi="prs-AF"/>
        </w:rPr>
        <w:t>Eqs</w:t>
      </w:r>
      <w:proofErr w:type="spellEnd"/>
      <w:r w:rsidRPr="00D037B6">
        <w:rPr>
          <w:lang w:bidi="prs-AF"/>
        </w:rPr>
        <w:t xml:space="preserve">. 1-6. </w:t>
      </w:r>
    </w:p>
    <w:p w14:paraId="4D878211" w14:textId="77777777" w:rsidR="00A92C50" w:rsidRPr="00D037B6" w:rsidRDefault="00A92C50" w:rsidP="00A92C50">
      <w:pPr>
        <w:pStyle w:val="Els-body-text"/>
        <w:rPr>
          <w:lang w:bidi="prs-AF"/>
        </w:rPr>
      </w:pPr>
    </w:p>
    <w:p w14:paraId="62959E37" w14:textId="77777777" w:rsidR="00A92C50" w:rsidRPr="00D037B6" w:rsidRDefault="00A92C50" w:rsidP="00A92C50">
      <w:pPr>
        <w:pStyle w:val="Els-body-text"/>
        <w:rPr>
          <w:lang w:bidi="prs-AF"/>
        </w:rPr>
      </w:pPr>
      <m:oMath>
        <m:r>
          <w:rPr>
            <w:rFonts w:ascii="Cambria Math" w:hAnsi="Cambria Math"/>
            <w:lang w:bidi="prs-AF"/>
          </w:rPr>
          <m:t>ER=</m:t>
        </m:r>
        <m:f>
          <m:fPr>
            <m:ctrlPr>
              <w:rPr>
                <w:rFonts w:ascii="Cambria Math" w:hAnsi="Cambria Math"/>
                <w:i/>
                <w:lang w:bidi="prs-A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bidi="prs-A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prs-A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prs-AF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prs-AF"/>
                          </w:rPr>
                          <m:t>2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  <w:lang w:bidi="prs-AF"/>
                  </w:rPr>
                  <m:t>1</m:t>
                </m:r>
              </m:sub>
            </m:sSub>
            <m:r>
              <w:rPr>
                <w:rFonts w:ascii="Cambria Math" w:hAnsi="Cambria Math"/>
                <w:lang w:bidi="prs-AF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bidi="prs-A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prs-A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prs-AF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prs-AF"/>
                          </w:rPr>
                          <m:t>2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  <w:lang w:bidi="prs-AF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r>
                  <w:rPr>
                    <w:rFonts w:ascii="Cambria Math" w:hAnsi="Cambria Math"/>
                    <w:lang w:bidi="prs-AF"/>
                  </w:rPr>
                  <m:t>O</m:t>
                </m:r>
              </m:e>
              <m:sub>
                <m:r>
                  <w:rPr>
                    <w:rFonts w:ascii="Cambria Math" w:hAnsi="Cambria Math"/>
                    <w:lang w:bidi="prs-AF"/>
                  </w:rPr>
                  <m:t>stechiometric</m:t>
                </m:r>
              </m:sub>
            </m:sSub>
          </m:den>
        </m:f>
      </m:oMath>
      <w:r w:rsidRPr="00D037B6">
        <w:rPr>
          <w:lang w:bidi="prs-AF"/>
        </w:rPr>
        <w:t xml:space="preserve"> </w:t>
      </w:r>
      <w:r w:rsidRPr="00D037B6">
        <w:rPr>
          <w:lang w:bidi="prs-AF"/>
        </w:rPr>
        <w:tab/>
      </w:r>
      <w:r w:rsidRPr="00D037B6">
        <w:rPr>
          <w:lang w:bidi="prs-AF"/>
        </w:rPr>
        <w:tab/>
      </w:r>
      <w:r w:rsidRPr="00D037B6">
        <w:rPr>
          <w:lang w:bidi="prs-AF"/>
        </w:rPr>
        <w:tab/>
      </w:r>
      <w:r w:rsidRPr="00D037B6">
        <w:rPr>
          <w:lang w:bidi="prs-AF"/>
        </w:rPr>
        <w:tab/>
      </w:r>
      <w:r w:rsidRPr="00D037B6">
        <w:rPr>
          <w:lang w:bidi="prs-AF"/>
        </w:rPr>
        <w:tab/>
      </w:r>
      <w:r w:rsidRPr="00D037B6">
        <w:rPr>
          <w:lang w:bidi="prs-AF"/>
        </w:rPr>
        <w:tab/>
      </w:r>
      <w:r w:rsidRPr="00D037B6">
        <w:rPr>
          <w:lang w:bidi="prs-AF"/>
        </w:rPr>
        <w:tab/>
        <w:t>(1)</w:t>
      </w:r>
    </w:p>
    <w:p w14:paraId="06019A55" w14:textId="77777777" w:rsidR="00A92C50" w:rsidRPr="00D037B6" w:rsidRDefault="00A92C50" w:rsidP="00F5281C">
      <w:pPr>
        <w:pStyle w:val="Els-body-text"/>
        <w:rPr>
          <w:lang w:bidi="prs-AF"/>
        </w:rPr>
      </w:pPr>
    </w:p>
    <w:p w14:paraId="03FADDEA" w14:textId="77777777" w:rsidR="00F261A1" w:rsidRPr="00D037B6" w:rsidRDefault="00F261A1" w:rsidP="00F5281C">
      <w:pPr>
        <w:pStyle w:val="Els-body-text"/>
        <w:rPr>
          <w:lang w:bidi="prs-AF"/>
        </w:rPr>
      </w:pPr>
    </w:p>
    <w:p w14:paraId="6699D7BA" w14:textId="77777777" w:rsidR="00F261A1" w:rsidRPr="00D037B6" w:rsidRDefault="00F261A1" w:rsidP="00F261A1">
      <w:pPr>
        <w:pStyle w:val="Els-body-text"/>
      </w:pPr>
      <w:r w:rsidRPr="00D037B6">
        <w:rPr>
          <w:noProof/>
          <w:lang w:val="en-GB"/>
        </w:rPr>
        <w:drawing>
          <wp:inline distT="0" distB="0" distL="0" distR="0" wp14:anchorId="5F6BAC8F" wp14:editId="2262F9D3">
            <wp:extent cx="3548418" cy="2322546"/>
            <wp:effectExtent l="0" t="0" r="0" b="0"/>
            <wp:docPr id="1959425898" name="Picture 1959425898">
              <a:extLst xmlns:a="http://schemas.openxmlformats.org/drawingml/2006/main">
                <a:ext uri="{FF2B5EF4-FFF2-40B4-BE49-F238E27FC236}">
                  <a16:creationId xmlns:a16="http://schemas.microsoft.com/office/drawing/2014/main" id="{C36F4879-3242-B5D2-34E3-9468DF639D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5">
                      <a:extLst>
                        <a:ext uri="{FF2B5EF4-FFF2-40B4-BE49-F238E27FC236}">
                          <a16:creationId xmlns:a16="http://schemas.microsoft.com/office/drawing/2014/main" id="{C36F4879-3242-B5D2-34E3-9468DF639D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972" cy="232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5F6A7" w14:textId="77777777" w:rsidR="00F261A1" w:rsidRPr="00D037B6" w:rsidRDefault="00F261A1" w:rsidP="00F261A1">
      <w:pPr>
        <w:pStyle w:val="Els-body-text"/>
      </w:pPr>
      <w:r w:rsidRPr="00D037B6">
        <w:t xml:space="preserve"> </w:t>
      </w:r>
    </w:p>
    <w:p w14:paraId="1504422E" w14:textId="77777777" w:rsidR="00F261A1" w:rsidRPr="00D037B6" w:rsidRDefault="00F261A1" w:rsidP="00F261A1">
      <w:pPr>
        <w:pStyle w:val="Els-body-text"/>
      </w:pPr>
      <w:r w:rsidRPr="00D037B6">
        <w:t>Figure 1. Process flow diagram of two-stage pyrolysis/split product oxy-gasification</w:t>
      </w:r>
    </w:p>
    <w:p w14:paraId="1DF6ECDB" w14:textId="77777777" w:rsidR="005A499A" w:rsidRPr="00D037B6" w:rsidRDefault="005A499A" w:rsidP="005A499A">
      <w:pPr>
        <w:pStyle w:val="Els-body-text"/>
      </w:pPr>
    </w:p>
    <w:p w14:paraId="5CBDC816" w14:textId="77777777" w:rsidR="00AE7FBB" w:rsidRPr="00D037B6" w:rsidRDefault="00AE7FBB" w:rsidP="0000735B">
      <w:pPr>
        <w:pStyle w:val="Els-body-text"/>
        <w:jc w:val="left"/>
        <w:rPr>
          <w:lang w:bidi="prs-AF"/>
        </w:rPr>
      </w:pPr>
    </w:p>
    <w:p w14:paraId="4FF312DE" w14:textId="2593441B" w:rsidR="00AE7FBB" w:rsidRPr="00D037B6" w:rsidRDefault="00AE7FBB" w:rsidP="0000735B">
      <w:pPr>
        <w:pStyle w:val="Els-body-text"/>
        <w:jc w:val="left"/>
        <w:rPr>
          <w:lang w:bidi="prs-AF"/>
        </w:rPr>
      </w:pPr>
      <m:oMath>
        <m:r>
          <w:rPr>
            <w:rFonts w:ascii="Cambria Math" w:hAnsi="Cambria Math"/>
            <w:lang w:bidi="prs-AF"/>
          </w:rPr>
          <m:t>OSR=</m:t>
        </m:r>
        <m:f>
          <m:fPr>
            <m:ctrlPr>
              <w:rPr>
                <w:rFonts w:ascii="Cambria Math" w:hAnsi="Cambria Math"/>
                <w:i/>
                <w:lang w:bidi="prs-A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bidi="prs-A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prs-A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prs-AF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prs-AF"/>
                          </w:rPr>
                          <m:t>2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  <w:lang w:bidi="prs-AF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bidi="prs-A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prs-A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prs-AF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prs-AF"/>
                          </w:rPr>
                          <m:t>2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  <w:lang w:bidi="prs-AF"/>
                  </w:rPr>
                  <m:t>1</m:t>
                </m:r>
              </m:sub>
            </m:sSub>
            <m:r>
              <w:rPr>
                <w:rFonts w:ascii="Cambria Math" w:hAnsi="Cambria Math"/>
                <w:lang w:bidi="prs-AF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bidi="prs-A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prs-A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prs-AF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prs-AF"/>
                          </w:rPr>
                          <m:t>2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  <w:lang w:bidi="prs-AF"/>
                  </w:rPr>
                  <m:t>2</m:t>
                </m:r>
              </m:sub>
            </m:sSub>
          </m:den>
        </m:f>
      </m:oMath>
      <w:r w:rsidR="00FB341E" w:rsidRPr="00D037B6">
        <w:rPr>
          <w:lang w:bidi="prs-AF"/>
        </w:rPr>
        <w:t xml:space="preserve"> </w:t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  <w:t>(2)</w:t>
      </w:r>
    </w:p>
    <w:p w14:paraId="71BF2FDE" w14:textId="77777777" w:rsidR="00AE7FBB" w:rsidRPr="00D037B6" w:rsidRDefault="00AE7FBB" w:rsidP="0000735B">
      <w:pPr>
        <w:pStyle w:val="Els-body-text"/>
        <w:jc w:val="left"/>
        <w:rPr>
          <w:lang w:bidi="prs-AF"/>
        </w:rPr>
      </w:pPr>
    </w:p>
    <w:p w14:paraId="3283AE9B" w14:textId="27541D28" w:rsidR="00DB3E5B" w:rsidRPr="00D037B6" w:rsidRDefault="00AE7FBB" w:rsidP="0000735B">
      <w:pPr>
        <w:pStyle w:val="Els-body-text"/>
        <w:jc w:val="left"/>
        <w:rPr>
          <w:lang w:bidi="prs-AF"/>
        </w:rPr>
      </w:pPr>
      <m:oMath>
        <m:r>
          <w:rPr>
            <w:rFonts w:ascii="Cambria Math" w:hAnsi="Cambria Math"/>
            <w:lang w:bidi="prs-AF"/>
          </w:rPr>
          <m:t>SSR=</m:t>
        </m:r>
        <m:f>
          <m:fPr>
            <m:ctrlPr>
              <w:rPr>
                <w:rFonts w:ascii="Cambria Math" w:hAnsi="Cambria Math"/>
                <w:i/>
                <w:lang w:bidi="prs-A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r>
                  <w:rPr>
                    <w:rFonts w:ascii="Cambria Math" w:hAnsi="Cambria Math"/>
                    <w:lang w:bidi="prs-AF"/>
                  </w:rPr>
                  <m:t>SCR</m:t>
                </m:r>
              </m:e>
              <m:sub>
                <m:r>
                  <w:rPr>
                    <w:rFonts w:ascii="Cambria Math" w:hAnsi="Cambria Math"/>
                    <w:lang w:bidi="prs-AF"/>
                  </w:rPr>
                  <m:t>steam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r>
                  <w:rPr>
                    <w:rFonts w:ascii="Cambria Math" w:hAnsi="Cambria Math"/>
                    <w:lang w:bidi="prs-AF"/>
                  </w:rPr>
                  <m:t>SCR</m:t>
                </m:r>
              </m:e>
              <m:sub>
                <m:r>
                  <w:rPr>
                    <w:rFonts w:ascii="Cambria Math" w:hAnsi="Cambria Math"/>
                    <w:lang w:bidi="prs-AF"/>
                  </w:rPr>
                  <m:t>steam</m:t>
                </m:r>
              </m:sub>
            </m:sSub>
            <m:r>
              <w:rPr>
                <w:rFonts w:ascii="Cambria Math" w:hAnsi="Cambria Math"/>
                <w:lang w:bidi="prs-AF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r>
                  <w:rPr>
                    <w:rFonts w:ascii="Cambria Math" w:hAnsi="Cambria Math"/>
                    <w:lang w:bidi="prs-AF"/>
                  </w:rPr>
                  <m:t>CHGS</m:t>
                </m:r>
              </m:e>
              <m:sub>
                <m:r>
                  <w:rPr>
                    <w:rFonts w:ascii="Cambria Math" w:hAnsi="Cambria Math"/>
                    <w:lang w:bidi="prs-AF"/>
                  </w:rPr>
                  <m:t>steam</m:t>
                </m:r>
              </m:sub>
            </m:sSub>
          </m:den>
        </m:f>
      </m:oMath>
      <w:r w:rsidR="00FB341E" w:rsidRPr="00D037B6">
        <w:rPr>
          <w:lang w:bidi="prs-AF"/>
        </w:rPr>
        <w:t xml:space="preserve"> </w:t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  <w:t>(3)</w:t>
      </w:r>
    </w:p>
    <w:p w14:paraId="626A95F0" w14:textId="77777777" w:rsidR="0000735B" w:rsidRPr="00D037B6" w:rsidRDefault="0000735B" w:rsidP="0000735B">
      <w:pPr>
        <w:pStyle w:val="Els-body-text"/>
        <w:jc w:val="left"/>
        <w:rPr>
          <w:lang w:bidi="prs-AF"/>
        </w:rPr>
      </w:pPr>
    </w:p>
    <w:p w14:paraId="5955DC5E" w14:textId="307BC63D" w:rsidR="0000735B" w:rsidRPr="00D037B6" w:rsidRDefault="0000735B" w:rsidP="0000735B">
      <w:pPr>
        <w:pStyle w:val="Els-body-text"/>
        <w:jc w:val="left"/>
        <w:rPr>
          <w:lang w:bidi="prs-AF"/>
        </w:rPr>
      </w:pPr>
      <m:oMath>
        <m:r>
          <w:rPr>
            <w:rFonts w:ascii="Cambria Math" w:hAnsi="Cambria Math"/>
            <w:lang w:bidi="prs-AF"/>
          </w:rPr>
          <m:t>CConv=</m:t>
        </m:r>
        <m:f>
          <m:fPr>
            <m:ctrlPr>
              <w:rPr>
                <w:rFonts w:ascii="Cambria Math" w:hAnsi="Cambria Math"/>
                <w:i/>
                <w:lang w:bidi="prs-A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r>
                  <w:rPr>
                    <w:rFonts w:ascii="Cambria Math" w:hAnsi="Cambria Math"/>
                    <w:lang w:bidi="prs-AF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bidi="prs-AF"/>
                  </w:rPr>
                  <m:t>in</m:t>
                </m:r>
              </m:sub>
            </m:sSub>
            <m:r>
              <w:rPr>
                <w:rFonts w:ascii="Cambria Math" w:hAnsi="Cambria Math"/>
                <w:lang w:bidi="prs-A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r>
                  <w:rPr>
                    <w:rFonts w:ascii="Cambria Math" w:hAnsi="Cambria Math"/>
                    <w:lang w:bidi="prs-AF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bidi="prs-AF"/>
                  </w:rPr>
                  <m:t>out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r>
                  <w:rPr>
                    <w:rFonts w:ascii="Cambria Math" w:hAnsi="Cambria Math"/>
                    <w:lang w:bidi="prs-AF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bidi="prs-AF"/>
                  </w:rPr>
                  <m:t>in</m:t>
                </m:r>
              </m:sub>
            </m:sSub>
          </m:den>
        </m:f>
      </m:oMath>
      <w:r w:rsidR="00FB341E" w:rsidRPr="00D037B6">
        <w:rPr>
          <w:lang w:bidi="prs-AF"/>
        </w:rPr>
        <w:t xml:space="preserve"> </w:t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</w:r>
      <w:r w:rsidR="00FB341E" w:rsidRPr="00D037B6">
        <w:rPr>
          <w:lang w:bidi="prs-AF"/>
        </w:rPr>
        <w:tab/>
        <w:t>(4)</w:t>
      </w:r>
    </w:p>
    <w:p w14:paraId="2AE45DB0" w14:textId="52EC9443" w:rsidR="0000735B" w:rsidRPr="00D037B6" w:rsidRDefault="0000735B" w:rsidP="0000735B">
      <w:pPr>
        <w:pStyle w:val="Els-body-text"/>
        <w:jc w:val="left"/>
        <w:rPr>
          <w:rFonts w:ascii="Cambria Math" w:hAnsi="Cambria Math"/>
          <w:iCs/>
          <w:lang w:bidi="prs-AF"/>
        </w:rPr>
      </w:pPr>
      <w:r w:rsidRPr="00D037B6">
        <w:rPr>
          <w:rFonts w:ascii="Cambria Math" w:hAnsi="Cambria Math"/>
          <w:i/>
          <w:lang w:bidi="prs-AF"/>
        </w:rPr>
        <w:br/>
      </w:r>
      <m:oMath>
        <m:r>
          <w:rPr>
            <w:rFonts w:ascii="Cambria Math" w:hAnsi="Cambria Math"/>
            <w:lang w:bidi="prs-AF"/>
          </w:rPr>
          <m:t>CGE=</m:t>
        </m:r>
        <m:f>
          <m:fPr>
            <m:ctrlPr>
              <w:rPr>
                <w:rFonts w:ascii="Cambria Math" w:hAnsi="Cambria Math"/>
                <w:i/>
                <w:lang w:bidi="prs-A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r>
                  <w:rPr>
                    <w:rFonts w:ascii="Cambria Math" w:hAnsi="Cambria Math"/>
                    <w:lang w:bidi="prs-AF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bidi="prs-AF"/>
                  </w:rPr>
                  <m:t>syngas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r>
                  <w:rPr>
                    <w:rFonts w:ascii="Cambria Math" w:hAnsi="Cambria Math"/>
                    <w:lang w:bidi="prs-AF"/>
                  </w:rPr>
                  <m:t>HHV</m:t>
                </m:r>
              </m:e>
              <m:sub>
                <m:r>
                  <w:rPr>
                    <w:rFonts w:ascii="Cambria Math" w:hAnsi="Cambria Math"/>
                    <w:lang w:bidi="prs-AF"/>
                  </w:rPr>
                  <m:t>syngas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r>
                  <w:rPr>
                    <w:rFonts w:ascii="Cambria Math" w:hAnsi="Cambria Math"/>
                    <w:lang w:bidi="prs-AF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bidi="prs-AF"/>
                  </w:rPr>
                  <m:t>feed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r>
                  <w:rPr>
                    <w:rFonts w:ascii="Cambria Math" w:hAnsi="Cambria Math"/>
                    <w:lang w:bidi="prs-AF"/>
                  </w:rPr>
                  <m:t>HHV</m:t>
                </m:r>
              </m:e>
              <m:sub>
                <m:r>
                  <w:rPr>
                    <w:rFonts w:ascii="Cambria Math" w:hAnsi="Cambria Math"/>
                    <w:lang w:bidi="prs-AF"/>
                  </w:rPr>
                  <m:t>feed</m:t>
                </m:r>
              </m:sub>
            </m:sSub>
          </m:den>
        </m:f>
      </m:oMath>
      <w:r w:rsidR="00FB341E" w:rsidRPr="00D037B6">
        <w:rPr>
          <w:rFonts w:ascii="Cambria Math" w:hAnsi="Cambria Math"/>
          <w:iCs/>
          <w:lang w:bidi="prs-AF"/>
        </w:rPr>
        <w:t xml:space="preserve">  </w:t>
      </w:r>
      <w:r w:rsidR="00FB341E" w:rsidRPr="00D037B6">
        <w:rPr>
          <w:rFonts w:ascii="Cambria Math" w:hAnsi="Cambria Math"/>
          <w:iCs/>
          <w:lang w:bidi="prs-AF"/>
        </w:rPr>
        <w:tab/>
      </w:r>
      <w:r w:rsidR="00FB341E" w:rsidRPr="00D037B6">
        <w:rPr>
          <w:rFonts w:ascii="Cambria Math" w:hAnsi="Cambria Math"/>
          <w:iCs/>
          <w:lang w:bidi="prs-AF"/>
        </w:rPr>
        <w:tab/>
      </w:r>
      <w:r w:rsidR="00FB341E" w:rsidRPr="00D037B6">
        <w:rPr>
          <w:rFonts w:ascii="Cambria Math" w:hAnsi="Cambria Math"/>
          <w:iCs/>
          <w:lang w:bidi="prs-AF"/>
        </w:rPr>
        <w:tab/>
      </w:r>
      <w:r w:rsidR="00FB341E" w:rsidRPr="00D037B6">
        <w:rPr>
          <w:rFonts w:ascii="Cambria Math" w:hAnsi="Cambria Math"/>
          <w:iCs/>
          <w:lang w:bidi="prs-AF"/>
        </w:rPr>
        <w:tab/>
      </w:r>
      <w:r w:rsidR="00FB341E" w:rsidRPr="00D037B6">
        <w:rPr>
          <w:rFonts w:ascii="Cambria Math" w:hAnsi="Cambria Math"/>
          <w:iCs/>
          <w:lang w:bidi="prs-AF"/>
        </w:rPr>
        <w:tab/>
      </w:r>
      <w:r w:rsidR="00FB341E" w:rsidRPr="00D037B6">
        <w:rPr>
          <w:rFonts w:ascii="Cambria Math" w:hAnsi="Cambria Math"/>
          <w:iCs/>
          <w:lang w:bidi="prs-AF"/>
        </w:rPr>
        <w:tab/>
      </w:r>
      <w:r w:rsidR="00FB341E" w:rsidRPr="00D037B6">
        <w:rPr>
          <w:rFonts w:ascii="Cambria Math" w:hAnsi="Cambria Math"/>
          <w:iCs/>
          <w:lang w:bidi="prs-AF"/>
        </w:rPr>
        <w:tab/>
        <w:t>(5)</w:t>
      </w:r>
    </w:p>
    <w:p w14:paraId="164592B2" w14:textId="77777777" w:rsidR="0000735B" w:rsidRPr="00D037B6" w:rsidRDefault="0000735B" w:rsidP="0000735B">
      <w:pPr>
        <w:pStyle w:val="Els-body-text"/>
        <w:jc w:val="left"/>
        <w:rPr>
          <w:lang w:bidi="prs-AF"/>
        </w:rPr>
      </w:pPr>
    </w:p>
    <w:p w14:paraId="052556EE" w14:textId="07E4EE09" w:rsidR="0000735B" w:rsidRPr="00D037B6" w:rsidRDefault="00FB341E" w:rsidP="0000735B">
      <w:pPr>
        <w:pStyle w:val="Els-body-text"/>
        <w:jc w:val="left"/>
        <w:rPr>
          <w:lang w:bidi="prs-AF"/>
        </w:rPr>
      </w:pPr>
      <m:oMath>
        <m:r>
          <w:rPr>
            <w:rFonts w:ascii="Cambria Math" w:hAnsi="Cambria Math"/>
            <w:lang w:bidi="prs-AF"/>
          </w:rPr>
          <m:t>CCE=</m:t>
        </m:r>
        <m:f>
          <m:fPr>
            <m:ctrlPr>
              <w:rPr>
                <w:rFonts w:ascii="Cambria Math" w:hAnsi="Cambria Math"/>
                <w:i/>
                <w:lang w:bidi="prs-A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r>
                  <w:rPr>
                    <w:rFonts w:ascii="Cambria Math" w:hAnsi="Cambria Math"/>
                    <w:lang w:bidi="prs-AF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bidi="prs-AF"/>
                  </w:rPr>
                  <m:t>syngas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bidi="prs-AF"/>
                  </w:rPr>
                </m:ctrlPr>
              </m:sSubPr>
              <m:e>
                <m:r>
                  <w:rPr>
                    <w:rFonts w:ascii="Cambria Math" w:hAnsi="Cambria Math"/>
                    <w:lang w:bidi="prs-AF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bidi="prs-AF"/>
                  </w:rPr>
                  <m:t>feed</m:t>
                </m:r>
              </m:sub>
            </m:sSub>
          </m:den>
        </m:f>
      </m:oMath>
      <w:r w:rsidRPr="00D037B6">
        <w:rPr>
          <w:lang w:bidi="prs-AF"/>
        </w:rPr>
        <w:t xml:space="preserve"> </w:t>
      </w:r>
      <w:r w:rsidRPr="00D037B6">
        <w:rPr>
          <w:lang w:bidi="prs-AF"/>
        </w:rPr>
        <w:tab/>
      </w:r>
      <w:r w:rsidRPr="00D037B6">
        <w:rPr>
          <w:lang w:bidi="prs-AF"/>
        </w:rPr>
        <w:tab/>
      </w:r>
      <w:r w:rsidRPr="00D037B6">
        <w:rPr>
          <w:lang w:bidi="prs-AF"/>
        </w:rPr>
        <w:tab/>
      </w:r>
      <w:r w:rsidRPr="00D037B6">
        <w:rPr>
          <w:lang w:bidi="prs-AF"/>
        </w:rPr>
        <w:tab/>
      </w:r>
      <w:r w:rsidRPr="00D037B6">
        <w:rPr>
          <w:lang w:bidi="prs-AF"/>
        </w:rPr>
        <w:tab/>
      </w:r>
      <w:r w:rsidRPr="00D037B6">
        <w:rPr>
          <w:lang w:bidi="prs-AF"/>
        </w:rPr>
        <w:tab/>
      </w:r>
      <w:r w:rsidRPr="00D037B6">
        <w:rPr>
          <w:lang w:bidi="prs-AF"/>
        </w:rPr>
        <w:tab/>
      </w:r>
      <w:r w:rsidRPr="00D037B6">
        <w:rPr>
          <w:lang w:bidi="prs-AF"/>
        </w:rPr>
        <w:tab/>
        <w:t>(6)</w:t>
      </w:r>
    </w:p>
    <w:p w14:paraId="323FDBF5" w14:textId="77777777" w:rsidR="009F6459" w:rsidRPr="00D037B6" w:rsidRDefault="009F6459" w:rsidP="0000735B">
      <w:pPr>
        <w:pStyle w:val="Els-body-text"/>
        <w:jc w:val="left"/>
        <w:rPr>
          <w:lang w:bidi="prs-AF"/>
        </w:rPr>
      </w:pPr>
    </w:p>
    <w:p w14:paraId="43080EEC" w14:textId="7B05DF33" w:rsidR="00FB341E" w:rsidRPr="00D037B6" w:rsidRDefault="00FB341E" w:rsidP="009F6459">
      <w:pPr>
        <w:pStyle w:val="Els-body-text"/>
        <w:jc w:val="left"/>
        <w:rPr>
          <w:lang w:bidi="prs-AF"/>
        </w:rPr>
      </w:pPr>
      <w:r w:rsidRPr="00D037B6">
        <w:rPr>
          <w:lang w:bidi="prs-AF"/>
        </w:rPr>
        <w:t>Where (O</w:t>
      </w:r>
      <w:r w:rsidRPr="00D037B6">
        <w:rPr>
          <w:vertAlign w:val="subscript"/>
          <w:lang w:bidi="prs-AF"/>
        </w:rPr>
        <w:t>2</w:t>
      </w:r>
      <w:r w:rsidRPr="00D037B6">
        <w:rPr>
          <w:lang w:bidi="prs-AF"/>
        </w:rPr>
        <w:t>)</w:t>
      </w:r>
      <w:r w:rsidRPr="00D037B6">
        <w:rPr>
          <w:vertAlign w:val="subscript"/>
          <w:lang w:bidi="prs-AF"/>
        </w:rPr>
        <w:t>1</w:t>
      </w:r>
      <w:r w:rsidRPr="00D037B6">
        <w:rPr>
          <w:lang w:bidi="prs-AF"/>
        </w:rPr>
        <w:t xml:space="preserve"> and (O</w:t>
      </w:r>
      <w:r w:rsidRPr="00D037B6">
        <w:rPr>
          <w:vertAlign w:val="subscript"/>
          <w:lang w:bidi="prs-AF"/>
        </w:rPr>
        <w:t>2</w:t>
      </w:r>
      <w:r w:rsidRPr="00D037B6">
        <w:rPr>
          <w:lang w:bidi="prs-AF"/>
        </w:rPr>
        <w:t>)</w:t>
      </w:r>
      <w:r w:rsidRPr="00D037B6">
        <w:rPr>
          <w:vertAlign w:val="subscript"/>
          <w:lang w:bidi="prs-AF"/>
        </w:rPr>
        <w:t>2</w:t>
      </w:r>
      <w:r w:rsidRPr="00D037B6">
        <w:rPr>
          <w:lang w:bidi="prs-AF"/>
        </w:rPr>
        <w:t xml:space="preserve"> represent the oxygen flow to SCR and CHGR, respectively</w:t>
      </w:r>
      <w:r w:rsidR="00735D17" w:rsidRPr="00D037B6">
        <w:rPr>
          <w:lang w:bidi="prs-AF"/>
        </w:rPr>
        <w:t>,</w:t>
      </w:r>
      <w:r w:rsidRPr="00D037B6">
        <w:rPr>
          <w:lang w:bidi="prs-AF"/>
        </w:rPr>
        <w:t xml:space="preserve"> </w:t>
      </w:r>
      <w:r w:rsidR="009F6459" w:rsidRPr="00D037B6">
        <w:rPr>
          <w:i/>
          <w:iCs/>
          <w:lang w:bidi="prs-AF"/>
        </w:rPr>
        <w:t>C</w:t>
      </w:r>
      <w:r w:rsidR="009F6459" w:rsidRPr="00D037B6">
        <w:rPr>
          <w:i/>
          <w:iCs/>
          <w:vertAlign w:val="subscript"/>
          <w:lang w:bidi="prs-AF"/>
        </w:rPr>
        <w:t>in</w:t>
      </w:r>
      <w:r w:rsidR="009F6459" w:rsidRPr="00D037B6">
        <w:rPr>
          <w:lang w:bidi="prs-AF"/>
        </w:rPr>
        <w:t xml:space="preserve"> is </w:t>
      </w:r>
      <w:r w:rsidR="00AC1410" w:rsidRPr="00D037B6">
        <w:rPr>
          <w:lang w:bidi="prs-AF"/>
        </w:rPr>
        <w:t>flow</w:t>
      </w:r>
      <w:r w:rsidR="009F6459" w:rsidRPr="00D037B6">
        <w:rPr>
          <w:lang w:bidi="prs-AF"/>
        </w:rPr>
        <w:t xml:space="preserve"> of carbon entering the gasifier</w:t>
      </w:r>
      <w:r w:rsidR="00735D17" w:rsidRPr="00D037B6">
        <w:rPr>
          <w:lang w:bidi="prs-AF"/>
        </w:rPr>
        <w:t xml:space="preserve">, </w:t>
      </w:r>
      <w:r w:rsidR="009F6459" w:rsidRPr="00D037B6">
        <w:rPr>
          <w:i/>
          <w:iCs/>
          <w:lang w:bidi="prs-AF"/>
        </w:rPr>
        <w:t>C</w:t>
      </w:r>
      <w:r w:rsidR="009F6459" w:rsidRPr="00D037B6">
        <w:rPr>
          <w:i/>
          <w:iCs/>
          <w:vertAlign w:val="subscript"/>
          <w:lang w:bidi="prs-AF"/>
        </w:rPr>
        <w:t>out</w:t>
      </w:r>
      <w:r w:rsidR="009F6459" w:rsidRPr="00D037B6">
        <w:rPr>
          <w:lang w:bidi="prs-AF"/>
        </w:rPr>
        <w:t xml:space="preserve"> </w:t>
      </w:r>
      <w:r w:rsidR="00735D17" w:rsidRPr="00D037B6">
        <w:rPr>
          <w:lang w:bidi="prs-AF"/>
        </w:rPr>
        <w:t xml:space="preserve">the </w:t>
      </w:r>
      <w:r w:rsidR="00AC1410" w:rsidRPr="00D037B6">
        <w:rPr>
          <w:lang w:bidi="prs-AF"/>
        </w:rPr>
        <w:t xml:space="preserve">flow </w:t>
      </w:r>
      <w:r w:rsidR="009F6459" w:rsidRPr="00D037B6">
        <w:rPr>
          <w:lang w:bidi="prs-AF"/>
        </w:rPr>
        <w:t>of carbon in the remin</w:t>
      </w:r>
      <w:r w:rsidR="00735D17" w:rsidRPr="00D037B6">
        <w:rPr>
          <w:lang w:bidi="prs-AF"/>
        </w:rPr>
        <w:t>ing</w:t>
      </w:r>
      <w:r w:rsidR="009F6459" w:rsidRPr="00D037B6">
        <w:rPr>
          <w:lang w:bidi="prs-AF"/>
        </w:rPr>
        <w:t xml:space="preserve"> solid residue</w:t>
      </w:r>
      <w:r w:rsidR="00735D17" w:rsidRPr="00D037B6">
        <w:rPr>
          <w:lang w:bidi="prs-AF"/>
        </w:rPr>
        <w:t>,</w:t>
      </w:r>
      <w:r w:rsidR="009F6459" w:rsidRPr="00D037B6">
        <w:rPr>
          <w:lang w:bidi="prs-AF"/>
        </w:rPr>
        <w:t xml:space="preserve"> </w:t>
      </w:r>
      <w:proofErr w:type="spellStart"/>
      <w:r w:rsidR="009F6459" w:rsidRPr="00D037B6">
        <w:rPr>
          <w:i/>
          <w:iCs/>
          <w:lang w:bidi="prs-AF"/>
        </w:rPr>
        <w:t>m</w:t>
      </w:r>
      <w:r w:rsidR="009F6459" w:rsidRPr="00D037B6">
        <w:rPr>
          <w:i/>
          <w:iCs/>
          <w:vertAlign w:val="subscript"/>
          <w:lang w:bidi="prs-AF"/>
        </w:rPr>
        <w:t>syngas</w:t>
      </w:r>
      <w:proofErr w:type="spellEnd"/>
      <w:r w:rsidR="009F6459" w:rsidRPr="00D037B6">
        <w:rPr>
          <w:lang w:bidi="prs-AF"/>
        </w:rPr>
        <w:t xml:space="preserve"> is the mas flow of syngas, </w:t>
      </w:r>
      <w:proofErr w:type="spellStart"/>
      <w:r w:rsidR="009F6459" w:rsidRPr="00D037B6">
        <w:rPr>
          <w:i/>
          <w:iCs/>
          <w:lang w:bidi="prs-AF"/>
        </w:rPr>
        <w:t>m</w:t>
      </w:r>
      <w:r w:rsidR="009F6459" w:rsidRPr="00D037B6">
        <w:rPr>
          <w:i/>
          <w:iCs/>
          <w:vertAlign w:val="subscript"/>
          <w:lang w:bidi="prs-AF"/>
        </w:rPr>
        <w:t>feed</w:t>
      </w:r>
      <w:proofErr w:type="spellEnd"/>
      <w:r w:rsidR="009F6459" w:rsidRPr="00D037B6">
        <w:rPr>
          <w:i/>
          <w:iCs/>
          <w:lang w:bidi="prs-AF"/>
        </w:rPr>
        <w:t xml:space="preserve"> </w:t>
      </w:r>
      <w:r w:rsidR="009F6459" w:rsidRPr="00D037B6">
        <w:rPr>
          <w:lang w:bidi="prs-AF"/>
        </w:rPr>
        <w:t>the mass flo</w:t>
      </w:r>
      <w:r w:rsidR="00AC1410" w:rsidRPr="00D037B6">
        <w:rPr>
          <w:lang w:bidi="prs-AF"/>
        </w:rPr>
        <w:t>w</w:t>
      </w:r>
      <w:r w:rsidR="009F6459" w:rsidRPr="00D037B6">
        <w:rPr>
          <w:lang w:bidi="prs-AF"/>
        </w:rPr>
        <w:t xml:space="preserve"> of feed, </w:t>
      </w:r>
      <w:proofErr w:type="spellStart"/>
      <w:r w:rsidR="009F6459" w:rsidRPr="00D037B6">
        <w:rPr>
          <w:i/>
          <w:iCs/>
          <w:lang w:bidi="prs-AF"/>
        </w:rPr>
        <w:t>HHV</w:t>
      </w:r>
      <w:r w:rsidR="009F6459" w:rsidRPr="00D037B6">
        <w:rPr>
          <w:i/>
          <w:iCs/>
          <w:vertAlign w:val="subscript"/>
          <w:lang w:bidi="prs-AF"/>
        </w:rPr>
        <w:t>syngs</w:t>
      </w:r>
      <w:proofErr w:type="spellEnd"/>
      <w:r w:rsidR="009F6459" w:rsidRPr="00D037B6">
        <w:rPr>
          <w:lang w:bidi="prs-AF"/>
        </w:rPr>
        <w:t xml:space="preserve"> is higher heating value of syngas</w:t>
      </w:r>
      <w:r w:rsidR="00735D17" w:rsidRPr="00D037B6">
        <w:rPr>
          <w:lang w:bidi="prs-AF"/>
        </w:rPr>
        <w:t>,</w:t>
      </w:r>
      <w:r w:rsidR="009F6459" w:rsidRPr="00D037B6">
        <w:rPr>
          <w:lang w:bidi="prs-AF"/>
        </w:rPr>
        <w:t xml:space="preserve"> and</w:t>
      </w:r>
      <w:r w:rsidR="009F6459" w:rsidRPr="00D037B6">
        <w:rPr>
          <w:i/>
          <w:iCs/>
          <w:lang w:bidi="prs-AF"/>
        </w:rPr>
        <w:t xml:space="preserve"> </w:t>
      </w:r>
      <w:proofErr w:type="spellStart"/>
      <w:r w:rsidR="009F6459" w:rsidRPr="00D037B6">
        <w:rPr>
          <w:i/>
          <w:iCs/>
          <w:lang w:bidi="prs-AF"/>
        </w:rPr>
        <w:t>HHV</w:t>
      </w:r>
      <w:r w:rsidR="009F6459" w:rsidRPr="00D037B6">
        <w:rPr>
          <w:i/>
          <w:iCs/>
          <w:vertAlign w:val="subscript"/>
          <w:lang w:bidi="prs-AF"/>
        </w:rPr>
        <w:t>feed</w:t>
      </w:r>
      <w:proofErr w:type="spellEnd"/>
      <w:r w:rsidR="009F6459" w:rsidRPr="00D037B6">
        <w:rPr>
          <w:lang w:bidi="prs-AF"/>
        </w:rPr>
        <w:t xml:space="preserve"> is higher heating value of feed. </w:t>
      </w:r>
    </w:p>
    <w:p w14:paraId="7A518D93" w14:textId="0F35E271" w:rsidR="009F6459" w:rsidRPr="00D037B6" w:rsidRDefault="009F6459" w:rsidP="00A92C50">
      <w:pPr>
        <w:pStyle w:val="Els-1storder-head"/>
        <w:spacing w:after="120"/>
        <w:rPr>
          <w:lang w:val="en-GB"/>
        </w:rPr>
      </w:pPr>
      <w:r w:rsidRPr="00D037B6">
        <w:rPr>
          <w:lang w:val="en-GB"/>
        </w:rPr>
        <w:t>Results and discussion</w:t>
      </w:r>
    </w:p>
    <w:p w14:paraId="261DB20D" w14:textId="4417CB32" w:rsidR="00934FDD" w:rsidRPr="00D037B6" w:rsidRDefault="00B20440" w:rsidP="009F6459">
      <w:pPr>
        <w:pStyle w:val="Els-body-text"/>
        <w:rPr>
          <w:lang w:val="en-GB"/>
        </w:rPr>
      </w:pPr>
      <w:r w:rsidRPr="00D037B6">
        <w:rPr>
          <w:lang w:val="en-GB"/>
        </w:rPr>
        <w:t xml:space="preserve">The effect of ER on gasification performance parameters and gas composition is shown in Figure 2. </w:t>
      </w:r>
      <w:r w:rsidR="00735D17" w:rsidRPr="00D037B6">
        <w:rPr>
          <w:lang w:val="en-GB"/>
        </w:rPr>
        <w:t>C</w:t>
      </w:r>
      <w:r w:rsidRPr="00D037B6">
        <w:rPr>
          <w:lang w:val="en-GB"/>
        </w:rPr>
        <w:t xml:space="preserve">arbon conversion was completed at ER </w:t>
      </w:r>
      <w:r w:rsidR="00735D17" w:rsidRPr="00D037B6">
        <w:rPr>
          <w:lang w:val="en-GB"/>
        </w:rPr>
        <w:t xml:space="preserve">of </w:t>
      </w:r>
      <w:r w:rsidRPr="00D037B6">
        <w:rPr>
          <w:lang w:val="en-GB"/>
        </w:rPr>
        <w:t>0.11. At this point</w:t>
      </w:r>
      <w:r w:rsidR="00735D17" w:rsidRPr="00D037B6">
        <w:rPr>
          <w:lang w:val="en-GB"/>
        </w:rPr>
        <w:t>,</w:t>
      </w:r>
      <w:r w:rsidRPr="00D037B6">
        <w:rPr>
          <w:lang w:val="en-GB"/>
        </w:rPr>
        <w:t xml:space="preserve"> a theoretical CGE of 0.9</w:t>
      </w:r>
      <w:r w:rsidR="00FA4639" w:rsidRPr="00D037B6">
        <w:rPr>
          <w:lang w:val="en-GB"/>
        </w:rPr>
        <w:t>3</w:t>
      </w:r>
      <w:r w:rsidRPr="00D037B6">
        <w:rPr>
          <w:lang w:val="en-GB"/>
        </w:rPr>
        <w:t xml:space="preserve"> and CCE of 0.87 w</w:t>
      </w:r>
      <w:r w:rsidR="00735D17" w:rsidRPr="00D037B6">
        <w:rPr>
          <w:lang w:val="en-GB"/>
        </w:rPr>
        <w:t>ere</w:t>
      </w:r>
      <w:r w:rsidRPr="00D037B6">
        <w:rPr>
          <w:lang w:val="en-GB"/>
        </w:rPr>
        <w:t xml:space="preserve"> reached</w:t>
      </w:r>
      <w:r w:rsidR="00735D17" w:rsidRPr="00D037B6">
        <w:rPr>
          <w:lang w:val="en-GB"/>
        </w:rPr>
        <w:t>,</w:t>
      </w:r>
      <w:r w:rsidRPr="00D037B6">
        <w:rPr>
          <w:lang w:val="en-GB"/>
        </w:rPr>
        <w:t xml:space="preserve"> gas LHV was 14.</w:t>
      </w:r>
      <w:r w:rsidR="00FA4639" w:rsidRPr="00D037B6">
        <w:rPr>
          <w:lang w:val="en-GB"/>
        </w:rPr>
        <w:t>8</w:t>
      </w:r>
      <w:r w:rsidRPr="00D037B6">
        <w:rPr>
          <w:lang w:val="en-GB"/>
        </w:rPr>
        <w:t xml:space="preserve"> </w:t>
      </w:r>
      <w:r w:rsidR="005B2C67" w:rsidRPr="00D037B6">
        <w:rPr>
          <w:lang w:val="en-GB"/>
        </w:rPr>
        <w:t>MJ/Nm</w:t>
      </w:r>
      <w:r w:rsidR="005B2C67" w:rsidRPr="00D037B6">
        <w:rPr>
          <w:vertAlign w:val="superscript"/>
          <w:lang w:val="en-GB"/>
        </w:rPr>
        <w:t>3</w:t>
      </w:r>
      <w:r w:rsidR="00735D17" w:rsidRPr="00D037B6">
        <w:rPr>
          <w:lang w:val="en-GB"/>
        </w:rPr>
        <w:t>, and</w:t>
      </w:r>
      <w:r w:rsidR="00274E0F" w:rsidRPr="00D037B6">
        <w:rPr>
          <w:lang w:val="en-GB"/>
        </w:rPr>
        <w:t xml:space="preserve"> </w:t>
      </w:r>
      <w:r w:rsidR="00735D17" w:rsidRPr="00D037B6">
        <w:rPr>
          <w:lang w:val="en-GB"/>
        </w:rPr>
        <w:t>t</w:t>
      </w:r>
      <w:r w:rsidR="00274E0F" w:rsidRPr="00D037B6">
        <w:rPr>
          <w:lang w:val="en-GB"/>
        </w:rPr>
        <w:t>he equilibrium content of H</w:t>
      </w:r>
      <w:r w:rsidR="00274E0F" w:rsidRPr="00D037B6">
        <w:rPr>
          <w:vertAlign w:val="subscript"/>
          <w:lang w:val="en-GB"/>
        </w:rPr>
        <w:t>2</w:t>
      </w:r>
      <w:r w:rsidR="00274E0F" w:rsidRPr="00D037B6">
        <w:rPr>
          <w:lang w:val="en-GB"/>
        </w:rPr>
        <w:t>, CO</w:t>
      </w:r>
      <w:r w:rsidR="00735D17" w:rsidRPr="00D037B6">
        <w:rPr>
          <w:lang w:val="en-GB"/>
        </w:rPr>
        <w:t>,</w:t>
      </w:r>
      <w:r w:rsidR="00274E0F" w:rsidRPr="00D037B6">
        <w:rPr>
          <w:lang w:val="en-GB"/>
        </w:rPr>
        <w:t xml:space="preserve"> and CH</w:t>
      </w:r>
      <w:r w:rsidR="00274E0F" w:rsidRPr="00D037B6">
        <w:rPr>
          <w:vertAlign w:val="subscript"/>
          <w:lang w:val="en-GB"/>
        </w:rPr>
        <w:t>4</w:t>
      </w:r>
      <w:r w:rsidR="00274E0F" w:rsidRPr="00D037B6">
        <w:rPr>
          <w:lang w:val="en-GB"/>
        </w:rPr>
        <w:t xml:space="preserve"> reached 43, 44</w:t>
      </w:r>
      <w:r w:rsidR="00735D17" w:rsidRPr="00D037B6">
        <w:rPr>
          <w:lang w:val="en-GB"/>
        </w:rPr>
        <w:t>,</w:t>
      </w:r>
      <w:r w:rsidR="00274E0F" w:rsidRPr="00D037B6">
        <w:rPr>
          <w:lang w:val="en-GB"/>
        </w:rPr>
        <w:t xml:space="preserve"> and 11 </w:t>
      </w:r>
      <w:proofErr w:type="gramStart"/>
      <w:r w:rsidR="00274E0F" w:rsidRPr="00D037B6">
        <w:rPr>
          <w:lang w:val="en-GB"/>
        </w:rPr>
        <w:t>mole</w:t>
      </w:r>
      <w:proofErr w:type="gramEnd"/>
      <w:r w:rsidR="00274E0F" w:rsidRPr="00D037B6">
        <w:rPr>
          <w:lang w:val="en-GB"/>
        </w:rPr>
        <w:t xml:space="preserve"> %, respectively. </w:t>
      </w:r>
    </w:p>
    <w:p w14:paraId="58BAA0D3" w14:textId="77777777" w:rsidR="00A92C50" w:rsidRPr="00D037B6" w:rsidRDefault="00274E0F" w:rsidP="00892D03">
      <w:pPr>
        <w:pStyle w:val="Els-body-text"/>
        <w:rPr>
          <w:lang w:val="en-GB"/>
        </w:rPr>
      </w:pPr>
      <w:r w:rsidRPr="00D037B6">
        <w:rPr>
          <w:lang w:val="en-GB"/>
        </w:rPr>
        <w:t>Compared to one-stage gasification</w:t>
      </w:r>
      <w:r w:rsidR="00735D17" w:rsidRPr="00D037B6">
        <w:rPr>
          <w:lang w:val="en-GB"/>
        </w:rPr>
        <w:t>,</w:t>
      </w:r>
      <w:r w:rsidRPr="00D037B6">
        <w:rPr>
          <w:lang w:val="en-GB"/>
        </w:rPr>
        <w:t xml:space="preserve"> ER for complete carbon conversion was </w:t>
      </w:r>
      <w:r w:rsidR="00FA4639" w:rsidRPr="00D037B6">
        <w:rPr>
          <w:lang w:val="en-GB"/>
        </w:rPr>
        <w:t xml:space="preserve">almost 2.5 time lower. As </w:t>
      </w:r>
      <w:r w:rsidR="00735D17" w:rsidRPr="00D037B6">
        <w:rPr>
          <w:lang w:val="en-GB"/>
        </w:rPr>
        <w:t xml:space="preserve">it </w:t>
      </w:r>
      <w:r w:rsidR="00FA4639" w:rsidRPr="00D037B6">
        <w:rPr>
          <w:lang w:val="en-GB"/>
        </w:rPr>
        <w:t>results from Figure 3a</w:t>
      </w:r>
      <w:r w:rsidR="00636FBF" w:rsidRPr="00D037B6">
        <w:rPr>
          <w:lang w:val="en-GB"/>
        </w:rPr>
        <w:t>,</w:t>
      </w:r>
      <w:r w:rsidR="00FA4639" w:rsidRPr="00D037B6">
        <w:rPr>
          <w:lang w:val="en-GB"/>
        </w:rPr>
        <w:t xml:space="preserve"> carbon conversion was completed at ER </w:t>
      </w:r>
      <w:r w:rsidR="00720117" w:rsidRPr="00D037B6">
        <w:rPr>
          <w:lang w:val="en-GB"/>
        </w:rPr>
        <w:t xml:space="preserve">of </w:t>
      </w:r>
      <w:r w:rsidR="00FA4639" w:rsidRPr="00D037B6">
        <w:rPr>
          <w:lang w:val="en-GB"/>
        </w:rPr>
        <w:t>0.25</w:t>
      </w:r>
      <w:r w:rsidR="00720117" w:rsidRPr="00D037B6">
        <w:rPr>
          <w:lang w:val="en-GB"/>
        </w:rPr>
        <w:t xml:space="preserve"> in one stage gasification process</w:t>
      </w:r>
      <w:r w:rsidR="00FA4639" w:rsidRPr="00D037B6">
        <w:rPr>
          <w:lang w:val="en-GB"/>
        </w:rPr>
        <w:t>. Theoretical CGE at this ER was 0.89 (Figure 3b), while at ER</w:t>
      </w:r>
      <w:r w:rsidR="00720117" w:rsidRPr="00D037B6">
        <w:rPr>
          <w:lang w:val="en-GB"/>
        </w:rPr>
        <w:t xml:space="preserve"> of</w:t>
      </w:r>
      <w:r w:rsidR="00FA4639" w:rsidRPr="00D037B6">
        <w:rPr>
          <w:lang w:val="en-GB"/>
        </w:rPr>
        <w:t xml:space="preserve"> 0.11 it was only 0.52. Gas LHV at complete carbon conversion was 11.8 MJ/Nm</w:t>
      </w:r>
      <w:r w:rsidR="00FA4639" w:rsidRPr="00D037B6">
        <w:rPr>
          <w:vertAlign w:val="superscript"/>
          <w:lang w:val="en-GB"/>
        </w:rPr>
        <w:t>3</w:t>
      </w:r>
      <w:r w:rsidR="00FA4639" w:rsidRPr="00D037B6">
        <w:rPr>
          <w:lang w:val="en-GB"/>
        </w:rPr>
        <w:t xml:space="preserve"> </w:t>
      </w:r>
      <w:r w:rsidR="005B2C67" w:rsidRPr="00D037B6">
        <w:rPr>
          <w:lang w:val="en-GB"/>
        </w:rPr>
        <w:t>(Figure 3c) versus 14.8</w:t>
      </w:r>
      <w:r w:rsidR="00DF5FCE" w:rsidRPr="00D037B6">
        <w:rPr>
          <w:lang w:val="en-GB"/>
        </w:rPr>
        <w:t xml:space="preserve"> MJ/Nm</w:t>
      </w:r>
      <w:r w:rsidR="00DF5FCE" w:rsidRPr="00D037B6">
        <w:rPr>
          <w:vertAlign w:val="superscript"/>
          <w:lang w:val="en-GB"/>
        </w:rPr>
        <w:t>3</w:t>
      </w:r>
      <w:r w:rsidR="005B2C67" w:rsidRPr="00D037B6">
        <w:rPr>
          <w:lang w:val="en-GB"/>
        </w:rPr>
        <w:t xml:space="preserve"> </w:t>
      </w:r>
      <w:r w:rsidR="00DF5FCE" w:rsidRPr="00D037B6">
        <w:rPr>
          <w:lang w:val="en-GB"/>
        </w:rPr>
        <w:t>in</w:t>
      </w:r>
      <w:r w:rsidR="005B2C67" w:rsidRPr="00D037B6">
        <w:rPr>
          <w:lang w:val="en-GB"/>
        </w:rPr>
        <w:t xml:space="preserve"> </w:t>
      </w:r>
      <w:r w:rsidR="00DF5FCE" w:rsidRPr="00D037B6">
        <w:rPr>
          <w:lang w:val="en-GB"/>
        </w:rPr>
        <w:t xml:space="preserve">the </w:t>
      </w:r>
      <w:r w:rsidR="005B2C67" w:rsidRPr="00D037B6">
        <w:rPr>
          <w:lang w:val="en-GB"/>
        </w:rPr>
        <w:t>PSPOG process. However, in case of</w:t>
      </w:r>
      <w:r w:rsidR="00DF5FCE" w:rsidRPr="00D037B6">
        <w:rPr>
          <w:lang w:val="en-GB"/>
        </w:rPr>
        <w:t xml:space="preserve"> the</w:t>
      </w:r>
      <w:r w:rsidR="005B2C67" w:rsidRPr="00D037B6">
        <w:rPr>
          <w:lang w:val="en-GB"/>
        </w:rPr>
        <w:t xml:space="preserve"> PSPOG process</w:t>
      </w:r>
      <w:r w:rsidR="00DF5FCE" w:rsidRPr="00D037B6">
        <w:rPr>
          <w:lang w:val="en-GB"/>
        </w:rPr>
        <w:t>,</w:t>
      </w:r>
      <w:r w:rsidR="005B2C67" w:rsidRPr="00D037B6">
        <w:rPr>
          <w:lang w:val="en-GB"/>
        </w:rPr>
        <w:t xml:space="preserve"> less gas is produced because l</w:t>
      </w:r>
      <w:r w:rsidR="00DF5FCE" w:rsidRPr="00D037B6">
        <w:rPr>
          <w:lang w:val="en-GB"/>
        </w:rPr>
        <w:t>ower</w:t>
      </w:r>
      <w:r w:rsidR="005B2C67" w:rsidRPr="00D037B6">
        <w:rPr>
          <w:lang w:val="en-GB"/>
        </w:rPr>
        <w:t xml:space="preserve"> amount of oxygen is used.</w:t>
      </w:r>
      <w:r w:rsidR="00FA4639" w:rsidRPr="00D037B6">
        <w:rPr>
          <w:lang w:val="en-GB"/>
        </w:rPr>
        <w:t xml:space="preserve"> </w:t>
      </w:r>
      <w:r w:rsidR="001C01AC" w:rsidRPr="00D037B6">
        <w:rPr>
          <w:lang w:val="en-GB"/>
        </w:rPr>
        <w:t xml:space="preserve">The reason for high LHV of syngas at 100% carbon conversion </w:t>
      </w:r>
      <w:r w:rsidR="00DF5FCE" w:rsidRPr="00D037B6">
        <w:rPr>
          <w:lang w:val="en-GB"/>
        </w:rPr>
        <w:t>in</w:t>
      </w:r>
      <w:r w:rsidR="001C01AC" w:rsidRPr="00D037B6">
        <w:rPr>
          <w:lang w:val="en-GB"/>
        </w:rPr>
        <w:t xml:space="preserve"> PSPOG is the much higher concentration of methane, 11 vol. %, compared to </w:t>
      </w:r>
      <w:r w:rsidR="00DF5FCE" w:rsidRPr="00D037B6">
        <w:rPr>
          <w:lang w:val="en-GB"/>
        </w:rPr>
        <w:t xml:space="preserve">its </w:t>
      </w:r>
      <w:r w:rsidR="001C01AC" w:rsidRPr="00D037B6">
        <w:rPr>
          <w:lang w:val="en-GB"/>
        </w:rPr>
        <w:t>practically zero</w:t>
      </w:r>
      <w:r w:rsidR="00DF5FCE" w:rsidRPr="00D037B6">
        <w:rPr>
          <w:lang w:val="en-GB"/>
        </w:rPr>
        <w:t xml:space="preserve"> content</w:t>
      </w:r>
      <w:r w:rsidR="001C01AC" w:rsidRPr="00D037B6">
        <w:rPr>
          <w:lang w:val="en-GB"/>
        </w:rPr>
        <w:t xml:space="preserve"> in case </w:t>
      </w:r>
      <w:r w:rsidR="00636FBF" w:rsidRPr="00D037B6">
        <w:rPr>
          <w:lang w:val="en-GB"/>
        </w:rPr>
        <w:t xml:space="preserve">of </w:t>
      </w:r>
      <w:r w:rsidR="001C01AC" w:rsidRPr="00D037B6">
        <w:rPr>
          <w:lang w:val="en-GB"/>
        </w:rPr>
        <w:t>one-stage gasification (Figure 3</w:t>
      </w:r>
      <w:r w:rsidR="00EB6FB2" w:rsidRPr="00D037B6">
        <w:rPr>
          <w:lang w:val="en-GB"/>
        </w:rPr>
        <w:t>d</w:t>
      </w:r>
      <w:r w:rsidR="001C01AC" w:rsidRPr="00D037B6">
        <w:rPr>
          <w:lang w:val="en-GB"/>
        </w:rPr>
        <w:t xml:space="preserve">). </w:t>
      </w:r>
      <w:r w:rsidR="00EB6FB2" w:rsidRPr="00D037B6">
        <w:rPr>
          <w:lang w:val="en-GB"/>
        </w:rPr>
        <w:t>Carbon conversion efficiency in cas</w:t>
      </w:r>
      <w:r w:rsidR="00B95C52" w:rsidRPr="00D037B6">
        <w:rPr>
          <w:lang w:val="en-GB"/>
        </w:rPr>
        <w:t>e</w:t>
      </w:r>
      <w:r w:rsidR="00EB6FB2" w:rsidRPr="00D037B6">
        <w:rPr>
          <w:lang w:val="en-GB"/>
        </w:rPr>
        <w:t xml:space="preserve"> of </w:t>
      </w:r>
      <w:r w:rsidR="00DF5FCE" w:rsidRPr="00D037B6">
        <w:rPr>
          <w:lang w:val="en-GB"/>
        </w:rPr>
        <w:t xml:space="preserve">the </w:t>
      </w:r>
      <w:r w:rsidR="00EB6FB2" w:rsidRPr="00D037B6">
        <w:rPr>
          <w:lang w:val="en-GB"/>
        </w:rPr>
        <w:t>one-stage gasification process is higher than</w:t>
      </w:r>
      <w:r w:rsidR="00DF5FCE" w:rsidRPr="00D037B6">
        <w:rPr>
          <w:lang w:val="en-GB"/>
        </w:rPr>
        <w:t xml:space="preserve"> in the</w:t>
      </w:r>
      <w:r w:rsidR="00EB6FB2" w:rsidRPr="00D037B6">
        <w:rPr>
          <w:lang w:val="en-GB"/>
        </w:rPr>
        <w:t xml:space="preserve"> PSPOG process. The reason is that in PSPOG</w:t>
      </w:r>
      <w:r w:rsidR="00DF5FCE" w:rsidRPr="00D037B6">
        <w:rPr>
          <w:lang w:val="en-GB"/>
        </w:rPr>
        <w:t>,</w:t>
      </w:r>
      <w:r w:rsidR="00EB6FB2" w:rsidRPr="00D037B6">
        <w:rPr>
          <w:lang w:val="en-GB"/>
        </w:rPr>
        <w:t xml:space="preserve"> a portion of</w:t>
      </w:r>
      <w:r w:rsidR="00DF5FCE" w:rsidRPr="00D037B6">
        <w:rPr>
          <w:lang w:val="en-GB"/>
        </w:rPr>
        <w:t xml:space="preserve"> the</w:t>
      </w:r>
      <w:r w:rsidR="00EB6FB2" w:rsidRPr="00D037B6">
        <w:rPr>
          <w:lang w:val="en-GB"/>
        </w:rPr>
        <w:t xml:space="preserve"> gas is used </w:t>
      </w:r>
      <w:r w:rsidR="00DF5FCE" w:rsidRPr="00D037B6">
        <w:rPr>
          <w:lang w:val="en-GB"/>
        </w:rPr>
        <w:t>to</w:t>
      </w:r>
      <w:r w:rsidR="00EB6FB2" w:rsidRPr="00D037B6">
        <w:rPr>
          <w:lang w:val="en-GB"/>
        </w:rPr>
        <w:t xml:space="preserve"> heat</w:t>
      </w:r>
      <w:r w:rsidR="00DF5FCE" w:rsidRPr="00D037B6">
        <w:rPr>
          <w:lang w:val="en-GB"/>
        </w:rPr>
        <w:t xml:space="preserve"> the</w:t>
      </w:r>
      <w:r w:rsidR="00EB6FB2" w:rsidRPr="00D037B6">
        <w:rPr>
          <w:lang w:val="en-GB"/>
        </w:rPr>
        <w:t xml:space="preserve"> </w:t>
      </w:r>
      <w:r w:rsidR="004153D6" w:rsidRPr="00D037B6">
        <w:rPr>
          <w:lang w:val="en-GB"/>
        </w:rPr>
        <w:t xml:space="preserve">pyrolysis reactor. </w:t>
      </w:r>
      <w:r w:rsidR="00DF5FCE" w:rsidRPr="00D037B6">
        <w:rPr>
          <w:lang w:val="en-GB"/>
        </w:rPr>
        <w:t>O</w:t>
      </w:r>
      <w:r w:rsidR="004153D6" w:rsidRPr="00D037B6">
        <w:rPr>
          <w:lang w:val="en-GB"/>
        </w:rPr>
        <w:t>ptimal val</w:t>
      </w:r>
      <w:r w:rsidR="00DF5FCE" w:rsidRPr="00D037B6">
        <w:rPr>
          <w:lang w:val="en-GB"/>
        </w:rPr>
        <w:t>u</w:t>
      </w:r>
      <w:r w:rsidR="004153D6" w:rsidRPr="00D037B6">
        <w:rPr>
          <w:lang w:val="en-GB"/>
        </w:rPr>
        <w:t xml:space="preserve">e of gas fraction used </w:t>
      </w:r>
      <w:r w:rsidR="00DF5FCE" w:rsidRPr="00D037B6">
        <w:rPr>
          <w:lang w:val="en-GB"/>
        </w:rPr>
        <w:t>to</w:t>
      </w:r>
      <w:r w:rsidR="004153D6" w:rsidRPr="00D037B6">
        <w:rPr>
          <w:lang w:val="en-GB"/>
        </w:rPr>
        <w:t xml:space="preserve"> heat</w:t>
      </w:r>
      <w:r w:rsidR="00DF5FCE" w:rsidRPr="00D037B6">
        <w:rPr>
          <w:lang w:val="en-GB"/>
        </w:rPr>
        <w:t xml:space="preserve"> the</w:t>
      </w:r>
      <w:r w:rsidR="004153D6" w:rsidRPr="00D037B6">
        <w:rPr>
          <w:lang w:val="en-GB"/>
        </w:rPr>
        <w:t xml:space="preserve"> pyrolysis reactor </w:t>
      </w:r>
      <w:r w:rsidR="00DF5FCE" w:rsidRPr="00D037B6">
        <w:rPr>
          <w:lang w:val="en-GB"/>
        </w:rPr>
        <w:t>wa</w:t>
      </w:r>
      <w:r w:rsidR="004153D6" w:rsidRPr="00D037B6">
        <w:rPr>
          <w:lang w:val="en-GB"/>
        </w:rPr>
        <w:t>s</w:t>
      </w:r>
      <w:r w:rsidR="00DF5FCE" w:rsidRPr="00D037B6">
        <w:rPr>
          <w:lang w:val="en-GB"/>
        </w:rPr>
        <w:t xml:space="preserve"> found to be</w:t>
      </w:r>
      <w:r w:rsidR="004153D6" w:rsidRPr="00D037B6">
        <w:rPr>
          <w:lang w:val="en-GB"/>
        </w:rPr>
        <w:t xml:space="preserve"> 0.11</w:t>
      </w:r>
      <w:r w:rsidR="00DF5FCE" w:rsidRPr="00D037B6">
        <w:rPr>
          <w:lang w:val="en-GB"/>
        </w:rPr>
        <w:t>, at which</w:t>
      </w:r>
      <w:r w:rsidR="004153D6" w:rsidRPr="00D037B6">
        <w:rPr>
          <w:lang w:val="en-GB"/>
        </w:rPr>
        <w:t xml:space="preserve"> the required temperatures of all three reactors are obtained.</w:t>
      </w:r>
    </w:p>
    <w:p w14:paraId="35D6633F" w14:textId="77777777" w:rsidR="00AC0107" w:rsidRPr="00D037B6" w:rsidRDefault="00AC0107" w:rsidP="00892D03">
      <w:pPr>
        <w:pStyle w:val="Els-body-text"/>
        <w:rPr>
          <w:lang w:val="en-GB"/>
        </w:rPr>
      </w:pPr>
    </w:p>
    <w:p w14:paraId="0AB8A84E" w14:textId="77777777" w:rsidR="00A92C50" w:rsidRPr="00D037B6" w:rsidRDefault="00A92C50" w:rsidP="00A92C50">
      <w:pPr>
        <w:pStyle w:val="Els-body-text"/>
        <w:rPr>
          <w:lang w:val="en-GB"/>
        </w:rPr>
      </w:pPr>
      <w:r w:rsidRPr="00D037B6">
        <w:rPr>
          <w:noProof/>
          <w:lang w:val="en-GB"/>
        </w:rPr>
        <w:drawing>
          <wp:inline distT="0" distB="0" distL="0" distR="0" wp14:anchorId="12AAC0D9" wp14:editId="3C000BD1">
            <wp:extent cx="3773606" cy="1332424"/>
            <wp:effectExtent l="0" t="0" r="0" b="127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83E03848-B5FF-BDB3-9AB3-820F1A7FD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83E03848-B5FF-BDB3-9AB3-820F1A7FD5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2350" cy="135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D7028" w14:textId="2B8FB3CC" w:rsidR="00A92C50" w:rsidRPr="00D037B6" w:rsidRDefault="00A92C50" w:rsidP="00A92C50">
      <w:pPr>
        <w:pStyle w:val="Els-body-text"/>
        <w:rPr>
          <w:lang w:val="en-GB"/>
        </w:rPr>
      </w:pPr>
      <w:r w:rsidRPr="00D037B6">
        <w:rPr>
          <w:lang w:val="en-GB"/>
        </w:rPr>
        <w:t>Figure 2: Effect of ER on gasification performance parameters “a)” and syngas equilibrium composition “b)”</w:t>
      </w:r>
    </w:p>
    <w:p w14:paraId="296494BC" w14:textId="77777777" w:rsidR="00A92C50" w:rsidRPr="00D037B6" w:rsidRDefault="00A92C50" w:rsidP="00A92C50">
      <w:pPr>
        <w:pStyle w:val="Els-body-text"/>
        <w:rPr>
          <w:lang w:val="en-GB"/>
        </w:rPr>
      </w:pPr>
    </w:p>
    <w:p w14:paraId="6714A192" w14:textId="180025E6" w:rsidR="00892D03" w:rsidRPr="00D037B6" w:rsidRDefault="004153D6" w:rsidP="00892D03">
      <w:pPr>
        <w:pStyle w:val="Els-body-text"/>
        <w:rPr>
          <w:lang w:val="en-GB"/>
        </w:rPr>
      </w:pPr>
      <w:r w:rsidRPr="00D037B6">
        <w:rPr>
          <w:lang w:val="en-GB"/>
        </w:rPr>
        <w:t xml:space="preserve"> </w:t>
      </w:r>
    </w:p>
    <w:p w14:paraId="708ECEDD" w14:textId="77777777" w:rsidR="00EB6FB2" w:rsidRPr="00D037B6" w:rsidRDefault="00EB6FB2" w:rsidP="0021181A">
      <w:pPr>
        <w:pStyle w:val="Els-body-text"/>
        <w:rPr>
          <w:lang w:val="en-GB" w:bidi="prs-AF"/>
        </w:rPr>
      </w:pPr>
    </w:p>
    <w:p w14:paraId="5ABDC453" w14:textId="2EE749FD" w:rsidR="00C35B5A" w:rsidRPr="00D037B6" w:rsidRDefault="00934FDD" w:rsidP="00934FDD">
      <w:pPr>
        <w:pStyle w:val="Els-body-text"/>
        <w:rPr>
          <w:lang w:val="en-GB"/>
        </w:rPr>
      </w:pPr>
      <w:r w:rsidRPr="00D037B6">
        <w:rPr>
          <w:noProof/>
          <w:lang w:val="en-GB"/>
        </w:rPr>
        <w:drawing>
          <wp:inline distT="0" distB="0" distL="0" distR="0" wp14:anchorId="7A0E2993" wp14:editId="40B91E4D">
            <wp:extent cx="4292221" cy="2855423"/>
            <wp:effectExtent l="0" t="0" r="0" b="254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770B7F3-5836-24F5-4A3B-DFA2915709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770B7F3-5836-24F5-4A3B-DFA2915709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7652" cy="286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C3D7B" w14:textId="2886BA8A" w:rsidR="00C35B5A" w:rsidRPr="00D037B6" w:rsidRDefault="00C35B5A" w:rsidP="00C35B5A">
      <w:pPr>
        <w:pStyle w:val="Els-body-text"/>
        <w:rPr>
          <w:lang w:val="en-GB"/>
        </w:rPr>
      </w:pPr>
      <w:r w:rsidRPr="00D037B6">
        <w:rPr>
          <w:lang w:val="en-GB"/>
        </w:rPr>
        <w:t xml:space="preserve">Figure 3: </w:t>
      </w:r>
      <w:r w:rsidR="00EF20E0" w:rsidRPr="00D037B6">
        <w:rPr>
          <w:lang w:val="en-GB"/>
        </w:rPr>
        <w:t xml:space="preserve">Comparison of PSPOG with one-stage gasification a) </w:t>
      </w:r>
      <w:proofErr w:type="spellStart"/>
      <w:r w:rsidR="00EF20E0" w:rsidRPr="00D037B6">
        <w:rPr>
          <w:lang w:val="en-GB"/>
        </w:rPr>
        <w:t>CConv</w:t>
      </w:r>
      <w:proofErr w:type="spellEnd"/>
      <w:r w:rsidR="00EF20E0" w:rsidRPr="00D037B6">
        <w:rPr>
          <w:lang w:val="en-GB"/>
        </w:rPr>
        <w:t>, b)</w:t>
      </w:r>
      <w:r w:rsidR="00FA7D23" w:rsidRPr="00D037B6">
        <w:rPr>
          <w:lang w:val="en-GB"/>
        </w:rPr>
        <w:t xml:space="preserve"> </w:t>
      </w:r>
      <w:r w:rsidR="00EF20E0" w:rsidRPr="00D037B6">
        <w:rPr>
          <w:lang w:val="en-GB"/>
        </w:rPr>
        <w:t xml:space="preserve">CGE, c) LHV d) CCE and methane concentration in syngas </w:t>
      </w:r>
    </w:p>
    <w:p w14:paraId="0440495E" w14:textId="77777777" w:rsidR="0021181A" w:rsidRPr="00D037B6" w:rsidRDefault="0021181A" w:rsidP="0021181A">
      <w:pPr>
        <w:pStyle w:val="Els-body-text"/>
        <w:rPr>
          <w:lang w:val="en-GB"/>
        </w:rPr>
      </w:pPr>
    </w:p>
    <w:p w14:paraId="417A886E" w14:textId="77777777" w:rsidR="00934FDD" w:rsidRPr="00D037B6" w:rsidRDefault="00934FDD" w:rsidP="0021181A">
      <w:pPr>
        <w:pStyle w:val="Els-body-text"/>
        <w:rPr>
          <w:lang w:val="en-GB"/>
        </w:rPr>
      </w:pPr>
    </w:p>
    <w:p w14:paraId="288C81F2" w14:textId="3B746AC5" w:rsidR="00934FDD" w:rsidRPr="00D037B6" w:rsidRDefault="00EB6FB2" w:rsidP="00EB6FB2">
      <w:pPr>
        <w:pStyle w:val="Els-body-text"/>
        <w:rPr>
          <w:lang w:val="en-GB"/>
        </w:rPr>
      </w:pPr>
      <w:r w:rsidRPr="00D037B6">
        <w:rPr>
          <w:noProof/>
          <w:lang w:val="en-GB"/>
        </w:rPr>
        <w:drawing>
          <wp:inline distT="0" distB="0" distL="0" distR="0" wp14:anchorId="7C30D1AB" wp14:editId="227B1850">
            <wp:extent cx="4018086" cy="2402006"/>
            <wp:effectExtent l="0" t="0" r="1905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5CE3E1E-39B5-4659-5D1E-BBA7C286B8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55CE3E1E-39B5-4659-5D1E-BBA7C286B8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9957" cy="24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11B24" w14:textId="77777777" w:rsidR="00934FDD" w:rsidRPr="00D037B6" w:rsidRDefault="00934FDD" w:rsidP="00934FDD">
      <w:pPr>
        <w:pStyle w:val="Els-body-text"/>
        <w:rPr>
          <w:lang w:val="en-GB"/>
        </w:rPr>
      </w:pPr>
    </w:p>
    <w:p w14:paraId="2184A8F3" w14:textId="42F1562D" w:rsidR="00975CFF" w:rsidRPr="00D037B6" w:rsidRDefault="00934FDD" w:rsidP="00975CFF">
      <w:pPr>
        <w:pStyle w:val="Els-body-text"/>
        <w:rPr>
          <w:lang w:val="en-GB"/>
        </w:rPr>
      </w:pPr>
      <w:r w:rsidRPr="00D037B6">
        <w:rPr>
          <w:lang w:val="en-GB"/>
        </w:rPr>
        <w:t>Figure 4:</w:t>
      </w:r>
      <w:r w:rsidR="00EF20E0" w:rsidRPr="00D037B6">
        <w:rPr>
          <w:lang w:val="en-GB"/>
        </w:rPr>
        <w:t xml:space="preserve"> </w:t>
      </w:r>
      <w:r w:rsidR="00E2448B" w:rsidRPr="00D037B6">
        <w:rPr>
          <w:lang w:val="en-GB"/>
        </w:rPr>
        <w:t xml:space="preserve">a) </w:t>
      </w:r>
      <w:r w:rsidR="00EF20E0" w:rsidRPr="00D037B6">
        <w:rPr>
          <w:lang w:val="en-GB"/>
        </w:rPr>
        <w:t xml:space="preserve">Effect of </w:t>
      </w:r>
      <w:r w:rsidR="00E2448B" w:rsidRPr="00D037B6">
        <w:rPr>
          <w:lang w:val="en-GB"/>
        </w:rPr>
        <w:t xml:space="preserve">OSR, </w:t>
      </w:r>
      <w:proofErr w:type="gramStart"/>
      <w:r w:rsidR="00E2448B" w:rsidRPr="00D037B6">
        <w:rPr>
          <w:lang w:val="en-GB"/>
        </w:rPr>
        <w:t xml:space="preserve">b) </w:t>
      </w:r>
      <w:r w:rsidR="00EF20E0" w:rsidRPr="00D037B6">
        <w:rPr>
          <w:lang w:val="en-GB"/>
        </w:rPr>
        <w:t xml:space="preserve"> </w:t>
      </w:r>
      <w:r w:rsidR="00E2448B" w:rsidRPr="00D037B6">
        <w:rPr>
          <w:lang w:val="en-GB"/>
        </w:rPr>
        <w:t>Effect</w:t>
      </w:r>
      <w:proofErr w:type="gramEnd"/>
      <w:r w:rsidR="00E2448B" w:rsidRPr="00D037B6">
        <w:rPr>
          <w:lang w:val="en-GB"/>
        </w:rPr>
        <w:t xml:space="preserve"> of RGR, c) and d) Effect of </w:t>
      </w:r>
      <w:r w:rsidR="00EF20E0" w:rsidRPr="00D037B6">
        <w:rPr>
          <w:lang w:val="en-GB"/>
        </w:rPr>
        <w:t xml:space="preserve">SCR steam mass flow </w:t>
      </w:r>
      <w:r w:rsidR="00E2448B" w:rsidRPr="00D037B6">
        <w:rPr>
          <w:lang w:val="en-GB"/>
        </w:rPr>
        <w:t xml:space="preserve">on reactor temperatures and gas composition </w:t>
      </w:r>
      <w:r w:rsidR="00EF20E0" w:rsidRPr="00D037B6">
        <w:rPr>
          <w:lang w:val="en-GB"/>
        </w:rPr>
        <w:t xml:space="preserve">at CHGR reactor mass flow </w:t>
      </w:r>
      <w:r w:rsidR="00DF5FCE" w:rsidRPr="00D037B6">
        <w:rPr>
          <w:lang w:val="en-GB"/>
        </w:rPr>
        <w:t xml:space="preserve">of </w:t>
      </w:r>
      <w:r w:rsidR="00EF20E0" w:rsidRPr="00D037B6">
        <w:rPr>
          <w:lang w:val="en-GB"/>
        </w:rPr>
        <w:t>500 kg/h</w:t>
      </w:r>
    </w:p>
    <w:p w14:paraId="3FF35EA7" w14:textId="77777777" w:rsidR="00AC0107" w:rsidRPr="00D037B6" w:rsidRDefault="00AC0107" w:rsidP="00975CFF">
      <w:pPr>
        <w:pStyle w:val="Els-body-text"/>
        <w:rPr>
          <w:lang w:val="en-GB"/>
        </w:rPr>
      </w:pPr>
    </w:p>
    <w:p w14:paraId="583D03C8" w14:textId="7C3BE9C8" w:rsidR="00934FDD" w:rsidRPr="00D037B6" w:rsidRDefault="00B33320" w:rsidP="00975CFF">
      <w:pPr>
        <w:pStyle w:val="Els-body-text"/>
        <w:rPr>
          <w:lang w:val="en-GB"/>
        </w:rPr>
      </w:pPr>
      <w:r w:rsidRPr="00D037B6">
        <w:rPr>
          <w:lang w:val="en-GB"/>
        </w:rPr>
        <w:t>PSPOG enables slitting oxygen and steam to SCR and CHGR</w:t>
      </w:r>
      <w:r w:rsidR="00DF5FCE" w:rsidRPr="00D037B6">
        <w:rPr>
          <w:lang w:val="en-GB"/>
        </w:rPr>
        <w:t>, which</w:t>
      </w:r>
      <w:r w:rsidRPr="00D037B6">
        <w:rPr>
          <w:lang w:val="en-GB"/>
        </w:rPr>
        <w:t xml:space="preserve"> can affect both gasification reactor</w:t>
      </w:r>
      <w:r w:rsidR="00DF5FCE" w:rsidRPr="00D037B6">
        <w:rPr>
          <w:lang w:val="en-GB"/>
        </w:rPr>
        <w:t>’</w:t>
      </w:r>
      <w:r w:rsidRPr="00D037B6">
        <w:rPr>
          <w:lang w:val="en-GB"/>
        </w:rPr>
        <w:t xml:space="preserve">s temperature and gas composition and gasification performance parameters. It was found that maximum reactor temperature is reached at OSR of 0.6 </w:t>
      </w:r>
      <w:r w:rsidRPr="00D037B6">
        <w:rPr>
          <w:lang w:val="en-GB"/>
        </w:rPr>
        <w:lastRenderedPageBreak/>
        <w:t>(Figure 4a). At higher value of OSR</w:t>
      </w:r>
      <w:r w:rsidR="00DF5FCE" w:rsidRPr="00D037B6">
        <w:rPr>
          <w:lang w:val="en-GB"/>
        </w:rPr>
        <w:t>,</w:t>
      </w:r>
      <w:r w:rsidRPr="00D037B6">
        <w:rPr>
          <w:lang w:val="en-GB"/>
        </w:rPr>
        <w:t xml:space="preserve"> the SCR temperature decreas</w:t>
      </w:r>
      <w:r w:rsidR="00DF5FCE" w:rsidRPr="00D037B6">
        <w:rPr>
          <w:lang w:val="en-GB"/>
        </w:rPr>
        <w:t>es</w:t>
      </w:r>
      <w:r w:rsidRPr="00D037B6">
        <w:rPr>
          <w:lang w:val="en-GB"/>
        </w:rPr>
        <w:t xml:space="preserve"> because of </w:t>
      </w:r>
      <w:r w:rsidR="00DF5FCE" w:rsidRPr="00D037B6">
        <w:rPr>
          <w:lang w:val="en-GB"/>
        </w:rPr>
        <w:t xml:space="preserve">the </w:t>
      </w:r>
      <w:r w:rsidRPr="00D037B6">
        <w:rPr>
          <w:lang w:val="en-GB"/>
        </w:rPr>
        <w:t xml:space="preserve">decreasing </w:t>
      </w:r>
      <w:proofErr w:type="spellStart"/>
      <w:r w:rsidRPr="00D037B6">
        <w:rPr>
          <w:lang w:val="en-GB"/>
        </w:rPr>
        <w:t>CConv</w:t>
      </w:r>
      <w:proofErr w:type="spellEnd"/>
      <w:r w:rsidRPr="00D037B6">
        <w:rPr>
          <w:lang w:val="en-GB"/>
        </w:rPr>
        <w:t xml:space="preserve">. Reactor temperature is maintained by </w:t>
      </w:r>
      <w:r w:rsidR="00DF5FCE" w:rsidRPr="00D037B6">
        <w:rPr>
          <w:lang w:val="en-GB"/>
        </w:rPr>
        <w:t xml:space="preserve">the </w:t>
      </w:r>
      <w:r w:rsidRPr="00D037B6">
        <w:rPr>
          <w:lang w:val="en-GB"/>
        </w:rPr>
        <w:t>recycling gas ratio (RGR) (fraction of raw syngas returned to CHGR) and mass flow of steam used in SCR. The optimal RGR was found to be 0.2</w:t>
      </w:r>
      <w:r w:rsidR="006F7D39" w:rsidRPr="00D037B6">
        <w:rPr>
          <w:lang w:val="en-GB"/>
        </w:rPr>
        <w:t>2</w:t>
      </w:r>
      <w:r w:rsidRPr="00D037B6">
        <w:rPr>
          <w:lang w:val="en-GB"/>
        </w:rPr>
        <w:t xml:space="preserve"> (Figure 4b) and steam mass flow to SCR 2500 kg/h (Figure 4c) at </w:t>
      </w:r>
      <w:r w:rsidR="00DF5FCE" w:rsidRPr="00D037B6">
        <w:rPr>
          <w:lang w:val="en-GB"/>
        </w:rPr>
        <w:t xml:space="preserve">the </w:t>
      </w:r>
      <w:r w:rsidRPr="00D037B6">
        <w:rPr>
          <w:lang w:val="en-GB"/>
        </w:rPr>
        <w:t>CHGR steam mass flow of 500 kg/h. At these conditions</w:t>
      </w:r>
      <w:r w:rsidR="00DF5FCE" w:rsidRPr="00D037B6">
        <w:rPr>
          <w:lang w:val="en-GB"/>
        </w:rPr>
        <w:t>,</w:t>
      </w:r>
      <w:r w:rsidRPr="00D037B6">
        <w:rPr>
          <w:lang w:val="en-GB"/>
        </w:rPr>
        <w:t xml:space="preserve"> carbon conversion was completed, CHGR was 890 </w:t>
      </w:r>
      <w:r w:rsidRPr="00D037B6">
        <w:rPr>
          <w:lang w:val="en-GB" w:bidi="fa-IR"/>
        </w:rPr>
        <w:t xml:space="preserve">°C, </w:t>
      </w:r>
      <w:r w:rsidRPr="00D037B6">
        <w:rPr>
          <w:lang w:val="en-GB" w:bidi="prs-AF"/>
        </w:rPr>
        <w:t xml:space="preserve">SCR temperature </w:t>
      </w:r>
      <w:r w:rsidR="00DF5FCE" w:rsidRPr="00D037B6">
        <w:rPr>
          <w:lang w:val="en-GB" w:bidi="prs-AF"/>
        </w:rPr>
        <w:t xml:space="preserve">was </w:t>
      </w:r>
      <w:r w:rsidRPr="00D037B6">
        <w:rPr>
          <w:lang w:val="en-GB" w:bidi="prs-AF"/>
        </w:rPr>
        <w:t>752</w:t>
      </w:r>
      <w:r w:rsidRPr="00D037B6">
        <w:rPr>
          <w:lang w:val="en-GB"/>
        </w:rPr>
        <w:t xml:space="preserve"> </w:t>
      </w:r>
      <w:r w:rsidRPr="00D037B6">
        <w:rPr>
          <w:lang w:val="en-GB" w:bidi="fa-IR"/>
        </w:rPr>
        <w:t>°C</w:t>
      </w:r>
      <w:r w:rsidR="00DF5FCE" w:rsidRPr="00D037B6">
        <w:rPr>
          <w:lang w:val="en-GB" w:bidi="fa-IR"/>
        </w:rPr>
        <w:t>,</w:t>
      </w:r>
      <w:r w:rsidRPr="00D037B6">
        <w:rPr>
          <w:lang w:val="en-GB" w:bidi="fa-IR"/>
        </w:rPr>
        <w:t xml:space="preserve"> and maximum CO/CO</w:t>
      </w:r>
      <w:r w:rsidRPr="00D037B6">
        <w:rPr>
          <w:vertAlign w:val="subscript"/>
          <w:lang w:val="en-GB" w:bidi="fa-IR"/>
        </w:rPr>
        <w:t>2</w:t>
      </w:r>
      <w:r w:rsidRPr="00D037B6">
        <w:rPr>
          <w:lang w:val="en-GB" w:bidi="fa-IR"/>
        </w:rPr>
        <w:t xml:space="preserve"> ratio was reached. </w:t>
      </w:r>
    </w:p>
    <w:p w14:paraId="3145DE8B" w14:textId="77234DD7" w:rsidR="00892D03" w:rsidRPr="00D037B6" w:rsidRDefault="00892D03" w:rsidP="00892D03">
      <w:pPr>
        <w:pStyle w:val="Els-1storder-head"/>
      </w:pPr>
      <w:r w:rsidRPr="00D037B6">
        <w:t xml:space="preserve">Conclusion </w:t>
      </w:r>
    </w:p>
    <w:p w14:paraId="640709AC" w14:textId="77777777" w:rsidR="00934FDD" w:rsidRPr="00D037B6" w:rsidRDefault="00934FDD" w:rsidP="00934FDD">
      <w:pPr>
        <w:pStyle w:val="Els-body-text"/>
        <w:rPr>
          <w:lang w:val="en-GB"/>
        </w:rPr>
      </w:pPr>
    </w:p>
    <w:p w14:paraId="0E58A5E5" w14:textId="0B4CDCAD" w:rsidR="00975CFF" w:rsidRPr="00D037B6" w:rsidRDefault="004153D6" w:rsidP="002F53C8">
      <w:pPr>
        <w:pStyle w:val="Els-body-text"/>
        <w:rPr>
          <w:lang w:val="en-GB"/>
        </w:rPr>
      </w:pPr>
      <w:r w:rsidRPr="00D037B6">
        <w:rPr>
          <w:lang w:val="en-GB"/>
        </w:rPr>
        <w:t xml:space="preserve">Pyrolysis/Split Product Oxy-gasification (PSPOG) process is efficient in increasing </w:t>
      </w:r>
      <w:r w:rsidR="00FD3EA5" w:rsidRPr="00D037B6">
        <w:rPr>
          <w:lang w:val="en-GB"/>
        </w:rPr>
        <w:t xml:space="preserve">the </w:t>
      </w:r>
      <w:r w:rsidRPr="00D037B6">
        <w:rPr>
          <w:lang w:val="en-GB"/>
        </w:rPr>
        <w:t>gas LHV, CGE</w:t>
      </w:r>
      <w:r w:rsidR="00FD3EA5" w:rsidRPr="00D037B6">
        <w:rPr>
          <w:lang w:val="en-GB"/>
        </w:rPr>
        <w:t>,</w:t>
      </w:r>
      <w:r w:rsidRPr="00D037B6">
        <w:rPr>
          <w:lang w:val="en-GB"/>
        </w:rPr>
        <w:t xml:space="preserve"> and CCE at much lower ER than conventional one-stage gasification. Combination of a pyrolysis reactor with two gasification reactors for separate pyrolysis product gasification and their mutual integration has been proven as a convenient way to improve waste and biomass gasification performance. For a mixture of HDPE, PP</w:t>
      </w:r>
      <w:r w:rsidR="00FD3EA5" w:rsidRPr="00D037B6">
        <w:rPr>
          <w:lang w:val="en-GB"/>
        </w:rPr>
        <w:t>,</w:t>
      </w:r>
      <w:r w:rsidRPr="00D037B6">
        <w:rPr>
          <w:lang w:val="en-GB"/>
        </w:rPr>
        <w:t xml:space="preserve"> and PET plastics at ER of 0.11 and steam to feed ratio of 0.3</w:t>
      </w:r>
      <w:r w:rsidR="00FD3EA5" w:rsidRPr="00D037B6">
        <w:rPr>
          <w:lang w:val="en-GB"/>
        </w:rPr>
        <w:t>,</w:t>
      </w:r>
      <w:r w:rsidRPr="00D037B6">
        <w:rPr>
          <w:lang w:val="en-GB"/>
        </w:rPr>
        <w:t xml:space="preserve"> a gas with LHV of 14.8 MJ/Nm</w:t>
      </w:r>
      <w:r w:rsidRPr="00D037B6">
        <w:rPr>
          <w:vertAlign w:val="superscript"/>
          <w:lang w:val="en-GB"/>
        </w:rPr>
        <w:t>3</w:t>
      </w:r>
      <w:r w:rsidRPr="00D037B6">
        <w:rPr>
          <w:lang w:val="en-GB"/>
        </w:rPr>
        <w:t xml:space="preserve"> can be produced with </w:t>
      </w:r>
      <w:r w:rsidR="00FD3EA5" w:rsidRPr="00D037B6">
        <w:rPr>
          <w:lang w:val="en-GB"/>
        </w:rPr>
        <w:t>the</w:t>
      </w:r>
      <w:r w:rsidRPr="00D037B6">
        <w:rPr>
          <w:lang w:val="en-GB"/>
        </w:rPr>
        <w:t xml:space="preserve"> theoretical CGE </w:t>
      </w:r>
      <w:r w:rsidR="00FD3EA5" w:rsidRPr="00D037B6">
        <w:rPr>
          <w:lang w:val="en-GB"/>
        </w:rPr>
        <w:t>of</w:t>
      </w:r>
      <w:r w:rsidRPr="00D037B6">
        <w:rPr>
          <w:lang w:val="en-GB"/>
        </w:rPr>
        <w:t xml:space="preserve"> 93</w:t>
      </w:r>
      <w:r w:rsidR="00F32334" w:rsidRPr="00D037B6">
        <w:rPr>
          <w:lang w:val="en-GB"/>
        </w:rPr>
        <w:t>% and</w:t>
      </w:r>
      <w:r w:rsidRPr="00D037B6">
        <w:rPr>
          <w:lang w:val="en-GB"/>
        </w:rPr>
        <w:t xml:space="preserve"> CCE </w:t>
      </w:r>
      <w:r w:rsidR="00FD3EA5" w:rsidRPr="00D037B6">
        <w:rPr>
          <w:lang w:val="en-GB"/>
        </w:rPr>
        <w:t xml:space="preserve">of </w:t>
      </w:r>
      <w:r w:rsidRPr="00D037B6">
        <w:rPr>
          <w:lang w:val="en-GB"/>
        </w:rPr>
        <w:t xml:space="preserve">around </w:t>
      </w:r>
      <w:r w:rsidR="00F32334" w:rsidRPr="00D037B6">
        <w:rPr>
          <w:lang w:val="en-GB"/>
        </w:rPr>
        <w:t>89</w:t>
      </w:r>
      <w:r w:rsidRPr="00D037B6">
        <w:rPr>
          <w:lang w:val="en-GB"/>
        </w:rPr>
        <w:t>%.</w:t>
      </w:r>
      <w:r w:rsidR="00F32334" w:rsidRPr="00D037B6">
        <w:rPr>
          <w:lang w:val="en-GB"/>
        </w:rPr>
        <w:t xml:space="preserve"> This ER was almost 2.5 times lower than</w:t>
      </w:r>
      <w:r w:rsidR="00FD3EA5" w:rsidRPr="00D037B6">
        <w:rPr>
          <w:lang w:val="en-GB"/>
        </w:rPr>
        <w:t xml:space="preserve"> that</w:t>
      </w:r>
      <w:r w:rsidR="00F32334" w:rsidRPr="00D037B6">
        <w:rPr>
          <w:lang w:val="en-GB"/>
        </w:rPr>
        <w:t xml:space="preserve"> for </w:t>
      </w:r>
      <w:r w:rsidR="00FD3EA5" w:rsidRPr="00D037B6">
        <w:rPr>
          <w:lang w:val="en-GB"/>
        </w:rPr>
        <w:t>the</w:t>
      </w:r>
      <w:r w:rsidR="00F32334" w:rsidRPr="00D037B6">
        <w:rPr>
          <w:lang w:val="en-GB"/>
        </w:rPr>
        <w:t xml:space="preserve"> one-stage gasification process.</w:t>
      </w:r>
      <w:r w:rsidR="00A079F0" w:rsidRPr="00D037B6">
        <w:rPr>
          <w:lang w:val="en-GB"/>
        </w:rPr>
        <w:t xml:space="preserve"> Combustion of around 11 % of produced gas covered the energy requirement</w:t>
      </w:r>
      <w:r w:rsidR="00FD3EA5" w:rsidRPr="00D037B6">
        <w:rPr>
          <w:lang w:val="en-GB"/>
        </w:rPr>
        <w:t>s</w:t>
      </w:r>
      <w:r w:rsidR="00A079F0" w:rsidRPr="00D037B6">
        <w:rPr>
          <w:lang w:val="en-GB"/>
        </w:rPr>
        <w:t xml:space="preserve"> of the pyrolysis stage.</w:t>
      </w:r>
      <w:r w:rsidR="00F32334" w:rsidRPr="00D037B6">
        <w:rPr>
          <w:lang w:val="en-GB"/>
        </w:rPr>
        <w:t xml:space="preserve"> </w:t>
      </w:r>
      <w:bookmarkStart w:id="1" w:name="_Hlk153793190"/>
      <w:r w:rsidR="005E312B" w:rsidRPr="00D037B6">
        <w:rPr>
          <w:lang w:val="en-GB"/>
        </w:rPr>
        <w:t>These results</w:t>
      </w:r>
      <w:r w:rsidR="00ED5E1C" w:rsidRPr="00D037B6">
        <w:rPr>
          <w:lang w:val="en-GB"/>
        </w:rPr>
        <w:t xml:space="preserve"> were achieved based on </w:t>
      </w:r>
      <w:r w:rsidR="00970A86" w:rsidRPr="00D037B6">
        <w:rPr>
          <w:lang w:val="en-GB"/>
        </w:rPr>
        <w:t xml:space="preserve">the </w:t>
      </w:r>
      <w:r w:rsidR="00ED5E1C" w:rsidRPr="00D037B6">
        <w:rPr>
          <w:lang w:val="en-GB"/>
        </w:rPr>
        <w:t>thermodynamic equilibrium model and laboratory scale experiments</w:t>
      </w:r>
      <w:r w:rsidR="00970A86" w:rsidRPr="00D037B6">
        <w:rPr>
          <w:lang w:val="en-GB"/>
        </w:rPr>
        <w:t>, the</w:t>
      </w:r>
      <w:r w:rsidR="00ED5E1C" w:rsidRPr="00D037B6">
        <w:rPr>
          <w:lang w:val="en-GB"/>
        </w:rPr>
        <w:t xml:space="preserve"> effect of scale-up is not reflected.  </w:t>
      </w:r>
      <w:r w:rsidR="005E312B" w:rsidRPr="00D037B6">
        <w:rPr>
          <w:lang w:val="en-GB"/>
        </w:rPr>
        <w:t xml:space="preserve"> </w:t>
      </w:r>
      <w:bookmarkEnd w:id="1"/>
    </w:p>
    <w:p w14:paraId="1E49F89C" w14:textId="77777777" w:rsidR="002F53C8" w:rsidRPr="00D037B6" w:rsidRDefault="002F53C8" w:rsidP="00975CFF">
      <w:pPr>
        <w:pStyle w:val="Els-reference-head"/>
        <w:spacing w:before="0"/>
        <w:rPr>
          <w:i/>
          <w:iCs/>
          <w:sz w:val="20"/>
          <w:szCs w:val="20"/>
        </w:rPr>
      </w:pPr>
    </w:p>
    <w:p w14:paraId="7DCCA216" w14:textId="6FF82901" w:rsidR="00975CFF" w:rsidRPr="00D037B6" w:rsidRDefault="00975CFF" w:rsidP="00975CFF">
      <w:pPr>
        <w:pStyle w:val="Els-reference-head"/>
        <w:spacing w:before="0"/>
        <w:rPr>
          <w:i/>
          <w:iCs/>
          <w:sz w:val="20"/>
          <w:szCs w:val="20"/>
        </w:rPr>
      </w:pPr>
      <w:r w:rsidRPr="00D037B6">
        <w:rPr>
          <w:i/>
          <w:iCs/>
          <w:sz w:val="20"/>
          <w:szCs w:val="20"/>
        </w:rPr>
        <w:t xml:space="preserve">Acknowledgement </w:t>
      </w:r>
    </w:p>
    <w:p w14:paraId="33831DF5" w14:textId="13FD7DDA" w:rsidR="00975CFF" w:rsidRPr="00D037B6" w:rsidRDefault="00975CFF" w:rsidP="00975CFF">
      <w:pPr>
        <w:pStyle w:val="Els-reference-head"/>
        <w:spacing w:before="0"/>
        <w:rPr>
          <w:b w:val="0"/>
          <w:bCs/>
          <w:i/>
          <w:iCs/>
          <w:sz w:val="20"/>
          <w:szCs w:val="20"/>
        </w:rPr>
      </w:pPr>
      <w:r w:rsidRPr="00D037B6">
        <w:rPr>
          <w:b w:val="0"/>
          <w:bCs/>
          <w:i/>
          <w:iCs/>
          <w:sz w:val="20"/>
          <w:szCs w:val="20"/>
        </w:rPr>
        <w:t>This work was supported by Grant APVV-19-017 provided by the Slovak Research and Development Agency</w:t>
      </w:r>
    </w:p>
    <w:p w14:paraId="144DE6BF" w14:textId="7D11EB77" w:rsidR="008D2649" w:rsidRPr="00D037B6" w:rsidRDefault="008D2649" w:rsidP="008D2649">
      <w:pPr>
        <w:pStyle w:val="Els-reference-head"/>
      </w:pPr>
      <w:r w:rsidRPr="00D037B6">
        <w:t>References</w:t>
      </w:r>
    </w:p>
    <w:p w14:paraId="23341BE7" w14:textId="77777777" w:rsidR="00F5281C" w:rsidRPr="00D037B6" w:rsidRDefault="00F5281C" w:rsidP="00F5281C">
      <w:pPr>
        <w:rPr>
          <w:sz w:val="18"/>
          <w:szCs w:val="18"/>
          <w:lang w:val="en-US"/>
        </w:rPr>
      </w:pPr>
      <w:r w:rsidRPr="00D037B6">
        <w:rPr>
          <w:sz w:val="18"/>
          <w:szCs w:val="18"/>
          <w:lang w:val="en-US"/>
        </w:rPr>
        <w:t xml:space="preserve">A. A. Ahmad, N. A. Zawawi, F. H. Kasim, A. Inayat, A., A. </w:t>
      </w:r>
      <w:proofErr w:type="spellStart"/>
      <w:r w:rsidRPr="00D037B6">
        <w:rPr>
          <w:sz w:val="18"/>
          <w:szCs w:val="18"/>
          <w:lang w:val="en-US"/>
        </w:rPr>
        <w:t>Khasri</w:t>
      </w:r>
      <w:proofErr w:type="spellEnd"/>
      <w:r w:rsidRPr="00D037B6">
        <w:rPr>
          <w:sz w:val="18"/>
          <w:szCs w:val="18"/>
          <w:lang w:val="en-US"/>
        </w:rPr>
        <w:t xml:space="preserve">, 2016, </w:t>
      </w:r>
      <w:r w:rsidRPr="00D037B6">
        <w:rPr>
          <w:sz w:val="18"/>
          <w:szCs w:val="18"/>
        </w:rPr>
        <w:t xml:space="preserve">Assessing the gasification performance of biomass: A review on biomass gasification process conditions, </w:t>
      </w:r>
      <w:proofErr w:type="gramStart"/>
      <w:r w:rsidRPr="00D037B6">
        <w:rPr>
          <w:sz w:val="18"/>
          <w:szCs w:val="18"/>
        </w:rPr>
        <w:t>optimization</w:t>
      </w:r>
      <w:proofErr w:type="gramEnd"/>
      <w:r w:rsidRPr="00D037B6">
        <w:rPr>
          <w:sz w:val="18"/>
          <w:szCs w:val="18"/>
        </w:rPr>
        <w:t xml:space="preserve"> and economic evaluation, Renewable and Sustainable Energy Reviews, 53, 1333-1347.</w:t>
      </w:r>
    </w:p>
    <w:p w14:paraId="211F2B09" w14:textId="77777777" w:rsidR="00F5281C" w:rsidRPr="00D037B6" w:rsidRDefault="00F5281C" w:rsidP="00F5281C">
      <w:pPr>
        <w:rPr>
          <w:sz w:val="18"/>
          <w:szCs w:val="18"/>
        </w:rPr>
      </w:pPr>
      <w:r w:rsidRPr="00D037B6">
        <w:rPr>
          <w:sz w:val="18"/>
          <w:szCs w:val="18"/>
          <w:lang w:val="en-US"/>
        </w:rPr>
        <w:t xml:space="preserve">N. Antoniou, G. Stavropoulos, A. </w:t>
      </w:r>
      <w:proofErr w:type="spellStart"/>
      <w:r w:rsidRPr="00D037B6">
        <w:rPr>
          <w:sz w:val="18"/>
          <w:szCs w:val="18"/>
          <w:lang w:val="en-US"/>
        </w:rPr>
        <w:t>Zabaniotou</w:t>
      </w:r>
      <w:proofErr w:type="spellEnd"/>
      <w:r w:rsidRPr="00D037B6">
        <w:rPr>
          <w:sz w:val="18"/>
          <w:szCs w:val="18"/>
          <w:lang w:val="en-US"/>
        </w:rPr>
        <w:t xml:space="preserve">, 2014, </w:t>
      </w:r>
      <w:r w:rsidRPr="00D037B6">
        <w:rPr>
          <w:sz w:val="18"/>
          <w:szCs w:val="18"/>
        </w:rPr>
        <w:t xml:space="preserve">Activation of </w:t>
      </w:r>
      <w:proofErr w:type="gramStart"/>
      <w:r w:rsidRPr="00D037B6">
        <w:rPr>
          <w:sz w:val="18"/>
          <w:szCs w:val="18"/>
        </w:rPr>
        <w:t>end of life</w:t>
      </w:r>
      <w:proofErr w:type="gramEnd"/>
      <w:r w:rsidRPr="00D037B6">
        <w:rPr>
          <w:sz w:val="18"/>
          <w:szCs w:val="18"/>
        </w:rPr>
        <w:t xml:space="preserve"> tyres pyrolytic char for enhancing viability of pyrolysis–Critical review, analysis and recommendations for a hybrid dual system, Renewable and sustainable energy reviews, 39, 1053-1073.</w:t>
      </w:r>
    </w:p>
    <w:p w14:paraId="43C2C200" w14:textId="77777777" w:rsidR="00F5281C" w:rsidRPr="00D037B6" w:rsidRDefault="00F5281C" w:rsidP="00F5281C">
      <w:pPr>
        <w:rPr>
          <w:sz w:val="18"/>
          <w:szCs w:val="18"/>
        </w:rPr>
      </w:pPr>
      <w:r w:rsidRPr="00D037B6">
        <w:rPr>
          <w:sz w:val="18"/>
          <w:szCs w:val="18"/>
        </w:rPr>
        <w:t xml:space="preserve">J. B. Dunn, L. Gaines, M. Barnes, J. L. Sullivan, M. Wang, 2014, Material and energy flows in the materials production, assembly, and end-of-life stages of the automotive lithium-ion battery life cycle (No. ANL/ESD/12-3 Rev.), Argonne National </w:t>
      </w:r>
      <w:proofErr w:type="gramStart"/>
      <w:r w:rsidRPr="00D037B6">
        <w:rPr>
          <w:sz w:val="18"/>
          <w:szCs w:val="18"/>
        </w:rPr>
        <w:t>Lab.(</w:t>
      </w:r>
      <w:proofErr w:type="gramEnd"/>
      <w:r w:rsidRPr="00D037B6">
        <w:rPr>
          <w:sz w:val="18"/>
          <w:szCs w:val="18"/>
        </w:rPr>
        <w:t>ANL), Argonne, IL ,United States.</w:t>
      </w:r>
    </w:p>
    <w:p w14:paraId="219949A7" w14:textId="77777777" w:rsidR="00F5281C" w:rsidRPr="00D037B6" w:rsidRDefault="00F5281C" w:rsidP="00F5281C">
      <w:pPr>
        <w:rPr>
          <w:sz w:val="18"/>
          <w:szCs w:val="18"/>
        </w:rPr>
      </w:pPr>
      <w:r w:rsidRPr="00D037B6">
        <w:rPr>
          <w:sz w:val="18"/>
          <w:szCs w:val="18"/>
        </w:rPr>
        <w:t xml:space="preserve">W. </w:t>
      </w:r>
      <w:proofErr w:type="spellStart"/>
      <w:r w:rsidRPr="00D037B6">
        <w:rPr>
          <w:sz w:val="18"/>
          <w:szCs w:val="18"/>
        </w:rPr>
        <w:t>Jangsawang</w:t>
      </w:r>
      <w:proofErr w:type="spellEnd"/>
      <w:r w:rsidRPr="00D037B6">
        <w:rPr>
          <w:sz w:val="18"/>
          <w:szCs w:val="18"/>
        </w:rPr>
        <w:t xml:space="preserve">, K. </w:t>
      </w:r>
      <w:proofErr w:type="spellStart"/>
      <w:r w:rsidRPr="00D037B6">
        <w:rPr>
          <w:sz w:val="18"/>
          <w:szCs w:val="18"/>
        </w:rPr>
        <w:t>Laohalidanond</w:t>
      </w:r>
      <w:proofErr w:type="spellEnd"/>
      <w:r w:rsidRPr="00D037B6">
        <w:rPr>
          <w:sz w:val="18"/>
          <w:szCs w:val="18"/>
        </w:rPr>
        <w:t xml:space="preserve">, S. </w:t>
      </w:r>
      <w:proofErr w:type="spellStart"/>
      <w:r w:rsidRPr="00D037B6">
        <w:rPr>
          <w:sz w:val="18"/>
          <w:szCs w:val="18"/>
        </w:rPr>
        <w:t>Kerdsuwan</w:t>
      </w:r>
      <w:proofErr w:type="spellEnd"/>
      <w:r w:rsidRPr="00D037B6">
        <w:rPr>
          <w:sz w:val="18"/>
          <w:szCs w:val="18"/>
        </w:rPr>
        <w:t>, 2015, Optimum equivalence ratio of biomass gasification process based on thermodynamic equilibrium model, Energy Procedia, 79, 520-527</w:t>
      </w:r>
    </w:p>
    <w:p w14:paraId="10AB425E" w14:textId="77777777" w:rsidR="00F5281C" w:rsidRPr="00D037B6" w:rsidRDefault="00F5281C" w:rsidP="00F5281C">
      <w:pPr>
        <w:rPr>
          <w:sz w:val="18"/>
          <w:szCs w:val="18"/>
        </w:rPr>
      </w:pPr>
      <w:r w:rsidRPr="00D037B6">
        <w:rPr>
          <w:sz w:val="18"/>
          <w:szCs w:val="18"/>
          <w:lang w:bidi="prs-AF"/>
        </w:rPr>
        <w:t>S. H. Jung, M. H. Cho, B. S. Kang, J. S.  Kim, 2010, Pyrolysis of a fraction of waste polypropylene and polyethylene for the recovery of BTX aromatics using a fluidized bed reactor, Fuel processing technology, 91(3), 277-284.</w:t>
      </w:r>
    </w:p>
    <w:p w14:paraId="151DDA8E" w14:textId="77777777" w:rsidR="00F5281C" w:rsidRPr="00D037B6" w:rsidRDefault="00F5281C" w:rsidP="00F5281C">
      <w:pPr>
        <w:rPr>
          <w:sz w:val="18"/>
          <w:szCs w:val="18"/>
        </w:rPr>
      </w:pPr>
      <w:r w:rsidRPr="00D037B6">
        <w:rPr>
          <w:sz w:val="18"/>
          <w:szCs w:val="18"/>
        </w:rPr>
        <w:t>P. C. Kuo, W. Wu, W.H. Chen, 2014, Gasification performances of raw and torrefied biomass in a downdraft fixed bed gasifier using thermodynamic analysis, Fuel, 117, 1231-1241.</w:t>
      </w:r>
    </w:p>
    <w:p w14:paraId="482AD80B" w14:textId="77777777" w:rsidR="00F5281C" w:rsidRPr="00D037B6" w:rsidRDefault="00F5281C" w:rsidP="00F5281C">
      <w:pPr>
        <w:rPr>
          <w:sz w:val="18"/>
          <w:szCs w:val="18"/>
        </w:rPr>
      </w:pPr>
      <w:r w:rsidRPr="00D037B6">
        <w:rPr>
          <w:sz w:val="18"/>
          <w:szCs w:val="18"/>
          <w:lang w:bidi="prs-AF"/>
        </w:rPr>
        <w:t xml:space="preserve">J. </w:t>
      </w:r>
      <w:proofErr w:type="spellStart"/>
      <w:r w:rsidRPr="00D037B6">
        <w:rPr>
          <w:sz w:val="18"/>
          <w:szCs w:val="18"/>
          <w:lang w:bidi="prs-AF"/>
        </w:rPr>
        <w:t>Scheirs</w:t>
      </w:r>
      <w:proofErr w:type="spellEnd"/>
      <w:r w:rsidRPr="00D037B6">
        <w:rPr>
          <w:sz w:val="18"/>
          <w:szCs w:val="18"/>
          <w:lang w:bidi="prs-AF"/>
        </w:rPr>
        <w:t>, W. Kaminsky, 2006, Feedstock recycling and pyrolysis of waste plastics, Chichester, UK; Hoboken, NJ: J. Wiley &amp; Sons.</w:t>
      </w:r>
    </w:p>
    <w:p w14:paraId="2EAEEBC6" w14:textId="77777777" w:rsidR="00F5281C" w:rsidRPr="00D037B6" w:rsidRDefault="00F5281C" w:rsidP="00F5281C">
      <w:pPr>
        <w:rPr>
          <w:sz w:val="18"/>
          <w:szCs w:val="18"/>
        </w:rPr>
      </w:pPr>
      <w:r w:rsidRPr="00D037B6">
        <w:rPr>
          <w:sz w:val="18"/>
          <w:szCs w:val="18"/>
          <w:lang w:val="sk-SK" w:bidi="fa-IR"/>
        </w:rPr>
        <w:t xml:space="preserve">P. Šuhaj, J. Husár, J. Haydary, J. Annus,  2022, </w:t>
      </w:r>
      <w:proofErr w:type="spellStart"/>
      <w:r w:rsidRPr="00D037B6">
        <w:rPr>
          <w:sz w:val="18"/>
          <w:szCs w:val="18"/>
          <w:lang w:val="sk-SK" w:bidi="fa-IR"/>
        </w:rPr>
        <w:t>Experimental</w:t>
      </w:r>
      <w:proofErr w:type="spellEnd"/>
      <w:r w:rsidRPr="00D037B6">
        <w:rPr>
          <w:sz w:val="18"/>
          <w:szCs w:val="18"/>
          <w:lang w:val="sk-SK" w:bidi="fa-IR"/>
        </w:rPr>
        <w:t xml:space="preserve"> </w:t>
      </w:r>
      <w:proofErr w:type="spellStart"/>
      <w:r w:rsidRPr="00D037B6">
        <w:rPr>
          <w:sz w:val="18"/>
          <w:szCs w:val="18"/>
          <w:lang w:val="sk-SK" w:bidi="fa-IR"/>
        </w:rPr>
        <w:t>verification</w:t>
      </w:r>
      <w:proofErr w:type="spellEnd"/>
      <w:r w:rsidRPr="00D037B6">
        <w:rPr>
          <w:sz w:val="18"/>
          <w:szCs w:val="18"/>
          <w:lang w:val="sk-SK" w:bidi="fa-IR"/>
        </w:rPr>
        <w:t xml:space="preserve"> of a pilot </w:t>
      </w:r>
      <w:proofErr w:type="spellStart"/>
      <w:r w:rsidRPr="00D037B6">
        <w:rPr>
          <w:sz w:val="18"/>
          <w:szCs w:val="18"/>
          <w:lang w:val="sk-SK" w:bidi="fa-IR"/>
        </w:rPr>
        <w:t>pyrolysis</w:t>
      </w:r>
      <w:proofErr w:type="spellEnd"/>
      <w:r w:rsidRPr="00D037B6">
        <w:rPr>
          <w:sz w:val="18"/>
          <w:szCs w:val="18"/>
          <w:lang w:val="sk-SK" w:bidi="fa-IR"/>
        </w:rPr>
        <w:t>/</w:t>
      </w:r>
      <w:proofErr w:type="spellStart"/>
      <w:r w:rsidRPr="00D037B6">
        <w:rPr>
          <w:sz w:val="18"/>
          <w:szCs w:val="18"/>
          <w:lang w:val="sk-SK" w:bidi="fa-IR"/>
        </w:rPr>
        <w:t>split</w:t>
      </w:r>
      <w:proofErr w:type="spellEnd"/>
      <w:r w:rsidRPr="00D037B6">
        <w:rPr>
          <w:sz w:val="18"/>
          <w:szCs w:val="18"/>
          <w:lang w:val="sk-SK" w:bidi="fa-IR"/>
        </w:rPr>
        <w:t xml:space="preserve"> </w:t>
      </w:r>
      <w:proofErr w:type="spellStart"/>
      <w:r w:rsidRPr="00D037B6">
        <w:rPr>
          <w:sz w:val="18"/>
          <w:szCs w:val="18"/>
          <w:lang w:val="sk-SK" w:bidi="fa-IR"/>
        </w:rPr>
        <w:t>product</w:t>
      </w:r>
      <w:proofErr w:type="spellEnd"/>
      <w:r w:rsidRPr="00D037B6">
        <w:rPr>
          <w:sz w:val="18"/>
          <w:szCs w:val="18"/>
          <w:lang w:val="sk-SK" w:bidi="fa-IR"/>
        </w:rPr>
        <w:t xml:space="preserve"> </w:t>
      </w:r>
      <w:proofErr w:type="spellStart"/>
      <w:r w:rsidRPr="00D037B6">
        <w:rPr>
          <w:sz w:val="18"/>
          <w:szCs w:val="18"/>
          <w:lang w:val="sk-SK" w:bidi="fa-IR"/>
        </w:rPr>
        <w:t>gasification</w:t>
      </w:r>
      <w:proofErr w:type="spellEnd"/>
      <w:r w:rsidRPr="00D037B6">
        <w:rPr>
          <w:sz w:val="18"/>
          <w:szCs w:val="18"/>
          <w:lang w:val="sk-SK" w:bidi="fa-IR"/>
        </w:rPr>
        <w:t xml:space="preserve"> (PSPG) </w:t>
      </w:r>
      <w:proofErr w:type="spellStart"/>
      <w:r w:rsidRPr="00D037B6">
        <w:rPr>
          <w:sz w:val="18"/>
          <w:szCs w:val="18"/>
          <w:lang w:val="sk-SK" w:bidi="fa-IR"/>
        </w:rPr>
        <w:t>unit</w:t>
      </w:r>
      <w:proofErr w:type="spellEnd"/>
      <w:r w:rsidRPr="00D037B6">
        <w:rPr>
          <w:sz w:val="18"/>
          <w:szCs w:val="18"/>
          <w:lang w:val="sk-SK" w:bidi="fa-IR"/>
        </w:rPr>
        <w:t>, Energy, 244, 122584.</w:t>
      </w:r>
    </w:p>
    <w:p w14:paraId="144DE6C3" w14:textId="7892AA8A" w:rsidR="008D2649" w:rsidRPr="00D037B6" w:rsidRDefault="00F5281C" w:rsidP="002F53C8">
      <w:pPr>
        <w:rPr>
          <w:sz w:val="18"/>
          <w:szCs w:val="18"/>
        </w:rPr>
      </w:pPr>
      <w:r w:rsidRPr="00D037B6">
        <w:rPr>
          <w:sz w:val="18"/>
          <w:szCs w:val="18"/>
        </w:rPr>
        <w:t>Q., Li, Z., Zheng, M. Watanabe, 2022, Production of solid fuels by hydrothermal treatment of wastes of biomass, plastic, and biomass/plastic mixtures: A review, Journal of Bioresources and Bioproducts, 7(4), 221-244.</w:t>
      </w:r>
    </w:p>
    <w:sectPr w:rsidR="008D2649" w:rsidRPr="00D037B6" w:rsidSect="008B0184">
      <w:headerReference w:type="even" r:id="rId13"/>
      <w:headerReference w:type="default" r:id="rId14"/>
      <w:headerReference w:type="first" r:id="rId15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F66F" w14:textId="77777777" w:rsidR="00CC0CE9" w:rsidRDefault="00CC0CE9">
      <w:r>
        <w:separator/>
      </w:r>
    </w:p>
  </w:endnote>
  <w:endnote w:type="continuationSeparator" w:id="0">
    <w:p w14:paraId="14105D79" w14:textId="77777777" w:rsidR="00CC0CE9" w:rsidRDefault="00CC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8CB" w14:textId="77777777" w:rsidR="00CC0CE9" w:rsidRDefault="00CC0CE9">
      <w:r>
        <w:separator/>
      </w:r>
    </w:p>
  </w:footnote>
  <w:footnote w:type="continuationSeparator" w:id="0">
    <w:p w14:paraId="0AD5F888" w14:textId="77777777" w:rsidR="00CC0CE9" w:rsidRDefault="00CC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70F38724" w:rsidR="00DD3D9E" w:rsidRDefault="00DD3D9E">
    <w:pPr>
      <w:pStyle w:val="Hlavika"/>
      <w:tabs>
        <w:tab w:val="clear" w:pos="7200"/>
        <w:tab w:val="right" w:pos="7088"/>
      </w:tabs>
    </w:pPr>
    <w:r>
      <w:rPr>
        <w:rStyle w:val="slostrany"/>
      </w:rPr>
      <w:tab/>
    </w:r>
    <w:r>
      <w:rPr>
        <w:rStyle w:val="slostrany"/>
        <w:i/>
      </w:rPr>
      <w:tab/>
    </w:r>
    <w:r w:rsidR="00D10E22">
      <w:rPr>
        <w:i/>
      </w:rPr>
      <w:fldChar w:fldCharType="begin"/>
    </w:r>
    <w:r>
      <w:rPr>
        <w:i/>
      </w:rPr>
      <w:instrText xml:space="preserve"> MACROBUTTON NoMacro A. Firstauthor et al.</w:instrText>
    </w:r>
    <w:r w:rsidR="00D10E22">
      <w:rPr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6455FAAB" w:rsidR="00DD3D9E" w:rsidRDefault="009236E5">
    <w:pPr>
      <w:pStyle w:val="Hlavika"/>
      <w:tabs>
        <w:tab w:val="clear" w:pos="7200"/>
        <w:tab w:val="right" w:pos="7088"/>
      </w:tabs>
      <w:jc w:val="right"/>
      <w:rPr>
        <w:sz w:val="24"/>
      </w:rPr>
    </w:pPr>
    <w:r w:rsidRPr="009236E5">
      <w:rPr>
        <w:i/>
      </w:rPr>
      <w:t>Performance assessment of waste and biomass two-stage pyrolysis/split product oxy-gasification (PSPOG) using Aspen simulation</w:t>
    </w:r>
    <w:r w:rsidR="00DD3D9E">
      <w:rPr>
        <w:rStyle w:val="slostrany"/>
        <w:i/>
        <w:sz w:val="24"/>
      </w:rPr>
      <w:tab/>
    </w:r>
    <w:r w:rsidR="00DD3D9E">
      <w:rPr>
        <w:rStyle w:val="slostrany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Manenti, Gintaras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1"/>
  </w:num>
  <w:num w:numId="2" w16cid:durableId="47382885">
    <w:abstractNumId w:val="11"/>
  </w:num>
  <w:num w:numId="3" w16cid:durableId="967853731">
    <w:abstractNumId w:val="11"/>
  </w:num>
  <w:num w:numId="4" w16cid:durableId="1739282265">
    <w:abstractNumId w:val="11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2"/>
  </w:num>
  <w:num w:numId="8" w16cid:durableId="1750734252">
    <w:abstractNumId w:val="1"/>
  </w:num>
  <w:num w:numId="9" w16cid:durableId="203061615">
    <w:abstractNumId w:val="10"/>
  </w:num>
  <w:num w:numId="10" w16cid:durableId="1478497114">
    <w:abstractNumId w:val="14"/>
  </w:num>
  <w:num w:numId="11" w16cid:durableId="1896693444">
    <w:abstractNumId w:val="13"/>
  </w:num>
  <w:num w:numId="12" w16cid:durableId="774787662">
    <w:abstractNumId w:val="5"/>
  </w:num>
  <w:num w:numId="13" w16cid:durableId="1525900646">
    <w:abstractNumId w:val="8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735B"/>
    <w:rsid w:val="00021929"/>
    <w:rsid w:val="0007732B"/>
    <w:rsid w:val="0007786C"/>
    <w:rsid w:val="000D3D9B"/>
    <w:rsid w:val="000E101D"/>
    <w:rsid w:val="00110E60"/>
    <w:rsid w:val="00146BFA"/>
    <w:rsid w:val="0016032F"/>
    <w:rsid w:val="001733DA"/>
    <w:rsid w:val="001879F6"/>
    <w:rsid w:val="001C0148"/>
    <w:rsid w:val="001C01AC"/>
    <w:rsid w:val="001C757E"/>
    <w:rsid w:val="0020390F"/>
    <w:rsid w:val="0021181A"/>
    <w:rsid w:val="00213102"/>
    <w:rsid w:val="00254DF4"/>
    <w:rsid w:val="00264926"/>
    <w:rsid w:val="00274E0F"/>
    <w:rsid w:val="002A153F"/>
    <w:rsid w:val="002B64E3"/>
    <w:rsid w:val="002D52C2"/>
    <w:rsid w:val="002F53C8"/>
    <w:rsid w:val="0031036E"/>
    <w:rsid w:val="00332D0A"/>
    <w:rsid w:val="003622A8"/>
    <w:rsid w:val="0039686D"/>
    <w:rsid w:val="003A2090"/>
    <w:rsid w:val="003A34DC"/>
    <w:rsid w:val="003C612E"/>
    <w:rsid w:val="003D1582"/>
    <w:rsid w:val="003D7E4C"/>
    <w:rsid w:val="003E41C2"/>
    <w:rsid w:val="004153D6"/>
    <w:rsid w:val="00441AD4"/>
    <w:rsid w:val="00443B6E"/>
    <w:rsid w:val="00455C26"/>
    <w:rsid w:val="004878EB"/>
    <w:rsid w:val="0049772C"/>
    <w:rsid w:val="004C269F"/>
    <w:rsid w:val="004D26F3"/>
    <w:rsid w:val="004D5BFB"/>
    <w:rsid w:val="004E6D17"/>
    <w:rsid w:val="00550DF0"/>
    <w:rsid w:val="00552EEB"/>
    <w:rsid w:val="005A499A"/>
    <w:rsid w:val="005B2C67"/>
    <w:rsid w:val="005E312B"/>
    <w:rsid w:val="005F56D4"/>
    <w:rsid w:val="00627C86"/>
    <w:rsid w:val="00636FBF"/>
    <w:rsid w:val="00656BE3"/>
    <w:rsid w:val="006874F2"/>
    <w:rsid w:val="006A4122"/>
    <w:rsid w:val="006A69BF"/>
    <w:rsid w:val="006C197B"/>
    <w:rsid w:val="006D0855"/>
    <w:rsid w:val="006D5675"/>
    <w:rsid w:val="006F7D39"/>
    <w:rsid w:val="00711DF4"/>
    <w:rsid w:val="00720117"/>
    <w:rsid w:val="00735D17"/>
    <w:rsid w:val="00765A99"/>
    <w:rsid w:val="0078132C"/>
    <w:rsid w:val="007836B7"/>
    <w:rsid w:val="0079024E"/>
    <w:rsid w:val="007D70A1"/>
    <w:rsid w:val="007F00E2"/>
    <w:rsid w:val="008132E8"/>
    <w:rsid w:val="00823407"/>
    <w:rsid w:val="0083089B"/>
    <w:rsid w:val="00840407"/>
    <w:rsid w:val="0084175C"/>
    <w:rsid w:val="00865D19"/>
    <w:rsid w:val="00882E5E"/>
    <w:rsid w:val="00892D03"/>
    <w:rsid w:val="008B0184"/>
    <w:rsid w:val="008C5D02"/>
    <w:rsid w:val="008D2649"/>
    <w:rsid w:val="0090568D"/>
    <w:rsid w:val="009125C9"/>
    <w:rsid w:val="00913879"/>
    <w:rsid w:val="00917661"/>
    <w:rsid w:val="0092078D"/>
    <w:rsid w:val="009236E5"/>
    <w:rsid w:val="00934FDD"/>
    <w:rsid w:val="00940DA4"/>
    <w:rsid w:val="0096665A"/>
    <w:rsid w:val="00970A86"/>
    <w:rsid w:val="00970E5D"/>
    <w:rsid w:val="00975CFF"/>
    <w:rsid w:val="0097701C"/>
    <w:rsid w:val="00980A65"/>
    <w:rsid w:val="0098248D"/>
    <w:rsid w:val="009F6459"/>
    <w:rsid w:val="00A079F0"/>
    <w:rsid w:val="00A146D3"/>
    <w:rsid w:val="00A25E70"/>
    <w:rsid w:val="00A33765"/>
    <w:rsid w:val="00A5683B"/>
    <w:rsid w:val="00A63269"/>
    <w:rsid w:val="00A80601"/>
    <w:rsid w:val="00A92377"/>
    <w:rsid w:val="00A92C50"/>
    <w:rsid w:val="00AB29ED"/>
    <w:rsid w:val="00AC0107"/>
    <w:rsid w:val="00AC1410"/>
    <w:rsid w:val="00AD5E1A"/>
    <w:rsid w:val="00AE4BD8"/>
    <w:rsid w:val="00AE7FBB"/>
    <w:rsid w:val="00B01813"/>
    <w:rsid w:val="00B20440"/>
    <w:rsid w:val="00B33320"/>
    <w:rsid w:val="00B4388F"/>
    <w:rsid w:val="00B63237"/>
    <w:rsid w:val="00B726F8"/>
    <w:rsid w:val="00B81EB0"/>
    <w:rsid w:val="00B95C52"/>
    <w:rsid w:val="00BF1886"/>
    <w:rsid w:val="00BF604F"/>
    <w:rsid w:val="00C03616"/>
    <w:rsid w:val="00C24296"/>
    <w:rsid w:val="00C26980"/>
    <w:rsid w:val="00C347AA"/>
    <w:rsid w:val="00C35B5A"/>
    <w:rsid w:val="00C960DC"/>
    <w:rsid w:val="00CC0CE9"/>
    <w:rsid w:val="00CD66ED"/>
    <w:rsid w:val="00CF4099"/>
    <w:rsid w:val="00D02C75"/>
    <w:rsid w:val="00D037B6"/>
    <w:rsid w:val="00D10E22"/>
    <w:rsid w:val="00D11C64"/>
    <w:rsid w:val="00D13D2C"/>
    <w:rsid w:val="00D60A73"/>
    <w:rsid w:val="00D665BC"/>
    <w:rsid w:val="00DB3E5B"/>
    <w:rsid w:val="00DC2F94"/>
    <w:rsid w:val="00DD3D9E"/>
    <w:rsid w:val="00DD7908"/>
    <w:rsid w:val="00DF5FCE"/>
    <w:rsid w:val="00E2448B"/>
    <w:rsid w:val="00E72BB0"/>
    <w:rsid w:val="00E82297"/>
    <w:rsid w:val="00EB6FB2"/>
    <w:rsid w:val="00ED5E1C"/>
    <w:rsid w:val="00EF20E0"/>
    <w:rsid w:val="00EF39FD"/>
    <w:rsid w:val="00F06842"/>
    <w:rsid w:val="00F107FD"/>
    <w:rsid w:val="00F22E65"/>
    <w:rsid w:val="00F261A1"/>
    <w:rsid w:val="00F32334"/>
    <w:rsid w:val="00F51866"/>
    <w:rsid w:val="00F5281C"/>
    <w:rsid w:val="00FA4639"/>
    <w:rsid w:val="00FA7D23"/>
    <w:rsid w:val="00FB341E"/>
    <w:rsid w:val="00FB64A8"/>
    <w:rsid w:val="00FD3EA5"/>
    <w:rsid w:val="00FE34A7"/>
    <w:rsid w:val="00FF19DC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B0184"/>
    <w:rPr>
      <w:lang w:eastAsia="en-US"/>
    </w:rPr>
  </w:style>
  <w:style w:type="paragraph" w:styleId="Nadpis3">
    <w:name w:val="heading 3"/>
    <w:basedOn w:val="Normlny"/>
    <w:next w:val="Normlny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Odkaznavysvetlivku">
    <w:name w:val="endnote reference"/>
    <w:basedOn w:val="Predvolenpsmoodseku"/>
    <w:semiHidden/>
    <w:rsid w:val="008B0184"/>
    <w:rPr>
      <w:vertAlign w:val="superscript"/>
    </w:rPr>
  </w:style>
  <w:style w:type="paragraph" w:styleId="Hlavika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ta">
    <w:name w:val="footer"/>
    <w:basedOn w:val="Hlavika"/>
    <w:rsid w:val="008B0184"/>
  </w:style>
  <w:style w:type="character" w:styleId="Odkaznapoznmkupodiarou">
    <w:name w:val="footnote reference"/>
    <w:semiHidden/>
    <w:rsid w:val="008B0184"/>
    <w:rPr>
      <w:vertAlign w:val="superscript"/>
    </w:rPr>
  </w:style>
  <w:style w:type="paragraph" w:styleId="Textpoznmkypodiarou">
    <w:name w:val="footnote text"/>
    <w:basedOn w:val="Normlny"/>
    <w:semiHidden/>
    <w:rsid w:val="008B0184"/>
    <w:rPr>
      <w:rFonts w:ascii="Univers" w:hAnsi="Univers"/>
    </w:rPr>
  </w:style>
  <w:style w:type="character" w:styleId="Hypertextovprepojenie">
    <w:name w:val="Hyperlink"/>
    <w:basedOn w:val="Predvolenpsmoodseku"/>
    <w:rsid w:val="008B0184"/>
    <w:rPr>
      <w:color w:val="0000FF"/>
      <w:u w:val="single"/>
    </w:rPr>
  </w:style>
  <w:style w:type="character" w:customStyle="1" w:styleId="MTEquationSection">
    <w:name w:val="MTEquationSection"/>
    <w:basedOn w:val="Predvolenpsmoodseku"/>
    <w:rsid w:val="008B0184"/>
    <w:rPr>
      <w:vanish/>
      <w:color w:val="FF0000"/>
    </w:rPr>
  </w:style>
  <w:style w:type="character" w:styleId="slostrany">
    <w:name w:val="page number"/>
    <w:basedOn w:val="Predvolenpsmoodseku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Predvolenpsmoodseku"/>
    <w:rsid w:val="008B0184"/>
    <w:rPr>
      <w:sz w:val="18"/>
      <w:lang w:val="en-US" w:eastAsia="en-US" w:bidi="ar-SA"/>
    </w:rPr>
  </w:style>
  <w:style w:type="character" w:styleId="Odkaznakomentr">
    <w:name w:val="annotation reference"/>
    <w:basedOn w:val="Predvolenpsmoodseku"/>
    <w:semiHidden/>
    <w:rsid w:val="008B0184"/>
    <w:rPr>
      <w:sz w:val="16"/>
      <w:szCs w:val="16"/>
    </w:rPr>
  </w:style>
  <w:style w:type="paragraph" w:styleId="Textkomentra">
    <w:name w:val="annotation text"/>
    <w:basedOn w:val="Normlny"/>
    <w:semiHidden/>
    <w:rsid w:val="008B0184"/>
  </w:style>
  <w:style w:type="paragraph" w:styleId="Predmetkomentra">
    <w:name w:val="annotation subject"/>
    <w:basedOn w:val="Textkomentra"/>
    <w:next w:val="Textkomentra"/>
    <w:semiHidden/>
    <w:rsid w:val="008B0184"/>
    <w:rPr>
      <w:b/>
      <w:bCs/>
    </w:rPr>
  </w:style>
  <w:style w:type="paragraph" w:styleId="Textbubliny">
    <w:name w:val="Balloon Text"/>
    <w:basedOn w:val="Normlny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Predvolenpsmoodseku"/>
    <w:rsid w:val="00F06842"/>
    <w:rPr>
      <w:u w:val="single"/>
    </w:rPr>
  </w:style>
  <w:style w:type="paragraph" w:customStyle="1" w:styleId="ElsevierBodyTextCentredNospace">
    <w:name w:val="Elsevier Body Text Centred No space"/>
    <w:basedOn w:val="Normlny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DB3E5B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AE7FBB"/>
    <w:rPr>
      <w:color w:val="666666"/>
    </w:rPr>
  </w:style>
  <w:style w:type="paragraph" w:styleId="Revzia">
    <w:name w:val="Revision"/>
    <w:hidden/>
    <w:uiPriority w:val="99"/>
    <w:semiHidden/>
    <w:rsid w:val="00865D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ma.haydary@stuba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0</TotalTime>
  <Pages>6</Pages>
  <Words>2248</Words>
  <Characters>12817</Characters>
  <Application>Microsoft Office Word</Application>
  <DocSecurity>0</DocSecurity>
  <Lines>106</Lines>
  <Paragraphs>30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Juma Haydary</cp:lastModifiedBy>
  <cp:revision>2</cp:revision>
  <cp:lastPrinted>2004-12-17T09:20:00Z</cp:lastPrinted>
  <dcterms:created xsi:type="dcterms:W3CDTF">2023-12-18T12:46:00Z</dcterms:created>
  <dcterms:modified xsi:type="dcterms:W3CDTF">2023-12-18T12:46:00Z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