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2D9A43D7" w:rsidR="00DD3D9E" w:rsidRPr="00B4388F" w:rsidRDefault="00251F94">
      <w:pPr>
        <w:pStyle w:val="Els-Title"/>
        <w:rPr>
          <w:color w:val="000000" w:themeColor="text1"/>
        </w:rPr>
      </w:pPr>
      <w:r w:rsidRPr="00251F94">
        <w:rPr>
          <w:color w:val="000000" w:themeColor="text1"/>
        </w:rPr>
        <w:t>Improving styrene polymerization through a commercial simulation software</w:t>
      </w:r>
      <w:r w:rsidR="00C9469D">
        <w:rPr>
          <w:color w:val="000000" w:themeColor="text1"/>
        </w:rPr>
        <w:t xml:space="preserve"> </w:t>
      </w:r>
    </w:p>
    <w:p w14:paraId="144DE680" w14:textId="4E93BC1C" w:rsidR="00DD3D9E" w:rsidRPr="001775E4" w:rsidRDefault="001775E4">
      <w:pPr>
        <w:pStyle w:val="Els-Author"/>
        <w:rPr>
          <w:lang w:val="pt-BR"/>
        </w:rPr>
      </w:pPr>
      <w:r w:rsidRPr="001775E4">
        <w:rPr>
          <w:lang w:val="pt-BR"/>
        </w:rPr>
        <w:t>Jeorge L. S. Amaral,</w:t>
      </w:r>
      <w:r w:rsidRPr="003B4F55">
        <w:rPr>
          <w:vertAlign w:val="superscript"/>
          <w:lang w:val="pt-BR"/>
        </w:rPr>
        <w:t>a</w:t>
      </w:r>
      <w:r>
        <w:rPr>
          <w:lang w:val="pt-BR"/>
        </w:rPr>
        <w:t xml:space="preserve"> </w:t>
      </w:r>
      <w:r w:rsidR="003B4F55" w:rsidRPr="003B4F55">
        <w:rPr>
          <w:lang w:val="pt-BR"/>
        </w:rPr>
        <w:t>Rodrigo Battisti</w:t>
      </w:r>
      <w:r w:rsidR="003B4F55">
        <w:rPr>
          <w:lang w:val="pt-BR"/>
        </w:rPr>
        <w:t>,</w:t>
      </w:r>
      <w:r w:rsidR="003B4F55" w:rsidRPr="00E401A4">
        <w:rPr>
          <w:vertAlign w:val="superscript"/>
          <w:lang w:val="pt-BR"/>
        </w:rPr>
        <w:t>b</w:t>
      </w:r>
      <w:r w:rsidR="008A6ACE">
        <w:rPr>
          <w:vertAlign w:val="superscript"/>
          <w:lang w:val="pt-BR"/>
        </w:rPr>
        <w:t>*</w:t>
      </w:r>
      <w:r w:rsidR="003B4F55">
        <w:rPr>
          <w:lang w:val="pt-BR"/>
        </w:rPr>
        <w:t xml:space="preserve"> </w:t>
      </w:r>
      <w:r w:rsidR="00E1656C" w:rsidRPr="00E1656C">
        <w:rPr>
          <w:lang w:val="pt-BR"/>
        </w:rPr>
        <w:t>Ricardo A. F. Machado</w:t>
      </w:r>
      <w:r w:rsidR="00E1656C">
        <w:rPr>
          <w:lang w:val="pt-BR"/>
        </w:rPr>
        <w:t>,</w:t>
      </w:r>
      <w:r w:rsidR="00E1656C" w:rsidRPr="00011640">
        <w:rPr>
          <w:vertAlign w:val="superscript"/>
          <w:lang w:val="pt-BR"/>
        </w:rPr>
        <w:t>a</w:t>
      </w:r>
      <w:r w:rsidR="00E1656C">
        <w:rPr>
          <w:lang w:val="pt-BR"/>
        </w:rPr>
        <w:t xml:space="preserve"> </w:t>
      </w:r>
      <w:r w:rsidR="00011640" w:rsidRPr="00011640">
        <w:rPr>
          <w:lang w:val="pt-BR"/>
        </w:rPr>
        <w:t>Cintia Marangoni</w:t>
      </w:r>
      <w:r w:rsidR="00011640" w:rsidRPr="00011640">
        <w:rPr>
          <w:vertAlign w:val="superscript"/>
          <w:lang w:val="pt-BR"/>
        </w:rPr>
        <w:t>a</w:t>
      </w:r>
      <w:r w:rsidRPr="001775E4">
        <w:rPr>
          <w:lang w:val="pt-BR"/>
        </w:rPr>
        <w:t xml:space="preserve"> </w:t>
      </w:r>
    </w:p>
    <w:p w14:paraId="05DCB64F" w14:textId="1C814EB9" w:rsidR="004A4A1E" w:rsidRDefault="004A4A1E">
      <w:pPr>
        <w:pStyle w:val="Els-Affiliation"/>
      </w:pPr>
      <w:r w:rsidRPr="004A4A1E">
        <w:rPr>
          <w:vertAlign w:val="superscript"/>
        </w:rPr>
        <w:t>a</w:t>
      </w:r>
      <w:r w:rsidR="0012732A" w:rsidRPr="0012732A">
        <w:t>Department of Chemical Engineering</w:t>
      </w:r>
      <w:r w:rsidRPr="004A4A1E">
        <w:t>, Federal University of Santa Catarina</w:t>
      </w:r>
      <w:r w:rsidR="00C70D2B">
        <w:t xml:space="preserve"> (UFSC)</w:t>
      </w:r>
      <w:r w:rsidRPr="004A4A1E">
        <w:t>,</w:t>
      </w:r>
      <w:r>
        <w:t xml:space="preserve"> </w:t>
      </w:r>
      <w:r w:rsidRPr="004A4A1E">
        <w:t xml:space="preserve">Florianópolis, </w:t>
      </w:r>
      <w:r w:rsidR="008E0810" w:rsidRPr="008E0810">
        <w:t>88040-900</w:t>
      </w:r>
      <w:r w:rsidR="008E0810">
        <w:t xml:space="preserve">, </w:t>
      </w:r>
      <w:r w:rsidRPr="004A4A1E">
        <w:t xml:space="preserve">Brazil </w:t>
      </w:r>
    </w:p>
    <w:p w14:paraId="2D1B7AD9" w14:textId="42AAB762" w:rsidR="00C438B1" w:rsidRDefault="00C70D2B">
      <w:pPr>
        <w:pStyle w:val="Els-Affiliation"/>
      </w:pPr>
      <w:r w:rsidRPr="00C70D2B">
        <w:rPr>
          <w:vertAlign w:val="superscript"/>
        </w:rPr>
        <w:t>b</w:t>
      </w:r>
      <w:r w:rsidRPr="00C70D2B">
        <w:t xml:space="preserve">Federal Institute of Education, Science and Technology of Santa Catarina (IFSC), Criciúma, </w:t>
      </w:r>
      <w:r w:rsidR="005E48E7" w:rsidRPr="005E48E7">
        <w:t>88813-600</w:t>
      </w:r>
      <w:r w:rsidR="005E48E7">
        <w:t xml:space="preserve">, </w:t>
      </w:r>
      <w:r w:rsidRPr="00C70D2B">
        <w:t>Brazil</w:t>
      </w:r>
    </w:p>
    <w:p w14:paraId="144DE683" w14:textId="39ACB4E5" w:rsidR="008D2649" w:rsidRPr="00A94774" w:rsidRDefault="005528A4" w:rsidP="008D2649">
      <w:pPr>
        <w:pStyle w:val="Els-Affiliation"/>
        <w:spacing w:after="120"/>
      </w:pPr>
      <w:r w:rsidRPr="005528A4">
        <w:t>rodrigo.battisti@ifsc.edu.br</w:t>
      </w:r>
    </w:p>
    <w:p w14:paraId="144DE684" w14:textId="77777777" w:rsidR="008D2649" w:rsidRDefault="008D2649" w:rsidP="008D2649">
      <w:pPr>
        <w:pStyle w:val="Els-Abstract"/>
      </w:pPr>
      <w:r>
        <w:t>Abstract</w:t>
      </w:r>
    </w:p>
    <w:p w14:paraId="144DE686" w14:textId="7BADC422" w:rsidR="008D2649" w:rsidRDefault="00B67C58" w:rsidP="008D2649">
      <w:pPr>
        <w:pStyle w:val="Els-body-text"/>
        <w:spacing w:after="120"/>
        <w:rPr>
          <w:lang w:val="en-GB"/>
        </w:rPr>
      </w:pPr>
      <w:r w:rsidRPr="00B67C58">
        <w:rPr>
          <w:lang w:val="en-GB"/>
        </w:rPr>
        <w:t xml:space="preserve">The polymerization and impregnation of Expandable Polystyrene (EPS) requires very long batch cycles when compared to other polymerization processes. </w:t>
      </w:r>
      <w:r w:rsidR="006742FF">
        <w:rPr>
          <w:lang w:val="en-GB"/>
        </w:rPr>
        <w:t>U</w:t>
      </w:r>
      <w:r w:rsidRPr="00B67C58">
        <w:rPr>
          <w:lang w:val="en-GB"/>
        </w:rPr>
        <w:t xml:space="preserve">nderstanding the polymerization processes </w:t>
      </w:r>
      <w:r w:rsidR="006742FF">
        <w:rPr>
          <w:lang w:val="en-GB"/>
        </w:rPr>
        <w:t>could</w:t>
      </w:r>
      <w:r w:rsidRPr="00B67C58">
        <w:rPr>
          <w:lang w:val="en-GB"/>
        </w:rPr>
        <w:t xml:space="preserve"> be facilitated </w:t>
      </w:r>
      <w:r w:rsidR="00B32631" w:rsidRPr="00B67C58">
        <w:rPr>
          <w:lang w:val="en-GB"/>
        </w:rPr>
        <w:t>using</w:t>
      </w:r>
      <w:r w:rsidRPr="00B67C58">
        <w:rPr>
          <w:lang w:val="en-GB"/>
        </w:rPr>
        <w:t xml:space="preserve"> mathematical modeling</w:t>
      </w:r>
      <w:r w:rsidR="006742FF">
        <w:rPr>
          <w:lang w:val="en-GB"/>
        </w:rPr>
        <w:t xml:space="preserve"> and simulation</w:t>
      </w:r>
      <w:r w:rsidRPr="00B67C58">
        <w:rPr>
          <w:lang w:val="en-GB"/>
        </w:rPr>
        <w:t>. However, the use of commercial simulators is still underexplored because of some limitations presented since th</w:t>
      </w:r>
      <w:r w:rsidR="00E11C0A">
        <w:rPr>
          <w:lang w:val="en-GB"/>
        </w:rPr>
        <w:t>e</w:t>
      </w:r>
      <w:r w:rsidRPr="00B67C58">
        <w:rPr>
          <w:lang w:val="en-GB"/>
        </w:rPr>
        <w:t>s</w:t>
      </w:r>
      <w:r w:rsidR="00E11C0A">
        <w:rPr>
          <w:lang w:val="en-GB"/>
        </w:rPr>
        <w:t>e</w:t>
      </w:r>
      <w:r w:rsidRPr="00B67C58">
        <w:rPr>
          <w:lang w:val="en-GB"/>
        </w:rPr>
        <w:t xml:space="preserve"> type</w:t>
      </w:r>
      <w:r w:rsidR="00E11C0A">
        <w:rPr>
          <w:lang w:val="en-GB"/>
        </w:rPr>
        <w:t>s</w:t>
      </w:r>
      <w:r w:rsidRPr="00B67C58">
        <w:rPr>
          <w:lang w:val="en-GB"/>
        </w:rPr>
        <w:t xml:space="preserve"> of </w:t>
      </w:r>
      <w:r w:rsidR="00E11C0A" w:rsidRPr="00B67C58">
        <w:rPr>
          <w:lang w:val="en-GB"/>
        </w:rPr>
        <w:t>software</w:t>
      </w:r>
      <w:r w:rsidRPr="00B67C58">
        <w:rPr>
          <w:lang w:val="en-GB"/>
        </w:rPr>
        <w:t xml:space="preserve"> tend to be more a </w:t>
      </w:r>
      <w:r w:rsidR="00E11C0A" w:rsidRPr="00B67C58">
        <w:rPr>
          <w:lang w:val="en-GB"/>
        </w:rPr>
        <w:t>generalist</w:t>
      </w:r>
      <w:r w:rsidRPr="00B67C58">
        <w:rPr>
          <w:lang w:val="en-GB"/>
        </w:rPr>
        <w:t xml:space="preserve"> tool. Thus, the objective of this work is </w:t>
      </w:r>
      <w:r w:rsidR="00E11C0A">
        <w:rPr>
          <w:lang w:val="en-GB"/>
        </w:rPr>
        <w:t>i</w:t>
      </w:r>
      <w:r w:rsidR="00E11C0A" w:rsidRPr="00E11C0A">
        <w:rPr>
          <w:lang w:val="en-GB"/>
        </w:rPr>
        <w:t>mproving</w:t>
      </w:r>
      <w:r w:rsidRPr="00B67C58">
        <w:rPr>
          <w:lang w:val="en-GB"/>
        </w:rPr>
        <w:t xml:space="preserve"> the simulation of styrene polymerization using the Aspen Plus</w:t>
      </w:r>
      <w:r w:rsidRPr="002F2BBE">
        <w:rPr>
          <w:vertAlign w:val="superscript"/>
          <w:lang w:val="en-GB"/>
        </w:rPr>
        <w:t>®</w:t>
      </w:r>
      <w:r w:rsidRPr="00B67C58">
        <w:rPr>
          <w:lang w:val="en-GB"/>
        </w:rPr>
        <w:t xml:space="preserve"> commercial software</w:t>
      </w:r>
      <w:r w:rsidR="00CD555C">
        <w:rPr>
          <w:lang w:val="en-GB"/>
        </w:rPr>
        <w:t xml:space="preserve"> </w:t>
      </w:r>
      <w:r w:rsidR="00666119" w:rsidRPr="00666119">
        <w:rPr>
          <w:lang w:val="en-GB"/>
        </w:rPr>
        <w:t>modified with user-implemented correlations</w:t>
      </w:r>
      <w:r w:rsidRPr="00B67C58">
        <w:rPr>
          <w:lang w:val="en-GB"/>
        </w:rPr>
        <w:t>.</w:t>
      </w:r>
      <w:r w:rsidR="00A52AD7">
        <w:rPr>
          <w:lang w:val="en-GB"/>
        </w:rPr>
        <w:t xml:space="preserve"> </w:t>
      </w:r>
      <w:r w:rsidRPr="00B67C58">
        <w:rPr>
          <w:lang w:val="en-GB"/>
        </w:rPr>
        <w:t>The free-radical polymerization kinetics was implemented, and experimental data from the literature were used to evaluate the performance of the simulation, using the standard correlation for the gel effect and with the proposed modified correlation, which was</w:t>
      </w:r>
      <w:r w:rsidR="0007732F" w:rsidRPr="0007732F">
        <w:rPr>
          <w:lang w:val="en-GB"/>
        </w:rPr>
        <w:t xml:space="preserve"> implemented</w:t>
      </w:r>
      <w:r w:rsidRPr="00B67C58">
        <w:rPr>
          <w:lang w:val="en-GB"/>
        </w:rPr>
        <w:t xml:space="preserve"> by user-model routines</w:t>
      </w:r>
      <w:r w:rsidR="0007732F">
        <w:rPr>
          <w:lang w:val="en-GB"/>
        </w:rPr>
        <w:t>,</w:t>
      </w:r>
      <w:r w:rsidRPr="00B67C58">
        <w:rPr>
          <w:lang w:val="en-GB"/>
        </w:rPr>
        <w:t xml:space="preserve"> considering the incorporation of the impregnating agent (</w:t>
      </w:r>
      <w:r w:rsidRPr="0007732F">
        <w:rPr>
          <w:i/>
          <w:iCs/>
          <w:lang w:val="en-GB"/>
        </w:rPr>
        <w:t>n</w:t>
      </w:r>
      <w:r w:rsidRPr="00B67C58">
        <w:rPr>
          <w:lang w:val="en-GB"/>
        </w:rPr>
        <w:t xml:space="preserve">-pentane) in the polymeric matrix. The implemented user models for the gel effect enabled a </w:t>
      </w:r>
      <w:r w:rsidR="0045708D">
        <w:rPr>
          <w:lang w:val="en-GB"/>
        </w:rPr>
        <w:t>better</w:t>
      </w:r>
      <w:r w:rsidRPr="00B67C58">
        <w:rPr>
          <w:lang w:val="en-GB"/>
        </w:rPr>
        <w:t xml:space="preserve"> representation of the experimental data, with minor errors from the </w:t>
      </w:r>
      <w:r w:rsidR="0045708D">
        <w:rPr>
          <w:lang w:val="en-GB"/>
        </w:rPr>
        <w:t>literature</w:t>
      </w:r>
      <w:r w:rsidRPr="00B67C58">
        <w:rPr>
          <w:lang w:val="en-GB"/>
        </w:rPr>
        <w:t>. The prediction average errors of the modified model for the gel effect are five times less than for the other models</w:t>
      </w:r>
      <w:r w:rsidR="006728F3">
        <w:rPr>
          <w:lang w:val="en-GB"/>
        </w:rPr>
        <w:t>. B</w:t>
      </w:r>
      <w:r w:rsidRPr="00B67C58">
        <w:rPr>
          <w:lang w:val="en-GB"/>
        </w:rPr>
        <w:t xml:space="preserve">esides the mean-square deviation is of the order of 10 times smaller in relation to the models without the gel effect and </w:t>
      </w:r>
      <w:r w:rsidR="00425402">
        <w:rPr>
          <w:lang w:val="en-GB"/>
        </w:rPr>
        <w:t xml:space="preserve">the </w:t>
      </w:r>
      <w:r w:rsidRPr="00B67C58">
        <w:rPr>
          <w:lang w:val="en-GB"/>
        </w:rPr>
        <w:t xml:space="preserve">standard. Thus, the user-model correlations implemented in the </w:t>
      </w:r>
      <w:r w:rsidR="00785EF4" w:rsidRPr="00B67C58">
        <w:rPr>
          <w:lang w:val="en-GB"/>
        </w:rPr>
        <w:t>Aspen Plus</w:t>
      </w:r>
      <w:r w:rsidR="00785EF4" w:rsidRPr="002F2BBE">
        <w:rPr>
          <w:vertAlign w:val="superscript"/>
          <w:lang w:val="en-GB"/>
        </w:rPr>
        <w:t>®</w:t>
      </w:r>
      <w:r w:rsidR="00785EF4" w:rsidRPr="00B67C58">
        <w:rPr>
          <w:lang w:val="en-GB"/>
        </w:rPr>
        <w:t xml:space="preserve"> </w:t>
      </w:r>
      <w:r w:rsidRPr="00B67C58">
        <w:rPr>
          <w:lang w:val="en-GB"/>
        </w:rPr>
        <w:t>commercial software</w:t>
      </w:r>
      <w:r w:rsidR="00FB76E2">
        <w:rPr>
          <w:lang w:val="en-GB"/>
        </w:rPr>
        <w:t xml:space="preserve"> can</w:t>
      </w:r>
      <w:r w:rsidRPr="00B67C58">
        <w:rPr>
          <w:lang w:val="en-GB"/>
        </w:rPr>
        <w:t xml:space="preserve"> enable the investigation of process variables that would hardly be investigated experimentally, being a versatile tool for the study of </w:t>
      </w:r>
      <w:r w:rsidR="00CF5793">
        <w:rPr>
          <w:lang w:val="en-GB"/>
        </w:rPr>
        <w:t>e</w:t>
      </w:r>
      <w:r w:rsidR="00CF5793" w:rsidRPr="00B67C58">
        <w:rPr>
          <w:lang w:val="en-GB"/>
        </w:rPr>
        <w:t xml:space="preserve">xpandable </w:t>
      </w:r>
      <w:r w:rsidRPr="00B67C58">
        <w:rPr>
          <w:lang w:val="en-GB"/>
        </w:rPr>
        <w:t>polystyrene synthesis process</w:t>
      </w:r>
      <w:r w:rsidR="00FB427F">
        <w:rPr>
          <w:lang w:val="en-GB"/>
        </w:rPr>
        <w:t>.</w:t>
      </w:r>
    </w:p>
    <w:p w14:paraId="144DE687" w14:textId="29843717" w:rsidR="008D2649" w:rsidRDefault="008D2649" w:rsidP="008D2649">
      <w:pPr>
        <w:pStyle w:val="Els-body-text"/>
        <w:spacing w:after="120"/>
        <w:rPr>
          <w:lang w:val="en-GB"/>
        </w:rPr>
      </w:pPr>
      <w:r>
        <w:rPr>
          <w:b/>
          <w:bCs/>
          <w:lang w:val="en-GB"/>
        </w:rPr>
        <w:t>Keywords</w:t>
      </w:r>
      <w:r>
        <w:rPr>
          <w:lang w:val="en-GB"/>
        </w:rPr>
        <w:t xml:space="preserve">: </w:t>
      </w:r>
      <w:r w:rsidR="001B0DC1">
        <w:rPr>
          <w:lang w:val="en-GB"/>
        </w:rPr>
        <w:t>S</w:t>
      </w:r>
      <w:r w:rsidR="00BD7805" w:rsidRPr="00BD7805">
        <w:rPr>
          <w:lang w:val="en-GB"/>
        </w:rPr>
        <w:t>uspension polymerization, polystyrene, blowing agent, user-model routines</w:t>
      </w:r>
      <w:r>
        <w:rPr>
          <w:lang w:val="en-GB"/>
        </w:rPr>
        <w:t>.</w:t>
      </w:r>
    </w:p>
    <w:p w14:paraId="144DE689" w14:textId="0FB7727F" w:rsidR="008D2649" w:rsidRDefault="007A78A0" w:rsidP="008D2649">
      <w:pPr>
        <w:pStyle w:val="Els-1storder-head"/>
      </w:pPr>
      <w:r w:rsidRPr="007A78A0">
        <w:t>Introduction</w:t>
      </w:r>
    </w:p>
    <w:p w14:paraId="77270917" w14:textId="01076BDE" w:rsidR="00583DC0" w:rsidRDefault="00583DC0" w:rsidP="00583DC0">
      <w:pPr>
        <w:pStyle w:val="Els-body-text"/>
      </w:pPr>
      <w:r>
        <w:t xml:space="preserve">Polystyrene is a thermoplastic widely used worldwide and has been extensively studied in recent decades. Achieving improvements in polymerization processes is necessary </w:t>
      </w:r>
      <w:r w:rsidR="003A71D2">
        <w:t>and, in this sense,</w:t>
      </w:r>
      <w:r>
        <w:t xml:space="preserve"> the study of new initiators and suspending agents – often expensive and difficult to obtain – is recurrent</w:t>
      </w:r>
      <w:r w:rsidR="00D470A5">
        <w:t xml:space="preserve"> </w:t>
      </w:r>
      <w:r w:rsidR="008A2128">
        <w:fldChar w:fldCharType="begin" w:fldLock="1"/>
      </w:r>
      <w:r w:rsidR="007E6C5B">
        <w:instrText>ADDIN CSL_CITATION {"citationItems":[{"id":"ITEM-1","itemData":{"DOI":"10.1016/B978-0-444-63428-3.50373-8","ISSN":"1570-7946","abstract":"Miniemulsion polymerization is a new challenge on the universe of polymerization. It has been extensively studied in the last decade due to its advantages when compared with conventional emulsion polymerization. New improvements on the process knowledge are welcome to give a better understanding of the process. Therefore, a good representative model is an important tool to improve fundamental knowledge and to reduce the time required to process developments. The scope of this work is the development of a detailed model for the miniemulsion polymerization process and its validation with experimental data. The mathematical model consists of representative phenomenological equations with parameters that should be estimated based on experimental data. The model development was based on previous literature work with some modifications and implementations to account for the kinetics and associate physical-chemical phenomena observed in the experimental data for the studied formulation.","author":[{"dropping-particle":"","family":"Ambrogi","given":"Paula M N","non-dropping-particle":"","parse-names":false,"suffix":""},{"dropping-particle":"","family":"Colmán","given":"Maria Magdalena E","non-dropping-particle":"","parse-names":false,"suffix":""},{"dropping-particle":"","family":"Giudici","given":"Reinaldo","non-dropping-particle":"","parse-names":false,"suffix":""}],"collection-title":"Computer Aided Chemical Engineering","container-title":"26th European Symposium on Computer Aided Process Engineering","editor":[{"dropping-particle":"","family":"Kravanja","given":"Zdravko","non-dropping-particle":"","parse-names":false,"suffix":""},{"dropping-particle":"","family":"Bogataj","given":"Miloš","non-dropping-particle":"","parse-names":false,"suffix":""}],"id":"ITEM-1","issued":{"date-parts":[["2016"]]},"page":"2211-2216","publisher":"Elsevier","title":"Modelling, simulation and experimental validation for styrene miniemulsion polymerization process","type":"chapter","volume":"38"},"uris":["http://www.mendeley.com/documents/?uuid=487e9596-25af-4928-a615-2db334685661"]}],"mendeley":{"formattedCitation":"(Ambrogi et al., 2016)","plainTextFormattedCitation":"(Ambrogi et al., 2016)","previouslyFormattedCitation":"(Ambrogi et al., 2016)"},"properties":{"noteIndex":0},"schema":"https://github.com/citation-style-language/schema/raw/master/csl-citation.json"}</w:instrText>
      </w:r>
      <w:r w:rsidR="008A2128">
        <w:fldChar w:fldCharType="separate"/>
      </w:r>
      <w:r w:rsidR="008A2128" w:rsidRPr="008A2128">
        <w:rPr>
          <w:noProof/>
        </w:rPr>
        <w:t>(Ambrogi et al., 2016)</w:t>
      </w:r>
      <w:r w:rsidR="008A2128">
        <w:fldChar w:fldCharType="end"/>
      </w:r>
      <w:r>
        <w:t>. With the same aim, the manipulation of process variables and parameters is an economical alternative for optimizing such polymeric systems, bringing</w:t>
      </w:r>
      <w:r w:rsidR="00E87413">
        <w:t xml:space="preserve"> </w:t>
      </w:r>
      <w:r>
        <w:t xml:space="preserve">considerable reductions in batch cycles without harm or changes to the properties of the </w:t>
      </w:r>
      <w:r w:rsidR="00E87413">
        <w:t xml:space="preserve">produced </w:t>
      </w:r>
      <w:r>
        <w:t xml:space="preserve">polymer, </w:t>
      </w:r>
      <w:r w:rsidR="00BF0FBC">
        <w:t>and</w:t>
      </w:r>
      <w:r>
        <w:t xml:space="preserve"> without the need to introduce new reagents to the original formulation</w:t>
      </w:r>
      <w:r w:rsidR="00F04AA0">
        <w:t xml:space="preserve"> </w:t>
      </w:r>
      <w:r w:rsidR="00F04AA0">
        <w:fldChar w:fldCharType="begin" w:fldLock="1"/>
      </w:r>
      <w:r w:rsidR="00065A47">
        <w:instrText>ADDIN CSL_CITATION {"citationItems":[{"id":"ITEM-1","itemData":{"DOI":"10.1016/j.ces.2006.03.018","ISSN":"0009-2509","abstract":"A mathematical model for free radical polymerizations initiated by tetrafunctional initiators is described in detail with comparisons to experimental results. Reactions involving the fate/efficiency of functional groups are properly accounted for, while in the past, kinetic models for difunctional initiators found in the literature have ignored this. Free volume theory is used to describe the diffusion-controlled regime. Based on model predictions, multi-radical concentrations were estimated to be several orders of magnitude smaller than mono-radical concentrations. Through various case studies, the model was able to demonstrate that the concentration and chain length of various polymer structures (i.e., linear, star or coupled stars) depend upon monomer type and reaction conditions. The model was found to be useful in explaining experimentally observed differences in the behaviour of a tetrafunctional initiator with styrene compared to methyl methacrylate (MMA). In both cases, higher reaction rates could be obtained when switching from a mono- to a tetrafunctional initiator; however, the influence on molecular weight was found to vary between the two systems. Work with styrene showed similar trends as with difunctional initiators, where the tetrafunctional initiator maintained similar molecular weights compared to a monofunctional initiator. Yet, for MMA, replacing the monofunctional initiator with its tetrafunctional counterpart decreased the molecular weight.","author":[{"dropping-particle":"","family":"Scorah","given":"M J","non-dropping-particle":"","parse-names":false,"suffix":""},{"dropping-particle":"","family":"Dhib","given":"R","non-dropping-particle":"","parse-names":false,"suffix":""},{"dropping-particle":"","family":"Penlidis","given":"A","non-dropping-particle":"","parse-names":false,"suffix":""}],"container-title":"Chemical Engineering Science","id":"ITEM-1","issue":"15","issued":{"date-parts":[["2006"]]},"page":"4827-4859","title":"Modelling of free radical polymerization of styrene and methyl methacrylate by a tetrafunctional initiator","type":"article-journal","volume":"61"},"uris":["http://www.mendeley.com/documents/?uuid=43ec3e29-8dc0-476a-a541-7f0cf545a155"]}],"mendeley":{"formattedCitation":"(Scorah et al., 2006)","plainTextFormattedCitation":"(Scorah et al., 2006)","previouslyFormattedCitation":"(Scorah et al., 2006)"},"properties":{"noteIndex":0},"schema":"https://github.com/citation-style-language/schema/raw/master/csl-citation.json"}</w:instrText>
      </w:r>
      <w:r w:rsidR="00F04AA0">
        <w:fldChar w:fldCharType="separate"/>
      </w:r>
      <w:r w:rsidR="00580D40" w:rsidRPr="00580D40">
        <w:rPr>
          <w:noProof/>
        </w:rPr>
        <w:t>(Scorah et al., 2006)</w:t>
      </w:r>
      <w:r w:rsidR="00F04AA0">
        <w:fldChar w:fldCharType="end"/>
      </w:r>
      <w:r>
        <w:t>.</w:t>
      </w:r>
      <w:r w:rsidR="00BF0FBC">
        <w:t xml:space="preserve"> </w:t>
      </w:r>
      <w:r>
        <w:t xml:space="preserve">Experimental studies have brought great advances in the field of suspension polymerization with the advent of multifunctional initiators and new reactor designs and configurations specific </w:t>
      </w:r>
      <w:r>
        <w:lastRenderedPageBreak/>
        <w:t>to the process. Recent literature has also presented certain alternatives in implementing the continuous production of polymers via suspension polymerization, a process traditionally conducted in batch</w:t>
      </w:r>
      <w:r w:rsidR="00BF0FBC">
        <w:t xml:space="preserve"> cycles</w:t>
      </w:r>
      <w:r>
        <w:t xml:space="preserve">, thus providing the technical and economic advantages inherent to continuous processes </w:t>
      </w:r>
      <w:r w:rsidR="00DF6D25">
        <w:fldChar w:fldCharType="begin" w:fldLock="1"/>
      </w:r>
      <w:r w:rsidR="001D68AE">
        <w:instrText>ADDIN CSL_CITATION {"citationItems":[{"id":"ITEM-1","itemData":{"DOI":"10.1016/j.cej.2014.08.014","ISSN":"1385-8947","abstract":"Reducing energy costs, improving safety, minimizing waste are the current aims of chemical engineering. Process intensification in fine chemistry has been extensively studied but less work refers to heterogeneous reactions involving two liquid phases. This paper focuses on batch to continuous suspension polymerization transposition and especially on the liquid–liquid dispersion step. The main features of suspension polymerization reaction are based on (i) the initial liquid–liquid dispersion requiring a controlled size and narrow distribution and (ii) on the control of the final particle size during the agglomeration step by avoiding fouling which is a bottleneck for continuous flow. For the continuous transposition, liquid–liquid dispersion and reaction studies are carried out in continuous oscillatory baffled reactor (COBR) which is a multipurpose reactor. Its suitability to overcome the bottlenecks is demonstrated through the investigation of the oscillating and flow conditions or the dispersed phase holdup. A controlled droplet size distribution can be achieved. Oscillation is the main parameter responsible for droplet breakage. The suitable conditions to obtain stable dispersion are determined. For one of the first times, COBR is used for suspension polymerization.","author":[{"dropping-particle":"","family":"Lobry","given":"Emeline","non-dropping-particle":"","parse-names":false,"suffix":""},{"dropping-particle":"","family":"Lasuye","given":"Thierry","non-dropping-particle":"","parse-names":false,"suffix":""},{"dropping-particle":"","family":"Gourdon","given":"Christophe","non-dropping-particle":"","parse-names":false,"suffix":""},{"dropping-particle":"","family":"Xuereb","given":"Catherine","non-dropping-particle":"","parse-names":false,"suffix":""}],"container-title":"Chemical Engineering Journal","id":"ITEM-1","issued":{"date-parts":[["2015"]]},"page":"505-518","title":"Liquid–liquid dispersion in a continuous oscillatory baffled reactor – Application to suspension polymerization","type":"article-journal","volume":"259"},"uris":["http://www.mendeley.com/documents/?uuid=7693e0fb-c06d-4512-999a-a40326a4fb88"]}],"mendeley":{"formattedCitation":"(Lobry et al., 2015)","plainTextFormattedCitation":"(Lobry et al., 2015)","previouslyFormattedCitation":"(Lobry et al., 2015)"},"properties":{"noteIndex":0},"schema":"https://github.com/citation-style-language/schema/raw/master/csl-citation.json"}</w:instrText>
      </w:r>
      <w:r w:rsidR="00DF6D25">
        <w:fldChar w:fldCharType="separate"/>
      </w:r>
      <w:r w:rsidR="00DF6D25" w:rsidRPr="00DF6D25">
        <w:rPr>
          <w:noProof/>
        </w:rPr>
        <w:t>(Lobry et al., 2015)</w:t>
      </w:r>
      <w:r w:rsidR="00DF6D25">
        <w:fldChar w:fldCharType="end"/>
      </w:r>
      <w:r>
        <w:t>.</w:t>
      </w:r>
    </w:p>
    <w:p w14:paraId="75DFEB73" w14:textId="128E1E96" w:rsidR="00583DC0" w:rsidRDefault="00583DC0" w:rsidP="00583DC0">
      <w:pPr>
        <w:pStyle w:val="Els-body-text"/>
      </w:pPr>
      <w:r>
        <w:t>Despite the published advances regarding suspension polymerization, there are few studies that specifically deal with the impregnation of the polymer matrix using a blowing agent. Furthermore, these few existing works do not present the investigation of parameters regarding the kinetics and properties of the final product in the presence of the expanding agent</w:t>
      </w:r>
      <w:r w:rsidR="0024267E">
        <w:t xml:space="preserve">. </w:t>
      </w:r>
      <w:r>
        <w:t>The vast majority of work</w:t>
      </w:r>
      <w:r w:rsidR="0024267E">
        <w:t xml:space="preserve">s </w:t>
      </w:r>
      <w:r>
        <w:t>concern</w:t>
      </w:r>
      <w:r w:rsidR="0024267E">
        <w:t>ing</w:t>
      </w:r>
      <w:r>
        <w:t xml:space="preserve"> the impregnation of polystyrene </w:t>
      </w:r>
      <w:r w:rsidR="00765C06">
        <w:t>are</w:t>
      </w:r>
      <w:r>
        <w:t xml:space="preserve"> </w:t>
      </w:r>
      <w:r w:rsidR="00765C06">
        <w:t>experimental</w:t>
      </w:r>
      <w:r>
        <w:t xml:space="preserve">, however, simulation is of paramount importance in the field of polymerization processes, providing low-cost support in decision-making and in the development of new production routes </w:t>
      </w:r>
      <w:r w:rsidR="00286E4D">
        <w:fldChar w:fldCharType="begin" w:fldLock="1"/>
      </w:r>
      <w:r w:rsidR="00D21334">
        <w:instrText>ADDIN CSL_CITATION {"citationItems":[{"id":"ITEM-1","itemData":{"DOI":"10.1590/S0104-66322008000200012","ISSN":"0104-6632","author":[{"dropping-particle":"","family":"Almeida","given":"A S","non-dropping-particle":"","parse-names":false,"suffix":""},{"dropping-particle":"","family":"Wada","given":"K","non-dropping-particle":"","parse-names":false,"suffix":""},{"dropping-particle":"","family":"Secchi","given":"A R","non-dropping-particle":"","parse-names":false,"suffix":""}],"container-title":"Brazilian Journal of Chemical Engineering","id":"ITEM-1","issued":{"date-parts":[["2008"]]},"page":"337-349","publisher":"scielo","title":"Simulation of styrene polymerization reactors: kinetic and thermodynamic modeling","type":"article-journal","volume":"25"},"uris":["http://www.mendeley.com/documents/?uuid=b8e724a7-9fdd-44c0-90ea-d78d9f372616"]}],"mendeley":{"formattedCitation":"(Almeida et al., 2008)","plainTextFormattedCitation":"(Almeida et al., 2008)","previouslyFormattedCitation":"(Almeida et al., 2008)"},"properties":{"noteIndex":0},"schema":"https://github.com/citation-style-language/schema/raw/master/csl-citation.json"}</w:instrText>
      </w:r>
      <w:r w:rsidR="00286E4D">
        <w:fldChar w:fldCharType="separate"/>
      </w:r>
      <w:r w:rsidR="00286E4D" w:rsidRPr="00286E4D">
        <w:rPr>
          <w:noProof/>
        </w:rPr>
        <w:t>(Almeida et al., 2008)</w:t>
      </w:r>
      <w:r w:rsidR="00286E4D">
        <w:fldChar w:fldCharType="end"/>
      </w:r>
      <w:r>
        <w:t>.</w:t>
      </w:r>
    </w:p>
    <w:p w14:paraId="0EB897DE" w14:textId="5CD481F2" w:rsidR="003A71D2" w:rsidRDefault="00583DC0" w:rsidP="003A71D2">
      <w:pPr>
        <w:pStyle w:val="Els-body-text"/>
      </w:pPr>
      <w:r>
        <w:t xml:space="preserve">The </w:t>
      </w:r>
      <w:r w:rsidR="002828F9">
        <w:t>p</w:t>
      </w:r>
      <w:r>
        <w:t xml:space="preserve">article </w:t>
      </w:r>
      <w:r w:rsidR="002828F9">
        <w:t>s</w:t>
      </w:r>
      <w:r>
        <w:t xml:space="preserve">ize </w:t>
      </w:r>
      <w:r w:rsidR="002828F9">
        <w:t>d</w:t>
      </w:r>
      <w:r>
        <w:t>istribution</w:t>
      </w:r>
      <w:r w:rsidR="00020837">
        <w:t xml:space="preserve"> </w:t>
      </w:r>
      <w:r>
        <w:t xml:space="preserve">in the production of polystyrene via suspension polymerization was studied by </w:t>
      </w:r>
      <w:r w:rsidR="00475B37">
        <w:fldChar w:fldCharType="begin" w:fldLock="1"/>
      </w:r>
      <w:r w:rsidR="008608F6">
        <w:instrText>ADDIN CSL_CITATION {"citationItems":[{"id":"ITEM-1","itemData":{"DOI":"10.1590/S0104-66322000000400004","ISSN":"0104-6632","author":[{"dropping-particle":"","family":"Machado","given":"R A F","non-dropping-particle":"","parse-names":false,"suffix":""},{"dropping-particle":"","family":"Pinto","given":"J C","non-dropping-particle":"","parse-names":false,"suffix":""},{"dropping-particle":"","family":"Araújo","given":"P H H","non-dropping-particle":"","parse-names":false,"suffix":""},{"dropping-particle":"","family":"Bolzan","given":"A","non-dropping-particle":"","parse-names":false,"suffix":""}],"container-title":"Brazilian Journal of Chemical Engineering","id":"ITEM-1","issued":{"date-parts":[["2000"]]},"page":"395-407","publisher":"scielo","title":"Mathematical modeling of polystyrene particle size distribution produced by suspension polymerization","type":"article-journal","volume":"17"},"uris":["http://www.mendeley.com/documents/?uuid=c9a40329-e1c0-4bb2-8905-cf61d6ea710c"]}],"mendeley":{"formattedCitation":"(Machado et al., 2000)","manualFormatting":"Machado et al. (2000)","plainTextFormattedCitation":"(Machado et al., 2000)","previouslyFormattedCitation":"(Machado et al., 2000)"},"properties":{"noteIndex":0},"schema":"https://github.com/citation-style-language/schema/raw/master/csl-citation.json"}</w:instrText>
      </w:r>
      <w:r w:rsidR="00475B37">
        <w:fldChar w:fldCharType="separate"/>
      </w:r>
      <w:r w:rsidR="00475B37" w:rsidRPr="00475B37">
        <w:rPr>
          <w:noProof/>
        </w:rPr>
        <w:t>Machado et al.</w:t>
      </w:r>
      <w:r w:rsidR="00475B37">
        <w:rPr>
          <w:noProof/>
        </w:rPr>
        <w:t xml:space="preserve"> (</w:t>
      </w:r>
      <w:r w:rsidR="00475B37" w:rsidRPr="00475B37">
        <w:rPr>
          <w:noProof/>
        </w:rPr>
        <w:t>2000)</w:t>
      </w:r>
      <w:r w:rsidR="00475B37">
        <w:fldChar w:fldCharType="end"/>
      </w:r>
      <w:r>
        <w:t xml:space="preserve">. From the population balance equation, a model was proposed to describe the evolution of </w:t>
      </w:r>
      <w:r w:rsidR="00020837">
        <w:t>the particle size distribution</w:t>
      </w:r>
      <w:r>
        <w:t xml:space="preserve">, and </w:t>
      </w:r>
      <w:r w:rsidR="00020837">
        <w:t>the model</w:t>
      </w:r>
      <w:r>
        <w:t xml:space="preserve"> was validated with experimental data.</w:t>
      </w:r>
      <w:r w:rsidR="00FB0BE1">
        <w:t xml:space="preserve"> </w:t>
      </w:r>
      <w:r>
        <w:t xml:space="preserve">The modeling and simulation of the </w:t>
      </w:r>
      <w:r w:rsidR="00020837">
        <w:t xml:space="preserve">styrene </w:t>
      </w:r>
      <w:r>
        <w:t>free</w:t>
      </w:r>
      <w:r w:rsidR="00020837">
        <w:t>-</w:t>
      </w:r>
      <w:r>
        <w:t>radical polymerization</w:t>
      </w:r>
      <w:r w:rsidR="00020837">
        <w:t xml:space="preserve"> </w:t>
      </w:r>
      <w:r>
        <w:t xml:space="preserve">in semi-batch was investigated by </w:t>
      </w:r>
      <w:r w:rsidR="008608F6">
        <w:fldChar w:fldCharType="begin" w:fldLock="1"/>
      </w:r>
      <w:r w:rsidR="00C573DA">
        <w:instrText>ADDIN CSL_CITATION {"citationItems":[{"id":"ITEM-1","itemData":{"DOI":"10.2478/BF02479259","ISSN":"1644-3624","abstract":"The first part of this approach is concerned with the elaboration of a radical polymerization model of styrenne, based on a kinetic diagram that includes chemical and thermal initiation, propagation, termination by recombination and chain transfer to the monomer. Furthermore, volume contraction during polymerization is considered, as well as the gel and glass effects. The mathematical formalism that describes the model in terms of moments is explored in detail. The model was then used to predict the changes in monomer conversion and molecular weight after intermediate addition of initiator and monomer. The results of this operation are dependent on the conditions of the reaction mass, quantity, and moment of substance addition. Therefore, the simulations were performed at different times with respect to the gel effect; before, during and after this phenomenon, and also with respect to different temperatures and initiators. Increasing the initiator concentration before the gel effect leads to an earlier appearance of the phenomenon and to a decrease in molecular weight. The ratio$$\\bar M_w /\\bar M_n $$reveals a polydispersity index smaller for the intermediate addition of initiator. No significant changes take place during or after the gel effect. If along with the initiator, unreacted monomver (used to dissolve the initiator) enters the reactor, a small dip in conversion is observed. The general conclusion of this paper reveals the intermediate addition of initiator as a method to control polymer properties and to prevent the “dead-end” polymerization of styrene.","author":[{"dropping-particle":"","family":"Curteanu","given":"Silvia","non-dropping-particle":"","parse-names":false,"suffix":""}],"container-title":"Central European Journal of Chemistry","id":"ITEM-1","issue":"1","issued":{"date-parts":[["2003"]]},"page":"69-90","title":"Modeling and simulation of free radical polymerization of styrene under semibatch reactor conditions","type":"article-journal","volume":"1"},"uris":["http://www.mendeley.com/documents/?uuid=e36ab6f0-09ff-436f-b4f7-b2b3540aa469"]}],"mendeley":{"formattedCitation":"(Curteanu, 2003)","manualFormatting":"Curteanu (2003)","plainTextFormattedCitation":"(Curteanu, 2003)","previouslyFormattedCitation":"(Curteanu, 2003)"},"properties":{"noteIndex":0},"schema":"https://github.com/citation-style-language/schema/raw/master/csl-citation.json"}</w:instrText>
      </w:r>
      <w:r w:rsidR="008608F6">
        <w:fldChar w:fldCharType="separate"/>
      </w:r>
      <w:r w:rsidR="008608F6" w:rsidRPr="008608F6">
        <w:rPr>
          <w:noProof/>
        </w:rPr>
        <w:t>Curteanu</w:t>
      </w:r>
      <w:r w:rsidR="008608F6">
        <w:rPr>
          <w:noProof/>
        </w:rPr>
        <w:t xml:space="preserve"> (</w:t>
      </w:r>
      <w:r w:rsidR="008608F6" w:rsidRPr="008608F6">
        <w:rPr>
          <w:noProof/>
        </w:rPr>
        <w:t>2003)</w:t>
      </w:r>
      <w:r w:rsidR="008608F6">
        <w:fldChar w:fldCharType="end"/>
      </w:r>
      <w:r>
        <w:t>. The study led to conclusions regarding the intermediate addition of initiator as a method of controlling polymer properties.</w:t>
      </w:r>
      <w:r w:rsidR="00FB0BE1">
        <w:t xml:space="preserve"> </w:t>
      </w:r>
      <w:r w:rsidR="00C573DA">
        <w:fldChar w:fldCharType="begin" w:fldLock="1"/>
      </w:r>
      <w:r w:rsidR="00D21334">
        <w:instrText>ADDIN CSL_CITATION {"citationItems":[{"id":"ITEM-1","itemData":{"DOI":"10.1590/S0104-66322008000200012","ISSN":"0104-6632","author":[{"dropping-particle":"","family":"Almeida","given":"A S","non-dropping-particle":"","parse-names":false,"suffix":""},{"dropping-particle":"","family":"Wada","given":"K","non-dropping-particle":"","parse-names":false,"suffix":""},{"dropping-particle":"","family":"Secchi","given":"A R","non-dropping-particle":"","parse-names":false,"suffix":""}],"container-title":"Brazilian Journal of Chemical Engineering","id":"ITEM-1","issued":{"date-parts":[["2008"]]},"page":"337-349","publisher":"scielo","title":"Simulation of styrene polymerization reactors: kinetic and thermodynamic modeling","type":"article-journal","volume":"25"},"uris":["http://www.mendeley.com/documents/?uuid=b8e724a7-9fdd-44c0-90ea-d78d9f372616"]}],"mendeley":{"formattedCitation":"(Almeida et al., 2008)","manualFormatting":"Almeida et al. (2008)","plainTextFormattedCitation":"(Almeida et al., 2008)","previouslyFormattedCitation":"(Almeida et al., 2008)"},"properties":{"noteIndex":0},"schema":"https://github.com/citation-style-language/schema/raw/master/csl-citation.json"}</w:instrText>
      </w:r>
      <w:r w:rsidR="00C573DA">
        <w:fldChar w:fldCharType="separate"/>
      </w:r>
      <w:r w:rsidR="00C573DA" w:rsidRPr="00286E4D">
        <w:rPr>
          <w:noProof/>
        </w:rPr>
        <w:t>Almeida et al.</w:t>
      </w:r>
      <w:r w:rsidR="00C573DA">
        <w:rPr>
          <w:noProof/>
        </w:rPr>
        <w:t xml:space="preserve"> (</w:t>
      </w:r>
      <w:r w:rsidR="00C573DA" w:rsidRPr="00286E4D">
        <w:rPr>
          <w:noProof/>
        </w:rPr>
        <w:t>2008)</w:t>
      </w:r>
      <w:r w:rsidR="00C573DA">
        <w:fldChar w:fldCharType="end"/>
      </w:r>
      <w:r w:rsidR="003A71D2">
        <w:t xml:space="preserve"> developed a model for predicting the stationary and dynamic behavior of a continuous styrene polymerization process. The main parameters were estimated from data </w:t>
      </w:r>
      <w:r w:rsidR="00A92B08">
        <w:t>of</w:t>
      </w:r>
      <w:r w:rsidR="003A71D2">
        <w:t xml:space="preserve"> an industrial plant.</w:t>
      </w:r>
      <w:r w:rsidR="00FB0BE1">
        <w:t xml:space="preserve"> </w:t>
      </w:r>
      <w:r w:rsidR="003A71D2">
        <w:t xml:space="preserve">To study the physical properties of polystyrene, </w:t>
      </w:r>
      <w:r w:rsidR="00C573DA">
        <w:fldChar w:fldCharType="begin" w:fldLock="1"/>
      </w:r>
      <w:r w:rsidR="00116C47">
        <w:instrText>ADDIN CSL_CITATION {"citationItems":[{"id":"ITEM-1","itemData":{"DOI":"10.1615/IntJMultCompEng.v8.i5.80","ISSN":"1543-1649","author":[{"dropping-particle":"","family":"Srivastava","given":"Anand","non-dropping-particle":"","parse-names":false,"suffix":""},{"dropping-particle":"","family":"Ghosh","given":"Somnath","non-dropping-particle":"","parse-names":false,"suffix":""}],"container-title":"International Journal for Multiscale Computational Engineering","id":"ITEM-1","issue":"5","issued":{"date-parts":[["2010"]]},"publisher":"Begel House Inc.","title":"Evaluating the Glass Transition Temperature of Polystyrene by an Experimentally Validated Molecular Dynamics Model","type":"article-journal","volume":"8"},"uris":["http://www.mendeley.com/documents/?uuid=0ed74ed4-29bb-4a12-862f-8e4481cf9f0e"]}],"mendeley":{"formattedCitation":"(Srivastava and Ghosh, 2010)","manualFormatting":"Srivastava and Ghosh (2010)","plainTextFormattedCitation":"(Srivastava and Ghosh, 2010)","previouslyFormattedCitation":"(Srivastava and Ghosh, 2010)"},"properties":{"noteIndex":0},"schema":"https://github.com/citation-style-language/schema/raw/master/csl-citation.json"}</w:instrText>
      </w:r>
      <w:r w:rsidR="00C573DA">
        <w:fldChar w:fldCharType="separate"/>
      </w:r>
      <w:r w:rsidR="00C573DA" w:rsidRPr="00C573DA">
        <w:rPr>
          <w:noProof/>
        </w:rPr>
        <w:t>Srivastava and Ghosh</w:t>
      </w:r>
      <w:r w:rsidR="00C573DA">
        <w:rPr>
          <w:noProof/>
        </w:rPr>
        <w:t xml:space="preserve"> (</w:t>
      </w:r>
      <w:r w:rsidR="00C573DA" w:rsidRPr="00C573DA">
        <w:rPr>
          <w:noProof/>
        </w:rPr>
        <w:t>2010)</w:t>
      </w:r>
      <w:r w:rsidR="00C573DA">
        <w:fldChar w:fldCharType="end"/>
      </w:r>
      <w:r w:rsidR="003A71D2">
        <w:t xml:space="preserve"> developed a molecular dynamics model for the bulk polymerization of styrene. In this work, studies were carried out regarding the glass transition of polystyrene.</w:t>
      </w:r>
    </w:p>
    <w:p w14:paraId="4F14EC3E" w14:textId="27C43E6F" w:rsidR="003A71D2" w:rsidRDefault="003A71D2" w:rsidP="003A71D2">
      <w:pPr>
        <w:pStyle w:val="Els-body-text"/>
      </w:pPr>
      <w:r>
        <w:t xml:space="preserve">More recently, </w:t>
      </w:r>
      <w:r w:rsidR="00116C47">
        <w:fldChar w:fldCharType="begin" w:fldLock="1"/>
      </w:r>
      <w:r w:rsidR="007954CF">
        <w:instrText>ADDIN CSL_CITATION {"citationItems":[{"id":"ITEM-1","itemData":{"DOI":"10.1590/0104-1428.2376","ISSN":"0104-1428","author":[{"dropping-particle":"","family":"Vieira","given":"Roniérik Pioli","non-dropping-particle":"","parse-names":false,"suffix":""},{"dropping-particle":"","family":"Lona","given":"Liliane Maria Ferrareso","non-dropping-particle":"","parse-names":false,"suffix":""}],"container-title":"Polímeros","id":"ITEM-1","issue":"4","issued":{"date-parts":[["2016"]]},"page":"313-319","publisher":"scielo","title":"Simulation of temperature effect on the structure control of polystyrene obtained by atom-transfer radical polymerization","type":"article-journal","volume":"26"},"uris":["http://www.mendeley.com/documents/?uuid=f0c0b105-19c2-4df8-8287-ef503d6f5ff5"]}],"mendeley":{"formattedCitation":"(Vieira and Lona, 2016)","manualFormatting":"Vieira and Lona (2016)","plainTextFormattedCitation":"(Vieira and Lona, 2016)","previouslyFormattedCitation":"(Vieira and Lona, 2016)"},"properties":{"noteIndex":0},"schema":"https://github.com/citation-style-language/schema/raw/master/csl-citation.json"}</w:instrText>
      </w:r>
      <w:r w:rsidR="00116C47">
        <w:fldChar w:fldCharType="separate"/>
      </w:r>
      <w:r w:rsidR="00116C47" w:rsidRPr="00116C47">
        <w:rPr>
          <w:noProof/>
        </w:rPr>
        <w:t>Vieira and Lona</w:t>
      </w:r>
      <w:r w:rsidR="00116C47">
        <w:rPr>
          <w:noProof/>
        </w:rPr>
        <w:t xml:space="preserve"> (</w:t>
      </w:r>
      <w:r w:rsidR="00116C47" w:rsidRPr="00116C47">
        <w:rPr>
          <w:noProof/>
        </w:rPr>
        <w:t>2016)</w:t>
      </w:r>
      <w:r w:rsidR="00116C47">
        <w:fldChar w:fldCharType="end"/>
      </w:r>
      <w:r>
        <w:t xml:space="preserve"> used new kinetic modeling and simulations to analyze the effect of temperature on the properties of polystyrene obtained by atom transfer radical polymerization</w:t>
      </w:r>
      <w:r w:rsidR="004113AA">
        <w:t xml:space="preserve">, </w:t>
      </w:r>
      <w:r>
        <w:t>provid</w:t>
      </w:r>
      <w:r w:rsidR="004113AA">
        <w:t>ing</w:t>
      </w:r>
      <w:r>
        <w:t xml:space="preserve"> a tool </w:t>
      </w:r>
      <w:r w:rsidR="0075786C">
        <w:t xml:space="preserve">for </w:t>
      </w:r>
      <w:r>
        <w:t>analysis and optimization</w:t>
      </w:r>
      <w:r w:rsidR="0075786C">
        <w:t xml:space="preserve"> of this process</w:t>
      </w:r>
      <w:r>
        <w:t>.</w:t>
      </w:r>
      <w:r w:rsidR="00F45D56">
        <w:t xml:space="preserve"> </w:t>
      </w:r>
      <w:r>
        <w:t>Currently, there are several commercial simulators that already have implemented mathematical models validated and consolidated in the literature, such as Aspen Polymers</w:t>
      </w:r>
      <w:r w:rsidR="007E64B0" w:rsidRPr="007E64B0">
        <w:rPr>
          <w:vertAlign w:val="superscript"/>
        </w:rPr>
        <w:t>®</w:t>
      </w:r>
      <w:r>
        <w:t>, which provides kinetic polymerization models associated with a vast database of common chemical species in polymerization processes of greatest commercial interest. However, the mathematical models implemented in these commercial applications are comprehensive and generic, and to overcome this, many of them allow modifications to be added to study specific cases, using user routines.</w:t>
      </w:r>
    </w:p>
    <w:p w14:paraId="5932A0F0" w14:textId="0AF714BB" w:rsidR="003A71D2" w:rsidRDefault="003A71D2" w:rsidP="003A71D2">
      <w:pPr>
        <w:pStyle w:val="Els-body-text"/>
      </w:pPr>
      <w:r>
        <w:t xml:space="preserve">The investigation of polymerization processes using commercial simulators as tools has recently gained prominence. </w:t>
      </w:r>
      <w:r w:rsidR="009D2A1E">
        <w:fldChar w:fldCharType="begin" w:fldLock="1"/>
      </w:r>
      <w:r w:rsidR="00560439">
        <w:instrText>ADDIN CSL_CITATION {"citationItems":[{"id":"ITEM-1","itemData":{"DOI":"10.1016/B978-0-444-59520-1.50084-1","ISSN":"1570-7946","abstract":"A CSTR dynamic model dedicated to gas-phase propylene polymerization was designed using Aspen Custom Modeler. It was then used to model a semi-batch lab-scale reactor in order to identify some kinetic parameters. A model of a full scale industrial reactor has also been developped and its results were successfully compared with actual plant data.","author":[{"dropping-particle":"","family":"Lesage","given":"François","non-dropping-particle":"","parse-names":false,"suffix":""},{"dropping-particle":"","family":"Nedelec","given":"David","non-dropping-particle":"","parse-names":false,"suffix":""},{"dropping-particle":"","family":"Descales","given":"Bernard","non-dropping-particle":"","parse-names":false,"suffix":""},{"dropping-particle":"","family":"Stephens","given":"William D","non-dropping-particle":"","parse-names":false,"suffix":""}],"collection-title":"Computer Aided Chemical Engineering","container-title":"22nd European Symposium on Computer Aided Process Engineering","editor":[{"dropping-particle":"","family":"Bogle","given":"Ian David Lockhart","non-dropping-particle":"","parse-names":false,"suffix":""},{"dropping-particle":"","family":"Fairweather","given":"Michael","non-dropping-particle":"","parse-names":false,"suffix":""}],"id":"ITEM-1","issued":{"date-parts":[["2012"]]},"page":"1128","publisher":"Elsevier","title":"Dynamic Modelling of a Polypropylene Production Plant","type":"chapter","volume":"30"},"uris":["http://www.mendeley.com/documents/?uuid=70fc076c-e0ad-4235-8125-dbdd1670873e"]}],"mendeley":{"formattedCitation":"(Lesage et al., 2012)","manualFormatting":"Lesage et al. (2012)","plainTextFormattedCitation":"(Lesage et al., 2012)","previouslyFormattedCitation":"(Lesage et al., 2012)"},"properties":{"noteIndex":0},"schema":"https://github.com/citation-style-language/schema/raw/master/csl-citation.json"}</w:instrText>
      </w:r>
      <w:r w:rsidR="009D2A1E">
        <w:fldChar w:fldCharType="separate"/>
      </w:r>
      <w:r w:rsidR="009D2A1E" w:rsidRPr="009D2A1E">
        <w:rPr>
          <w:noProof/>
        </w:rPr>
        <w:t>Lesage et al.</w:t>
      </w:r>
      <w:r w:rsidR="009D2A1E">
        <w:rPr>
          <w:noProof/>
        </w:rPr>
        <w:t xml:space="preserve"> (</w:t>
      </w:r>
      <w:r w:rsidR="009D2A1E" w:rsidRPr="009D2A1E">
        <w:rPr>
          <w:noProof/>
        </w:rPr>
        <w:t>2012)</w:t>
      </w:r>
      <w:r w:rsidR="009D2A1E">
        <w:fldChar w:fldCharType="end"/>
      </w:r>
      <w:r>
        <w:t xml:space="preserve"> identified reaction kinetic parameters in the Aspen Custom Modeler</w:t>
      </w:r>
      <w:r w:rsidR="00654DA5" w:rsidRPr="00654DA5">
        <w:rPr>
          <w:vertAlign w:val="superscript"/>
        </w:rPr>
        <w:t>®</w:t>
      </w:r>
      <w:r>
        <w:t xml:space="preserve"> with the dynamic simulation of a CSTR for propylene polymerization in the gas phase</w:t>
      </w:r>
      <w:r w:rsidR="00677199">
        <w:t xml:space="preserve"> </w:t>
      </w:r>
      <w:r w:rsidR="00677199" w:rsidRPr="00677199">
        <w:t>to produce polypropylene, an extremely versatile thermoplastic polymer</w:t>
      </w:r>
      <w:r w:rsidR="00B75D76">
        <w:t xml:space="preserve"> </w:t>
      </w:r>
      <w:r w:rsidR="007E6C5B">
        <w:fldChar w:fldCharType="begin" w:fldLock="1"/>
      </w:r>
      <w:r w:rsidR="00D21334">
        <w:instrText>ADDIN CSL_CITATION {"citationItems":[{"id":"ITEM-1","itemData":{"DOI":"10.1007/s12588-019-09245-4","ISBN":"0123456789","ISSN":"0975-072X","author":[{"dropping-particle":"","family":"Drummond","given":"Camila F.","non-dropping-particle":"","parse-names":false,"suffix":""},{"dropping-particle":"","family":"Damas","given":"Mayra Stéphanie P.","non-dropping-particle":"","parse-names":false,"suffix":""},{"dropping-particle":"","family":"Merlini","given":"Claudia","non-dropping-particle":"","parse-names":false,"suffix":""},{"dropping-particle":"","family":"Battisti","given":"Rodrigo","non-dropping-particle":"","parse-names":false,"suffix":""}],"container-title":"International Journal of Plastics Technology","id":"ITEM-1","issued":{"date-parts":[["2019"]]},"page":"170–176","publisher":"Springer India","title":"Influence of clarifying agent on the properties of polypropylene copolymer industrially injected cups for Brazilian cream cheese","type":"article-journal","volume":"23"},"uris":["http://www.mendeley.com/documents/?uuid=efabcb2e-294e-4810-9986-0e5b04c5f658"]}],"mendeley":{"formattedCitation":"(Drummond et al., 2019)","plainTextFormattedCitation":"(Drummond et al., 2019)","previouslyFormattedCitation":"(Drummond et al., 2019)"},"properties":{"noteIndex":0},"schema":"https://github.com/citation-style-language/schema/raw/master/csl-citation.json"}</w:instrText>
      </w:r>
      <w:r w:rsidR="007E6C5B">
        <w:fldChar w:fldCharType="separate"/>
      </w:r>
      <w:r w:rsidR="007E6C5B" w:rsidRPr="007E6C5B">
        <w:rPr>
          <w:noProof/>
        </w:rPr>
        <w:t>(Drummond et al., 2019)</w:t>
      </w:r>
      <w:r w:rsidR="007E6C5B">
        <w:fldChar w:fldCharType="end"/>
      </w:r>
      <w:r>
        <w:t xml:space="preserve">. </w:t>
      </w:r>
      <w:r w:rsidR="009D2A1E">
        <w:fldChar w:fldCharType="begin" w:fldLock="1"/>
      </w:r>
      <w:r w:rsidR="00FF1BE5">
        <w:instrText>ADDIN CSL_CITATION {"citationItems":[{"id":"ITEM-1","itemData":{"DOI":"10.1016/B978-0-444-63455-9.50082-9","ISSN":"1570-7946","abstract":"This work presents the simulation of the hydrolytic polymerization process of Nylon-6in a lab-scale semi-batch reactor, using e-caprolactam as monomer and acetic acid as monofunctional acid chain terminator. The kinetic scheme comprises 6 reactions: 3 main reactions, 2 side reactions associated with the cyclic dimer formation and one monofunctional acid termination. Operating conditions were obtained from previous definitions and kinetic parameters were estimated from experimental data. The proposed optimization problem to estimate the kinetic parameters was solved by the Sequential Quadratic Programming (SQP) and Genetic Algorithm (GA). It was shown that both methods are able to determine the final solution with good precision. The validity of the model was confirmed by comparison of the results obtained by computer simulation using the software Aspen Polymer Plus® and the process real data.","author":[{"dropping-particle":"","family":"Funai","given":"Vanessa I","non-dropping-particle":"","parse-names":false,"suffix":""},{"dropping-particle":"","family":"Melo","given":"Delba N C","non-dropping-particle":"","parse-names":false,"suffix":""},{"dropping-particle":"","family":"Lima","given":"Nádson M N","non-dropping-particle":"","parse-names":false,"suffix":""},{"dropping-particle":"","family":"Pattaro","given":"Ana F","non-dropping-particle":"","parse-names":false,"suffix":""},{"dropping-particle":"","family":"Liñan","given":"Lamia Zuñiga","non-dropping-particle":"","parse-names":false,"suffix":""},{"dropping-particle":"","family":"Bonon","given":"Anderson J","non-dropping-particle":"","parse-names":false,"suffix":""},{"dropping-particle":"","family":"Filho","given":"Rubens Maciel","non-dropping-particle":"","parse-names":false,"suffix":""}],"collection-title":"Computer Aided Chemical Engineering","container-title":"24th European Symposium on Computer Aided Process Engineering","editor":[{"dropping-particle":"","family":"Klemeš","given":"Jiří Jaromír","non-dropping-particle":"","parse-names":false,"suffix":""},{"dropping-particle":"","family":"Varbanov","given":"Petar Sabev","non-dropping-particle":"","parse-names":false,"suffix":""},{"dropping-particle":"","family":"Liew","given":"Peng Yen","non-dropping-particle":"","parse-names":false,"suffix":""}],"id":"ITEM-1","issued":{"date-parts":[["2014"]]},"page":"1483-1488","publisher":"Elsevier","title":"Attainment of Kinetic Parameters and Model Validation for Nylon-6 Process","type":"chapter","volume":"33"},"uris":["http://www.mendeley.com/documents/?uuid=f61f2c00-17d8-4b3b-8eb1-542df89530ae"]}],"mendeley":{"formattedCitation":"(Funai et al., 2014)","manualFormatting":"Funai et al. (2014)","plainTextFormattedCitation":"(Funai et al., 2014)","previouslyFormattedCitation":"(Funai et al., 2014)"},"properties":{"noteIndex":0},"schema":"https://github.com/citation-style-language/schema/raw/master/csl-citation.json"}</w:instrText>
      </w:r>
      <w:r w:rsidR="009D2A1E">
        <w:fldChar w:fldCharType="separate"/>
      </w:r>
      <w:r w:rsidR="009D2A1E" w:rsidRPr="009D2A1E">
        <w:rPr>
          <w:noProof/>
        </w:rPr>
        <w:t>Funai et al.</w:t>
      </w:r>
      <w:r w:rsidR="009D2A1E">
        <w:rPr>
          <w:noProof/>
        </w:rPr>
        <w:t xml:space="preserve"> (</w:t>
      </w:r>
      <w:r w:rsidR="009D2A1E" w:rsidRPr="009D2A1E">
        <w:rPr>
          <w:noProof/>
        </w:rPr>
        <w:t>2014)</w:t>
      </w:r>
      <w:r w:rsidR="009D2A1E">
        <w:fldChar w:fldCharType="end"/>
      </w:r>
      <w:r>
        <w:t xml:space="preserve"> used Aspen Polymers</w:t>
      </w:r>
      <w:r w:rsidR="00654DA5" w:rsidRPr="00654DA5">
        <w:rPr>
          <w:vertAlign w:val="superscript"/>
        </w:rPr>
        <w:t>®</w:t>
      </w:r>
      <w:r>
        <w:t xml:space="preserve"> to validate a model of the Nylon</w:t>
      </w:r>
      <w:r w:rsidR="00654DA5" w:rsidRPr="00654DA5">
        <w:rPr>
          <w:vertAlign w:val="superscript"/>
        </w:rPr>
        <w:t>®</w:t>
      </w:r>
      <w:r>
        <w:t xml:space="preserve"> hydrolytic polymerization process in a </w:t>
      </w:r>
      <w:r w:rsidR="00654DA5">
        <w:t xml:space="preserve">semi-batch </w:t>
      </w:r>
      <w:r>
        <w:t>reactor.</w:t>
      </w:r>
      <w:r w:rsidR="00F45D56">
        <w:t xml:space="preserve"> </w:t>
      </w:r>
      <w:r w:rsidR="009D2A1E">
        <w:fldChar w:fldCharType="begin" w:fldLock="1"/>
      </w:r>
      <w:r w:rsidR="00FA00D8">
        <w:instrText>ADDIN CSL_CITATION {"citationItems":[{"id":"ITEM-1","itemData":{"DOI":"10.1016/j.egypro.2017.10.055","ISSN":"1876-6102","abstract":"Gas-phase polymerization is a method that is widely used in the polymer production process. The heterogeneous reaction between monomer gas and solid catalyst takes place in the fluidized bed reactor to produce the polymer product. The design and production planning of this process is a difficult task due to the complicated fluid behavior and polymerization reaction inside the fluidized bed reactor. In this paper, a model of the fluidized bed polymerization reactor for linear low density polyethylene (LLDPE) production is developed using the Aspen Custom Modeler (ACM) to predict the polymer characteristics and flow behavior. The developed model is then integrated to the main process flow simulation in order to optimize the energy consumption in the polymer production process. The results show that the total energy requirement is reduced while maintaining the same polymer characteristics.","author":[{"dropping-particle":"","family":"Kusolsongtawee","given":"Thirasit","non-dropping-particle":"","parse-names":false,"suffix":""},{"dropping-particle":"","family":"Bumroongsri","given":"Pornchai","non-dropping-particle":"","parse-names":false,"suffix":""}],"container-title":"Energy Procedia","id":"ITEM-1","issued":{"date-parts":[["2017"]]},"note":"2017 International Conference on Alternative Energy in Developing Countries and Emerging Economies","page":"772-777","title":"Optimization of Energy Consumption in Gas-Phase Polymerization Process for Linear Low Density Polyethylene Production","type":"article-journal","volume":"138"},"uris":["http://www.mendeley.com/documents/?uuid=95df55cf-8019-4ea3-b44d-f192f5467b16"]}],"mendeley":{"formattedCitation":"(Kusolsongtawee and Bumroongsri, 2017)","manualFormatting":"Kusolsongtawee and Bumroongsri (2017)","plainTextFormattedCitation":"(Kusolsongtawee and Bumroongsri, 2017)","previouslyFormattedCitation":"(Kusolsongtawee and Bumroongsri, 2017)"},"properties":{"noteIndex":0},"schema":"https://github.com/citation-style-language/schema/raw/master/csl-citation.json"}</w:instrText>
      </w:r>
      <w:r w:rsidR="009D2A1E">
        <w:fldChar w:fldCharType="separate"/>
      </w:r>
      <w:r w:rsidR="009D2A1E" w:rsidRPr="009D2A1E">
        <w:rPr>
          <w:noProof/>
        </w:rPr>
        <w:t>Kusolsongtawee and Bumroongsri</w:t>
      </w:r>
      <w:r w:rsidR="009D2A1E">
        <w:rPr>
          <w:noProof/>
        </w:rPr>
        <w:t xml:space="preserve"> (</w:t>
      </w:r>
      <w:r w:rsidR="009D2A1E" w:rsidRPr="009D2A1E">
        <w:rPr>
          <w:noProof/>
        </w:rPr>
        <w:t>2017)</w:t>
      </w:r>
      <w:r w:rsidR="009D2A1E">
        <w:fldChar w:fldCharType="end"/>
      </w:r>
      <w:r>
        <w:t xml:space="preserve"> presented a mathematical model of a fluidized bed polymerization reactor applied in the production of low-density polyethylene using the Aspen Custom Modeler</w:t>
      </w:r>
      <w:r w:rsidR="00654DA5" w:rsidRPr="00654DA5">
        <w:rPr>
          <w:vertAlign w:val="superscript"/>
        </w:rPr>
        <w:t>®</w:t>
      </w:r>
      <w:r>
        <w:t xml:space="preserve"> software to obtain polymer characteristics and investigate the flow behavior in the reactor.</w:t>
      </w:r>
    </w:p>
    <w:p w14:paraId="144DE68B" w14:textId="527B1C50" w:rsidR="008D2649" w:rsidRDefault="00924B95" w:rsidP="008D2649">
      <w:pPr>
        <w:pStyle w:val="Els-body-text"/>
      </w:pPr>
      <w:r w:rsidRPr="00924B95">
        <w:t xml:space="preserve">In this context, the present work aims to </w:t>
      </w:r>
      <w:r>
        <w:t>improve</w:t>
      </w:r>
      <w:r w:rsidRPr="00924B95">
        <w:t xml:space="preserve"> styrene polymerization using Aspen Polymers</w:t>
      </w:r>
      <w:r w:rsidR="008B3751" w:rsidRPr="00654DA5">
        <w:rPr>
          <w:vertAlign w:val="superscript"/>
        </w:rPr>
        <w:t>®</w:t>
      </w:r>
      <w:r w:rsidR="00B52119">
        <w:t xml:space="preserve"> commercial </w:t>
      </w:r>
      <w:r w:rsidRPr="00924B95">
        <w:t>software. For this purpose, the standard model of the software was modified with innovative user-model routines to consider the effect of the blowing agent in the polymerization process.</w:t>
      </w:r>
      <w:r w:rsidR="00C86DB6">
        <w:t xml:space="preserve"> </w:t>
      </w:r>
      <w:r w:rsidR="00C86DB6" w:rsidRPr="00C86DB6">
        <w:t>After implementing the EPS impregnation model so that the effect of the blowing agent is considered, the simulation will be validated using experimental data published in the literature.</w:t>
      </w:r>
    </w:p>
    <w:p w14:paraId="144DE699" w14:textId="3D32AC50" w:rsidR="008D2649" w:rsidRDefault="005E01F3" w:rsidP="008D2649">
      <w:pPr>
        <w:pStyle w:val="Els-1storder-head"/>
      </w:pPr>
      <w:r w:rsidRPr="005E01F3">
        <w:lastRenderedPageBreak/>
        <w:t>Methodology</w:t>
      </w:r>
    </w:p>
    <w:p w14:paraId="144DE69A" w14:textId="5A8DDF3B" w:rsidR="008D2649" w:rsidRDefault="0068055B" w:rsidP="008D2649">
      <w:pPr>
        <w:pStyle w:val="Els-2ndorder-head"/>
      </w:pPr>
      <w:r w:rsidRPr="0068055B">
        <w:t>Simulation design</w:t>
      </w:r>
    </w:p>
    <w:p w14:paraId="144DE69B" w14:textId="7A82AFDD" w:rsidR="008D2649" w:rsidRDefault="00B200F5" w:rsidP="008D2649">
      <w:pPr>
        <w:pStyle w:val="Els-body-text"/>
      </w:pPr>
      <w:r w:rsidRPr="00B200F5">
        <w:t xml:space="preserve">The </w:t>
      </w:r>
      <w:r w:rsidR="0065750A" w:rsidRPr="00B200F5">
        <w:t xml:space="preserve">styrene </w:t>
      </w:r>
      <w:r w:rsidRPr="00B200F5">
        <w:t>suspension polymerization process</w:t>
      </w:r>
      <w:r w:rsidR="0065750A">
        <w:t xml:space="preserve"> </w:t>
      </w:r>
      <w:r w:rsidRPr="00B200F5">
        <w:t>was modeled in the Aspen Polymers</w:t>
      </w:r>
      <w:r w:rsidR="00F25940" w:rsidRPr="00F25940">
        <w:rPr>
          <w:vertAlign w:val="superscript"/>
        </w:rPr>
        <w:t>®</w:t>
      </w:r>
      <w:r w:rsidRPr="00B200F5">
        <w:t xml:space="preserve"> software using the batch reactor unit</w:t>
      </w:r>
      <w:r w:rsidR="00F25940">
        <w:t>, as shown in the Figure 1</w:t>
      </w:r>
      <w:r w:rsidRPr="00B200F5">
        <w:t xml:space="preserve">. </w:t>
      </w:r>
      <w:r w:rsidR="003F416A">
        <w:t>B</w:t>
      </w:r>
      <w:r w:rsidRPr="00B200F5">
        <w:t xml:space="preserve">enzoyl peroxide (BPO) (initiator), styrene (dispersed phase, monomer), water (continuous phase), and </w:t>
      </w:r>
      <w:r w:rsidRPr="0065750A">
        <w:rPr>
          <w:i/>
          <w:iCs/>
        </w:rPr>
        <w:t>n</w:t>
      </w:r>
      <w:r w:rsidRPr="00B200F5">
        <w:t>-pentane (blowing agent)</w:t>
      </w:r>
      <w:r w:rsidR="003F416A">
        <w:t xml:space="preserve"> were added</w:t>
      </w:r>
      <w:r w:rsidRPr="00B200F5">
        <w:t>. The polymerization reactions occur in the organic liquid phase (drops of monomer/polymer)</w:t>
      </w:r>
      <w:r w:rsidR="003F416A">
        <w:t xml:space="preserve"> </w:t>
      </w:r>
      <w:r w:rsidR="00F61526">
        <w:fldChar w:fldCharType="begin" w:fldLock="1"/>
      </w:r>
      <w:r w:rsidR="00AE3DA3">
        <w:instrText>ADDIN CSL_CITATION {"citationItems":[{"id":"ITEM-1","itemData":{"DOI":"10.1590/S0104-14282007000200016","ISSN":"0104-1428","author":[{"dropping-particle":"","family":"Machado","given":"Fabricio","non-dropping-particle":"","parse-names":false,"suffix":""},{"dropping-particle":"","family":"Lima","given":"Enrique L.","non-dropping-particle":"","parse-names":false,"suffix":""},{"dropping-particle":"","family":"Pinto","given":"José Carlos","non-dropping-particle":"","parse-names":false,"suffix":""}],"container-title":"Polímeros","id":"ITEM-1","issued":{"date-parts":[["2007"]]},"page":"166-179","publisher":"scielo","title":"Uma revisão sobre os processos de polimerização em suspensão","type":"article-journal","volume":"17"},"uris":["http://www.mendeley.com/documents/?uuid=9c9fb1d2-0a65-4a2b-bb1b-87fd84eceeff"]}],"mendeley":{"formattedCitation":"(Machado et al., 2007)","plainTextFormattedCitation":"(Machado et al., 2007)","previouslyFormattedCitation":"(Machado et al., 2007)"},"properties":{"noteIndex":0},"schema":"https://github.com/citation-style-language/schema/raw/master/csl-citation.json"}</w:instrText>
      </w:r>
      <w:r w:rsidR="00F61526">
        <w:fldChar w:fldCharType="separate"/>
      </w:r>
      <w:r w:rsidR="00F61526" w:rsidRPr="00F61526">
        <w:rPr>
          <w:noProof/>
        </w:rPr>
        <w:t>(Machado et al., 2007)</w:t>
      </w:r>
      <w:r w:rsidR="00F61526">
        <w:fldChar w:fldCharType="end"/>
      </w:r>
      <w:r w:rsidR="003F416A">
        <w:t>.</w:t>
      </w:r>
      <w:r w:rsidRPr="00B200F5">
        <w:t xml:space="preserve"> </w:t>
      </w:r>
      <w:r w:rsidR="003C1A12" w:rsidRPr="003C1A12">
        <w:t xml:space="preserve">The software's standard kinetic </w:t>
      </w:r>
      <w:r w:rsidR="00962509" w:rsidRPr="00962509">
        <w:t>mechanism</w:t>
      </w:r>
      <w:r w:rsidR="003C1A12" w:rsidRPr="003C1A12">
        <w:t xml:space="preserve"> is implemented based on </w:t>
      </w:r>
      <w:r w:rsidR="00962509" w:rsidRPr="003C1A12">
        <w:t>free</w:t>
      </w:r>
      <w:r w:rsidR="00962509">
        <w:t>-</w:t>
      </w:r>
      <w:r w:rsidR="00962509" w:rsidRPr="003C1A12">
        <w:t xml:space="preserve">radical </w:t>
      </w:r>
      <w:r w:rsidR="003C1A12" w:rsidRPr="003C1A12">
        <w:t>polymerization. The set of reactions include</w:t>
      </w:r>
      <w:r w:rsidR="00FC3EAD">
        <w:t>d</w:t>
      </w:r>
      <w:r w:rsidR="003C1A12" w:rsidRPr="003C1A12">
        <w:t xml:space="preserve"> chain initiation, propagation reaction, at least one termination step and chain transfer or inhibition reaction to produce the dead polymer, with these reactions occurring simultaneously during polymerization</w:t>
      </w:r>
      <w:r w:rsidR="003C1A12">
        <w:t>.</w:t>
      </w:r>
      <w:r w:rsidRPr="00B200F5">
        <w:t xml:space="preserve"> The parameters required for calculating the reaction rate constants, the pre-exponential factors and the activation energies </w:t>
      </w:r>
      <w:r w:rsidR="00AE3DA3">
        <w:t>were taken from</w:t>
      </w:r>
      <w:r w:rsidR="007E2A3C">
        <w:t xml:space="preserve"> </w:t>
      </w:r>
      <w:r w:rsidR="007E2A3C">
        <w:fldChar w:fldCharType="begin" w:fldLock="1"/>
      </w:r>
      <w:r w:rsidR="002B6D42">
        <w:instrText>ADDIN CSL_CITATION {"citationItems":[{"id":"ITEM-1","itemData":{"DOI":"10.1002/app.1991.070420309","abstract":"Abstract A model describing the kinetics of bulk styrene polymerization through bifunctional initiators has been developed. The diffusion-controlled propagation and termination reactions at high monomer conversions are modeled with the free volume theory for polymer solutions. Three different commercially available bifunctional initiators were experimentally evaluated for a wide range of polymerization conditions to study the effect of the reaction rate on the molecular weight and molecular weight distribution. The model predictions for the same polymerization conditions show excellent agreement with the experimental data, for the whole range of conversions, for both reaction rate and molecular weight distribution development, under all the conditions tested. It is demonstrated throughout this study that high molecular weights, very high reaction rates, and narrow molecular weight distributions can be achieved simultaneously by using bifunctional initiators. A comparison between monofunctionally initiated systems with the bifunctionally initiated ones shows that short-cycle reactions with reductions in polymerization time of up to 75% may be achieved with the bifunctional initiators for a wider range of conditions without significantly affecting the molecular weight and molecular weight distribution of the final product.","author":[{"dropping-particle":"","family":"Villalobos","given":"M A","non-dropping-particle":"","parse-names":false,"suffix":""},{"dropping-particle":"","family":"Hamielec","given":"A E","non-dropping-particle":"","parse-names":false,"suffix":""},{"dropping-particle":"","family":"Wood","given":"P E","non-dropping-particle":"","parse-names":false,"suffix":""}],"container-title":"Journal of Applied Polymer Science","id":"ITEM-1","issue":"3","issued":{"date-parts":[["1991"]]},"page":"629-641","title":"Kinetic model for short-cycle bulk styrene polymerization through bifunctional initiators","type":"article-journal","volume":"42"},"uris":["http://www.mendeley.com/documents/?uuid=af3d1658-093b-4bbd-ac53-f41256bbdbfb"]}],"mendeley":{"formattedCitation":"(Villalobos et al., 1991)","manualFormatting":"Villalobos et al. (1991)","plainTextFormattedCitation":"(Villalobos et al., 1991)","previouslyFormattedCitation":"(Villalobos et al., 1991)"},"properties":{"noteIndex":0},"schema":"https://github.com/citation-style-language/schema/raw/master/csl-citation.json"}</w:instrText>
      </w:r>
      <w:r w:rsidR="007E2A3C">
        <w:fldChar w:fldCharType="separate"/>
      </w:r>
      <w:r w:rsidR="007E2A3C" w:rsidRPr="007E2A3C">
        <w:rPr>
          <w:noProof/>
        </w:rPr>
        <w:t>Villalobos et al.</w:t>
      </w:r>
      <w:r w:rsidR="007E2A3C">
        <w:rPr>
          <w:noProof/>
        </w:rPr>
        <w:t xml:space="preserve"> (</w:t>
      </w:r>
      <w:r w:rsidR="007E2A3C" w:rsidRPr="007E2A3C">
        <w:rPr>
          <w:noProof/>
        </w:rPr>
        <w:t>1991)</w:t>
      </w:r>
      <w:r w:rsidR="007E2A3C">
        <w:fldChar w:fldCharType="end"/>
      </w:r>
      <w:r w:rsidR="002B6D42">
        <w:t xml:space="preserve">, </w:t>
      </w:r>
      <w:r w:rsidR="002B6D42">
        <w:fldChar w:fldCharType="begin" w:fldLock="1"/>
      </w:r>
      <w:r w:rsidR="00934B92">
        <w:instrText>ADDIN CSL_CITATION {"citationItems":[{"id":"ITEM-1","itemData":{"DOI":"10.1002/app.1988.070350612","abstract":"Abstract The kinetics of bulk styrene polymerization catalyzed by symmetrical bifunctional initiators [2,5-dimethyl-2,5-bis(benzoyl peroxy) hexane] is studied. Being characterized by the presence of two peroxide groups of equal thermal stabilities, this bifunctional initiator system shows complex initiation, propagation, and termination reaction pathways. The kinetic model for bulk styrene polymerization with the bifunctional initiator is presented and compared with experimental data. The experimental data indicate that the model is quite satisfactory in describing the polymerization rate and polymer molecular weights for bulk styrene polymerization catalyzed by the symmetrical bifunctional initiator.","author":[{"dropping-particle":"","family":"Choi","given":"K Y","non-dropping-particle":"","parse-names":false,"suffix":""},{"dropping-particle":"","family":"Liang","given":"W R","non-dropping-particle":"","parse-names":false,"suffix":""},{"dropping-particle":"","family":"Lei","given":"G D","non-dropping-particle":"","parse-names":false,"suffix":""}],"container-title":"Journal of Applied Polymer Science","id":"ITEM-1","issue":"6","issued":{"date-parts":[["1988"]]},"page":"1547-1562","title":"Kinetics of bulk styrene polymerization catalyzed by symmetrical bifunctional initiators","type":"article-journal","volume":"35"},"uris":["http://www.mendeley.com/documents/?uuid=9faa314a-c26e-4561-b12d-93364c4f3f27"]}],"mendeley":{"formattedCitation":"(Choi et al., 1988)","manualFormatting":"Choi et al. (1988)","plainTextFormattedCitation":"(Choi et al., 1988)","previouslyFormattedCitation":"(Choi et al., 1988)"},"properties":{"noteIndex":0},"schema":"https://github.com/citation-style-language/schema/raw/master/csl-citation.json"}</w:instrText>
      </w:r>
      <w:r w:rsidR="002B6D42">
        <w:fldChar w:fldCharType="separate"/>
      </w:r>
      <w:r w:rsidR="002B6D42" w:rsidRPr="002B6D42">
        <w:rPr>
          <w:noProof/>
        </w:rPr>
        <w:t>Choi et al.</w:t>
      </w:r>
      <w:r w:rsidR="002B6D42">
        <w:rPr>
          <w:noProof/>
        </w:rPr>
        <w:t xml:space="preserve"> (</w:t>
      </w:r>
      <w:r w:rsidR="002B6D42" w:rsidRPr="002B6D42">
        <w:rPr>
          <w:noProof/>
        </w:rPr>
        <w:t>1988)</w:t>
      </w:r>
      <w:r w:rsidR="002B6D42">
        <w:fldChar w:fldCharType="end"/>
      </w:r>
      <w:r w:rsidR="002B6D42">
        <w:t xml:space="preserve">, and </w:t>
      </w:r>
      <w:r w:rsidR="00934B92">
        <w:fldChar w:fldCharType="begin" w:fldLock="1"/>
      </w:r>
      <w:r w:rsidR="00446EF7">
        <w:instrText>ADDIN CSL_CITATION {"citationItems":[{"id":"ITEM-1","itemData":{"DOI":"10.1021/ma60055a009","ISSN":"0024-9297","author":[{"dropping-particle":"","family":"Mahabadi","given":"H K","non-dropping-particle":"","parse-names":false,"suffix":""},{"dropping-particle":"","family":"O'Driscoll","given":"K F","non-dropping-particle":"","parse-names":false,"suffix":""}],"container-title":"Macromolecules","id":"ITEM-1","issue":"1","issued":{"date-parts":[["1977","1","1"]]},"note":"doi: 10.1021/ma60055a009","page":"55-58","publisher":"American Chemical Society","title":"Concentration Dependence of the Termination Rate Constant During the Initial Stages of Free Radical Polymerization","type":"article-journal","volume":"10"},"uris":["http://www.mendeley.com/documents/?uuid=a6ad72f6-94ae-4f28-ae8e-9e011a3a4ba4"]}],"mendeley":{"formattedCitation":"(Mahabadi and O’Driscoll, 1977)","manualFormatting":"Mahabadi and O’Driscoll (1977)","plainTextFormattedCitation":"(Mahabadi and O’Driscoll, 1977)","previouslyFormattedCitation":"(Mahabadi and O’Driscoll, 1977)"},"properties":{"noteIndex":0},"schema":"https://github.com/citation-style-language/schema/raw/master/csl-citation.json"}</w:instrText>
      </w:r>
      <w:r w:rsidR="00934B92">
        <w:fldChar w:fldCharType="separate"/>
      </w:r>
      <w:r w:rsidR="00934B92" w:rsidRPr="00934B92">
        <w:rPr>
          <w:noProof/>
        </w:rPr>
        <w:t>Mahabadi and O’Driscoll</w:t>
      </w:r>
      <w:r w:rsidR="00934B92">
        <w:rPr>
          <w:noProof/>
        </w:rPr>
        <w:t xml:space="preserve"> (</w:t>
      </w:r>
      <w:r w:rsidR="00934B92" w:rsidRPr="00934B92">
        <w:rPr>
          <w:noProof/>
        </w:rPr>
        <w:t>1977)</w:t>
      </w:r>
      <w:r w:rsidR="00934B92">
        <w:fldChar w:fldCharType="end"/>
      </w:r>
      <w:r w:rsidR="00934B92">
        <w:t>.</w:t>
      </w:r>
      <w:r w:rsidRPr="00B200F5">
        <w:t xml:space="preserve"> For predicting physical properties, the thermodynamic model of liquid activity coefficient of polymeric system (POLYNRTL) was used. The physicochemical properties of the polymer were calculated using Van </w:t>
      </w:r>
      <w:proofErr w:type="spellStart"/>
      <w:r w:rsidRPr="00B200F5">
        <w:t>Krevelen's</w:t>
      </w:r>
      <w:proofErr w:type="spellEnd"/>
      <w:r w:rsidRPr="00B200F5">
        <w:t xml:space="preserve"> group contribution method.</w:t>
      </w:r>
      <w:r w:rsidR="008D2649">
        <w:t xml:space="preserve"> </w:t>
      </w:r>
    </w:p>
    <w:p w14:paraId="5E03C066" w14:textId="77777777" w:rsidR="006076CC" w:rsidRDefault="006076CC" w:rsidP="008D2649">
      <w:pPr>
        <w:pStyle w:val="Els-body-text"/>
      </w:pPr>
    </w:p>
    <w:p w14:paraId="7A193AD9" w14:textId="34F38CEC" w:rsidR="006076CC" w:rsidRDefault="006076CC" w:rsidP="008D2649">
      <w:pPr>
        <w:pStyle w:val="Els-body-text"/>
      </w:pPr>
      <w:r>
        <w:rPr>
          <w:noProof/>
          <w:lang w:eastAsia="pt-BR"/>
        </w:rPr>
        <w:drawing>
          <wp:inline distT="0" distB="0" distL="0" distR="0" wp14:anchorId="7E71F766" wp14:editId="6BD87189">
            <wp:extent cx="2520000" cy="14525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1452575"/>
                    </a:xfrm>
                    <a:prstGeom prst="rect">
                      <a:avLst/>
                    </a:prstGeom>
                    <a:noFill/>
                  </pic:spPr>
                </pic:pic>
              </a:graphicData>
            </a:graphic>
          </wp:inline>
        </w:drawing>
      </w:r>
    </w:p>
    <w:p w14:paraId="12B42533" w14:textId="0C25B66F" w:rsidR="00542E48" w:rsidRDefault="00542E48" w:rsidP="008D2649">
      <w:pPr>
        <w:pStyle w:val="Els-body-text"/>
      </w:pPr>
      <w:r w:rsidRPr="00E26911">
        <w:rPr>
          <w:b/>
          <w:bCs/>
        </w:rPr>
        <w:t>Figure 1</w:t>
      </w:r>
      <w:r>
        <w:t xml:space="preserve">. </w:t>
      </w:r>
      <w:r w:rsidR="0087505D" w:rsidRPr="0087505D">
        <w:t xml:space="preserve">Block diagram of the simulation assembled in </w:t>
      </w:r>
      <w:r w:rsidR="0087505D" w:rsidRPr="00B200F5">
        <w:t>Aspen Polymers</w:t>
      </w:r>
      <w:r w:rsidR="0087505D" w:rsidRPr="00F25940">
        <w:rPr>
          <w:vertAlign w:val="superscript"/>
        </w:rPr>
        <w:t>®</w:t>
      </w:r>
      <w:r w:rsidR="0087505D" w:rsidRPr="0087505D">
        <w:t>.</w:t>
      </w:r>
    </w:p>
    <w:p w14:paraId="20C405E9" w14:textId="77777777" w:rsidR="00C8474E" w:rsidRDefault="00C8474E" w:rsidP="008D2649">
      <w:pPr>
        <w:pStyle w:val="Els-body-text"/>
      </w:pPr>
    </w:p>
    <w:p w14:paraId="1D4D96BD" w14:textId="3D828DD4" w:rsidR="00C8474E" w:rsidRDefault="00C8474E" w:rsidP="00C8474E">
      <w:pPr>
        <w:pStyle w:val="Els-3rdorder-head"/>
      </w:pPr>
      <w:r w:rsidRPr="00C8474E">
        <w:t>Modifications implemented to address the gel and glass effects</w:t>
      </w:r>
    </w:p>
    <w:p w14:paraId="198A6993" w14:textId="44922A81" w:rsidR="000F3B53" w:rsidRDefault="00E46CA7" w:rsidP="008D2649">
      <w:pPr>
        <w:pStyle w:val="Els-body-text"/>
      </w:pPr>
      <w:r w:rsidRPr="00E46CA7">
        <w:t>The standard gel effect correlations of Aspen Polymers</w:t>
      </w:r>
      <w:r w:rsidR="00994222" w:rsidRPr="00F25940">
        <w:rPr>
          <w:vertAlign w:val="superscript"/>
        </w:rPr>
        <w:t>®</w:t>
      </w:r>
      <w:r w:rsidRPr="00E46CA7">
        <w:t xml:space="preserve"> are empirical models adjusted from experimental data. These refer only to the gel effect in polymerization reactions without impregnation and do not represent the glass effect. However, </w:t>
      </w:r>
      <w:r w:rsidRPr="00994222">
        <w:rPr>
          <w:i/>
          <w:iCs/>
        </w:rPr>
        <w:t>n</w:t>
      </w:r>
      <w:r w:rsidRPr="00E46CA7">
        <w:t>-pentane (</w:t>
      </w:r>
      <w:r w:rsidRPr="00994222">
        <w:rPr>
          <w:i/>
          <w:iCs/>
        </w:rPr>
        <w:t>n</w:t>
      </w:r>
      <w:r w:rsidRPr="00E46CA7">
        <w:t xml:space="preserve">P5) is the EPS solvent and rubberizes the polymer matrix. It is known that the addition of a solvent to the system alters the global free </w:t>
      </w:r>
      <w:r w:rsidR="00F62A73" w:rsidRPr="00E46CA7">
        <w:t>volume,</w:t>
      </w:r>
      <w:r w:rsidRPr="00E46CA7">
        <w:t xml:space="preserve"> and this alteration has a direct influence on the polymerization kinetics leading to different behaviors regarding the gel and glass effects</w:t>
      </w:r>
      <w:r w:rsidR="00994222">
        <w:t>.</w:t>
      </w:r>
      <w:r w:rsidRPr="00E46CA7">
        <w:t xml:space="preserve"> Therefore, in the present work, the correlations expressed in Equation (</w:t>
      </w:r>
      <w:r w:rsidR="00323A5D">
        <w:t>1</w:t>
      </w:r>
      <w:r w:rsidRPr="00E46CA7">
        <w:t>) and Equation (</w:t>
      </w:r>
      <w:r w:rsidR="00323A5D">
        <w:t>2</w:t>
      </w:r>
      <w:r w:rsidRPr="00E46CA7">
        <w:t>) were incorporated in Aspen Polymers</w:t>
      </w:r>
      <w:r w:rsidR="00323A5D" w:rsidRPr="00F25940">
        <w:rPr>
          <w:vertAlign w:val="superscript"/>
        </w:rPr>
        <w:t>®</w:t>
      </w:r>
      <w:r w:rsidRPr="00E46CA7">
        <w:t xml:space="preserve"> through user-model routines written in programming language, as these are based on the theory of free volume. By using user correlations, the model captures the influence of the impregnating agent on the polymeric matrix. The Equation (</w:t>
      </w:r>
      <w:r w:rsidR="00323A5D">
        <w:t>1</w:t>
      </w:r>
      <w:r w:rsidRPr="00E46CA7">
        <w:t>) was specified to modify the termination rate constant (</w:t>
      </w:r>
      <w:r w:rsidRPr="00323A5D">
        <w:rPr>
          <w:i/>
          <w:iCs/>
        </w:rPr>
        <w:t>k</w:t>
      </w:r>
      <w:r w:rsidRPr="00323A5D">
        <w:rPr>
          <w:vertAlign w:val="subscript"/>
        </w:rPr>
        <w:t>tc</w:t>
      </w:r>
      <w:r w:rsidRPr="00E46CA7">
        <w:t>) due to the gel effect, and Equation (</w:t>
      </w:r>
      <w:r w:rsidR="00323A5D">
        <w:t>2</w:t>
      </w:r>
      <w:r w:rsidRPr="00E46CA7">
        <w:t>) to adjust the propagation rate constant (</w:t>
      </w:r>
      <w:r w:rsidRPr="00323A5D">
        <w:rPr>
          <w:i/>
          <w:iCs/>
        </w:rPr>
        <w:t>k</w:t>
      </w:r>
      <w:r w:rsidRPr="00323A5D">
        <w:rPr>
          <w:vertAlign w:val="subscript"/>
        </w:rPr>
        <w:t>p</w:t>
      </w:r>
      <w:r w:rsidRPr="00E46CA7">
        <w:t>) due to the glass effect.</w:t>
      </w:r>
    </w:p>
    <w:p w14:paraId="6EA35F15" w14:textId="77777777" w:rsidR="00E46CA7" w:rsidRDefault="00E46CA7" w:rsidP="008D2649">
      <w:pPr>
        <w:pStyle w:val="Els-body-text"/>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5"/>
        <w:gridCol w:w="591"/>
      </w:tblGrid>
      <w:tr w:rsidR="00FC1A0B" w:rsidRPr="00FC1A0B" w14:paraId="40FD780E" w14:textId="77777777" w:rsidTr="00262A5F">
        <w:trPr>
          <w:trHeight w:val="283"/>
        </w:trPr>
        <w:tc>
          <w:tcPr>
            <w:tcW w:w="4583" w:type="pct"/>
            <w:vAlign w:val="center"/>
          </w:tcPr>
          <w:p w14:paraId="55DEBBB3" w14:textId="77777777" w:rsidR="00FC1A0B" w:rsidRPr="00FC1A0B" w:rsidRDefault="00421A16" w:rsidP="00262A5F">
            <w:pPr>
              <w:spacing w:after="120" w:line="276" w:lineRule="auto"/>
              <w:rPr>
                <w:rFonts w:eastAsiaTheme="minorEastAsia"/>
                <w:sz w:val="18"/>
                <w:szCs w:val="18"/>
                <w:lang w:val="en-US"/>
              </w:rPr>
            </w:pPr>
            <m:oMathPara>
              <m:oMathParaPr>
                <m:jc m:val="left"/>
              </m:oMathParaPr>
              <m:oMath>
                <m:sSub>
                  <m:sSubPr>
                    <m:ctrlPr>
                      <w:rPr>
                        <w:rFonts w:ascii="Cambria Math" w:hAnsi="Cambria Math"/>
                        <w:i/>
                        <w:iCs/>
                        <w:sz w:val="18"/>
                        <w:szCs w:val="18"/>
                      </w:rPr>
                    </m:ctrlPr>
                  </m:sSubPr>
                  <m:e>
                    <m:r>
                      <m:rPr>
                        <m:nor/>
                      </m:rPr>
                      <w:rPr>
                        <w:rFonts w:ascii="Cambria Math" w:hAnsi="Cambria Math"/>
                        <w:i/>
                        <w:sz w:val="18"/>
                        <w:szCs w:val="18"/>
                        <w:lang w:val="en-US"/>
                      </w:rPr>
                      <m:t>k</m:t>
                    </m:r>
                  </m:e>
                  <m:sub>
                    <m:r>
                      <m:rPr>
                        <m:nor/>
                      </m:rPr>
                      <w:rPr>
                        <w:rFonts w:ascii="Cambria Math" w:hAnsi="Cambria Math"/>
                        <w:sz w:val="18"/>
                        <w:szCs w:val="18"/>
                        <w:lang w:val="en-US"/>
                      </w:rPr>
                      <m:t>tc</m:t>
                    </m:r>
                  </m:sub>
                </m:sSub>
                <m:d>
                  <m:dPr>
                    <m:ctrlPr>
                      <w:rPr>
                        <w:rFonts w:ascii="Cambria Math" w:hAnsi="Cambria Math"/>
                        <w:i/>
                        <w:iCs/>
                        <w:sz w:val="18"/>
                        <w:szCs w:val="18"/>
                      </w:rPr>
                    </m:ctrlPr>
                  </m:dPr>
                  <m:e>
                    <m:r>
                      <m:rPr>
                        <m:nor/>
                      </m:rPr>
                      <w:rPr>
                        <w:rFonts w:ascii="Cambria Math" w:hAnsi="Cambria Math"/>
                        <w:sz w:val="18"/>
                        <w:szCs w:val="18"/>
                        <w:lang w:val="en-US"/>
                      </w:rPr>
                      <m:t>X</m:t>
                    </m:r>
                  </m:e>
                </m:d>
                <m:r>
                  <m:rPr>
                    <m:nor/>
                  </m:rPr>
                  <w:rPr>
                    <w:rFonts w:ascii="Cambria Math" w:hAnsi="Cambria Math"/>
                    <w:sz w:val="18"/>
                    <w:szCs w:val="18"/>
                    <w:lang w:val="en-US"/>
                  </w:rPr>
                  <m:t>=</m:t>
                </m:r>
                <m:sSub>
                  <m:sSubPr>
                    <m:ctrlPr>
                      <w:rPr>
                        <w:rFonts w:ascii="Cambria Math" w:hAnsi="Cambria Math"/>
                        <w:i/>
                        <w:iCs/>
                        <w:sz w:val="18"/>
                        <w:szCs w:val="18"/>
                      </w:rPr>
                    </m:ctrlPr>
                  </m:sSubPr>
                  <m:e>
                    <m:r>
                      <m:rPr>
                        <m:nor/>
                      </m:rPr>
                      <w:rPr>
                        <w:rFonts w:ascii="Cambria Math" w:hAnsi="Cambria Math"/>
                        <w:sz w:val="18"/>
                        <w:szCs w:val="18"/>
                        <w:lang w:val="en-US"/>
                      </w:rPr>
                      <m:t>k</m:t>
                    </m:r>
                  </m:e>
                  <m:sub>
                    <m:r>
                      <m:rPr>
                        <m:nor/>
                      </m:rPr>
                      <w:rPr>
                        <w:rFonts w:ascii="Cambria Math" w:hAnsi="Cambria Math"/>
                        <w:sz w:val="18"/>
                        <w:szCs w:val="18"/>
                        <w:lang w:val="en-US"/>
                      </w:rPr>
                      <m:t>tc0</m:t>
                    </m:r>
                  </m:sub>
                </m:sSub>
                <m:r>
                  <m:rPr>
                    <m:nor/>
                  </m:rPr>
                  <w:rPr>
                    <w:rFonts w:ascii="Cambria Math" w:hAnsi="Cambria Math"/>
                    <w:sz w:val="18"/>
                    <w:szCs w:val="18"/>
                    <w:lang w:val="en-US"/>
                  </w:rPr>
                  <m:t>∙</m:t>
                </m:r>
                <m:d>
                  <m:dPr>
                    <m:ctrlPr>
                      <w:rPr>
                        <w:rFonts w:ascii="Cambria Math" w:hAnsi="Cambria Math"/>
                        <w:i/>
                        <w:iCs/>
                        <w:sz w:val="18"/>
                        <w:szCs w:val="18"/>
                      </w:rPr>
                    </m:ctrlPr>
                  </m:dPr>
                  <m:e>
                    <m:r>
                      <m:rPr>
                        <m:nor/>
                      </m:rPr>
                      <w:rPr>
                        <w:rFonts w:ascii="Cambria Math" w:hAnsi="Cambria Math"/>
                        <w:sz w:val="18"/>
                        <w:szCs w:val="18"/>
                        <w:lang w:val="en-US"/>
                      </w:rPr>
                      <m:t>1+</m:t>
                    </m:r>
                    <m:r>
                      <m:rPr>
                        <m:nor/>
                      </m:rPr>
                      <w:rPr>
                        <w:rFonts w:ascii="Cambria Math" w:hAnsi="Cambria Math"/>
                        <w:sz w:val="18"/>
                        <w:szCs w:val="18"/>
                      </w:rPr>
                      <m:t>δ</m:t>
                    </m:r>
                    <m:r>
                      <m:rPr>
                        <m:nor/>
                      </m:rPr>
                      <w:rPr>
                        <w:rFonts w:ascii="Cambria Math" w:hAnsi="Cambria Math"/>
                        <w:sz w:val="18"/>
                        <w:szCs w:val="18"/>
                        <w:lang w:val="en-US"/>
                      </w:rPr>
                      <m:t>∙</m:t>
                    </m:r>
                    <m:d>
                      <m:dPr>
                        <m:begChr m:val="["/>
                        <m:endChr m:val="]"/>
                        <m:ctrlPr>
                          <w:rPr>
                            <w:rFonts w:ascii="Cambria Math" w:hAnsi="Cambria Math"/>
                            <w:i/>
                            <w:iCs/>
                            <w:sz w:val="18"/>
                            <w:szCs w:val="18"/>
                          </w:rPr>
                        </m:ctrlPr>
                      </m:dPr>
                      <m:e>
                        <m:r>
                          <m:rPr>
                            <m:nor/>
                          </m:rPr>
                          <w:rPr>
                            <w:rFonts w:ascii="Cambria Math" w:hAnsi="Cambria Math"/>
                            <w:sz w:val="18"/>
                            <w:szCs w:val="18"/>
                            <w:lang w:val="en-US"/>
                          </w:rPr>
                          <m:t>P</m:t>
                        </m:r>
                      </m:e>
                    </m:d>
                    <m:d>
                      <m:dPr>
                        <m:ctrlPr>
                          <w:rPr>
                            <w:rFonts w:ascii="Cambria Math" w:hAnsi="Cambria Math"/>
                            <w:i/>
                            <w:iCs/>
                            <w:sz w:val="18"/>
                            <w:szCs w:val="18"/>
                          </w:rPr>
                        </m:ctrlPr>
                      </m:dPr>
                      <m:e>
                        <m:r>
                          <m:rPr>
                            <m:nor/>
                          </m:rPr>
                          <w:rPr>
                            <w:rFonts w:ascii="Cambria Math" w:hAnsi="Cambria Math"/>
                            <w:sz w:val="18"/>
                            <w:szCs w:val="18"/>
                            <w:lang w:val="en-US"/>
                          </w:rPr>
                          <m:t>X</m:t>
                        </m:r>
                      </m:e>
                    </m:d>
                  </m:e>
                </m:d>
                <m:r>
                  <m:rPr>
                    <m:nor/>
                  </m:rPr>
                  <w:rPr>
                    <w:rFonts w:ascii="Cambria Math" w:hAnsi="Cambria Math"/>
                    <w:sz w:val="18"/>
                    <w:szCs w:val="18"/>
                    <w:lang w:val="en-US"/>
                  </w:rPr>
                  <m:t>∙</m:t>
                </m:r>
                <m:sSup>
                  <m:sSupPr>
                    <m:ctrlPr>
                      <w:rPr>
                        <w:rFonts w:ascii="Cambria Math" w:hAnsi="Cambria Math"/>
                        <w:i/>
                        <w:iCs/>
                        <w:sz w:val="18"/>
                        <w:szCs w:val="18"/>
                      </w:rPr>
                    </m:ctrlPr>
                  </m:sSupPr>
                  <m:e>
                    <m:d>
                      <m:dPr>
                        <m:ctrlPr>
                          <w:rPr>
                            <w:rFonts w:ascii="Cambria Math" w:hAnsi="Cambria Math"/>
                            <w:i/>
                            <w:iCs/>
                            <w:sz w:val="18"/>
                            <w:szCs w:val="18"/>
                          </w:rPr>
                        </m:ctrlPr>
                      </m:dPr>
                      <m:e>
                        <m:f>
                          <m:fPr>
                            <m:ctrlPr>
                              <w:rPr>
                                <w:rFonts w:ascii="Cambria Math" w:hAnsi="Cambria Math"/>
                                <w:i/>
                                <w:iCs/>
                                <w:sz w:val="18"/>
                                <w:szCs w:val="18"/>
                              </w:rPr>
                            </m:ctrlPr>
                          </m:fPr>
                          <m:num>
                            <m:sSub>
                              <m:sSubPr>
                                <m:ctrlPr>
                                  <w:rPr>
                                    <w:rFonts w:ascii="Cambria Math" w:hAnsi="Cambria Math"/>
                                    <w:i/>
                                    <w:iCs/>
                                    <w:sz w:val="18"/>
                                    <w:szCs w:val="18"/>
                                  </w:rPr>
                                </m:ctrlPr>
                              </m:sSubPr>
                              <m:e>
                                <m:r>
                                  <m:rPr>
                                    <m:nor/>
                                  </m:rPr>
                                  <w:rPr>
                                    <w:rFonts w:ascii="Cambria Math" w:hAnsi="Cambria Math"/>
                                    <w:sz w:val="18"/>
                                    <w:szCs w:val="18"/>
                                    <w:lang w:val="en-US"/>
                                  </w:rPr>
                                  <m:t>M</m:t>
                                </m:r>
                              </m:e>
                              <m:sub>
                                <m:r>
                                  <m:rPr>
                                    <m:nor/>
                                  </m:rPr>
                                  <w:rPr>
                                    <w:rFonts w:ascii="Cambria Math" w:hAnsi="Cambria Math"/>
                                    <w:sz w:val="18"/>
                                    <w:szCs w:val="18"/>
                                    <w:lang w:val="en-US"/>
                                  </w:rPr>
                                  <m:t>wcr</m:t>
                                </m:r>
                              </m:sub>
                            </m:sSub>
                          </m:num>
                          <m:den>
                            <m:sSub>
                              <m:sSubPr>
                                <m:ctrlPr>
                                  <w:rPr>
                                    <w:rFonts w:ascii="Cambria Math" w:hAnsi="Cambria Math"/>
                                    <w:i/>
                                    <w:iCs/>
                                    <w:sz w:val="18"/>
                                    <w:szCs w:val="18"/>
                                  </w:rPr>
                                </m:ctrlPr>
                              </m:sSubPr>
                              <m:e>
                                <m:r>
                                  <m:rPr>
                                    <m:nor/>
                                  </m:rPr>
                                  <w:rPr>
                                    <w:rFonts w:ascii="Cambria Math" w:hAnsi="Cambria Math"/>
                                    <w:sz w:val="18"/>
                                    <w:szCs w:val="18"/>
                                    <w:lang w:val="en-US"/>
                                  </w:rPr>
                                  <m:t>M</m:t>
                                </m:r>
                              </m:e>
                              <m:sub>
                                <m:r>
                                  <m:rPr>
                                    <m:nor/>
                                  </m:rPr>
                                  <w:rPr>
                                    <w:rFonts w:ascii="Cambria Math" w:hAnsi="Cambria Math"/>
                                    <w:sz w:val="18"/>
                                    <w:szCs w:val="18"/>
                                    <w:lang w:val="en-US"/>
                                  </w:rPr>
                                  <m:t>w</m:t>
                                </m:r>
                              </m:sub>
                            </m:sSub>
                            <m:d>
                              <m:dPr>
                                <m:ctrlPr>
                                  <w:rPr>
                                    <w:rFonts w:ascii="Cambria Math" w:hAnsi="Cambria Math"/>
                                    <w:i/>
                                    <w:iCs/>
                                    <w:sz w:val="18"/>
                                    <w:szCs w:val="18"/>
                                  </w:rPr>
                                </m:ctrlPr>
                              </m:dPr>
                              <m:e>
                                <m:r>
                                  <m:rPr>
                                    <m:nor/>
                                  </m:rPr>
                                  <w:rPr>
                                    <w:rFonts w:ascii="Cambria Math" w:hAnsi="Cambria Math"/>
                                    <w:sz w:val="18"/>
                                    <w:szCs w:val="18"/>
                                    <w:lang w:val="en-US"/>
                                  </w:rPr>
                                  <m:t>X</m:t>
                                </m:r>
                              </m:e>
                            </m:d>
                          </m:den>
                        </m:f>
                      </m:e>
                    </m:d>
                  </m:e>
                  <m:sup>
                    <m:r>
                      <m:rPr>
                        <m:nor/>
                      </m:rPr>
                      <w:rPr>
                        <w:rFonts w:ascii="Cambria Math" w:hAnsi="Cambria Math"/>
                        <w:sz w:val="18"/>
                        <w:szCs w:val="18"/>
                        <w:lang w:val="en-US"/>
                      </w:rPr>
                      <m:t>N</m:t>
                    </m:r>
                  </m:sup>
                </m:sSup>
                <m:r>
                  <m:rPr>
                    <m:nor/>
                  </m:rPr>
                  <w:rPr>
                    <w:rFonts w:ascii="Cambria Math" w:hAnsi="Cambria Math"/>
                    <w:sz w:val="18"/>
                    <w:szCs w:val="18"/>
                    <w:lang w:val="en-US"/>
                  </w:rPr>
                  <m:t>∙</m:t>
                </m:r>
                <m:r>
                  <m:rPr>
                    <m:nor/>
                  </m:rPr>
                  <w:rPr>
                    <w:rFonts w:ascii="Cambria Math" w:hAnsi="Cambria Math"/>
                    <w:sz w:val="18"/>
                    <w:szCs w:val="18"/>
                    <w:lang w:val="en-US"/>
                  </w:rPr>
                  <m:t>exp</m:t>
                </m:r>
                <m:d>
                  <m:dPr>
                    <m:begChr m:val="["/>
                    <m:endChr m:val="]"/>
                    <m:ctrlPr>
                      <w:rPr>
                        <w:rFonts w:ascii="Cambria Math" w:hAnsi="Cambria Math"/>
                        <w:i/>
                        <w:iCs/>
                        <w:sz w:val="18"/>
                        <w:szCs w:val="18"/>
                      </w:rPr>
                    </m:ctrlPr>
                  </m:dPr>
                  <m:e>
                    <m:r>
                      <m:rPr>
                        <m:nor/>
                      </m:rPr>
                      <w:rPr>
                        <w:rFonts w:ascii="Cambria Math" w:hAnsi="Cambria Math"/>
                        <w:sz w:val="18"/>
                        <w:szCs w:val="18"/>
                        <w:lang w:val="en-US"/>
                      </w:rPr>
                      <m:t>-A∙</m:t>
                    </m:r>
                    <m:d>
                      <m:dPr>
                        <m:ctrlPr>
                          <w:rPr>
                            <w:rFonts w:ascii="Cambria Math" w:hAnsi="Cambria Math"/>
                            <w:i/>
                            <w:iCs/>
                            <w:sz w:val="18"/>
                            <w:szCs w:val="18"/>
                          </w:rPr>
                        </m:ctrlPr>
                      </m:dPr>
                      <m:e>
                        <m:f>
                          <m:fPr>
                            <m:ctrlPr>
                              <w:rPr>
                                <w:rFonts w:ascii="Cambria Math" w:hAnsi="Cambria Math"/>
                                <w:i/>
                                <w:iCs/>
                                <w:sz w:val="18"/>
                                <w:szCs w:val="18"/>
                              </w:rPr>
                            </m:ctrlPr>
                          </m:fPr>
                          <m:num>
                            <m:r>
                              <m:rPr>
                                <m:nor/>
                              </m:rPr>
                              <w:rPr>
                                <w:rFonts w:ascii="Cambria Math" w:hAnsi="Cambria Math"/>
                                <w:sz w:val="18"/>
                                <w:szCs w:val="18"/>
                                <w:lang w:val="en-US"/>
                              </w:rPr>
                              <m:t>1</m:t>
                            </m:r>
                          </m:num>
                          <m:den>
                            <m:r>
                              <m:rPr>
                                <m:nor/>
                              </m:rPr>
                              <w:rPr>
                                <w:rFonts w:ascii="Cambria Math" w:hAnsi="Cambria Math"/>
                                <w:sz w:val="18"/>
                                <w:szCs w:val="18"/>
                                <w:lang w:val="en-US"/>
                              </w:rPr>
                              <m:t>VF</m:t>
                            </m:r>
                            <m:d>
                              <m:dPr>
                                <m:ctrlPr>
                                  <w:rPr>
                                    <w:rFonts w:ascii="Cambria Math" w:hAnsi="Cambria Math"/>
                                    <w:i/>
                                    <w:iCs/>
                                    <w:sz w:val="18"/>
                                    <w:szCs w:val="18"/>
                                  </w:rPr>
                                </m:ctrlPr>
                              </m:dPr>
                              <m:e>
                                <m:r>
                                  <m:rPr>
                                    <m:nor/>
                                  </m:rPr>
                                  <w:rPr>
                                    <w:rFonts w:ascii="Cambria Math" w:hAnsi="Cambria Math"/>
                                    <w:sz w:val="18"/>
                                    <w:szCs w:val="18"/>
                                    <w:lang w:val="en-US"/>
                                  </w:rPr>
                                  <m:t>X</m:t>
                                </m:r>
                              </m:e>
                            </m:d>
                          </m:den>
                        </m:f>
                        <m:r>
                          <m:rPr>
                            <m:nor/>
                          </m:rPr>
                          <w:rPr>
                            <w:rFonts w:ascii="Cambria Math" w:hAnsi="Cambria Math"/>
                            <w:sz w:val="18"/>
                            <w:szCs w:val="18"/>
                            <w:lang w:val="en-US"/>
                          </w:rPr>
                          <m:t>-</m:t>
                        </m:r>
                        <m:f>
                          <m:fPr>
                            <m:ctrlPr>
                              <w:rPr>
                                <w:rFonts w:ascii="Cambria Math" w:hAnsi="Cambria Math"/>
                                <w:i/>
                                <w:iCs/>
                                <w:sz w:val="18"/>
                                <w:szCs w:val="18"/>
                              </w:rPr>
                            </m:ctrlPr>
                          </m:fPr>
                          <m:num>
                            <m:r>
                              <m:rPr>
                                <m:nor/>
                              </m:rPr>
                              <w:rPr>
                                <w:rFonts w:ascii="Cambria Math" w:hAnsi="Cambria Math"/>
                                <w:sz w:val="18"/>
                                <w:szCs w:val="18"/>
                                <w:lang w:val="en-US"/>
                              </w:rPr>
                              <m:t>1</m:t>
                            </m:r>
                          </m:num>
                          <m:den>
                            <m:sSub>
                              <m:sSubPr>
                                <m:ctrlPr>
                                  <w:rPr>
                                    <w:rFonts w:ascii="Cambria Math" w:hAnsi="Cambria Math"/>
                                    <w:i/>
                                    <w:iCs/>
                                    <w:sz w:val="18"/>
                                    <w:szCs w:val="18"/>
                                  </w:rPr>
                                </m:ctrlPr>
                              </m:sSubPr>
                              <m:e>
                                <m:r>
                                  <m:rPr>
                                    <m:nor/>
                                  </m:rPr>
                                  <w:rPr>
                                    <w:rFonts w:ascii="Cambria Math" w:hAnsi="Cambria Math"/>
                                    <w:sz w:val="18"/>
                                    <w:szCs w:val="18"/>
                                    <w:lang w:val="en-US"/>
                                  </w:rPr>
                                  <m:t>VF</m:t>
                                </m:r>
                              </m:e>
                              <m:sub>
                                <m:r>
                                  <m:rPr>
                                    <m:nor/>
                                  </m:rPr>
                                  <w:rPr>
                                    <w:rFonts w:ascii="Cambria Math" w:hAnsi="Cambria Math"/>
                                    <w:sz w:val="18"/>
                                    <w:szCs w:val="18"/>
                                    <w:lang w:val="en-US"/>
                                  </w:rPr>
                                  <m:t>cr1</m:t>
                                </m:r>
                              </m:sub>
                            </m:sSub>
                          </m:den>
                        </m:f>
                      </m:e>
                    </m:d>
                  </m:e>
                </m:d>
              </m:oMath>
            </m:oMathPara>
          </w:p>
        </w:tc>
        <w:tc>
          <w:tcPr>
            <w:tcW w:w="417" w:type="pct"/>
            <w:vAlign w:val="center"/>
          </w:tcPr>
          <w:p w14:paraId="5CD3B617" w14:textId="3614DFDE" w:rsidR="00FC1A0B" w:rsidRPr="00FC1A0B" w:rsidRDefault="00FC1A0B" w:rsidP="00262A5F">
            <w:pPr>
              <w:spacing w:after="120" w:line="276" w:lineRule="auto"/>
              <w:jc w:val="right"/>
              <w:rPr>
                <w:rFonts w:ascii="Times New Roman" w:hAnsi="Times New Roman" w:cs="Times New Roman"/>
                <w:sz w:val="18"/>
                <w:szCs w:val="18"/>
                <w:lang w:val="en-US"/>
              </w:rPr>
            </w:pPr>
            <w:r w:rsidRPr="00FC1A0B">
              <w:rPr>
                <w:rFonts w:ascii="Times New Roman" w:hAnsi="Times New Roman" w:cs="Times New Roman"/>
                <w:sz w:val="18"/>
                <w:szCs w:val="18"/>
                <w:lang w:val="en-US"/>
              </w:rPr>
              <w:t>(</w:t>
            </w:r>
            <w:r w:rsidR="00262A5F">
              <w:rPr>
                <w:rFonts w:ascii="Times New Roman" w:hAnsi="Times New Roman" w:cs="Times New Roman"/>
                <w:sz w:val="18"/>
                <w:szCs w:val="18"/>
                <w:lang w:val="en-US"/>
              </w:rPr>
              <w:t>1</w:t>
            </w:r>
            <w:r w:rsidRPr="00FC1A0B">
              <w:rPr>
                <w:rFonts w:ascii="Times New Roman" w:hAnsi="Times New Roman" w:cs="Times New Roman"/>
                <w:sz w:val="18"/>
                <w:szCs w:val="18"/>
                <w:lang w:val="en-US"/>
              </w:rPr>
              <w:t>)</w:t>
            </w:r>
          </w:p>
        </w:tc>
      </w:tr>
      <w:tr w:rsidR="00FC1A0B" w:rsidRPr="00FC1A0B" w14:paraId="57735416" w14:textId="77777777" w:rsidTr="00262A5F">
        <w:trPr>
          <w:trHeight w:val="283"/>
        </w:trPr>
        <w:tc>
          <w:tcPr>
            <w:tcW w:w="4583" w:type="pct"/>
            <w:vAlign w:val="center"/>
          </w:tcPr>
          <w:p w14:paraId="56F399E9" w14:textId="77777777" w:rsidR="00FC1A0B" w:rsidRPr="00FC1A0B" w:rsidRDefault="00421A16" w:rsidP="00262A5F">
            <w:pPr>
              <w:spacing w:after="120" w:line="276" w:lineRule="auto"/>
              <w:rPr>
                <w:rFonts w:eastAsia="Times New Roman" w:cs="Times New Roman"/>
                <w:sz w:val="18"/>
                <w:szCs w:val="18"/>
                <w:lang w:val="en-GB"/>
              </w:rPr>
            </w:pPr>
            <m:oMathPara>
              <m:oMathParaPr>
                <m:jc m:val="left"/>
              </m:oMathParaPr>
              <m:oMath>
                <m:sSub>
                  <m:sSubPr>
                    <m:ctrlPr>
                      <w:rPr>
                        <w:rFonts w:ascii="Cambria Math" w:hAnsi="Cambria Math"/>
                        <w:i/>
                        <w:iCs/>
                        <w:sz w:val="18"/>
                        <w:szCs w:val="18"/>
                      </w:rPr>
                    </m:ctrlPr>
                  </m:sSubPr>
                  <m:e>
                    <m:r>
                      <m:rPr>
                        <m:nor/>
                      </m:rPr>
                      <w:rPr>
                        <w:rFonts w:ascii="Cambria Math" w:hAnsi="Cambria Math"/>
                        <w:i/>
                        <w:sz w:val="18"/>
                        <w:szCs w:val="18"/>
                        <w:lang w:val="en-GB"/>
                      </w:rPr>
                      <m:t>k</m:t>
                    </m:r>
                  </m:e>
                  <m:sub>
                    <m:r>
                      <m:rPr>
                        <m:nor/>
                      </m:rPr>
                      <w:rPr>
                        <w:rFonts w:ascii="Cambria Math" w:hAnsi="Cambria Math"/>
                        <w:sz w:val="18"/>
                        <w:szCs w:val="18"/>
                        <w:lang w:val="en-GB"/>
                      </w:rPr>
                      <m:t>p</m:t>
                    </m:r>
                  </m:sub>
                </m:sSub>
                <m:d>
                  <m:dPr>
                    <m:ctrlPr>
                      <w:rPr>
                        <w:rFonts w:ascii="Cambria Math" w:hAnsi="Cambria Math"/>
                        <w:i/>
                        <w:iCs/>
                        <w:sz w:val="18"/>
                        <w:szCs w:val="18"/>
                      </w:rPr>
                    </m:ctrlPr>
                  </m:dPr>
                  <m:e>
                    <m:r>
                      <m:rPr>
                        <m:nor/>
                      </m:rPr>
                      <w:rPr>
                        <w:rFonts w:ascii="Cambria Math" w:hAnsi="Cambria Math"/>
                        <w:sz w:val="18"/>
                        <w:szCs w:val="18"/>
                        <w:lang w:val="en-GB"/>
                      </w:rPr>
                      <m:t>X</m:t>
                    </m:r>
                  </m:e>
                </m:d>
                <m:r>
                  <m:rPr>
                    <m:nor/>
                  </m:rPr>
                  <w:rPr>
                    <w:rFonts w:ascii="Cambria Math" w:hAnsi="Cambria Math"/>
                    <w:sz w:val="18"/>
                    <w:szCs w:val="18"/>
                    <w:lang w:val="en-GB"/>
                  </w:rPr>
                  <m:t>=</m:t>
                </m:r>
                <m:sSub>
                  <m:sSubPr>
                    <m:ctrlPr>
                      <w:rPr>
                        <w:rFonts w:ascii="Cambria Math" w:hAnsi="Cambria Math"/>
                        <w:i/>
                        <w:iCs/>
                        <w:sz w:val="18"/>
                        <w:szCs w:val="18"/>
                      </w:rPr>
                    </m:ctrlPr>
                  </m:sSubPr>
                  <m:e>
                    <m:r>
                      <m:rPr>
                        <m:nor/>
                      </m:rPr>
                      <w:rPr>
                        <w:rFonts w:ascii="Cambria Math" w:hAnsi="Cambria Math"/>
                        <w:sz w:val="18"/>
                        <w:szCs w:val="18"/>
                        <w:lang w:val="en-GB"/>
                      </w:rPr>
                      <m:t>k</m:t>
                    </m:r>
                  </m:e>
                  <m:sub>
                    <m:r>
                      <m:rPr>
                        <m:nor/>
                      </m:rPr>
                      <w:rPr>
                        <w:rFonts w:ascii="Cambria Math" w:hAnsi="Cambria Math"/>
                        <w:sz w:val="18"/>
                        <w:szCs w:val="18"/>
                        <w:lang w:val="en-GB"/>
                      </w:rPr>
                      <m:t>p0</m:t>
                    </m:r>
                  </m:sub>
                </m:sSub>
                <m:r>
                  <m:rPr>
                    <m:nor/>
                  </m:rPr>
                  <w:rPr>
                    <w:rFonts w:ascii="Cambria Math" w:hAnsi="Cambria Math"/>
                    <w:sz w:val="18"/>
                    <w:szCs w:val="18"/>
                    <w:lang w:val="en-GB"/>
                  </w:rPr>
                  <m:t>∙</m:t>
                </m:r>
                <m:r>
                  <m:rPr>
                    <m:nor/>
                  </m:rPr>
                  <w:rPr>
                    <w:rFonts w:ascii="Cambria Math" w:hAnsi="Cambria Math"/>
                    <w:sz w:val="18"/>
                    <w:szCs w:val="18"/>
                    <w:lang w:val="en-GB"/>
                  </w:rPr>
                  <m:t>exp</m:t>
                </m:r>
                <m:d>
                  <m:dPr>
                    <m:begChr m:val="["/>
                    <m:endChr m:val="]"/>
                    <m:ctrlPr>
                      <w:rPr>
                        <w:rFonts w:ascii="Cambria Math" w:hAnsi="Cambria Math"/>
                        <w:i/>
                        <w:iCs/>
                        <w:sz w:val="18"/>
                        <w:szCs w:val="18"/>
                      </w:rPr>
                    </m:ctrlPr>
                  </m:dPr>
                  <m:e>
                    <m:r>
                      <m:rPr>
                        <m:nor/>
                      </m:rPr>
                      <w:rPr>
                        <w:rFonts w:ascii="Cambria Math" w:hAnsi="Cambria Math"/>
                        <w:sz w:val="18"/>
                        <w:szCs w:val="18"/>
                        <w:lang w:val="en-GB"/>
                      </w:rPr>
                      <m:t>-B∙</m:t>
                    </m:r>
                    <m:d>
                      <m:dPr>
                        <m:ctrlPr>
                          <w:rPr>
                            <w:rFonts w:ascii="Cambria Math" w:hAnsi="Cambria Math"/>
                            <w:i/>
                            <w:iCs/>
                            <w:sz w:val="18"/>
                            <w:szCs w:val="18"/>
                          </w:rPr>
                        </m:ctrlPr>
                      </m:dPr>
                      <m:e>
                        <m:f>
                          <m:fPr>
                            <m:ctrlPr>
                              <w:rPr>
                                <w:rFonts w:ascii="Cambria Math" w:hAnsi="Cambria Math"/>
                                <w:i/>
                                <w:iCs/>
                                <w:sz w:val="18"/>
                                <w:szCs w:val="18"/>
                              </w:rPr>
                            </m:ctrlPr>
                          </m:fPr>
                          <m:num>
                            <m:r>
                              <m:rPr>
                                <m:nor/>
                              </m:rPr>
                              <w:rPr>
                                <w:rFonts w:ascii="Cambria Math" w:hAnsi="Cambria Math"/>
                                <w:sz w:val="18"/>
                                <w:szCs w:val="18"/>
                                <w:lang w:val="en-GB"/>
                              </w:rPr>
                              <m:t>1</m:t>
                            </m:r>
                          </m:num>
                          <m:den>
                            <m:r>
                              <m:rPr>
                                <m:nor/>
                              </m:rPr>
                              <w:rPr>
                                <w:rFonts w:ascii="Cambria Math" w:hAnsi="Cambria Math"/>
                                <w:sz w:val="18"/>
                                <w:szCs w:val="18"/>
                                <w:lang w:val="en-GB"/>
                              </w:rPr>
                              <m:t>VF</m:t>
                            </m:r>
                            <m:d>
                              <m:dPr>
                                <m:ctrlPr>
                                  <w:rPr>
                                    <w:rFonts w:ascii="Cambria Math" w:hAnsi="Cambria Math"/>
                                    <w:i/>
                                    <w:iCs/>
                                    <w:sz w:val="18"/>
                                    <w:szCs w:val="18"/>
                                  </w:rPr>
                                </m:ctrlPr>
                              </m:dPr>
                              <m:e>
                                <m:r>
                                  <m:rPr>
                                    <m:nor/>
                                  </m:rPr>
                                  <w:rPr>
                                    <w:rFonts w:ascii="Cambria Math" w:hAnsi="Cambria Math"/>
                                    <w:sz w:val="18"/>
                                    <w:szCs w:val="18"/>
                                    <w:lang w:val="en-GB"/>
                                  </w:rPr>
                                  <m:t>X</m:t>
                                </m:r>
                              </m:e>
                            </m:d>
                          </m:den>
                        </m:f>
                        <m:r>
                          <m:rPr>
                            <m:nor/>
                          </m:rPr>
                          <w:rPr>
                            <w:rFonts w:ascii="Cambria Math" w:hAnsi="Cambria Math"/>
                            <w:sz w:val="18"/>
                            <w:szCs w:val="18"/>
                            <w:lang w:val="en-GB"/>
                          </w:rPr>
                          <m:t>-</m:t>
                        </m:r>
                        <m:f>
                          <m:fPr>
                            <m:ctrlPr>
                              <w:rPr>
                                <w:rFonts w:ascii="Cambria Math" w:hAnsi="Cambria Math"/>
                                <w:i/>
                                <w:iCs/>
                                <w:sz w:val="18"/>
                                <w:szCs w:val="18"/>
                              </w:rPr>
                            </m:ctrlPr>
                          </m:fPr>
                          <m:num>
                            <m:r>
                              <m:rPr>
                                <m:nor/>
                              </m:rPr>
                              <w:rPr>
                                <w:rFonts w:ascii="Cambria Math" w:hAnsi="Cambria Math"/>
                                <w:sz w:val="18"/>
                                <w:szCs w:val="18"/>
                                <w:lang w:val="en-GB"/>
                              </w:rPr>
                              <m:t>1</m:t>
                            </m:r>
                          </m:num>
                          <m:den>
                            <m:sSub>
                              <m:sSubPr>
                                <m:ctrlPr>
                                  <w:rPr>
                                    <w:rFonts w:ascii="Cambria Math" w:hAnsi="Cambria Math"/>
                                    <w:i/>
                                    <w:iCs/>
                                    <w:sz w:val="18"/>
                                    <w:szCs w:val="18"/>
                                  </w:rPr>
                                </m:ctrlPr>
                              </m:sSubPr>
                              <m:e>
                                <m:r>
                                  <m:rPr>
                                    <m:nor/>
                                  </m:rPr>
                                  <w:rPr>
                                    <w:rFonts w:ascii="Cambria Math" w:hAnsi="Cambria Math"/>
                                    <w:sz w:val="18"/>
                                    <w:szCs w:val="18"/>
                                    <w:lang w:val="en-GB"/>
                                  </w:rPr>
                                  <m:t>VF</m:t>
                                </m:r>
                              </m:e>
                              <m:sub>
                                <m:r>
                                  <m:rPr>
                                    <m:nor/>
                                  </m:rPr>
                                  <w:rPr>
                                    <w:rFonts w:ascii="Cambria Math" w:hAnsi="Cambria Math"/>
                                    <w:sz w:val="18"/>
                                    <w:szCs w:val="18"/>
                                    <w:lang w:val="en-GB"/>
                                  </w:rPr>
                                  <m:t>cr2</m:t>
                                </m:r>
                              </m:sub>
                            </m:sSub>
                          </m:den>
                        </m:f>
                      </m:e>
                    </m:d>
                  </m:e>
                </m:d>
              </m:oMath>
            </m:oMathPara>
          </w:p>
        </w:tc>
        <w:tc>
          <w:tcPr>
            <w:tcW w:w="417" w:type="pct"/>
            <w:vAlign w:val="center"/>
          </w:tcPr>
          <w:p w14:paraId="5A645DE7" w14:textId="11244390" w:rsidR="00FC1A0B" w:rsidRPr="00FC1A0B" w:rsidRDefault="00FC1A0B" w:rsidP="00262A5F">
            <w:pPr>
              <w:spacing w:after="120" w:line="276" w:lineRule="auto"/>
              <w:jc w:val="right"/>
              <w:rPr>
                <w:rFonts w:ascii="Times New Roman" w:hAnsi="Times New Roman" w:cs="Times New Roman"/>
                <w:sz w:val="18"/>
                <w:szCs w:val="18"/>
                <w:lang w:val="en-US"/>
              </w:rPr>
            </w:pPr>
            <w:r w:rsidRPr="00FC1A0B">
              <w:rPr>
                <w:rFonts w:ascii="Times New Roman" w:hAnsi="Times New Roman" w:cs="Times New Roman"/>
                <w:sz w:val="18"/>
                <w:szCs w:val="18"/>
                <w:lang w:val="en-US"/>
              </w:rPr>
              <w:t>(</w:t>
            </w:r>
            <w:r w:rsidR="00262A5F">
              <w:rPr>
                <w:rFonts w:ascii="Times New Roman" w:hAnsi="Times New Roman" w:cs="Times New Roman"/>
                <w:noProof/>
                <w:sz w:val="18"/>
                <w:szCs w:val="18"/>
                <w:lang w:val="en-US"/>
              </w:rPr>
              <w:t>2</w:t>
            </w:r>
            <w:r w:rsidRPr="00FC1A0B">
              <w:rPr>
                <w:rFonts w:ascii="Times New Roman" w:hAnsi="Times New Roman" w:cs="Times New Roman"/>
                <w:sz w:val="18"/>
                <w:szCs w:val="18"/>
                <w:lang w:val="en-US"/>
              </w:rPr>
              <w:t>)</w:t>
            </w:r>
          </w:p>
        </w:tc>
      </w:tr>
    </w:tbl>
    <w:p w14:paraId="144DE69D" w14:textId="728E766E" w:rsidR="008D2649" w:rsidRDefault="000F3B53" w:rsidP="008D2649">
      <w:pPr>
        <w:pStyle w:val="Els-2ndorder-head"/>
      </w:pPr>
      <w:r w:rsidRPr="000F3B53">
        <w:lastRenderedPageBreak/>
        <w:t>Experimental validation</w:t>
      </w:r>
      <w:r w:rsidR="008D2649">
        <w:t xml:space="preserve"> </w:t>
      </w:r>
    </w:p>
    <w:p w14:paraId="144DE6A0" w14:textId="381BD324" w:rsidR="008D2649" w:rsidRDefault="00986011" w:rsidP="008D2649">
      <w:pPr>
        <w:pStyle w:val="Els-body-text"/>
      </w:pPr>
      <w:r w:rsidRPr="00626286">
        <w:t xml:space="preserve">To validate the </w:t>
      </w:r>
      <w:r>
        <w:t>mathematical</w:t>
      </w:r>
      <w:r w:rsidRPr="00626286">
        <w:t xml:space="preserve"> </w:t>
      </w:r>
      <w:r>
        <w:t xml:space="preserve">model </w:t>
      </w:r>
      <w:r w:rsidRPr="00626286">
        <w:t xml:space="preserve">and </w:t>
      </w:r>
      <w:r w:rsidR="002C6D13">
        <w:t>the</w:t>
      </w:r>
      <w:r w:rsidRPr="00626286">
        <w:t xml:space="preserve"> modifications </w:t>
      </w:r>
      <w:r>
        <w:t>proposed in the</w:t>
      </w:r>
      <w:r w:rsidRPr="00626286">
        <w:t xml:space="preserve"> </w:t>
      </w:r>
      <w:r>
        <w:t>simulator</w:t>
      </w:r>
      <w:r w:rsidRPr="00626286">
        <w:t>, part of th</w:t>
      </w:r>
      <w:r>
        <w:t xml:space="preserve">e work presented by </w:t>
      </w:r>
      <w:r w:rsidR="00BD5786">
        <w:fldChar w:fldCharType="begin" w:fldLock="1"/>
      </w:r>
      <w:r w:rsidR="0041392E">
        <w:instrText>ADDIN CSL_CITATION {"citationItems":[{"id":"ITEM-1","itemData":{"DOI":"10.1002/app.1993.070500214","abstract":"Abstract The plasticizing effect of n-pentane on the rate of bulk free radical polymerization of styrene and molecular weight distribution development has been modeled on the basis of the free volume theory for both monofunctional and bifunctional initiation. A strong decrease in the reaction rate in the late stages of the polymerization, due to the displacement of the onset of the gel effect, has been observed for both types of initiation. This decrease in the polymerization rate limited the terminal conversion to values well below 100% for mono-functional initiation. However, in bifunctionally initiated polymerization, terminal conversions close to 100% were obtained in spite of the decrease in reaction rate. Contrary to what was expected, the molecular weight distribution obtained at terminal conversion was almost completely insensitive to these changes in polymerization rate. This phenomenon is explained in terms of limited transfer to monomer reactions when n-pentane is present in the system. In suspension polymerization, the limiting conversion and plasticizing effects of n-pentane in monofunctionally initiated systems, caused enhanced coalescence leading to suspension set-up. In bifunctionally initiated systems this enhanced coalescence was completely overcome by the short duration of the particle growth stage, owing to high polymerization rates, and stable suspensions were achieved. For these systems the particle size distributions obtained were similar to that of suspension polystyrene without n-pentane. © 1993 John Wiley &amp; Sons, Inc.","author":[{"dropping-particle":"","family":"Villalobos","given":"Marco A","non-dropping-particle":"","parse-names":false,"suffix":""},{"dropping-particle":"","family":"Hamielec","given":"Archie E","non-dropping-particle":"","parse-names":false,"suffix":""},{"dropping-particle":"","family":"Wood","given":"Philip E","non-dropping-particle":"","parse-names":false,"suffix":""}],"container-title":"Journal of Applied Polymer Science","id":"ITEM-1","issue":"2","issued":{"date-parts":[["1993"]]},"page":"327-343","title":"Bulk and suspension polymerization of styrene in the presence of n-pentane. An evaluation of monofunctional and bifunctional initiation","type":"article-journal","volume":"50"},"uris":["http://www.mendeley.com/documents/?uuid=3912c071-4121-40d3-88f2-407113781665"]}],"mendeley":{"formattedCitation":"(Villalobos et al., 1993)","manualFormatting":"Villalobos et al. (1993)","plainTextFormattedCitation":"(Villalobos et al., 1993)","previouslyFormattedCitation":"(Villalobos et al., 1993)"},"properties":{"noteIndex":0},"schema":"https://github.com/citation-style-language/schema/raw/master/csl-citation.json"}</w:instrText>
      </w:r>
      <w:r w:rsidR="00BD5786">
        <w:fldChar w:fldCharType="separate"/>
      </w:r>
      <w:r w:rsidR="00BD5786" w:rsidRPr="00BD5786">
        <w:rPr>
          <w:noProof/>
        </w:rPr>
        <w:t>Villalobos et al.</w:t>
      </w:r>
      <w:r w:rsidR="00BD5786">
        <w:rPr>
          <w:noProof/>
        </w:rPr>
        <w:t xml:space="preserve"> (</w:t>
      </w:r>
      <w:r w:rsidR="00BD5786" w:rsidRPr="00BD5786">
        <w:rPr>
          <w:noProof/>
        </w:rPr>
        <w:t>1993)</w:t>
      </w:r>
      <w:r w:rsidR="00BD5786">
        <w:fldChar w:fldCharType="end"/>
      </w:r>
      <w:r w:rsidR="00BD5786">
        <w:t xml:space="preserve"> </w:t>
      </w:r>
      <w:r w:rsidRPr="00626286">
        <w:t xml:space="preserve">was replicated. The authors presented a study on the effect of adding the impregnating agent in several stages of the </w:t>
      </w:r>
      <w:r w:rsidR="00A35688">
        <w:t xml:space="preserve">experimental </w:t>
      </w:r>
      <w:r w:rsidRPr="00626286">
        <w:t xml:space="preserve">reaction. Suspension polymerization and impregnation of polystyrene with </w:t>
      </w:r>
      <w:r w:rsidRPr="00A35688">
        <w:rPr>
          <w:i/>
          <w:iCs/>
        </w:rPr>
        <w:t>n</w:t>
      </w:r>
      <w:r w:rsidRPr="00626286">
        <w:t>-pe</w:t>
      </w:r>
      <w:r>
        <w:t>ntane were carried out in a 3.2 </w:t>
      </w:r>
      <w:r w:rsidRPr="00626286">
        <w:t>L reac</w:t>
      </w:r>
      <w:r>
        <w:t>tor with Rushton stirrer type at 350 </w:t>
      </w:r>
      <w:r w:rsidRPr="00626286">
        <w:t>rpm at</w:t>
      </w:r>
      <w:r>
        <w:t xml:space="preserve"> 90 °</w:t>
      </w:r>
      <w:r w:rsidRPr="00626286">
        <w:t>C and an initia</w:t>
      </w:r>
      <w:r>
        <w:t>tor concentration (BPO) of 0.01 mol·</w:t>
      </w:r>
      <w:r w:rsidRPr="00626286">
        <w:t>L</w:t>
      </w:r>
      <w:r w:rsidRPr="00626286">
        <w:rPr>
          <w:vertAlign w:val="superscript"/>
        </w:rPr>
        <w:t>-1</w:t>
      </w:r>
      <w:r w:rsidRPr="00626286">
        <w:t xml:space="preserve"> </w:t>
      </w:r>
      <w:r>
        <w:t xml:space="preserve">of </w:t>
      </w:r>
      <w:r w:rsidRPr="00626286">
        <w:t>styrene. The suspending agent was tricalcium phosphate (TCP</w:t>
      </w:r>
      <w:r>
        <w:t>) at a concentration of 7.5 g·</w:t>
      </w:r>
      <w:r w:rsidRPr="00626286">
        <w:t>L</w:t>
      </w:r>
      <w:r w:rsidRPr="00626286">
        <w:rPr>
          <w:vertAlign w:val="superscript"/>
        </w:rPr>
        <w:t>-1</w:t>
      </w:r>
      <w:r w:rsidRPr="00626286">
        <w:t>.</w:t>
      </w:r>
    </w:p>
    <w:p w14:paraId="6C33FCED" w14:textId="1C8001BA" w:rsidR="0036272C" w:rsidRDefault="0036272C" w:rsidP="0036272C">
      <w:pPr>
        <w:pStyle w:val="Els-body-text"/>
      </w:pPr>
      <w:r>
        <w:t>To validate the proposed modified model, the mean</w:t>
      </w:r>
      <w:r w:rsidR="005F4CE0">
        <w:t>-</w:t>
      </w:r>
      <w:r>
        <w:t xml:space="preserve">squared error (MSE) was calculated to measure the agreement between simulated data and experimental values obtained from </w:t>
      </w:r>
      <w:r>
        <w:fldChar w:fldCharType="begin" w:fldLock="1"/>
      </w:r>
      <w:r w:rsidR="00BD5786">
        <w:instrText>ADDIN CSL_CITATION {"citationItems":[{"id":"ITEM-1","itemData":{"DOI":"10.1002/app.1991.070420309","abstract":"Abstract A model describing the kinetics of bulk styrene polymerization through bifunctional initiators has been developed. The diffusion-controlled propagation and termination reactions at high monomer conversions are modeled with the free volume theory for polymer solutions. Three different commercially available bifunctional initiators were experimentally evaluated for a wide range of polymerization conditions to study the effect of the reaction rate on the molecular weight and molecular weight distribution. The model predictions for the same polymerization conditions show excellent agreement with the experimental data, for the whole range of conversions, for both reaction rate and molecular weight distribution development, under all the conditions tested. It is demonstrated throughout this study that high molecular weights, very high reaction rates, and narrow molecular weight distributions can be achieved simultaneously by using bifunctional initiators. A comparison between monofunctionally initiated systems with the bifunctionally initiated ones shows that short-cycle reactions with reductions in polymerization time of up to 75% may be achieved with the bifunctional initiators for a wider range of conditions without significantly affecting the molecular weight and molecular weight distribution of the final product.","author":[{"dropping-particle":"","family":"Villalobos","given":"M A","non-dropping-particle":"","parse-names":false,"suffix":""},{"dropping-particle":"","family":"Hamielec","given":"A E","non-dropping-particle":"","parse-names":false,"suffix":""},{"dropping-particle":"","family":"Wood","given":"P E","non-dropping-particle":"","parse-names":false,"suffix":""}],"container-title":"Journal of Applied Polymer Science","id":"ITEM-1","issue":"3","issued":{"date-parts":[["1991"]]},"page":"629-641","title":"Kinetic model for short-cycle bulk styrene polymerization through bifunctional initiators","type":"article-journal","volume":"42"},"uris":["http://www.mendeley.com/documents/?uuid=af3d1658-093b-4bbd-ac53-f41256bbdbfb"]}],"mendeley":{"formattedCitation":"(Villalobos et al., 1991)","manualFormatting":"Villalobos et al. (1991)","plainTextFormattedCitation":"(Villalobos et al., 1991)","previouslyFormattedCitation":"(Villalobos et al., 1991)"},"properties":{"noteIndex":0},"schema":"https://github.com/citation-style-language/schema/raw/master/csl-citation.json"}</w:instrText>
      </w:r>
      <w:r>
        <w:fldChar w:fldCharType="separate"/>
      </w:r>
      <w:r w:rsidRPr="00446EF7">
        <w:rPr>
          <w:noProof/>
        </w:rPr>
        <w:t>Villalobos et al.</w:t>
      </w:r>
      <w:r>
        <w:rPr>
          <w:noProof/>
        </w:rPr>
        <w:t xml:space="preserve"> (</w:t>
      </w:r>
      <w:r w:rsidRPr="00446EF7">
        <w:rPr>
          <w:noProof/>
        </w:rPr>
        <w:t>1991)</w:t>
      </w:r>
      <w:r>
        <w:fldChar w:fldCharType="end"/>
      </w:r>
      <w:r>
        <w:t xml:space="preserve">, as </w:t>
      </w:r>
      <w:r w:rsidR="006C2F58">
        <w:t>shown</w:t>
      </w:r>
      <w:r>
        <w:t xml:space="preserve"> by Equation (3). </w:t>
      </w:r>
    </w:p>
    <w:p w14:paraId="0BB5B30A" w14:textId="77777777" w:rsidR="0036272C" w:rsidRDefault="0036272C" w:rsidP="0036272C">
      <w:pPr>
        <w:pStyle w:val="Els-body-text"/>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5"/>
        <w:gridCol w:w="591"/>
      </w:tblGrid>
      <w:tr w:rsidR="004A26B7" w:rsidRPr="004A26B7" w14:paraId="4532806D" w14:textId="77777777" w:rsidTr="001313B3">
        <w:tc>
          <w:tcPr>
            <w:tcW w:w="4583" w:type="pct"/>
          </w:tcPr>
          <w:p w14:paraId="7EB1F17B" w14:textId="77777777" w:rsidR="004A26B7" w:rsidRPr="004A26B7" w:rsidRDefault="004A26B7" w:rsidP="004A26B7">
            <w:pPr>
              <w:rPr>
                <w:sz w:val="18"/>
                <w:szCs w:val="18"/>
              </w:rPr>
            </w:pPr>
            <m:oMathPara>
              <m:oMathParaPr>
                <m:jc m:val="left"/>
              </m:oMathParaPr>
              <m:oMath>
                <m:r>
                  <w:rPr>
                    <w:rFonts w:ascii="Cambria Math" w:hAnsi="Cambria Math"/>
                    <w:sz w:val="18"/>
                    <w:szCs w:val="18"/>
                  </w:rPr>
                  <m:t>MSE=</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n</m:t>
                    </m:r>
                  </m:den>
                </m:f>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p>
                      <m:sSupPr>
                        <m:ctrlPr>
                          <w:rPr>
                            <w:rFonts w:ascii="Cambria Math" w:hAnsi="Cambria Math"/>
                            <w:i/>
                            <w:sz w:val="18"/>
                            <w:szCs w:val="18"/>
                          </w:rPr>
                        </m:ctrlPr>
                      </m:sSupPr>
                      <m:e>
                        <m:d>
                          <m:dPr>
                            <m:ctrlPr>
                              <w:rPr>
                                <w:rFonts w:ascii="Cambria Math" w:hAnsi="Cambria Math"/>
                                <w:i/>
                                <w:sz w:val="18"/>
                                <w:szCs w:val="18"/>
                              </w:rPr>
                            </m:ctrlPr>
                          </m:dPr>
                          <m:e>
                            <w:bookmarkStart w:id="0" w:name="_Hlk73712920"/>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Y</m:t>
                                    </m:r>
                                  </m:e>
                                </m:acc>
                              </m:e>
                              <m:sub>
                                <m:r>
                                  <w:rPr>
                                    <w:rFonts w:ascii="Cambria Math" w:hAnsi="Cambria Math"/>
                                    <w:sz w:val="18"/>
                                    <w:szCs w:val="18"/>
                                  </w:rPr>
                                  <m:t>i</m:t>
                                </m:r>
                              </m:sub>
                            </m:sSub>
                            <w:bookmarkEnd w:id="0"/>
                          </m:e>
                        </m:d>
                      </m:e>
                      <m:sup>
                        <m:r>
                          <w:rPr>
                            <w:rFonts w:ascii="Cambria Math" w:hAnsi="Cambria Math"/>
                            <w:sz w:val="18"/>
                            <w:szCs w:val="18"/>
                          </w:rPr>
                          <m:t>2</m:t>
                        </m:r>
                      </m:sup>
                    </m:sSup>
                  </m:e>
                </m:nary>
              </m:oMath>
            </m:oMathPara>
          </w:p>
        </w:tc>
        <w:tc>
          <w:tcPr>
            <w:tcW w:w="417" w:type="pct"/>
            <w:vAlign w:val="center"/>
          </w:tcPr>
          <w:p w14:paraId="0B89EC14" w14:textId="53B02FD6" w:rsidR="004A26B7" w:rsidRPr="004A26B7" w:rsidRDefault="004A26B7" w:rsidP="004A26B7">
            <w:pPr>
              <w:jc w:val="right"/>
              <w:rPr>
                <w:rFonts w:ascii="Times New Roman" w:hAnsi="Times New Roman" w:cs="Times New Roman"/>
                <w:sz w:val="18"/>
                <w:szCs w:val="18"/>
              </w:rPr>
            </w:pPr>
            <w:r w:rsidRPr="004A26B7">
              <w:rPr>
                <w:rFonts w:ascii="Times New Roman" w:hAnsi="Times New Roman" w:cs="Times New Roman"/>
                <w:sz w:val="18"/>
                <w:szCs w:val="18"/>
                <w:lang w:val="en-US"/>
              </w:rPr>
              <w:t>(</w:t>
            </w:r>
            <w:r w:rsidR="00B100F8">
              <w:rPr>
                <w:rFonts w:ascii="Times New Roman" w:hAnsi="Times New Roman" w:cs="Times New Roman"/>
                <w:noProof/>
                <w:sz w:val="18"/>
                <w:szCs w:val="18"/>
                <w:lang w:val="en-US"/>
              </w:rPr>
              <w:t>3</w:t>
            </w:r>
            <w:r w:rsidRPr="004A26B7">
              <w:rPr>
                <w:rFonts w:ascii="Times New Roman" w:hAnsi="Times New Roman" w:cs="Times New Roman"/>
                <w:sz w:val="18"/>
                <w:szCs w:val="18"/>
                <w:lang w:val="en-US"/>
              </w:rPr>
              <w:t>)</w:t>
            </w:r>
          </w:p>
        </w:tc>
      </w:tr>
    </w:tbl>
    <w:p w14:paraId="20A49235" w14:textId="77777777" w:rsidR="0036272C" w:rsidRPr="005C44B3" w:rsidRDefault="0036272C" w:rsidP="0036272C">
      <w:pPr>
        <w:pStyle w:val="Els-body-text"/>
      </w:pPr>
    </w:p>
    <w:p w14:paraId="057B7659" w14:textId="4B77A4BC" w:rsidR="0036272C" w:rsidRDefault="0036272C" w:rsidP="0036272C">
      <w:pPr>
        <w:pStyle w:val="Els-body-text"/>
      </w:pPr>
      <w:r>
        <w:t>The mean</w:t>
      </w:r>
      <w:r w:rsidR="005F4CE0">
        <w:t>-</w:t>
      </w:r>
      <w:r>
        <w:t>absolute percentage error (MAPE) was also calculated</w:t>
      </w:r>
      <w:r w:rsidR="005C44B3">
        <w:t xml:space="preserve">, </w:t>
      </w:r>
      <w:r>
        <w:t>according to Equation (</w:t>
      </w:r>
      <w:r w:rsidR="005C44B3">
        <w:t>4</w:t>
      </w:r>
      <w:r>
        <w:t>)</w:t>
      </w:r>
      <w:r w:rsidR="005C44B3">
        <w:t xml:space="preserve">, </w:t>
      </w:r>
      <w:r>
        <w:t>as the average between the errors of the simulated points.</w:t>
      </w:r>
    </w:p>
    <w:p w14:paraId="31D8092A" w14:textId="77777777" w:rsidR="0036272C" w:rsidRPr="005C44B3" w:rsidRDefault="0036272C" w:rsidP="008D2649">
      <w:pPr>
        <w:pStyle w:val="Els-body-text"/>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4"/>
        <w:gridCol w:w="482"/>
      </w:tblGrid>
      <w:tr w:rsidR="004B1E23" w:rsidRPr="004B1E23" w14:paraId="2C3391BE" w14:textId="77777777" w:rsidTr="001313B3">
        <w:tc>
          <w:tcPr>
            <w:tcW w:w="4660" w:type="pct"/>
          </w:tcPr>
          <w:p w14:paraId="4BD544CD" w14:textId="77777777" w:rsidR="004B1E23" w:rsidRPr="004B1E23" w:rsidRDefault="004B1E23" w:rsidP="004B1E23">
            <w:pPr>
              <w:rPr>
                <w:sz w:val="18"/>
                <w:szCs w:val="18"/>
              </w:rPr>
            </w:pPr>
            <m:oMathPara>
              <m:oMathParaPr>
                <m:jc m:val="left"/>
              </m:oMathParaPr>
              <m:oMath>
                <m:r>
                  <w:rPr>
                    <w:rFonts w:ascii="Cambria Math" w:hAnsi="Cambria Math"/>
                    <w:sz w:val="18"/>
                    <w:szCs w:val="18"/>
                  </w:rPr>
                  <m:t>MAPE=</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n</m:t>
                    </m:r>
                  </m:den>
                </m:f>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d>
                      <m:dPr>
                        <m:ctrlPr>
                          <w:rPr>
                            <w:rFonts w:ascii="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Y</m:t>
                                    </m:r>
                                  </m:e>
                                </m:acc>
                              </m:e>
                              <m:sub>
                                <m:r>
                                  <w:rPr>
                                    <w:rFonts w:ascii="Cambria Math" w:hAnsi="Cambria Math"/>
                                    <w:sz w:val="18"/>
                                    <w:szCs w:val="18"/>
                                  </w:rPr>
                                  <m:t>i</m:t>
                                </m:r>
                              </m:sub>
                            </m:sSub>
                          </m:num>
                          <m:den>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i</m:t>
                                </m:r>
                              </m:sub>
                            </m:sSub>
                          </m:den>
                        </m:f>
                      </m:e>
                    </m:d>
                  </m:e>
                </m:nary>
                <m:r>
                  <w:rPr>
                    <w:rFonts w:ascii="Cambria Math" w:hAnsi="Cambria Math"/>
                    <w:sz w:val="18"/>
                    <w:szCs w:val="18"/>
                  </w:rPr>
                  <m:t>∙100</m:t>
                </m:r>
              </m:oMath>
            </m:oMathPara>
          </w:p>
        </w:tc>
        <w:tc>
          <w:tcPr>
            <w:tcW w:w="340" w:type="pct"/>
            <w:vAlign w:val="center"/>
          </w:tcPr>
          <w:p w14:paraId="4FBD4CAE" w14:textId="7E334DBD" w:rsidR="004B1E23" w:rsidRPr="004B1E23" w:rsidRDefault="004B1E23" w:rsidP="004B1E23">
            <w:pPr>
              <w:jc w:val="right"/>
              <w:rPr>
                <w:rFonts w:ascii="Times New Roman" w:hAnsi="Times New Roman" w:cs="Times New Roman"/>
                <w:sz w:val="18"/>
                <w:szCs w:val="18"/>
              </w:rPr>
            </w:pPr>
            <w:r w:rsidRPr="004B1E23">
              <w:rPr>
                <w:rFonts w:ascii="Times New Roman" w:hAnsi="Times New Roman" w:cs="Times New Roman"/>
                <w:sz w:val="18"/>
                <w:szCs w:val="18"/>
                <w:lang w:val="en-US"/>
              </w:rPr>
              <w:t>(</w:t>
            </w:r>
            <w:r w:rsidR="00B100F8">
              <w:rPr>
                <w:rFonts w:ascii="Times New Roman" w:hAnsi="Times New Roman" w:cs="Times New Roman"/>
                <w:noProof/>
                <w:sz w:val="18"/>
                <w:szCs w:val="18"/>
                <w:lang w:val="en-US"/>
              </w:rPr>
              <w:t>4</w:t>
            </w:r>
            <w:r w:rsidRPr="004B1E23">
              <w:rPr>
                <w:rFonts w:ascii="Times New Roman" w:hAnsi="Times New Roman" w:cs="Times New Roman"/>
                <w:sz w:val="18"/>
                <w:szCs w:val="18"/>
                <w:lang w:val="en-US"/>
              </w:rPr>
              <w:t>)</w:t>
            </w:r>
          </w:p>
        </w:tc>
      </w:tr>
    </w:tbl>
    <w:p w14:paraId="144DE6A1" w14:textId="0A19D25E" w:rsidR="008D2649" w:rsidRPr="00A94774" w:rsidRDefault="008B12F5" w:rsidP="008D2649">
      <w:pPr>
        <w:pStyle w:val="Els-1storder-head"/>
        <w:spacing w:after="120"/>
        <w:rPr>
          <w:lang w:val="en-GB"/>
        </w:rPr>
      </w:pPr>
      <w:r w:rsidRPr="008B12F5">
        <w:rPr>
          <w:lang w:val="en-GB"/>
        </w:rPr>
        <w:t>Results and discussions</w:t>
      </w:r>
    </w:p>
    <w:p w14:paraId="5C6F9489" w14:textId="15A86B92" w:rsidR="007C0A3C" w:rsidRDefault="00A0749D" w:rsidP="008D2649">
      <w:pPr>
        <w:pStyle w:val="Els-body-text"/>
        <w:spacing w:after="120"/>
        <w:rPr>
          <w:lang w:val="en-GB"/>
        </w:rPr>
      </w:pPr>
      <w:r w:rsidRPr="00A0749D">
        <w:rPr>
          <w:lang w:val="en-GB"/>
        </w:rPr>
        <w:t xml:space="preserve">To evaluate the simulation built </w:t>
      </w:r>
      <w:r>
        <w:rPr>
          <w:lang w:val="en-GB"/>
        </w:rPr>
        <w:t>with</w:t>
      </w:r>
      <w:r w:rsidRPr="00A0749D">
        <w:rPr>
          <w:lang w:val="en-GB"/>
        </w:rPr>
        <w:t xml:space="preserve"> the modified model, part of the work by </w:t>
      </w:r>
      <w:r w:rsidR="00BD5786">
        <w:fldChar w:fldCharType="begin" w:fldLock="1"/>
      </w:r>
      <w:r w:rsidR="0041392E">
        <w:instrText>ADDIN CSL_CITATION {"citationItems":[{"id":"ITEM-1","itemData":{"DOI":"10.1002/app.1993.070500214","abstract":"Abstract The plasticizing effect of n-pentane on the rate of bulk free radical polymerization of styrene and molecular weight distribution development has been modeled on the basis of the free volume theory for both monofunctional and bifunctional initiation. A strong decrease in the reaction rate in the late stages of the polymerization, due to the displacement of the onset of the gel effect, has been observed for both types of initiation. This decrease in the polymerization rate limited the terminal conversion to values well below 100% for mono-functional initiation. However, in bifunctionally initiated polymerization, terminal conversions close to 100% were obtained in spite of the decrease in reaction rate. Contrary to what was expected, the molecular weight distribution obtained at terminal conversion was almost completely insensitive to these changes in polymerization rate. This phenomenon is explained in terms of limited transfer to monomer reactions when n-pentane is present in the system. In suspension polymerization, the limiting conversion and plasticizing effects of n-pentane in monofunctionally initiated systems, caused enhanced coalescence leading to suspension set-up. In bifunctionally initiated systems this enhanced coalescence was completely overcome by the short duration of the particle growth stage, owing to high polymerization rates, and stable suspensions were achieved. For these systems the particle size distributions obtained were similar to that of suspension polystyrene without n-pentane. © 1993 John Wiley &amp; Sons, Inc.","author":[{"dropping-particle":"","family":"Villalobos","given":"Marco A","non-dropping-particle":"","parse-names":false,"suffix":""},{"dropping-particle":"","family":"Hamielec","given":"Archie E","non-dropping-particle":"","parse-names":false,"suffix":""},{"dropping-particle":"","family":"Wood","given":"Philip E","non-dropping-particle":"","parse-names":false,"suffix":""}],"container-title":"Journal of Applied Polymer Science","id":"ITEM-1","issue":"2","issued":{"date-parts":[["1993"]]},"page":"327-343","title":"Bulk and suspension polymerization of styrene in the presence of n-pentane. An evaluation of monofunctional and bifunctional initiation","type":"article-journal","volume":"50"},"uris":["http://www.mendeley.com/documents/?uuid=3912c071-4121-40d3-88f2-407113781665"]}],"mendeley":{"formattedCitation":"(Villalobos et al., 1993)","manualFormatting":"Villalobos et al. (1993)","plainTextFormattedCitation":"(Villalobos et al., 1993)","previouslyFormattedCitation":"(Villalobos et al., 1993)"},"properties":{"noteIndex":0},"schema":"https://github.com/citation-style-language/schema/raw/master/csl-citation.json"}</w:instrText>
      </w:r>
      <w:r w:rsidR="00BD5786">
        <w:fldChar w:fldCharType="separate"/>
      </w:r>
      <w:r w:rsidR="00BD5786" w:rsidRPr="00BD5786">
        <w:rPr>
          <w:noProof/>
        </w:rPr>
        <w:t>Villalobos et al.</w:t>
      </w:r>
      <w:r w:rsidR="00BD5786">
        <w:rPr>
          <w:noProof/>
        </w:rPr>
        <w:t xml:space="preserve"> (</w:t>
      </w:r>
      <w:r w:rsidR="00BD5786" w:rsidRPr="00BD5786">
        <w:rPr>
          <w:noProof/>
        </w:rPr>
        <w:t>1993)</w:t>
      </w:r>
      <w:r w:rsidR="00BD5786">
        <w:fldChar w:fldCharType="end"/>
      </w:r>
      <w:r w:rsidRPr="00A0749D">
        <w:rPr>
          <w:lang w:val="en-GB"/>
        </w:rPr>
        <w:t xml:space="preserve"> was reproduced. Figure 2 shows the comparison between the experimental data for 7.5% </w:t>
      </w:r>
      <w:r w:rsidRPr="00BD5786">
        <w:rPr>
          <w:i/>
          <w:iCs/>
          <w:lang w:val="en-GB"/>
        </w:rPr>
        <w:t>n</w:t>
      </w:r>
      <w:r w:rsidRPr="00A0749D">
        <w:rPr>
          <w:lang w:val="en-GB"/>
        </w:rPr>
        <w:t xml:space="preserve">P5 with the simulations </w:t>
      </w:r>
      <w:r w:rsidR="00825A25">
        <w:rPr>
          <w:lang w:val="en-GB"/>
        </w:rPr>
        <w:t xml:space="preserve">(i) </w:t>
      </w:r>
      <w:r w:rsidRPr="00A0749D">
        <w:rPr>
          <w:lang w:val="en-GB"/>
        </w:rPr>
        <w:t xml:space="preserve">without gel effect correlation, </w:t>
      </w:r>
      <w:r w:rsidR="00825A25">
        <w:rPr>
          <w:lang w:val="en-GB"/>
        </w:rPr>
        <w:t xml:space="preserve">(ii) </w:t>
      </w:r>
      <w:r w:rsidRPr="00A0749D">
        <w:rPr>
          <w:lang w:val="en-GB"/>
        </w:rPr>
        <w:t xml:space="preserve">with the software's default correlation, and </w:t>
      </w:r>
      <w:r w:rsidR="00825A25">
        <w:rPr>
          <w:lang w:val="en-GB"/>
        </w:rPr>
        <w:t xml:space="preserve">(iii) </w:t>
      </w:r>
      <w:r w:rsidRPr="00A0749D">
        <w:rPr>
          <w:lang w:val="en-GB"/>
        </w:rPr>
        <w:t>with the model's implemented user correlation.</w:t>
      </w:r>
    </w:p>
    <w:p w14:paraId="6546595A" w14:textId="5745DAA9" w:rsidR="005123F5" w:rsidRDefault="000C68AD" w:rsidP="008D2649">
      <w:pPr>
        <w:pStyle w:val="Els-body-text"/>
        <w:spacing w:after="120"/>
        <w:rPr>
          <w:lang w:val="en-GB"/>
        </w:rPr>
      </w:pPr>
      <w:r w:rsidRPr="002F5A08">
        <w:rPr>
          <w:noProof/>
          <w:color w:val="000000"/>
          <w:sz w:val="22"/>
          <w:szCs w:val="22"/>
          <w:lang w:val="pt-BR" w:eastAsia="pt-BR"/>
        </w:rPr>
        <w:drawing>
          <wp:inline distT="0" distB="0" distL="0" distR="0" wp14:anchorId="2DE278DC" wp14:editId="6443663D">
            <wp:extent cx="3600000" cy="2208550"/>
            <wp:effectExtent l="0" t="0" r="635" b="1270"/>
            <wp:docPr id="970940506" name="Imagem 970940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0" cy="2208550"/>
                    </a:xfrm>
                    <a:prstGeom prst="rect">
                      <a:avLst/>
                    </a:prstGeom>
                    <a:noFill/>
                  </pic:spPr>
                </pic:pic>
              </a:graphicData>
            </a:graphic>
          </wp:inline>
        </w:drawing>
      </w:r>
    </w:p>
    <w:p w14:paraId="72185956" w14:textId="4DA4843F" w:rsidR="000C68AD" w:rsidRDefault="000C68AD" w:rsidP="000C68AD">
      <w:pPr>
        <w:pStyle w:val="Els-body-text"/>
      </w:pPr>
      <w:r w:rsidRPr="00E26911">
        <w:rPr>
          <w:b/>
          <w:bCs/>
        </w:rPr>
        <w:t xml:space="preserve">Figure </w:t>
      </w:r>
      <w:r>
        <w:rPr>
          <w:b/>
          <w:bCs/>
        </w:rPr>
        <w:t>2</w:t>
      </w:r>
      <w:r>
        <w:t xml:space="preserve">. </w:t>
      </w:r>
      <w:r w:rsidR="005869FC" w:rsidRPr="005869FC">
        <w:t>Comparison between the simulated and the literature data obtained.</w:t>
      </w:r>
    </w:p>
    <w:p w14:paraId="14F50E6D" w14:textId="77777777" w:rsidR="000C68AD" w:rsidRDefault="000C68AD" w:rsidP="008D2649">
      <w:pPr>
        <w:pStyle w:val="Els-body-text"/>
        <w:spacing w:after="120"/>
        <w:rPr>
          <w:lang w:val="en-GB"/>
        </w:rPr>
      </w:pPr>
    </w:p>
    <w:p w14:paraId="77E12F05" w14:textId="79F53D01" w:rsidR="00AA5B90" w:rsidRDefault="00AC5386" w:rsidP="008D2649">
      <w:pPr>
        <w:pStyle w:val="Els-body-text"/>
        <w:spacing w:after="120"/>
        <w:rPr>
          <w:lang w:val="en-GB"/>
        </w:rPr>
      </w:pPr>
      <w:r w:rsidRPr="00AC5386">
        <w:rPr>
          <w:lang w:val="en-GB"/>
        </w:rPr>
        <w:t xml:space="preserve">Table 1 </w:t>
      </w:r>
      <w:r w:rsidR="00C305B9">
        <w:rPr>
          <w:lang w:val="en-GB"/>
        </w:rPr>
        <w:t>shows</w:t>
      </w:r>
      <w:r w:rsidRPr="00AC5386">
        <w:rPr>
          <w:lang w:val="en-GB"/>
        </w:rPr>
        <w:t xml:space="preserve"> the statistical treatment data for the simulations produced without correlation for the gel effect and with the correlation implemented in the Aspen Polymers</w:t>
      </w:r>
      <w:r w:rsidRPr="00AC5386">
        <w:rPr>
          <w:vertAlign w:val="superscript"/>
          <w:lang w:val="en-GB"/>
        </w:rPr>
        <w:t>®</w:t>
      </w:r>
      <w:r w:rsidRPr="00AC5386">
        <w:rPr>
          <w:lang w:val="en-GB"/>
        </w:rPr>
        <w:t xml:space="preserve"> software.</w:t>
      </w:r>
      <w:r>
        <w:rPr>
          <w:lang w:val="en-GB"/>
        </w:rPr>
        <w:t xml:space="preserve"> </w:t>
      </w:r>
      <w:r w:rsidRPr="00AC5386">
        <w:rPr>
          <w:lang w:val="en-GB"/>
        </w:rPr>
        <w:t xml:space="preserve">In the work by </w:t>
      </w:r>
      <w:r w:rsidR="0041392E">
        <w:rPr>
          <w:lang w:val="en-GB"/>
        </w:rPr>
        <w:fldChar w:fldCharType="begin" w:fldLock="1"/>
      </w:r>
      <w:r w:rsidR="008A2128">
        <w:rPr>
          <w:lang w:val="en-GB"/>
        </w:rPr>
        <w:instrText>ADDIN CSL_CITATION {"citationItems":[{"id":"ITEM-1","itemData":{"DOI":"10.1002/(SICI)1097-4628(19970321)63:12&lt;1649::AID-APP16&gt;3.0.CO;2-V","ISSN":"0021-8995","abstract":"Abstract A systematic quantitative method for the selection of models for the high-conversion free radical polymerization exhibiting gel and glass effects has been developed. Four representative models were selected from the literature and were compared on the basis of the same experimental data. All models describe the isothermal time-conversion data over the entire conversion range for a single type and loading of initiator well. Models that are not considering the effect of molecular weight of the polymers on the diffusion of macro radicals fail to describe the time-conversion data if the concentration of the initiator varies at the same time. By simultaneous fitting of the conversion and polymerization degree data it was shown that the Marten-Hamielec model and its extended form (Panke-Stickler-Hamielec model) were not able to describe the number average polymerization degree Pn at the final conversion, where the glass effect occurs. This occurred because both models neglect the change of the radical efficiency f in this region, which has more effect on Pn than the change of the propagation rate coefficient (see part II of this series). ? 1997 John Wiley &amp; Sons, Inc. J Appl Polym Sci 63: 1649?1661, 1997","author":[{"dropping-particle":"","family":"Tefera","given":"N","non-dropping-particle":"","parse-names":false,"suffix":""},{"dropping-particle":"","family":"Weickert","given":"G","non-dropping-particle":"","parse-names":false,"suffix":""},{"dropping-particle":"","family":"Westerterp","given":"K R","non-dropping-particle":"","parse-names":false,"suffix":""}],"container-title":"Journal of Applied Polymer Science","id":"ITEM-1","issue":"12","issued":{"date-parts":[["1997","3","21"]]},"note":"doi: 10.1002/(SICI)1097-4628(19970321)63:123.0.CO;2-V","page":"1649-1661","publisher":"John Wiley &amp; Sons, Ltd","title":"Modeling of free radical polymerization up to high conversion. I. A method for the selection of models by simultaneous parameter estimation","type":"article-journal","volume":"63"},"uris":["http://www.mendeley.com/documents/?uuid=fead3bd3-67f7-4ae1-95b9-9256e665963d"]}],"mendeley":{"formattedCitation":"(Tefera et al., 1997)","manualFormatting":"Tefera et al. (1997)","plainTextFormattedCitation":"(Tefera et al., 1997)","previouslyFormattedCitation":"(Tefera et al., 1997)"},"properties":{"noteIndex":0},"schema":"https://github.com/citation-style-language/schema/raw/master/csl-citation.json"}</w:instrText>
      </w:r>
      <w:r w:rsidR="0041392E">
        <w:rPr>
          <w:lang w:val="en-GB"/>
        </w:rPr>
        <w:fldChar w:fldCharType="separate"/>
      </w:r>
      <w:r w:rsidR="0041392E" w:rsidRPr="0041392E">
        <w:rPr>
          <w:noProof/>
          <w:lang w:val="en-GB"/>
        </w:rPr>
        <w:t>Tefera et al.</w:t>
      </w:r>
      <w:r w:rsidR="00AA5B90">
        <w:rPr>
          <w:noProof/>
          <w:lang w:val="en-GB"/>
        </w:rPr>
        <w:t xml:space="preserve"> (</w:t>
      </w:r>
      <w:r w:rsidR="0041392E" w:rsidRPr="0041392E">
        <w:rPr>
          <w:noProof/>
          <w:lang w:val="en-GB"/>
        </w:rPr>
        <w:t>1997)</w:t>
      </w:r>
      <w:r w:rsidR="0041392E">
        <w:rPr>
          <w:lang w:val="en-GB"/>
        </w:rPr>
        <w:fldChar w:fldCharType="end"/>
      </w:r>
      <w:r w:rsidRPr="00AC5386">
        <w:rPr>
          <w:lang w:val="en-GB"/>
        </w:rPr>
        <w:t xml:space="preserve">, which deals with the selection </w:t>
      </w:r>
      <w:r w:rsidRPr="00AC5386">
        <w:rPr>
          <w:lang w:val="en-GB"/>
        </w:rPr>
        <w:lastRenderedPageBreak/>
        <w:t>of mathematical models, four models for polymerization via free</w:t>
      </w:r>
      <w:r w:rsidR="00DB7D03">
        <w:rPr>
          <w:lang w:val="en-GB"/>
        </w:rPr>
        <w:t>-</w:t>
      </w:r>
      <w:r w:rsidRPr="00AC5386">
        <w:rPr>
          <w:lang w:val="en-GB"/>
        </w:rPr>
        <w:t xml:space="preserve">radicals were evaluated, and all presented errors of up to 10% in the simulations used to estimate </w:t>
      </w:r>
      <w:r w:rsidR="00831857">
        <w:rPr>
          <w:lang w:val="en-GB"/>
        </w:rPr>
        <w:t xml:space="preserve">the </w:t>
      </w:r>
      <w:r w:rsidRPr="00AC5386">
        <w:rPr>
          <w:lang w:val="en-GB"/>
        </w:rPr>
        <w:t xml:space="preserve">parameters. Therefore, according to this criterion, the model with the implemented user </w:t>
      </w:r>
      <w:r w:rsidR="0007713E">
        <w:rPr>
          <w:lang w:val="en-GB"/>
        </w:rPr>
        <w:t>correlation</w:t>
      </w:r>
      <w:r w:rsidRPr="00AC5386">
        <w:rPr>
          <w:lang w:val="en-GB"/>
        </w:rPr>
        <w:t xml:space="preserve"> was the only one that presented </w:t>
      </w:r>
      <w:r w:rsidR="00AA5B90">
        <w:rPr>
          <w:lang w:val="en-GB"/>
        </w:rPr>
        <w:t>MAPE</w:t>
      </w:r>
      <w:r w:rsidRPr="00AC5386">
        <w:rPr>
          <w:lang w:val="en-GB"/>
        </w:rPr>
        <w:t xml:space="preserve"> lower than 10%, considered acceptable.</w:t>
      </w:r>
    </w:p>
    <w:p w14:paraId="0B632B53" w14:textId="6B2A038E" w:rsidR="00881846" w:rsidRDefault="00881846" w:rsidP="008D2649">
      <w:pPr>
        <w:pStyle w:val="Els-body-text"/>
        <w:spacing w:after="120"/>
        <w:rPr>
          <w:lang w:val="en-GB"/>
        </w:rPr>
      </w:pPr>
      <w:r w:rsidRPr="00881846">
        <w:rPr>
          <w:b/>
          <w:bCs/>
          <w:lang w:val="en-GB"/>
        </w:rPr>
        <w:t>Table 1</w:t>
      </w:r>
      <w:r>
        <w:rPr>
          <w:lang w:val="en-GB"/>
        </w:rPr>
        <w:t xml:space="preserve">. </w:t>
      </w:r>
      <w:r w:rsidR="009A5287" w:rsidRPr="009A5287">
        <w:rPr>
          <w:lang w:val="en-GB"/>
        </w:rPr>
        <w:t xml:space="preserve">Comparative statistical analysis between the </w:t>
      </w:r>
      <w:r w:rsidR="009A5287">
        <w:rPr>
          <w:lang w:val="en-GB"/>
        </w:rPr>
        <w:t xml:space="preserve">simulated </w:t>
      </w:r>
      <w:r w:rsidR="009A5287" w:rsidRPr="009A5287">
        <w:rPr>
          <w:lang w:val="en-GB"/>
        </w:rPr>
        <w:t>models.</w:t>
      </w:r>
    </w:p>
    <w:tbl>
      <w:tblPr>
        <w:tblW w:w="5000" w:type="pct"/>
        <w:tblLayout w:type="fixed"/>
        <w:tblCellMar>
          <w:left w:w="70" w:type="dxa"/>
          <w:right w:w="70" w:type="dxa"/>
        </w:tblCellMar>
        <w:tblLook w:val="04A0" w:firstRow="1" w:lastRow="0" w:firstColumn="1" w:lastColumn="0" w:noHBand="0" w:noVBand="1"/>
      </w:tblPr>
      <w:tblGrid>
        <w:gridCol w:w="986"/>
        <w:gridCol w:w="1137"/>
        <w:gridCol w:w="856"/>
        <w:gridCol w:w="1135"/>
        <w:gridCol w:w="853"/>
        <w:gridCol w:w="1135"/>
        <w:gridCol w:w="984"/>
      </w:tblGrid>
      <w:tr w:rsidR="001B1B0B" w:rsidRPr="00AC03F5" w14:paraId="11DD56D2" w14:textId="328D6283" w:rsidTr="00D2402A">
        <w:trPr>
          <w:trHeight w:val="20"/>
        </w:trPr>
        <w:tc>
          <w:tcPr>
            <w:tcW w:w="696" w:type="pct"/>
            <w:vMerge w:val="restart"/>
            <w:tcBorders>
              <w:top w:val="single" w:sz="4" w:space="0" w:color="auto"/>
            </w:tcBorders>
            <w:shd w:val="clear" w:color="auto" w:fill="auto"/>
            <w:vAlign w:val="center"/>
            <w:hideMark/>
          </w:tcPr>
          <w:p w14:paraId="123A51F7" w14:textId="52D8580E" w:rsidR="00AC03F5" w:rsidRPr="00AC03F5" w:rsidRDefault="00062A52" w:rsidP="001313B3">
            <w:pPr>
              <w:jc w:val="center"/>
              <w:rPr>
                <w:b/>
                <w:color w:val="000000"/>
                <w:lang w:eastAsia="pt-BR"/>
              </w:rPr>
            </w:pPr>
            <w:bookmarkStart w:id="1" w:name="_Hlk515294850"/>
            <w:r>
              <w:rPr>
                <w:b/>
                <w:color w:val="000000"/>
                <w:lang w:eastAsia="pt-BR"/>
              </w:rPr>
              <w:t>Time</w:t>
            </w:r>
            <w:r w:rsidR="001B1B0B">
              <w:rPr>
                <w:b/>
                <w:color w:val="000000"/>
                <w:lang w:eastAsia="pt-BR"/>
              </w:rPr>
              <w:t xml:space="preserve"> </w:t>
            </w:r>
            <w:r w:rsidR="00AC03F5" w:rsidRPr="00AC03F5">
              <w:rPr>
                <w:b/>
                <w:color w:val="000000"/>
                <w:lang w:eastAsia="pt-BR"/>
              </w:rPr>
              <w:t>(min)</w:t>
            </w:r>
          </w:p>
        </w:tc>
        <w:tc>
          <w:tcPr>
            <w:tcW w:w="1406" w:type="pct"/>
            <w:gridSpan w:val="2"/>
            <w:tcBorders>
              <w:top w:val="single" w:sz="4" w:space="0" w:color="auto"/>
              <w:bottom w:val="single" w:sz="4" w:space="0" w:color="auto"/>
            </w:tcBorders>
            <w:shd w:val="clear" w:color="auto" w:fill="auto"/>
            <w:noWrap/>
            <w:vAlign w:val="center"/>
            <w:hideMark/>
          </w:tcPr>
          <w:p w14:paraId="626728C6" w14:textId="1B373CF6" w:rsidR="00AC03F5" w:rsidRPr="00AC03F5" w:rsidRDefault="00607739" w:rsidP="001313B3">
            <w:pPr>
              <w:jc w:val="center"/>
              <w:rPr>
                <w:b/>
                <w:color w:val="000000"/>
                <w:lang w:eastAsia="pt-BR"/>
              </w:rPr>
            </w:pPr>
            <w:r>
              <w:rPr>
                <w:b/>
                <w:color w:val="000000"/>
                <w:lang w:eastAsia="pt-BR"/>
              </w:rPr>
              <w:t xml:space="preserve">(i) </w:t>
            </w:r>
            <w:r w:rsidR="00AC03F5" w:rsidRPr="00AC03F5">
              <w:rPr>
                <w:b/>
                <w:color w:val="000000"/>
                <w:lang w:eastAsia="pt-BR"/>
              </w:rPr>
              <w:t>Without gel</w:t>
            </w:r>
          </w:p>
        </w:tc>
        <w:tc>
          <w:tcPr>
            <w:tcW w:w="1403" w:type="pct"/>
            <w:gridSpan w:val="2"/>
            <w:tcBorders>
              <w:top w:val="single" w:sz="4" w:space="0" w:color="auto"/>
              <w:bottom w:val="single" w:sz="4" w:space="0" w:color="auto"/>
            </w:tcBorders>
            <w:shd w:val="clear" w:color="auto" w:fill="auto"/>
            <w:noWrap/>
            <w:vAlign w:val="center"/>
            <w:hideMark/>
          </w:tcPr>
          <w:p w14:paraId="2A942F0A" w14:textId="31F55C0A" w:rsidR="00AC03F5" w:rsidRPr="00AC03F5" w:rsidRDefault="00607739" w:rsidP="001313B3">
            <w:pPr>
              <w:jc w:val="center"/>
              <w:rPr>
                <w:b/>
                <w:color w:val="000000"/>
                <w:lang w:eastAsia="pt-BR"/>
              </w:rPr>
            </w:pPr>
            <w:r>
              <w:rPr>
                <w:b/>
                <w:color w:val="000000"/>
                <w:lang w:eastAsia="pt-BR"/>
              </w:rPr>
              <w:t xml:space="preserve">(ii) </w:t>
            </w:r>
            <w:r w:rsidR="00AC03F5" w:rsidRPr="00AC03F5">
              <w:rPr>
                <w:b/>
                <w:color w:val="000000"/>
                <w:lang w:eastAsia="pt-BR"/>
              </w:rPr>
              <w:t>Standard model</w:t>
            </w:r>
          </w:p>
        </w:tc>
        <w:tc>
          <w:tcPr>
            <w:tcW w:w="1496" w:type="pct"/>
            <w:gridSpan w:val="2"/>
            <w:tcBorders>
              <w:top w:val="single" w:sz="4" w:space="0" w:color="auto"/>
              <w:bottom w:val="single" w:sz="4" w:space="0" w:color="auto"/>
            </w:tcBorders>
          </w:tcPr>
          <w:p w14:paraId="7508FD26" w14:textId="1E0AD0FB" w:rsidR="00AC03F5" w:rsidRPr="00AC03F5" w:rsidRDefault="00607739" w:rsidP="001313B3">
            <w:pPr>
              <w:jc w:val="center"/>
              <w:rPr>
                <w:b/>
                <w:color w:val="000000"/>
                <w:lang w:eastAsia="pt-BR"/>
              </w:rPr>
            </w:pPr>
            <w:r>
              <w:rPr>
                <w:b/>
                <w:color w:val="000000"/>
                <w:lang w:eastAsia="pt-BR"/>
              </w:rPr>
              <w:t xml:space="preserve">(iii) </w:t>
            </w:r>
            <w:r w:rsidR="00AC03F5" w:rsidRPr="00AC03F5">
              <w:rPr>
                <w:b/>
                <w:color w:val="000000"/>
                <w:lang w:eastAsia="pt-BR"/>
              </w:rPr>
              <w:t>Modified model</w:t>
            </w:r>
          </w:p>
        </w:tc>
      </w:tr>
      <w:tr w:rsidR="00D2402A" w:rsidRPr="00AC03F5" w14:paraId="27050380" w14:textId="5D32D4DE" w:rsidTr="00D2402A">
        <w:trPr>
          <w:trHeight w:val="20"/>
        </w:trPr>
        <w:tc>
          <w:tcPr>
            <w:tcW w:w="696" w:type="pct"/>
            <w:vMerge/>
            <w:tcBorders>
              <w:bottom w:val="single" w:sz="4" w:space="0" w:color="auto"/>
            </w:tcBorders>
            <w:vAlign w:val="center"/>
            <w:hideMark/>
          </w:tcPr>
          <w:p w14:paraId="73587500" w14:textId="77777777" w:rsidR="00D2402A" w:rsidRPr="00AC03F5" w:rsidRDefault="00D2402A" w:rsidP="00D2402A">
            <w:pPr>
              <w:rPr>
                <w:b/>
                <w:color w:val="000000"/>
                <w:lang w:eastAsia="pt-BR"/>
              </w:rPr>
            </w:pPr>
          </w:p>
        </w:tc>
        <w:tc>
          <w:tcPr>
            <w:tcW w:w="802" w:type="pct"/>
            <w:tcBorders>
              <w:top w:val="single" w:sz="4" w:space="0" w:color="auto"/>
              <w:bottom w:val="single" w:sz="4" w:space="0" w:color="auto"/>
            </w:tcBorders>
            <w:shd w:val="clear" w:color="auto" w:fill="auto"/>
            <w:noWrap/>
            <w:vAlign w:val="center"/>
            <w:hideMark/>
          </w:tcPr>
          <w:p w14:paraId="238D827A" w14:textId="5172C641" w:rsidR="00D2402A" w:rsidRPr="00091654" w:rsidRDefault="00D2402A" w:rsidP="00D2402A">
            <w:pPr>
              <w:jc w:val="center"/>
              <w:rPr>
                <w:b/>
                <w:i/>
                <w:iCs/>
                <w:color w:val="000000"/>
                <w:lang w:eastAsia="pt-BR"/>
              </w:rPr>
            </w:pPr>
            <w:r w:rsidRPr="00A3263C">
              <w:rPr>
                <w:b/>
                <w:i/>
                <w:iCs/>
                <w:color w:val="000000"/>
                <w:lang w:eastAsia="pt-BR"/>
              </w:rPr>
              <w:t>MSE</w:t>
            </w:r>
          </w:p>
        </w:tc>
        <w:tc>
          <w:tcPr>
            <w:tcW w:w="603" w:type="pct"/>
            <w:tcBorders>
              <w:top w:val="single" w:sz="4" w:space="0" w:color="auto"/>
              <w:bottom w:val="single" w:sz="4" w:space="0" w:color="auto"/>
            </w:tcBorders>
            <w:shd w:val="clear" w:color="auto" w:fill="auto"/>
            <w:noWrap/>
            <w:vAlign w:val="center"/>
            <w:hideMark/>
          </w:tcPr>
          <w:p w14:paraId="06D3575E" w14:textId="354DAD38" w:rsidR="00D2402A" w:rsidRPr="00AC03F5" w:rsidRDefault="00D2402A" w:rsidP="00D2402A">
            <w:pPr>
              <w:jc w:val="center"/>
              <w:rPr>
                <w:b/>
                <w:i/>
                <w:color w:val="000000"/>
                <w:lang w:eastAsia="pt-BR"/>
              </w:rPr>
            </w:pPr>
            <w:r>
              <w:rPr>
                <w:b/>
                <w:i/>
                <w:iCs/>
                <w:color w:val="000000"/>
                <w:lang w:eastAsia="pt-BR"/>
              </w:rPr>
              <w:t>MAPE</w:t>
            </w:r>
          </w:p>
        </w:tc>
        <w:tc>
          <w:tcPr>
            <w:tcW w:w="801" w:type="pct"/>
            <w:tcBorders>
              <w:top w:val="single" w:sz="4" w:space="0" w:color="auto"/>
              <w:bottom w:val="single" w:sz="4" w:space="0" w:color="auto"/>
            </w:tcBorders>
            <w:shd w:val="clear" w:color="auto" w:fill="auto"/>
            <w:noWrap/>
            <w:vAlign w:val="center"/>
            <w:hideMark/>
          </w:tcPr>
          <w:p w14:paraId="74CB6AD7" w14:textId="5E8A19AF" w:rsidR="00D2402A" w:rsidRPr="00AC03F5" w:rsidRDefault="00D2402A" w:rsidP="00D2402A">
            <w:pPr>
              <w:jc w:val="center"/>
              <w:rPr>
                <w:b/>
                <w:color w:val="000000"/>
                <w:lang w:eastAsia="pt-BR"/>
              </w:rPr>
            </w:pPr>
            <w:r w:rsidRPr="00A3263C">
              <w:rPr>
                <w:b/>
                <w:i/>
                <w:iCs/>
                <w:color w:val="000000"/>
                <w:lang w:eastAsia="pt-BR"/>
              </w:rPr>
              <w:t>MSE</w:t>
            </w:r>
          </w:p>
        </w:tc>
        <w:tc>
          <w:tcPr>
            <w:tcW w:w="602" w:type="pct"/>
            <w:tcBorders>
              <w:top w:val="single" w:sz="4" w:space="0" w:color="auto"/>
              <w:bottom w:val="single" w:sz="4" w:space="0" w:color="auto"/>
            </w:tcBorders>
            <w:shd w:val="clear" w:color="auto" w:fill="auto"/>
            <w:noWrap/>
            <w:vAlign w:val="center"/>
            <w:hideMark/>
          </w:tcPr>
          <w:p w14:paraId="3ACEB510" w14:textId="1E78945A" w:rsidR="00D2402A" w:rsidRPr="00AC03F5" w:rsidRDefault="00D2402A" w:rsidP="00D2402A">
            <w:pPr>
              <w:jc w:val="center"/>
              <w:rPr>
                <w:b/>
                <w:i/>
                <w:color w:val="000000"/>
                <w:lang w:eastAsia="pt-BR"/>
              </w:rPr>
            </w:pPr>
            <w:r>
              <w:rPr>
                <w:b/>
                <w:i/>
                <w:iCs/>
                <w:color w:val="000000"/>
                <w:lang w:eastAsia="pt-BR"/>
              </w:rPr>
              <w:t>MAPE</w:t>
            </w:r>
          </w:p>
        </w:tc>
        <w:tc>
          <w:tcPr>
            <w:tcW w:w="801" w:type="pct"/>
            <w:tcBorders>
              <w:top w:val="single" w:sz="4" w:space="0" w:color="auto"/>
              <w:bottom w:val="single" w:sz="4" w:space="0" w:color="auto"/>
            </w:tcBorders>
            <w:vAlign w:val="center"/>
          </w:tcPr>
          <w:p w14:paraId="72110915" w14:textId="341D13DD" w:rsidR="00D2402A" w:rsidRPr="00AC03F5" w:rsidRDefault="00D2402A" w:rsidP="00D2402A">
            <w:pPr>
              <w:jc w:val="center"/>
              <w:rPr>
                <w:b/>
                <w:i/>
                <w:color w:val="000000"/>
                <w:lang w:eastAsia="pt-BR"/>
              </w:rPr>
            </w:pPr>
            <w:r w:rsidRPr="00A3263C">
              <w:rPr>
                <w:b/>
                <w:i/>
                <w:iCs/>
                <w:color w:val="000000"/>
                <w:lang w:eastAsia="pt-BR"/>
              </w:rPr>
              <w:t>MSE</w:t>
            </w:r>
          </w:p>
        </w:tc>
        <w:tc>
          <w:tcPr>
            <w:tcW w:w="695" w:type="pct"/>
            <w:tcBorders>
              <w:top w:val="single" w:sz="4" w:space="0" w:color="auto"/>
              <w:bottom w:val="single" w:sz="4" w:space="0" w:color="auto"/>
            </w:tcBorders>
            <w:vAlign w:val="center"/>
          </w:tcPr>
          <w:p w14:paraId="021D2F9B" w14:textId="5D4456BA" w:rsidR="00D2402A" w:rsidRPr="00AC03F5" w:rsidRDefault="00D2402A" w:rsidP="00D2402A">
            <w:pPr>
              <w:jc w:val="center"/>
              <w:rPr>
                <w:b/>
                <w:i/>
                <w:color w:val="000000"/>
                <w:lang w:eastAsia="pt-BR"/>
              </w:rPr>
            </w:pPr>
            <w:r>
              <w:rPr>
                <w:b/>
                <w:i/>
                <w:iCs/>
                <w:color w:val="000000"/>
                <w:lang w:eastAsia="pt-BR"/>
              </w:rPr>
              <w:t>MAPE</w:t>
            </w:r>
          </w:p>
        </w:tc>
      </w:tr>
      <w:tr w:rsidR="00B855B9" w:rsidRPr="00AC03F5" w14:paraId="3BAF4E6D" w14:textId="15F7C3CE" w:rsidTr="00D2402A">
        <w:trPr>
          <w:trHeight w:val="20"/>
        </w:trPr>
        <w:tc>
          <w:tcPr>
            <w:tcW w:w="696" w:type="pct"/>
            <w:tcBorders>
              <w:top w:val="single" w:sz="4" w:space="0" w:color="auto"/>
            </w:tcBorders>
            <w:shd w:val="clear" w:color="auto" w:fill="auto"/>
            <w:noWrap/>
            <w:vAlign w:val="center"/>
            <w:hideMark/>
          </w:tcPr>
          <w:p w14:paraId="0664136E" w14:textId="0423DA13" w:rsidR="00AC03F5" w:rsidRPr="00AC03F5" w:rsidRDefault="00AC03F5" w:rsidP="00AC03F5">
            <w:pPr>
              <w:jc w:val="center"/>
              <w:rPr>
                <w:color w:val="000000"/>
                <w:lang w:eastAsia="pt-BR"/>
              </w:rPr>
            </w:pPr>
            <w:r w:rsidRPr="00AC03F5">
              <w:rPr>
                <w:b/>
                <w:color w:val="000000"/>
                <w:lang w:eastAsia="pt-BR"/>
              </w:rPr>
              <w:t>60</w:t>
            </w:r>
          </w:p>
        </w:tc>
        <w:tc>
          <w:tcPr>
            <w:tcW w:w="802" w:type="pct"/>
            <w:tcBorders>
              <w:top w:val="single" w:sz="4" w:space="0" w:color="auto"/>
            </w:tcBorders>
            <w:shd w:val="clear" w:color="auto" w:fill="auto"/>
            <w:noWrap/>
            <w:vAlign w:val="center"/>
            <w:hideMark/>
          </w:tcPr>
          <w:p w14:paraId="484A12D7" w14:textId="22171B21"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000006</w:t>
            </w:r>
          </w:p>
        </w:tc>
        <w:tc>
          <w:tcPr>
            <w:tcW w:w="603" w:type="pct"/>
            <w:tcBorders>
              <w:top w:val="single" w:sz="4" w:space="0" w:color="auto"/>
            </w:tcBorders>
            <w:shd w:val="clear" w:color="auto" w:fill="auto"/>
            <w:noWrap/>
            <w:vAlign w:val="center"/>
            <w:hideMark/>
          </w:tcPr>
          <w:p w14:paraId="5CC19E91" w14:textId="0A6E847F" w:rsidR="00AC03F5" w:rsidRPr="00AC03F5" w:rsidRDefault="00AC03F5" w:rsidP="00AC03F5">
            <w:pPr>
              <w:jc w:val="center"/>
              <w:rPr>
                <w:color w:val="000000"/>
                <w:lang w:eastAsia="pt-BR"/>
              </w:rPr>
            </w:pPr>
            <w:r w:rsidRPr="00AC03F5">
              <w:rPr>
                <w:color w:val="000000"/>
                <w:lang w:eastAsia="pt-BR"/>
              </w:rPr>
              <w:t>2</w:t>
            </w:r>
            <w:r w:rsidR="009428DD">
              <w:rPr>
                <w:color w:val="000000"/>
                <w:lang w:eastAsia="pt-BR"/>
              </w:rPr>
              <w:t>.</w:t>
            </w:r>
            <w:r w:rsidRPr="00AC03F5">
              <w:rPr>
                <w:color w:val="000000"/>
                <w:lang w:eastAsia="pt-BR"/>
              </w:rPr>
              <w:t>8%</w:t>
            </w:r>
          </w:p>
        </w:tc>
        <w:tc>
          <w:tcPr>
            <w:tcW w:w="801" w:type="pct"/>
            <w:tcBorders>
              <w:top w:val="single" w:sz="4" w:space="0" w:color="auto"/>
            </w:tcBorders>
            <w:shd w:val="clear" w:color="auto" w:fill="auto"/>
            <w:noWrap/>
            <w:vAlign w:val="center"/>
            <w:hideMark/>
          </w:tcPr>
          <w:p w14:paraId="0AED0010" w14:textId="70256604"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000002</w:t>
            </w:r>
          </w:p>
        </w:tc>
        <w:tc>
          <w:tcPr>
            <w:tcW w:w="602" w:type="pct"/>
            <w:tcBorders>
              <w:top w:val="single" w:sz="4" w:space="0" w:color="auto"/>
            </w:tcBorders>
            <w:shd w:val="clear" w:color="auto" w:fill="auto"/>
            <w:noWrap/>
            <w:vAlign w:val="center"/>
            <w:hideMark/>
          </w:tcPr>
          <w:p w14:paraId="4128220E" w14:textId="33391AAA" w:rsidR="00AC03F5" w:rsidRPr="00AC03F5" w:rsidRDefault="00AC03F5" w:rsidP="00AC03F5">
            <w:pPr>
              <w:jc w:val="center"/>
              <w:rPr>
                <w:color w:val="000000"/>
                <w:lang w:eastAsia="pt-BR"/>
              </w:rPr>
            </w:pPr>
            <w:r w:rsidRPr="00AC03F5">
              <w:rPr>
                <w:color w:val="000000"/>
                <w:lang w:eastAsia="pt-BR"/>
              </w:rPr>
              <w:t>1</w:t>
            </w:r>
            <w:r w:rsidR="009428DD">
              <w:rPr>
                <w:color w:val="000000"/>
                <w:lang w:eastAsia="pt-BR"/>
              </w:rPr>
              <w:t>.</w:t>
            </w:r>
            <w:r w:rsidRPr="00AC03F5">
              <w:rPr>
                <w:color w:val="000000"/>
                <w:lang w:eastAsia="pt-BR"/>
              </w:rPr>
              <w:t>6%</w:t>
            </w:r>
          </w:p>
        </w:tc>
        <w:tc>
          <w:tcPr>
            <w:tcW w:w="801" w:type="pct"/>
            <w:tcBorders>
              <w:top w:val="single" w:sz="4" w:space="0" w:color="auto"/>
            </w:tcBorders>
            <w:vAlign w:val="center"/>
          </w:tcPr>
          <w:p w14:paraId="36943A7B" w14:textId="6D1EBF20"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0000061</w:t>
            </w:r>
          </w:p>
        </w:tc>
        <w:tc>
          <w:tcPr>
            <w:tcW w:w="695" w:type="pct"/>
            <w:tcBorders>
              <w:top w:val="single" w:sz="4" w:space="0" w:color="auto"/>
            </w:tcBorders>
            <w:vAlign w:val="center"/>
          </w:tcPr>
          <w:p w14:paraId="5D1F62A4" w14:textId="7223986B" w:rsidR="00AC03F5" w:rsidRPr="00AC03F5" w:rsidRDefault="00AC03F5" w:rsidP="00AC03F5">
            <w:pPr>
              <w:jc w:val="center"/>
              <w:rPr>
                <w:color w:val="000000"/>
                <w:lang w:eastAsia="pt-BR"/>
              </w:rPr>
            </w:pPr>
            <w:r w:rsidRPr="00AC03F5">
              <w:rPr>
                <w:color w:val="000000"/>
                <w:lang w:eastAsia="pt-BR"/>
              </w:rPr>
              <w:t>2</w:t>
            </w:r>
            <w:r w:rsidR="009428DD">
              <w:rPr>
                <w:color w:val="000000"/>
                <w:lang w:eastAsia="pt-BR"/>
              </w:rPr>
              <w:t>.</w:t>
            </w:r>
            <w:r w:rsidRPr="00AC03F5">
              <w:rPr>
                <w:color w:val="000000"/>
                <w:lang w:eastAsia="pt-BR"/>
              </w:rPr>
              <w:t>8%</w:t>
            </w:r>
          </w:p>
        </w:tc>
      </w:tr>
      <w:tr w:rsidR="00B855B9" w:rsidRPr="00AC03F5" w14:paraId="5F321E7A" w14:textId="1978E81E" w:rsidTr="00D2402A">
        <w:trPr>
          <w:trHeight w:val="20"/>
        </w:trPr>
        <w:tc>
          <w:tcPr>
            <w:tcW w:w="696" w:type="pct"/>
            <w:shd w:val="clear" w:color="auto" w:fill="auto"/>
            <w:noWrap/>
            <w:vAlign w:val="center"/>
            <w:hideMark/>
          </w:tcPr>
          <w:p w14:paraId="4F606F2F" w14:textId="1CFD5CC6" w:rsidR="00AC03F5" w:rsidRPr="00AC03F5" w:rsidRDefault="00AC03F5" w:rsidP="00AC03F5">
            <w:pPr>
              <w:jc w:val="center"/>
              <w:rPr>
                <w:color w:val="000000"/>
                <w:lang w:eastAsia="pt-BR"/>
              </w:rPr>
            </w:pPr>
            <w:r w:rsidRPr="00AC03F5">
              <w:rPr>
                <w:b/>
                <w:color w:val="000000"/>
                <w:lang w:eastAsia="pt-BR"/>
              </w:rPr>
              <w:t>120</w:t>
            </w:r>
          </w:p>
        </w:tc>
        <w:tc>
          <w:tcPr>
            <w:tcW w:w="802" w:type="pct"/>
            <w:shd w:val="clear" w:color="auto" w:fill="auto"/>
            <w:noWrap/>
            <w:vAlign w:val="center"/>
            <w:hideMark/>
          </w:tcPr>
          <w:p w14:paraId="419631C5" w14:textId="0E8A0558"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000359</w:t>
            </w:r>
          </w:p>
        </w:tc>
        <w:tc>
          <w:tcPr>
            <w:tcW w:w="603" w:type="pct"/>
            <w:shd w:val="clear" w:color="auto" w:fill="auto"/>
            <w:noWrap/>
            <w:vAlign w:val="center"/>
            <w:hideMark/>
          </w:tcPr>
          <w:p w14:paraId="3A002849" w14:textId="55FE6E51" w:rsidR="00AC03F5" w:rsidRPr="00AC03F5" w:rsidRDefault="00AC03F5" w:rsidP="00AC03F5">
            <w:pPr>
              <w:jc w:val="center"/>
              <w:rPr>
                <w:color w:val="000000"/>
                <w:lang w:eastAsia="pt-BR"/>
              </w:rPr>
            </w:pPr>
            <w:r w:rsidRPr="00AC03F5">
              <w:rPr>
                <w:color w:val="000000"/>
                <w:lang w:eastAsia="pt-BR"/>
              </w:rPr>
              <w:t>10</w:t>
            </w:r>
            <w:r w:rsidR="009428DD">
              <w:rPr>
                <w:color w:val="000000"/>
                <w:lang w:eastAsia="pt-BR"/>
              </w:rPr>
              <w:t>.</w:t>
            </w:r>
            <w:r w:rsidRPr="00AC03F5">
              <w:rPr>
                <w:color w:val="000000"/>
                <w:lang w:eastAsia="pt-BR"/>
              </w:rPr>
              <w:t>3%</w:t>
            </w:r>
          </w:p>
        </w:tc>
        <w:tc>
          <w:tcPr>
            <w:tcW w:w="801" w:type="pct"/>
            <w:shd w:val="clear" w:color="auto" w:fill="auto"/>
            <w:noWrap/>
            <w:vAlign w:val="center"/>
            <w:hideMark/>
          </w:tcPr>
          <w:p w14:paraId="33164A91" w14:textId="1A92FCC3"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000002</w:t>
            </w:r>
          </w:p>
        </w:tc>
        <w:tc>
          <w:tcPr>
            <w:tcW w:w="602" w:type="pct"/>
            <w:shd w:val="clear" w:color="auto" w:fill="auto"/>
            <w:noWrap/>
            <w:vAlign w:val="center"/>
            <w:hideMark/>
          </w:tcPr>
          <w:p w14:paraId="7937728A" w14:textId="176531E3"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8%</w:t>
            </w:r>
          </w:p>
        </w:tc>
        <w:tc>
          <w:tcPr>
            <w:tcW w:w="801" w:type="pct"/>
            <w:vAlign w:val="center"/>
          </w:tcPr>
          <w:p w14:paraId="3119DF26" w14:textId="0CBD45AF"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0003187</w:t>
            </w:r>
          </w:p>
        </w:tc>
        <w:tc>
          <w:tcPr>
            <w:tcW w:w="695" w:type="pct"/>
            <w:vAlign w:val="center"/>
          </w:tcPr>
          <w:p w14:paraId="4E6D993E" w14:textId="77182874" w:rsidR="00AC03F5" w:rsidRPr="00AC03F5" w:rsidRDefault="00AC03F5" w:rsidP="00AC03F5">
            <w:pPr>
              <w:jc w:val="center"/>
              <w:rPr>
                <w:color w:val="000000"/>
                <w:lang w:eastAsia="pt-BR"/>
              </w:rPr>
            </w:pPr>
            <w:r w:rsidRPr="00AC03F5">
              <w:rPr>
                <w:color w:val="000000"/>
                <w:lang w:eastAsia="pt-BR"/>
              </w:rPr>
              <w:t>9</w:t>
            </w:r>
            <w:r w:rsidR="009428DD">
              <w:rPr>
                <w:color w:val="000000"/>
                <w:lang w:eastAsia="pt-BR"/>
              </w:rPr>
              <w:t>.</w:t>
            </w:r>
            <w:r w:rsidRPr="00AC03F5">
              <w:rPr>
                <w:color w:val="000000"/>
                <w:lang w:eastAsia="pt-BR"/>
              </w:rPr>
              <w:t>7%</w:t>
            </w:r>
          </w:p>
        </w:tc>
      </w:tr>
      <w:tr w:rsidR="00B855B9" w:rsidRPr="00AC03F5" w14:paraId="0D371838" w14:textId="11DCB305" w:rsidTr="00D2402A">
        <w:trPr>
          <w:trHeight w:val="20"/>
        </w:trPr>
        <w:tc>
          <w:tcPr>
            <w:tcW w:w="696" w:type="pct"/>
            <w:shd w:val="clear" w:color="auto" w:fill="auto"/>
            <w:noWrap/>
            <w:vAlign w:val="center"/>
            <w:hideMark/>
          </w:tcPr>
          <w:p w14:paraId="20C82263" w14:textId="3AA481BA" w:rsidR="00AC03F5" w:rsidRPr="00AC03F5" w:rsidRDefault="00AC03F5" w:rsidP="00AC03F5">
            <w:pPr>
              <w:jc w:val="center"/>
              <w:rPr>
                <w:color w:val="000000"/>
                <w:lang w:eastAsia="pt-BR"/>
              </w:rPr>
            </w:pPr>
            <w:r w:rsidRPr="00AC03F5">
              <w:rPr>
                <w:b/>
                <w:color w:val="000000"/>
                <w:lang w:eastAsia="pt-BR"/>
              </w:rPr>
              <w:t>180</w:t>
            </w:r>
          </w:p>
        </w:tc>
        <w:tc>
          <w:tcPr>
            <w:tcW w:w="802" w:type="pct"/>
            <w:shd w:val="clear" w:color="auto" w:fill="auto"/>
            <w:noWrap/>
            <w:vAlign w:val="center"/>
            <w:hideMark/>
          </w:tcPr>
          <w:p w14:paraId="38DBF14E" w14:textId="239A0CE6"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001454</w:t>
            </w:r>
          </w:p>
        </w:tc>
        <w:tc>
          <w:tcPr>
            <w:tcW w:w="603" w:type="pct"/>
            <w:shd w:val="clear" w:color="auto" w:fill="auto"/>
            <w:noWrap/>
            <w:vAlign w:val="center"/>
            <w:hideMark/>
          </w:tcPr>
          <w:p w14:paraId="68C4FFCC" w14:textId="1FDD7E82" w:rsidR="00AC03F5" w:rsidRPr="00AC03F5" w:rsidRDefault="00AC03F5" w:rsidP="00AC03F5">
            <w:pPr>
              <w:jc w:val="center"/>
              <w:rPr>
                <w:color w:val="000000"/>
                <w:lang w:eastAsia="pt-BR"/>
              </w:rPr>
            </w:pPr>
            <w:r w:rsidRPr="00AC03F5">
              <w:rPr>
                <w:color w:val="000000"/>
                <w:lang w:eastAsia="pt-BR"/>
              </w:rPr>
              <w:t>12</w:t>
            </w:r>
            <w:r w:rsidR="009428DD">
              <w:rPr>
                <w:color w:val="000000"/>
                <w:lang w:eastAsia="pt-BR"/>
              </w:rPr>
              <w:t>.</w:t>
            </w:r>
            <w:r w:rsidRPr="00AC03F5">
              <w:rPr>
                <w:color w:val="000000"/>
                <w:lang w:eastAsia="pt-BR"/>
              </w:rPr>
              <w:t>1%</w:t>
            </w:r>
          </w:p>
        </w:tc>
        <w:tc>
          <w:tcPr>
            <w:tcW w:w="801" w:type="pct"/>
            <w:shd w:val="clear" w:color="auto" w:fill="auto"/>
            <w:noWrap/>
            <w:vAlign w:val="center"/>
            <w:hideMark/>
          </w:tcPr>
          <w:p w14:paraId="6896135E" w14:textId="4E407985"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001020</w:t>
            </w:r>
          </w:p>
        </w:tc>
        <w:tc>
          <w:tcPr>
            <w:tcW w:w="602" w:type="pct"/>
            <w:shd w:val="clear" w:color="auto" w:fill="auto"/>
            <w:noWrap/>
            <w:vAlign w:val="center"/>
            <w:hideMark/>
          </w:tcPr>
          <w:p w14:paraId="6071EA51" w14:textId="27965710" w:rsidR="00AC03F5" w:rsidRPr="00AC03F5" w:rsidRDefault="00AC03F5" w:rsidP="00AC03F5">
            <w:pPr>
              <w:jc w:val="center"/>
              <w:rPr>
                <w:color w:val="000000"/>
                <w:lang w:eastAsia="pt-BR"/>
              </w:rPr>
            </w:pPr>
            <w:r w:rsidRPr="00AC03F5">
              <w:rPr>
                <w:color w:val="000000"/>
                <w:lang w:eastAsia="pt-BR"/>
              </w:rPr>
              <w:t>10</w:t>
            </w:r>
            <w:r w:rsidR="009428DD">
              <w:rPr>
                <w:color w:val="000000"/>
                <w:lang w:eastAsia="pt-BR"/>
              </w:rPr>
              <w:t>.</w:t>
            </w:r>
            <w:r w:rsidRPr="00AC03F5">
              <w:rPr>
                <w:color w:val="000000"/>
                <w:lang w:eastAsia="pt-BR"/>
              </w:rPr>
              <w:t>1%</w:t>
            </w:r>
          </w:p>
        </w:tc>
        <w:tc>
          <w:tcPr>
            <w:tcW w:w="801" w:type="pct"/>
            <w:vAlign w:val="center"/>
          </w:tcPr>
          <w:p w14:paraId="0D397D03" w14:textId="2D2CE2EA"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0003959</w:t>
            </w:r>
          </w:p>
        </w:tc>
        <w:tc>
          <w:tcPr>
            <w:tcW w:w="695" w:type="pct"/>
            <w:vAlign w:val="center"/>
          </w:tcPr>
          <w:p w14:paraId="5ACC7319" w14:textId="4DF37256" w:rsidR="00AC03F5" w:rsidRPr="00AC03F5" w:rsidRDefault="00AC03F5" w:rsidP="00AC03F5">
            <w:pPr>
              <w:jc w:val="center"/>
              <w:rPr>
                <w:color w:val="000000"/>
                <w:lang w:eastAsia="pt-BR"/>
              </w:rPr>
            </w:pPr>
            <w:r w:rsidRPr="00AC03F5">
              <w:rPr>
                <w:color w:val="000000"/>
                <w:lang w:eastAsia="pt-BR"/>
              </w:rPr>
              <w:t>6</w:t>
            </w:r>
            <w:r w:rsidR="009428DD">
              <w:rPr>
                <w:color w:val="000000"/>
                <w:lang w:eastAsia="pt-BR"/>
              </w:rPr>
              <w:t>.</w:t>
            </w:r>
            <w:r w:rsidRPr="00AC03F5">
              <w:rPr>
                <w:color w:val="000000"/>
                <w:lang w:eastAsia="pt-BR"/>
              </w:rPr>
              <w:t>3%</w:t>
            </w:r>
          </w:p>
        </w:tc>
      </w:tr>
      <w:tr w:rsidR="00B855B9" w:rsidRPr="00AC03F5" w14:paraId="0DEB2953" w14:textId="6EE923AC" w:rsidTr="00D2402A">
        <w:trPr>
          <w:trHeight w:val="20"/>
        </w:trPr>
        <w:tc>
          <w:tcPr>
            <w:tcW w:w="696" w:type="pct"/>
            <w:shd w:val="clear" w:color="auto" w:fill="auto"/>
            <w:noWrap/>
            <w:vAlign w:val="center"/>
            <w:hideMark/>
          </w:tcPr>
          <w:p w14:paraId="15A8DA50" w14:textId="3EC76E38" w:rsidR="00AC03F5" w:rsidRPr="00AC03F5" w:rsidRDefault="00AC03F5" w:rsidP="00AC03F5">
            <w:pPr>
              <w:jc w:val="center"/>
              <w:rPr>
                <w:color w:val="000000"/>
                <w:lang w:eastAsia="pt-BR"/>
              </w:rPr>
            </w:pPr>
            <w:r w:rsidRPr="00AC03F5">
              <w:rPr>
                <w:b/>
                <w:color w:val="000000"/>
                <w:lang w:eastAsia="pt-BR"/>
              </w:rPr>
              <w:t>240</w:t>
            </w:r>
          </w:p>
        </w:tc>
        <w:tc>
          <w:tcPr>
            <w:tcW w:w="802" w:type="pct"/>
            <w:shd w:val="clear" w:color="auto" w:fill="auto"/>
            <w:noWrap/>
            <w:vAlign w:val="center"/>
            <w:hideMark/>
          </w:tcPr>
          <w:p w14:paraId="09CBEADC" w14:textId="43335D63"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004892</w:t>
            </w:r>
          </w:p>
        </w:tc>
        <w:tc>
          <w:tcPr>
            <w:tcW w:w="603" w:type="pct"/>
            <w:shd w:val="clear" w:color="auto" w:fill="auto"/>
            <w:noWrap/>
            <w:vAlign w:val="center"/>
            <w:hideMark/>
          </w:tcPr>
          <w:p w14:paraId="6EFDAB72" w14:textId="21A74EB8" w:rsidR="00AC03F5" w:rsidRPr="00AC03F5" w:rsidRDefault="00AC03F5" w:rsidP="00AC03F5">
            <w:pPr>
              <w:jc w:val="center"/>
              <w:rPr>
                <w:color w:val="000000"/>
                <w:lang w:eastAsia="pt-BR"/>
              </w:rPr>
            </w:pPr>
            <w:r w:rsidRPr="00AC03F5">
              <w:rPr>
                <w:color w:val="000000"/>
                <w:lang w:eastAsia="pt-BR"/>
              </w:rPr>
              <w:t>16</w:t>
            </w:r>
            <w:r w:rsidR="009428DD">
              <w:rPr>
                <w:color w:val="000000"/>
                <w:lang w:eastAsia="pt-BR"/>
              </w:rPr>
              <w:t>.</w:t>
            </w:r>
            <w:r w:rsidRPr="00AC03F5">
              <w:rPr>
                <w:color w:val="000000"/>
                <w:lang w:eastAsia="pt-BR"/>
              </w:rPr>
              <w:t>4%</w:t>
            </w:r>
          </w:p>
        </w:tc>
        <w:tc>
          <w:tcPr>
            <w:tcW w:w="801" w:type="pct"/>
            <w:shd w:val="clear" w:color="auto" w:fill="auto"/>
            <w:noWrap/>
            <w:vAlign w:val="center"/>
            <w:hideMark/>
          </w:tcPr>
          <w:p w14:paraId="14A73718" w14:textId="16E57DE5"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006790</w:t>
            </w:r>
          </w:p>
        </w:tc>
        <w:tc>
          <w:tcPr>
            <w:tcW w:w="602" w:type="pct"/>
            <w:shd w:val="clear" w:color="auto" w:fill="auto"/>
            <w:noWrap/>
            <w:vAlign w:val="center"/>
            <w:hideMark/>
          </w:tcPr>
          <w:p w14:paraId="6DF93ECD" w14:textId="20848835" w:rsidR="00AC03F5" w:rsidRPr="00AC03F5" w:rsidRDefault="00AC03F5" w:rsidP="00AC03F5">
            <w:pPr>
              <w:jc w:val="center"/>
              <w:rPr>
                <w:color w:val="000000"/>
                <w:lang w:eastAsia="pt-BR"/>
              </w:rPr>
            </w:pPr>
            <w:r w:rsidRPr="00AC03F5">
              <w:rPr>
                <w:color w:val="000000"/>
                <w:lang w:eastAsia="pt-BR"/>
              </w:rPr>
              <w:t>19</w:t>
            </w:r>
            <w:r w:rsidR="009428DD">
              <w:rPr>
                <w:color w:val="000000"/>
                <w:lang w:eastAsia="pt-BR"/>
              </w:rPr>
              <w:t>.</w:t>
            </w:r>
            <w:r w:rsidRPr="00AC03F5">
              <w:rPr>
                <w:color w:val="000000"/>
                <w:lang w:eastAsia="pt-BR"/>
              </w:rPr>
              <w:t>4%</w:t>
            </w:r>
          </w:p>
        </w:tc>
        <w:tc>
          <w:tcPr>
            <w:tcW w:w="801" w:type="pct"/>
            <w:vAlign w:val="center"/>
          </w:tcPr>
          <w:p w14:paraId="68B41C03" w14:textId="5F50FBBC"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0003887</w:t>
            </w:r>
          </w:p>
        </w:tc>
        <w:tc>
          <w:tcPr>
            <w:tcW w:w="695" w:type="pct"/>
            <w:vAlign w:val="center"/>
          </w:tcPr>
          <w:p w14:paraId="010A6F74" w14:textId="7819EAD8" w:rsidR="00AC03F5" w:rsidRPr="00AC03F5" w:rsidRDefault="00AC03F5" w:rsidP="00AC03F5">
            <w:pPr>
              <w:jc w:val="center"/>
              <w:rPr>
                <w:color w:val="000000"/>
                <w:lang w:eastAsia="pt-BR"/>
              </w:rPr>
            </w:pPr>
            <w:r w:rsidRPr="00AC03F5">
              <w:rPr>
                <w:color w:val="000000"/>
                <w:lang w:eastAsia="pt-BR"/>
              </w:rPr>
              <w:t>4</w:t>
            </w:r>
            <w:r w:rsidR="009428DD">
              <w:rPr>
                <w:color w:val="000000"/>
                <w:lang w:eastAsia="pt-BR"/>
              </w:rPr>
              <w:t>.</w:t>
            </w:r>
            <w:r w:rsidRPr="00AC03F5">
              <w:rPr>
                <w:color w:val="000000"/>
                <w:lang w:eastAsia="pt-BR"/>
              </w:rPr>
              <w:t>6%</w:t>
            </w:r>
          </w:p>
        </w:tc>
      </w:tr>
      <w:tr w:rsidR="00B855B9" w:rsidRPr="00AC03F5" w14:paraId="214C50EF" w14:textId="61461EE7" w:rsidTr="00D2402A">
        <w:trPr>
          <w:trHeight w:val="20"/>
        </w:trPr>
        <w:tc>
          <w:tcPr>
            <w:tcW w:w="696" w:type="pct"/>
            <w:shd w:val="clear" w:color="auto" w:fill="auto"/>
            <w:noWrap/>
            <w:vAlign w:val="center"/>
            <w:hideMark/>
          </w:tcPr>
          <w:p w14:paraId="119D0988" w14:textId="2F46DDB7" w:rsidR="00AC03F5" w:rsidRPr="00AC03F5" w:rsidRDefault="00AC03F5" w:rsidP="00AC03F5">
            <w:pPr>
              <w:jc w:val="center"/>
              <w:rPr>
                <w:color w:val="000000"/>
                <w:lang w:eastAsia="pt-BR"/>
              </w:rPr>
            </w:pPr>
            <w:r w:rsidRPr="00AC03F5">
              <w:rPr>
                <w:b/>
                <w:color w:val="000000"/>
                <w:lang w:eastAsia="pt-BR"/>
              </w:rPr>
              <w:t>270</w:t>
            </w:r>
          </w:p>
        </w:tc>
        <w:tc>
          <w:tcPr>
            <w:tcW w:w="802" w:type="pct"/>
            <w:shd w:val="clear" w:color="auto" w:fill="auto"/>
            <w:noWrap/>
            <w:vAlign w:val="center"/>
            <w:hideMark/>
          </w:tcPr>
          <w:p w14:paraId="5083589C" w14:textId="3A8DF9C9"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016587</w:t>
            </w:r>
          </w:p>
        </w:tc>
        <w:tc>
          <w:tcPr>
            <w:tcW w:w="603" w:type="pct"/>
            <w:shd w:val="clear" w:color="auto" w:fill="auto"/>
            <w:noWrap/>
            <w:vAlign w:val="center"/>
            <w:hideMark/>
          </w:tcPr>
          <w:p w14:paraId="59EB26F8" w14:textId="68CB266A" w:rsidR="00AC03F5" w:rsidRPr="00AC03F5" w:rsidRDefault="00AC03F5" w:rsidP="00AC03F5">
            <w:pPr>
              <w:jc w:val="center"/>
              <w:rPr>
                <w:color w:val="000000"/>
                <w:lang w:eastAsia="pt-BR"/>
              </w:rPr>
            </w:pPr>
            <w:r w:rsidRPr="00AC03F5">
              <w:rPr>
                <w:color w:val="000000"/>
                <w:lang w:eastAsia="pt-BR"/>
              </w:rPr>
              <w:t>24</w:t>
            </w:r>
            <w:r w:rsidR="009428DD">
              <w:rPr>
                <w:color w:val="000000"/>
                <w:lang w:eastAsia="pt-BR"/>
              </w:rPr>
              <w:t>.</w:t>
            </w:r>
            <w:r w:rsidRPr="00AC03F5">
              <w:rPr>
                <w:color w:val="000000"/>
                <w:lang w:eastAsia="pt-BR"/>
              </w:rPr>
              <w:t>0%</w:t>
            </w:r>
          </w:p>
        </w:tc>
        <w:tc>
          <w:tcPr>
            <w:tcW w:w="801" w:type="pct"/>
            <w:shd w:val="clear" w:color="auto" w:fill="auto"/>
            <w:noWrap/>
            <w:vAlign w:val="center"/>
            <w:hideMark/>
          </w:tcPr>
          <w:p w14:paraId="2D42F12E" w14:textId="594B589A"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014713</w:t>
            </w:r>
          </w:p>
        </w:tc>
        <w:tc>
          <w:tcPr>
            <w:tcW w:w="602" w:type="pct"/>
            <w:shd w:val="clear" w:color="auto" w:fill="auto"/>
            <w:noWrap/>
            <w:vAlign w:val="center"/>
            <w:hideMark/>
          </w:tcPr>
          <w:p w14:paraId="7C2B3990" w14:textId="304124CC" w:rsidR="00AC03F5" w:rsidRPr="00AC03F5" w:rsidRDefault="00AC03F5" w:rsidP="00AC03F5">
            <w:pPr>
              <w:jc w:val="center"/>
              <w:rPr>
                <w:color w:val="000000"/>
                <w:lang w:eastAsia="pt-BR"/>
              </w:rPr>
            </w:pPr>
            <w:r w:rsidRPr="00AC03F5">
              <w:rPr>
                <w:color w:val="000000"/>
                <w:lang w:eastAsia="pt-BR"/>
              </w:rPr>
              <w:t>22</w:t>
            </w:r>
            <w:r w:rsidR="009428DD">
              <w:rPr>
                <w:color w:val="000000"/>
                <w:lang w:eastAsia="pt-BR"/>
              </w:rPr>
              <w:t>.</w:t>
            </w:r>
            <w:r w:rsidRPr="00AC03F5">
              <w:rPr>
                <w:color w:val="000000"/>
                <w:lang w:eastAsia="pt-BR"/>
              </w:rPr>
              <w:t>6%</w:t>
            </w:r>
          </w:p>
        </w:tc>
        <w:tc>
          <w:tcPr>
            <w:tcW w:w="801" w:type="pct"/>
            <w:vAlign w:val="center"/>
          </w:tcPr>
          <w:p w14:paraId="5F7A4119" w14:textId="40143BA9"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0016061</w:t>
            </w:r>
          </w:p>
        </w:tc>
        <w:tc>
          <w:tcPr>
            <w:tcW w:w="695" w:type="pct"/>
            <w:vAlign w:val="center"/>
          </w:tcPr>
          <w:p w14:paraId="5A1C6FAA" w14:textId="66220655" w:rsidR="00AC03F5" w:rsidRPr="00AC03F5" w:rsidRDefault="00AC03F5" w:rsidP="00AC03F5">
            <w:pPr>
              <w:jc w:val="center"/>
              <w:rPr>
                <w:color w:val="000000"/>
                <w:lang w:eastAsia="pt-BR"/>
              </w:rPr>
            </w:pPr>
            <w:r w:rsidRPr="00AC03F5">
              <w:rPr>
                <w:color w:val="000000"/>
                <w:lang w:eastAsia="pt-BR"/>
              </w:rPr>
              <w:t>7</w:t>
            </w:r>
            <w:r w:rsidR="009428DD">
              <w:rPr>
                <w:color w:val="000000"/>
                <w:lang w:eastAsia="pt-BR"/>
              </w:rPr>
              <w:t>.</w:t>
            </w:r>
            <w:r w:rsidRPr="00AC03F5">
              <w:rPr>
                <w:color w:val="000000"/>
                <w:lang w:eastAsia="pt-BR"/>
              </w:rPr>
              <w:t>5%</w:t>
            </w:r>
          </w:p>
        </w:tc>
      </w:tr>
      <w:tr w:rsidR="00B855B9" w:rsidRPr="00AC03F5" w14:paraId="736856B4" w14:textId="351F80DA" w:rsidTr="00D2402A">
        <w:trPr>
          <w:trHeight w:val="20"/>
        </w:trPr>
        <w:tc>
          <w:tcPr>
            <w:tcW w:w="696" w:type="pct"/>
            <w:shd w:val="clear" w:color="auto" w:fill="auto"/>
            <w:noWrap/>
            <w:vAlign w:val="center"/>
            <w:hideMark/>
          </w:tcPr>
          <w:p w14:paraId="07C9B1FA" w14:textId="4635CB19" w:rsidR="00AC03F5" w:rsidRPr="00AC03F5" w:rsidRDefault="00AC03F5" w:rsidP="00AC03F5">
            <w:pPr>
              <w:jc w:val="center"/>
              <w:rPr>
                <w:color w:val="000000"/>
                <w:lang w:eastAsia="pt-BR"/>
              </w:rPr>
            </w:pPr>
            <w:r w:rsidRPr="00AC03F5">
              <w:rPr>
                <w:b/>
                <w:color w:val="000000"/>
                <w:lang w:eastAsia="pt-BR"/>
              </w:rPr>
              <w:t>300</w:t>
            </w:r>
          </w:p>
        </w:tc>
        <w:tc>
          <w:tcPr>
            <w:tcW w:w="802" w:type="pct"/>
            <w:shd w:val="clear" w:color="auto" w:fill="auto"/>
            <w:noWrap/>
            <w:vAlign w:val="center"/>
            <w:hideMark/>
          </w:tcPr>
          <w:p w14:paraId="5FBD6C6E" w14:textId="08EDD7BE"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022769</w:t>
            </w:r>
          </w:p>
        </w:tc>
        <w:tc>
          <w:tcPr>
            <w:tcW w:w="603" w:type="pct"/>
            <w:shd w:val="clear" w:color="auto" w:fill="auto"/>
            <w:noWrap/>
            <w:vAlign w:val="center"/>
            <w:hideMark/>
          </w:tcPr>
          <w:p w14:paraId="00F5A30A" w14:textId="1B0FB46A" w:rsidR="00AC03F5" w:rsidRPr="00AC03F5" w:rsidRDefault="00AC03F5" w:rsidP="00AC03F5">
            <w:pPr>
              <w:jc w:val="center"/>
              <w:rPr>
                <w:color w:val="000000"/>
                <w:lang w:eastAsia="pt-BR"/>
              </w:rPr>
            </w:pPr>
            <w:r w:rsidRPr="00AC03F5">
              <w:rPr>
                <w:color w:val="000000"/>
                <w:lang w:eastAsia="pt-BR"/>
              </w:rPr>
              <w:t>25</w:t>
            </w:r>
            <w:r w:rsidR="009428DD">
              <w:rPr>
                <w:color w:val="000000"/>
                <w:lang w:eastAsia="pt-BR"/>
              </w:rPr>
              <w:t>.</w:t>
            </w:r>
            <w:r w:rsidRPr="00AC03F5">
              <w:rPr>
                <w:color w:val="000000"/>
                <w:lang w:eastAsia="pt-BR"/>
              </w:rPr>
              <w:t>3%</w:t>
            </w:r>
          </w:p>
        </w:tc>
        <w:tc>
          <w:tcPr>
            <w:tcW w:w="801" w:type="pct"/>
            <w:shd w:val="clear" w:color="auto" w:fill="auto"/>
            <w:noWrap/>
            <w:vAlign w:val="center"/>
            <w:hideMark/>
          </w:tcPr>
          <w:p w14:paraId="6A7C5966" w14:textId="5663C4C9"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039578</w:t>
            </w:r>
          </w:p>
        </w:tc>
        <w:tc>
          <w:tcPr>
            <w:tcW w:w="602" w:type="pct"/>
            <w:shd w:val="clear" w:color="auto" w:fill="auto"/>
            <w:noWrap/>
            <w:vAlign w:val="center"/>
            <w:hideMark/>
          </w:tcPr>
          <w:p w14:paraId="3F7E82AF" w14:textId="1560260B" w:rsidR="00AC03F5" w:rsidRPr="00AC03F5" w:rsidRDefault="00AC03F5" w:rsidP="00AC03F5">
            <w:pPr>
              <w:jc w:val="center"/>
              <w:rPr>
                <w:color w:val="000000"/>
                <w:lang w:eastAsia="pt-BR"/>
              </w:rPr>
            </w:pPr>
            <w:r w:rsidRPr="00AC03F5">
              <w:rPr>
                <w:color w:val="000000"/>
                <w:lang w:eastAsia="pt-BR"/>
              </w:rPr>
              <w:t>33</w:t>
            </w:r>
            <w:r w:rsidR="009428DD">
              <w:rPr>
                <w:color w:val="000000"/>
                <w:lang w:eastAsia="pt-BR"/>
              </w:rPr>
              <w:t>.</w:t>
            </w:r>
            <w:r w:rsidRPr="00AC03F5">
              <w:rPr>
                <w:color w:val="000000"/>
                <w:lang w:eastAsia="pt-BR"/>
              </w:rPr>
              <w:t>3%</w:t>
            </w:r>
          </w:p>
        </w:tc>
        <w:tc>
          <w:tcPr>
            <w:tcW w:w="801" w:type="pct"/>
            <w:vAlign w:val="center"/>
          </w:tcPr>
          <w:p w14:paraId="6E7364A3" w14:textId="2DCF6D60"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0003719</w:t>
            </w:r>
          </w:p>
        </w:tc>
        <w:tc>
          <w:tcPr>
            <w:tcW w:w="695" w:type="pct"/>
            <w:vAlign w:val="center"/>
          </w:tcPr>
          <w:p w14:paraId="149EF946" w14:textId="68E3D1D9" w:rsidR="00AC03F5" w:rsidRPr="00AC03F5" w:rsidRDefault="00AC03F5" w:rsidP="00AC03F5">
            <w:pPr>
              <w:jc w:val="center"/>
              <w:rPr>
                <w:color w:val="000000"/>
                <w:lang w:eastAsia="pt-BR"/>
              </w:rPr>
            </w:pPr>
            <w:r w:rsidRPr="00AC03F5">
              <w:rPr>
                <w:color w:val="000000"/>
                <w:lang w:eastAsia="pt-BR"/>
              </w:rPr>
              <w:t>3</w:t>
            </w:r>
            <w:r w:rsidR="009428DD">
              <w:rPr>
                <w:color w:val="000000"/>
                <w:lang w:eastAsia="pt-BR"/>
              </w:rPr>
              <w:t>.</w:t>
            </w:r>
            <w:r w:rsidRPr="00AC03F5">
              <w:rPr>
                <w:color w:val="000000"/>
                <w:lang w:eastAsia="pt-BR"/>
              </w:rPr>
              <w:t>2%</w:t>
            </w:r>
          </w:p>
        </w:tc>
      </w:tr>
      <w:tr w:rsidR="00B855B9" w:rsidRPr="00AC03F5" w14:paraId="0B4C595D" w14:textId="05D52CF2" w:rsidTr="00D2402A">
        <w:trPr>
          <w:trHeight w:val="20"/>
        </w:trPr>
        <w:tc>
          <w:tcPr>
            <w:tcW w:w="696" w:type="pct"/>
            <w:shd w:val="clear" w:color="auto" w:fill="auto"/>
            <w:noWrap/>
            <w:vAlign w:val="center"/>
            <w:hideMark/>
          </w:tcPr>
          <w:p w14:paraId="04D31D26" w14:textId="34023D7A" w:rsidR="00AC03F5" w:rsidRPr="00AC03F5" w:rsidRDefault="00AC03F5" w:rsidP="00AC03F5">
            <w:pPr>
              <w:jc w:val="center"/>
              <w:rPr>
                <w:color w:val="000000"/>
                <w:lang w:eastAsia="pt-BR"/>
              </w:rPr>
            </w:pPr>
            <w:r w:rsidRPr="00AC03F5">
              <w:rPr>
                <w:b/>
                <w:color w:val="000000"/>
                <w:lang w:eastAsia="pt-BR"/>
              </w:rPr>
              <w:t>330</w:t>
            </w:r>
          </w:p>
        </w:tc>
        <w:tc>
          <w:tcPr>
            <w:tcW w:w="802" w:type="pct"/>
            <w:shd w:val="clear" w:color="auto" w:fill="auto"/>
            <w:noWrap/>
            <w:vAlign w:val="center"/>
            <w:hideMark/>
          </w:tcPr>
          <w:p w14:paraId="3211E1B2" w14:textId="325190B1"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038509</w:t>
            </w:r>
          </w:p>
        </w:tc>
        <w:tc>
          <w:tcPr>
            <w:tcW w:w="603" w:type="pct"/>
            <w:shd w:val="clear" w:color="auto" w:fill="auto"/>
            <w:noWrap/>
            <w:vAlign w:val="center"/>
            <w:hideMark/>
          </w:tcPr>
          <w:p w14:paraId="730C278D" w14:textId="77C6C018" w:rsidR="00AC03F5" w:rsidRPr="00AC03F5" w:rsidRDefault="00AC03F5" w:rsidP="00AC03F5">
            <w:pPr>
              <w:jc w:val="center"/>
              <w:rPr>
                <w:color w:val="000000"/>
                <w:lang w:eastAsia="pt-BR"/>
              </w:rPr>
            </w:pPr>
            <w:r w:rsidRPr="00AC03F5">
              <w:rPr>
                <w:color w:val="000000"/>
                <w:lang w:eastAsia="pt-BR"/>
              </w:rPr>
              <w:t>29</w:t>
            </w:r>
            <w:r w:rsidR="009428DD">
              <w:rPr>
                <w:color w:val="000000"/>
                <w:lang w:eastAsia="pt-BR"/>
              </w:rPr>
              <w:t>.</w:t>
            </w:r>
            <w:r w:rsidRPr="00AC03F5">
              <w:rPr>
                <w:color w:val="000000"/>
                <w:lang w:eastAsia="pt-BR"/>
              </w:rPr>
              <w:t>9%</w:t>
            </w:r>
          </w:p>
        </w:tc>
        <w:tc>
          <w:tcPr>
            <w:tcW w:w="801" w:type="pct"/>
            <w:shd w:val="clear" w:color="auto" w:fill="auto"/>
            <w:noWrap/>
            <w:vAlign w:val="center"/>
            <w:hideMark/>
          </w:tcPr>
          <w:p w14:paraId="34564DC6" w14:textId="6DD92460"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037961</w:t>
            </w:r>
          </w:p>
        </w:tc>
        <w:tc>
          <w:tcPr>
            <w:tcW w:w="602" w:type="pct"/>
            <w:shd w:val="clear" w:color="auto" w:fill="auto"/>
            <w:noWrap/>
            <w:vAlign w:val="center"/>
            <w:hideMark/>
          </w:tcPr>
          <w:p w14:paraId="6DF28104" w14:textId="6D6D471D" w:rsidR="00AC03F5" w:rsidRPr="00AC03F5" w:rsidRDefault="00AC03F5" w:rsidP="00AC03F5">
            <w:pPr>
              <w:jc w:val="center"/>
              <w:rPr>
                <w:color w:val="000000"/>
                <w:lang w:eastAsia="pt-BR"/>
              </w:rPr>
            </w:pPr>
            <w:r w:rsidRPr="00AC03F5">
              <w:rPr>
                <w:color w:val="000000"/>
                <w:lang w:eastAsia="pt-BR"/>
              </w:rPr>
              <w:t>29</w:t>
            </w:r>
            <w:r w:rsidR="009428DD">
              <w:rPr>
                <w:color w:val="000000"/>
                <w:lang w:eastAsia="pt-BR"/>
              </w:rPr>
              <w:t>.</w:t>
            </w:r>
            <w:r w:rsidRPr="00AC03F5">
              <w:rPr>
                <w:color w:val="000000"/>
                <w:lang w:eastAsia="pt-BR"/>
              </w:rPr>
              <w:t>7%</w:t>
            </w:r>
          </w:p>
        </w:tc>
        <w:tc>
          <w:tcPr>
            <w:tcW w:w="801" w:type="pct"/>
            <w:vAlign w:val="center"/>
          </w:tcPr>
          <w:p w14:paraId="2C629B2E" w14:textId="139B888C"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0018003</w:t>
            </w:r>
          </w:p>
        </w:tc>
        <w:tc>
          <w:tcPr>
            <w:tcW w:w="695" w:type="pct"/>
            <w:vAlign w:val="center"/>
          </w:tcPr>
          <w:p w14:paraId="5E29F51D" w14:textId="27D7C598" w:rsidR="00AC03F5" w:rsidRPr="00AC03F5" w:rsidRDefault="00AC03F5" w:rsidP="00AC03F5">
            <w:pPr>
              <w:jc w:val="center"/>
              <w:rPr>
                <w:color w:val="000000"/>
                <w:lang w:eastAsia="pt-BR"/>
              </w:rPr>
            </w:pPr>
            <w:r w:rsidRPr="00AC03F5">
              <w:rPr>
                <w:color w:val="000000"/>
                <w:lang w:eastAsia="pt-BR"/>
              </w:rPr>
              <w:t>6</w:t>
            </w:r>
            <w:r w:rsidR="009428DD">
              <w:rPr>
                <w:color w:val="000000"/>
                <w:lang w:eastAsia="pt-BR"/>
              </w:rPr>
              <w:t>.</w:t>
            </w:r>
            <w:r w:rsidRPr="00AC03F5">
              <w:rPr>
                <w:color w:val="000000"/>
                <w:lang w:eastAsia="pt-BR"/>
              </w:rPr>
              <w:t>5%</w:t>
            </w:r>
          </w:p>
        </w:tc>
      </w:tr>
      <w:tr w:rsidR="00B855B9" w:rsidRPr="00AC03F5" w14:paraId="6F49A242" w14:textId="0A6C5138" w:rsidTr="00D2402A">
        <w:trPr>
          <w:trHeight w:val="20"/>
        </w:trPr>
        <w:tc>
          <w:tcPr>
            <w:tcW w:w="696" w:type="pct"/>
            <w:shd w:val="clear" w:color="auto" w:fill="auto"/>
            <w:noWrap/>
            <w:vAlign w:val="center"/>
            <w:hideMark/>
          </w:tcPr>
          <w:p w14:paraId="0B0CEF46" w14:textId="0FE3A77D" w:rsidR="00AC03F5" w:rsidRPr="00AC03F5" w:rsidRDefault="00AC03F5" w:rsidP="00AC03F5">
            <w:pPr>
              <w:jc w:val="center"/>
              <w:rPr>
                <w:color w:val="000000"/>
                <w:lang w:eastAsia="pt-BR"/>
              </w:rPr>
            </w:pPr>
            <w:r w:rsidRPr="00AC03F5">
              <w:rPr>
                <w:b/>
                <w:color w:val="000000"/>
                <w:lang w:eastAsia="pt-BR"/>
              </w:rPr>
              <w:t>390</w:t>
            </w:r>
          </w:p>
        </w:tc>
        <w:tc>
          <w:tcPr>
            <w:tcW w:w="802" w:type="pct"/>
            <w:shd w:val="clear" w:color="auto" w:fill="auto"/>
            <w:noWrap/>
            <w:vAlign w:val="center"/>
            <w:hideMark/>
          </w:tcPr>
          <w:p w14:paraId="0A440389" w14:textId="5051202A"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069667</w:t>
            </w:r>
          </w:p>
        </w:tc>
        <w:tc>
          <w:tcPr>
            <w:tcW w:w="603" w:type="pct"/>
            <w:shd w:val="clear" w:color="auto" w:fill="auto"/>
            <w:noWrap/>
            <w:vAlign w:val="center"/>
            <w:hideMark/>
          </w:tcPr>
          <w:p w14:paraId="6E484D99" w14:textId="1DDAB5FD" w:rsidR="00AC03F5" w:rsidRPr="00AC03F5" w:rsidRDefault="00AC03F5" w:rsidP="00AC03F5">
            <w:pPr>
              <w:jc w:val="center"/>
              <w:rPr>
                <w:color w:val="000000"/>
                <w:lang w:eastAsia="pt-BR"/>
              </w:rPr>
            </w:pPr>
            <w:r w:rsidRPr="00AC03F5">
              <w:rPr>
                <w:color w:val="000000"/>
                <w:lang w:eastAsia="pt-BR"/>
              </w:rPr>
              <w:t>35</w:t>
            </w:r>
            <w:r w:rsidR="009428DD">
              <w:rPr>
                <w:color w:val="000000"/>
                <w:lang w:eastAsia="pt-BR"/>
              </w:rPr>
              <w:t>.</w:t>
            </w:r>
            <w:r w:rsidRPr="00AC03F5">
              <w:rPr>
                <w:color w:val="000000"/>
                <w:lang w:eastAsia="pt-BR"/>
              </w:rPr>
              <w:t>3%</w:t>
            </w:r>
          </w:p>
        </w:tc>
        <w:tc>
          <w:tcPr>
            <w:tcW w:w="801" w:type="pct"/>
            <w:shd w:val="clear" w:color="auto" w:fill="auto"/>
            <w:noWrap/>
            <w:vAlign w:val="center"/>
            <w:hideMark/>
          </w:tcPr>
          <w:p w14:paraId="66D5D493" w14:textId="745F1F8A"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032371</w:t>
            </w:r>
          </w:p>
        </w:tc>
        <w:tc>
          <w:tcPr>
            <w:tcW w:w="602" w:type="pct"/>
            <w:shd w:val="clear" w:color="auto" w:fill="auto"/>
            <w:noWrap/>
            <w:vAlign w:val="center"/>
            <w:hideMark/>
          </w:tcPr>
          <w:p w14:paraId="3448FE1E" w14:textId="2B9791C9" w:rsidR="00AC03F5" w:rsidRPr="00AC03F5" w:rsidRDefault="00AC03F5" w:rsidP="00AC03F5">
            <w:pPr>
              <w:jc w:val="center"/>
              <w:rPr>
                <w:color w:val="000000"/>
                <w:lang w:eastAsia="pt-BR"/>
              </w:rPr>
            </w:pPr>
            <w:r w:rsidRPr="00AC03F5">
              <w:rPr>
                <w:color w:val="000000"/>
                <w:lang w:eastAsia="pt-BR"/>
              </w:rPr>
              <w:t>24</w:t>
            </w:r>
            <w:r w:rsidR="009428DD">
              <w:rPr>
                <w:color w:val="000000"/>
                <w:lang w:eastAsia="pt-BR"/>
              </w:rPr>
              <w:t>.</w:t>
            </w:r>
            <w:r w:rsidRPr="00AC03F5">
              <w:rPr>
                <w:color w:val="000000"/>
                <w:lang w:eastAsia="pt-BR"/>
              </w:rPr>
              <w:t>0%</w:t>
            </w:r>
          </w:p>
        </w:tc>
        <w:tc>
          <w:tcPr>
            <w:tcW w:w="801" w:type="pct"/>
            <w:vAlign w:val="center"/>
          </w:tcPr>
          <w:p w14:paraId="67224A2C" w14:textId="299969A1"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0042173</w:t>
            </w:r>
          </w:p>
        </w:tc>
        <w:tc>
          <w:tcPr>
            <w:tcW w:w="695" w:type="pct"/>
            <w:vAlign w:val="center"/>
          </w:tcPr>
          <w:p w14:paraId="787498D2" w14:textId="342D12C3" w:rsidR="00AC03F5" w:rsidRPr="00AC03F5" w:rsidRDefault="00AC03F5" w:rsidP="00AC03F5">
            <w:pPr>
              <w:jc w:val="center"/>
              <w:rPr>
                <w:color w:val="000000"/>
                <w:lang w:eastAsia="pt-BR"/>
              </w:rPr>
            </w:pPr>
            <w:r w:rsidRPr="00AC03F5">
              <w:rPr>
                <w:color w:val="000000"/>
                <w:lang w:eastAsia="pt-BR"/>
              </w:rPr>
              <w:t>8</w:t>
            </w:r>
            <w:r w:rsidR="009428DD">
              <w:rPr>
                <w:color w:val="000000"/>
                <w:lang w:eastAsia="pt-BR"/>
              </w:rPr>
              <w:t>.</w:t>
            </w:r>
            <w:r w:rsidRPr="00AC03F5">
              <w:rPr>
                <w:color w:val="000000"/>
                <w:lang w:eastAsia="pt-BR"/>
              </w:rPr>
              <w:t>7%</w:t>
            </w:r>
          </w:p>
        </w:tc>
      </w:tr>
      <w:tr w:rsidR="00B855B9" w:rsidRPr="00AC03F5" w14:paraId="0030F16E" w14:textId="79E869B5" w:rsidTr="00D2402A">
        <w:trPr>
          <w:trHeight w:val="20"/>
        </w:trPr>
        <w:tc>
          <w:tcPr>
            <w:tcW w:w="696" w:type="pct"/>
            <w:shd w:val="clear" w:color="auto" w:fill="auto"/>
            <w:noWrap/>
            <w:vAlign w:val="center"/>
            <w:hideMark/>
          </w:tcPr>
          <w:p w14:paraId="76E2A440" w14:textId="4791CD22" w:rsidR="00AC03F5" w:rsidRPr="00AC03F5" w:rsidRDefault="00AC03F5" w:rsidP="00AC03F5">
            <w:pPr>
              <w:jc w:val="center"/>
              <w:rPr>
                <w:color w:val="000000"/>
                <w:lang w:eastAsia="pt-BR"/>
              </w:rPr>
            </w:pPr>
            <w:r w:rsidRPr="00AC03F5">
              <w:rPr>
                <w:b/>
                <w:color w:val="000000"/>
                <w:lang w:eastAsia="pt-BR"/>
              </w:rPr>
              <w:t>420</w:t>
            </w:r>
          </w:p>
        </w:tc>
        <w:tc>
          <w:tcPr>
            <w:tcW w:w="802" w:type="pct"/>
            <w:shd w:val="clear" w:color="auto" w:fill="auto"/>
            <w:noWrap/>
            <w:vAlign w:val="center"/>
            <w:hideMark/>
          </w:tcPr>
          <w:p w14:paraId="6FC42934" w14:textId="62F99A31"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072480</w:t>
            </w:r>
          </w:p>
        </w:tc>
        <w:tc>
          <w:tcPr>
            <w:tcW w:w="603" w:type="pct"/>
            <w:shd w:val="clear" w:color="auto" w:fill="auto"/>
            <w:noWrap/>
            <w:vAlign w:val="center"/>
            <w:hideMark/>
          </w:tcPr>
          <w:p w14:paraId="536D96C4" w14:textId="5794AC66" w:rsidR="00AC03F5" w:rsidRPr="00AC03F5" w:rsidRDefault="00AC03F5" w:rsidP="00AC03F5">
            <w:pPr>
              <w:jc w:val="center"/>
              <w:rPr>
                <w:color w:val="000000"/>
                <w:lang w:eastAsia="pt-BR"/>
              </w:rPr>
            </w:pPr>
            <w:r w:rsidRPr="00AC03F5">
              <w:rPr>
                <w:color w:val="000000"/>
                <w:lang w:eastAsia="pt-BR"/>
              </w:rPr>
              <w:t>35</w:t>
            </w:r>
            <w:r w:rsidR="009428DD">
              <w:rPr>
                <w:color w:val="000000"/>
                <w:lang w:eastAsia="pt-BR"/>
              </w:rPr>
              <w:t>.</w:t>
            </w:r>
            <w:r w:rsidRPr="00AC03F5">
              <w:rPr>
                <w:color w:val="000000"/>
                <w:lang w:eastAsia="pt-BR"/>
              </w:rPr>
              <w:t>3%</w:t>
            </w:r>
          </w:p>
        </w:tc>
        <w:tc>
          <w:tcPr>
            <w:tcW w:w="801" w:type="pct"/>
            <w:shd w:val="clear" w:color="auto" w:fill="auto"/>
            <w:noWrap/>
            <w:vAlign w:val="center"/>
            <w:hideMark/>
          </w:tcPr>
          <w:p w14:paraId="2E3DC62E" w14:textId="7D8EF8D3"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035132</w:t>
            </w:r>
          </w:p>
        </w:tc>
        <w:tc>
          <w:tcPr>
            <w:tcW w:w="602" w:type="pct"/>
            <w:shd w:val="clear" w:color="auto" w:fill="auto"/>
            <w:noWrap/>
            <w:vAlign w:val="center"/>
            <w:hideMark/>
          </w:tcPr>
          <w:p w14:paraId="12E8988C" w14:textId="424CD708" w:rsidR="00AC03F5" w:rsidRPr="00AC03F5" w:rsidRDefault="00AC03F5" w:rsidP="00AC03F5">
            <w:pPr>
              <w:jc w:val="center"/>
              <w:rPr>
                <w:color w:val="000000"/>
                <w:lang w:eastAsia="pt-BR"/>
              </w:rPr>
            </w:pPr>
            <w:r w:rsidRPr="00AC03F5">
              <w:rPr>
                <w:color w:val="000000"/>
                <w:lang w:eastAsia="pt-BR"/>
              </w:rPr>
              <w:t>24</w:t>
            </w:r>
            <w:r w:rsidR="009428DD">
              <w:rPr>
                <w:color w:val="000000"/>
                <w:lang w:eastAsia="pt-BR"/>
              </w:rPr>
              <w:t>.</w:t>
            </w:r>
            <w:r w:rsidRPr="00AC03F5">
              <w:rPr>
                <w:color w:val="000000"/>
                <w:lang w:eastAsia="pt-BR"/>
              </w:rPr>
              <w:t>6%</w:t>
            </w:r>
          </w:p>
        </w:tc>
        <w:tc>
          <w:tcPr>
            <w:tcW w:w="801" w:type="pct"/>
            <w:vAlign w:val="center"/>
          </w:tcPr>
          <w:p w14:paraId="76ACE4F8" w14:textId="385D8D93"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0022415</w:t>
            </w:r>
          </w:p>
        </w:tc>
        <w:tc>
          <w:tcPr>
            <w:tcW w:w="695" w:type="pct"/>
            <w:vAlign w:val="center"/>
          </w:tcPr>
          <w:p w14:paraId="642C458E" w14:textId="2975510B" w:rsidR="00AC03F5" w:rsidRPr="00AC03F5" w:rsidRDefault="00AC03F5" w:rsidP="00AC03F5">
            <w:pPr>
              <w:jc w:val="center"/>
              <w:rPr>
                <w:color w:val="000000"/>
                <w:lang w:eastAsia="pt-BR"/>
              </w:rPr>
            </w:pPr>
            <w:r w:rsidRPr="00AC03F5">
              <w:rPr>
                <w:color w:val="000000"/>
                <w:lang w:eastAsia="pt-BR"/>
              </w:rPr>
              <w:t>6</w:t>
            </w:r>
            <w:r w:rsidR="009428DD">
              <w:rPr>
                <w:color w:val="000000"/>
                <w:lang w:eastAsia="pt-BR"/>
              </w:rPr>
              <w:t>.</w:t>
            </w:r>
            <w:r w:rsidRPr="00AC03F5">
              <w:rPr>
                <w:color w:val="000000"/>
                <w:lang w:eastAsia="pt-BR"/>
              </w:rPr>
              <w:t>2%</w:t>
            </w:r>
          </w:p>
        </w:tc>
      </w:tr>
      <w:tr w:rsidR="00B855B9" w:rsidRPr="00AC03F5" w14:paraId="42F4F4A3" w14:textId="3B81E7E6" w:rsidTr="00D2402A">
        <w:trPr>
          <w:trHeight w:val="20"/>
        </w:trPr>
        <w:tc>
          <w:tcPr>
            <w:tcW w:w="696" w:type="pct"/>
            <w:tcBorders>
              <w:bottom w:val="single" w:sz="4" w:space="0" w:color="auto"/>
            </w:tcBorders>
            <w:shd w:val="clear" w:color="auto" w:fill="auto"/>
            <w:noWrap/>
            <w:vAlign w:val="center"/>
            <w:hideMark/>
          </w:tcPr>
          <w:p w14:paraId="70AAAFC5" w14:textId="63B9C413" w:rsidR="00AC03F5" w:rsidRPr="00AC03F5" w:rsidRDefault="00AC03F5" w:rsidP="00AC03F5">
            <w:pPr>
              <w:jc w:val="center"/>
              <w:rPr>
                <w:color w:val="000000"/>
                <w:lang w:eastAsia="pt-BR"/>
              </w:rPr>
            </w:pPr>
            <w:r w:rsidRPr="00AC03F5">
              <w:rPr>
                <w:b/>
                <w:color w:val="000000"/>
                <w:lang w:eastAsia="pt-BR"/>
              </w:rPr>
              <w:t>480</w:t>
            </w:r>
          </w:p>
        </w:tc>
        <w:tc>
          <w:tcPr>
            <w:tcW w:w="802" w:type="pct"/>
            <w:tcBorders>
              <w:bottom w:val="single" w:sz="4" w:space="0" w:color="auto"/>
            </w:tcBorders>
            <w:shd w:val="clear" w:color="auto" w:fill="auto"/>
            <w:noWrap/>
            <w:vAlign w:val="center"/>
            <w:hideMark/>
          </w:tcPr>
          <w:p w14:paraId="5F261C37" w14:textId="2B7A4A5A"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084570</w:t>
            </w:r>
          </w:p>
        </w:tc>
        <w:tc>
          <w:tcPr>
            <w:tcW w:w="603" w:type="pct"/>
            <w:tcBorders>
              <w:bottom w:val="single" w:sz="4" w:space="0" w:color="auto"/>
            </w:tcBorders>
            <w:shd w:val="clear" w:color="auto" w:fill="auto"/>
            <w:noWrap/>
            <w:vAlign w:val="center"/>
            <w:hideMark/>
          </w:tcPr>
          <w:p w14:paraId="541557C0" w14:textId="7C1D0875" w:rsidR="00AC03F5" w:rsidRPr="00AC03F5" w:rsidRDefault="00AC03F5" w:rsidP="00AC03F5">
            <w:pPr>
              <w:jc w:val="center"/>
              <w:rPr>
                <w:color w:val="000000"/>
                <w:lang w:eastAsia="pt-BR"/>
              </w:rPr>
            </w:pPr>
            <w:r w:rsidRPr="00AC03F5">
              <w:rPr>
                <w:color w:val="000000"/>
                <w:lang w:eastAsia="pt-BR"/>
              </w:rPr>
              <w:t>36</w:t>
            </w:r>
            <w:r w:rsidR="009428DD">
              <w:rPr>
                <w:color w:val="000000"/>
                <w:lang w:eastAsia="pt-BR"/>
              </w:rPr>
              <w:t>.</w:t>
            </w:r>
            <w:r w:rsidRPr="00AC03F5">
              <w:rPr>
                <w:color w:val="000000"/>
                <w:lang w:eastAsia="pt-BR"/>
              </w:rPr>
              <w:t>4%</w:t>
            </w:r>
          </w:p>
        </w:tc>
        <w:tc>
          <w:tcPr>
            <w:tcW w:w="801" w:type="pct"/>
            <w:tcBorders>
              <w:bottom w:val="single" w:sz="4" w:space="0" w:color="auto"/>
            </w:tcBorders>
            <w:shd w:val="clear" w:color="auto" w:fill="auto"/>
            <w:noWrap/>
            <w:vAlign w:val="center"/>
            <w:hideMark/>
          </w:tcPr>
          <w:p w14:paraId="51D43E8F" w14:textId="57C39A42"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030752</w:t>
            </w:r>
          </w:p>
        </w:tc>
        <w:tc>
          <w:tcPr>
            <w:tcW w:w="602" w:type="pct"/>
            <w:tcBorders>
              <w:bottom w:val="single" w:sz="4" w:space="0" w:color="auto"/>
            </w:tcBorders>
            <w:shd w:val="clear" w:color="auto" w:fill="auto"/>
            <w:noWrap/>
            <w:vAlign w:val="center"/>
            <w:hideMark/>
          </w:tcPr>
          <w:p w14:paraId="5670DDAC" w14:textId="0AA5D7D9" w:rsidR="00AC03F5" w:rsidRPr="00AC03F5" w:rsidRDefault="00AC03F5" w:rsidP="00AC03F5">
            <w:pPr>
              <w:jc w:val="center"/>
              <w:rPr>
                <w:color w:val="000000"/>
                <w:lang w:eastAsia="pt-BR"/>
              </w:rPr>
            </w:pPr>
            <w:r w:rsidRPr="00AC03F5">
              <w:rPr>
                <w:color w:val="000000"/>
                <w:lang w:eastAsia="pt-BR"/>
              </w:rPr>
              <w:t>21</w:t>
            </w:r>
            <w:r w:rsidR="009428DD">
              <w:rPr>
                <w:color w:val="000000"/>
                <w:lang w:eastAsia="pt-BR"/>
              </w:rPr>
              <w:t>.</w:t>
            </w:r>
            <w:r w:rsidRPr="00AC03F5">
              <w:rPr>
                <w:color w:val="000000"/>
                <w:lang w:eastAsia="pt-BR"/>
              </w:rPr>
              <w:t>9%</w:t>
            </w:r>
          </w:p>
        </w:tc>
        <w:tc>
          <w:tcPr>
            <w:tcW w:w="801" w:type="pct"/>
            <w:tcBorders>
              <w:bottom w:val="single" w:sz="4" w:space="0" w:color="auto"/>
            </w:tcBorders>
            <w:vAlign w:val="center"/>
          </w:tcPr>
          <w:p w14:paraId="2C825DE4" w14:textId="6775FBF8" w:rsidR="00AC03F5" w:rsidRPr="00AC03F5" w:rsidRDefault="00AC03F5" w:rsidP="00AC03F5">
            <w:pPr>
              <w:jc w:val="center"/>
              <w:rPr>
                <w:color w:val="000000"/>
                <w:lang w:eastAsia="pt-BR"/>
              </w:rPr>
            </w:pPr>
            <w:r w:rsidRPr="00AC03F5">
              <w:rPr>
                <w:color w:val="000000"/>
                <w:lang w:eastAsia="pt-BR"/>
              </w:rPr>
              <w:t>0</w:t>
            </w:r>
            <w:r w:rsidR="009428DD">
              <w:rPr>
                <w:color w:val="000000"/>
                <w:lang w:eastAsia="pt-BR"/>
              </w:rPr>
              <w:t>.</w:t>
            </w:r>
            <w:r w:rsidRPr="00AC03F5">
              <w:rPr>
                <w:color w:val="000000"/>
                <w:lang w:eastAsia="pt-BR"/>
              </w:rPr>
              <w:t>0005177</w:t>
            </w:r>
          </w:p>
        </w:tc>
        <w:tc>
          <w:tcPr>
            <w:tcW w:w="695" w:type="pct"/>
            <w:tcBorders>
              <w:bottom w:val="single" w:sz="4" w:space="0" w:color="auto"/>
            </w:tcBorders>
            <w:vAlign w:val="center"/>
          </w:tcPr>
          <w:p w14:paraId="01AA38E0" w14:textId="08C69290" w:rsidR="00AC03F5" w:rsidRPr="00AC03F5" w:rsidRDefault="00AC03F5" w:rsidP="00AC03F5">
            <w:pPr>
              <w:jc w:val="center"/>
              <w:rPr>
                <w:color w:val="000000"/>
                <w:lang w:eastAsia="pt-BR"/>
              </w:rPr>
            </w:pPr>
            <w:r w:rsidRPr="00AC03F5">
              <w:rPr>
                <w:color w:val="000000"/>
                <w:lang w:eastAsia="pt-BR"/>
              </w:rPr>
              <w:t>2</w:t>
            </w:r>
            <w:r w:rsidR="009428DD">
              <w:rPr>
                <w:color w:val="000000"/>
                <w:lang w:eastAsia="pt-BR"/>
              </w:rPr>
              <w:t>.</w:t>
            </w:r>
            <w:r w:rsidRPr="00AC03F5">
              <w:rPr>
                <w:color w:val="000000"/>
                <w:lang w:eastAsia="pt-BR"/>
              </w:rPr>
              <w:t>8%</w:t>
            </w:r>
          </w:p>
        </w:tc>
      </w:tr>
      <w:tr w:rsidR="00B855B9" w:rsidRPr="00AC03F5" w14:paraId="4F884D12" w14:textId="19EDFC01" w:rsidTr="00D2402A">
        <w:trPr>
          <w:trHeight w:val="20"/>
        </w:trPr>
        <w:tc>
          <w:tcPr>
            <w:tcW w:w="696" w:type="pct"/>
            <w:tcBorders>
              <w:bottom w:val="single" w:sz="4" w:space="0" w:color="auto"/>
            </w:tcBorders>
            <w:shd w:val="clear" w:color="auto" w:fill="auto"/>
            <w:noWrap/>
            <w:vAlign w:val="center"/>
          </w:tcPr>
          <w:p w14:paraId="2A133DCF" w14:textId="77777777" w:rsidR="00AC03F5" w:rsidRPr="00AC03F5" w:rsidRDefault="00AC03F5" w:rsidP="00AC03F5">
            <w:pPr>
              <w:jc w:val="center"/>
              <w:rPr>
                <w:color w:val="000000"/>
                <w:lang w:eastAsia="pt-BR"/>
              </w:rPr>
            </w:pPr>
          </w:p>
        </w:tc>
        <w:tc>
          <w:tcPr>
            <w:tcW w:w="802" w:type="pct"/>
            <w:tcBorders>
              <w:bottom w:val="single" w:sz="4" w:space="0" w:color="auto"/>
            </w:tcBorders>
            <w:shd w:val="clear" w:color="auto" w:fill="auto"/>
            <w:noWrap/>
            <w:vAlign w:val="center"/>
          </w:tcPr>
          <w:p w14:paraId="3F36EC77" w14:textId="78124D1B" w:rsidR="00AC03F5" w:rsidRPr="00DD5342" w:rsidRDefault="00AC03F5" w:rsidP="00AC03F5">
            <w:pPr>
              <w:jc w:val="center"/>
              <w:rPr>
                <w:b/>
                <w:iCs/>
                <w:color w:val="000000"/>
                <w:lang w:eastAsia="pt-BR"/>
              </w:rPr>
            </w:pPr>
            <w:r w:rsidRPr="00DD5342">
              <w:rPr>
                <w:b/>
                <w:iCs/>
                <w:color w:val="000000"/>
                <w:lang w:eastAsia="pt-BR"/>
              </w:rPr>
              <w:t>0</w:t>
            </w:r>
            <w:r w:rsidR="009428DD" w:rsidRPr="00DD5342">
              <w:rPr>
                <w:b/>
                <w:iCs/>
                <w:color w:val="000000"/>
                <w:lang w:eastAsia="pt-BR"/>
              </w:rPr>
              <w:t>.</w:t>
            </w:r>
            <w:r w:rsidRPr="00DD5342">
              <w:rPr>
                <w:b/>
                <w:iCs/>
                <w:color w:val="000000"/>
                <w:lang w:eastAsia="pt-BR"/>
              </w:rPr>
              <w:t>031129</w:t>
            </w:r>
          </w:p>
        </w:tc>
        <w:tc>
          <w:tcPr>
            <w:tcW w:w="603" w:type="pct"/>
            <w:tcBorders>
              <w:bottom w:val="single" w:sz="4" w:space="0" w:color="auto"/>
            </w:tcBorders>
            <w:shd w:val="clear" w:color="auto" w:fill="auto"/>
            <w:noWrap/>
            <w:vAlign w:val="center"/>
          </w:tcPr>
          <w:p w14:paraId="391A68E6" w14:textId="3169B66E" w:rsidR="00AC03F5" w:rsidRPr="00DD5342" w:rsidRDefault="00AC03F5" w:rsidP="00AC03F5">
            <w:pPr>
              <w:jc w:val="center"/>
              <w:rPr>
                <w:b/>
                <w:iCs/>
                <w:color w:val="000000"/>
                <w:lang w:eastAsia="pt-BR"/>
              </w:rPr>
            </w:pPr>
            <w:r w:rsidRPr="00DD5342">
              <w:rPr>
                <w:b/>
                <w:iCs/>
                <w:color w:val="000000"/>
                <w:lang w:eastAsia="pt-BR"/>
              </w:rPr>
              <w:t>22</w:t>
            </w:r>
            <w:r w:rsidR="009428DD" w:rsidRPr="00DD5342">
              <w:rPr>
                <w:b/>
                <w:iCs/>
                <w:color w:val="000000"/>
                <w:lang w:eastAsia="pt-BR"/>
              </w:rPr>
              <w:t>.</w:t>
            </w:r>
            <w:r w:rsidRPr="00DD5342">
              <w:rPr>
                <w:b/>
                <w:iCs/>
                <w:color w:val="000000"/>
                <w:lang w:eastAsia="pt-BR"/>
              </w:rPr>
              <w:t>8%</w:t>
            </w:r>
          </w:p>
        </w:tc>
        <w:tc>
          <w:tcPr>
            <w:tcW w:w="801" w:type="pct"/>
            <w:tcBorders>
              <w:bottom w:val="single" w:sz="4" w:space="0" w:color="auto"/>
            </w:tcBorders>
            <w:shd w:val="clear" w:color="auto" w:fill="auto"/>
            <w:noWrap/>
            <w:vAlign w:val="center"/>
          </w:tcPr>
          <w:p w14:paraId="453706F6" w14:textId="6C740352" w:rsidR="00AC03F5" w:rsidRPr="00DD5342" w:rsidRDefault="00AC03F5" w:rsidP="00AC03F5">
            <w:pPr>
              <w:jc w:val="center"/>
              <w:rPr>
                <w:b/>
                <w:iCs/>
                <w:color w:val="000000"/>
                <w:lang w:eastAsia="pt-BR"/>
              </w:rPr>
            </w:pPr>
            <w:r w:rsidRPr="00DD5342">
              <w:rPr>
                <w:b/>
                <w:iCs/>
                <w:color w:val="000000"/>
                <w:lang w:eastAsia="pt-BR"/>
              </w:rPr>
              <w:t>0</w:t>
            </w:r>
            <w:r w:rsidR="009428DD" w:rsidRPr="00DD5342">
              <w:rPr>
                <w:b/>
                <w:iCs/>
                <w:color w:val="000000"/>
                <w:lang w:eastAsia="pt-BR"/>
              </w:rPr>
              <w:t>.</w:t>
            </w:r>
            <w:r w:rsidRPr="00DD5342">
              <w:rPr>
                <w:b/>
                <w:iCs/>
                <w:color w:val="000000"/>
                <w:lang w:eastAsia="pt-BR"/>
              </w:rPr>
              <w:t>019832</w:t>
            </w:r>
          </w:p>
        </w:tc>
        <w:tc>
          <w:tcPr>
            <w:tcW w:w="602" w:type="pct"/>
            <w:tcBorders>
              <w:bottom w:val="single" w:sz="4" w:space="0" w:color="auto"/>
            </w:tcBorders>
            <w:shd w:val="clear" w:color="auto" w:fill="auto"/>
            <w:noWrap/>
            <w:vAlign w:val="center"/>
          </w:tcPr>
          <w:p w14:paraId="6B12E92D" w14:textId="3C9D1802" w:rsidR="00AC03F5" w:rsidRPr="00DD5342" w:rsidRDefault="00AC03F5" w:rsidP="00AC03F5">
            <w:pPr>
              <w:jc w:val="center"/>
              <w:rPr>
                <w:b/>
                <w:iCs/>
                <w:color w:val="000000"/>
                <w:lang w:eastAsia="pt-BR"/>
              </w:rPr>
            </w:pPr>
            <w:r w:rsidRPr="00DD5342">
              <w:rPr>
                <w:b/>
                <w:iCs/>
                <w:color w:val="000000"/>
                <w:lang w:eastAsia="pt-BR"/>
              </w:rPr>
              <w:t>18</w:t>
            </w:r>
            <w:r w:rsidR="009428DD" w:rsidRPr="00DD5342">
              <w:rPr>
                <w:b/>
                <w:iCs/>
                <w:color w:val="000000"/>
                <w:lang w:eastAsia="pt-BR"/>
              </w:rPr>
              <w:t>.</w:t>
            </w:r>
            <w:r w:rsidRPr="00DD5342">
              <w:rPr>
                <w:b/>
                <w:iCs/>
                <w:color w:val="000000"/>
                <w:lang w:eastAsia="pt-BR"/>
              </w:rPr>
              <w:t>8%</w:t>
            </w:r>
          </w:p>
        </w:tc>
        <w:tc>
          <w:tcPr>
            <w:tcW w:w="801" w:type="pct"/>
            <w:tcBorders>
              <w:bottom w:val="single" w:sz="4" w:space="0" w:color="auto"/>
            </w:tcBorders>
            <w:vAlign w:val="center"/>
          </w:tcPr>
          <w:p w14:paraId="26DCBF33" w14:textId="5958B7FB" w:rsidR="00AC03F5" w:rsidRPr="00DD5342" w:rsidRDefault="00AC03F5" w:rsidP="00AC03F5">
            <w:pPr>
              <w:jc w:val="center"/>
              <w:rPr>
                <w:b/>
                <w:iCs/>
                <w:color w:val="000000"/>
                <w:lang w:eastAsia="pt-BR"/>
              </w:rPr>
            </w:pPr>
            <w:r w:rsidRPr="00DD5342">
              <w:rPr>
                <w:b/>
                <w:iCs/>
                <w:color w:val="000000"/>
                <w:lang w:eastAsia="pt-BR"/>
              </w:rPr>
              <w:t>0</w:t>
            </w:r>
            <w:r w:rsidR="009428DD" w:rsidRPr="00DD5342">
              <w:rPr>
                <w:b/>
                <w:iCs/>
                <w:color w:val="000000"/>
                <w:lang w:eastAsia="pt-BR"/>
              </w:rPr>
              <w:t>.</w:t>
            </w:r>
            <w:r w:rsidRPr="00DD5342">
              <w:rPr>
                <w:b/>
                <w:iCs/>
                <w:color w:val="000000"/>
                <w:lang w:eastAsia="pt-BR"/>
              </w:rPr>
              <w:t>0010786</w:t>
            </w:r>
          </w:p>
        </w:tc>
        <w:tc>
          <w:tcPr>
            <w:tcW w:w="695" w:type="pct"/>
            <w:tcBorders>
              <w:bottom w:val="single" w:sz="4" w:space="0" w:color="auto"/>
            </w:tcBorders>
            <w:vAlign w:val="center"/>
          </w:tcPr>
          <w:p w14:paraId="59E970ED" w14:textId="2A3F914D" w:rsidR="00AC03F5" w:rsidRPr="00DD5342" w:rsidRDefault="00AC03F5" w:rsidP="00AC03F5">
            <w:pPr>
              <w:jc w:val="center"/>
              <w:rPr>
                <w:b/>
                <w:iCs/>
                <w:color w:val="000000"/>
                <w:lang w:eastAsia="pt-BR"/>
              </w:rPr>
            </w:pPr>
            <w:r w:rsidRPr="00DD5342">
              <w:rPr>
                <w:b/>
                <w:iCs/>
                <w:color w:val="000000"/>
                <w:lang w:eastAsia="pt-BR"/>
              </w:rPr>
              <w:t>5</w:t>
            </w:r>
            <w:r w:rsidR="009428DD" w:rsidRPr="00DD5342">
              <w:rPr>
                <w:b/>
                <w:iCs/>
                <w:color w:val="000000"/>
                <w:lang w:eastAsia="pt-BR"/>
              </w:rPr>
              <w:t>.</w:t>
            </w:r>
            <w:r w:rsidRPr="00DD5342">
              <w:rPr>
                <w:b/>
                <w:iCs/>
                <w:color w:val="000000"/>
                <w:lang w:eastAsia="pt-BR"/>
              </w:rPr>
              <w:t>8%</w:t>
            </w:r>
          </w:p>
        </w:tc>
      </w:tr>
      <w:bookmarkEnd w:id="1"/>
    </w:tbl>
    <w:p w14:paraId="494FB75D" w14:textId="77777777" w:rsidR="00DC6E4B" w:rsidRDefault="00DC6E4B" w:rsidP="00B91853">
      <w:pPr>
        <w:pStyle w:val="Els-body-text"/>
        <w:rPr>
          <w:lang w:val="en-GB"/>
        </w:rPr>
      </w:pPr>
    </w:p>
    <w:p w14:paraId="3A70CD4D" w14:textId="78869DE3" w:rsidR="007C0A3C" w:rsidRPr="00A94774" w:rsidRDefault="00191777" w:rsidP="008D2649">
      <w:pPr>
        <w:pStyle w:val="Els-body-text"/>
        <w:spacing w:after="120"/>
        <w:rPr>
          <w:lang w:val="en-GB"/>
        </w:rPr>
      </w:pPr>
      <w:r w:rsidRPr="00191777">
        <w:rPr>
          <w:lang w:val="en-GB"/>
        </w:rPr>
        <w:t xml:space="preserve">Therefore, </w:t>
      </w:r>
      <w:r>
        <w:rPr>
          <w:lang w:val="en-GB"/>
        </w:rPr>
        <w:t>i</w:t>
      </w:r>
      <w:r w:rsidR="00D674EC" w:rsidRPr="00D674EC">
        <w:rPr>
          <w:lang w:val="en-GB"/>
        </w:rPr>
        <w:t>t can be observed that the implemented user-models for the gel effect in the commercial simulator enable a good representation of the experimental data, where the modified model with the user correlation proposed being that with the minor error about the experimental</w:t>
      </w:r>
      <w:r w:rsidR="00AB683E">
        <w:rPr>
          <w:lang w:val="en-GB"/>
        </w:rPr>
        <w:t xml:space="preserve"> data</w:t>
      </w:r>
      <w:r w:rsidR="00D674EC" w:rsidRPr="00D674EC">
        <w:rPr>
          <w:lang w:val="en-GB"/>
        </w:rPr>
        <w:t xml:space="preserve">. The average error of the predictions of the modified model for the gel effect is </w:t>
      </w:r>
      <w:r w:rsidR="00C75BB3">
        <w:rPr>
          <w:lang w:val="en-GB"/>
        </w:rPr>
        <w:t>four</w:t>
      </w:r>
      <w:r w:rsidR="00D674EC" w:rsidRPr="00D674EC">
        <w:rPr>
          <w:lang w:val="en-GB"/>
        </w:rPr>
        <w:t xml:space="preserve"> times less than for the other models; besides the mean-square deviation is of the order of 10 times smaller in relation to the models without gel effect and standard. Thus, the user-model correlations implemented in the commercial software enables to investigate process variables that would hardly be investigated experimentally, being a versatile tool for the study of </w:t>
      </w:r>
      <w:r w:rsidR="00AB683E">
        <w:rPr>
          <w:lang w:val="en-GB"/>
        </w:rPr>
        <w:t>e</w:t>
      </w:r>
      <w:r w:rsidR="00AB683E" w:rsidRPr="00B67C58">
        <w:rPr>
          <w:lang w:val="en-GB"/>
        </w:rPr>
        <w:t>xpandable</w:t>
      </w:r>
      <w:r w:rsidR="00AB683E" w:rsidRPr="00D674EC">
        <w:rPr>
          <w:lang w:val="en-GB"/>
        </w:rPr>
        <w:t xml:space="preserve"> </w:t>
      </w:r>
      <w:r w:rsidR="00D674EC" w:rsidRPr="00D674EC">
        <w:rPr>
          <w:lang w:val="en-GB"/>
        </w:rPr>
        <w:t>polystyrene synthesis process.</w:t>
      </w:r>
      <w:r w:rsidR="002B7D08">
        <w:rPr>
          <w:lang w:val="en-GB"/>
        </w:rPr>
        <w:t xml:space="preserve"> </w:t>
      </w:r>
    </w:p>
    <w:p w14:paraId="144DE6BA" w14:textId="77777777" w:rsidR="008D2649" w:rsidRPr="00A94774" w:rsidRDefault="008D2649" w:rsidP="00B91853">
      <w:pPr>
        <w:pStyle w:val="Els-1storder-head"/>
        <w:spacing w:after="0"/>
        <w:rPr>
          <w:lang w:val="en-GB"/>
        </w:rPr>
      </w:pPr>
      <w:r w:rsidRPr="00A94774">
        <w:rPr>
          <w:lang w:val="en-GB"/>
        </w:rPr>
        <w:t>Conclusions</w:t>
      </w:r>
    </w:p>
    <w:p w14:paraId="390E8F39" w14:textId="3596F934" w:rsidR="00154A23" w:rsidRPr="00A94774" w:rsidRDefault="00A83851" w:rsidP="008D2649">
      <w:pPr>
        <w:pStyle w:val="Els-body-text"/>
        <w:spacing w:after="120"/>
        <w:rPr>
          <w:lang w:val="en-GB"/>
        </w:rPr>
      </w:pPr>
      <w:r w:rsidRPr="00A83851">
        <w:rPr>
          <w:lang w:val="en-GB"/>
        </w:rPr>
        <w:t>The simulation of the EPS polymerization and impregnation process was built using the Aspen Polymers</w:t>
      </w:r>
      <w:r w:rsidR="009E5953" w:rsidRPr="009E5953">
        <w:rPr>
          <w:vertAlign w:val="superscript"/>
          <w:lang w:val="en-GB"/>
        </w:rPr>
        <w:t>®</w:t>
      </w:r>
      <w:r w:rsidRPr="00A83851">
        <w:rPr>
          <w:lang w:val="en-GB"/>
        </w:rPr>
        <w:t xml:space="preserve"> software. The software's standard model was modified with user</w:t>
      </w:r>
      <w:r w:rsidR="00C31C32">
        <w:rPr>
          <w:lang w:val="en-GB"/>
        </w:rPr>
        <w:t>-model</w:t>
      </w:r>
      <w:r w:rsidRPr="00A83851">
        <w:rPr>
          <w:lang w:val="en-GB"/>
        </w:rPr>
        <w:t xml:space="preserve"> routines, </w:t>
      </w:r>
      <w:r w:rsidR="009E5953">
        <w:rPr>
          <w:lang w:val="en-GB"/>
        </w:rPr>
        <w:t>so</w:t>
      </w:r>
      <w:r w:rsidRPr="00A83851">
        <w:rPr>
          <w:lang w:val="en-GB"/>
        </w:rPr>
        <w:t xml:space="preserve"> the simulation was able to represent the effect of the </w:t>
      </w:r>
      <w:r w:rsidR="009E5953">
        <w:rPr>
          <w:lang w:val="en-GB"/>
        </w:rPr>
        <w:t>blowing</w:t>
      </w:r>
      <w:r w:rsidRPr="00A83851">
        <w:rPr>
          <w:lang w:val="en-GB"/>
        </w:rPr>
        <w:t xml:space="preserve"> agent on the process dynamics. The simulation with the modified model was validated using experimental data obtained from the literature. Errors </w:t>
      </w:r>
      <w:r w:rsidR="00EF583A" w:rsidRPr="00AC5386">
        <w:rPr>
          <w:lang w:val="en-GB"/>
        </w:rPr>
        <w:t xml:space="preserve">of up to </w:t>
      </w:r>
      <w:r w:rsidRPr="00A83851">
        <w:rPr>
          <w:lang w:val="en-GB"/>
        </w:rPr>
        <w:t>10%</w:t>
      </w:r>
      <w:r w:rsidR="00EF583A">
        <w:rPr>
          <w:lang w:val="en-GB"/>
        </w:rPr>
        <w:t xml:space="preserve"> </w:t>
      </w:r>
      <w:r w:rsidRPr="00A83851">
        <w:rPr>
          <w:lang w:val="en-GB"/>
        </w:rPr>
        <w:t xml:space="preserve">proved the representativeness of the model. A comparison was made between the modified model, the software standard and those without gel effect, demonstrating that the simulation was </w:t>
      </w:r>
      <w:r w:rsidR="00EF583A">
        <w:rPr>
          <w:lang w:val="en-GB"/>
        </w:rPr>
        <w:t xml:space="preserve">an </w:t>
      </w:r>
      <w:r w:rsidRPr="00A83851">
        <w:rPr>
          <w:lang w:val="en-GB"/>
        </w:rPr>
        <w:t>efficient</w:t>
      </w:r>
      <w:r w:rsidR="00EF583A">
        <w:rPr>
          <w:lang w:val="en-GB"/>
        </w:rPr>
        <w:t xml:space="preserve"> tool</w:t>
      </w:r>
      <w:r w:rsidRPr="00A83851">
        <w:rPr>
          <w:lang w:val="en-GB"/>
        </w:rPr>
        <w:t xml:space="preserve">. </w:t>
      </w:r>
      <w:r w:rsidR="00EF583A">
        <w:rPr>
          <w:lang w:val="en-GB"/>
        </w:rPr>
        <w:t>T</w:t>
      </w:r>
      <w:r w:rsidRPr="00A83851">
        <w:rPr>
          <w:lang w:val="en-GB"/>
        </w:rPr>
        <w:t xml:space="preserve">herefore, </w:t>
      </w:r>
      <w:r w:rsidR="00EF583A">
        <w:rPr>
          <w:lang w:val="en-GB"/>
        </w:rPr>
        <w:t>this</w:t>
      </w:r>
      <w:r w:rsidRPr="00A83851">
        <w:rPr>
          <w:lang w:val="en-GB"/>
        </w:rPr>
        <w:t xml:space="preserve"> commercial simulator</w:t>
      </w:r>
      <w:r w:rsidR="00EF583A">
        <w:rPr>
          <w:lang w:val="en-GB"/>
        </w:rPr>
        <w:t xml:space="preserve"> with </w:t>
      </w:r>
      <w:r w:rsidR="00391313">
        <w:rPr>
          <w:lang w:val="en-GB"/>
        </w:rPr>
        <w:t>modified correlation can be</w:t>
      </w:r>
      <w:r w:rsidRPr="00A83851">
        <w:rPr>
          <w:lang w:val="en-GB"/>
        </w:rPr>
        <w:t xml:space="preserve"> a versatile and efficient tool for studying EPS synthesis processes. The application allowed the mathematical model to be adapted to th</w:t>
      </w:r>
      <w:r w:rsidR="00532EFB">
        <w:rPr>
          <w:lang w:val="en-GB"/>
        </w:rPr>
        <w:t>is</w:t>
      </w:r>
      <w:r w:rsidRPr="00A83851">
        <w:rPr>
          <w:lang w:val="en-GB"/>
        </w:rPr>
        <w:t xml:space="preserve"> specific application, which makes </w:t>
      </w:r>
      <w:r w:rsidR="00F8328F">
        <w:rPr>
          <w:lang w:val="en-GB"/>
        </w:rPr>
        <w:t>future</w:t>
      </w:r>
      <w:r w:rsidRPr="00A83851">
        <w:rPr>
          <w:lang w:val="en-GB"/>
        </w:rPr>
        <w:t xml:space="preserve"> investigation</w:t>
      </w:r>
      <w:r w:rsidR="00F8328F">
        <w:rPr>
          <w:lang w:val="en-GB"/>
        </w:rPr>
        <w:t>s</w:t>
      </w:r>
      <w:r w:rsidRPr="00A83851">
        <w:rPr>
          <w:lang w:val="en-GB"/>
        </w:rPr>
        <w:t xml:space="preserve"> and manipulation</w:t>
      </w:r>
      <w:r w:rsidR="00F8328F">
        <w:rPr>
          <w:lang w:val="en-GB"/>
        </w:rPr>
        <w:t>s</w:t>
      </w:r>
      <w:r w:rsidRPr="00A83851">
        <w:rPr>
          <w:lang w:val="en-GB"/>
        </w:rPr>
        <w:t xml:space="preserve"> of process variables </w:t>
      </w:r>
      <w:r w:rsidR="004077A2" w:rsidRPr="004077A2">
        <w:rPr>
          <w:lang w:val="en-GB"/>
        </w:rPr>
        <w:t>less costly</w:t>
      </w:r>
      <w:r w:rsidRPr="00A83851">
        <w:rPr>
          <w:lang w:val="en-GB"/>
        </w:rPr>
        <w:t>.</w:t>
      </w:r>
    </w:p>
    <w:p w14:paraId="144DE6BF" w14:textId="608D0AD6" w:rsidR="008D2649" w:rsidRPr="00BF305C" w:rsidRDefault="008D2649" w:rsidP="008D2649">
      <w:pPr>
        <w:pStyle w:val="Els-reference-head"/>
        <w:rPr>
          <w:lang w:val="pt-BR"/>
        </w:rPr>
      </w:pPr>
      <w:r w:rsidRPr="00BF305C">
        <w:rPr>
          <w:lang w:val="pt-BR"/>
        </w:rPr>
        <w:t>References</w:t>
      </w:r>
    </w:p>
    <w:p w14:paraId="54A03214" w14:textId="5C568A5A" w:rsidR="006E2D9F" w:rsidRPr="00C74ADC" w:rsidRDefault="006E2D9F" w:rsidP="006E2D9F">
      <w:pPr>
        <w:widowControl w:val="0"/>
        <w:autoSpaceDE w:val="0"/>
        <w:autoSpaceDN w:val="0"/>
        <w:adjustRightInd w:val="0"/>
        <w:ind w:left="480" w:hanging="480"/>
        <w:rPr>
          <w:sz w:val="18"/>
          <w:szCs w:val="18"/>
          <w:lang w:val="en-US"/>
        </w:rPr>
      </w:pPr>
      <w:r w:rsidRPr="00A2171F">
        <w:rPr>
          <w:sz w:val="18"/>
          <w:szCs w:val="18"/>
          <w:lang w:val="en-US"/>
        </w:rPr>
        <w:t>Almeida, A.S., Wada, K., Secchi, A.R., 2008</w:t>
      </w:r>
      <w:r w:rsidR="00467D53" w:rsidRPr="00A2171F">
        <w:rPr>
          <w:sz w:val="18"/>
          <w:szCs w:val="18"/>
          <w:lang w:val="en-US"/>
        </w:rPr>
        <w:t>,</w:t>
      </w:r>
      <w:r w:rsidRPr="00A2171F">
        <w:rPr>
          <w:sz w:val="18"/>
          <w:szCs w:val="18"/>
          <w:lang w:val="en-US"/>
        </w:rPr>
        <w:t xml:space="preserve"> </w:t>
      </w:r>
      <w:r w:rsidRPr="00C74ADC">
        <w:rPr>
          <w:sz w:val="18"/>
          <w:szCs w:val="18"/>
          <w:lang w:val="en-US"/>
        </w:rPr>
        <w:t>Simulation of styrene polymerization reactors: kinetic and thermodynamic modeling</w:t>
      </w:r>
      <w:r w:rsidR="00A2171F">
        <w:rPr>
          <w:sz w:val="18"/>
          <w:szCs w:val="18"/>
          <w:lang w:val="en-US"/>
        </w:rPr>
        <w:t>,</w:t>
      </w:r>
      <w:r w:rsidRPr="00C74ADC">
        <w:rPr>
          <w:sz w:val="18"/>
          <w:szCs w:val="18"/>
          <w:lang w:val="en-US"/>
        </w:rPr>
        <w:t xml:space="preserve"> Brazilian J. Chem. Eng.</w:t>
      </w:r>
      <w:r w:rsidR="00A2171F">
        <w:rPr>
          <w:sz w:val="18"/>
          <w:szCs w:val="18"/>
          <w:lang w:val="en-US"/>
        </w:rPr>
        <w:t>,</w:t>
      </w:r>
      <w:r w:rsidRPr="00C74ADC">
        <w:rPr>
          <w:sz w:val="18"/>
          <w:szCs w:val="18"/>
          <w:lang w:val="en-US"/>
        </w:rPr>
        <w:t xml:space="preserve"> 25, 337–349</w:t>
      </w:r>
      <w:r w:rsidR="005E7539">
        <w:rPr>
          <w:sz w:val="18"/>
          <w:szCs w:val="18"/>
          <w:lang w:val="en-US"/>
        </w:rPr>
        <w:t>,</w:t>
      </w:r>
      <w:r w:rsidRPr="00C74ADC">
        <w:rPr>
          <w:sz w:val="18"/>
          <w:szCs w:val="18"/>
          <w:lang w:val="en-US"/>
        </w:rPr>
        <w:t xml:space="preserve"> https://doi.org/10.1590/S0104-66322008000200012</w:t>
      </w:r>
    </w:p>
    <w:p w14:paraId="20AE11A5" w14:textId="3FA99D4C" w:rsidR="006E2D9F" w:rsidRPr="00C74ADC" w:rsidRDefault="006E2D9F" w:rsidP="006E2D9F">
      <w:pPr>
        <w:widowControl w:val="0"/>
        <w:autoSpaceDE w:val="0"/>
        <w:autoSpaceDN w:val="0"/>
        <w:adjustRightInd w:val="0"/>
        <w:ind w:left="480" w:hanging="480"/>
        <w:rPr>
          <w:sz w:val="18"/>
          <w:szCs w:val="18"/>
          <w:lang w:val="en-US"/>
        </w:rPr>
      </w:pPr>
      <w:r w:rsidRPr="00C74ADC">
        <w:rPr>
          <w:sz w:val="18"/>
          <w:szCs w:val="18"/>
          <w:lang w:val="en-US"/>
        </w:rPr>
        <w:t>Ambrogi, P.M.N., Colmán, M.M.E., Giudici, R., 2016</w:t>
      </w:r>
      <w:r w:rsidR="00643629">
        <w:rPr>
          <w:sz w:val="18"/>
          <w:szCs w:val="18"/>
          <w:lang w:val="en-US"/>
        </w:rPr>
        <w:t>,</w:t>
      </w:r>
      <w:r w:rsidRPr="00C74ADC">
        <w:rPr>
          <w:sz w:val="18"/>
          <w:szCs w:val="18"/>
          <w:lang w:val="en-US"/>
        </w:rPr>
        <w:t xml:space="preserve"> Modelling, </w:t>
      </w:r>
      <w:proofErr w:type="gramStart"/>
      <w:r w:rsidRPr="00C74ADC">
        <w:rPr>
          <w:sz w:val="18"/>
          <w:szCs w:val="18"/>
          <w:lang w:val="en-US"/>
        </w:rPr>
        <w:t>simulation</w:t>
      </w:r>
      <w:proofErr w:type="gramEnd"/>
      <w:r w:rsidRPr="00C74ADC">
        <w:rPr>
          <w:sz w:val="18"/>
          <w:szCs w:val="18"/>
          <w:lang w:val="en-US"/>
        </w:rPr>
        <w:t xml:space="preserve"> and experimental validation for styrene </w:t>
      </w:r>
      <w:proofErr w:type="spellStart"/>
      <w:r w:rsidRPr="00C74ADC">
        <w:rPr>
          <w:sz w:val="18"/>
          <w:szCs w:val="18"/>
          <w:lang w:val="en-US"/>
        </w:rPr>
        <w:t>miniemulsion</w:t>
      </w:r>
      <w:proofErr w:type="spellEnd"/>
      <w:r w:rsidRPr="00C74ADC">
        <w:rPr>
          <w:sz w:val="18"/>
          <w:szCs w:val="18"/>
          <w:lang w:val="en-US"/>
        </w:rPr>
        <w:t xml:space="preserve"> polymerization process, in: Kravanja, Z., Bogataj, M. (Eds.), 26</w:t>
      </w:r>
      <w:r w:rsidRPr="0020277E">
        <w:rPr>
          <w:sz w:val="18"/>
          <w:szCs w:val="18"/>
          <w:vertAlign w:val="superscript"/>
          <w:lang w:val="en-US"/>
        </w:rPr>
        <w:t>th</w:t>
      </w:r>
      <w:r w:rsidRPr="00C74ADC">
        <w:rPr>
          <w:sz w:val="18"/>
          <w:szCs w:val="18"/>
          <w:lang w:val="en-US"/>
        </w:rPr>
        <w:t xml:space="preserve"> European Symposium on Computer Aided Process Engineering, Computer </w:t>
      </w:r>
      <w:r w:rsidRPr="00C74ADC">
        <w:rPr>
          <w:sz w:val="18"/>
          <w:szCs w:val="18"/>
          <w:lang w:val="en-US"/>
        </w:rPr>
        <w:lastRenderedPageBreak/>
        <w:t>Aided Chemical Engineering</w:t>
      </w:r>
      <w:r w:rsidR="00643629">
        <w:rPr>
          <w:sz w:val="18"/>
          <w:szCs w:val="18"/>
          <w:lang w:val="en-US"/>
        </w:rPr>
        <w:t>,</w:t>
      </w:r>
      <w:r w:rsidRPr="00C74ADC">
        <w:rPr>
          <w:sz w:val="18"/>
          <w:szCs w:val="18"/>
          <w:lang w:val="en-US"/>
        </w:rPr>
        <w:t xml:space="preserve"> Elsevier, pp. 2211–2216</w:t>
      </w:r>
      <w:r w:rsidR="00643629">
        <w:rPr>
          <w:sz w:val="18"/>
          <w:szCs w:val="18"/>
          <w:lang w:val="en-US"/>
        </w:rPr>
        <w:t>,</w:t>
      </w:r>
      <w:r w:rsidRPr="00C74ADC">
        <w:rPr>
          <w:sz w:val="18"/>
          <w:szCs w:val="18"/>
          <w:lang w:val="en-US"/>
        </w:rPr>
        <w:t xml:space="preserve"> https://doi.org/10.1016/B978-0-444-63428-3.50373-8</w:t>
      </w:r>
    </w:p>
    <w:p w14:paraId="50E79B64" w14:textId="00D94DAF" w:rsidR="006E2D9F" w:rsidRPr="00C74ADC" w:rsidRDefault="006E2D9F" w:rsidP="006E2D9F">
      <w:pPr>
        <w:widowControl w:val="0"/>
        <w:autoSpaceDE w:val="0"/>
        <w:autoSpaceDN w:val="0"/>
        <w:adjustRightInd w:val="0"/>
        <w:ind w:left="480" w:hanging="480"/>
        <w:rPr>
          <w:sz w:val="18"/>
          <w:szCs w:val="18"/>
          <w:lang w:val="en-US"/>
        </w:rPr>
      </w:pPr>
      <w:r w:rsidRPr="00C74ADC">
        <w:rPr>
          <w:sz w:val="18"/>
          <w:szCs w:val="18"/>
          <w:lang w:val="en-US"/>
        </w:rPr>
        <w:t>Choi, K.Y., Liang, W.R., Lei, G.D., 1988</w:t>
      </w:r>
      <w:r w:rsidR="00643629">
        <w:rPr>
          <w:sz w:val="18"/>
          <w:szCs w:val="18"/>
          <w:lang w:val="en-US"/>
        </w:rPr>
        <w:t>,</w:t>
      </w:r>
      <w:r w:rsidRPr="00C74ADC">
        <w:rPr>
          <w:sz w:val="18"/>
          <w:szCs w:val="18"/>
          <w:lang w:val="en-US"/>
        </w:rPr>
        <w:t xml:space="preserve"> Kinetics of bulk styrene polymerization catalyzed by symmetrical bifunctional initiators</w:t>
      </w:r>
      <w:r w:rsidR="00643629">
        <w:rPr>
          <w:sz w:val="18"/>
          <w:szCs w:val="18"/>
          <w:lang w:val="en-US"/>
        </w:rPr>
        <w:t>,</w:t>
      </w:r>
      <w:r w:rsidRPr="00C74ADC">
        <w:rPr>
          <w:sz w:val="18"/>
          <w:szCs w:val="18"/>
          <w:lang w:val="en-US"/>
        </w:rPr>
        <w:t xml:space="preserve"> J. Appl. </w:t>
      </w:r>
      <w:proofErr w:type="spellStart"/>
      <w:r w:rsidRPr="00C74ADC">
        <w:rPr>
          <w:sz w:val="18"/>
          <w:szCs w:val="18"/>
          <w:lang w:val="en-US"/>
        </w:rPr>
        <w:t>Polym</w:t>
      </w:r>
      <w:proofErr w:type="spellEnd"/>
      <w:r w:rsidRPr="00C74ADC">
        <w:rPr>
          <w:sz w:val="18"/>
          <w:szCs w:val="18"/>
          <w:lang w:val="en-US"/>
        </w:rPr>
        <w:t>. Sci.</w:t>
      </w:r>
      <w:r w:rsidR="00421A0F">
        <w:rPr>
          <w:sz w:val="18"/>
          <w:szCs w:val="18"/>
          <w:lang w:val="en-US"/>
        </w:rPr>
        <w:t>,</w:t>
      </w:r>
      <w:r w:rsidRPr="00C74ADC">
        <w:rPr>
          <w:sz w:val="18"/>
          <w:szCs w:val="18"/>
          <w:lang w:val="en-US"/>
        </w:rPr>
        <w:t xml:space="preserve"> 35, 1547–1562</w:t>
      </w:r>
      <w:r w:rsidR="00421A0F">
        <w:rPr>
          <w:sz w:val="18"/>
          <w:szCs w:val="18"/>
          <w:lang w:val="en-US"/>
        </w:rPr>
        <w:t>,</w:t>
      </w:r>
      <w:r w:rsidRPr="00C74ADC">
        <w:rPr>
          <w:sz w:val="18"/>
          <w:szCs w:val="18"/>
          <w:lang w:val="en-US"/>
        </w:rPr>
        <w:t xml:space="preserve"> https://doi.org/10.1002/app.1988.070350612</w:t>
      </w:r>
    </w:p>
    <w:p w14:paraId="60412ADC" w14:textId="28FECD4A" w:rsidR="006E2D9F" w:rsidRPr="00C74ADC" w:rsidRDefault="006E2D9F" w:rsidP="006E2D9F">
      <w:pPr>
        <w:widowControl w:val="0"/>
        <w:autoSpaceDE w:val="0"/>
        <w:autoSpaceDN w:val="0"/>
        <w:adjustRightInd w:val="0"/>
        <w:ind w:left="480" w:hanging="480"/>
        <w:rPr>
          <w:sz w:val="18"/>
          <w:szCs w:val="18"/>
          <w:lang w:val="en-US"/>
        </w:rPr>
      </w:pPr>
      <w:proofErr w:type="spellStart"/>
      <w:r w:rsidRPr="00C74ADC">
        <w:rPr>
          <w:sz w:val="18"/>
          <w:szCs w:val="18"/>
          <w:lang w:val="en-US"/>
        </w:rPr>
        <w:t>Curteanu</w:t>
      </w:r>
      <w:proofErr w:type="spellEnd"/>
      <w:r w:rsidRPr="00C74ADC">
        <w:rPr>
          <w:sz w:val="18"/>
          <w:szCs w:val="18"/>
          <w:lang w:val="en-US"/>
        </w:rPr>
        <w:t>, S., 2003</w:t>
      </w:r>
      <w:r w:rsidR="00646463">
        <w:rPr>
          <w:sz w:val="18"/>
          <w:szCs w:val="18"/>
          <w:lang w:val="en-US"/>
        </w:rPr>
        <w:t>,</w:t>
      </w:r>
      <w:r w:rsidRPr="00C74ADC">
        <w:rPr>
          <w:sz w:val="18"/>
          <w:szCs w:val="18"/>
          <w:lang w:val="en-US"/>
        </w:rPr>
        <w:t xml:space="preserve"> Modeling and simulation of free radical polymerization of styrene under </w:t>
      </w:r>
      <w:proofErr w:type="spellStart"/>
      <w:r w:rsidRPr="00C74ADC">
        <w:rPr>
          <w:sz w:val="18"/>
          <w:szCs w:val="18"/>
          <w:lang w:val="en-US"/>
        </w:rPr>
        <w:t>semibatch</w:t>
      </w:r>
      <w:proofErr w:type="spellEnd"/>
      <w:r w:rsidRPr="00C74ADC">
        <w:rPr>
          <w:sz w:val="18"/>
          <w:szCs w:val="18"/>
          <w:lang w:val="en-US"/>
        </w:rPr>
        <w:t xml:space="preserve"> reactor conditions</w:t>
      </w:r>
      <w:r w:rsidR="00646463">
        <w:rPr>
          <w:sz w:val="18"/>
          <w:szCs w:val="18"/>
          <w:lang w:val="en-US"/>
        </w:rPr>
        <w:t>,</w:t>
      </w:r>
      <w:r w:rsidRPr="00C74ADC">
        <w:rPr>
          <w:sz w:val="18"/>
          <w:szCs w:val="18"/>
          <w:lang w:val="en-US"/>
        </w:rPr>
        <w:t xml:space="preserve"> Cent. Eur. J. Chem</w:t>
      </w:r>
      <w:r w:rsidR="00646463">
        <w:rPr>
          <w:sz w:val="18"/>
          <w:szCs w:val="18"/>
          <w:lang w:val="en-US"/>
        </w:rPr>
        <w:t>,</w:t>
      </w:r>
      <w:r w:rsidRPr="00C74ADC">
        <w:rPr>
          <w:sz w:val="18"/>
          <w:szCs w:val="18"/>
          <w:lang w:val="en-US"/>
        </w:rPr>
        <w:t xml:space="preserve"> 1, 69–90</w:t>
      </w:r>
      <w:r w:rsidR="00646463">
        <w:rPr>
          <w:sz w:val="18"/>
          <w:szCs w:val="18"/>
          <w:lang w:val="en-US"/>
        </w:rPr>
        <w:t>,</w:t>
      </w:r>
      <w:r w:rsidRPr="00C74ADC">
        <w:rPr>
          <w:sz w:val="18"/>
          <w:szCs w:val="18"/>
          <w:lang w:val="en-US"/>
        </w:rPr>
        <w:t xml:space="preserve"> https://doi.org/10.2478/BF02479259</w:t>
      </w:r>
    </w:p>
    <w:p w14:paraId="3F162A77" w14:textId="1FE67001" w:rsidR="006E2D9F" w:rsidRPr="00C74ADC" w:rsidRDefault="006E2D9F" w:rsidP="006E2D9F">
      <w:pPr>
        <w:widowControl w:val="0"/>
        <w:autoSpaceDE w:val="0"/>
        <w:autoSpaceDN w:val="0"/>
        <w:adjustRightInd w:val="0"/>
        <w:ind w:left="480" w:hanging="480"/>
        <w:rPr>
          <w:sz w:val="18"/>
          <w:szCs w:val="18"/>
          <w:lang w:val="en-US"/>
        </w:rPr>
      </w:pPr>
      <w:r w:rsidRPr="00C74ADC">
        <w:rPr>
          <w:sz w:val="18"/>
          <w:szCs w:val="18"/>
          <w:lang w:val="en-US"/>
        </w:rPr>
        <w:t>Drummond, C.F., Damas, M.S.P., Merlini, C., Battisti, R., 2019</w:t>
      </w:r>
      <w:r w:rsidR="00646463">
        <w:rPr>
          <w:sz w:val="18"/>
          <w:szCs w:val="18"/>
          <w:lang w:val="en-US"/>
        </w:rPr>
        <w:t>,</w:t>
      </w:r>
      <w:r w:rsidRPr="00C74ADC">
        <w:rPr>
          <w:sz w:val="18"/>
          <w:szCs w:val="18"/>
          <w:lang w:val="en-US"/>
        </w:rPr>
        <w:t xml:space="preserve"> Influence of clarifying agent on the properties of polypropylene copolymer industrially injected cups for Brazilian cream cheese</w:t>
      </w:r>
      <w:r w:rsidR="00646463">
        <w:rPr>
          <w:sz w:val="18"/>
          <w:szCs w:val="18"/>
          <w:lang w:val="en-US"/>
        </w:rPr>
        <w:t>,</w:t>
      </w:r>
      <w:r w:rsidRPr="00C74ADC">
        <w:rPr>
          <w:sz w:val="18"/>
          <w:szCs w:val="18"/>
          <w:lang w:val="en-US"/>
        </w:rPr>
        <w:t xml:space="preserve"> Int. J. </w:t>
      </w:r>
      <w:proofErr w:type="spellStart"/>
      <w:r w:rsidRPr="00C74ADC">
        <w:rPr>
          <w:sz w:val="18"/>
          <w:szCs w:val="18"/>
          <w:lang w:val="en-US"/>
        </w:rPr>
        <w:t>Plast</w:t>
      </w:r>
      <w:proofErr w:type="spellEnd"/>
      <w:r w:rsidRPr="00C74ADC">
        <w:rPr>
          <w:sz w:val="18"/>
          <w:szCs w:val="18"/>
          <w:lang w:val="en-US"/>
        </w:rPr>
        <w:t>. Technol.</w:t>
      </w:r>
      <w:r w:rsidR="00646463">
        <w:rPr>
          <w:sz w:val="18"/>
          <w:szCs w:val="18"/>
          <w:lang w:val="en-US"/>
        </w:rPr>
        <w:t>,</w:t>
      </w:r>
      <w:r w:rsidRPr="00C74ADC">
        <w:rPr>
          <w:sz w:val="18"/>
          <w:szCs w:val="18"/>
          <w:lang w:val="en-US"/>
        </w:rPr>
        <w:t xml:space="preserve"> 23, 170–176</w:t>
      </w:r>
      <w:r w:rsidR="00646463">
        <w:rPr>
          <w:sz w:val="18"/>
          <w:szCs w:val="18"/>
          <w:lang w:val="en-US"/>
        </w:rPr>
        <w:t>,</w:t>
      </w:r>
      <w:r w:rsidRPr="00C74ADC">
        <w:rPr>
          <w:sz w:val="18"/>
          <w:szCs w:val="18"/>
          <w:lang w:val="en-US"/>
        </w:rPr>
        <w:t xml:space="preserve"> https://doi.org/10.1007/s12588-019-09245-4</w:t>
      </w:r>
    </w:p>
    <w:p w14:paraId="5067EA53" w14:textId="2088B480" w:rsidR="006E2D9F" w:rsidRPr="00C74ADC" w:rsidRDefault="006E2D9F" w:rsidP="006E2D9F">
      <w:pPr>
        <w:widowControl w:val="0"/>
        <w:autoSpaceDE w:val="0"/>
        <w:autoSpaceDN w:val="0"/>
        <w:adjustRightInd w:val="0"/>
        <w:ind w:left="480" w:hanging="480"/>
        <w:rPr>
          <w:sz w:val="18"/>
          <w:szCs w:val="18"/>
          <w:lang w:val="en-US"/>
        </w:rPr>
      </w:pPr>
      <w:r w:rsidRPr="00C74ADC">
        <w:rPr>
          <w:sz w:val="18"/>
          <w:szCs w:val="18"/>
          <w:lang w:val="en-US"/>
        </w:rPr>
        <w:t xml:space="preserve">Funai, V.I., Melo, D.N.C., Lima, N.M.N., </w:t>
      </w:r>
      <w:proofErr w:type="spellStart"/>
      <w:r w:rsidRPr="00C74ADC">
        <w:rPr>
          <w:sz w:val="18"/>
          <w:szCs w:val="18"/>
          <w:lang w:val="en-US"/>
        </w:rPr>
        <w:t>Pattaro</w:t>
      </w:r>
      <w:proofErr w:type="spellEnd"/>
      <w:r w:rsidRPr="00C74ADC">
        <w:rPr>
          <w:sz w:val="18"/>
          <w:szCs w:val="18"/>
          <w:lang w:val="en-US"/>
        </w:rPr>
        <w:t xml:space="preserve">, A.F., </w:t>
      </w:r>
      <w:proofErr w:type="spellStart"/>
      <w:r w:rsidRPr="00C74ADC">
        <w:rPr>
          <w:sz w:val="18"/>
          <w:szCs w:val="18"/>
          <w:lang w:val="en-US"/>
        </w:rPr>
        <w:t>Liñan</w:t>
      </w:r>
      <w:proofErr w:type="spellEnd"/>
      <w:r w:rsidRPr="00C74ADC">
        <w:rPr>
          <w:sz w:val="18"/>
          <w:szCs w:val="18"/>
          <w:lang w:val="en-US"/>
        </w:rPr>
        <w:t xml:space="preserve">, L.Z., </w:t>
      </w:r>
      <w:proofErr w:type="spellStart"/>
      <w:r w:rsidRPr="00C74ADC">
        <w:rPr>
          <w:sz w:val="18"/>
          <w:szCs w:val="18"/>
          <w:lang w:val="en-US"/>
        </w:rPr>
        <w:t>Bonon</w:t>
      </w:r>
      <w:proofErr w:type="spellEnd"/>
      <w:r w:rsidRPr="00C74ADC">
        <w:rPr>
          <w:sz w:val="18"/>
          <w:szCs w:val="18"/>
          <w:lang w:val="en-US"/>
        </w:rPr>
        <w:t>, A.J., Filho, R.M., 2014</w:t>
      </w:r>
      <w:r w:rsidR="007269D4">
        <w:rPr>
          <w:sz w:val="18"/>
          <w:szCs w:val="18"/>
          <w:lang w:val="en-US"/>
        </w:rPr>
        <w:t>,</w:t>
      </w:r>
      <w:r w:rsidRPr="00C74ADC">
        <w:rPr>
          <w:sz w:val="18"/>
          <w:szCs w:val="18"/>
          <w:lang w:val="en-US"/>
        </w:rPr>
        <w:t xml:space="preserve"> Attainment of Kinetic Parameters and Model Validation for Nylon-6 Process, in: </w:t>
      </w:r>
      <w:proofErr w:type="spellStart"/>
      <w:r w:rsidRPr="00C74ADC">
        <w:rPr>
          <w:sz w:val="18"/>
          <w:szCs w:val="18"/>
          <w:lang w:val="en-US"/>
        </w:rPr>
        <w:t>Klemeš</w:t>
      </w:r>
      <w:proofErr w:type="spellEnd"/>
      <w:r w:rsidRPr="00C74ADC">
        <w:rPr>
          <w:sz w:val="18"/>
          <w:szCs w:val="18"/>
          <w:lang w:val="en-US"/>
        </w:rPr>
        <w:t xml:space="preserve">, J.J., </w:t>
      </w:r>
      <w:proofErr w:type="spellStart"/>
      <w:r w:rsidRPr="00C74ADC">
        <w:rPr>
          <w:sz w:val="18"/>
          <w:szCs w:val="18"/>
          <w:lang w:val="en-US"/>
        </w:rPr>
        <w:t>Varbanov</w:t>
      </w:r>
      <w:proofErr w:type="spellEnd"/>
      <w:r w:rsidRPr="00C74ADC">
        <w:rPr>
          <w:sz w:val="18"/>
          <w:szCs w:val="18"/>
          <w:lang w:val="en-US"/>
        </w:rPr>
        <w:t>, P.S., Liew, P.Y. (Eds.), 24</w:t>
      </w:r>
      <w:r w:rsidRPr="0020277E">
        <w:rPr>
          <w:sz w:val="18"/>
          <w:szCs w:val="18"/>
          <w:vertAlign w:val="superscript"/>
          <w:lang w:val="en-US"/>
        </w:rPr>
        <w:t>th</w:t>
      </w:r>
      <w:r w:rsidRPr="00C74ADC">
        <w:rPr>
          <w:sz w:val="18"/>
          <w:szCs w:val="18"/>
          <w:lang w:val="en-US"/>
        </w:rPr>
        <w:t xml:space="preserve"> European Symposium on Computer Aided Process Engineering, Computer Aided Chemical Engineering</w:t>
      </w:r>
      <w:r w:rsidR="007269D4">
        <w:rPr>
          <w:sz w:val="18"/>
          <w:szCs w:val="18"/>
          <w:lang w:val="en-US"/>
        </w:rPr>
        <w:t>,</w:t>
      </w:r>
      <w:r w:rsidRPr="00C74ADC">
        <w:rPr>
          <w:sz w:val="18"/>
          <w:szCs w:val="18"/>
          <w:lang w:val="en-US"/>
        </w:rPr>
        <w:t xml:space="preserve"> Elsevier, pp. 1483–1488</w:t>
      </w:r>
      <w:r w:rsidR="007269D4">
        <w:rPr>
          <w:sz w:val="18"/>
          <w:szCs w:val="18"/>
          <w:lang w:val="en-US"/>
        </w:rPr>
        <w:t>,</w:t>
      </w:r>
      <w:r w:rsidRPr="00C74ADC">
        <w:rPr>
          <w:sz w:val="18"/>
          <w:szCs w:val="18"/>
          <w:lang w:val="en-US"/>
        </w:rPr>
        <w:t xml:space="preserve"> https://doi.org/10.1016/B978-0-444-63455-9.50082-9</w:t>
      </w:r>
    </w:p>
    <w:p w14:paraId="3D955CDA" w14:textId="3879ABB7" w:rsidR="006E2D9F" w:rsidRPr="00C74ADC" w:rsidRDefault="006E2D9F" w:rsidP="006E2D9F">
      <w:pPr>
        <w:widowControl w:val="0"/>
        <w:autoSpaceDE w:val="0"/>
        <w:autoSpaceDN w:val="0"/>
        <w:adjustRightInd w:val="0"/>
        <w:ind w:left="480" w:hanging="480"/>
        <w:rPr>
          <w:sz w:val="18"/>
          <w:szCs w:val="18"/>
          <w:lang w:val="en-US"/>
        </w:rPr>
      </w:pPr>
      <w:proofErr w:type="spellStart"/>
      <w:r w:rsidRPr="00C74ADC">
        <w:rPr>
          <w:sz w:val="18"/>
          <w:szCs w:val="18"/>
          <w:lang w:val="en-US"/>
        </w:rPr>
        <w:t>Kusolsongtawee</w:t>
      </w:r>
      <w:proofErr w:type="spellEnd"/>
      <w:r w:rsidRPr="00C74ADC">
        <w:rPr>
          <w:sz w:val="18"/>
          <w:szCs w:val="18"/>
          <w:lang w:val="en-US"/>
        </w:rPr>
        <w:t xml:space="preserve">, T., </w:t>
      </w:r>
      <w:proofErr w:type="spellStart"/>
      <w:r w:rsidRPr="00C74ADC">
        <w:rPr>
          <w:sz w:val="18"/>
          <w:szCs w:val="18"/>
          <w:lang w:val="en-US"/>
        </w:rPr>
        <w:t>Bumroongsri</w:t>
      </w:r>
      <w:proofErr w:type="spellEnd"/>
      <w:r w:rsidRPr="00C74ADC">
        <w:rPr>
          <w:sz w:val="18"/>
          <w:szCs w:val="18"/>
          <w:lang w:val="en-US"/>
        </w:rPr>
        <w:t>, P., 2017</w:t>
      </w:r>
      <w:r w:rsidR="0020277E">
        <w:rPr>
          <w:sz w:val="18"/>
          <w:szCs w:val="18"/>
          <w:lang w:val="en-US"/>
        </w:rPr>
        <w:t>,</w:t>
      </w:r>
      <w:r w:rsidRPr="00C74ADC">
        <w:rPr>
          <w:sz w:val="18"/>
          <w:szCs w:val="18"/>
          <w:lang w:val="en-US"/>
        </w:rPr>
        <w:t xml:space="preserve"> Optimization of Energy Consumption in Gas-Phase Polymerization Process for Linear Low Density Polyethylene Production</w:t>
      </w:r>
      <w:r w:rsidR="0020277E">
        <w:rPr>
          <w:sz w:val="18"/>
          <w:szCs w:val="18"/>
          <w:lang w:val="en-US"/>
        </w:rPr>
        <w:t>,</w:t>
      </w:r>
      <w:r w:rsidRPr="00C74ADC">
        <w:rPr>
          <w:sz w:val="18"/>
          <w:szCs w:val="18"/>
          <w:lang w:val="en-US"/>
        </w:rPr>
        <w:t xml:space="preserve"> Energy Procedia 138, 772–777</w:t>
      </w:r>
      <w:r w:rsidR="0020277E">
        <w:rPr>
          <w:sz w:val="18"/>
          <w:szCs w:val="18"/>
          <w:lang w:val="en-US"/>
        </w:rPr>
        <w:t>,</w:t>
      </w:r>
      <w:r w:rsidRPr="00C74ADC">
        <w:rPr>
          <w:sz w:val="18"/>
          <w:szCs w:val="18"/>
          <w:lang w:val="en-US"/>
        </w:rPr>
        <w:t xml:space="preserve"> https://doi.org/10.1016/j.egypro.2017.10.055</w:t>
      </w:r>
    </w:p>
    <w:p w14:paraId="2617E3D9" w14:textId="664F3099" w:rsidR="006E2D9F" w:rsidRPr="00C74ADC" w:rsidRDefault="006E2D9F" w:rsidP="006E2D9F">
      <w:pPr>
        <w:widowControl w:val="0"/>
        <w:autoSpaceDE w:val="0"/>
        <w:autoSpaceDN w:val="0"/>
        <w:adjustRightInd w:val="0"/>
        <w:ind w:left="480" w:hanging="480"/>
        <w:rPr>
          <w:sz w:val="18"/>
          <w:szCs w:val="18"/>
          <w:lang w:val="en-US"/>
        </w:rPr>
      </w:pPr>
      <w:r w:rsidRPr="00C74ADC">
        <w:rPr>
          <w:sz w:val="18"/>
          <w:szCs w:val="18"/>
          <w:lang w:val="en-US"/>
        </w:rPr>
        <w:t xml:space="preserve">Lesage, F., </w:t>
      </w:r>
      <w:proofErr w:type="spellStart"/>
      <w:r w:rsidRPr="00C74ADC">
        <w:rPr>
          <w:sz w:val="18"/>
          <w:szCs w:val="18"/>
          <w:lang w:val="en-US"/>
        </w:rPr>
        <w:t>Nedelec</w:t>
      </w:r>
      <w:proofErr w:type="spellEnd"/>
      <w:r w:rsidRPr="00C74ADC">
        <w:rPr>
          <w:sz w:val="18"/>
          <w:szCs w:val="18"/>
          <w:lang w:val="en-US"/>
        </w:rPr>
        <w:t>, D., Descales, B., Stephens, W.D., 2012</w:t>
      </w:r>
      <w:r w:rsidR="0020277E">
        <w:rPr>
          <w:sz w:val="18"/>
          <w:szCs w:val="18"/>
          <w:lang w:val="en-US"/>
        </w:rPr>
        <w:t>,</w:t>
      </w:r>
      <w:r w:rsidRPr="00C74ADC">
        <w:rPr>
          <w:sz w:val="18"/>
          <w:szCs w:val="18"/>
          <w:lang w:val="en-US"/>
        </w:rPr>
        <w:t xml:space="preserve"> Dynamic Modelling of a Polypropylene Production Plant, in: Bogle, I.D.L., Fairweather, M. (Eds.), 22</w:t>
      </w:r>
      <w:r w:rsidRPr="0020277E">
        <w:rPr>
          <w:sz w:val="18"/>
          <w:szCs w:val="18"/>
          <w:vertAlign w:val="superscript"/>
          <w:lang w:val="en-US"/>
        </w:rPr>
        <w:t>nd</w:t>
      </w:r>
      <w:r w:rsidRPr="00C74ADC">
        <w:rPr>
          <w:sz w:val="18"/>
          <w:szCs w:val="18"/>
          <w:lang w:val="en-US"/>
        </w:rPr>
        <w:t xml:space="preserve"> European Symposium on Computer Aided Process Engineering, Computer Aided Chemical Engineering</w:t>
      </w:r>
      <w:r w:rsidR="0020277E">
        <w:rPr>
          <w:sz w:val="18"/>
          <w:szCs w:val="18"/>
          <w:lang w:val="en-US"/>
        </w:rPr>
        <w:t>,</w:t>
      </w:r>
      <w:r w:rsidRPr="00C74ADC">
        <w:rPr>
          <w:sz w:val="18"/>
          <w:szCs w:val="18"/>
          <w:lang w:val="en-US"/>
        </w:rPr>
        <w:t xml:space="preserve"> Elsevier, p. 1128</w:t>
      </w:r>
      <w:r w:rsidR="0020277E">
        <w:rPr>
          <w:sz w:val="18"/>
          <w:szCs w:val="18"/>
          <w:lang w:val="en-US"/>
        </w:rPr>
        <w:t>,</w:t>
      </w:r>
      <w:r w:rsidRPr="00C74ADC">
        <w:rPr>
          <w:sz w:val="18"/>
          <w:szCs w:val="18"/>
          <w:lang w:val="en-US"/>
        </w:rPr>
        <w:t xml:space="preserve"> https://doi.org/10.1016/B978-0-444-59520-1.50084-1</w:t>
      </w:r>
    </w:p>
    <w:p w14:paraId="7D8CCEB3" w14:textId="468D733D" w:rsidR="006E2D9F" w:rsidRPr="0020277E" w:rsidRDefault="006E2D9F" w:rsidP="006E2D9F">
      <w:pPr>
        <w:widowControl w:val="0"/>
        <w:autoSpaceDE w:val="0"/>
        <w:autoSpaceDN w:val="0"/>
        <w:adjustRightInd w:val="0"/>
        <w:ind w:left="480" w:hanging="480"/>
        <w:rPr>
          <w:sz w:val="18"/>
          <w:szCs w:val="18"/>
          <w:lang w:val="en-US"/>
        </w:rPr>
      </w:pPr>
      <w:proofErr w:type="spellStart"/>
      <w:r w:rsidRPr="00C74ADC">
        <w:rPr>
          <w:sz w:val="18"/>
          <w:szCs w:val="18"/>
          <w:lang w:val="en-US"/>
        </w:rPr>
        <w:t>Lobry</w:t>
      </w:r>
      <w:proofErr w:type="spellEnd"/>
      <w:r w:rsidRPr="00C74ADC">
        <w:rPr>
          <w:sz w:val="18"/>
          <w:szCs w:val="18"/>
          <w:lang w:val="en-US"/>
        </w:rPr>
        <w:t xml:space="preserve">, E., </w:t>
      </w:r>
      <w:proofErr w:type="spellStart"/>
      <w:r w:rsidRPr="00C74ADC">
        <w:rPr>
          <w:sz w:val="18"/>
          <w:szCs w:val="18"/>
          <w:lang w:val="en-US"/>
        </w:rPr>
        <w:t>Lasuye</w:t>
      </w:r>
      <w:proofErr w:type="spellEnd"/>
      <w:r w:rsidRPr="00C74ADC">
        <w:rPr>
          <w:sz w:val="18"/>
          <w:szCs w:val="18"/>
          <w:lang w:val="en-US"/>
        </w:rPr>
        <w:t>, T., Gourdon, C., Xuereb, C., 2015</w:t>
      </w:r>
      <w:r w:rsidR="0020277E">
        <w:rPr>
          <w:sz w:val="18"/>
          <w:szCs w:val="18"/>
          <w:lang w:val="en-US"/>
        </w:rPr>
        <w:t>,</w:t>
      </w:r>
      <w:r w:rsidRPr="00C74ADC">
        <w:rPr>
          <w:sz w:val="18"/>
          <w:szCs w:val="18"/>
          <w:lang w:val="en-US"/>
        </w:rPr>
        <w:t xml:space="preserve"> Liquid–liquid dispersion in a continuous oscillatory baffled reactor – Application to suspension polymerization</w:t>
      </w:r>
      <w:r w:rsidR="0020277E">
        <w:rPr>
          <w:sz w:val="18"/>
          <w:szCs w:val="18"/>
          <w:lang w:val="en-US"/>
        </w:rPr>
        <w:t>,</w:t>
      </w:r>
      <w:r w:rsidRPr="00C74ADC">
        <w:rPr>
          <w:sz w:val="18"/>
          <w:szCs w:val="18"/>
          <w:lang w:val="en-US"/>
        </w:rPr>
        <w:t xml:space="preserve"> </w:t>
      </w:r>
      <w:r w:rsidRPr="0020277E">
        <w:rPr>
          <w:sz w:val="18"/>
          <w:szCs w:val="18"/>
          <w:lang w:val="en-US"/>
        </w:rPr>
        <w:t>Chem. Eng. J.</w:t>
      </w:r>
      <w:r w:rsidR="0020277E">
        <w:rPr>
          <w:sz w:val="18"/>
          <w:szCs w:val="18"/>
          <w:lang w:val="en-US"/>
        </w:rPr>
        <w:t>,</w:t>
      </w:r>
      <w:r w:rsidRPr="0020277E">
        <w:rPr>
          <w:sz w:val="18"/>
          <w:szCs w:val="18"/>
          <w:lang w:val="en-US"/>
        </w:rPr>
        <w:t xml:space="preserve"> 259, 505–518</w:t>
      </w:r>
      <w:r w:rsidR="00277442">
        <w:rPr>
          <w:sz w:val="18"/>
          <w:szCs w:val="18"/>
          <w:lang w:val="en-US"/>
        </w:rPr>
        <w:t>,</w:t>
      </w:r>
      <w:r w:rsidRPr="0020277E">
        <w:rPr>
          <w:sz w:val="18"/>
          <w:szCs w:val="18"/>
          <w:lang w:val="en-US"/>
        </w:rPr>
        <w:t xml:space="preserve"> https://doi.org/10.1016/j.cej.2014.08.014</w:t>
      </w:r>
    </w:p>
    <w:p w14:paraId="1DE2A530" w14:textId="378C7831" w:rsidR="006E2D9F" w:rsidRPr="00C74ADC" w:rsidRDefault="006E2D9F" w:rsidP="006E2D9F">
      <w:pPr>
        <w:widowControl w:val="0"/>
        <w:autoSpaceDE w:val="0"/>
        <w:autoSpaceDN w:val="0"/>
        <w:adjustRightInd w:val="0"/>
        <w:ind w:left="480" w:hanging="480"/>
        <w:rPr>
          <w:sz w:val="18"/>
          <w:szCs w:val="18"/>
          <w:lang w:val="pt-BR"/>
        </w:rPr>
      </w:pPr>
      <w:r w:rsidRPr="00C74ADC">
        <w:rPr>
          <w:sz w:val="18"/>
          <w:szCs w:val="18"/>
          <w:lang w:val="pt-BR"/>
        </w:rPr>
        <w:t>Machado, F., Lima, E.L., Pinto, J.C., 2007</w:t>
      </w:r>
      <w:r w:rsidR="00277442">
        <w:rPr>
          <w:sz w:val="18"/>
          <w:szCs w:val="18"/>
          <w:lang w:val="pt-BR"/>
        </w:rPr>
        <w:t>,</w:t>
      </w:r>
      <w:r w:rsidRPr="00C74ADC">
        <w:rPr>
          <w:sz w:val="18"/>
          <w:szCs w:val="18"/>
          <w:lang w:val="pt-BR"/>
        </w:rPr>
        <w:t xml:space="preserve"> Uma revisão sobre os processos de polimerização em suspensão</w:t>
      </w:r>
      <w:r w:rsidR="00277442">
        <w:rPr>
          <w:sz w:val="18"/>
          <w:szCs w:val="18"/>
          <w:lang w:val="pt-BR"/>
        </w:rPr>
        <w:t>,</w:t>
      </w:r>
      <w:r w:rsidRPr="00C74ADC">
        <w:rPr>
          <w:sz w:val="18"/>
          <w:szCs w:val="18"/>
          <w:lang w:val="pt-BR"/>
        </w:rPr>
        <w:t xml:space="preserve"> Polímeros</w:t>
      </w:r>
      <w:r w:rsidR="00277442">
        <w:rPr>
          <w:sz w:val="18"/>
          <w:szCs w:val="18"/>
          <w:lang w:val="pt-BR"/>
        </w:rPr>
        <w:t>,</w:t>
      </w:r>
      <w:r w:rsidRPr="00C74ADC">
        <w:rPr>
          <w:sz w:val="18"/>
          <w:szCs w:val="18"/>
          <w:lang w:val="pt-BR"/>
        </w:rPr>
        <w:t xml:space="preserve"> 17, 166–179</w:t>
      </w:r>
      <w:r w:rsidR="00277442">
        <w:rPr>
          <w:sz w:val="18"/>
          <w:szCs w:val="18"/>
          <w:lang w:val="pt-BR"/>
        </w:rPr>
        <w:t>,</w:t>
      </w:r>
      <w:r w:rsidRPr="00C74ADC">
        <w:rPr>
          <w:sz w:val="18"/>
          <w:szCs w:val="18"/>
          <w:lang w:val="pt-BR"/>
        </w:rPr>
        <w:t xml:space="preserve"> https://doi.org/10.1590/S0104-14282007000200016</w:t>
      </w:r>
    </w:p>
    <w:p w14:paraId="1AE7D52B" w14:textId="2CF08FD6" w:rsidR="006E2D9F" w:rsidRPr="00C74ADC" w:rsidRDefault="006E2D9F" w:rsidP="006E2D9F">
      <w:pPr>
        <w:widowControl w:val="0"/>
        <w:autoSpaceDE w:val="0"/>
        <w:autoSpaceDN w:val="0"/>
        <w:adjustRightInd w:val="0"/>
        <w:ind w:left="480" w:hanging="480"/>
        <w:rPr>
          <w:sz w:val="18"/>
          <w:szCs w:val="18"/>
          <w:lang w:val="en-US"/>
        </w:rPr>
      </w:pPr>
      <w:r w:rsidRPr="002027AD">
        <w:rPr>
          <w:sz w:val="18"/>
          <w:szCs w:val="18"/>
          <w:lang w:val="en-US"/>
        </w:rPr>
        <w:t>Machado, R.A.F., Pinto, J.C., Araújo, P.H.H., Bolzan, A., 2000</w:t>
      </w:r>
      <w:r w:rsidR="002027AD" w:rsidRPr="002027AD">
        <w:rPr>
          <w:sz w:val="18"/>
          <w:szCs w:val="18"/>
          <w:lang w:val="en-US"/>
        </w:rPr>
        <w:t>,</w:t>
      </w:r>
      <w:r w:rsidRPr="002027AD">
        <w:rPr>
          <w:sz w:val="18"/>
          <w:szCs w:val="18"/>
          <w:lang w:val="en-US"/>
        </w:rPr>
        <w:t xml:space="preserve"> </w:t>
      </w:r>
      <w:r w:rsidRPr="00C74ADC">
        <w:rPr>
          <w:sz w:val="18"/>
          <w:szCs w:val="18"/>
          <w:lang w:val="en-US"/>
        </w:rPr>
        <w:t>Mathematical modeling of polystyrene particle size distribution produced by suspension polymerization</w:t>
      </w:r>
      <w:r w:rsidR="002027AD">
        <w:rPr>
          <w:sz w:val="18"/>
          <w:szCs w:val="18"/>
          <w:lang w:val="en-US"/>
        </w:rPr>
        <w:t>,</w:t>
      </w:r>
      <w:r w:rsidRPr="00C74ADC">
        <w:rPr>
          <w:sz w:val="18"/>
          <w:szCs w:val="18"/>
          <w:lang w:val="en-US"/>
        </w:rPr>
        <w:t xml:space="preserve"> Brazilian J. Chem. Eng.</w:t>
      </w:r>
      <w:r w:rsidR="002027AD">
        <w:rPr>
          <w:sz w:val="18"/>
          <w:szCs w:val="18"/>
          <w:lang w:val="en-US"/>
        </w:rPr>
        <w:t>,</w:t>
      </w:r>
      <w:r w:rsidRPr="00C74ADC">
        <w:rPr>
          <w:sz w:val="18"/>
          <w:szCs w:val="18"/>
          <w:lang w:val="en-US"/>
        </w:rPr>
        <w:t xml:space="preserve"> 17, 395–407</w:t>
      </w:r>
      <w:r w:rsidR="002027AD">
        <w:rPr>
          <w:sz w:val="18"/>
          <w:szCs w:val="18"/>
          <w:lang w:val="en-US"/>
        </w:rPr>
        <w:t>,</w:t>
      </w:r>
      <w:r w:rsidRPr="00C74ADC">
        <w:rPr>
          <w:sz w:val="18"/>
          <w:szCs w:val="18"/>
          <w:lang w:val="en-US"/>
        </w:rPr>
        <w:t xml:space="preserve"> https://doi.org/10.1590/S0104-66322000000400004</w:t>
      </w:r>
    </w:p>
    <w:p w14:paraId="4AE984F9" w14:textId="369331E4" w:rsidR="006E2D9F" w:rsidRPr="00C74ADC" w:rsidRDefault="006E2D9F" w:rsidP="006E2D9F">
      <w:pPr>
        <w:widowControl w:val="0"/>
        <w:autoSpaceDE w:val="0"/>
        <w:autoSpaceDN w:val="0"/>
        <w:adjustRightInd w:val="0"/>
        <w:ind w:left="480" w:hanging="480"/>
        <w:rPr>
          <w:sz w:val="18"/>
          <w:szCs w:val="18"/>
          <w:lang w:val="en-US"/>
        </w:rPr>
      </w:pPr>
      <w:r w:rsidRPr="00C74ADC">
        <w:rPr>
          <w:sz w:val="18"/>
          <w:szCs w:val="18"/>
          <w:lang w:val="en-US"/>
        </w:rPr>
        <w:t>Mahabadi, H.K., O’Driscoll, K.F., 1977</w:t>
      </w:r>
      <w:r w:rsidR="002027AD">
        <w:rPr>
          <w:sz w:val="18"/>
          <w:szCs w:val="18"/>
          <w:lang w:val="en-US"/>
        </w:rPr>
        <w:t>,</w:t>
      </w:r>
      <w:r w:rsidRPr="00C74ADC">
        <w:rPr>
          <w:sz w:val="18"/>
          <w:szCs w:val="18"/>
          <w:lang w:val="en-US"/>
        </w:rPr>
        <w:t xml:space="preserve"> Concentration Dependence of the Termination Rate Constant During the Initial Stages of Free Radical Polymerization</w:t>
      </w:r>
      <w:r w:rsidR="002027AD">
        <w:rPr>
          <w:sz w:val="18"/>
          <w:szCs w:val="18"/>
          <w:lang w:val="en-US"/>
        </w:rPr>
        <w:t>,</w:t>
      </w:r>
      <w:r w:rsidRPr="00C74ADC">
        <w:rPr>
          <w:sz w:val="18"/>
          <w:szCs w:val="18"/>
          <w:lang w:val="en-US"/>
        </w:rPr>
        <w:t xml:space="preserve"> Macromolecules</w:t>
      </w:r>
      <w:r w:rsidR="002027AD">
        <w:rPr>
          <w:sz w:val="18"/>
          <w:szCs w:val="18"/>
          <w:lang w:val="en-US"/>
        </w:rPr>
        <w:t>,</w:t>
      </w:r>
      <w:r w:rsidRPr="00C74ADC">
        <w:rPr>
          <w:sz w:val="18"/>
          <w:szCs w:val="18"/>
          <w:lang w:val="en-US"/>
        </w:rPr>
        <w:t xml:space="preserve"> 10, 55–58</w:t>
      </w:r>
      <w:r w:rsidR="002027AD">
        <w:rPr>
          <w:sz w:val="18"/>
          <w:szCs w:val="18"/>
          <w:lang w:val="en-US"/>
        </w:rPr>
        <w:t>,</w:t>
      </w:r>
      <w:r w:rsidRPr="00C74ADC">
        <w:rPr>
          <w:sz w:val="18"/>
          <w:szCs w:val="18"/>
          <w:lang w:val="en-US"/>
        </w:rPr>
        <w:t xml:space="preserve"> https://doi.org/10.1021/ma60055a009</w:t>
      </w:r>
    </w:p>
    <w:p w14:paraId="7B9F20B1" w14:textId="01D6B311" w:rsidR="006E2D9F" w:rsidRPr="00C74ADC" w:rsidRDefault="006E2D9F" w:rsidP="006E2D9F">
      <w:pPr>
        <w:widowControl w:val="0"/>
        <w:autoSpaceDE w:val="0"/>
        <w:autoSpaceDN w:val="0"/>
        <w:adjustRightInd w:val="0"/>
        <w:ind w:left="480" w:hanging="480"/>
        <w:rPr>
          <w:sz w:val="18"/>
          <w:szCs w:val="18"/>
          <w:lang w:val="en-US"/>
        </w:rPr>
      </w:pPr>
      <w:proofErr w:type="spellStart"/>
      <w:r w:rsidRPr="00C74ADC">
        <w:rPr>
          <w:sz w:val="18"/>
          <w:szCs w:val="18"/>
          <w:lang w:val="en-US"/>
        </w:rPr>
        <w:t>Scorah</w:t>
      </w:r>
      <w:proofErr w:type="spellEnd"/>
      <w:r w:rsidRPr="00C74ADC">
        <w:rPr>
          <w:sz w:val="18"/>
          <w:szCs w:val="18"/>
          <w:lang w:val="en-US"/>
        </w:rPr>
        <w:t xml:space="preserve">, M.J., </w:t>
      </w:r>
      <w:proofErr w:type="spellStart"/>
      <w:r w:rsidRPr="00C74ADC">
        <w:rPr>
          <w:sz w:val="18"/>
          <w:szCs w:val="18"/>
          <w:lang w:val="en-US"/>
        </w:rPr>
        <w:t>Dhib</w:t>
      </w:r>
      <w:proofErr w:type="spellEnd"/>
      <w:r w:rsidRPr="00C74ADC">
        <w:rPr>
          <w:sz w:val="18"/>
          <w:szCs w:val="18"/>
          <w:lang w:val="en-US"/>
        </w:rPr>
        <w:t xml:space="preserve">, R., </w:t>
      </w:r>
      <w:proofErr w:type="spellStart"/>
      <w:r w:rsidRPr="00C74ADC">
        <w:rPr>
          <w:sz w:val="18"/>
          <w:szCs w:val="18"/>
          <w:lang w:val="en-US"/>
        </w:rPr>
        <w:t>Penlidis</w:t>
      </w:r>
      <w:proofErr w:type="spellEnd"/>
      <w:r w:rsidRPr="00C74ADC">
        <w:rPr>
          <w:sz w:val="18"/>
          <w:szCs w:val="18"/>
          <w:lang w:val="en-US"/>
        </w:rPr>
        <w:t>, A., 2006</w:t>
      </w:r>
      <w:r w:rsidR="002A4B89">
        <w:rPr>
          <w:sz w:val="18"/>
          <w:szCs w:val="18"/>
          <w:lang w:val="en-US"/>
        </w:rPr>
        <w:t>,</w:t>
      </w:r>
      <w:r w:rsidRPr="00C74ADC">
        <w:rPr>
          <w:sz w:val="18"/>
          <w:szCs w:val="18"/>
          <w:lang w:val="en-US"/>
        </w:rPr>
        <w:t xml:space="preserve"> Modelling of free radical polymerization of styrene and methyl methacrylate by a tetrafunctional initiator</w:t>
      </w:r>
      <w:r w:rsidR="002A4B89">
        <w:rPr>
          <w:sz w:val="18"/>
          <w:szCs w:val="18"/>
          <w:lang w:val="en-US"/>
        </w:rPr>
        <w:t>,</w:t>
      </w:r>
      <w:r w:rsidRPr="00C74ADC">
        <w:rPr>
          <w:sz w:val="18"/>
          <w:szCs w:val="18"/>
          <w:lang w:val="en-US"/>
        </w:rPr>
        <w:t xml:space="preserve"> Chem. Eng. Sci.</w:t>
      </w:r>
      <w:r w:rsidR="002A4B89">
        <w:rPr>
          <w:sz w:val="18"/>
          <w:szCs w:val="18"/>
          <w:lang w:val="en-US"/>
        </w:rPr>
        <w:t>,</w:t>
      </w:r>
      <w:r w:rsidRPr="00C74ADC">
        <w:rPr>
          <w:sz w:val="18"/>
          <w:szCs w:val="18"/>
          <w:lang w:val="en-US"/>
        </w:rPr>
        <w:t xml:space="preserve"> 61, 4827–4859</w:t>
      </w:r>
      <w:r w:rsidR="002A4B89">
        <w:rPr>
          <w:sz w:val="18"/>
          <w:szCs w:val="18"/>
          <w:lang w:val="en-US"/>
        </w:rPr>
        <w:t>,</w:t>
      </w:r>
      <w:r w:rsidRPr="00C74ADC">
        <w:rPr>
          <w:sz w:val="18"/>
          <w:szCs w:val="18"/>
          <w:lang w:val="en-US"/>
        </w:rPr>
        <w:t xml:space="preserve"> https://doi.org/10.1016/j.ces.2006.03.018</w:t>
      </w:r>
    </w:p>
    <w:p w14:paraId="22B61725" w14:textId="739FE292" w:rsidR="006E2D9F" w:rsidRPr="00C74ADC" w:rsidRDefault="006E2D9F" w:rsidP="006E2D9F">
      <w:pPr>
        <w:widowControl w:val="0"/>
        <w:autoSpaceDE w:val="0"/>
        <w:autoSpaceDN w:val="0"/>
        <w:adjustRightInd w:val="0"/>
        <w:ind w:left="480" w:hanging="480"/>
        <w:rPr>
          <w:sz w:val="18"/>
          <w:szCs w:val="18"/>
          <w:lang w:val="en-US"/>
        </w:rPr>
      </w:pPr>
      <w:r w:rsidRPr="00C74ADC">
        <w:rPr>
          <w:sz w:val="18"/>
          <w:szCs w:val="18"/>
          <w:lang w:val="en-US"/>
        </w:rPr>
        <w:t>Srivastava, A., Ghosh, S., 2010</w:t>
      </w:r>
      <w:r w:rsidR="002A4B89">
        <w:rPr>
          <w:sz w:val="18"/>
          <w:szCs w:val="18"/>
          <w:lang w:val="en-US"/>
        </w:rPr>
        <w:t>,</w:t>
      </w:r>
      <w:r w:rsidRPr="00C74ADC">
        <w:rPr>
          <w:sz w:val="18"/>
          <w:szCs w:val="18"/>
          <w:lang w:val="en-US"/>
        </w:rPr>
        <w:t xml:space="preserve"> Evaluating the Glass Transition Temperature of Polystyrene by an Experimentally Validated Molecular Dynamics Model</w:t>
      </w:r>
      <w:r w:rsidR="002A4B89">
        <w:rPr>
          <w:sz w:val="18"/>
          <w:szCs w:val="18"/>
          <w:lang w:val="en-US"/>
        </w:rPr>
        <w:t>,</w:t>
      </w:r>
      <w:r w:rsidRPr="00C74ADC">
        <w:rPr>
          <w:sz w:val="18"/>
          <w:szCs w:val="18"/>
          <w:lang w:val="en-US"/>
        </w:rPr>
        <w:t xml:space="preserve"> Int. J. Multiscale </w:t>
      </w:r>
      <w:proofErr w:type="spellStart"/>
      <w:r w:rsidRPr="00C74ADC">
        <w:rPr>
          <w:sz w:val="18"/>
          <w:szCs w:val="18"/>
          <w:lang w:val="en-US"/>
        </w:rPr>
        <w:t>Comput</w:t>
      </w:r>
      <w:proofErr w:type="spellEnd"/>
      <w:r w:rsidRPr="00C74ADC">
        <w:rPr>
          <w:sz w:val="18"/>
          <w:szCs w:val="18"/>
          <w:lang w:val="en-US"/>
        </w:rPr>
        <w:t>. Eng.</w:t>
      </w:r>
      <w:r w:rsidR="002A4B89">
        <w:rPr>
          <w:sz w:val="18"/>
          <w:szCs w:val="18"/>
          <w:lang w:val="en-US"/>
        </w:rPr>
        <w:t>,</w:t>
      </w:r>
      <w:r w:rsidRPr="00C74ADC">
        <w:rPr>
          <w:sz w:val="18"/>
          <w:szCs w:val="18"/>
          <w:lang w:val="en-US"/>
        </w:rPr>
        <w:t xml:space="preserve"> 8</w:t>
      </w:r>
      <w:r w:rsidR="002A4B89">
        <w:rPr>
          <w:sz w:val="18"/>
          <w:szCs w:val="18"/>
          <w:lang w:val="en-US"/>
        </w:rPr>
        <w:t>,</w:t>
      </w:r>
      <w:r w:rsidRPr="00C74ADC">
        <w:rPr>
          <w:sz w:val="18"/>
          <w:szCs w:val="18"/>
          <w:lang w:val="en-US"/>
        </w:rPr>
        <w:t xml:space="preserve"> https://doi.org/10.1615/IntJMultCompEng.v8.i5.80</w:t>
      </w:r>
    </w:p>
    <w:p w14:paraId="3EA2AF32" w14:textId="1C86FC9B" w:rsidR="006E2D9F" w:rsidRPr="00C74ADC" w:rsidRDefault="006E2D9F" w:rsidP="006E2D9F">
      <w:pPr>
        <w:widowControl w:val="0"/>
        <w:autoSpaceDE w:val="0"/>
        <w:autoSpaceDN w:val="0"/>
        <w:adjustRightInd w:val="0"/>
        <w:ind w:left="480" w:hanging="480"/>
        <w:rPr>
          <w:sz w:val="18"/>
          <w:szCs w:val="18"/>
          <w:lang w:val="en-US"/>
        </w:rPr>
      </w:pPr>
      <w:r w:rsidRPr="00C74ADC">
        <w:rPr>
          <w:sz w:val="18"/>
          <w:szCs w:val="18"/>
          <w:lang w:val="en-US"/>
        </w:rPr>
        <w:t xml:space="preserve">Tefera, N., Weickert, G., </w:t>
      </w:r>
      <w:proofErr w:type="spellStart"/>
      <w:r w:rsidRPr="00C74ADC">
        <w:rPr>
          <w:sz w:val="18"/>
          <w:szCs w:val="18"/>
          <w:lang w:val="en-US"/>
        </w:rPr>
        <w:t>Westerterp</w:t>
      </w:r>
      <w:proofErr w:type="spellEnd"/>
      <w:r w:rsidRPr="00C74ADC">
        <w:rPr>
          <w:sz w:val="18"/>
          <w:szCs w:val="18"/>
          <w:lang w:val="en-US"/>
        </w:rPr>
        <w:t>, K.R., 1997</w:t>
      </w:r>
      <w:r w:rsidR="002A4B89">
        <w:rPr>
          <w:sz w:val="18"/>
          <w:szCs w:val="18"/>
          <w:lang w:val="en-US"/>
        </w:rPr>
        <w:t>,</w:t>
      </w:r>
      <w:r w:rsidRPr="00C74ADC">
        <w:rPr>
          <w:sz w:val="18"/>
          <w:szCs w:val="18"/>
          <w:lang w:val="en-US"/>
        </w:rPr>
        <w:t xml:space="preserve"> Modeling of free radical polymerization up to high conversion. I. A method for the selection of models by simultaneous parameter estimation</w:t>
      </w:r>
      <w:r w:rsidR="002A4B89">
        <w:rPr>
          <w:sz w:val="18"/>
          <w:szCs w:val="18"/>
          <w:lang w:val="en-US"/>
        </w:rPr>
        <w:t>,</w:t>
      </w:r>
      <w:r w:rsidRPr="00C74ADC">
        <w:rPr>
          <w:sz w:val="18"/>
          <w:szCs w:val="18"/>
          <w:lang w:val="en-US"/>
        </w:rPr>
        <w:t xml:space="preserve"> J. Appl. </w:t>
      </w:r>
      <w:proofErr w:type="spellStart"/>
      <w:r w:rsidRPr="00C74ADC">
        <w:rPr>
          <w:sz w:val="18"/>
          <w:szCs w:val="18"/>
          <w:lang w:val="en-US"/>
        </w:rPr>
        <w:t>Polym</w:t>
      </w:r>
      <w:proofErr w:type="spellEnd"/>
      <w:r w:rsidRPr="00C74ADC">
        <w:rPr>
          <w:sz w:val="18"/>
          <w:szCs w:val="18"/>
          <w:lang w:val="en-US"/>
        </w:rPr>
        <w:t>. Sci.</w:t>
      </w:r>
      <w:r w:rsidR="002A4B89">
        <w:rPr>
          <w:sz w:val="18"/>
          <w:szCs w:val="18"/>
          <w:lang w:val="en-US"/>
        </w:rPr>
        <w:t>,</w:t>
      </w:r>
      <w:r w:rsidRPr="00C74ADC">
        <w:rPr>
          <w:sz w:val="18"/>
          <w:szCs w:val="18"/>
          <w:lang w:val="en-US"/>
        </w:rPr>
        <w:t xml:space="preserve"> 63, 1649–1661</w:t>
      </w:r>
      <w:r w:rsidR="002A4B89">
        <w:rPr>
          <w:sz w:val="18"/>
          <w:szCs w:val="18"/>
          <w:lang w:val="en-US"/>
        </w:rPr>
        <w:t>,</w:t>
      </w:r>
      <w:r w:rsidRPr="00C74ADC">
        <w:rPr>
          <w:sz w:val="18"/>
          <w:szCs w:val="18"/>
          <w:lang w:val="en-US"/>
        </w:rPr>
        <w:t xml:space="preserve"> https://doi.org/10.1002/(SICI)1097-4628(19970321)63:12&lt;</w:t>
      </w:r>
      <w:proofErr w:type="gramStart"/>
      <w:r w:rsidRPr="00C74ADC">
        <w:rPr>
          <w:sz w:val="18"/>
          <w:szCs w:val="18"/>
          <w:lang w:val="en-US"/>
        </w:rPr>
        <w:t>1649::</w:t>
      </w:r>
      <w:proofErr w:type="gramEnd"/>
      <w:r w:rsidRPr="00C74ADC">
        <w:rPr>
          <w:sz w:val="18"/>
          <w:szCs w:val="18"/>
          <w:lang w:val="en-US"/>
        </w:rPr>
        <w:t>AID-APP16&gt;3.0.CO;2-V</w:t>
      </w:r>
    </w:p>
    <w:p w14:paraId="0227F952" w14:textId="4467B767" w:rsidR="006E2D9F" w:rsidRPr="00C74ADC" w:rsidRDefault="006E2D9F" w:rsidP="006E2D9F">
      <w:pPr>
        <w:widowControl w:val="0"/>
        <w:autoSpaceDE w:val="0"/>
        <w:autoSpaceDN w:val="0"/>
        <w:adjustRightInd w:val="0"/>
        <w:ind w:left="480" w:hanging="480"/>
        <w:rPr>
          <w:sz w:val="18"/>
          <w:szCs w:val="18"/>
          <w:lang w:val="en-US"/>
        </w:rPr>
      </w:pPr>
      <w:r w:rsidRPr="002A4B89">
        <w:rPr>
          <w:sz w:val="18"/>
          <w:szCs w:val="18"/>
          <w:lang w:val="en-US"/>
        </w:rPr>
        <w:t>Vieira, R.P., Lona, L.M.F., 2016</w:t>
      </w:r>
      <w:r w:rsidR="002A4B89" w:rsidRPr="002A4B89">
        <w:rPr>
          <w:sz w:val="18"/>
          <w:szCs w:val="18"/>
          <w:lang w:val="en-US"/>
        </w:rPr>
        <w:t>,</w:t>
      </w:r>
      <w:r w:rsidRPr="002A4B89">
        <w:rPr>
          <w:sz w:val="18"/>
          <w:szCs w:val="18"/>
          <w:lang w:val="en-US"/>
        </w:rPr>
        <w:t xml:space="preserve"> </w:t>
      </w:r>
      <w:r w:rsidRPr="00C74ADC">
        <w:rPr>
          <w:sz w:val="18"/>
          <w:szCs w:val="18"/>
          <w:lang w:val="en-US"/>
        </w:rPr>
        <w:t>Simulation of temperature effect on the structure control of polystyrene obtained by atom-transfer radical polymerization</w:t>
      </w:r>
      <w:r w:rsidR="002A4B89">
        <w:rPr>
          <w:sz w:val="18"/>
          <w:szCs w:val="18"/>
          <w:lang w:val="en-US"/>
        </w:rPr>
        <w:t>,</w:t>
      </w:r>
      <w:r w:rsidRPr="00C74ADC">
        <w:rPr>
          <w:sz w:val="18"/>
          <w:szCs w:val="18"/>
          <w:lang w:val="en-US"/>
        </w:rPr>
        <w:t xml:space="preserve"> </w:t>
      </w:r>
      <w:proofErr w:type="spellStart"/>
      <w:r w:rsidRPr="00C74ADC">
        <w:rPr>
          <w:sz w:val="18"/>
          <w:szCs w:val="18"/>
          <w:lang w:val="en-US"/>
        </w:rPr>
        <w:t>Polímeros</w:t>
      </w:r>
      <w:proofErr w:type="spellEnd"/>
      <w:r w:rsidR="002A4B89">
        <w:rPr>
          <w:sz w:val="18"/>
          <w:szCs w:val="18"/>
          <w:lang w:val="en-US"/>
        </w:rPr>
        <w:t>,</w:t>
      </w:r>
      <w:r w:rsidRPr="00C74ADC">
        <w:rPr>
          <w:sz w:val="18"/>
          <w:szCs w:val="18"/>
          <w:lang w:val="en-US"/>
        </w:rPr>
        <w:t xml:space="preserve"> 26, 313–319</w:t>
      </w:r>
      <w:r w:rsidR="002A4B89">
        <w:rPr>
          <w:sz w:val="18"/>
          <w:szCs w:val="18"/>
          <w:lang w:val="en-US"/>
        </w:rPr>
        <w:t>,</w:t>
      </w:r>
      <w:r w:rsidRPr="00C74ADC">
        <w:rPr>
          <w:sz w:val="18"/>
          <w:szCs w:val="18"/>
          <w:lang w:val="en-US"/>
        </w:rPr>
        <w:t xml:space="preserve"> https://doi.org/10.1590/0104-1428.2376</w:t>
      </w:r>
    </w:p>
    <w:p w14:paraId="52945E55" w14:textId="33A09FC4" w:rsidR="006E2D9F" w:rsidRPr="00C74ADC" w:rsidRDefault="006E2D9F" w:rsidP="006E2D9F">
      <w:pPr>
        <w:widowControl w:val="0"/>
        <w:autoSpaceDE w:val="0"/>
        <w:autoSpaceDN w:val="0"/>
        <w:adjustRightInd w:val="0"/>
        <w:ind w:left="480" w:hanging="480"/>
        <w:rPr>
          <w:sz w:val="18"/>
          <w:szCs w:val="18"/>
          <w:lang w:val="en-US"/>
        </w:rPr>
      </w:pPr>
      <w:r w:rsidRPr="00C74ADC">
        <w:rPr>
          <w:sz w:val="18"/>
          <w:szCs w:val="18"/>
          <w:lang w:val="en-US"/>
        </w:rPr>
        <w:t xml:space="preserve">Villalobos, M.A., </w:t>
      </w:r>
      <w:proofErr w:type="spellStart"/>
      <w:r w:rsidRPr="00C74ADC">
        <w:rPr>
          <w:sz w:val="18"/>
          <w:szCs w:val="18"/>
          <w:lang w:val="en-US"/>
        </w:rPr>
        <w:t>Hamielec</w:t>
      </w:r>
      <w:proofErr w:type="spellEnd"/>
      <w:r w:rsidRPr="00C74ADC">
        <w:rPr>
          <w:sz w:val="18"/>
          <w:szCs w:val="18"/>
          <w:lang w:val="en-US"/>
        </w:rPr>
        <w:t>, A.E., Wood, P.E., 1993</w:t>
      </w:r>
      <w:r w:rsidR="002A4B89">
        <w:rPr>
          <w:sz w:val="18"/>
          <w:szCs w:val="18"/>
          <w:lang w:val="en-US"/>
        </w:rPr>
        <w:t>,</w:t>
      </w:r>
      <w:r w:rsidRPr="00C74ADC">
        <w:rPr>
          <w:sz w:val="18"/>
          <w:szCs w:val="18"/>
          <w:lang w:val="en-US"/>
        </w:rPr>
        <w:t xml:space="preserve"> Bulk and suspension polymerization of styrene in the presence of n-pentane. An evaluation of monofunctional and bifunctional initiation</w:t>
      </w:r>
      <w:r w:rsidR="002A4B89">
        <w:rPr>
          <w:sz w:val="18"/>
          <w:szCs w:val="18"/>
          <w:lang w:val="en-US"/>
        </w:rPr>
        <w:t>,</w:t>
      </w:r>
      <w:r w:rsidRPr="00C74ADC">
        <w:rPr>
          <w:sz w:val="18"/>
          <w:szCs w:val="18"/>
          <w:lang w:val="en-US"/>
        </w:rPr>
        <w:t xml:space="preserve"> J. Appl. </w:t>
      </w:r>
      <w:proofErr w:type="spellStart"/>
      <w:r w:rsidRPr="00C74ADC">
        <w:rPr>
          <w:sz w:val="18"/>
          <w:szCs w:val="18"/>
          <w:lang w:val="en-US"/>
        </w:rPr>
        <w:t>Polym</w:t>
      </w:r>
      <w:proofErr w:type="spellEnd"/>
      <w:r w:rsidRPr="00C74ADC">
        <w:rPr>
          <w:sz w:val="18"/>
          <w:szCs w:val="18"/>
          <w:lang w:val="en-US"/>
        </w:rPr>
        <w:t>. Sci.</w:t>
      </w:r>
      <w:r w:rsidR="002A4B89">
        <w:rPr>
          <w:sz w:val="18"/>
          <w:szCs w:val="18"/>
          <w:lang w:val="en-US"/>
        </w:rPr>
        <w:t>,</w:t>
      </w:r>
      <w:r w:rsidRPr="00C74ADC">
        <w:rPr>
          <w:sz w:val="18"/>
          <w:szCs w:val="18"/>
          <w:lang w:val="en-US"/>
        </w:rPr>
        <w:t xml:space="preserve"> 50, 327–343</w:t>
      </w:r>
      <w:r w:rsidR="002A4B89">
        <w:rPr>
          <w:sz w:val="18"/>
          <w:szCs w:val="18"/>
          <w:lang w:val="en-US"/>
        </w:rPr>
        <w:t>,</w:t>
      </w:r>
      <w:r w:rsidRPr="00C74ADC">
        <w:rPr>
          <w:sz w:val="18"/>
          <w:szCs w:val="18"/>
          <w:lang w:val="en-US"/>
        </w:rPr>
        <w:t xml:space="preserve"> https://doi.org/10.1002/app.1993.070500214</w:t>
      </w:r>
    </w:p>
    <w:p w14:paraId="20F3CEC8" w14:textId="18CAB435" w:rsidR="006E2D9F" w:rsidRPr="00C74ADC" w:rsidRDefault="006E2D9F" w:rsidP="006E2D9F">
      <w:pPr>
        <w:widowControl w:val="0"/>
        <w:autoSpaceDE w:val="0"/>
        <w:autoSpaceDN w:val="0"/>
        <w:adjustRightInd w:val="0"/>
        <w:ind w:left="480" w:hanging="480"/>
        <w:rPr>
          <w:sz w:val="18"/>
          <w:szCs w:val="18"/>
          <w:lang w:val="en-US"/>
        </w:rPr>
      </w:pPr>
      <w:r w:rsidRPr="00C74ADC">
        <w:rPr>
          <w:sz w:val="18"/>
          <w:szCs w:val="18"/>
          <w:lang w:val="en-US"/>
        </w:rPr>
        <w:t xml:space="preserve">Villalobos, M.A., </w:t>
      </w:r>
      <w:proofErr w:type="spellStart"/>
      <w:r w:rsidRPr="00C74ADC">
        <w:rPr>
          <w:sz w:val="18"/>
          <w:szCs w:val="18"/>
          <w:lang w:val="en-US"/>
        </w:rPr>
        <w:t>Hamielec</w:t>
      </w:r>
      <w:proofErr w:type="spellEnd"/>
      <w:r w:rsidRPr="00C74ADC">
        <w:rPr>
          <w:sz w:val="18"/>
          <w:szCs w:val="18"/>
          <w:lang w:val="en-US"/>
        </w:rPr>
        <w:t>, A.E., Wood, P.E., 1991</w:t>
      </w:r>
      <w:r w:rsidR="002A4B89">
        <w:rPr>
          <w:sz w:val="18"/>
          <w:szCs w:val="18"/>
          <w:lang w:val="en-US"/>
        </w:rPr>
        <w:t>,</w:t>
      </w:r>
      <w:r w:rsidRPr="00C74ADC">
        <w:rPr>
          <w:sz w:val="18"/>
          <w:szCs w:val="18"/>
          <w:lang w:val="en-US"/>
        </w:rPr>
        <w:t xml:space="preserve"> Kinetic model for short-cycle bulk styrene polymerization through bifunctional initiators</w:t>
      </w:r>
      <w:r w:rsidR="002A4B89">
        <w:rPr>
          <w:sz w:val="18"/>
          <w:szCs w:val="18"/>
          <w:lang w:val="en-US"/>
        </w:rPr>
        <w:t>,</w:t>
      </w:r>
      <w:r w:rsidRPr="00C74ADC">
        <w:rPr>
          <w:sz w:val="18"/>
          <w:szCs w:val="18"/>
          <w:lang w:val="en-US"/>
        </w:rPr>
        <w:t xml:space="preserve"> J. Appl. </w:t>
      </w:r>
      <w:proofErr w:type="spellStart"/>
      <w:r w:rsidRPr="00C74ADC">
        <w:rPr>
          <w:sz w:val="18"/>
          <w:szCs w:val="18"/>
          <w:lang w:val="en-US"/>
        </w:rPr>
        <w:t>Polym</w:t>
      </w:r>
      <w:proofErr w:type="spellEnd"/>
      <w:r w:rsidRPr="00C74ADC">
        <w:rPr>
          <w:sz w:val="18"/>
          <w:szCs w:val="18"/>
          <w:lang w:val="en-US"/>
        </w:rPr>
        <w:t>. Sci</w:t>
      </w:r>
      <w:r w:rsidR="002A4B89">
        <w:rPr>
          <w:sz w:val="18"/>
          <w:szCs w:val="18"/>
          <w:lang w:val="en-US"/>
        </w:rPr>
        <w:t>,</w:t>
      </w:r>
      <w:r w:rsidRPr="00C74ADC">
        <w:rPr>
          <w:sz w:val="18"/>
          <w:szCs w:val="18"/>
          <w:lang w:val="en-US"/>
        </w:rPr>
        <w:t xml:space="preserve"> 42, 629–641</w:t>
      </w:r>
      <w:r w:rsidR="002A4B89">
        <w:rPr>
          <w:sz w:val="18"/>
          <w:szCs w:val="18"/>
          <w:lang w:val="en-US"/>
        </w:rPr>
        <w:t>,</w:t>
      </w:r>
      <w:r w:rsidRPr="00C74ADC">
        <w:rPr>
          <w:sz w:val="18"/>
          <w:szCs w:val="18"/>
          <w:lang w:val="en-US"/>
        </w:rPr>
        <w:t xml:space="preserve"> https://doi.org/10.1002/app.1991.070420309</w:t>
      </w:r>
    </w:p>
    <w:p w14:paraId="6B488985" w14:textId="77777777" w:rsidR="006E2D9F" w:rsidRPr="00C74ADC" w:rsidRDefault="006E2D9F" w:rsidP="00D21334">
      <w:pPr>
        <w:widowControl w:val="0"/>
        <w:autoSpaceDE w:val="0"/>
        <w:autoSpaceDN w:val="0"/>
        <w:adjustRightInd w:val="0"/>
        <w:ind w:left="480" w:hanging="480"/>
        <w:rPr>
          <w:sz w:val="18"/>
          <w:szCs w:val="18"/>
          <w:lang w:val="en-US"/>
        </w:rPr>
      </w:pPr>
    </w:p>
    <w:sectPr w:rsidR="006E2D9F" w:rsidRPr="00C74ADC"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9E7F9" w14:textId="77777777" w:rsidR="00081BD0" w:rsidRDefault="00081BD0">
      <w:r>
        <w:separator/>
      </w:r>
    </w:p>
  </w:endnote>
  <w:endnote w:type="continuationSeparator" w:id="0">
    <w:p w14:paraId="44431CA2" w14:textId="77777777" w:rsidR="00081BD0" w:rsidRDefault="0008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DA8F8" w14:textId="77777777" w:rsidR="00081BD0" w:rsidRDefault="00081BD0">
      <w:r>
        <w:separator/>
      </w:r>
    </w:p>
  </w:footnote>
  <w:footnote w:type="continuationSeparator" w:id="0">
    <w:p w14:paraId="16F72628" w14:textId="77777777" w:rsidR="00081BD0" w:rsidRDefault="00081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6393CA9B" w:rsidR="00DD3D9E" w:rsidRDefault="00DD3D9E">
    <w:pPr>
      <w:pStyle w:val="Cabealho"/>
      <w:tabs>
        <w:tab w:val="clear" w:pos="7200"/>
        <w:tab w:val="right" w:pos="7088"/>
      </w:tabs>
    </w:pPr>
    <w:r>
      <w:rPr>
        <w:rStyle w:val="Nmerodepgina"/>
      </w:rPr>
      <w:tab/>
    </w:r>
    <w:r>
      <w:rPr>
        <w:rStyle w:val="Nmerodepgina"/>
        <w:i/>
      </w:rPr>
      <w:tab/>
    </w:r>
    <w:r w:rsidR="00EC22A5">
      <w:rPr>
        <w:rStyle w:val="Nmerodepgina"/>
        <w:i/>
      </w:rPr>
      <w:t>R</w:t>
    </w:r>
    <w:r w:rsidR="0098164C">
      <w:rPr>
        <w:rStyle w:val="Nmerodepgina"/>
        <w:i/>
      </w:rPr>
      <w:t>. Battisti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40D1974" w:rsidR="00DD3D9E" w:rsidRDefault="0098164C" w:rsidP="0098164C">
    <w:pPr>
      <w:pStyle w:val="Cabealho"/>
      <w:tabs>
        <w:tab w:val="clear" w:pos="7200"/>
        <w:tab w:val="right" w:pos="7088"/>
      </w:tabs>
      <w:rPr>
        <w:sz w:val="24"/>
      </w:rPr>
    </w:pPr>
    <w:r w:rsidRPr="0098164C">
      <w:rPr>
        <w:i/>
      </w:rPr>
      <w:t>Improving styrene polymerization through a commercial simulation software</w:t>
    </w:r>
    <w:r w:rsidR="00DD3D9E">
      <w:rPr>
        <w:rStyle w:val="Nmerodepgina"/>
        <w:i/>
        <w:sz w:val="24"/>
      </w:rPr>
      <w:tab/>
    </w:r>
    <w:r w:rsidR="00DD3D9E">
      <w:rPr>
        <w:rStyle w:val="Nmerodep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1MTK1tDQ1Njc2MzNV0lEKTi0uzszPAykwrwUA+76skCwAAAA="/>
  </w:docVars>
  <w:rsids>
    <w:rsidRoot w:val="00B63237"/>
    <w:rsid w:val="00011640"/>
    <w:rsid w:val="00020837"/>
    <w:rsid w:val="00062A52"/>
    <w:rsid w:val="00065A47"/>
    <w:rsid w:val="0007713E"/>
    <w:rsid w:val="0007732F"/>
    <w:rsid w:val="00081BD0"/>
    <w:rsid w:val="00091654"/>
    <w:rsid w:val="000B5DF1"/>
    <w:rsid w:val="000C68AD"/>
    <w:rsid w:val="000D3D9B"/>
    <w:rsid w:val="000F3B53"/>
    <w:rsid w:val="000F4FA7"/>
    <w:rsid w:val="00114F7C"/>
    <w:rsid w:val="00116C47"/>
    <w:rsid w:val="0012732A"/>
    <w:rsid w:val="00154A23"/>
    <w:rsid w:val="0016032F"/>
    <w:rsid w:val="001775E4"/>
    <w:rsid w:val="00186717"/>
    <w:rsid w:val="001879F6"/>
    <w:rsid w:val="00191777"/>
    <w:rsid w:val="001A2F14"/>
    <w:rsid w:val="001B0DC1"/>
    <w:rsid w:val="001B1B0B"/>
    <w:rsid w:val="001C0148"/>
    <w:rsid w:val="001C757E"/>
    <w:rsid w:val="001D68AE"/>
    <w:rsid w:val="002019D0"/>
    <w:rsid w:val="0020277E"/>
    <w:rsid w:val="002027AD"/>
    <w:rsid w:val="0020390F"/>
    <w:rsid w:val="0022532C"/>
    <w:rsid w:val="0024267E"/>
    <w:rsid w:val="00251F94"/>
    <w:rsid w:val="00262A5F"/>
    <w:rsid w:val="00264926"/>
    <w:rsid w:val="00277442"/>
    <w:rsid w:val="002828F9"/>
    <w:rsid w:val="00286E4D"/>
    <w:rsid w:val="002A4B89"/>
    <w:rsid w:val="002B6D42"/>
    <w:rsid w:val="002B7D08"/>
    <w:rsid w:val="002C6D13"/>
    <w:rsid w:val="002E27B1"/>
    <w:rsid w:val="002E5A3F"/>
    <w:rsid w:val="002F1D90"/>
    <w:rsid w:val="002F2BBE"/>
    <w:rsid w:val="00323A5D"/>
    <w:rsid w:val="003304B8"/>
    <w:rsid w:val="0036272C"/>
    <w:rsid w:val="00391313"/>
    <w:rsid w:val="003A71D2"/>
    <w:rsid w:val="003B4F55"/>
    <w:rsid w:val="003C1A12"/>
    <w:rsid w:val="003C52B3"/>
    <w:rsid w:val="003D1582"/>
    <w:rsid w:val="003D3B66"/>
    <w:rsid w:val="003D7E4C"/>
    <w:rsid w:val="003E41C2"/>
    <w:rsid w:val="003F416A"/>
    <w:rsid w:val="003F4B1C"/>
    <w:rsid w:val="004077A2"/>
    <w:rsid w:val="004113AA"/>
    <w:rsid w:val="0041392E"/>
    <w:rsid w:val="00421A0F"/>
    <w:rsid w:val="00421A16"/>
    <w:rsid w:val="00425402"/>
    <w:rsid w:val="00436FD5"/>
    <w:rsid w:val="00446EF7"/>
    <w:rsid w:val="0045708D"/>
    <w:rsid w:val="00467D53"/>
    <w:rsid w:val="00475B37"/>
    <w:rsid w:val="0049772C"/>
    <w:rsid w:val="004A26B7"/>
    <w:rsid w:val="004A4A1E"/>
    <w:rsid w:val="004A5105"/>
    <w:rsid w:val="004B1E23"/>
    <w:rsid w:val="004C137E"/>
    <w:rsid w:val="004E5C12"/>
    <w:rsid w:val="005123F5"/>
    <w:rsid w:val="00532EFB"/>
    <w:rsid w:val="00542E48"/>
    <w:rsid w:val="005528A4"/>
    <w:rsid w:val="00552EEB"/>
    <w:rsid w:val="00560439"/>
    <w:rsid w:val="00580D40"/>
    <w:rsid w:val="00583DC0"/>
    <w:rsid w:val="005869FC"/>
    <w:rsid w:val="005C44B3"/>
    <w:rsid w:val="005E01F3"/>
    <w:rsid w:val="005E48E7"/>
    <w:rsid w:val="005E7539"/>
    <w:rsid w:val="005F4CE0"/>
    <w:rsid w:val="006076CC"/>
    <w:rsid w:val="00607739"/>
    <w:rsid w:val="00643629"/>
    <w:rsid w:val="00646463"/>
    <w:rsid w:val="00654DA5"/>
    <w:rsid w:val="00656CC3"/>
    <w:rsid w:val="0065750A"/>
    <w:rsid w:val="00666119"/>
    <w:rsid w:val="006728F3"/>
    <w:rsid w:val="006742FF"/>
    <w:rsid w:val="00677199"/>
    <w:rsid w:val="0068055B"/>
    <w:rsid w:val="006A232B"/>
    <w:rsid w:val="006A69BF"/>
    <w:rsid w:val="006C2F58"/>
    <w:rsid w:val="006E2D9F"/>
    <w:rsid w:val="007049CC"/>
    <w:rsid w:val="00711DF4"/>
    <w:rsid w:val="007269D4"/>
    <w:rsid w:val="0075786C"/>
    <w:rsid w:val="00765C06"/>
    <w:rsid w:val="00785EF4"/>
    <w:rsid w:val="007954CF"/>
    <w:rsid w:val="007A78A0"/>
    <w:rsid w:val="007B068B"/>
    <w:rsid w:val="007C0A3C"/>
    <w:rsid w:val="007D70A1"/>
    <w:rsid w:val="007E2A3C"/>
    <w:rsid w:val="007E62FE"/>
    <w:rsid w:val="007E64B0"/>
    <w:rsid w:val="007E6C5B"/>
    <w:rsid w:val="008132E8"/>
    <w:rsid w:val="00814AC4"/>
    <w:rsid w:val="00823407"/>
    <w:rsid w:val="00825A25"/>
    <w:rsid w:val="00831857"/>
    <w:rsid w:val="008608F6"/>
    <w:rsid w:val="00867B0C"/>
    <w:rsid w:val="0087505D"/>
    <w:rsid w:val="00877340"/>
    <w:rsid w:val="00881846"/>
    <w:rsid w:val="008A2128"/>
    <w:rsid w:val="008A6ACE"/>
    <w:rsid w:val="008B0184"/>
    <w:rsid w:val="008B12F5"/>
    <w:rsid w:val="008B3751"/>
    <w:rsid w:val="008B7677"/>
    <w:rsid w:val="008C5D02"/>
    <w:rsid w:val="008D2649"/>
    <w:rsid w:val="008E0810"/>
    <w:rsid w:val="008F06E1"/>
    <w:rsid w:val="0090568D"/>
    <w:rsid w:val="009125C9"/>
    <w:rsid w:val="00913879"/>
    <w:rsid w:val="00917661"/>
    <w:rsid w:val="00924B95"/>
    <w:rsid w:val="00934B92"/>
    <w:rsid w:val="009428DD"/>
    <w:rsid w:val="0095785C"/>
    <w:rsid w:val="009610DA"/>
    <w:rsid w:val="00962509"/>
    <w:rsid w:val="00970E5D"/>
    <w:rsid w:val="00976D78"/>
    <w:rsid w:val="0097701C"/>
    <w:rsid w:val="00980A65"/>
    <w:rsid w:val="0098164C"/>
    <w:rsid w:val="00986011"/>
    <w:rsid w:val="00994222"/>
    <w:rsid w:val="00995721"/>
    <w:rsid w:val="009A5287"/>
    <w:rsid w:val="009D2A1E"/>
    <w:rsid w:val="009E5953"/>
    <w:rsid w:val="00A0749D"/>
    <w:rsid w:val="00A2171F"/>
    <w:rsid w:val="00A24226"/>
    <w:rsid w:val="00A25E70"/>
    <w:rsid w:val="00A3263C"/>
    <w:rsid w:val="00A33765"/>
    <w:rsid w:val="00A35688"/>
    <w:rsid w:val="00A3645D"/>
    <w:rsid w:val="00A465FE"/>
    <w:rsid w:val="00A52AD7"/>
    <w:rsid w:val="00A55CAF"/>
    <w:rsid w:val="00A63269"/>
    <w:rsid w:val="00A813E3"/>
    <w:rsid w:val="00A83851"/>
    <w:rsid w:val="00A91D87"/>
    <w:rsid w:val="00A92377"/>
    <w:rsid w:val="00A92B08"/>
    <w:rsid w:val="00A9390A"/>
    <w:rsid w:val="00AA5B90"/>
    <w:rsid w:val="00AB29ED"/>
    <w:rsid w:val="00AB683E"/>
    <w:rsid w:val="00AC03F5"/>
    <w:rsid w:val="00AC083E"/>
    <w:rsid w:val="00AC2258"/>
    <w:rsid w:val="00AC5386"/>
    <w:rsid w:val="00AC7B9D"/>
    <w:rsid w:val="00AD6C4A"/>
    <w:rsid w:val="00AD73C9"/>
    <w:rsid w:val="00AE3DA3"/>
    <w:rsid w:val="00AE4BD8"/>
    <w:rsid w:val="00AF2BC1"/>
    <w:rsid w:val="00B000DF"/>
    <w:rsid w:val="00B100F8"/>
    <w:rsid w:val="00B11078"/>
    <w:rsid w:val="00B200F5"/>
    <w:rsid w:val="00B306D7"/>
    <w:rsid w:val="00B32631"/>
    <w:rsid w:val="00B4388F"/>
    <w:rsid w:val="00B46E74"/>
    <w:rsid w:val="00B52119"/>
    <w:rsid w:val="00B63237"/>
    <w:rsid w:val="00B67C58"/>
    <w:rsid w:val="00B7551C"/>
    <w:rsid w:val="00B75D76"/>
    <w:rsid w:val="00B855B9"/>
    <w:rsid w:val="00B91853"/>
    <w:rsid w:val="00BD5786"/>
    <w:rsid w:val="00BD7805"/>
    <w:rsid w:val="00BF0FBC"/>
    <w:rsid w:val="00BF305C"/>
    <w:rsid w:val="00C305B9"/>
    <w:rsid w:val="00C309D2"/>
    <w:rsid w:val="00C31C32"/>
    <w:rsid w:val="00C328BA"/>
    <w:rsid w:val="00C438B1"/>
    <w:rsid w:val="00C573DA"/>
    <w:rsid w:val="00C70D2B"/>
    <w:rsid w:val="00C74ADC"/>
    <w:rsid w:val="00C75BB3"/>
    <w:rsid w:val="00C8474E"/>
    <w:rsid w:val="00C86DB6"/>
    <w:rsid w:val="00C9469D"/>
    <w:rsid w:val="00C960DC"/>
    <w:rsid w:val="00CA0158"/>
    <w:rsid w:val="00CC3140"/>
    <w:rsid w:val="00CC4D71"/>
    <w:rsid w:val="00CD555C"/>
    <w:rsid w:val="00CF5793"/>
    <w:rsid w:val="00D02C75"/>
    <w:rsid w:val="00D10E22"/>
    <w:rsid w:val="00D13D2C"/>
    <w:rsid w:val="00D21334"/>
    <w:rsid w:val="00D2402A"/>
    <w:rsid w:val="00D33996"/>
    <w:rsid w:val="00D470A5"/>
    <w:rsid w:val="00D52E66"/>
    <w:rsid w:val="00D57C2A"/>
    <w:rsid w:val="00D674EC"/>
    <w:rsid w:val="00DB7D03"/>
    <w:rsid w:val="00DC2F94"/>
    <w:rsid w:val="00DC6E4B"/>
    <w:rsid w:val="00DD1515"/>
    <w:rsid w:val="00DD3D9E"/>
    <w:rsid w:val="00DD5342"/>
    <w:rsid w:val="00DD7908"/>
    <w:rsid w:val="00DF116A"/>
    <w:rsid w:val="00DF6D25"/>
    <w:rsid w:val="00E04BD3"/>
    <w:rsid w:val="00E11C0A"/>
    <w:rsid w:val="00E1656C"/>
    <w:rsid w:val="00E21D3D"/>
    <w:rsid w:val="00E26911"/>
    <w:rsid w:val="00E401A4"/>
    <w:rsid w:val="00E43D87"/>
    <w:rsid w:val="00E46CA7"/>
    <w:rsid w:val="00E82297"/>
    <w:rsid w:val="00E87413"/>
    <w:rsid w:val="00EC22A5"/>
    <w:rsid w:val="00EC4CC4"/>
    <w:rsid w:val="00EF39FD"/>
    <w:rsid w:val="00EF583A"/>
    <w:rsid w:val="00F04AA0"/>
    <w:rsid w:val="00F06842"/>
    <w:rsid w:val="00F107FD"/>
    <w:rsid w:val="00F171C6"/>
    <w:rsid w:val="00F25940"/>
    <w:rsid w:val="00F405D9"/>
    <w:rsid w:val="00F45D56"/>
    <w:rsid w:val="00F61526"/>
    <w:rsid w:val="00F62A73"/>
    <w:rsid w:val="00F8328F"/>
    <w:rsid w:val="00F91D85"/>
    <w:rsid w:val="00F96AF9"/>
    <w:rsid w:val="00FA00D8"/>
    <w:rsid w:val="00FB0BE1"/>
    <w:rsid w:val="00FB427F"/>
    <w:rsid w:val="00FB64A8"/>
    <w:rsid w:val="00FB76E2"/>
    <w:rsid w:val="00FC1A0B"/>
    <w:rsid w:val="00FC3EAD"/>
    <w:rsid w:val="00FF1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defim">
    <w:name w:val="endnote reference"/>
    <w:basedOn w:val="Fontepargpadro"/>
    <w:semiHidden/>
    <w:rsid w:val="008B0184"/>
    <w:rPr>
      <w:vertAlign w:val="superscript"/>
    </w:rPr>
  </w:style>
  <w:style w:type="paragraph" w:styleId="Cabealho">
    <w:name w:val="header"/>
    <w:rsid w:val="008B0184"/>
    <w:pPr>
      <w:tabs>
        <w:tab w:val="center" w:pos="3600"/>
        <w:tab w:val="right" w:pos="7200"/>
      </w:tabs>
      <w:spacing w:line="200" w:lineRule="atLeast"/>
    </w:pPr>
    <w:rPr>
      <w:noProof/>
      <w:lang w:eastAsia="en-US"/>
    </w:rPr>
  </w:style>
  <w:style w:type="paragraph" w:styleId="Rodap">
    <w:name w:val="footer"/>
    <w:basedOn w:val="Cabealho"/>
    <w:rsid w:val="008B0184"/>
  </w:style>
  <w:style w:type="character" w:styleId="Refdenotaderodap">
    <w:name w:val="footnote reference"/>
    <w:semiHidden/>
    <w:rsid w:val="008B0184"/>
    <w:rPr>
      <w:vertAlign w:val="superscript"/>
    </w:rPr>
  </w:style>
  <w:style w:type="paragraph" w:styleId="Textodenotaderodap">
    <w:name w:val="footnote text"/>
    <w:basedOn w:val="Normal"/>
    <w:semiHidden/>
    <w:rsid w:val="008B0184"/>
    <w:rPr>
      <w:rFonts w:ascii="Univers" w:hAnsi="Univers"/>
    </w:rPr>
  </w:style>
  <w:style w:type="character" w:styleId="Hyperlink">
    <w:name w:val="Hyperlink"/>
    <w:basedOn w:val="Fontepargpadro"/>
    <w:rsid w:val="008B0184"/>
    <w:rPr>
      <w:color w:val="0000FF"/>
      <w:u w:val="single"/>
    </w:rPr>
  </w:style>
  <w:style w:type="character" w:customStyle="1" w:styleId="MTEquationSection">
    <w:name w:val="MTEquationSection"/>
    <w:basedOn w:val="Fontepargpadro"/>
    <w:rsid w:val="008B0184"/>
    <w:rPr>
      <w:vanish/>
      <w:color w:val="FF0000"/>
    </w:rPr>
  </w:style>
  <w:style w:type="character" w:styleId="Nmerodepgina">
    <w:name w:val="page number"/>
    <w:basedOn w:val="Fontepargpadr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ontepargpadro"/>
    <w:rsid w:val="008B0184"/>
    <w:rPr>
      <w:sz w:val="18"/>
      <w:lang w:val="en-US" w:eastAsia="en-US" w:bidi="ar-SA"/>
    </w:rPr>
  </w:style>
  <w:style w:type="character" w:styleId="Refdecomentrio">
    <w:name w:val="annotation reference"/>
    <w:basedOn w:val="Fontepargpadro"/>
    <w:semiHidden/>
    <w:rsid w:val="008B0184"/>
    <w:rPr>
      <w:sz w:val="16"/>
      <w:szCs w:val="16"/>
    </w:rPr>
  </w:style>
  <w:style w:type="paragraph" w:styleId="Textodecomentrio">
    <w:name w:val="annotation text"/>
    <w:basedOn w:val="Normal"/>
    <w:semiHidden/>
    <w:rsid w:val="008B0184"/>
  </w:style>
  <w:style w:type="paragraph" w:styleId="Assuntodocomentrio">
    <w:name w:val="annotation subject"/>
    <w:basedOn w:val="Textodecomentrio"/>
    <w:next w:val="Textodecomentrio"/>
    <w:semiHidden/>
    <w:rsid w:val="008B0184"/>
    <w:rPr>
      <w:b/>
      <w:bCs/>
    </w:rPr>
  </w:style>
  <w:style w:type="paragraph" w:styleId="Textodebal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Fontepargpadro"/>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elacomgrade">
    <w:name w:val="Table Grid"/>
    <w:basedOn w:val="Tabelanormal"/>
    <w:uiPriority w:val="59"/>
    <w:rsid w:val="00FC1A0B"/>
    <w:rPr>
      <w:rFonts w:asciiTheme="minorHAnsi" w:eastAsiaTheme="minorHAnsi" w:hAnsiTheme="minorHAnsi" w:cstheme="minorBidi"/>
      <w:sz w:val="22"/>
      <w:szCs w:val="22"/>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07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181</TotalTime>
  <Pages>6</Pages>
  <Words>2571</Words>
  <Characters>58513</Characters>
  <Application>Microsoft Office Word</Application>
  <DocSecurity>0</DocSecurity>
  <Lines>487</Lines>
  <Paragraphs>121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60963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REVISOR</cp:lastModifiedBy>
  <cp:revision>271</cp:revision>
  <cp:lastPrinted>2004-12-17T09:20:00Z</cp:lastPrinted>
  <dcterms:created xsi:type="dcterms:W3CDTF">2023-10-02T07:50:00Z</dcterms:created>
  <dcterms:modified xsi:type="dcterms:W3CDTF">2023-12-20T01:09:00Z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Recent Style Id 0_1">
    <vt:lpwstr>http://www.zotero.org/styles/apa</vt:lpwstr>
  </property>
  <property fmtid="{D5CDD505-2E9C-101B-9397-08002B2CF9AE}" pid="11" name="Mendeley Recent Style Name 0_1">
    <vt:lpwstr>American Psychological Association 7th edition</vt:lpwstr>
  </property>
  <property fmtid="{D5CDD505-2E9C-101B-9397-08002B2CF9AE}" pid="12" name="Mendeley Recent Style Id 1_1">
    <vt:lpwstr>http://www.zotero.org/styles/american-sociological-association</vt:lpwstr>
  </property>
  <property fmtid="{D5CDD505-2E9C-101B-9397-08002B2CF9AE}" pid="13" name="Mendeley Recent Style Name 1_1">
    <vt:lpwstr>American Sociological Association 6th edition</vt:lpwstr>
  </property>
  <property fmtid="{D5CDD505-2E9C-101B-9397-08002B2CF9AE}" pid="14" name="Mendeley Recent Style Id 2_1">
    <vt:lpwstr>http://www.zotero.org/styles/applied-energy</vt:lpwstr>
  </property>
  <property fmtid="{D5CDD505-2E9C-101B-9397-08002B2CF9AE}" pid="15" name="Mendeley Recent Style Name 2_1">
    <vt:lpwstr>Applied Energy</vt:lpwstr>
  </property>
  <property fmtid="{D5CDD505-2E9C-101B-9397-08002B2CF9AE}" pid="16" name="Mendeley Recent Style Id 3_1">
    <vt:lpwstr>http://www.zotero.org/styles/colloids-and-surfaces-a-physicochemical-and-engineering-aspects</vt:lpwstr>
  </property>
  <property fmtid="{D5CDD505-2E9C-101B-9397-08002B2CF9AE}" pid="17" name="Mendeley Recent Style Name 3_1">
    <vt:lpwstr>Colloids and Surfaces A: Physicochemical and Engineering Aspects</vt:lpwstr>
  </property>
  <property fmtid="{D5CDD505-2E9C-101B-9397-08002B2CF9AE}" pid="18" name="Mendeley Recent Style Id 4_1">
    <vt:lpwstr>http://www.zotero.org/styles/computers-and-chemical-engineering</vt:lpwstr>
  </property>
  <property fmtid="{D5CDD505-2E9C-101B-9397-08002B2CF9AE}" pid="19" name="Mendeley Recent Style Name 4_1">
    <vt:lpwstr>Computers and Chemical Engineering</vt:lpwstr>
  </property>
  <property fmtid="{D5CDD505-2E9C-101B-9397-08002B2CF9AE}" pid="20" name="Mendeley Recent Style Id 5_1">
    <vt:lpwstr>http://www.zotero.org/styles/elsevier-american-chemical-society</vt:lpwstr>
  </property>
  <property fmtid="{D5CDD505-2E9C-101B-9397-08002B2CF9AE}" pid="21" name="Mendeley Recent Style Name 5_1">
    <vt:lpwstr>Elsevier - American Chemical Society</vt:lpwstr>
  </property>
  <property fmtid="{D5CDD505-2E9C-101B-9397-08002B2CF9AE}" pid="22" name="Mendeley Recent Style Id 6_1">
    <vt:lpwstr>http://www.zotero.org/styles/elsevier-vancouver</vt:lpwstr>
  </property>
  <property fmtid="{D5CDD505-2E9C-101B-9397-08002B2CF9AE}" pid="23" name="Mendeley Recent Style Name 6_1">
    <vt:lpwstr>Elsevier - Vancouver</vt:lpwstr>
  </property>
  <property fmtid="{D5CDD505-2E9C-101B-9397-08002B2CF9AE}" pid="24" name="Mendeley Recent Style Id 7_1">
    <vt:lpwstr>http://www.zotero.org/styles/journal-of-cleaner-production</vt:lpwstr>
  </property>
  <property fmtid="{D5CDD505-2E9C-101B-9397-08002B2CF9AE}" pid="25" name="Mendeley Recent Style Name 7_1">
    <vt:lpwstr>Journal of Cleaner Production</vt:lpwstr>
  </property>
  <property fmtid="{D5CDD505-2E9C-101B-9397-08002B2CF9AE}" pid="26" name="Mendeley Recent Style Id 8_1">
    <vt:lpwstr>http://www.zotero.org/styles/journal-of-petroleum-science-and-engineering</vt:lpwstr>
  </property>
  <property fmtid="{D5CDD505-2E9C-101B-9397-08002B2CF9AE}" pid="27" name="Mendeley Recent Style Name 8_1">
    <vt:lpwstr>Journal of Petroleum Science and Engineering</vt:lpwstr>
  </property>
  <property fmtid="{D5CDD505-2E9C-101B-9397-08002B2CF9AE}" pid="28" name="Mendeley Recent Style Id 9_1">
    <vt:lpwstr>http://www.zotero.org/styles/resources-conservation-and-recycling</vt:lpwstr>
  </property>
  <property fmtid="{D5CDD505-2E9C-101B-9397-08002B2CF9AE}" pid="29" name="Mendeley Recent Style Name 9_1">
    <vt:lpwstr>Resources, Conservation &amp; Recycling</vt:lpwstr>
  </property>
  <property fmtid="{D5CDD505-2E9C-101B-9397-08002B2CF9AE}" pid="30" name="Mendeley Document_1">
    <vt:lpwstr>True</vt:lpwstr>
  </property>
  <property fmtid="{D5CDD505-2E9C-101B-9397-08002B2CF9AE}" pid="31" name="Mendeley Citation Style_1">
    <vt:lpwstr>http://www.zotero.org/styles/resources-conservation-and-recycling</vt:lpwstr>
  </property>
  <property fmtid="{D5CDD505-2E9C-101B-9397-08002B2CF9AE}" pid="32" name="Mendeley Unique User Id_1">
    <vt:lpwstr>666040d7-5da0-32b3-9236-09eca94ecd39</vt:lpwstr>
  </property>
</Properties>
</file>