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2A522B2" w:rsidR="00DD3D9E" w:rsidRPr="00B4388F" w:rsidRDefault="005F5696">
      <w:pPr>
        <w:pStyle w:val="Els-Title"/>
        <w:rPr>
          <w:color w:val="000000" w:themeColor="text1"/>
        </w:rPr>
      </w:pPr>
      <w:r>
        <w:rPr>
          <w:color w:val="000000" w:themeColor="text1"/>
        </w:rPr>
        <w:t>Non-Parametric Models for Yield Prediction in a Suzuki-</w:t>
      </w:r>
      <w:proofErr w:type="spellStart"/>
      <w:r>
        <w:rPr>
          <w:color w:val="000000" w:themeColor="text1"/>
        </w:rPr>
        <w:t>Miyaura</w:t>
      </w:r>
      <w:proofErr w:type="spellEnd"/>
      <w:r>
        <w:rPr>
          <w:color w:val="000000" w:themeColor="text1"/>
        </w:rPr>
        <w:t xml:space="preserve"> Coupling</w:t>
      </w:r>
    </w:p>
    <w:p w14:paraId="144DE680" w14:textId="5229CCD6" w:rsidR="00DD3D9E" w:rsidRDefault="00D10E22">
      <w:pPr>
        <w:pStyle w:val="Els-Author"/>
      </w:pPr>
      <w:r>
        <w:fldChar w:fldCharType="begin"/>
      </w:r>
      <w:r w:rsidR="00DD3D9E">
        <w:instrText xml:space="preserve"> MACROBUTTON NoMacro </w:instrText>
      </w:r>
      <w:r w:rsidR="005F5696">
        <w:instrText>Pablo J. Salazar</w:instrText>
      </w:r>
      <w:r w:rsidR="00DD3D9E">
        <w:instrText>,</w:instrText>
      </w:r>
      <w:r w:rsidR="00DD3D9E">
        <w:rPr>
          <w:vertAlign w:val="superscript"/>
        </w:rPr>
        <w:instrText>a</w:instrText>
      </w:r>
      <w:r w:rsidR="00DD3D9E">
        <w:instrText xml:space="preserve"> </w:instrText>
      </w:r>
      <w:r w:rsidR="005F5696">
        <w:instrText>Brahi</w:instrText>
      </w:r>
      <w:r w:rsidR="00DF74D5">
        <w:instrText>m</w:instrText>
      </w:r>
      <w:r w:rsidR="005F5696">
        <w:instrText xml:space="preserve"> Benyahia</w:instrText>
      </w:r>
      <w:r w:rsidR="00DD3D9E">
        <w:instrText>,</w:instrText>
      </w:r>
      <w:r w:rsidR="005F5696">
        <w:rPr>
          <w:vertAlign w:val="superscript"/>
        </w:rPr>
        <w:instrText>a*</w:instrText>
      </w:r>
      <w:r>
        <w:fldChar w:fldCharType="end"/>
      </w:r>
    </w:p>
    <w:p w14:paraId="144DE681" w14:textId="028AB54C" w:rsidR="00DD3D9E" w:rsidRDefault="00D10E22">
      <w:pPr>
        <w:pStyle w:val="Els-Affiliation"/>
      </w:pPr>
      <w:r>
        <w:fldChar w:fldCharType="begin"/>
      </w:r>
      <w:r w:rsidR="00DD3D9E">
        <w:instrText xml:space="preserve"> MACROBUTTON NoMacro </w:instrText>
      </w:r>
      <w:r w:rsidR="00DD3D9E">
        <w:rPr>
          <w:vertAlign w:val="superscript"/>
        </w:rPr>
        <w:instrText>a</w:instrText>
      </w:r>
      <w:r w:rsidR="005F5696">
        <w:instrText xml:space="preserve">Department of Chemical Engineering </w:instrText>
      </w:r>
      <w:r w:rsidR="00DD3D9E">
        <w:instrText>,</w:instrText>
      </w:r>
      <w:r w:rsidR="005F5696">
        <w:instrText>Loughborough University</w:instrText>
      </w:r>
      <w:r w:rsidR="00DD3D9E">
        <w:instrText xml:space="preserve">, </w:instrText>
      </w:r>
      <w:r w:rsidR="005F5696">
        <w:instrText>Leicestershire</w:instrText>
      </w:r>
      <w:r w:rsidR="00DD3D9E">
        <w:instrText xml:space="preserve">, </w:instrText>
      </w:r>
      <w:r w:rsidR="005F5696">
        <w:instrText>UK</w:instrText>
      </w:r>
      <w:r>
        <w:fldChar w:fldCharType="end"/>
      </w:r>
    </w:p>
    <w:p w14:paraId="144DE683" w14:textId="23D3EE4D" w:rsidR="008D2649" w:rsidRPr="00A94774" w:rsidRDefault="005F5696" w:rsidP="008D2649">
      <w:pPr>
        <w:pStyle w:val="Els-Affiliation"/>
        <w:spacing w:after="120"/>
      </w:pPr>
      <w:r>
        <w:t>b.benyahia</w:t>
      </w:r>
      <w:r w:rsidR="008D2649" w:rsidRPr="00D22E38">
        <w:t>@</w:t>
      </w:r>
      <w:r>
        <w:t>lboro.ac.uk</w:t>
      </w:r>
    </w:p>
    <w:p w14:paraId="144DE684" w14:textId="77777777" w:rsidR="008D2649" w:rsidRDefault="008D2649" w:rsidP="008D2649">
      <w:pPr>
        <w:pStyle w:val="Els-Abstract"/>
      </w:pPr>
      <w:r>
        <w:t>Abstract</w:t>
      </w:r>
    </w:p>
    <w:p w14:paraId="144DE685" w14:textId="3F951D05" w:rsidR="008D2649" w:rsidRDefault="00FC0643" w:rsidP="00346B28">
      <w:pPr>
        <w:pStyle w:val="Els-body-text"/>
        <w:spacing w:after="120"/>
        <w:rPr>
          <w:lang w:val="en-GB"/>
        </w:rPr>
      </w:pPr>
      <w:r w:rsidRPr="00FC0643">
        <w:rPr>
          <w:lang w:val="en-GB"/>
        </w:rPr>
        <w:t>The yield of a chemical reaction significantly influences efficiency, cost, safety, sustainability, and product quality in the chemical and pharmaceutical industries. Opportunities arise from automated flow chemistry platforms, generating real-time experimental data, for the application of machine learning methods, enhancing insights into reaction performance. In this study, non-parametric models are employed to predict Suzuki-</w:t>
      </w:r>
      <w:proofErr w:type="spellStart"/>
      <w:r w:rsidRPr="00FC0643">
        <w:rPr>
          <w:lang w:val="en-GB"/>
        </w:rPr>
        <w:t>Miyaura</w:t>
      </w:r>
      <w:proofErr w:type="spellEnd"/>
      <w:r w:rsidRPr="00FC0643">
        <w:rPr>
          <w:lang w:val="en-GB"/>
        </w:rPr>
        <w:t xml:space="preserve"> coupling reaction yields from 5760 automated flow-synthesis reactions. </w:t>
      </w:r>
      <w:r w:rsidR="00DF7810">
        <w:rPr>
          <w:lang w:val="en-GB"/>
        </w:rPr>
        <w:t xml:space="preserve">Non-parametric models, specifically, </w:t>
      </w:r>
      <w:r w:rsidRPr="00FC0643">
        <w:rPr>
          <w:lang w:val="en-GB"/>
        </w:rPr>
        <w:t xml:space="preserve">Gaussian Processes (GPs) with one-hot encoding are utilized, with a comparison of their performance against classic machine learning models, ensemble models, and a two-layer neural network. GPs, particularly those with Automatic Relevance Determination (ARD), demonstrate superiority over the evaluated </w:t>
      </w:r>
      <w:r w:rsidR="005E70F9">
        <w:rPr>
          <w:lang w:val="en-GB"/>
        </w:rPr>
        <w:t xml:space="preserve">machine </w:t>
      </w:r>
      <w:r w:rsidR="00DE0170">
        <w:rPr>
          <w:lang w:val="en-GB"/>
        </w:rPr>
        <w:t xml:space="preserve">learning </w:t>
      </w:r>
      <w:r w:rsidR="00DE0170" w:rsidRPr="00FC0643">
        <w:rPr>
          <w:lang w:val="en-GB"/>
        </w:rPr>
        <w:t>models</w:t>
      </w:r>
      <w:r w:rsidRPr="00FC0643">
        <w:rPr>
          <w:lang w:val="en-GB"/>
        </w:rPr>
        <w:t xml:space="preserve">, revealing improvements in R² and root mean squared error metrics. The findings underscore the superiority of non-parametric models, especially GPs with ARD, over neural networks when using fractions of the dataset for training and predicting previously unseen reactions. </w:t>
      </w:r>
      <w:r w:rsidR="00CC2CF1" w:rsidRPr="00CC2CF1">
        <w:rPr>
          <w:lang w:val="en-GB"/>
        </w:rPr>
        <w:t xml:space="preserve">Non-parametric models show potential for accurate yield predictions even with </w:t>
      </w:r>
      <w:r w:rsidR="00CC2CF1">
        <w:rPr>
          <w:lang w:val="en-GB"/>
        </w:rPr>
        <w:t xml:space="preserve">relatively </w:t>
      </w:r>
      <w:r w:rsidR="00CC2CF1" w:rsidRPr="00CC2CF1">
        <w:rPr>
          <w:lang w:val="en-GB"/>
        </w:rPr>
        <w:t>small datasets, promising faster and more effective development of synthetic pathways in the chemical and pharmaceutical industries.</w:t>
      </w:r>
      <w:r w:rsidR="008D2649">
        <w:rPr>
          <w:lang w:val="en-GB"/>
        </w:rPr>
        <w:t xml:space="preserve"> </w:t>
      </w:r>
    </w:p>
    <w:p w14:paraId="144DE687" w14:textId="66C93268" w:rsidR="008D2649" w:rsidRDefault="008D2649" w:rsidP="008D2649">
      <w:pPr>
        <w:pStyle w:val="Els-body-text"/>
        <w:spacing w:after="120"/>
        <w:rPr>
          <w:lang w:val="en-GB"/>
        </w:rPr>
      </w:pPr>
      <w:r>
        <w:rPr>
          <w:b/>
          <w:bCs/>
          <w:lang w:val="en-GB"/>
        </w:rPr>
        <w:t>Keywords</w:t>
      </w:r>
      <w:r>
        <w:rPr>
          <w:lang w:val="en-GB"/>
        </w:rPr>
        <w:t xml:space="preserve">: </w:t>
      </w:r>
      <w:r w:rsidR="003214BE">
        <w:t>Machine Learning, Gaussian Process, Flow Chemistry, Yield Prediction</w:t>
      </w:r>
    </w:p>
    <w:p w14:paraId="144DE689" w14:textId="1D867CFE" w:rsidR="008D2649" w:rsidRDefault="003214BE" w:rsidP="008D2649">
      <w:pPr>
        <w:pStyle w:val="Els-1storder-head"/>
      </w:pPr>
      <w:r>
        <w:t>Introduction</w:t>
      </w:r>
    </w:p>
    <w:p w14:paraId="53506A2E" w14:textId="55F94838" w:rsidR="007E24C7" w:rsidRPr="007E24C7" w:rsidRDefault="007E24C7" w:rsidP="00317647">
      <w:pPr>
        <w:pStyle w:val="Els-body-text"/>
        <w:spacing w:before="80" w:after="80"/>
        <w:rPr>
          <w:lang w:val="en-GB"/>
        </w:rPr>
      </w:pPr>
      <w:r w:rsidRPr="007E24C7">
        <w:rPr>
          <w:lang w:val="en-GB"/>
        </w:rPr>
        <w:t xml:space="preserve">The use of algorithms and statistical models in chemical and pharmaceutical research has gained relevance, especially with the rise of </w:t>
      </w:r>
      <w:r w:rsidR="00D541B1">
        <w:rPr>
          <w:lang w:val="en-GB"/>
        </w:rPr>
        <w:t>H</w:t>
      </w:r>
      <w:r w:rsidRPr="007E24C7">
        <w:rPr>
          <w:lang w:val="en-GB"/>
        </w:rPr>
        <w:t xml:space="preserve">igh </w:t>
      </w:r>
      <w:r w:rsidR="00D541B1">
        <w:rPr>
          <w:lang w:val="en-GB"/>
        </w:rPr>
        <w:t>T</w:t>
      </w:r>
      <w:r w:rsidRPr="007E24C7">
        <w:rPr>
          <w:lang w:val="en-GB"/>
        </w:rPr>
        <w:t xml:space="preserve">hroughput </w:t>
      </w:r>
      <w:r w:rsidR="00D541B1">
        <w:rPr>
          <w:lang w:val="en-GB"/>
        </w:rPr>
        <w:t>E</w:t>
      </w:r>
      <w:r w:rsidRPr="007E24C7">
        <w:rPr>
          <w:lang w:val="en-GB"/>
        </w:rPr>
        <w:t xml:space="preserve">xperimentation (HTE) and continuous flow platforms. Automated platforms enhance reproducibility, efficiency, and real-time analytical data generation, leading to the rapid acquisition of standardized datasets </w:t>
      </w:r>
      <w:r w:rsidR="00AC1909">
        <w:fldChar w:fldCharType="begin" w:fldLock="1"/>
      </w:r>
      <w:r w:rsidR="004003B0">
        <w:instrText>ADDIN CSL_CITATION {"citationItems":[{"id":"ITEM-1","itemData":{"DOI":"10.1016/j.coche.2022.100831","ISSN":"22113398","abstract":"Recent advances in machine learning (ML) and artificial intelligence have provided an exciting opportunity to computerize the fundamental and applied studies of complex reaction systems via self-driving laboratories. Autonomous robotic experimentation can enable time-, material-, and resource-efficient exploration and/or optimization of high-dimensional space reaction systems. Furthermore, interpretation of the ML models trained on the experimental data can unveil the underlying reaction mechanisms. In this article, we discuss different elements of a self-driving lab, and present recent efforts in autonomous reaction modeling and optimization. Further development and adoption of ML-guided closed-loop experimentation strategies can realize the full potential of autonomous chemical science and engineering to accelerate the discovery and development of advanced materials and molecules.","author":[{"dropping-particle":"","family":"Bennett","given":"Jeffrey A.","non-dropping-particle":"","parse-names":false,"suffix":""},{"dropping-particle":"","family":"Abolhasani","given":"Milad","non-dropping-particle":"","parse-names":false,"suffix":""}],"container-title":"Current Opinion in Chemical Engineering","id":"ITEM-1","issued":{"date-parts":[["2022","6","1"]]},"page":"100831","publisher":"Elsevier","title":"Autonomous chemical science and engineering enabled by self-driving laboratories","type":"article-journal","volume":"36"},"uris":["http://www.mendeley.com/documents/?uuid=60306e38-eb03-36b7-9b30-aee44a803ec5"]}],"mendeley":{"formattedCitation":"(Bennett and Abolhasani, 2022)","plainTextFormattedCitation":"(Bennett and Abolhasani, 2022)","previouslyFormattedCitation":"(Bennett and Abolhasani, 2022)"},"properties":{"noteIndex":0},"schema":"https://github.com/citation-style-language/schema/raw/master/csl-citation.json"}</w:instrText>
      </w:r>
      <w:r w:rsidR="00AC1909">
        <w:fldChar w:fldCharType="separate"/>
      </w:r>
      <w:r w:rsidR="00D72CA4" w:rsidRPr="00D72CA4">
        <w:rPr>
          <w:noProof/>
        </w:rPr>
        <w:t>(Bennett and Abolhasani, 2022)</w:t>
      </w:r>
      <w:r w:rsidR="00AC1909">
        <w:fldChar w:fldCharType="end"/>
      </w:r>
      <w:r w:rsidRPr="007E24C7">
        <w:rPr>
          <w:lang w:val="en-GB"/>
        </w:rPr>
        <w:t>. Experimentally obtained datasets, including negative outcomes, provide opportunities to develop realistic models for reaction outcome prediction, reaction condition prediction,</w:t>
      </w:r>
      <w:r w:rsidR="00EB797B">
        <w:rPr>
          <w:lang w:val="en-GB"/>
        </w:rPr>
        <w:t xml:space="preserve"> </w:t>
      </w:r>
      <w:r w:rsidRPr="007E24C7">
        <w:rPr>
          <w:lang w:val="en-GB"/>
        </w:rPr>
        <w:t>and drug discovery</w:t>
      </w:r>
      <w:r w:rsidR="00EB797B">
        <w:rPr>
          <w:lang w:val="en-GB"/>
        </w:rPr>
        <w:t xml:space="preserve"> </w:t>
      </w:r>
      <w:r w:rsidR="00EB797B">
        <w:fldChar w:fldCharType="begin" w:fldLock="1"/>
      </w:r>
      <w:r w:rsidR="00EB797B">
        <w:instrText>ADDIN CSL_CITATION {"citationItems":[{"id":"ITEM-1","itemData":{"DOI":"10.1126/science.adc8743","ISSN":"0036-8075","PMID":"36302014","abstract":"General conditions for organic reactions are important but rare, and efforts to identify them usually consider only narrow regions of chemical space. Discovering more general reaction conditions requires considering vast regions of chemical space derived from a large matrix of substrates crossed with a high-dimensional matrix of reaction conditions, rendering exhaustive experimentation impractical. Here, we report a simple closed-loop workflow that leverages data-guided matrix down-selection, uncertainty-minimizing machine learning, and robotic experimentation to discover general reaction conditions. Application to the challenging and consequential problem of heteroaryl Suzuki-Miyaura cross-coupling identified conditions that double the average yield relative to a widely used benchmark that was previously developed using traditional approaches. This study provides a practical road map for solving multidimensional chemical optimization problems with large search spaces.","author":[{"dropping-particle":"","family":"Angello","given":"Nicholas H.","non-dropping-particle":"","parse-names":false,"suffix":""},{"dropping-particle":"","family":"Rathore","given":"Vandana","non-dropping-particle":"","parse-names":false,"suffix":""},{"dropping-particle":"","family":"Beker","given":"Wiktor","non-dropping-particle":"","parse-names":false,"suffix":""},{"dropping-particle":"","family":"Wołos","given":"Agnieszka","non-dropping-particle":"","parse-names":false,"suffix":""},{"dropping-particle":"","family":"Jira","given":"Edward R.","non-dropping-particle":"","parse-names":false,"suffix":""},{"dropping-particle":"","family":"Roszak","given":"Rafał","non-dropping-particle":"","parse-names":false,"suffix":""},{"dropping-particle":"","family":"Wu","given":"Tony C.","non-dropping-particle":"","parse-names":false,"suffix":""},{"dropping-particle":"","family":"Schroeder","given":"Charles M.","non-dropping-particle":"","parse-names":false,"suffix":""},{"dropping-particle":"","family":"Aspuru-Guzik","given":"Alán","non-dropping-particle":"","parse-names":false,"suffix":""},{"dropping-particle":"","family":"Grzybowski","given":"Bartosz A.","non-dropping-particle":"","parse-names":false,"suffix":""},{"dropping-particle":"","family":"Burke","given":"Martin D.","non-dropping-particle":"","parse-names":false,"suffix":""}],"container-title":"Science","id":"ITEM-1","issue":"6618","issued":{"date-parts":[["2022","10","28"]]},"page":"399-405","publisher":"American Association for the Advancement of Science","title":"Closed-loop optimization of general reaction conditions for heteroaryl Suzuki-Miyaura coupling","type":"article-journal","volume":"378"},"uris":["http://www.mendeley.com/documents/?uuid=e67e2e6c-66b2-3d01-8be4-054c73332661"]}],"mendeley":{"formattedCitation":"(Angello et al., 2022)","plainTextFormattedCitation":"(Angello et al., 2022)","previouslyFormattedCitation":"(Angello et al., 2022)"},"properties":{"noteIndex":0},"schema":"https://github.com/citation-style-language/schema/raw/master/csl-citation.json"}</w:instrText>
      </w:r>
      <w:r w:rsidR="00EB797B">
        <w:fldChar w:fldCharType="separate"/>
      </w:r>
      <w:r w:rsidR="00EB797B" w:rsidRPr="002F7FC6">
        <w:rPr>
          <w:noProof/>
        </w:rPr>
        <w:t>(Angello et al., 2022)</w:t>
      </w:r>
      <w:r w:rsidR="00EB797B">
        <w:fldChar w:fldCharType="end"/>
      </w:r>
      <w:r w:rsidRPr="007E24C7">
        <w:rPr>
          <w:lang w:val="en-GB"/>
        </w:rPr>
        <w:t xml:space="preserve">. Model performance is evaluated with unseen test samples, making feature representation and model development active research areas </w:t>
      </w:r>
      <w:r w:rsidR="000A2832">
        <w:rPr>
          <w:lang w:val="en-GB"/>
        </w:rPr>
        <w:fldChar w:fldCharType="begin" w:fldLock="1"/>
      </w:r>
      <w:r w:rsidR="00D72CA4">
        <w:rPr>
          <w:lang w:val="en-GB"/>
        </w:rPr>
        <w:instrText>ADDIN CSL_CITATION {"citationItems":[{"id":"ITEM-1","itemData":{"DOI":"10.1039/D2RE00008C","ISSN":"2058-9883","abstract":"Multivariate chemical reaction optimization involving catalytic systems is a non-trivial task due to the high number of tuneable parameters and discrete choices.","author":[{"dropping-particle":"","family":"Pomberger","given":"A.","non-dropping-particle":"","parse-names":false,"suffix":""},{"dropping-particle":"","family":"Pedrina McCarthy","given":"A. A.","non-dropping-particle":"","parse-names":false,"suffix":""},{"dropping-particle":"","family":"Khan","given":"A.","non-dropping-particle":"","parse-names":false,"suffix":""},{"dropping-particle":"","family":"Sung","given":"S.","non-dropping-particle":"","parse-names":false,"suffix":""},{"dropping-particle":"","family":"Taylor","given":"C. J.","non-dropping-particle":"","parse-names":false,"suffix":""},{"dropping-particle":"","family":"Gaunt","given":"M. J.","non-dropping-particle":"","parse-names":false,"suffix":""},{"dropping-particle":"","family":"Colwell","given":"L.","non-dropping-particle":"","parse-names":false,"suffix":""},{"dropping-particle":"","family":"Walz","given":"D.","non-dropping-particle":"","parse-names":false,"suffix":""},{"dropping-particle":"","family":"Lapkin","given":"A. A.","non-dropping-particle":"","parse-names":false,"suffix":""}],"container-title":"Reaction Chemistry &amp; Engineering","id":"ITEM-1","issue":"6","issued":{"date-parts":[["2022","5","30"]]},"page":"1368-1379","publisher":"The Royal Society of Chemistry","title":"The effect of chemical representation on active machine learning towards closed-loop optimization","type":"article-journal","volume":"7"},"uris":["http://www.mendeley.com/documents/?uuid=f25670d5-ea8a-3f6d-921b-0965ce520a5e"]}],"mendeley":{"formattedCitation":"(Pomberger et al., 2022)","plainTextFormattedCitation":"(Pomberger et al., 2022)","previouslyFormattedCitation":"(Pomberger et al., 2022)"},"properties":{"noteIndex":0},"schema":"https://github.com/citation-style-language/schema/raw/master/csl-citation.json"}</w:instrText>
      </w:r>
      <w:r w:rsidR="000A2832">
        <w:rPr>
          <w:lang w:val="en-GB"/>
        </w:rPr>
        <w:fldChar w:fldCharType="separate"/>
      </w:r>
      <w:r w:rsidR="00932225" w:rsidRPr="00932225">
        <w:rPr>
          <w:noProof/>
          <w:lang w:val="en-GB"/>
        </w:rPr>
        <w:t>(Pomberger et al., 2022)</w:t>
      </w:r>
      <w:r w:rsidR="000A2832">
        <w:rPr>
          <w:lang w:val="en-GB"/>
        </w:rPr>
        <w:fldChar w:fldCharType="end"/>
      </w:r>
      <w:r w:rsidRPr="007E24C7">
        <w:rPr>
          <w:lang w:val="en-GB"/>
        </w:rPr>
        <w:t>.</w:t>
      </w:r>
      <w:r>
        <w:rPr>
          <w:lang w:val="en-GB"/>
        </w:rPr>
        <w:t xml:space="preserve"> </w:t>
      </w:r>
      <w:r w:rsidRPr="007E24C7">
        <w:rPr>
          <w:lang w:val="en-GB"/>
        </w:rPr>
        <w:t xml:space="preserve">Chemical reaction yield, comparing obtained product to the theoretical maximum, is vital for optimizing reactions and resource use. The complexity stems from numerous reaction variables and challenges linked to the often small and varied data. This complexity escalates with descriptor and </w:t>
      </w:r>
      <w:r w:rsidR="00354932">
        <w:rPr>
          <w:lang w:val="en-GB"/>
        </w:rPr>
        <w:t xml:space="preserve">the choice of </w:t>
      </w:r>
      <w:r w:rsidRPr="007E24C7">
        <w:rPr>
          <w:lang w:val="en-GB"/>
        </w:rPr>
        <w:t>machine learning model,</w:t>
      </w:r>
      <w:r w:rsidR="003F3AFD">
        <w:rPr>
          <w:lang w:val="en-GB"/>
        </w:rPr>
        <w:t xml:space="preserve"> which</w:t>
      </w:r>
      <w:r w:rsidRPr="007E24C7">
        <w:rPr>
          <w:lang w:val="en-GB"/>
        </w:rPr>
        <w:t xml:space="preserve"> directly impact</w:t>
      </w:r>
      <w:r w:rsidR="003F3AFD">
        <w:rPr>
          <w:lang w:val="en-GB"/>
        </w:rPr>
        <w:t>s</w:t>
      </w:r>
      <w:r w:rsidRPr="007E24C7">
        <w:rPr>
          <w:lang w:val="en-GB"/>
        </w:rPr>
        <w:t xml:space="preserve"> accuracy. Attaining high accuracy is </w:t>
      </w:r>
      <w:r w:rsidR="00A72D2B" w:rsidRPr="007E24C7">
        <w:rPr>
          <w:lang w:val="en-GB"/>
        </w:rPr>
        <w:t>essential</w:t>
      </w:r>
      <w:r w:rsidRPr="007E24C7">
        <w:rPr>
          <w:lang w:val="en-GB"/>
        </w:rPr>
        <w:t xml:space="preserve"> in navigating this intricate process.</w:t>
      </w:r>
    </w:p>
    <w:p w14:paraId="4D63614C" w14:textId="54525C53" w:rsidR="007E24C7" w:rsidRPr="007E24C7" w:rsidRDefault="00C1572C" w:rsidP="00317647">
      <w:pPr>
        <w:pStyle w:val="Els-body-text"/>
        <w:spacing w:before="80" w:after="80"/>
        <w:rPr>
          <w:lang w:val="en-GB"/>
        </w:rPr>
      </w:pPr>
      <w:r>
        <w:rPr>
          <w:lang w:val="en-GB"/>
        </w:rPr>
        <w:t>To address</w:t>
      </w:r>
      <w:r w:rsidR="007E24C7" w:rsidRPr="007E24C7">
        <w:rPr>
          <w:lang w:val="en-GB"/>
        </w:rPr>
        <w:t xml:space="preserve"> current challenges in predictive </w:t>
      </w:r>
      <w:r w:rsidR="000A2832" w:rsidRPr="007E24C7">
        <w:rPr>
          <w:lang w:val="en-GB"/>
        </w:rPr>
        <w:t>modelling</w:t>
      </w:r>
      <w:r w:rsidR="007E24C7" w:rsidRPr="007E24C7">
        <w:rPr>
          <w:lang w:val="en-GB"/>
        </w:rPr>
        <w:t>,</w:t>
      </w:r>
      <w:r w:rsidR="00CD1920">
        <w:rPr>
          <w:lang w:val="en-GB"/>
        </w:rPr>
        <w:t xml:space="preserve"> two benchmarks </w:t>
      </w:r>
      <w:r w:rsidR="00D54FF3">
        <w:rPr>
          <w:lang w:val="en-GB"/>
        </w:rPr>
        <w:t xml:space="preserve">have been developed </w:t>
      </w:r>
      <w:r w:rsidR="00D54FF3" w:rsidRPr="007E24C7">
        <w:rPr>
          <w:lang w:val="en-GB"/>
        </w:rPr>
        <w:t>for machine learning in predicting reaction yields</w:t>
      </w:r>
      <w:r w:rsidR="00D004FE">
        <w:rPr>
          <w:lang w:val="en-GB"/>
        </w:rPr>
        <w:t>, namely the works done</w:t>
      </w:r>
      <w:r w:rsidR="00D54FF3">
        <w:rPr>
          <w:lang w:val="en-GB"/>
        </w:rPr>
        <w:t xml:space="preserve"> by </w:t>
      </w:r>
      <w:r w:rsidR="00183E2E">
        <w:rPr>
          <w:lang w:val="en-GB"/>
        </w:rPr>
        <w:fldChar w:fldCharType="begin" w:fldLock="1"/>
      </w:r>
      <w:r w:rsidR="00077541">
        <w:rPr>
          <w:lang w:val="en-GB"/>
        </w:rPr>
        <w:instrText>ADDIN CSL_CITATION {"citationItems":[{"id":"ITEM-1","itemData":{"DOI":"10.1126/science.aar5169","ISSN":"0036-8075","PMID":"29449509","abstract":"Chemists often discover reactions by applying catalysts to a series of simple compounds. Tweaking those reactions to tolerate more structural complexity in pharmaceutical research is time-consuming. Ahneman et al. report that machine learning can help. Using a high-throughput data set, they trained a random forest algorithm to predict which specific palladium catalysts would best tolerate isoxazoles (cyclic structures with an N–O bond) during C–N bond formation. The predictions also helped to guide analysis of the catalyst inhibition mechanism.","author":[{"dropping-particle":"","family":"Ahneman","given":"Derek T.","non-dropping-particle":"","parse-names":false,"suffix":""},{"dropping-particle":"","family":"Estrada","given":"Jesús G.","non-dropping-particle":"","parse-names":false,"suffix":""},{"dropping-particle":"","family":"Lin","given":"Shishi","non-dropping-particle":"","parse-names":false,"suffix":""},{"dropping-particle":"","family":"Dreher","given":"Spencer D.","non-dropping-particle":"","parse-names":false,"suffix":""},{"dropping-particle":"","family":"Doyle","given":"Abigail G.","non-dropping-particle":"","parse-names":false,"suffix":""}],"container-title":"Science","id":"ITEM-1","issue":"6385","issued":{"date-parts":[["2018","4","13"]]},"page":"186-190","publisher":"American Association for the Advancement of Science","title":"Predicting reaction performance in C–N cross-coupling using machine learning","type":"article-journal","volume":"360"},"uris":["http://www.mendeley.com/documents/?uuid=5b3a4946-b977-3ccb-86a1-9950ccfe6a89"]}],"mendeley":{"formattedCitation":"(Ahneman et al., 2018)","manualFormatting":"Ahneman et al., (2018)","plainTextFormattedCitation":"(Ahneman et al., 2018)","previouslyFormattedCitation":"(Ahneman et al., 2018)"},"properties":{"noteIndex":0},"schema":"https://github.com/citation-style-language/schema/raw/master/csl-citation.json"}</w:instrText>
      </w:r>
      <w:r w:rsidR="00183E2E">
        <w:rPr>
          <w:lang w:val="en-GB"/>
        </w:rPr>
        <w:fldChar w:fldCharType="separate"/>
      </w:r>
      <w:r w:rsidR="00183E2E" w:rsidRPr="00183E2E">
        <w:rPr>
          <w:noProof/>
          <w:lang w:val="en-GB"/>
        </w:rPr>
        <w:t xml:space="preserve">Ahneman et al., </w:t>
      </w:r>
      <w:r w:rsidR="00183E2E">
        <w:rPr>
          <w:noProof/>
          <w:lang w:val="en-GB"/>
        </w:rPr>
        <w:t>(</w:t>
      </w:r>
      <w:r w:rsidR="00183E2E" w:rsidRPr="00183E2E">
        <w:rPr>
          <w:noProof/>
          <w:lang w:val="en-GB"/>
        </w:rPr>
        <w:t>2018)</w:t>
      </w:r>
      <w:r w:rsidR="00183E2E">
        <w:rPr>
          <w:lang w:val="en-GB"/>
        </w:rPr>
        <w:fldChar w:fldCharType="end"/>
      </w:r>
      <w:r w:rsidR="007E24C7" w:rsidRPr="007E24C7">
        <w:rPr>
          <w:lang w:val="en-GB"/>
        </w:rPr>
        <w:t xml:space="preserve"> on Buchwald-Hartwig amination and </w:t>
      </w:r>
      <w:r w:rsidR="00183E2E">
        <w:rPr>
          <w:lang w:val="en-GB"/>
        </w:rPr>
        <w:fldChar w:fldCharType="begin" w:fldLock="1"/>
      </w:r>
      <w:r w:rsidR="00FF7AE5">
        <w:rPr>
          <w:lang w:val="en-GB"/>
        </w:rPr>
        <w:instrText>ADDIN CSL_CITATION {"citationItems":[{"id":"ITEM-1","itemData":{"DOI":"10.1126/science.aap9112","ISSN":"0036-8075","PMID":"29371464","abstract":"Chemists charged with manufacturing pharmaceuticals have recently been exploring the efficiency advantages of continuous flow techniques. Perera et al. now show that a flow apparatus can also accelerate reaction optimization earlier in the drug discovery process. They modified a high-performance liquid chromatography system to screen a wide variety of solvent, ligand, and base combinations to optimize carbon-carbon bond formation. Injecting stock solution aliquots of the catalyst and reactants into a carrier solvent stream let the authors vary the main solvent efficiently and scale up the optimal conditions for product isolation.","author":[{"dropping-particle":"","family":"Perera","given":"Damith","non-dropping-particle":"","parse-names":false,"suffix":""},{"dropping-particle":"","family":"Tucker","given":"Joseph W.","non-dropping-particle":"","parse-names":false,"suffix":""},{"dropping-particle":"","family":"Brahmbhatt","given":"Shalini","non-dropping-particle":"","parse-names":false,"suffix":""},{"dropping-particle":"","family":"Helal","given":"Christopher J.","non-dropping-particle":"","parse-names":false,"suffix":""},{"dropping-particle":"","family":"Chong","given":"Ashley","non-dropping-particle":"","parse-names":false,"suffix":""},{"dropping-particle":"","family":"Farrell","given":"William","non-dropping-particle":"","parse-names":false,"suffix":""},{"dropping-particle":"","family":"Richardson","given":"Paul","non-dropping-particle":"","parse-names":false,"suffix":""},{"dropping-particle":"","family":"Sach","given":"Neal W.","non-dropping-particle":"","parse-names":false,"suffix":""}],"container-title":"Science","id":"ITEM-1","issue":"6374","issued":{"date-parts":[["2018","1","26"]]},"page":"429-434","publisher":"American Association for the Advancement of Science","title":"A platform for automated nanomole-scale reaction screening and micromole-scale synthesis in flow","type":"article-journal","volume":"359"},"uris":["http://www.mendeley.com/documents/?uuid=c5d8ab1c-9a76-3de3-b90a-f26a11ba404e"]}],"mendeley":{"formattedCitation":"(Perera et al., 2018)","manualFormatting":"Perera et al., (2018)","plainTextFormattedCitation":"(Perera et al., 2018)","previouslyFormattedCitation":"(Perera et al., 2018)"},"properties":{"noteIndex":0},"schema":"https://github.com/citation-style-language/schema/raw/master/csl-citation.json"}</w:instrText>
      </w:r>
      <w:r w:rsidR="00183E2E">
        <w:rPr>
          <w:lang w:val="en-GB"/>
        </w:rPr>
        <w:fldChar w:fldCharType="separate"/>
      </w:r>
      <w:r w:rsidR="00183E2E" w:rsidRPr="00183E2E">
        <w:rPr>
          <w:noProof/>
          <w:lang w:val="en-GB"/>
        </w:rPr>
        <w:t xml:space="preserve">Perera et al., </w:t>
      </w:r>
      <w:r w:rsidR="00FF7AE5">
        <w:rPr>
          <w:noProof/>
          <w:lang w:val="en-GB"/>
        </w:rPr>
        <w:t>(</w:t>
      </w:r>
      <w:r w:rsidR="00183E2E" w:rsidRPr="00183E2E">
        <w:rPr>
          <w:noProof/>
          <w:lang w:val="en-GB"/>
        </w:rPr>
        <w:t>2018)</w:t>
      </w:r>
      <w:r w:rsidR="00183E2E">
        <w:rPr>
          <w:lang w:val="en-GB"/>
        </w:rPr>
        <w:fldChar w:fldCharType="end"/>
      </w:r>
      <w:r w:rsidR="007E24C7" w:rsidRPr="007E24C7">
        <w:rPr>
          <w:lang w:val="en-GB"/>
        </w:rPr>
        <w:t xml:space="preserve"> on </w:t>
      </w:r>
      <w:r w:rsidR="007E24C7" w:rsidRPr="007E24C7">
        <w:rPr>
          <w:lang w:val="en-GB"/>
        </w:rPr>
        <w:lastRenderedPageBreak/>
        <w:t>Suzuki-</w:t>
      </w:r>
      <w:proofErr w:type="spellStart"/>
      <w:r w:rsidR="007E24C7" w:rsidRPr="007E24C7">
        <w:rPr>
          <w:lang w:val="en-GB"/>
        </w:rPr>
        <w:t>Miyaura</w:t>
      </w:r>
      <w:proofErr w:type="spellEnd"/>
      <w:r w:rsidR="007E24C7" w:rsidRPr="007E24C7">
        <w:rPr>
          <w:lang w:val="en-GB"/>
        </w:rPr>
        <w:t xml:space="preserve"> coupling. The Buchwald-Hartwig dataset was evaluated using various models, </w:t>
      </w:r>
      <w:r w:rsidR="002C54B3">
        <w:rPr>
          <w:lang w:val="en-GB"/>
        </w:rPr>
        <w:t>among which</w:t>
      </w:r>
      <w:r w:rsidR="007E24C7" w:rsidRPr="007E24C7">
        <w:rPr>
          <w:lang w:val="en-GB"/>
        </w:rPr>
        <w:t xml:space="preserve"> Random Forest</w:t>
      </w:r>
      <w:r w:rsidR="007B6540">
        <w:rPr>
          <w:lang w:val="en-GB"/>
        </w:rPr>
        <w:t>s (RFs)</w:t>
      </w:r>
      <w:r w:rsidR="007E24C7" w:rsidRPr="007E24C7">
        <w:rPr>
          <w:lang w:val="en-GB"/>
        </w:rPr>
        <w:t xml:space="preserve"> demonstrating the best performance. Descriptors' impact was explored through one-hot encoding and random features, affirming the models' capabilities </w:t>
      </w:r>
      <w:r w:rsidR="00FF7AE5">
        <w:rPr>
          <w:lang w:val="en-GB"/>
        </w:rPr>
        <w:fldChar w:fldCharType="begin" w:fldLock="1"/>
      </w:r>
      <w:r w:rsidR="00932225">
        <w:rPr>
          <w:lang w:val="en-GB"/>
        </w:rPr>
        <w:instrText>ADDIN CSL_CITATION {"citationItems":[{"id":"ITEM-1","itemData":{"DOI":"10.1126/science.aat8603","ISSN":"0036-8075","PMID":"30442776","abstract":"Ahneman et al . (Reports, 13 April 2018) applied machine learning models to predict C–N cross-coupling reaction yields. The models use atomic, electronic, and vibrational descriptors as input features. However, the experimental design is insufficient to distinguish models trained on chemical features from those trained solely on random-valued features in retrospective and prospective test scenarios, thus failing classical controls in machine learning.","author":[{"dropping-particle":"V.","family":"Chuang","given":"Kangway","non-dropping-particle":"","parse-names":false,"suffix":""},{"dropping-particle":"","family":"Keiser","given":"Michael J.","non-dropping-particle":"","parse-names":false,"suffix":""}],"container-title":"Science","id":"ITEM-1","issue":"6416","issued":{"date-parts":[["2018","11","16"]]},"page":"589-604","publisher":"American Association for the Advancement of Science","title":"Comment on “Predicting reaction performance in C–N cross-coupling using machine learning”","type":"article-journal","volume":"362"},"uris":["http://www.mendeley.com/documents/?uuid=e3adf13e-2024-3b34-8464-487e6c92e68e"]}],"mendeley":{"formattedCitation":"(Chuang and Keiser, 2018)","plainTextFormattedCitation":"(Chuang and Keiser, 2018)","previouslyFormattedCitation":"(Chuang and Keiser, 2018)"},"properties":{"noteIndex":0},"schema":"https://github.com/citation-style-language/schema/raw/master/csl-citation.json"}</w:instrText>
      </w:r>
      <w:r w:rsidR="00FF7AE5">
        <w:rPr>
          <w:lang w:val="en-GB"/>
        </w:rPr>
        <w:fldChar w:fldCharType="separate"/>
      </w:r>
      <w:r w:rsidR="00077541" w:rsidRPr="00077541">
        <w:rPr>
          <w:noProof/>
          <w:lang w:val="en-GB"/>
        </w:rPr>
        <w:t>(Chuang and Keiser, 2018)</w:t>
      </w:r>
      <w:r w:rsidR="00FF7AE5">
        <w:rPr>
          <w:lang w:val="en-GB"/>
        </w:rPr>
        <w:fldChar w:fldCharType="end"/>
      </w:r>
      <w:r w:rsidR="00FF7AE5">
        <w:rPr>
          <w:lang w:val="en-GB"/>
        </w:rPr>
        <w:t>.</w:t>
      </w:r>
      <w:r w:rsidR="00A72D2B">
        <w:rPr>
          <w:lang w:val="en-GB"/>
        </w:rPr>
        <w:t xml:space="preserve"> </w:t>
      </w:r>
      <w:r w:rsidR="007E24C7" w:rsidRPr="007E24C7">
        <w:rPr>
          <w:lang w:val="en-GB"/>
        </w:rPr>
        <w:t>For the Suzuki-</w:t>
      </w:r>
      <w:proofErr w:type="spellStart"/>
      <w:r w:rsidR="007E24C7" w:rsidRPr="007E24C7">
        <w:rPr>
          <w:lang w:val="en-GB"/>
        </w:rPr>
        <w:t>Miyaura</w:t>
      </w:r>
      <w:proofErr w:type="spellEnd"/>
      <w:r w:rsidR="007E24C7" w:rsidRPr="007E24C7">
        <w:rPr>
          <w:lang w:val="en-GB"/>
        </w:rPr>
        <w:t xml:space="preserve"> dataset, a two-layer Neural Network, trained with one-hot encoding, predicted high yields with a </w:t>
      </w:r>
      <w:r w:rsidR="009A3114">
        <w:rPr>
          <w:lang w:val="en-GB"/>
        </w:rPr>
        <w:t>subset</w:t>
      </w:r>
      <w:r w:rsidR="007E24C7" w:rsidRPr="007E24C7">
        <w:rPr>
          <w:lang w:val="en-GB"/>
        </w:rPr>
        <w:t xml:space="preserve"> of the data </w:t>
      </w:r>
      <w:r w:rsidR="00FF7AE5">
        <w:rPr>
          <w:lang w:val="en-GB"/>
        </w:rPr>
        <w:fldChar w:fldCharType="begin" w:fldLock="1"/>
      </w:r>
      <w:r w:rsidR="00FF7AE5">
        <w:rPr>
          <w:lang w:val="en-GB"/>
        </w:rPr>
        <w:instrText>ADDIN CSL_CITATION {"citationItems":[{"id":"ITEM-1","itemData":{"DOI":"10.1038/s41586-018-0307-8","ISSN":"0028-0836","PMID":"30022133","abstract":"The discovery of chemical reactions is an inherently unpredictable and time-consuming process1. An attractive alternative is to predict reactivity, although relevant approaches, such as computer-aided reaction design, are still in their infancy2. Reaction prediction based on high-level quantum chemical methods is complex3, even for simple molecules. Although&amp;nbsp;machine learning is powerful for data analysis4,5, its applications in chemistry are still being developed6. Inspired by strategies based on chemists’ intuition7, we propose that a reaction system controlled by a machine learning algorithm may be able to explore the space of chemical reactions quickly, especially if trained by an expert8. Here we present an organic synthesis robot that can perform chemical reactions and analysis faster than they can be performed manually, as well as predict the reactivity of possible reagent combinations after conducting a small number of experiments, thus effectively navigating chemical reaction space. By using machine learning for decision making, enabled by binary encoding of the chemical inputs, the reactions can be assessed in real time using nuclear magnetic resonance and infrared spectroscopy. The machine learning system was able to predict the reactivity of about 1,000 reaction combinations with accuracy greater than 80 per cent after considering the outcomes of slightly over 10 per cent of the dataset. This approach was also used to calculate the reactivity of published datasets. Further, by using real-time data from our robot, these predictions were followed up manually by a chemist, leading to the discovery of four reactions. A robot i</w:instrText>
      </w:r>
      <w:r w:rsidR="00FF7AE5" w:rsidRPr="00C61791">
        <w:rPr>
          <w:lang w:val="fr-FR"/>
        </w:rPr>
        <w:instrText>nstructed by a machine learning algorithm and coupled with real-time spectroscopic systems provides fast and accurate reaction outcome predictions and reactivity assessments, leading to the discovery of new reactions.","author":[{"dropping-particle":"","family":"Granda","given":"Jarosław M.","non-dropping-particle":"","parse-names":false,"suffix":""},{"dropping-particle":"","family":"Donina","given":"Liva","non-dropping-particle":"","parse-names":false,"suffix":""},{"dropping-particle":"","family":"Dragone","given":"Vincenza","non-dropping-particle":"","parse-names":false,"suffix":""},{"dropping-particle":"","family":"Long","given":"De-Liang","non-dropping-particle":"","parse-names":false,"suffix":""},{"dropping-particle":"","family":"Cronin","given":"Leroy","non-dropping-particle":"","parse-names":false,"suffix":""}],"container-title":"Nature","id":"ITEM-1","issue":"7714","issued":{"date-parts":[["2018","7","18"]]},"page":"377-381","publisher":"Nature Publishing Group","title":"Controlling an organic synthesis robot with machine learning to search for new reactivity","type":"article-journal","volume":"559"},"uris":["http://www.mendeley.com/documents/?uuid=fc120a6f-5991-364a-b5cd-67279c548526"]}],"mendeley":{"formattedCitation":"(Granda et al., 2018)","plainTextFormattedCitation":"(Granda et al., 2018)","previouslyFormattedCitation":"(Granda et al., 2018)"},"properties":{"noteIndex":0},"schema":"https://github.com/citation-style-language/schema/raw/master/csl-citation.json"}</w:instrText>
      </w:r>
      <w:r w:rsidR="00FF7AE5">
        <w:rPr>
          <w:lang w:val="en-GB"/>
        </w:rPr>
        <w:fldChar w:fldCharType="separate"/>
      </w:r>
      <w:r w:rsidR="00FF7AE5" w:rsidRPr="00C61791">
        <w:rPr>
          <w:noProof/>
          <w:lang w:val="fr-FR"/>
        </w:rPr>
        <w:t>(Granda et al., 2018)</w:t>
      </w:r>
      <w:r w:rsidR="00FF7AE5">
        <w:rPr>
          <w:lang w:val="en-GB"/>
        </w:rPr>
        <w:fldChar w:fldCharType="end"/>
      </w:r>
      <w:r w:rsidR="00FF7AE5" w:rsidRPr="00C61791">
        <w:rPr>
          <w:lang w:val="fr-FR"/>
        </w:rPr>
        <w:t>.</w:t>
      </w:r>
      <w:r w:rsidR="00054E7A">
        <w:rPr>
          <w:lang w:val="en-GB"/>
        </w:rPr>
        <w:fldChar w:fldCharType="begin" w:fldLock="1"/>
      </w:r>
      <w:r w:rsidR="00806C15" w:rsidRPr="00C61791">
        <w:rPr>
          <w:lang w:val="fr-FR"/>
        </w:rPr>
        <w:instrText>ADDIN CSL_CITATION {"citationItems":[{"id":"ITEM-1","itemData":{"DOI":"10.1088/2632-2153/abc81d","ISSN":"2632-2153","abstract":"Artificial intelligence is driving one of the most important revolutions in organic chemistry. Multiple platforms, including tools for reaction prediction and synthesis planning based on machine learning, have successfully become part of the organic chemists’ daily laboratory, assisting in domain-specific synthetic problems. Unlike reaction prediction and retrosynthetic models, the prediction of reaction yields has received less attention in spite of the enormous potential of accurately predicting reaction conversion rates. Reaction yields models, describing the percentage of the reactants converted to the desired products, could guide chemists and help them select high-yielding reactions and score synthesis routes, reducing the number of attempts. So far, yield predictions have been predominantly performed for high-throughput experiments using a categorical (one-hot) encoding of reactants, concatenated molecular fingerprints, or computed chemical descriptors. Here, we extend the application of natural language processing architectures to predict reaction properties given a text-based representation of the reaction, using an encoder transformer model combined with a regression layer. We demonstrate outstanding prediction performance on two high-throughput experiment reactions sets. An analysis of the yields reported in the open-source USPTO data set shows that their distribution differs depending on the mass scale, limiting the data set applicability in reaction yields predictions.","author":[{"dropping-particle":"","family":"Schwaller","given":"Philippe","non-dropping-particle":"","parse-names":false,"suffix":""},{"dropping-particle":"","family":"Vaucher","given":"Alain C","non-dropping-particle":"","parse-names":false,"suffix":""},{"dropping-particle":"","family":"Laino","given":"Teodoro","non-dropping-particle":"","parse-names":false,"suffix":""},{"dropping-particle":"","family":"Reymond","given":"Jean-Louis","non-dropping-particle":"","parse-names":false,"suffix":""}],"container-title":"Machine Learning: Science and Technology","id":"ITEM-1","issue":"1","issued":{"date-parts":[["2021","3","1"]]},"page":"015016","publisher":"IOP Publishing","title":"Prediction of chemical reaction yields using deep learning","type":"article-journal","volume":"2"},"uris":["http://www.mendeley.com/documents/?uuid=72a7314f-4a33-37b4-8f7a-9c69e46ea359"]}],"mendeley":{"formattedCitation":"(Schwaller et al., 2021)","manualFormatting":" Schwaller et al. (2021)","plainTextFormattedCitation":"(Schwaller et al., 2021)","previouslyFormattedCitation":"(Schwaller et al., 2021)"},"properties":{"noteIndex":0},"schema":"https://github.com/citation-style-language/schema/raw/master/csl-citation.json"}</w:instrText>
      </w:r>
      <w:r w:rsidR="00054E7A">
        <w:rPr>
          <w:lang w:val="en-GB"/>
        </w:rPr>
        <w:fldChar w:fldCharType="separate"/>
      </w:r>
      <w:r w:rsidR="00806C15" w:rsidRPr="00C61791">
        <w:rPr>
          <w:noProof/>
          <w:lang w:val="fr-FR"/>
        </w:rPr>
        <w:t xml:space="preserve"> </w:t>
      </w:r>
      <w:r w:rsidR="00054E7A" w:rsidRPr="00C61791">
        <w:rPr>
          <w:noProof/>
          <w:lang w:val="fr-FR"/>
        </w:rPr>
        <w:t xml:space="preserve">Schwaller et al. </w:t>
      </w:r>
      <w:r w:rsidR="00806C15" w:rsidRPr="0056032F">
        <w:rPr>
          <w:noProof/>
          <w:lang w:val="fr-FR"/>
        </w:rPr>
        <w:t>(</w:t>
      </w:r>
      <w:r w:rsidR="00054E7A" w:rsidRPr="0056032F">
        <w:rPr>
          <w:noProof/>
          <w:lang w:val="fr-FR"/>
        </w:rPr>
        <w:t>2021)</w:t>
      </w:r>
      <w:r w:rsidR="00054E7A">
        <w:rPr>
          <w:lang w:val="en-GB"/>
        </w:rPr>
        <w:fldChar w:fldCharType="end"/>
      </w:r>
      <w:r w:rsidR="007E24C7" w:rsidRPr="0056032F">
        <w:rPr>
          <w:lang w:val="fr-FR"/>
        </w:rPr>
        <w:t xml:space="preserve"> </w:t>
      </w:r>
      <w:proofErr w:type="spellStart"/>
      <w:r w:rsidR="007E24C7" w:rsidRPr="0056032F">
        <w:rPr>
          <w:lang w:val="fr-FR"/>
        </w:rPr>
        <w:t>used</w:t>
      </w:r>
      <w:proofErr w:type="spellEnd"/>
      <w:r w:rsidR="007E24C7" w:rsidRPr="0056032F">
        <w:rPr>
          <w:lang w:val="fr-FR"/>
        </w:rPr>
        <w:t xml:space="preserve"> </w:t>
      </w:r>
      <w:r w:rsidR="00DC4477" w:rsidRPr="0056032F">
        <w:rPr>
          <w:lang w:val="fr-FR"/>
        </w:rPr>
        <w:t xml:space="preserve">Natural </w:t>
      </w:r>
      <w:proofErr w:type="spellStart"/>
      <w:r w:rsidR="00DC4477" w:rsidRPr="0056032F">
        <w:rPr>
          <w:lang w:val="fr-FR"/>
        </w:rPr>
        <w:t>Language</w:t>
      </w:r>
      <w:proofErr w:type="spellEnd"/>
      <w:r w:rsidR="00DC4477" w:rsidRPr="0056032F">
        <w:rPr>
          <w:lang w:val="fr-FR"/>
        </w:rPr>
        <w:t xml:space="preserve"> </w:t>
      </w:r>
      <w:proofErr w:type="spellStart"/>
      <w:r w:rsidR="00DC4477" w:rsidRPr="0056032F">
        <w:rPr>
          <w:lang w:val="fr-FR"/>
        </w:rPr>
        <w:t>Processing</w:t>
      </w:r>
      <w:proofErr w:type="spellEnd"/>
      <w:r w:rsidR="00DC4477" w:rsidRPr="0056032F">
        <w:rPr>
          <w:lang w:val="fr-FR"/>
        </w:rPr>
        <w:t xml:space="preserve"> (</w:t>
      </w:r>
      <w:r w:rsidR="007E24C7" w:rsidRPr="0056032F">
        <w:rPr>
          <w:lang w:val="fr-FR"/>
        </w:rPr>
        <w:t>NLP</w:t>
      </w:r>
      <w:r w:rsidR="00DC4477" w:rsidRPr="0056032F">
        <w:rPr>
          <w:lang w:val="fr-FR"/>
        </w:rPr>
        <w:t>)</w:t>
      </w:r>
      <w:r w:rsidR="007E24C7" w:rsidRPr="0056032F">
        <w:rPr>
          <w:lang w:val="fr-FR"/>
        </w:rPr>
        <w:t xml:space="preserve"> </w:t>
      </w:r>
      <w:proofErr w:type="spellStart"/>
      <w:r w:rsidR="007E24C7" w:rsidRPr="0056032F">
        <w:rPr>
          <w:lang w:val="fr-FR"/>
        </w:rPr>
        <w:t>models</w:t>
      </w:r>
      <w:proofErr w:type="spellEnd"/>
      <w:r w:rsidR="007E24C7" w:rsidRPr="0056032F">
        <w:rPr>
          <w:lang w:val="fr-FR"/>
        </w:rPr>
        <w:t xml:space="preserve"> and SMILES </w:t>
      </w:r>
      <w:proofErr w:type="spellStart"/>
      <w:r w:rsidR="007E24C7" w:rsidRPr="0056032F">
        <w:rPr>
          <w:lang w:val="fr-FR"/>
        </w:rPr>
        <w:t>representations</w:t>
      </w:r>
      <w:proofErr w:type="spellEnd"/>
      <w:r w:rsidR="007E24C7" w:rsidRPr="0056032F">
        <w:rPr>
          <w:lang w:val="fr-FR"/>
        </w:rPr>
        <w:t xml:space="preserve"> to train </w:t>
      </w:r>
      <w:proofErr w:type="spellStart"/>
      <w:r w:rsidR="007E24C7" w:rsidRPr="0056032F">
        <w:rPr>
          <w:lang w:val="fr-FR"/>
        </w:rPr>
        <w:t>a</w:t>
      </w:r>
      <w:proofErr w:type="spellEnd"/>
      <w:r w:rsidR="007E24C7" w:rsidRPr="0056032F">
        <w:rPr>
          <w:lang w:val="fr-FR"/>
        </w:rPr>
        <w:t xml:space="preserve"> transformer model (BERT), </w:t>
      </w:r>
      <w:proofErr w:type="spellStart"/>
      <w:r w:rsidR="007E24C7" w:rsidRPr="0056032F">
        <w:rPr>
          <w:lang w:val="fr-FR"/>
        </w:rPr>
        <w:t>outperforming</w:t>
      </w:r>
      <w:proofErr w:type="spellEnd"/>
      <w:r w:rsidR="007E24C7" w:rsidRPr="0056032F">
        <w:rPr>
          <w:lang w:val="fr-FR"/>
        </w:rPr>
        <w:t xml:space="preserve"> RF </w:t>
      </w:r>
      <w:proofErr w:type="spellStart"/>
      <w:r w:rsidR="007E24C7" w:rsidRPr="0056032F">
        <w:rPr>
          <w:lang w:val="fr-FR"/>
        </w:rPr>
        <w:t>models</w:t>
      </w:r>
      <w:proofErr w:type="spellEnd"/>
      <w:r w:rsidR="007E24C7" w:rsidRPr="0056032F">
        <w:rPr>
          <w:lang w:val="fr-FR"/>
        </w:rPr>
        <w:t xml:space="preserve"> on the </w:t>
      </w:r>
      <w:proofErr w:type="spellStart"/>
      <w:r w:rsidR="007E24C7" w:rsidRPr="0056032F">
        <w:rPr>
          <w:lang w:val="fr-FR"/>
        </w:rPr>
        <w:t>Buchwald-Hartwig</w:t>
      </w:r>
      <w:proofErr w:type="spellEnd"/>
      <w:r w:rsidR="007E24C7" w:rsidRPr="0056032F">
        <w:rPr>
          <w:lang w:val="fr-FR"/>
        </w:rPr>
        <w:t xml:space="preserve"> </w:t>
      </w:r>
      <w:proofErr w:type="spellStart"/>
      <w:r w:rsidR="007E24C7" w:rsidRPr="0056032F">
        <w:rPr>
          <w:lang w:val="fr-FR"/>
        </w:rPr>
        <w:t>Dataset</w:t>
      </w:r>
      <w:proofErr w:type="spellEnd"/>
      <w:r w:rsidR="007E24C7" w:rsidRPr="0056032F">
        <w:rPr>
          <w:lang w:val="fr-FR"/>
        </w:rPr>
        <w:t xml:space="preserve"> and </w:t>
      </w:r>
      <w:proofErr w:type="spellStart"/>
      <w:r w:rsidR="007E24C7" w:rsidRPr="0056032F">
        <w:rPr>
          <w:lang w:val="fr-FR"/>
        </w:rPr>
        <w:t>showing</w:t>
      </w:r>
      <w:proofErr w:type="spellEnd"/>
      <w:r w:rsidR="007E24C7" w:rsidRPr="0056032F">
        <w:rPr>
          <w:lang w:val="fr-FR"/>
        </w:rPr>
        <w:t xml:space="preserve"> comparable </w:t>
      </w:r>
      <w:proofErr w:type="spellStart"/>
      <w:r w:rsidR="007E24C7" w:rsidRPr="0056032F">
        <w:rPr>
          <w:lang w:val="fr-FR"/>
        </w:rPr>
        <w:t>results</w:t>
      </w:r>
      <w:proofErr w:type="spellEnd"/>
      <w:r w:rsidR="007E24C7" w:rsidRPr="0056032F">
        <w:rPr>
          <w:lang w:val="fr-FR"/>
        </w:rPr>
        <w:t xml:space="preserve"> on Suzuki-</w:t>
      </w:r>
      <w:proofErr w:type="spellStart"/>
      <w:r w:rsidR="007E24C7" w:rsidRPr="0056032F">
        <w:rPr>
          <w:lang w:val="fr-FR"/>
        </w:rPr>
        <w:t>Miyaura</w:t>
      </w:r>
      <w:proofErr w:type="spellEnd"/>
      <w:r w:rsidR="007E24C7" w:rsidRPr="0056032F">
        <w:rPr>
          <w:lang w:val="fr-FR"/>
        </w:rPr>
        <w:t>.</w:t>
      </w:r>
      <w:r w:rsidR="00E97F84" w:rsidRPr="0056032F">
        <w:rPr>
          <w:lang w:val="fr-FR"/>
        </w:rPr>
        <w:t xml:space="preserve"> </w:t>
      </w:r>
      <w:r w:rsidR="007E24C7" w:rsidRPr="007E24C7">
        <w:rPr>
          <w:lang w:val="en-GB"/>
        </w:rPr>
        <w:t xml:space="preserve">Graph Neural Networks (GNNs) introduced a new dimension, with </w:t>
      </w:r>
      <w:proofErr w:type="spellStart"/>
      <w:r w:rsidR="007E24C7" w:rsidRPr="007E24C7">
        <w:rPr>
          <w:lang w:val="en-GB"/>
        </w:rPr>
        <w:t>YieldGNN</w:t>
      </w:r>
      <w:proofErr w:type="spellEnd"/>
      <w:r w:rsidR="00260222">
        <w:rPr>
          <w:lang w:val="en-GB"/>
        </w:rPr>
        <w:t xml:space="preserve"> </w:t>
      </w:r>
      <w:r w:rsidR="00751FAC">
        <w:rPr>
          <w:lang w:val="en-GB"/>
        </w:rPr>
        <w:fldChar w:fldCharType="begin" w:fldLock="1"/>
      </w:r>
      <w:r w:rsidR="00260222">
        <w:rPr>
          <w:lang w:val="en-GB"/>
        </w:rPr>
        <w:instrText>ADDIN CSL_CITATION {"citationItems":[{"id":"ITEM-1","itemData":{"DOI":"10.1039/d2sc06041h","ISSN":"20416539","abstract":"The lack of publicly available, large, and unbiased datasets is a key bottleneck for the application of machine learning (ML) methods in synthetic chemistry. Data from electronic laboratory notebooks (ELNs) could provide less biased, large datasets, but no such datasets have been made publicly available. The first real-world dataset from the ELNs of a large pharmaceutical company is disclosed and its relationship to high-throughput experimentation (HTE) datasets is described. For chemical yield predictions, a key task in chemical synthesis, an attributed graph neural network (AGNN) performs as well as or better than the best previous models on two HTE datasets for the Suzuki-Miyaura and Buchwald-Hartwig reactions. However, training the AGNN on an ELN dataset does not lead to a predictive model. The implications of using ELN data for training ML-based models are discussed in the context of yield predictions.","author":[{"dropping-particle":"","family":"Saebi","given":"Mandana","non-dropping-particle":"","parse-names":false,"suffix":""},{"dropping-particle":"","family":"Nan","given":"Bozhao","non-dropping-particle":"","parse-names":false,"suffix":""},{"dropping-particle":"","family":"Herr","given":"John E.","non-dropping-particle":"","parse-names":false,"suffix":""},{"dropping-particle":"","family":"Wahlers","given":"Jessica","non-dropping-particle":"","parse-names":false,"suffix":""},{"dropping-particle":"","family":"Guo","given":"Zhichun","non-dropping-particle":"","parse-names":false,"suffix":""},{"dropping-particle":"","family":"Zurański","given":"Andrzej M.","non-dropping-particle":"","parse-names":false,"suffix":""},{"dropping-particle":"","family":"Kogej","given":"Thierry","non-dropping-particle":"","parse-names":false,"suffix":""},{"dropping-particle":"","family":"Norrby","given":"Per Ola","non-dropping-particle":"","parse-names":false,"suffix":""},{"dropping-particle":"","family":"Doyle","given":"Abigail G.","non-dropping-particle":"","parse-names":false,"suffix":""},{"dropping-particle":"V.","family":"Chawla","given":"Nitesh","non-dropping-particle":"","parse-names":false,"suffix":""},{"dropping-particle":"","family":"Wiest","given":"Olaf","non-dropping-particle":"","parse-names":false,"suffix":""}],"container-title":"Chemical Science","id":"ITEM-1","issue":"19","issued":{"date-parts":[["2023","5","17"]]},"page":"4997-5005","publisher":"The Royal Society of Chemistry","title":"On the use of real-world datasets for reaction yield prediction","type":"article-journal","volume":"14"},"uris":["http://www.mendeley.com/documents/?uuid=b8b804bb-1a84-3b7b-b44a-48759533ca5f"]}],"mendeley":{"formattedCitation":"(Saebi et al., 2023)","plainTextFormattedCitation":"(Saebi et al., 2023)","previouslyFormattedCitation":"(Saebi et al., 2023)"},"properties":{"noteIndex":0},"schema":"https://github.com/citation-style-language/schema/raw/master/csl-citation.json"}</w:instrText>
      </w:r>
      <w:r w:rsidR="00751FAC">
        <w:rPr>
          <w:lang w:val="en-GB"/>
        </w:rPr>
        <w:fldChar w:fldCharType="separate"/>
      </w:r>
      <w:r w:rsidR="00751FAC" w:rsidRPr="00751FAC">
        <w:rPr>
          <w:noProof/>
          <w:lang w:val="en-GB"/>
        </w:rPr>
        <w:t>(Saebi et al., 2023)</w:t>
      </w:r>
      <w:r w:rsidR="00751FAC">
        <w:rPr>
          <w:lang w:val="en-GB"/>
        </w:rPr>
        <w:fldChar w:fldCharType="end"/>
      </w:r>
      <w:r w:rsidR="007E24C7" w:rsidRPr="007E24C7">
        <w:rPr>
          <w:lang w:val="en-GB"/>
        </w:rPr>
        <w:t xml:space="preserve"> outperforming BERT and RF models. A GNN with permutation invariance processing </w:t>
      </w:r>
      <w:r w:rsidR="00260222">
        <w:rPr>
          <w:lang w:val="en-GB"/>
        </w:rPr>
        <w:fldChar w:fldCharType="begin" w:fldLock="1"/>
      </w:r>
      <w:r w:rsidR="00260222">
        <w:rPr>
          <w:lang w:val="en-GB"/>
        </w:rPr>
        <w:instrText>ADDIN CSL_CITATION {"citationItems":[{"id":"ITEM-1","itemData":{"DOI":"10.1186/s13321-021-00579-z","ISSN":"17582946","abstract":"In this paper, we present a data-driven method for the uncertainty-aware prediction of chemical reaction yields. The reactants and products in a chemical reaction are represented as a set of molecular graphs. The predictive distribution of the yield is modeled as a graph neural network that directly processes a set of graphs with permutation invariance. Uncertainty-aware learning and inference are applied to the model to make accurate predictions and to evaluate their uncertainty. We demonstrate the effectiveness of the proposed method on benchmark datasets with various settings. Compared to the existing methods, the proposed method improves the prediction and uncertainty quantification performance in most settings.","author":[{"dropping-particle":"","family":"Kwon","given":"Youngchun","non-dropping-particle":"","parse-names":false,"suffix":""},{"dropping-particle":"","family":"Lee","given":"Dongseon","non-dropping-particle":"","parse-names":false,"suffix":""},{"dropping-particle":"","family":"Choi","given":"Youn Suk","non-dropping-particle":"","parse-names":false,"suffix":""},{"dropping-particle":"","family":"Kang","given":"Seokho","non-dropping-particle":"","parse-names":false,"suffix":""}],"container-title":"Journal of Cheminformatics","id":"ITEM-1","issue":"1","issued":{"date-parts":[["2022","12","10"]]},"page":"2","publisher":"BioMed Central Ltd","title":"Uncertainty-aware prediction of chemical reaction yields with graph neural networks","type":"article-journal","volume":"14"},"uris":["http://www.mendeley.com/documents/?uuid=020d0b51-edc5-3169-bbe7-05754e26c780"]}],"mendeley":{"formattedCitation":"(Kwon et al., 2022)","plainTextFormattedCitation":"(Kwon et al., 2022)","previouslyFormattedCitation":"(Kwon et al., 2022)"},"properties":{"noteIndex":0},"schema":"https://github.com/citation-style-language/schema/raw/master/csl-citation.json"}</w:instrText>
      </w:r>
      <w:r w:rsidR="00260222">
        <w:rPr>
          <w:lang w:val="en-GB"/>
        </w:rPr>
        <w:fldChar w:fldCharType="separate"/>
      </w:r>
      <w:r w:rsidR="00260222" w:rsidRPr="00260222">
        <w:rPr>
          <w:noProof/>
          <w:lang w:val="en-GB"/>
        </w:rPr>
        <w:t>(Kwon et al., 2022)</w:t>
      </w:r>
      <w:r w:rsidR="00260222">
        <w:rPr>
          <w:lang w:val="en-GB"/>
        </w:rPr>
        <w:fldChar w:fldCharType="end"/>
      </w:r>
      <w:r w:rsidR="00260222">
        <w:rPr>
          <w:lang w:val="en-GB"/>
        </w:rPr>
        <w:t xml:space="preserve"> </w:t>
      </w:r>
      <w:r w:rsidR="002D4486" w:rsidRPr="002242DC">
        <w:rPr>
          <w:lang w:val="en-GB"/>
        </w:rPr>
        <w:t>outperformed both BERT and its data-augmented version, providing superior yield predictions along with uncertainty estimation.</w:t>
      </w:r>
    </w:p>
    <w:p w14:paraId="78987B7F" w14:textId="0499B784" w:rsidR="007E24C7" w:rsidRPr="007E24C7" w:rsidRDefault="007E24C7" w:rsidP="00317647">
      <w:pPr>
        <w:pStyle w:val="Els-body-text"/>
        <w:spacing w:before="80" w:after="80"/>
        <w:rPr>
          <w:lang w:val="en-GB"/>
        </w:rPr>
      </w:pPr>
      <w:r w:rsidRPr="007E24C7">
        <w:rPr>
          <w:lang w:val="en-GB"/>
        </w:rPr>
        <w:t>Graph Neural Networks (GNNs) excel in capturing molecular relationships for superior predictive performance. However, there</w:t>
      </w:r>
      <w:r w:rsidR="006D3E1A">
        <w:rPr>
          <w:lang w:val="en-GB"/>
        </w:rPr>
        <w:t xml:space="preserve"> is</w:t>
      </w:r>
      <w:r w:rsidRPr="007E24C7">
        <w:rPr>
          <w:lang w:val="en-GB"/>
        </w:rPr>
        <w:t xml:space="preserve"> an opportunity to enhance predictions further with additional machine learning (ML) models using non-structural descriptors, especially for small datasets like Suzuki-</w:t>
      </w:r>
      <w:proofErr w:type="spellStart"/>
      <w:r w:rsidRPr="007E24C7">
        <w:rPr>
          <w:lang w:val="en-GB"/>
        </w:rPr>
        <w:t>Miyaura</w:t>
      </w:r>
      <w:proofErr w:type="spellEnd"/>
      <w:r w:rsidRPr="007E24C7">
        <w:rPr>
          <w:lang w:val="en-GB"/>
        </w:rPr>
        <w:t xml:space="preserve">. A promising approach is exploring GPs as non-parametric probabilistic models, known for </w:t>
      </w:r>
      <w:r w:rsidR="006A1F33" w:rsidRPr="007E24C7">
        <w:rPr>
          <w:lang w:val="en-GB"/>
        </w:rPr>
        <w:t>modelling</w:t>
      </w:r>
      <w:r w:rsidRPr="007E24C7">
        <w:rPr>
          <w:lang w:val="en-GB"/>
        </w:rPr>
        <w:t xml:space="preserve"> complex relationships and uncertainties, particularly in scenarios with limited data availability</w:t>
      </w:r>
      <w:r w:rsidR="00057922">
        <w:rPr>
          <w:lang w:val="en-GB"/>
        </w:rPr>
        <w:t xml:space="preserve"> </w:t>
      </w:r>
      <w:r w:rsidR="006A1F33">
        <w:rPr>
          <w:lang w:val="en-GB"/>
        </w:rPr>
        <w:fldChar w:fldCharType="begin" w:fldLock="1"/>
      </w:r>
      <w:r w:rsidR="00B10C22">
        <w:rPr>
          <w:lang w:val="en-GB"/>
        </w:rPr>
        <w:instrText>ADDIN CSL_CITATION {"citationItems":[{"id":"ITEM-1","itemData":{"DOI":"10.1007/978-3-540-28650-9_4/COVER","ISSN":"16113349","abstract":"We give a basic introduction to Gaussian Process regression models. We focus on understanding the role of the stochastic process and how it is used to define a distribution over functions. We present the simple equations for incorporating training data and examine how to learn the hyperparameters using the marginal likelihood. We explain the practical advantages of Gaussian Process and end with conclusions and a look at the current trends in GP work. © Springer-Verlag 2004.","author":[{"dropping-particle":"","family":"Rasmussen","given":"Carl Edward","non-dropping-particle":"","parse-names":false,"suffix":""}],"container-title":"Lecture Notes in Computer Science (including subseries Lecture Notes in Artificial Intelligence and Lecture Notes in Bioinformatics)","id":"ITEM-1","issued":{"date-parts":[["2004"]]},"page":"63-71","publisher":"Springer Verlag","title":"Gaussian Processes in machine learning","type":"article-journal","volume":"3176"},"uris":["http://www.mendeley.com/documents/?uuid=a398dea4-db3f-3411-baa2-3abe018f7971"]},{"id":"ITEM-2","itemData":{"DOI":"10.1038/s41586-021-03213-y","ISSN":"0028-0836","PMID":"33536653","abstract":"Reaction optimization is fundamental to synthetic chemistry, from optimizing the yield of industrial processes to selecting conditions for the preparation of medicinal candidates1. Likewise, parameter optimization is omnipresent in artificial intelligence, from tuning virtual personal assistants to training social media and product recommendation systems2. Owing to the high cost associated with carrying out experiments, scientists in both areas set numerous (hyper)parameter values by evaluating only a small subset of the possible configurations. Bayesian optimization, an iterative response surface-based global optimization algorithm, has demonstrated exceptional performance in the tuning of machine learning models3. Bayesian optimization has also been recently applied in chemistry4–9; however, its application and assessment for reaction optimization in synthetic chemistry has not been investigated. Here we report the development of a framework for Bayesian reaction optimization and an open-source software tool that allows chemists to easily integrate state-of-the-art optimization algorithms into their everyday laboratory practices. We collect a large benchmark dataset for a palladium-catalysed direct arylation reaction, perform a systematic study of Bayesian optimization compared to human decision-making in reaction optimization, and apply Bayesian optimization to two real-world optimization efforts (Mitsunobu and deoxyfluorination reactions). Benchmarking is accomplished via an online game that links the decisions made by expert chemists and engineers to real experiments run in the laboratory. Our findings demonstrate that Bayesian optimization outperforms human decisionmaking in both average optimization efficiency (number of experiments) and consistency (variance of outcome against initially available data). Overall, our studies suggest that adopting Bayesian optimization methods into everyday laboratory practices could facilitate more efficient synthesis of functional chemicals by enabling better-informed, data-driven decisions about which experiments to run.","author":[{"dropping-particle":"","family":"Shields","given":"Benjamin J.","non-dropping-particle":"","parse-names":false,"suffix":""},{"dropping-particle":"","family":"Stevens","given":"Jason","non-dropping-particle":"","parse-names":false,"suffix":""},{"dropping-particle":"","family":"Li","given":"Jun","non-dropping-particle":"","parse-names":false,"suffix":""},{"dropping-particle":"","family":"Parasram","given":"Marvin","non-dropping-particle":"","parse-names":false,"suffix":""},{"dropping-particle":"","family":"Damani","given":"Farhan","non-dropping-particle":"","parse-names":false,"suffix":""},{"dropping-particle":"","family":"Alvarado","given":"Jesus I. Martinez","non-dropping-particle":"","parse-names":false,"suffix":""},{"dropping-particle":"","family":"Janey","given":"Jacob M.","non-dropping-particle":"","parse-names":false,"suffix":""},{"dropping-particle":"","family":"Adams","given":"Ryan P.","non-dropping-particle":"","parse-names":false,"suffix":""},{"dropping-particle":"","family":"Doyle","given":"Abigail G.","non-dropping-particle":"","parse-names":false,"suffix":""}],"container-title":"Nature","id":"ITEM-2","issue":"7844","issued":{"date-parts":[["2021","2","4"]]},"page":"89-96","publisher":"Nature Publishing Group","title":"Bayesian reaction optimization as a tool for chemical synthesis","type":"article-journal","volume":"590"},"uris":["http://www.mendeley.com/documents/?uuid=8865cd22-d9b4-389b-ad56-35cf06f1fe2b"]},{"id":"ITEM-3","itemData":{"DOI":"10.1016/j.matt.2021.06.036","ISSN":"25902385","abstract":"Solutions to many of the world's problems depend upon materials research and development. However, advanced materials can take decades to discover and decades more to fully deploy. Humans and robots have begun to partner to advance science and technology orders of magnitude faster than humans do today through the development and exploitation of closed-loop, autonomous experimentation systems. This review discusses the specific challenges and opportunities related to materials discovery and development that will emerge from this new paradigm. Our perspective incorporates input from stakeholders in academia, industry, government laboratories, and funding agencies. We outline the current status, barriers, and needed investments, culminating with a vision for the path forward. We intend the article to spark interest in this emerging research area and to motivate potential practitioners by illustrating early successes. We also aspire to encourage a creative reimagining of the next generation of materials science infrastructure. To this end, we frame future investments in materials science and technology, hardware and software infrastructure, artificial intelligence and autonomy methods, and critical workforce development for autonomous research.","author":[{"dropping-particle":"","family":"Stach","given":"Eric","non-dropping-particle":"","parse-names":false,"suffix":""},{"dropping-particle":"","family":"DeCost","given":"Brian","non-dropping-particle":"","parse-names":false,"suffix":""},{"dropping-particle":"","family":"Kusne","given":"A. Gilad","non-dropping-particle":"","parse-names":false,"suffix":""},{"dropping-particle":"","family":"Hattrick-Simpers","given":"Jason","non-dropping-particle":"","parse-names":false,"suffix":""},{"dropping-particle":"","family":"Brown","given":"Keith A.","non-dropping-particle":"","parse-names":false,"suffix":""},{"dropping-particle":"","family":"Reyes","given":"Kristofer G.","non-dropping-particle":"","parse-names":false,"suffix":""},{"dropping-particle":"","family":"Schrier","given":"Joshua","non-dropping-particle":"","parse-names":false,"suffix":""},{"dropping-particle":"","family":"Billinge","given":"Simon","non-dropping-particle":"","parse-names":false,"suffix":""},{"dropping-particle":"","family":"Buonassisi","given":"Tonio","non-dropping-particle":"","parse-names":false,"suffix":""},{"dropping-particle":"","family":"Foster","given":"Ian","non-dropping-particle":"","parse-names":false,"suffix":""},{"dropping-particle":"","family":"Gomes","given":"Carla P.","non-dropping-particle":"","parse-names":false,"suffix":""},{"dropping-particle":"","family":"Gregoire","given":"John M.","non-dropping-particle":"","parse-names":false,"suffix":""},{"dropping-particle":"","family":"Mehta","given":"Apurva","non-dropping-particle":"","parse-names":false,"suffix":""},{"dropping-particle":"","family":"Montoya","given":"Joseph","non-dropping-particle":"","parse-names":false,"suffix":""},{"dropping-particle":"","family":"Olivetti","given":"Elsa","non-dropping-particle":"","parse-names":false,"suffix":""},{"dropping-particle":"","family":"Park","given":"Chiwoo","non-dropping-particle":"","parse-names":false,"suffix":""},{"dropping-particle":"","family":"Rotenberg","given":"Eli","non-dropping-particle":"","parse-names":false,"suffix":""},{"dropping-particle":"","family":"Saikin","given":"Semion K.","non-dropping-particle":"","parse-names":false,"suffix":""},{"dropping-particle":"","family":"Smullin","given":"Sylvia","non-dropping-particle":"","parse-names":false,"suffix":""},{"dropping-particle":"","family":"Stanev","given":"Valentin","non-dropping-particle":"","parse-names":false,"suffix":""},{"dropping-particle":"","family":"Maruyama","given":"Benji","non-dropping-particle":"","parse-names":false,"suffix":""}],"container-title":"Matter","id":"ITEM-3","issue":"9","issued":{"date-parts":[["2021","9","1"]]},"page":"2702-2726","publisher":"Cell Press","title":"Autonomous experimentation systems for materials development: A community perspective","type":"article-journal","volume":"4"},"uris":["http://www.mendeley.com/documents/?uuid=69dbdb99-bda6-3e74-a4bc-89dbcd896c2a"]}],"mendeley":{"formattedCitation":"(Rasmussen, 2004; Shields et al., 2021; Stach et al., 2021)","manualFormatting":"(Rasmussen, 2004; Stach et al., 2021)","plainTextFormattedCitation":"(Rasmussen, 2004; Shields et al., 2021; Stach et al., 2021)","previouslyFormattedCitation":"(Rasmussen, 2004; Shields et al., 2021; Stach et al., 2021)"},"properties":{"noteIndex":0},"schema":"https://github.com/citation-style-language/schema/raw/master/csl-citation.json"}</w:instrText>
      </w:r>
      <w:r w:rsidR="006A1F33">
        <w:rPr>
          <w:lang w:val="en-GB"/>
        </w:rPr>
        <w:fldChar w:fldCharType="separate"/>
      </w:r>
      <w:r w:rsidR="006A1F33" w:rsidRPr="006A1F33">
        <w:rPr>
          <w:noProof/>
          <w:lang w:val="en-GB"/>
        </w:rPr>
        <w:t>(Rasmussen, 2004;</w:t>
      </w:r>
      <w:r w:rsidR="00B10C22">
        <w:rPr>
          <w:noProof/>
          <w:lang w:val="en-GB"/>
        </w:rPr>
        <w:t xml:space="preserve"> </w:t>
      </w:r>
      <w:r w:rsidR="006A1F33" w:rsidRPr="006A1F33">
        <w:rPr>
          <w:noProof/>
          <w:lang w:val="en-GB"/>
        </w:rPr>
        <w:t>Stach et al., 2021)</w:t>
      </w:r>
      <w:r w:rsidR="006A1F33">
        <w:rPr>
          <w:lang w:val="en-GB"/>
        </w:rPr>
        <w:fldChar w:fldCharType="end"/>
      </w:r>
      <w:r w:rsidR="006A1F33">
        <w:rPr>
          <w:lang w:val="en-GB"/>
        </w:rPr>
        <w:t>.</w:t>
      </w:r>
    </w:p>
    <w:p w14:paraId="3A9A62A3" w14:textId="77778B1B" w:rsidR="007E24C7" w:rsidRPr="007E24C7" w:rsidRDefault="007E24C7" w:rsidP="00317647">
      <w:pPr>
        <w:pStyle w:val="Els-body-text"/>
        <w:spacing w:before="80" w:after="80"/>
        <w:rPr>
          <w:lang w:val="en-GB"/>
        </w:rPr>
      </w:pPr>
      <w:r w:rsidRPr="007E24C7">
        <w:rPr>
          <w:lang w:val="en-GB"/>
        </w:rPr>
        <w:t>In predicting reaction yields, GPs perform similarly to RFs regardless of the descriptors used in an HTE dataset of trimipramine</w:t>
      </w:r>
      <w:r w:rsidR="006A1F33">
        <w:rPr>
          <w:lang w:val="en-GB"/>
        </w:rPr>
        <w:t xml:space="preserve"> </w:t>
      </w:r>
      <w:r w:rsidR="006A1F33">
        <w:rPr>
          <w:lang w:val="en-GB"/>
        </w:rPr>
        <w:fldChar w:fldCharType="begin" w:fldLock="1"/>
      </w:r>
      <w:r w:rsidR="00D62F31">
        <w:rPr>
          <w:lang w:val="en-GB"/>
        </w:rPr>
        <w:instrText>ADDIN CSL_CITATION {"citationItems":[{"id":"ITEM-1","itemData":{"DOI":"10.1039/D2RE00008C","ISSN":"2058-9883","abstract":"Multivariate chemical reaction optimization involving catalytic systems is a non-trivial task due to the high number of tuneable parameters and discrete choices.","author":[{"dropping-particle":"","family":"Pomberger","given":"A.","non-dropping-particle":"","parse-names":false,"suffix":""},{"dropping-particle":"","family":"Pedrina McCarthy","given":"A. A.","non-dropping-particle":"","parse-names":false,"suffix":""},{"dropping-particle":"","family":"Khan","given":"A.","non-dropping-particle":"","parse-names":false,"suffix":""},{"dropping-particle":"","family":"Sung","given":"S.","non-dropping-particle":"","parse-names":false,"suffix":""},{"dropping-particle":"","family":"Taylor","given":"C. J.","non-dropping-particle":"","parse-names":false,"suffix":""},{"dropping-particle":"","family":"Gaunt","given":"M. J.","non-dropping-particle":"","parse-names":false,"suffix":""},{"dropping-particle":"","family":"Colwell","given":"L.","non-dropping-particle":"","parse-names":false,"suffix":""},{"dropping-particle":"","family":"Walz","given":"D.","non-dropping-particle":"","parse-names":false,"suffix":""},{"dropping-particle":"","family":"Lapkin","given":"A. A.","non-dropping-particle":"","parse-names":false,"suffix":""}],"container-title":"Reaction Chemistry &amp; Engineering","id":"ITEM-1","issue":"6","issued":{"date-parts":[["2022","5","30"]]},"page":"1368-1379","publisher":"The Royal Society of Chemistry","title":"The effect of chemical representation on active machine learning towards closed-loop optimization","type":"article-journal","volume":"7"},"uris":["http://www.mendeley.com/documents/?uuid=f25670d5-ea8a-3f6d-921b-0965ce520a5e"]}],"mendeley":{"formattedCitation":"(Pomberger et al., 2022)","plainTextFormattedCitation":"(Pomberger et al., 2022)","previouslyFormattedCitation":"(Pomberger et al., 2022)"},"properties":{"noteIndex":0},"schema":"https://github.com/citation-style-language/schema/raw/master/csl-citation.json"}</w:instrText>
      </w:r>
      <w:r w:rsidR="006A1F33">
        <w:rPr>
          <w:lang w:val="en-GB"/>
        </w:rPr>
        <w:fldChar w:fldCharType="separate"/>
      </w:r>
      <w:r w:rsidR="006A1F33" w:rsidRPr="006A1F33">
        <w:rPr>
          <w:noProof/>
          <w:lang w:val="en-GB"/>
        </w:rPr>
        <w:t>(Pomberger et al., 2022)</w:t>
      </w:r>
      <w:r w:rsidR="006A1F33">
        <w:rPr>
          <w:lang w:val="en-GB"/>
        </w:rPr>
        <w:fldChar w:fldCharType="end"/>
      </w:r>
      <w:r w:rsidRPr="007E24C7">
        <w:rPr>
          <w:lang w:val="en-GB"/>
        </w:rPr>
        <w:t xml:space="preserve">. Simple one-hot encoding yields high-performing predictions, with slightly lower error for more complex descriptors. The capabilities of </w:t>
      </w:r>
      <w:r w:rsidR="00066429">
        <w:rPr>
          <w:lang w:val="en-GB"/>
        </w:rPr>
        <w:t>GP</w:t>
      </w:r>
      <w:r w:rsidRPr="007E24C7">
        <w:rPr>
          <w:lang w:val="en-GB"/>
        </w:rPr>
        <w:t xml:space="preserve"> models, such as kernel selection and Automatic Relevance Determination (ARD), are yet to be explored in yield predicting models.</w:t>
      </w:r>
      <w:r w:rsidR="00074F00">
        <w:rPr>
          <w:lang w:val="en-GB"/>
        </w:rPr>
        <w:t xml:space="preserve"> </w:t>
      </w:r>
      <w:r w:rsidRPr="007E24C7">
        <w:rPr>
          <w:lang w:val="en-GB"/>
        </w:rPr>
        <w:t xml:space="preserve">This work assesses the predictive capabilities of </w:t>
      </w:r>
      <w:r w:rsidR="00066429">
        <w:rPr>
          <w:lang w:val="en-GB"/>
        </w:rPr>
        <w:t>GP</w:t>
      </w:r>
      <w:r w:rsidRPr="007E24C7">
        <w:rPr>
          <w:lang w:val="en-GB"/>
        </w:rPr>
        <w:t xml:space="preserve"> models against classic models (k-Nearest </w:t>
      </w:r>
      <w:r w:rsidR="006A1F33" w:rsidRPr="007E24C7">
        <w:rPr>
          <w:lang w:val="en-GB"/>
        </w:rPr>
        <w:t>Neighbour</w:t>
      </w:r>
      <w:r w:rsidRPr="007E24C7">
        <w:rPr>
          <w:lang w:val="en-GB"/>
        </w:rPr>
        <w:t xml:space="preserve">, </w:t>
      </w:r>
      <w:r w:rsidR="001E6743">
        <w:rPr>
          <w:lang w:val="en-GB"/>
        </w:rPr>
        <w:t>Support Vector Machine (</w:t>
      </w:r>
      <w:r w:rsidRPr="007E24C7">
        <w:rPr>
          <w:lang w:val="en-GB"/>
        </w:rPr>
        <w:t>SVM)</w:t>
      </w:r>
      <w:r w:rsidR="001E6743">
        <w:rPr>
          <w:lang w:val="en-GB"/>
        </w:rPr>
        <w:t>)</w:t>
      </w:r>
      <w:r w:rsidRPr="007E24C7">
        <w:rPr>
          <w:lang w:val="en-GB"/>
        </w:rPr>
        <w:t xml:space="preserve">, ensemble models (RF, </w:t>
      </w:r>
      <w:proofErr w:type="spellStart"/>
      <w:r w:rsidRPr="007E24C7">
        <w:rPr>
          <w:lang w:val="en-GB"/>
        </w:rPr>
        <w:t>XGBoost</w:t>
      </w:r>
      <w:proofErr w:type="spellEnd"/>
      <w:r w:rsidRPr="007E24C7">
        <w:rPr>
          <w:lang w:val="en-GB"/>
        </w:rPr>
        <w:t xml:space="preserve">), and a two-layer neural network </w:t>
      </w:r>
      <w:r w:rsidR="00D62F31">
        <w:rPr>
          <w:lang w:val="en-GB"/>
        </w:rPr>
        <w:fldChar w:fldCharType="begin" w:fldLock="1"/>
      </w:r>
      <w:r w:rsidR="00D85970">
        <w:rPr>
          <w:lang w:val="en-GB"/>
        </w:rPr>
        <w:instrText>ADDIN CSL_CITATION {"citationItems":[{"id":"ITEM-1","itemData":{"DOI":"10.1038/s41586-018-0307-8","ISSN":"0028-0836","PMID":"30022133","abstract":"The discovery of chemical reactions is an inherently unpredictable and time-consuming process1. An attractive alternative is to predict reactivity, although relevant approaches, such as computer-aided reaction design, are still in their infancy2. Reaction prediction based on high-level quantum chemical methods is complex3, even for simple molecules. Although&amp;nbsp;machine learning is powerful for data analysis4,5, its applications in chemistry are still being developed6. Inspired by strategies based on chemists’ intuition7, we propose that a reaction system controlled by a machine learning algorithm may be able to explore the space of chemical reactions quickly, especially if trained by an expert8. Here we present an organic synthesis robot that can perform chemical reactions and analysis faster than they can be performed manually, as well as predict the reactivity of possible reagent combinations after conducting a small number of experiments, thus effectively navigating chemical reaction space. By using machine learning for decision making, enabled by binary encoding of the chemical inputs, the reactions can be assessed in real time using nuclear magnetic resonance and infrared spectroscopy. The machine learning system was able to predict the reactivity of about 1,000 reaction combinations with accuracy greater than 80 per cent after considering the outcomes of slightly over 10 per cent of the dataset. This approach was also used to calculate the reactivity of published datasets. Further, by using real-time data from our robot, these predictions were followed up manually by a chemist, leading to the discovery of four reactions. A robot instructed by a machine learning algorithm and coupled with real-time spectroscopic systems provides fast and accurate reaction outcome predictions and reactivity assessments, leading to the discovery of new reactions.","author":[{"dropping-particle":"","family":"Granda","given":"Jarosław M.","non-dropping-particle":"","parse-names":false,"suffix":""},{"dropping-particle":"","family":"Donina","given":"Liva","non-dropping-particle":"","parse-names":false,"suffix":""},{"dropping-particle":"","family":"Dragone","given":"Vincenza","non-dropping-particle":"","parse-names":false,"suffix":""},{"dropping-particle":"","family":"Long","given":"De-Liang","non-dropping-particle":"","parse-names":false,"suffix":""},{"dropping-particle":"","family":"Cronin","given":"Leroy","non-dropping-particle":"","parse-names":false,"suffix":""}],"container-title":"Nature","id":"ITEM-1","issue":"7714","issued":{"date-parts":[["2018","7","18"]]},"page":"377-381","publisher":"Nature Publishing Group","title":"Controlling an organic synthesis robot with machine learning to search for new reactivity","type":"article-journal","volume":"559"},"uris":["http://www.mendeley.com/documents/?uuid=fc120a6f-5991-364a-b5cd-67279c548526"]}],"mendeley":{"formattedCitation":"(Granda et al., 2018)","plainTextFormattedCitation":"(Granda et al., 2018)","previouslyFormattedCitation":"(Granda et al., 2018)"},"properties":{"noteIndex":0},"schema":"https://github.com/citation-style-language/schema/raw/master/csl-citation.json"}</w:instrText>
      </w:r>
      <w:r w:rsidR="00D62F31">
        <w:rPr>
          <w:lang w:val="en-GB"/>
        </w:rPr>
        <w:fldChar w:fldCharType="separate"/>
      </w:r>
      <w:r w:rsidR="00D62F31" w:rsidRPr="00D62F31">
        <w:rPr>
          <w:noProof/>
          <w:lang w:val="en-GB"/>
        </w:rPr>
        <w:t>(Granda et al., 2018)</w:t>
      </w:r>
      <w:r w:rsidR="00D62F31">
        <w:rPr>
          <w:lang w:val="en-GB"/>
        </w:rPr>
        <w:fldChar w:fldCharType="end"/>
      </w:r>
      <w:r w:rsidRPr="007E24C7">
        <w:rPr>
          <w:lang w:val="en-GB"/>
        </w:rPr>
        <w:t xml:space="preserve"> using Suzuki-</w:t>
      </w:r>
      <w:proofErr w:type="spellStart"/>
      <w:r w:rsidRPr="007E24C7">
        <w:rPr>
          <w:lang w:val="en-GB"/>
        </w:rPr>
        <w:t>Miyaura</w:t>
      </w:r>
      <w:proofErr w:type="spellEnd"/>
      <w:r w:rsidRPr="007E24C7">
        <w:rPr>
          <w:lang w:val="en-GB"/>
        </w:rPr>
        <w:t xml:space="preserve"> dataset with one-hot encoding. The GP model, with automatic relevance determination, outperforms other models. Evaluating the model on fractions of the dataset confirms its high performance and potential for handling relatively small datasets. Anticipated benefits include more accurate yield predictions, expediting synthetic pathway development in the chemical and pharmaceutical industries.</w:t>
      </w:r>
    </w:p>
    <w:p w14:paraId="144DE699" w14:textId="1562A50D" w:rsidR="008D2649" w:rsidRDefault="003214BE" w:rsidP="008D2649">
      <w:pPr>
        <w:pStyle w:val="Els-1storder-head"/>
      </w:pPr>
      <w:r>
        <w:t>Methods</w:t>
      </w:r>
    </w:p>
    <w:p w14:paraId="144DE69A" w14:textId="3FC89E24" w:rsidR="008D2649" w:rsidRDefault="003658D2" w:rsidP="008D2649">
      <w:pPr>
        <w:pStyle w:val="Els-2ndorder-head"/>
      </w:pPr>
      <w:r>
        <w:t>Suzuki-</w:t>
      </w:r>
      <w:proofErr w:type="spellStart"/>
      <w:r>
        <w:t>Miyaura</w:t>
      </w:r>
      <w:proofErr w:type="spellEnd"/>
      <w:r>
        <w:t xml:space="preserve"> coupling </w:t>
      </w:r>
      <w:r w:rsidR="0014256F">
        <w:t>dataset.</w:t>
      </w:r>
    </w:p>
    <w:p w14:paraId="71B1BA61" w14:textId="26DBE462" w:rsidR="00635032" w:rsidRDefault="008A5866" w:rsidP="00317647">
      <w:pPr>
        <w:pStyle w:val="Els-body-text"/>
        <w:spacing w:before="80" w:after="80"/>
        <w:rPr>
          <w:rFonts w:eastAsiaTheme="minorEastAsia"/>
        </w:rPr>
      </w:pPr>
      <w:r>
        <w:fldChar w:fldCharType="begin" w:fldLock="1"/>
      </w:r>
      <w:r w:rsidR="009C0DB0">
        <w:instrText>ADDIN CSL_CITATION {"citationItems":[{"id":"ITEM-1","itemData":{"DOI":"10.1126/science.aap9112","ISSN":"0036-8075","PMID":"29371464","abstract":"Chemists charged with manufacturing pharmaceuticals have recently been exploring the efficiency advantages of continuous flow techniques. Perera et al. now show that a flow apparatus can also accelerate reaction optimization earlier in the drug discovery process. They modified a high-performance liquid chromatography system to screen a wide variety of solvent, ligand, and base combinations to optimize carbon-carbon bond formation. Injecting stock solution aliquots of the catalyst and reactants into a carrier solvent stream let the authors vary the main solvent efficiently and scale up the optimal conditions for product isolation.","author":[{"dropping-particle":"","family":"Perera","given":"Damith","non-dropping-particle":"","parse-names":false,"suffix":""},{"dropping-particle":"","family":"Tucker","given":"Joseph W.","non-dropping-particle":"","parse-names":false,"suffix":""},{"dropping-particle":"","family":"Brahmbhatt","given":"Shalini","non-dropping-particle":"","parse-names":false,"suffix":""},{"dropping-particle":"","family":"Helal","given":"Christopher J.","non-dropping-particle":"","parse-names":false,"suffix":""},{"dropping-particle":"","family":"Chong","given":"Ashley","non-dropping-particle":"","parse-names":false,"suffix":""},{"dropping-particle":"","family":"Farrell","given":"William","non-dropping-particle":"","parse-names":false,"suffix":""},{"dropping-particle":"","family":"Richardson","given":"Paul","non-dropping-particle":"","parse-names":false,"suffix":""},{"dropping-particle":"","family":"Sach","given":"Neal W.","non-dropping-particle":"","parse-names":false,"suffix":""}],"container-title":"Science","id":"ITEM-1","issue":"6374","issued":{"date-parts":[["2018","1","26"]]},"page":"429-434","publisher":"American Association for the Advancement of Science","title":"A platform for automated nanomole-scale reaction screening and micromole-scale synthesis in flow","type":"article-journal","volume":"359"},"uris":["http://www.mendeley.com/documents/?uuid=c5d8ab1c-9a76-3de3-b90a-f26a11ba404e"]}],"mendeley":{"formattedCitation":"(Perera et al., 2018)","manualFormatting":"Perera and colleagues (2018)","plainTextFormattedCitation":"(Perera et al., 2018)","previouslyFormattedCitation":"(Perera et al., 2018)"},"properties":{"noteIndex":0},"schema":"https://github.com/citation-style-language/schema/raw/master/csl-citation.json"}</w:instrText>
      </w:r>
      <w:r>
        <w:fldChar w:fldCharType="separate"/>
      </w:r>
      <w:r w:rsidRPr="005D09AE">
        <w:rPr>
          <w:noProof/>
        </w:rPr>
        <w:t xml:space="preserve">Perera </w:t>
      </w:r>
      <w:r>
        <w:rPr>
          <w:noProof/>
        </w:rPr>
        <w:t>and colleagues</w:t>
      </w:r>
      <w:r w:rsidRPr="005D09AE">
        <w:rPr>
          <w:noProof/>
        </w:rPr>
        <w:t xml:space="preserve"> </w:t>
      </w:r>
      <w:r>
        <w:rPr>
          <w:noProof/>
        </w:rPr>
        <w:t>(</w:t>
      </w:r>
      <w:r w:rsidRPr="005D09AE">
        <w:rPr>
          <w:noProof/>
        </w:rPr>
        <w:t>2018)</w:t>
      </w:r>
      <w:r>
        <w:fldChar w:fldCharType="end"/>
      </w:r>
      <w:r w:rsidR="004A4552">
        <w:t xml:space="preserve"> developed and automated</w:t>
      </w:r>
      <w:r w:rsidR="0064018D">
        <w:t xml:space="preserve"> flow</w:t>
      </w:r>
      <w:r w:rsidR="004A4552">
        <w:t xml:space="preserve"> system for reaction </w:t>
      </w:r>
      <w:r w:rsidR="0064018D">
        <w:t>screening</w:t>
      </w:r>
      <w:r w:rsidR="00970131">
        <w:t xml:space="preserve"> of a </w:t>
      </w:r>
      <w:r w:rsidR="00970131" w:rsidRPr="009E05FB">
        <w:rPr>
          <w:rFonts w:eastAsiaTheme="minorEastAsia"/>
        </w:rPr>
        <w:t>Suzuki-</w:t>
      </w:r>
      <w:proofErr w:type="spellStart"/>
      <w:r w:rsidR="00970131" w:rsidRPr="009E05FB">
        <w:rPr>
          <w:rFonts w:eastAsiaTheme="minorEastAsia"/>
        </w:rPr>
        <w:t>Miyaura</w:t>
      </w:r>
      <w:proofErr w:type="spellEnd"/>
      <w:r w:rsidR="00970131" w:rsidRPr="009E05FB">
        <w:rPr>
          <w:rFonts w:eastAsiaTheme="minorEastAsia"/>
        </w:rPr>
        <w:t xml:space="preserve"> coupling reaction </w:t>
      </w:r>
      <w:r w:rsidR="005A706D">
        <w:t>involving the preparation of reaction segments</w:t>
      </w:r>
      <w:r w:rsidR="00916980">
        <w:t xml:space="preserve"> at regular timer intervals and their analysis through </w:t>
      </w:r>
      <w:r w:rsidR="00302CDC">
        <w:t>high-resolution</w:t>
      </w:r>
      <w:r w:rsidR="003B589B">
        <w:t xml:space="preserve"> </w:t>
      </w:r>
      <w:r w:rsidR="007C35A7" w:rsidRPr="007C35A7">
        <w:t>Liquid Chromatography-Mass Spectrometry</w:t>
      </w:r>
      <w:r w:rsidR="007C35A7">
        <w:t xml:space="preserve"> (</w:t>
      </w:r>
      <w:r w:rsidR="00302CDC">
        <w:t>LC-MS</w:t>
      </w:r>
      <w:r w:rsidR="007C35A7">
        <w:t>)</w:t>
      </w:r>
      <w:r w:rsidR="00302CDC">
        <w:t xml:space="preserve">. </w:t>
      </w:r>
      <w:r w:rsidR="006333B0">
        <w:t xml:space="preserve">The process involved </w:t>
      </w:r>
      <w:r w:rsidR="001358CF">
        <w:t xml:space="preserve">the injection of </w:t>
      </w:r>
      <w:r w:rsidR="00AB62D1" w:rsidRPr="00812B08">
        <w:rPr>
          <w:rFonts w:eastAsiaTheme="minorEastAsia"/>
        </w:rPr>
        <w:t>stock solution aliquots of the catalyst, reactants, ligands, and bases into a carrier solvent stream</w:t>
      </w:r>
      <w:r w:rsidR="000F1008">
        <w:rPr>
          <w:rFonts w:eastAsiaTheme="minorEastAsia"/>
        </w:rPr>
        <w:t xml:space="preserve">. This setup allowed the variation of </w:t>
      </w:r>
      <w:r w:rsidR="00F66DB7">
        <w:rPr>
          <w:rFonts w:eastAsiaTheme="minorEastAsia"/>
        </w:rPr>
        <w:t>a</w:t>
      </w:r>
      <w:r w:rsidR="00890EEC" w:rsidRPr="00890EEC">
        <w:rPr>
          <w:rFonts w:eastAsiaTheme="minorEastAsia"/>
        </w:rPr>
        <w:t xml:space="preserve"> </w:t>
      </w:r>
      <w:r w:rsidR="00890EEC" w:rsidRPr="00DB6ED6">
        <w:rPr>
          <w:rFonts w:eastAsiaTheme="minorEastAsia"/>
        </w:rPr>
        <w:t>complete set of variables includ</w:t>
      </w:r>
      <w:r w:rsidR="00F66DB7">
        <w:rPr>
          <w:rFonts w:eastAsiaTheme="minorEastAsia"/>
        </w:rPr>
        <w:t>ing</w:t>
      </w:r>
      <w:r w:rsidR="00890EEC" w:rsidRPr="00DB6ED6">
        <w:rPr>
          <w:rFonts w:eastAsiaTheme="minorEastAsia"/>
        </w:rPr>
        <w:t xml:space="preserve"> 11 ligands, 7 bases, and 4 solvents, resulting in a total</w:t>
      </w:r>
      <w:r w:rsidR="00417740">
        <w:rPr>
          <w:rFonts w:eastAsiaTheme="minorEastAsia"/>
        </w:rPr>
        <w:t xml:space="preserve"> of </w:t>
      </w:r>
      <w:r w:rsidR="006739B8">
        <w:rPr>
          <w:rFonts w:eastAsiaTheme="minorEastAsia"/>
        </w:rPr>
        <w:t xml:space="preserve">5760 reactions. </w:t>
      </w:r>
    </w:p>
    <w:p w14:paraId="0A5DB24D" w14:textId="11733DF5" w:rsidR="00D80709" w:rsidRDefault="008A7785" w:rsidP="00317647">
      <w:pPr>
        <w:pStyle w:val="Els-body-text"/>
        <w:spacing w:before="80" w:after="80"/>
        <w:rPr>
          <w:rFonts w:eastAsiaTheme="minorEastAsia"/>
        </w:rPr>
      </w:pPr>
      <w:r>
        <w:rPr>
          <w:rFonts w:eastAsiaTheme="minorEastAsia"/>
        </w:rPr>
        <w:t xml:space="preserve">In the present work, </w:t>
      </w:r>
      <w:r w:rsidR="004545B7">
        <w:rPr>
          <w:rFonts w:eastAsiaTheme="minorEastAsia"/>
        </w:rPr>
        <w:t xml:space="preserve">a one-hot </w:t>
      </w:r>
      <w:r w:rsidR="00DB1C7B">
        <w:rPr>
          <w:rFonts w:eastAsiaTheme="minorEastAsia"/>
        </w:rPr>
        <w:t xml:space="preserve">vector </w:t>
      </w:r>
      <w:r w:rsidR="004545B7">
        <w:rPr>
          <w:rFonts w:eastAsiaTheme="minorEastAsia"/>
        </w:rPr>
        <w:t xml:space="preserve">encoding </w:t>
      </w:r>
      <w:r w:rsidR="00DB1C7B">
        <w:rPr>
          <w:rFonts w:eastAsiaTheme="minorEastAsia"/>
        </w:rPr>
        <w:t>of the set of variables</w:t>
      </w:r>
      <w:r w:rsidR="00571CCD">
        <w:rPr>
          <w:rFonts w:eastAsiaTheme="minorEastAsia"/>
        </w:rPr>
        <w:t xml:space="preserve"> </w:t>
      </w:r>
      <w:r w:rsidR="00183FB9">
        <w:rPr>
          <w:rFonts w:eastAsiaTheme="minorEastAsia"/>
        </w:rPr>
        <w:t xml:space="preserve">was applied to explicitly evaluate </w:t>
      </w:r>
      <w:r w:rsidR="00AA54EF">
        <w:rPr>
          <w:rFonts w:eastAsiaTheme="minorEastAsia"/>
        </w:rPr>
        <w:t xml:space="preserve">the performance of machine learning models in the </w:t>
      </w:r>
      <w:r w:rsidR="00AB0E4A">
        <w:rPr>
          <w:rFonts w:eastAsiaTheme="minorEastAsia"/>
        </w:rPr>
        <w:t xml:space="preserve">prediction of reaction yields. This type of encoding </w:t>
      </w:r>
      <w:r w:rsidR="00717E2A">
        <w:rPr>
          <w:rFonts w:eastAsiaTheme="minorEastAsia"/>
        </w:rPr>
        <w:t xml:space="preserve">has been demonstrated to </w:t>
      </w:r>
      <w:r w:rsidR="00F1282C">
        <w:rPr>
          <w:rFonts w:eastAsiaTheme="minorEastAsia"/>
        </w:rPr>
        <w:t xml:space="preserve">deliver high-quality predictions for reaction yields in </w:t>
      </w:r>
      <w:r w:rsidR="00E107A0">
        <w:rPr>
          <w:rFonts w:eastAsiaTheme="minorEastAsia"/>
        </w:rPr>
        <w:t>previous</w:t>
      </w:r>
      <w:r w:rsidR="00050D7B">
        <w:rPr>
          <w:rFonts w:eastAsiaTheme="minorEastAsia"/>
        </w:rPr>
        <w:t xml:space="preserve"> studies on </w:t>
      </w:r>
      <w:r w:rsidR="00D16E88">
        <w:rPr>
          <w:rFonts w:eastAsiaTheme="minorEastAsia"/>
        </w:rPr>
        <w:t>HTE-generated datasets</w:t>
      </w:r>
      <w:r w:rsidR="00CC3D94">
        <w:rPr>
          <w:rFonts w:eastAsiaTheme="minorEastAsia"/>
        </w:rPr>
        <w:t xml:space="preserve">. </w:t>
      </w:r>
      <w:r w:rsidR="00E107A0">
        <w:rPr>
          <w:rFonts w:eastAsiaTheme="minorEastAsia"/>
        </w:rPr>
        <w:t xml:space="preserve">An </w:t>
      </w:r>
      <w:r w:rsidR="00E107A0">
        <w:rPr>
          <w:rFonts w:eastAsiaTheme="minorEastAsia"/>
        </w:rPr>
        <w:lastRenderedPageBreak/>
        <w:t>overview of the reaction</w:t>
      </w:r>
      <w:r w:rsidR="0076076A">
        <w:rPr>
          <w:rFonts w:eastAsiaTheme="minorEastAsia"/>
        </w:rPr>
        <w:t>,</w:t>
      </w:r>
      <w:r w:rsidR="00ED5AD8">
        <w:rPr>
          <w:rFonts w:eastAsiaTheme="minorEastAsia"/>
        </w:rPr>
        <w:t xml:space="preserve"> </w:t>
      </w:r>
      <w:r w:rsidR="00983435">
        <w:rPr>
          <w:rFonts w:eastAsiaTheme="minorEastAsia"/>
        </w:rPr>
        <w:t xml:space="preserve">along </w:t>
      </w:r>
      <w:r w:rsidR="00ED5AD8">
        <w:rPr>
          <w:rFonts w:eastAsiaTheme="minorEastAsia"/>
        </w:rPr>
        <w:t xml:space="preserve">with the specific </w:t>
      </w:r>
      <w:r w:rsidR="008D7C6C">
        <w:rPr>
          <w:rFonts w:eastAsiaTheme="minorEastAsia"/>
        </w:rPr>
        <w:t>reactants,</w:t>
      </w:r>
      <w:r w:rsidR="00ED5AD8">
        <w:rPr>
          <w:rFonts w:eastAsiaTheme="minorEastAsia"/>
        </w:rPr>
        <w:t xml:space="preserve"> </w:t>
      </w:r>
      <w:r w:rsidR="008D7C6C">
        <w:rPr>
          <w:rFonts w:eastAsiaTheme="minorEastAsia"/>
        </w:rPr>
        <w:t xml:space="preserve">ligands, </w:t>
      </w:r>
      <w:r w:rsidR="00ED5AD8">
        <w:rPr>
          <w:rFonts w:eastAsiaTheme="minorEastAsia"/>
        </w:rPr>
        <w:t>bases,</w:t>
      </w:r>
      <w:r w:rsidR="008D7C6C">
        <w:rPr>
          <w:rFonts w:eastAsiaTheme="minorEastAsia"/>
        </w:rPr>
        <w:t xml:space="preserve"> </w:t>
      </w:r>
      <w:r w:rsidR="00EA4808">
        <w:rPr>
          <w:rFonts w:eastAsiaTheme="minorEastAsia"/>
        </w:rPr>
        <w:t>solvents,</w:t>
      </w:r>
      <w:r w:rsidR="00983435">
        <w:rPr>
          <w:rFonts w:eastAsiaTheme="minorEastAsia"/>
        </w:rPr>
        <w:t xml:space="preserve"> and reaction conditions</w:t>
      </w:r>
      <w:r w:rsidR="008D7C6C">
        <w:rPr>
          <w:rFonts w:eastAsiaTheme="minorEastAsia"/>
        </w:rPr>
        <w:t xml:space="preserve"> </w:t>
      </w:r>
      <w:r w:rsidR="00C874D6">
        <w:rPr>
          <w:rFonts w:eastAsiaTheme="minorEastAsia"/>
        </w:rPr>
        <w:t xml:space="preserve">as well as an example of the vector encoding </w:t>
      </w:r>
      <w:r w:rsidR="000F589A">
        <w:rPr>
          <w:rFonts w:eastAsiaTheme="minorEastAsia"/>
        </w:rPr>
        <w:t xml:space="preserve">are detailed in </w:t>
      </w:r>
      <w:r w:rsidR="000F589A">
        <w:rPr>
          <w:rFonts w:eastAsiaTheme="minorEastAsia"/>
        </w:rPr>
        <w:fldChar w:fldCharType="begin"/>
      </w:r>
      <w:r w:rsidR="000F589A">
        <w:rPr>
          <w:rFonts w:eastAsiaTheme="minorEastAsia"/>
        </w:rPr>
        <w:instrText xml:space="preserve"> REF _Ref151643654 \h </w:instrText>
      </w:r>
      <w:r w:rsidR="00EA4808">
        <w:rPr>
          <w:rFonts w:eastAsiaTheme="minorEastAsia"/>
        </w:rPr>
        <w:instrText xml:space="preserve"> \* MERGEFORMAT </w:instrText>
      </w:r>
      <w:r w:rsidR="000F589A">
        <w:rPr>
          <w:rFonts w:eastAsiaTheme="minorEastAsia"/>
        </w:rPr>
      </w:r>
      <w:r w:rsidR="000F589A">
        <w:rPr>
          <w:rFonts w:eastAsiaTheme="minorEastAsia"/>
        </w:rPr>
        <w:fldChar w:fldCharType="separate"/>
      </w:r>
      <w:r w:rsidR="000F589A" w:rsidRPr="00EA4808">
        <w:rPr>
          <w:rFonts w:eastAsiaTheme="minorEastAsia"/>
        </w:rPr>
        <w:t>Fig. 1</w:t>
      </w:r>
      <w:r w:rsidR="000F589A">
        <w:rPr>
          <w:rFonts w:eastAsiaTheme="minorEastAsia"/>
        </w:rPr>
        <w:fldChar w:fldCharType="end"/>
      </w:r>
      <w:r w:rsidR="000F589A">
        <w:rPr>
          <w:rFonts w:eastAsiaTheme="minorEastAsia"/>
        </w:rPr>
        <w:t>.</w:t>
      </w:r>
    </w:p>
    <w:p w14:paraId="5A7DECFF" w14:textId="77777777" w:rsidR="00366C63" w:rsidRDefault="00366C63" w:rsidP="00366C63">
      <w:pPr>
        <w:pStyle w:val="Els-body-text"/>
        <w:jc w:val="center"/>
      </w:pPr>
      <w:r>
        <w:rPr>
          <w:noProof/>
        </w:rPr>
        <w:drawing>
          <wp:inline distT="0" distB="0" distL="0" distR="0" wp14:anchorId="2D17289A" wp14:editId="573486B7">
            <wp:extent cx="3829050" cy="2316018"/>
            <wp:effectExtent l="0" t="0" r="0" b="8255"/>
            <wp:docPr id="1145706272" name="Graphic 114570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60535" name="Graphic 1469660535"/>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58196" cy="2333647"/>
                    </a:xfrm>
                    <a:prstGeom prst="rect">
                      <a:avLst/>
                    </a:prstGeom>
                  </pic:spPr>
                </pic:pic>
              </a:graphicData>
            </a:graphic>
          </wp:inline>
        </w:drawing>
      </w:r>
    </w:p>
    <w:p w14:paraId="1F19A57E" w14:textId="0412C991" w:rsidR="005C2E76" w:rsidRDefault="00366C63" w:rsidP="00366C63">
      <w:pPr>
        <w:pStyle w:val="figurecaption"/>
        <w:spacing w:before="0"/>
        <w:jc w:val="both"/>
      </w:pPr>
      <w:r>
        <w:rPr>
          <w:b/>
        </w:rPr>
        <w:t xml:space="preserve">Fig. </w:t>
      </w:r>
      <w:r>
        <w:rPr>
          <w:b/>
        </w:rPr>
        <w:fldChar w:fldCharType="begin"/>
      </w:r>
      <w:r>
        <w:rPr>
          <w:b/>
        </w:rPr>
        <w:instrText xml:space="preserve"> SEQ "Figure" \* MERGEFORMAT </w:instrText>
      </w:r>
      <w:r>
        <w:rPr>
          <w:b/>
        </w:rPr>
        <w:fldChar w:fldCharType="separate"/>
      </w:r>
      <w:r>
        <w:rPr>
          <w:b/>
          <w:noProof/>
        </w:rPr>
        <w:t>1</w:t>
      </w:r>
      <w:r>
        <w:rPr>
          <w:b/>
        </w:rPr>
        <w:fldChar w:fldCharType="end"/>
      </w:r>
      <w:r>
        <w:rPr>
          <w:b/>
        </w:rPr>
        <w:t>.</w:t>
      </w:r>
      <w:r>
        <w:t xml:space="preserve"> Suzuki-</w:t>
      </w:r>
      <w:proofErr w:type="spellStart"/>
      <w:r>
        <w:t>Miyaura</w:t>
      </w:r>
      <w:proofErr w:type="spellEnd"/>
      <w:r>
        <w:t xml:space="preserve"> coupling reaction overview with specifications of the set of variables along with a visual representation of one-hot vector encoding.</w:t>
      </w:r>
      <w:r w:rsidR="00D23D6F">
        <w:t xml:space="preserve"> </w:t>
      </w:r>
      <w:r w:rsidR="0031598E">
        <w:t xml:space="preserve"> </w:t>
      </w:r>
    </w:p>
    <w:p w14:paraId="144DE69D" w14:textId="36E0A842" w:rsidR="008D2649" w:rsidRDefault="007F2A50" w:rsidP="008D2649">
      <w:pPr>
        <w:pStyle w:val="Els-2ndorder-head"/>
      </w:pPr>
      <w:r>
        <w:t>Non-parametric Mod</w:t>
      </w:r>
      <w:r w:rsidR="00025A1D">
        <w:t>els</w:t>
      </w:r>
    </w:p>
    <w:p w14:paraId="05B95EA8" w14:textId="31B1BEBE" w:rsidR="00FF321D" w:rsidRDefault="00874054" w:rsidP="00056A19">
      <w:pPr>
        <w:pStyle w:val="Els-body-text"/>
        <w:spacing w:beforeLines="80" w:before="192" w:afterLines="80" w:after="192"/>
      </w:pPr>
      <w:r w:rsidRPr="00874054">
        <w:rPr>
          <w:lang w:val="en-GB"/>
        </w:rPr>
        <w:t xml:space="preserve">Gaussian Processes (GPs) are non-parametric models known for their flexibility and ability to capture complex non-linear relationships within data. </w:t>
      </w:r>
      <w:r>
        <w:rPr>
          <w:lang w:val="en-GB"/>
        </w:rPr>
        <w:t>GPs</w:t>
      </w:r>
      <w:r w:rsidRPr="00874054">
        <w:rPr>
          <w:lang w:val="en-GB"/>
        </w:rPr>
        <w:t xml:space="preserve"> are defined by mean and covariance functions, as expressed in Eq. </w:t>
      </w:r>
      <w:r w:rsidR="00845201">
        <w:rPr>
          <w:lang w:val="en-GB"/>
        </w:rPr>
        <w:fldChar w:fldCharType="begin"/>
      </w:r>
      <w:r w:rsidR="00845201">
        <w:rPr>
          <w:lang w:val="en-GB"/>
        </w:rPr>
        <w:instrText xml:space="preserve"> REF _Ref151970848 \h </w:instrText>
      </w:r>
      <w:r w:rsidR="00845201">
        <w:rPr>
          <w:lang w:val="en-GB"/>
        </w:rPr>
      </w:r>
      <w:r w:rsidR="00845201">
        <w:rPr>
          <w:lang w:val="en-GB"/>
        </w:rPr>
        <w:fldChar w:fldCharType="separate"/>
      </w:r>
      <w:r w:rsidR="00845201" w:rsidRPr="00A94774">
        <w:rPr>
          <w:lang w:val="en-GB"/>
        </w:rPr>
        <w:t>(</w:t>
      </w:r>
      <w:r w:rsidR="00845201">
        <w:rPr>
          <w:noProof/>
        </w:rPr>
        <w:t>1</w:t>
      </w:r>
      <w:r w:rsidR="00845201" w:rsidRPr="00A94774">
        <w:rPr>
          <w:lang w:val="en-GB"/>
        </w:rPr>
        <w:t>)</w:t>
      </w:r>
      <w:r w:rsidR="00845201">
        <w:rPr>
          <w:lang w:val="en-GB"/>
        </w:rPr>
        <w:fldChar w:fldCharType="end"/>
      </w:r>
      <w:r w:rsidRPr="00874054">
        <w:rPr>
          <w:lang w:val="en-GB"/>
        </w:rPr>
        <w:t>, allowing them to model the entire probability distribution over functions.</w:t>
      </w:r>
    </w:p>
    <w:tbl>
      <w:tblPr>
        <w:tblW w:w="0" w:type="auto"/>
        <w:tblLook w:val="04A0" w:firstRow="1" w:lastRow="0" w:firstColumn="1" w:lastColumn="0" w:noHBand="0" w:noVBand="1"/>
      </w:tblPr>
      <w:tblGrid>
        <w:gridCol w:w="6125"/>
        <w:gridCol w:w="961"/>
      </w:tblGrid>
      <w:tr w:rsidR="005F7550" w:rsidRPr="00A94774" w14:paraId="41D894EE" w14:textId="77777777" w:rsidTr="006B77C5">
        <w:trPr>
          <w:trHeight w:val="493"/>
        </w:trPr>
        <w:tc>
          <w:tcPr>
            <w:tcW w:w="6317" w:type="dxa"/>
            <w:shd w:val="clear" w:color="auto" w:fill="auto"/>
            <w:vAlign w:val="center"/>
          </w:tcPr>
          <w:p w14:paraId="6715D0A4" w14:textId="4193E200" w:rsidR="005F7550" w:rsidRPr="006B77C5" w:rsidRDefault="009D0D2C" w:rsidP="00D074E6">
            <w:pPr>
              <w:spacing w:beforeLines="80" w:before="192" w:afterLines="80" w:after="192"/>
            </w:pPr>
            <m:oMathPara>
              <m:oMathParaPr>
                <m:jc m:val="left"/>
              </m:oMathParaPr>
              <m:oMath>
                <m:r>
                  <w:rPr>
                    <w:rFonts w:ascii="Cambria Math" w:eastAsiaTheme="minorEastAsia" w:hAnsi="Cambria Math"/>
                  </w:rPr>
                  <m:t>f</m:t>
                </m:r>
                <m:d>
                  <m:dPr>
                    <m:ctrlPr>
                      <w:rPr>
                        <w:rFonts w:ascii="Cambria Math" w:eastAsiaTheme="minorEastAsia" w:hAnsi="Cambria Math"/>
                      </w:rPr>
                    </m:ctrlPr>
                  </m:dPr>
                  <m:e>
                    <m:r>
                      <m:rPr>
                        <m:sty m:val="bi"/>
                      </m:rPr>
                      <w:rPr>
                        <w:rFonts w:ascii="Cambria Math" w:eastAsiaTheme="minorEastAsia" w:hAnsi="Cambria Math"/>
                      </w:rPr>
                      <m:t>x</m:t>
                    </m:r>
                    <m:ctrlPr>
                      <w:rPr>
                        <w:rFonts w:ascii="Cambria Math" w:eastAsiaTheme="minorEastAsia" w:hAnsi="Cambria Math"/>
                        <w:i/>
                      </w:rPr>
                    </m:ctrlPr>
                  </m:e>
                </m:d>
                <m:r>
                  <m:rPr>
                    <m:sty m:val="p"/>
                  </m:rPr>
                  <w:rPr>
                    <w:rFonts w:ascii="Cambria Math" w:eastAsiaTheme="minorEastAsia" w:hAnsi="Cambria Math"/>
                  </w:rPr>
                  <m:t>∼</m:t>
                </m:r>
                <m:r>
                  <m:rPr>
                    <m:scr m:val="script"/>
                  </m:rPr>
                  <w:rPr>
                    <w:rFonts w:ascii="Cambria Math" w:eastAsiaTheme="minorEastAsia" w:hAnsi="Cambria Math"/>
                  </w:rPr>
                  <m:t>GP</m:t>
                </m:r>
                <m:d>
                  <m:dPr>
                    <m:ctrlPr>
                      <w:rPr>
                        <w:rFonts w:ascii="Cambria Math" w:eastAsiaTheme="minorEastAsia" w:hAnsi="Cambria Math"/>
                      </w:rPr>
                    </m:ctrlPr>
                  </m:dPr>
                  <m:e>
                    <m:r>
                      <w:rPr>
                        <w:rFonts w:ascii="Cambria Math" w:eastAsiaTheme="minorEastAsia" w:hAnsi="Cambria Math"/>
                      </w:rPr>
                      <m:t>m</m:t>
                    </m:r>
                    <m:d>
                      <m:dPr>
                        <m:ctrlPr>
                          <w:rPr>
                            <w:rFonts w:ascii="Cambria Math" w:eastAsiaTheme="minorEastAsia" w:hAnsi="Cambria Math"/>
                          </w:rPr>
                        </m:ctrlPr>
                      </m:dPr>
                      <m:e>
                        <m:r>
                          <m:rPr>
                            <m:sty m:val="bi"/>
                          </m:rPr>
                          <w:rPr>
                            <w:rFonts w:ascii="Cambria Math" w:eastAsiaTheme="minorEastAsia" w:hAnsi="Cambria Math"/>
                          </w:rPr>
                          <m:t>x</m:t>
                        </m:r>
                        <m:ctrlPr>
                          <w:rPr>
                            <w:rFonts w:ascii="Cambria Math" w:eastAsiaTheme="minorEastAsia" w:hAnsi="Cambria Math"/>
                            <w:i/>
                          </w:rPr>
                        </m:ctrlPr>
                      </m:e>
                    </m:d>
                    <m:r>
                      <w:rPr>
                        <w:rFonts w:ascii="Cambria Math" w:eastAsiaTheme="minorEastAsia" w:hAnsi="Cambria Math"/>
                      </w:rPr>
                      <m:t>,k</m:t>
                    </m:r>
                    <m:d>
                      <m:dPr>
                        <m:ctrlPr>
                          <w:rPr>
                            <w:rFonts w:ascii="Cambria Math" w:eastAsiaTheme="minorEastAsia" w:hAnsi="Cambria Math"/>
                          </w:rPr>
                        </m:ctrlPr>
                      </m:dPr>
                      <m:e>
                        <m:r>
                          <m:rPr>
                            <m:sty m:val="bi"/>
                          </m:rPr>
                          <w:rPr>
                            <w:rFonts w:ascii="Cambria Math" w:eastAsiaTheme="minorEastAsia" w:hAnsi="Cambria Math"/>
                          </w:rPr>
                          <m:t>x</m:t>
                        </m:r>
                        <m:r>
                          <w:rPr>
                            <w:rFonts w:ascii="Cambria Math" w:eastAsiaTheme="minorEastAsia" w:hAnsi="Cambria Math"/>
                          </w:rPr>
                          <m:t>,</m:t>
                        </m:r>
                        <m:sSup>
                          <m:sSupPr>
                            <m:ctrlPr>
                              <w:rPr>
                                <w:rFonts w:ascii="Cambria Math" w:eastAsiaTheme="minorEastAsia" w:hAnsi="Cambria Math"/>
                                <w:i/>
                              </w:rPr>
                            </m:ctrlPr>
                          </m:sSupPr>
                          <m:e>
                            <m:r>
                              <m:rPr>
                                <m:sty m:val="bi"/>
                              </m:rPr>
                              <w:rPr>
                                <w:rFonts w:ascii="Cambria Math" w:eastAsiaTheme="minorEastAsia" w:hAnsi="Cambria Math"/>
                              </w:rPr>
                              <m:t>x</m:t>
                            </m:r>
                          </m:e>
                          <m:sup>
                            <m:r>
                              <m:rPr>
                                <m:sty m:val="p"/>
                              </m:rPr>
                              <w:rPr>
                                <w:rFonts w:ascii="Cambria Math" w:eastAsiaTheme="minorEastAsia" w:hAnsi="Cambria Math"/>
                              </w:rPr>
                              <m:t>'</m:t>
                            </m:r>
                          </m:sup>
                        </m:sSup>
                        <m:ctrlPr>
                          <w:rPr>
                            <w:rFonts w:ascii="Cambria Math" w:eastAsiaTheme="minorEastAsia" w:hAnsi="Cambria Math"/>
                            <w:i/>
                          </w:rPr>
                        </m:ctrlPr>
                      </m:e>
                    </m:d>
                    <m:ctrlPr>
                      <w:rPr>
                        <w:rFonts w:ascii="Cambria Math" w:eastAsiaTheme="minorEastAsia" w:hAnsi="Cambria Math"/>
                        <w:i/>
                      </w:rPr>
                    </m:ctrlPr>
                  </m:e>
                </m:d>
              </m:oMath>
            </m:oMathPara>
          </w:p>
        </w:tc>
        <w:tc>
          <w:tcPr>
            <w:tcW w:w="985" w:type="dxa"/>
            <w:shd w:val="clear" w:color="auto" w:fill="auto"/>
            <w:vAlign w:val="center"/>
          </w:tcPr>
          <w:p w14:paraId="4AF205E2" w14:textId="08F20095" w:rsidR="005F7550" w:rsidRPr="00A94774" w:rsidRDefault="005F7550" w:rsidP="00D074E6">
            <w:pPr>
              <w:pStyle w:val="Els-body-text"/>
              <w:spacing w:beforeLines="80" w:before="192" w:afterLines="80" w:after="192" w:line="264" w:lineRule="auto"/>
              <w:jc w:val="right"/>
              <w:rPr>
                <w:lang w:val="en-GB"/>
              </w:rPr>
            </w:pPr>
            <w:bookmarkStart w:id="0" w:name="_Ref151970848"/>
            <w:r w:rsidRPr="00A94774">
              <w:rPr>
                <w:lang w:val="en-GB"/>
              </w:rPr>
              <w:t>(</w:t>
            </w:r>
            <w:r w:rsidR="00845201">
              <w:fldChar w:fldCharType="begin"/>
            </w:r>
            <w:r w:rsidR="00845201">
              <w:instrText xml:space="preserve"> SEQ Equation \* ARABIC </w:instrText>
            </w:r>
            <w:r w:rsidR="00845201">
              <w:fldChar w:fldCharType="separate"/>
            </w:r>
            <w:r w:rsidR="00845201">
              <w:rPr>
                <w:noProof/>
              </w:rPr>
              <w:t>1</w:t>
            </w:r>
            <w:r w:rsidR="00845201">
              <w:fldChar w:fldCharType="end"/>
            </w:r>
            <w:r w:rsidRPr="00A94774">
              <w:rPr>
                <w:lang w:val="en-GB"/>
              </w:rPr>
              <w:t>)</w:t>
            </w:r>
            <w:bookmarkEnd w:id="0"/>
          </w:p>
        </w:tc>
      </w:tr>
    </w:tbl>
    <w:p w14:paraId="2802B6EE" w14:textId="61EC5332" w:rsidR="00125D65" w:rsidRPr="00192E5F" w:rsidRDefault="00296426" w:rsidP="0056032F">
      <w:pPr>
        <w:pStyle w:val="Els-body-text"/>
        <w:spacing w:before="80" w:after="80"/>
        <w:rPr>
          <w:lang w:val="en-GB"/>
        </w:rPr>
      </w:pPr>
      <w:r w:rsidRPr="005431E9">
        <w:rPr>
          <w:lang w:val="en-GB"/>
        </w:rPr>
        <w:t>The mea</w:t>
      </w:r>
      <w:r w:rsidR="005F5A0F" w:rsidRPr="005431E9">
        <w:rPr>
          <w:lang w:val="en-GB"/>
        </w:rPr>
        <w:t xml:space="preserve">n is a function of </w:t>
      </w:r>
      <m:oMath>
        <m:r>
          <m:rPr>
            <m:sty m:val="bi"/>
          </m:rPr>
          <w:rPr>
            <w:rFonts w:ascii="Cambria Math" w:hAnsi="Cambria Math"/>
            <w:lang w:val="en-GB"/>
          </w:rPr>
          <m:t>x</m:t>
        </m:r>
      </m:oMath>
      <w:r w:rsidR="00A35DC7" w:rsidRPr="005431E9">
        <w:rPr>
          <w:lang w:val="en-GB"/>
        </w:rPr>
        <w:t xml:space="preserve"> </w:t>
      </w:r>
      <w:r w:rsidR="0034303A" w:rsidRPr="005431E9">
        <w:rPr>
          <w:lang w:val="en-GB"/>
        </w:rPr>
        <w:t>,</w:t>
      </w:r>
      <w:r w:rsidR="00A35DC7" w:rsidRPr="005431E9">
        <w:rPr>
          <w:lang w:val="en-GB"/>
        </w:rPr>
        <w:t>which in practical applications takes to be the zero function</w:t>
      </w:r>
      <w:r w:rsidR="006306F0" w:rsidRPr="005431E9">
        <w:rPr>
          <w:lang w:val="en-GB"/>
        </w:rPr>
        <w:t xml:space="preserve">, </w:t>
      </w:r>
      <w:r w:rsidR="006306F0" w:rsidRPr="0005364B">
        <w:rPr>
          <w:lang w:val="en-GB"/>
        </w:rPr>
        <w:t xml:space="preserve">and the covariance </w:t>
      </w:r>
      <m:oMath>
        <m:r>
          <w:rPr>
            <w:rFonts w:ascii="Cambria Math" w:hAnsi="Cambria Math"/>
            <w:lang w:val="en-GB"/>
          </w:rPr>
          <m:t>k</m:t>
        </m:r>
        <m:d>
          <m:dPr>
            <m:ctrlPr>
              <w:rPr>
                <w:rFonts w:ascii="Cambria Math" w:hAnsi="Cambria Math"/>
                <w:lang w:val="en-GB"/>
              </w:rPr>
            </m:ctrlPr>
          </m:dPr>
          <m:e>
            <m:r>
              <m:rPr>
                <m:sty m:val="bi"/>
              </m:rPr>
              <w:rPr>
                <w:rFonts w:ascii="Cambria Math" w:hAnsi="Cambria Math"/>
                <w:lang w:val="en-GB"/>
              </w:rPr>
              <m:t>x</m:t>
            </m:r>
            <m:r>
              <m:rPr>
                <m:sty m:val="p"/>
              </m:rPr>
              <w:rPr>
                <w:rFonts w:ascii="Cambria Math" w:hAnsi="Cambria Math"/>
                <w:lang w:val="en-GB"/>
              </w:rPr>
              <m:t>,</m:t>
            </m:r>
            <m:sSup>
              <m:sSupPr>
                <m:ctrlPr>
                  <w:rPr>
                    <w:rFonts w:ascii="Cambria Math" w:hAnsi="Cambria Math"/>
                    <w:lang w:val="en-GB"/>
                  </w:rPr>
                </m:ctrlPr>
              </m:sSupPr>
              <m:e>
                <m:r>
                  <m:rPr>
                    <m:sty m:val="bi"/>
                  </m:rPr>
                  <w:rPr>
                    <w:rFonts w:ascii="Cambria Math" w:hAnsi="Cambria Math"/>
                    <w:lang w:val="en-GB"/>
                  </w:rPr>
                  <m:t>x</m:t>
                </m:r>
              </m:e>
              <m:sup>
                <m:r>
                  <m:rPr>
                    <m:sty m:val="p"/>
                  </m:rPr>
                  <w:rPr>
                    <w:rFonts w:ascii="Cambria Math" w:hAnsi="Cambria Math"/>
                    <w:lang w:val="en-GB"/>
                  </w:rPr>
                  <m:t>'</m:t>
                </m:r>
              </m:sup>
            </m:sSup>
          </m:e>
        </m:d>
      </m:oMath>
      <w:r w:rsidR="006306F0" w:rsidRPr="0005364B">
        <w:rPr>
          <w:lang w:val="en-GB"/>
        </w:rPr>
        <w:t xml:space="preserve"> </w:t>
      </w:r>
      <w:r w:rsidR="00AC37FE" w:rsidRPr="0005364B">
        <w:rPr>
          <w:lang w:val="en-GB"/>
        </w:rPr>
        <w:t xml:space="preserve">expresses the </w:t>
      </w:r>
      <w:r w:rsidR="00E70B91" w:rsidRPr="0005364B">
        <w:rPr>
          <w:lang w:val="en-GB"/>
        </w:rPr>
        <w:t xml:space="preserve">expected covariance of </w:t>
      </w:r>
      <m:oMath>
        <m:r>
          <w:rPr>
            <w:rFonts w:ascii="Cambria Math" w:hAnsi="Cambria Math"/>
            <w:lang w:val="en-GB"/>
          </w:rPr>
          <m:t>f</m:t>
        </m:r>
        <m:d>
          <m:dPr>
            <m:ctrlPr>
              <w:rPr>
                <w:rFonts w:ascii="Cambria Math" w:hAnsi="Cambria Math"/>
                <w:lang w:val="en-GB"/>
              </w:rPr>
            </m:ctrlPr>
          </m:dPr>
          <m:e>
            <m:r>
              <m:rPr>
                <m:sty m:val="bi"/>
              </m:rPr>
              <w:rPr>
                <w:rFonts w:ascii="Cambria Math" w:hAnsi="Cambria Math"/>
                <w:lang w:val="en-GB"/>
              </w:rPr>
              <m:t>x</m:t>
            </m:r>
          </m:e>
        </m:d>
      </m:oMath>
      <w:r w:rsidR="00E70B91" w:rsidRPr="0005364B">
        <w:rPr>
          <w:lang w:val="en-GB"/>
        </w:rPr>
        <w:t xml:space="preserve"> </w:t>
      </w:r>
      <w:r w:rsidR="00030FC7" w:rsidRPr="0005364B">
        <w:rPr>
          <w:lang w:val="en-GB"/>
        </w:rPr>
        <w:t xml:space="preserve">at the </w:t>
      </w:r>
      <w:r w:rsidR="006E0624" w:rsidRPr="0005364B">
        <w:rPr>
          <w:lang w:val="en-GB"/>
        </w:rPr>
        <w:t xml:space="preserve">points </w:t>
      </w:r>
      <m:oMath>
        <m:r>
          <m:rPr>
            <m:sty m:val="bi"/>
          </m:rPr>
          <w:rPr>
            <w:rFonts w:ascii="Cambria Math" w:hAnsi="Cambria Math"/>
            <w:lang w:val="en-GB"/>
          </w:rPr>
          <m:t>x</m:t>
        </m:r>
        <m:r>
          <m:rPr>
            <m:sty m:val="p"/>
          </m:rPr>
          <w:rPr>
            <w:rFonts w:ascii="Cambria Math" w:hAnsi="Cambria Math"/>
            <w:lang w:val="en-GB"/>
          </w:rPr>
          <m:t>,</m:t>
        </m:r>
      </m:oMath>
      <w:r w:rsidR="006E0624" w:rsidRPr="0005364B">
        <w:rPr>
          <w:lang w:val="en-GB"/>
        </w:rPr>
        <w:t xml:space="preserve"> </w:t>
      </w:r>
      <w:r w:rsidR="001D0096" w:rsidRPr="0005364B">
        <w:rPr>
          <w:lang w:val="en-GB"/>
        </w:rPr>
        <w:t xml:space="preserve">and </w:t>
      </w:r>
      <m:oMath>
        <m:sSup>
          <m:sSupPr>
            <m:ctrlPr>
              <w:rPr>
                <w:rFonts w:ascii="Cambria Math" w:hAnsi="Cambria Math"/>
                <w:lang w:val="en-GB"/>
              </w:rPr>
            </m:ctrlPr>
          </m:sSupPr>
          <m:e>
            <m:r>
              <m:rPr>
                <m:sty m:val="bi"/>
              </m:rPr>
              <w:rPr>
                <w:rFonts w:ascii="Cambria Math" w:hAnsi="Cambria Math"/>
                <w:lang w:val="en-GB"/>
              </w:rPr>
              <m:t>x</m:t>
            </m:r>
          </m:e>
          <m:sup>
            <m:r>
              <m:rPr>
                <m:sty m:val="p"/>
              </m:rPr>
              <w:rPr>
                <w:rFonts w:ascii="Cambria Math" w:hAnsi="Cambria Math"/>
                <w:lang w:val="en-GB"/>
              </w:rPr>
              <m:t>'</m:t>
            </m:r>
          </m:sup>
        </m:sSup>
      </m:oMath>
      <w:r w:rsidR="00841AE7" w:rsidRPr="0005364B">
        <w:rPr>
          <w:lang w:val="en-GB"/>
        </w:rPr>
        <w:t>.</w:t>
      </w:r>
      <w:r w:rsidR="00773EEA" w:rsidRPr="0005364B">
        <w:rPr>
          <w:lang w:val="en-GB"/>
        </w:rPr>
        <w:t xml:space="preserve"> The covariance function </w:t>
      </w:r>
      <w:r w:rsidR="00D965C7" w:rsidRPr="0005364B">
        <w:rPr>
          <w:lang w:val="en-GB"/>
        </w:rPr>
        <w:t>involves</w:t>
      </w:r>
      <w:r w:rsidR="00717B68" w:rsidRPr="0005364B">
        <w:rPr>
          <w:lang w:val="en-GB"/>
        </w:rPr>
        <w:t xml:space="preserve"> </w:t>
      </w:r>
      <w:r w:rsidR="002A3D55" w:rsidRPr="0005364B">
        <w:rPr>
          <w:lang w:val="en-GB"/>
        </w:rPr>
        <w:t>hyper-</w:t>
      </w:r>
      <w:r w:rsidR="00717B68" w:rsidRPr="0005364B">
        <w:rPr>
          <w:lang w:val="en-GB"/>
        </w:rPr>
        <w:t>parameters</w:t>
      </w:r>
      <w:r w:rsidR="00D965C7" w:rsidRPr="0005364B">
        <w:rPr>
          <w:lang w:val="en-GB"/>
        </w:rPr>
        <w:t>,</w:t>
      </w:r>
      <w:r w:rsidR="00717B68" w:rsidRPr="0005364B">
        <w:rPr>
          <w:lang w:val="en-GB"/>
        </w:rPr>
        <w:t xml:space="preserve"> subject to optimization</w:t>
      </w:r>
      <w:r w:rsidR="00023F65" w:rsidRPr="0005364B">
        <w:rPr>
          <w:lang w:val="en-GB"/>
        </w:rPr>
        <w:t xml:space="preserve">, capturing the relationships of the </w:t>
      </w:r>
      <w:r w:rsidR="002027D4" w:rsidRPr="0005364B">
        <w:rPr>
          <w:lang w:val="en-GB"/>
        </w:rPr>
        <w:t xml:space="preserve">encoding of the reactants according to the respective </w:t>
      </w:r>
      <w:r w:rsidR="002027D4" w:rsidRPr="00192E5F">
        <w:rPr>
          <w:lang w:val="en-GB"/>
        </w:rPr>
        <w:t xml:space="preserve">yield of the reactions. </w:t>
      </w:r>
    </w:p>
    <w:p w14:paraId="2042AE70" w14:textId="02FE0A1B" w:rsidR="00217118" w:rsidRPr="005431E9" w:rsidRDefault="00217118" w:rsidP="0056032F">
      <w:pPr>
        <w:pStyle w:val="Els-body-text"/>
        <w:spacing w:before="80" w:after="80"/>
        <w:rPr>
          <w:lang w:val="en-GB"/>
        </w:rPr>
      </w:pPr>
      <w:r w:rsidRPr="00192E5F">
        <w:rPr>
          <w:lang w:val="en-GB"/>
        </w:rPr>
        <w:t xml:space="preserve">In this study, the evaluation of yield prediction performance led to the identification of the Matern 5/2 covariance with a single </w:t>
      </w:r>
      <w:proofErr w:type="spellStart"/>
      <w:r w:rsidRPr="00192E5F">
        <w:rPr>
          <w:lang w:val="en-GB"/>
        </w:rPr>
        <w:t>lengthscale</w:t>
      </w:r>
      <w:proofErr w:type="spellEnd"/>
      <w:r w:rsidRPr="00192E5F">
        <w:rPr>
          <w:lang w:val="en-GB"/>
        </w:rPr>
        <w:t xml:space="preserve"> hyperparameter as the initial effective choice. However, employing Automatic Relevance Determination (ARD), which assigns </w:t>
      </w:r>
      <w:r w:rsidR="654CF235" w:rsidRPr="00192E5F">
        <w:rPr>
          <w:lang w:val="en-GB"/>
        </w:rPr>
        <w:t xml:space="preserve">a </w:t>
      </w:r>
      <w:proofErr w:type="spellStart"/>
      <w:r w:rsidR="654CF235" w:rsidRPr="00192E5F">
        <w:rPr>
          <w:lang w:val="en-GB"/>
        </w:rPr>
        <w:t>le</w:t>
      </w:r>
      <w:r w:rsidR="00D27EF6" w:rsidRPr="00192E5F">
        <w:rPr>
          <w:lang w:val="en-GB"/>
        </w:rPr>
        <w:t>ngth</w:t>
      </w:r>
      <w:r w:rsidR="654CF235" w:rsidRPr="00192E5F">
        <w:rPr>
          <w:lang w:val="en-GB"/>
        </w:rPr>
        <w:t>scale</w:t>
      </w:r>
      <w:proofErr w:type="spellEnd"/>
      <w:r w:rsidRPr="00192E5F">
        <w:rPr>
          <w:lang w:val="en-GB"/>
        </w:rPr>
        <w:t xml:space="preserve"> </w:t>
      </w:r>
      <w:r w:rsidR="654CF235" w:rsidRPr="00192E5F">
        <w:rPr>
          <w:lang w:val="en-GB"/>
        </w:rPr>
        <w:t>parameter</w:t>
      </w:r>
      <w:r w:rsidRPr="00192E5F">
        <w:rPr>
          <w:lang w:val="en-GB"/>
        </w:rPr>
        <w:t xml:space="preserve"> to each input</w:t>
      </w:r>
      <w:r w:rsidRPr="0056032F">
        <w:rPr>
          <w:rFonts w:eastAsiaTheme="minorEastAsia"/>
          <w:lang w:val="en-GB"/>
        </w:rPr>
        <w:t xml:space="preserve"> dimension, yielded an enhancement in predictive performance. The significance of these </w:t>
      </w:r>
      <w:proofErr w:type="spellStart"/>
      <w:r w:rsidRPr="0056032F">
        <w:rPr>
          <w:rFonts w:eastAsiaTheme="minorEastAsia"/>
          <w:lang w:val="en-GB"/>
        </w:rPr>
        <w:t>lengthscales</w:t>
      </w:r>
      <w:proofErr w:type="spellEnd"/>
      <w:r w:rsidRPr="0056032F">
        <w:rPr>
          <w:rFonts w:eastAsiaTheme="minorEastAsia"/>
          <w:lang w:val="en-GB"/>
        </w:rPr>
        <w:t xml:space="preserve"> lies in their role in defining the smoothness and oscillatory </w:t>
      </w:r>
      <w:r w:rsidR="006A1F33" w:rsidRPr="0056032F">
        <w:rPr>
          <w:rFonts w:eastAsiaTheme="minorEastAsia"/>
          <w:lang w:val="en-GB"/>
        </w:rPr>
        <w:t>behaviour</w:t>
      </w:r>
      <w:r w:rsidRPr="00192E5F">
        <w:rPr>
          <w:lang w:val="en-GB"/>
        </w:rPr>
        <w:t xml:space="preserve"> of the model. While a shared </w:t>
      </w:r>
      <w:proofErr w:type="spellStart"/>
      <w:r w:rsidRPr="00192E5F">
        <w:rPr>
          <w:lang w:val="en-GB"/>
        </w:rPr>
        <w:t>lengthscale</w:t>
      </w:r>
      <w:proofErr w:type="spellEnd"/>
      <w:r w:rsidRPr="00192E5F">
        <w:rPr>
          <w:lang w:val="en-GB"/>
        </w:rPr>
        <w:t xml:space="preserve"> in Matern 5/2 implies a uniform impact across dimensions, ARD's individual </w:t>
      </w:r>
      <w:proofErr w:type="spellStart"/>
      <w:r w:rsidRPr="00192E5F">
        <w:rPr>
          <w:lang w:val="en-GB"/>
        </w:rPr>
        <w:t>lengthscales</w:t>
      </w:r>
      <w:proofErr w:type="spellEnd"/>
      <w:r w:rsidRPr="00192E5F">
        <w:rPr>
          <w:lang w:val="en-GB"/>
        </w:rPr>
        <w:t xml:space="preserve"> enable customized adjustments, thereby influencing the contribution of each input dimension to</w:t>
      </w:r>
      <w:r w:rsidRPr="00217118">
        <w:rPr>
          <w:lang w:val="en-GB"/>
        </w:rPr>
        <w:t xml:space="preserve"> the model's predictive accuracy.</w:t>
      </w:r>
    </w:p>
    <w:p w14:paraId="1036F592" w14:textId="5BD03B70" w:rsidR="00F83054" w:rsidRDefault="00F83054" w:rsidP="00F83054">
      <w:pPr>
        <w:pStyle w:val="Els-2ndorder-head"/>
      </w:pPr>
      <w:r>
        <w:t>Experimental Setup</w:t>
      </w:r>
    </w:p>
    <w:p w14:paraId="5099D177" w14:textId="613BA1FA" w:rsidR="00284DFC" w:rsidRPr="00284DFC" w:rsidRDefault="00284DFC" w:rsidP="00284DFC">
      <w:pPr>
        <w:pStyle w:val="Els-body-text"/>
        <w:rPr>
          <w:lang w:val="en-GB"/>
        </w:rPr>
      </w:pPr>
      <w:r w:rsidRPr="00284DFC">
        <w:rPr>
          <w:lang w:val="en-GB"/>
        </w:rPr>
        <w:t>To evaluate non-parametric models for yield prediction, G</w:t>
      </w:r>
      <w:r w:rsidR="00783250">
        <w:rPr>
          <w:lang w:val="en-GB"/>
        </w:rPr>
        <w:t>P models were compared</w:t>
      </w:r>
      <w:r w:rsidRPr="00284DFC">
        <w:rPr>
          <w:lang w:val="en-GB"/>
        </w:rPr>
        <w:t xml:space="preserve"> with various machine learning (ML) models using the Suzuki-</w:t>
      </w:r>
      <w:proofErr w:type="spellStart"/>
      <w:r w:rsidRPr="00284DFC">
        <w:rPr>
          <w:lang w:val="en-GB"/>
        </w:rPr>
        <w:t>Miyaura</w:t>
      </w:r>
      <w:proofErr w:type="spellEnd"/>
      <w:r w:rsidRPr="00284DFC">
        <w:rPr>
          <w:lang w:val="en-GB"/>
        </w:rPr>
        <w:t xml:space="preserve"> coupling dataset. The data was split into 70% for training and 30% for testing. Hyperparameter tuning</w:t>
      </w:r>
      <w:r w:rsidR="00D57809">
        <w:rPr>
          <w:lang w:val="en-GB"/>
        </w:rPr>
        <w:t xml:space="preserve"> was </w:t>
      </w:r>
      <w:r w:rsidR="00D57809">
        <w:rPr>
          <w:lang w:val="en-GB"/>
        </w:rPr>
        <w:lastRenderedPageBreak/>
        <w:t>conducted</w:t>
      </w:r>
      <w:r w:rsidRPr="00284DFC">
        <w:rPr>
          <w:lang w:val="en-GB"/>
        </w:rPr>
        <w:t xml:space="preserve"> via grid search and five-fold cross-validation, optimized K-Nearest </w:t>
      </w:r>
      <w:proofErr w:type="spellStart"/>
      <w:r w:rsidRPr="00284DFC">
        <w:rPr>
          <w:lang w:val="en-GB"/>
        </w:rPr>
        <w:t>Neighbors</w:t>
      </w:r>
      <w:proofErr w:type="spellEnd"/>
      <w:r w:rsidRPr="00284DFC">
        <w:rPr>
          <w:lang w:val="en-GB"/>
        </w:rPr>
        <w:t xml:space="preserve">, Support Vector Machine Regression, Random Forests, and </w:t>
      </w:r>
      <w:proofErr w:type="spellStart"/>
      <w:r w:rsidRPr="00284DFC">
        <w:rPr>
          <w:lang w:val="en-GB"/>
        </w:rPr>
        <w:t>XGBoost</w:t>
      </w:r>
      <w:proofErr w:type="spellEnd"/>
      <w:r w:rsidRPr="00284DFC">
        <w:rPr>
          <w:lang w:val="en-GB"/>
        </w:rPr>
        <w:t xml:space="preserve">. Optimal hyperparameters were then used to train and compare the models. Simultaneously, a two-layer neural network was implemented with hyperparameters from a previous study </w:t>
      </w:r>
      <w:r w:rsidR="00380712">
        <w:fldChar w:fldCharType="begin" w:fldLock="1"/>
      </w:r>
      <w:r w:rsidR="000A2832">
        <w:instrText>ADDIN CSL_CITATION {"citationItems":[{"id":"ITEM-1","itemData":{"DOI":"10.1038/s41586-018-0307-8","ISSN":"0028-0836","PMID":"30022133","abstract":"The discovery of chemical reactions is an inherently unpredictable and time-consuming process1. An attractive alternative is to predict reactivity, although relevant approaches, such as computer-aided reaction design, are still in their infancy2. Reaction prediction based on high-level quantum chemical methods is complex3, even for simple molecules. Although&amp;nbsp;machine learning is powerful for data analysis4,5, its applications in chemistry are still being developed6. Inspired by strategies based on chemists’ intuition7, we propose that a reaction system controlled by a machine learning algorithm may be able to explore the space of chemical reactions quickly, especially if trained by an expert8. Here we present an organic synthesis robot that can perform chemical reactions and analysis faster than they can be performed manually, as well as predict the reactivity of possible reagent combinations after conducting a small number of experiments, thus effectively navigating chemical reaction space. By using machine learning for decision making, enabled by binary encoding of the chemical inputs, the reactions can be assessed in real time using nuclear magnetic resonance and infrared spectroscopy. The machine learning system was able to predict the reactivity of about 1,000 reaction combinations with accuracy greater than 80 per cent after considering the outcomes of slightly over 10 per cent of the dataset. This approach was also used to calculate the reactivity of published datasets. Further, by using real-time data from our robot, these predictions were followed up manually by a chemist, leading to the discovery of four reactions. A robot instructed by a machine learning algorithm and coupled with real-time spectroscopic systems provides fast and accurate reaction outcome predictions and reactivity assessments, leading to the discovery of new reactions.","author":[{"dropping-particle":"","family":"Granda","given":"Jarosław M.","non-dropping-particle":"","parse-names":false,"suffix":""},{"dropping-particle":"","family":"Donina","given":"Liva","non-dropping-particle":"","parse-names":false,"suffix":""},{"dropping-particle":"","family":"Dragone","given":"Vincenza","non-dropping-particle":"","parse-names":false,"suffix":""},{"dropping-particle":"","family":"Long","given":"De-Liang","non-dropping-particle":"","parse-names":false,"suffix":""},{"dropping-particle":"","family":"Cronin","given":"Leroy","non-dropping-particle":"","parse-names":false,"suffix":""}],"container-title":"Nature","id":"ITEM-1","issue":"7714","issued":{"date-parts":[["2018","7","18"]]},"page":"377-381","publisher":"Nature Publishing Group","title":"Controlling an organic synthesis robot with machine learning to search for new reactivity","type":"article-journal","volume":"559"},"uris":["http://www.mendeley.com/documents/?uuid=fc120a6f-5991-364a-b5cd-67279c548526"]}],"mendeley":{"formattedCitation":"(Granda et al., 2018)","plainTextFormattedCitation":"(Granda et al., 2018)","previouslyFormattedCitation":"(Granda et al., 2018)"},"properties":{"noteIndex":0},"schema":"https://github.com/citation-style-language/schema/raw/master/csl-citation.json"}</w:instrText>
      </w:r>
      <w:r w:rsidR="00380712">
        <w:fldChar w:fldCharType="separate"/>
      </w:r>
      <w:r w:rsidR="00380712" w:rsidRPr="00D47E2A">
        <w:rPr>
          <w:noProof/>
        </w:rPr>
        <w:t>(Granda et al., 2018)</w:t>
      </w:r>
      <w:r w:rsidR="00380712">
        <w:fldChar w:fldCharType="end"/>
      </w:r>
      <w:r w:rsidR="00380712">
        <w:t xml:space="preserve">. </w:t>
      </w:r>
      <w:r w:rsidRPr="00284DFC">
        <w:rPr>
          <w:lang w:val="en-GB"/>
        </w:rPr>
        <w:t>The network underwent a 200-epoch training regimen</w:t>
      </w:r>
      <w:r w:rsidR="00847377">
        <w:rPr>
          <w:lang w:val="en-GB"/>
        </w:rPr>
        <w:t xml:space="preserve"> and it was</w:t>
      </w:r>
      <w:r w:rsidRPr="00284DFC">
        <w:rPr>
          <w:lang w:val="en-GB"/>
        </w:rPr>
        <w:t xml:space="preserve"> evaluated using a validation dataset. The best-performing epoch was identified </w:t>
      </w:r>
      <w:r w:rsidR="004C2A92">
        <w:rPr>
          <w:lang w:val="en-GB"/>
        </w:rPr>
        <w:t>and retrained</w:t>
      </w:r>
      <w:r w:rsidRPr="00284DFC">
        <w:rPr>
          <w:lang w:val="en-GB"/>
        </w:rPr>
        <w:t xml:space="preserve"> with the validation dataset. In parallel, </w:t>
      </w:r>
      <w:r w:rsidR="00066429">
        <w:rPr>
          <w:lang w:val="en-GB"/>
        </w:rPr>
        <w:t>GP</w:t>
      </w:r>
      <w:r w:rsidRPr="00284DFC">
        <w:rPr>
          <w:lang w:val="en-GB"/>
        </w:rPr>
        <w:t xml:space="preserve"> regression models were deployed using the Matern 5/2 kernel with a unique </w:t>
      </w:r>
      <w:proofErr w:type="spellStart"/>
      <w:r w:rsidRPr="00284DFC">
        <w:rPr>
          <w:lang w:val="en-GB"/>
        </w:rPr>
        <w:t>lengthscale</w:t>
      </w:r>
      <w:proofErr w:type="spellEnd"/>
      <w:r w:rsidRPr="00284DFC">
        <w:rPr>
          <w:lang w:val="en-GB"/>
        </w:rPr>
        <w:t xml:space="preserve"> parameter for all input dimensions. Another </w:t>
      </w:r>
      <w:r w:rsidR="00066429">
        <w:rPr>
          <w:lang w:val="en-GB"/>
        </w:rPr>
        <w:t>GP</w:t>
      </w:r>
      <w:r w:rsidRPr="00284DFC">
        <w:rPr>
          <w:lang w:val="en-GB"/>
        </w:rPr>
        <w:t xml:space="preserve"> model with Matern 5/2 kernel and Automatic Relevance Determination (ARD) was tested for predictive performance. This process was repeated 100 times with different random seeds for reproducibility. Additionally, to assess GP models on small datasets, GPs and Neural Networks were trained on fractions from 0.1 to 0.8 of the entire dataset and tested on the remaining data. This was performed across 100 random train/test splits for each fraction. Performance metrics included Root Mean Squared Error and R², evaluating prediction accuracy and </w:t>
      </w:r>
      <w:r w:rsidR="0011534D" w:rsidRPr="0011534D">
        <w:rPr>
          <w:lang w:val="en-GB"/>
        </w:rPr>
        <w:t>how well a model explains variance in the dependent variable for unseen test data</w:t>
      </w:r>
      <w:r w:rsidRPr="00284DFC">
        <w:rPr>
          <w:lang w:val="en-GB"/>
        </w:rPr>
        <w:t>.</w:t>
      </w:r>
    </w:p>
    <w:p w14:paraId="144DE6A1" w14:textId="440304A3" w:rsidR="008D2649" w:rsidRPr="00A94774" w:rsidRDefault="00DD2BC7" w:rsidP="008D2649">
      <w:pPr>
        <w:pStyle w:val="Els-1storder-head"/>
        <w:spacing w:after="120"/>
        <w:rPr>
          <w:lang w:val="en-GB"/>
        </w:rPr>
      </w:pPr>
      <w:r>
        <w:rPr>
          <w:lang w:val="en-GB"/>
        </w:rPr>
        <w:t>Results</w:t>
      </w:r>
    </w:p>
    <w:p w14:paraId="36B50729" w14:textId="3AA480AD" w:rsidR="006D1F4D" w:rsidRDefault="007D246E" w:rsidP="006D1F4D">
      <w:pPr>
        <w:pStyle w:val="Els-2ndorder-head"/>
      </w:pPr>
      <w:r>
        <w:t>Model Comparison</w:t>
      </w:r>
      <w:r w:rsidR="006D1F4D">
        <w:t xml:space="preserve"> </w:t>
      </w:r>
    </w:p>
    <w:p w14:paraId="2FE7AB96" w14:textId="1C81AE12" w:rsidR="00360E95" w:rsidRDefault="001A6AA9" w:rsidP="008D2649">
      <w:pPr>
        <w:pStyle w:val="Els-body-text"/>
        <w:rPr>
          <w:lang w:val="en-GB"/>
        </w:rPr>
      </w:pPr>
      <w:r w:rsidRPr="001A6AA9">
        <w:rPr>
          <w:lang w:val="en-GB"/>
        </w:rPr>
        <w:t xml:space="preserve">The best-performing models from each of the 100 70/30 train/test splits were compared. As shown in </w:t>
      </w:r>
      <w:r w:rsidR="00EE3247">
        <w:rPr>
          <w:lang w:val="en-GB"/>
        </w:rPr>
        <w:fldChar w:fldCharType="begin"/>
      </w:r>
      <w:r w:rsidR="00EE3247">
        <w:rPr>
          <w:lang w:val="en-GB"/>
        </w:rPr>
        <w:instrText xml:space="preserve"> REF _Ref151970889 \h </w:instrText>
      </w:r>
      <w:r w:rsidR="0041520B">
        <w:rPr>
          <w:lang w:val="en-GB"/>
        </w:rPr>
        <w:instrText xml:space="preserve"> \* MERGEFORMAT </w:instrText>
      </w:r>
      <w:r w:rsidR="00EE3247">
        <w:rPr>
          <w:lang w:val="en-GB"/>
        </w:rPr>
      </w:r>
      <w:r w:rsidR="00EE3247">
        <w:rPr>
          <w:lang w:val="en-GB"/>
        </w:rPr>
        <w:fldChar w:fldCharType="separate"/>
      </w:r>
      <w:r w:rsidR="00EE3247" w:rsidRPr="0041520B">
        <w:rPr>
          <w:bCs/>
        </w:rPr>
        <w:t xml:space="preserve">Fig. </w:t>
      </w:r>
      <w:r w:rsidR="00EE3247" w:rsidRPr="00C473D1">
        <w:rPr>
          <w:bCs/>
          <w:noProof/>
        </w:rPr>
        <w:t>2</w:t>
      </w:r>
      <w:r w:rsidR="00EE3247">
        <w:rPr>
          <w:lang w:val="en-GB"/>
        </w:rPr>
        <w:fldChar w:fldCharType="end"/>
      </w:r>
      <w:r w:rsidR="0041520B">
        <w:rPr>
          <w:lang w:val="en-GB"/>
        </w:rPr>
        <w:t>a</w:t>
      </w:r>
      <w:r w:rsidRPr="001A6AA9">
        <w:rPr>
          <w:lang w:val="en-GB"/>
        </w:rPr>
        <w:t xml:space="preserve">, </w:t>
      </w:r>
      <w:r w:rsidR="003652C7" w:rsidRPr="001A6AA9">
        <w:rPr>
          <w:lang w:val="en-GB"/>
        </w:rPr>
        <w:t>k-Nearest Neighbour demonstrated the poorest predictive performance</w:t>
      </w:r>
      <w:r w:rsidR="003652C7">
        <w:rPr>
          <w:lang w:val="en-GB"/>
        </w:rPr>
        <w:t xml:space="preserve"> among all the </w:t>
      </w:r>
      <w:r w:rsidR="004A1F38">
        <w:rPr>
          <w:lang w:val="en-GB"/>
        </w:rPr>
        <w:t>te</w:t>
      </w:r>
      <w:r w:rsidR="00590B2C">
        <w:rPr>
          <w:lang w:val="en-GB"/>
        </w:rPr>
        <w:t>sted models</w:t>
      </w:r>
      <w:r w:rsidR="003652C7">
        <w:rPr>
          <w:lang w:val="en-GB"/>
        </w:rPr>
        <w:t xml:space="preserve">, while </w:t>
      </w:r>
      <w:r w:rsidR="00566CA5">
        <w:rPr>
          <w:lang w:val="en-GB"/>
        </w:rPr>
        <w:t>SVM</w:t>
      </w:r>
      <w:r w:rsidRPr="001A6AA9">
        <w:rPr>
          <w:lang w:val="en-GB"/>
        </w:rPr>
        <w:t xml:space="preserve">, Neural Networks, and Ensemble models (Random Forest and </w:t>
      </w:r>
      <w:proofErr w:type="spellStart"/>
      <w:r w:rsidRPr="001A6AA9">
        <w:rPr>
          <w:lang w:val="en-GB"/>
        </w:rPr>
        <w:t>XGBoost</w:t>
      </w:r>
      <w:proofErr w:type="spellEnd"/>
      <w:r w:rsidRPr="001A6AA9">
        <w:rPr>
          <w:lang w:val="en-GB"/>
        </w:rPr>
        <w:t xml:space="preserve">) exhibited similar performance, with their </w:t>
      </w:r>
      <w:r w:rsidR="00077541">
        <w:rPr>
          <w:lang w:val="en-GB"/>
        </w:rPr>
        <w:t>R</w:t>
      </w:r>
      <w:r w:rsidR="00077541" w:rsidRPr="00077541">
        <w:rPr>
          <w:vertAlign w:val="superscript"/>
          <w:lang w:val="en-GB"/>
        </w:rPr>
        <w:t>2</w:t>
      </w:r>
      <w:r w:rsidR="00077541">
        <w:rPr>
          <w:lang w:val="en-GB"/>
        </w:rPr>
        <w:t xml:space="preserve"> and RMSE </w:t>
      </w:r>
      <w:r w:rsidRPr="001A6AA9">
        <w:rPr>
          <w:lang w:val="en-GB"/>
        </w:rPr>
        <w:t xml:space="preserve">falling within the confidence interval of the Neural Network; Ensemble models performed better. Gaussian Processes with Matern 5/2 showed slightly superior performance to </w:t>
      </w:r>
      <w:proofErr w:type="spellStart"/>
      <w:r w:rsidRPr="001A6AA9">
        <w:rPr>
          <w:lang w:val="en-GB"/>
        </w:rPr>
        <w:t>XGBoost</w:t>
      </w:r>
      <w:proofErr w:type="spellEnd"/>
      <w:r w:rsidRPr="001A6AA9">
        <w:rPr>
          <w:lang w:val="en-GB"/>
        </w:rPr>
        <w:t>. Notably, GP with Automatic Relevance Determination (ARD) demonstrated the best performance, with its 95% confidence interval values surpassing the best possible performance of its counterparts. Additionally, GP models exhibited less variability in performance. Regarding Root Mean Squared Error (</w:t>
      </w:r>
      <w:r w:rsidR="0041520B" w:rsidRPr="0041520B">
        <w:rPr>
          <w:lang w:val="en-GB"/>
        </w:rPr>
        <w:fldChar w:fldCharType="begin"/>
      </w:r>
      <w:r w:rsidR="0041520B" w:rsidRPr="0041520B">
        <w:rPr>
          <w:lang w:val="en-GB"/>
        </w:rPr>
        <w:instrText xml:space="preserve"> REF _Ref151970889 \h  \* MERGEFORMAT </w:instrText>
      </w:r>
      <w:r w:rsidR="0041520B" w:rsidRPr="0041520B">
        <w:rPr>
          <w:lang w:val="en-GB"/>
        </w:rPr>
      </w:r>
      <w:r w:rsidR="0041520B" w:rsidRPr="0041520B">
        <w:rPr>
          <w:lang w:val="en-GB"/>
        </w:rPr>
        <w:fldChar w:fldCharType="separate"/>
      </w:r>
      <w:r w:rsidR="0041520B" w:rsidRPr="0041520B">
        <w:t xml:space="preserve">Fig. </w:t>
      </w:r>
      <w:r w:rsidR="0041520B" w:rsidRPr="0041520B">
        <w:rPr>
          <w:noProof/>
        </w:rPr>
        <w:t>2</w:t>
      </w:r>
      <w:r w:rsidR="0041520B" w:rsidRPr="0041520B">
        <w:rPr>
          <w:lang w:val="en-GB"/>
        </w:rPr>
        <w:fldChar w:fldCharType="end"/>
      </w:r>
      <w:r w:rsidR="0041520B" w:rsidRPr="0041520B">
        <w:rPr>
          <w:lang w:val="en-GB"/>
        </w:rPr>
        <w:t>b</w:t>
      </w:r>
      <w:r w:rsidRPr="001A6AA9">
        <w:rPr>
          <w:lang w:val="en-GB"/>
        </w:rPr>
        <w:t>), the results aligned with the R² metric, where GP with ARD displayed the lowest error, indicating superior predictive accuracy.</w:t>
      </w:r>
    </w:p>
    <w:p w14:paraId="19074F59" w14:textId="77777777" w:rsidR="00CE7A4C" w:rsidRDefault="00CE7A4C" w:rsidP="00CE7A4C">
      <w:pPr>
        <w:jc w:val="center"/>
        <w:rPr>
          <w:lang w:val="en-US"/>
        </w:rPr>
      </w:pPr>
      <w:r>
        <w:rPr>
          <w:noProof/>
          <w:lang w:val="en-US"/>
        </w:rPr>
        <w:drawing>
          <wp:inline distT="0" distB="0" distL="0" distR="0" wp14:anchorId="4F65D318" wp14:editId="71F5FD32">
            <wp:extent cx="4500000" cy="1887383"/>
            <wp:effectExtent l="0" t="0" r="0" b="0"/>
            <wp:docPr id="1919729377" name="Graphic 1919729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538315" name="Graphic 1346538315"/>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00000" cy="1887383"/>
                    </a:xfrm>
                    <a:prstGeom prst="rect">
                      <a:avLst/>
                    </a:prstGeom>
                  </pic:spPr>
                </pic:pic>
              </a:graphicData>
            </a:graphic>
          </wp:inline>
        </w:drawing>
      </w:r>
    </w:p>
    <w:p w14:paraId="5B736D51" w14:textId="72440751" w:rsidR="001015F4" w:rsidRDefault="00CE7A4C" w:rsidP="001015F4">
      <w:pPr>
        <w:pStyle w:val="figurecaption"/>
        <w:spacing w:before="0"/>
        <w:jc w:val="both"/>
      </w:pPr>
      <w:r>
        <w:rPr>
          <w:b/>
        </w:rPr>
        <w:t xml:space="preserve">Fig. </w:t>
      </w:r>
      <w:r>
        <w:rPr>
          <w:b/>
        </w:rPr>
        <w:fldChar w:fldCharType="begin"/>
      </w:r>
      <w:r>
        <w:rPr>
          <w:b/>
        </w:rPr>
        <w:instrText xml:space="preserve"> SEQ "Figure" \* MERGEFORMAT </w:instrText>
      </w:r>
      <w:r>
        <w:rPr>
          <w:b/>
        </w:rPr>
        <w:fldChar w:fldCharType="separate"/>
      </w:r>
      <w:r>
        <w:rPr>
          <w:b/>
          <w:noProof/>
        </w:rPr>
        <w:t>2</w:t>
      </w:r>
      <w:r>
        <w:rPr>
          <w:b/>
        </w:rPr>
        <w:fldChar w:fldCharType="end"/>
      </w:r>
      <w:r>
        <w:rPr>
          <w:b/>
        </w:rPr>
        <w:t>.</w:t>
      </w:r>
      <w:r>
        <w:t xml:space="preserve"> </w:t>
      </w:r>
      <w:r w:rsidRPr="009D4E15">
        <w:rPr>
          <w:lang w:val="en-GB"/>
        </w:rPr>
        <w:t xml:space="preserve">Predictive performance metrics on test data for </w:t>
      </w:r>
      <w:r w:rsidR="002A4D30">
        <w:rPr>
          <w:lang w:val="en-GB"/>
        </w:rPr>
        <w:t xml:space="preserve">the </w:t>
      </w:r>
      <w:r w:rsidRPr="009D4E15">
        <w:rPr>
          <w:lang w:val="en-GB"/>
        </w:rPr>
        <w:t xml:space="preserve">evaluated models. </w:t>
      </w:r>
      <w:r>
        <w:rPr>
          <w:lang w:val="en-GB"/>
        </w:rPr>
        <w:t>Including</w:t>
      </w:r>
      <w:r w:rsidRPr="009D4E15">
        <w:rPr>
          <w:lang w:val="en-GB"/>
        </w:rPr>
        <w:t xml:space="preserve"> the mean and standard deviation across 100 random 70/30 train/test splits for each model. Values and 95% confidence intervals are shown for: A) Coefficient of determination, and B) </w:t>
      </w:r>
      <w:r w:rsidR="00864B3A">
        <w:rPr>
          <w:lang w:val="en-GB"/>
        </w:rPr>
        <w:t>RMSE</w:t>
      </w:r>
      <w:r w:rsidR="001015F4">
        <w:rPr>
          <w:lang w:val="en-GB"/>
        </w:rPr>
        <w:t>.</w:t>
      </w:r>
    </w:p>
    <w:p w14:paraId="3974A6C5" w14:textId="5CF91A51" w:rsidR="00D45F2E" w:rsidRDefault="00D45F2E" w:rsidP="00D45F2E">
      <w:pPr>
        <w:pStyle w:val="Els-2ndorder-head"/>
      </w:pPr>
      <w:r>
        <w:lastRenderedPageBreak/>
        <w:t>Predictive Performance Fractions</w:t>
      </w:r>
      <w:r w:rsidR="002C14B6">
        <w:t xml:space="preserve"> of the Dataset</w:t>
      </w:r>
    </w:p>
    <w:p w14:paraId="207AA4C1" w14:textId="61D674B3" w:rsidR="00CC2E8A" w:rsidRDefault="00D45F2E" w:rsidP="00CC2E8A">
      <w:pPr>
        <w:pStyle w:val="Els-body-text"/>
      </w:pPr>
      <w:r w:rsidRPr="00E8192E">
        <w:rPr>
          <w:lang w:val="en-GB"/>
        </w:rPr>
        <w:t>The performance of predicting reaction yields was assessed using dataset fractions ranging from 0.1 to 0.8, with the remaining portion used for predictions. Both configurations of GP</w:t>
      </w:r>
      <w:r w:rsidR="007A7D86">
        <w:rPr>
          <w:lang w:val="en-GB"/>
        </w:rPr>
        <w:t>s</w:t>
      </w:r>
      <w:r w:rsidRPr="00E8192E">
        <w:rPr>
          <w:lang w:val="en-GB"/>
        </w:rPr>
        <w:t xml:space="preserve"> were compared with a two-layer neural network, each fraction trained 100 times with different random seeds.</w:t>
      </w:r>
      <w:r>
        <w:rPr>
          <w:lang w:val="en-GB"/>
        </w:rPr>
        <w:t xml:space="preserve"> </w:t>
      </w:r>
      <w:r w:rsidR="00133E5B" w:rsidRPr="00133E5B">
        <w:rPr>
          <w:lang w:val="en-GB"/>
        </w:rPr>
        <w:fldChar w:fldCharType="begin"/>
      </w:r>
      <w:r w:rsidR="00133E5B" w:rsidRPr="00133E5B">
        <w:rPr>
          <w:lang w:val="en-GB"/>
        </w:rPr>
        <w:instrText xml:space="preserve"> REF _Ref151970987 \h  \* MERGEFORMAT </w:instrText>
      </w:r>
      <w:r w:rsidR="00133E5B" w:rsidRPr="00133E5B">
        <w:rPr>
          <w:lang w:val="en-GB"/>
        </w:rPr>
      </w:r>
      <w:r w:rsidR="00133E5B" w:rsidRPr="00133E5B">
        <w:rPr>
          <w:lang w:val="en-GB"/>
        </w:rPr>
        <w:fldChar w:fldCharType="separate"/>
      </w:r>
      <w:r w:rsidR="00133E5B" w:rsidRPr="00133E5B">
        <w:t xml:space="preserve">Fig. </w:t>
      </w:r>
      <w:r w:rsidR="00133E5B" w:rsidRPr="00133E5B">
        <w:rPr>
          <w:noProof/>
        </w:rPr>
        <w:t>3</w:t>
      </w:r>
      <w:r w:rsidR="00133E5B" w:rsidRPr="00133E5B">
        <w:rPr>
          <w:lang w:val="en-GB"/>
        </w:rPr>
        <w:fldChar w:fldCharType="end"/>
      </w:r>
      <w:r w:rsidR="00133E5B">
        <w:rPr>
          <w:lang w:val="en-GB"/>
        </w:rPr>
        <w:t xml:space="preserve"> </w:t>
      </w:r>
      <w:r w:rsidRPr="00E8192E">
        <w:rPr>
          <w:lang w:val="en-GB"/>
        </w:rPr>
        <w:t>illustrates a performance trend, showing that GP models exhibit significantly better performance when trained with 10% of the dataset.</w:t>
      </w:r>
      <w:r w:rsidR="00CC2E8A">
        <w:rPr>
          <w:lang w:val="en-GB"/>
        </w:rPr>
        <w:t xml:space="preserve"> </w:t>
      </w:r>
      <w:r w:rsidR="00CC2E8A" w:rsidRPr="00E8192E">
        <w:rPr>
          <w:lang w:val="en-GB"/>
        </w:rPr>
        <w:t>GPs consistently outperform neural networks, as evident in the depicted confidence intervals for each model. Notably, GP with Automatic Relevance Determination (ARD) consistently outperforms both models. It's worth highlighting that GP with ARD, trained with 0.4 of the dataset, achieves slightly better performance than training the neural network and GP model with 0.8 of the dataset.</w:t>
      </w:r>
      <w:r w:rsidR="00CC2E8A">
        <w:t xml:space="preserve"> </w:t>
      </w:r>
    </w:p>
    <w:p w14:paraId="462233E1" w14:textId="77777777" w:rsidR="00D074E6" w:rsidRPr="000F3F0A" w:rsidRDefault="00D074E6" w:rsidP="00D074E6">
      <w:pPr>
        <w:jc w:val="center"/>
        <w:rPr>
          <w:lang w:val="en-US"/>
        </w:rPr>
      </w:pPr>
      <w:r>
        <w:rPr>
          <w:noProof/>
          <w:lang w:val="en-US"/>
        </w:rPr>
        <w:drawing>
          <wp:inline distT="0" distB="0" distL="0" distR="0" wp14:anchorId="4214B770" wp14:editId="32993267">
            <wp:extent cx="4500000" cy="1643963"/>
            <wp:effectExtent l="0" t="0" r="0" b="0"/>
            <wp:docPr id="1131078165" name="Graphic 1131078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508950" name="Graphic 3"/>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00000" cy="1643963"/>
                    </a:xfrm>
                    <a:prstGeom prst="rect">
                      <a:avLst/>
                    </a:prstGeom>
                  </pic:spPr>
                </pic:pic>
              </a:graphicData>
            </a:graphic>
          </wp:inline>
        </w:drawing>
      </w:r>
    </w:p>
    <w:p w14:paraId="0219907C" w14:textId="0E3C9AF8" w:rsidR="00C4483F" w:rsidRDefault="00D074E6" w:rsidP="00D074E6">
      <w:pPr>
        <w:pStyle w:val="figurecaption"/>
        <w:spacing w:before="0"/>
        <w:jc w:val="both"/>
      </w:pPr>
      <w:r>
        <w:rPr>
          <w:b/>
        </w:rPr>
        <w:t xml:space="preserve">Fig. </w:t>
      </w:r>
      <w:r>
        <w:rPr>
          <w:b/>
        </w:rPr>
        <w:fldChar w:fldCharType="begin"/>
      </w:r>
      <w:r>
        <w:rPr>
          <w:b/>
        </w:rPr>
        <w:instrText xml:space="preserve"> SEQ "Figure" \* MERGEFORMAT </w:instrText>
      </w:r>
      <w:r>
        <w:rPr>
          <w:b/>
        </w:rPr>
        <w:fldChar w:fldCharType="separate"/>
      </w:r>
      <w:r>
        <w:rPr>
          <w:b/>
          <w:noProof/>
        </w:rPr>
        <w:t>3</w:t>
      </w:r>
      <w:r>
        <w:rPr>
          <w:b/>
        </w:rPr>
        <w:fldChar w:fldCharType="end"/>
      </w:r>
      <w:r>
        <w:rPr>
          <w:b/>
        </w:rPr>
        <w:t>.</w:t>
      </w:r>
      <w:r>
        <w:t xml:space="preserve"> </w:t>
      </w:r>
      <w:r w:rsidRPr="00DD0575">
        <w:t>Predictive performance of training dataset fractions for Neural Network, GP, and GP with ARD models. The shaded regions around each line depict the 95% confidence interval based on 100 tests for: A) Coefficient of determination, and B) Root mean squared error.</w:t>
      </w:r>
    </w:p>
    <w:p w14:paraId="144DE6B7" w14:textId="2346DE6E" w:rsidR="00A5015D" w:rsidRDefault="00DD2BC7" w:rsidP="00A5015D">
      <w:pPr>
        <w:pStyle w:val="Els-1storder-head"/>
        <w:spacing w:after="120"/>
        <w:rPr>
          <w:lang w:val="en-GB"/>
        </w:rPr>
      </w:pPr>
      <w:r>
        <w:rPr>
          <w:lang w:val="en-GB"/>
        </w:rPr>
        <w:t>Discussion</w:t>
      </w:r>
    </w:p>
    <w:p w14:paraId="0495B5EB" w14:textId="4892087D" w:rsidR="00CE618C" w:rsidRDefault="00CE618C" w:rsidP="0056032F">
      <w:pPr>
        <w:pStyle w:val="Els-body-text"/>
      </w:pPr>
      <w:r>
        <w:t xml:space="preserve">The evaluation of GP models for reaction yield prediction indicates that optimizing a single </w:t>
      </w:r>
      <w:proofErr w:type="spellStart"/>
      <w:r>
        <w:t>lengthscale</w:t>
      </w:r>
      <w:proofErr w:type="spellEnd"/>
      <w:r>
        <w:t xml:space="preserve"> parameter for all input dimensions achieves comparable or superior performance to ensemble models, two-layer neural networks, and transformer-based models reported in previous studies. Optimizing </w:t>
      </w:r>
      <w:proofErr w:type="spellStart"/>
      <w:r>
        <w:t>lengthscales</w:t>
      </w:r>
      <w:proofErr w:type="spellEnd"/>
      <w:r>
        <w:t xml:space="preserve"> for each input dimension significantly impacts the model's ability to discern individual dimensions' influence on predictive accuracy, resulting in substantial performance improvement against all tested models, comparable to GNN-based models known for superior structural information encoding </w:t>
      </w:r>
      <w:r>
        <w:fldChar w:fldCharType="begin" w:fldLock="1"/>
      </w:r>
      <w:r w:rsidR="00E16EC0">
        <w:instrText>ADDIN CSL_CITATION {"citationItems":[{"id":"ITEM-1","itemData":{"DOI":"10.1039/d2sc06041h","ISSN":"20416539","abstract":"The lack of publicly available, large, and unbiased datasets is a key bottleneck for the application of machine learning (ML) methods in synthetic chemistry. Data from electronic laboratory notebooks (ELNs) could provide less biased, large datasets, but no such datasets have been made publicly available. The first real-world dataset from the ELNs of a large pharmaceutical company is disclosed and its relationship to high-throughput experimentation (HTE) datasets is described. For chemical yield predictions, a key task in chemical synthesis, an attributed graph neural network (AGNN) performs as well as or better than the best previous models on two HTE datasets for the Suzuki-Miyaura and Buchwald-Hartwig reactions. However, training the AGNN on an ELN dataset does not lead to a predictive model. The implications of using ELN data for training ML-based models are discussed in the context of yield predictions.","author":[{"dropping-particle":"","family":"Saebi","given":"Mandana","non-dropping-particle":"","parse-names":false,"suffix":""},{"dropping-particle":"","family":"Nan","given":"Bozhao","non-dropping-particle":"","parse-names":false,"suffix":""},{"dropping-particle":"","family":"Herr","given":"John E.","non-dropping-particle":"","parse-names":false,"suffix":""},{"dropping-particle":"","family":"Wahlers","given":"Jessica","non-dropping-particle":"","parse-names":false,"suffix":""},{"dropping-particle":"","family":"Guo","given":"Zhichun","non-dropping-particle":"","parse-names":false,"suffix":""},{"dropping-particle":"","family":"Zurański","given":"Andrzej M.","non-dropping-particle":"","parse-names":false,"suffix":""},{"dropping-particle":"","family":"Kogej","given":"Thierry","non-dropping-particle":"","parse-names":false,"suffix":""},{"dropping-particle":"","family":"Norrby","given":"Per Ola","non-dropping-particle":"","parse-names":false,"suffix":""},{"dropping-particle":"","family":"Doyle","given":"Abigail G.","non-dropping-particle":"","parse-names":false,"suffix":""},{"dropping-particle":"V.","family":"Chawla","given":"Nitesh","non-dropping-particle":"","parse-names":false,"suffix":""},{"dropping-particle":"","family":"Wiest","given":"Olaf","non-dropping-particle":"","parse-names":false,"suffix":""}],"container-title":"Chemical Science","id":"ITEM-1","issue":"19","issued":{"date-parts":[["2023","5","17"]]},"page":"4997-5005","publisher":"The Royal Society of Chemistry","title":"On the use of real-world datasets for reaction yield prediction","type":"article-journal","volume":"14"},"uris":["http://www.mendeley.com/documents/?uuid=b8b804bb-1a84-3b7b-b44a-48759533ca5f"]},{"id":"ITEM-2","itemData":{"DOI":"10.1186/s13321-021-00579-z","ISSN":"17582946","abstract":"In this paper, we present a data-driven method for the uncertainty-aware prediction of chemical reaction yields. The reactants and products in a chemical reaction are represented as a set of molecular graphs. The predictive distribution of the yield is modeled as a graph neural network that directly processes a set of graphs with permutation invariance. Uncertainty-aware learning and inference are applied to the model to make accurate predictions and to evaluate their uncertainty. We demonstrate the effectiveness of the proposed method on benchmark datasets with various settings. Compared to the existing methods, the proposed method improves the prediction and uncertainty quantification performance in most settings.","author":[{"dropping-particle":"","family":"Kwon","given":"Youngchun","non-dropping-particle":"","parse-names":false,"suffix":""},{"dropping-particle":"","family":"Lee","given":"Dongseon","non-dropping-particle":"","parse-names":false,"suffix":""},{"dropping-particle":"","family":"Choi","given":"Youn Suk","non-dropping-particle":"","parse-names":false,"suffix":""},{"dropping-particle":"","family":"Kang","given":"Seokho","non-dropping-particle":"","parse-names":false,"suffix":""}],"container-title":"Journal of Cheminformatics","id":"ITEM-2","issue":"1","issued":{"date-parts":[["2022","12","10"]]},"page":"2","publisher":"BioMed Central Ltd","title":"Uncertainty-aware prediction of chemical reaction yields with graph neural networks","type":"article-journal","volume":"14"},"uris":["http://www.mendeley.com/documents/?uuid=020d0b51-edc5-3169-bbe7-05754e26c780"]}],"mendeley":{"formattedCitation":"(Kwon et al., 2022; Saebi et al., 2023)","manualFormatting":"(Saebi et al., 2023)","plainTextFormattedCitation":"(Kwon et al., 2022; Saebi et al., 2023)","previouslyFormattedCitation":"(Kwon et al., 2022; Saebi et al., 2023)"},"properties":{"noteIndex":0},"schema":"https://github.com/citation-style-language/schema/raw/master/csl-citation.json"}</w:instrText>
      </w:r>
      <w:r>
        <w:fldChar w:fldCharType="separate"/>
      </w:r>
      <w:r w:rsidRPr="00F4179A">
        <w:rPr>
          <w:noProof/>
        </w:rPr>
        <w:t>(Saebi et al., 2023)</w:t>
      </w:r>
      <w:r>
        <w:fldChar w:fldCharType="end"/>
      </w:r>
      <w:r>
        <w:t>. Gaussian processes show adaptability for modelling intricate relationships without a specific functional form, pivotal in datasets with complex patterns or challenging scenarios for traditional ML models. ARD kernels enhance adaptability by automatically adjusting feature relevance, prioritizing those significantly contributing to yield prediction. The non-parametric nature of GPs with ARD proves beneficial in scenarios with varying feature importance, and automatic feature selection within ARD kernels prevents overfitting. This study unveils GPs' intriguing capability to achieve high performance even with small datasets (10% of the total), attributed to their non-parametric adaptability</w:t>
      </w:r>
      <w:r w:rsidR="00223B55">
        <w:t>.</w:t>
      </w:r>
      <w:r w:rsidR="00223B55" w:rsidRPr="00223B55">
        <w:t xml:space="preserve"> </w:t>
      </w:r>
      <w:r w:rsidR="00223B55" w:rsidRPr="00F5536C">
        <w:t>Despite the reported slightly lower prediction errors with additional descriptors in ML models, the limitation of one-hot encoding lies in its inability to capture physical or chemical information. This study explicitly focuses on the impact of non-parametric models on yield predictions, achieving high performance even with limited dataset fractions. In reaction optimization, accuracy in yield prediction becomes crucial for informed decision-making, anticipating faster and more effective synthetic pathway development in the chemical and pharmaceutical industries.</w:t>
      </w:r>
    </w:p>
    <w:p w14:paraId="144DE6BA" w14:textId="33DDB747" w:rsidR="008D2649" w:rsidRPr="00A94774" w:rsidRDefault="008D2649" w:rsidP="008D2649">
      <w:pPr>
        <w:pStyle w:val="Els-1storder-head"/>
        <w:spacing w:after="120"/>
        <w:rPr>
          <w:lang w:val="en-GB"/>
        </w:rPr>
      </w:pPr>
      <w:r w:rsidRPr="00A94774">
        <w:rPr>
          <w:lang w:val="en-GB"/>
        </w:rPr>
        <w:lastRenderedPageBreak/>
        <w:t>Conclusion</w:t>
      </w:r>
    </w:p>
    <w:p w14:paraId="7186FB57" w14:textId="7E710CCA" w:rsidR="007111BF" w:rsidRPr="00F5536C" w:rsidRDefault="007111BF" w:rsidP="007111BF">
      <w:pPr>
        <w:pStyle w:val="Els-body-text"/>
        <w:rPr>
          <w:lang w:val="en-GB"/>
        </w:rPr>
      </w:pPr>
      <w:r w:rsidRPr="00F5536C">
        <w:rPr>
          <w:lang w:val="en-GB"/>
        </w:rPr>
        <w:t>In conclusion, the integration of advanced algorithms and statistical models in chemical and pharmaceutical research, driven by high-throughput experimentation and continuous flow platforms, has yielded significant progress. Benchmark studies on real-time analytical data showcase the potential of innovative approaches, such as Natural Language Processing models and Graph Neural Networks, surpassing traditional models in predicting reaction yields. Furthermore, exploring predictive modelling challenges highlights the efficacy of Gaussian Processes, especially in enhancing accuracy for datasets like Suzuki-</w:t>
      </w:r>
      <w:proofErr w:type="spellStart"/>
      <w:r w:rsidRPr="00F5536C">
        <w:rPr>
          <w:lang w:val="en-GB"/>
        </w:rPr>
        <w:t>Miyaura</w:t>
      </w:r>
      <w:proofErr w:type="spellEnd"/>
      <w:r w:rsidRPr="00F5536C">
        <w:rPr>
          <w:lang w:val="en-GB"/>
        </w:rPr>
        <w:t>, even with small sizes. The use of GPs with automatic relevance determination demonstrates superior performance compared to classic and ensemble models, holding promise for advancing accurate reaction yield predictions and expediting synthetic pathway development in the chemical and pharmaceutical industries. Future work will involve evaluating non-parametric models with additional descriptors and exploring different datasets for yield prediction in subsequent reactions.</w:t>
      </w:r>
    </w:p>
    <w:p w14:paraId="06FF1A28" w14:textId="77777777" w:rsidR="0017078A" w:rsidRDefault="0017078A" w:rsidP="0056032F">
      <w:pPr>
        <w:spacing w:before="240"/>
        <w:jc w:val="both"/>
        <w:rPr>
          <w:b/>
          <w:sz w:val="22"/>
          <w:szCs w:val="22"/>
          <w:lang w:val="en-US"/>
        </w:rPr>
      </w:pPr>
      <w:r>
        <w:rPr>
          <w:b/>
          <w:sz w:val="22"/>
          <w:szCs w:val="22"/>
          <w:lang w:val="en-US"/>
        </w:rPr>
        <w:t>Acknowledgments</w:t>
      </w:r>
    </w:p>
    <w:p w14:paraId="039B1819" w14:textId="77777777" w:rsidR="0017078A" w:rsidRDefault="0017078A" w:rsidP="0017078A">
      <w:pPr>
        <w:pStyle w:val="Els-body-text"/>
      </w:pPr>
      <w:r>
        <w:t xml:space="preserve">This research </w:t>
      </w:r>
      <w:r w:rsidRPr="00A6756B">
        <w:t xml:space="preserve">has received funding from the </w:t>
      </w:r>
      <w:r w:rsidRPr="00E9744E">
        <w:t xml:space="preserve">UKRI (reference number 10038378) as part of the </w:t>
      </w:r>
      <w:r w:rsidRPr="00A6756B">
        <w:t xml:space="preserve">European Union – Health and Digital Executive Agency (HADEA) </w:t>
      </w:r>
      <w:r>
        <w:t xml:space="preserve">under the </w:t>
      </w:r>
      <w:r w:rsidRPr="00A6756B">
        <w:t>call HORIZON-HLTH-2021-IND-07 – grant agreement No 101057430</w:t>
      </w:r>
      <w:r>
        <w:t xml:space="preserve">. </w:t>
      </w:r>
    </w:p>
    <w:p w14:paraId="144DE6BF" w14:textId="608D0AD6" w:rsidR="008D2649" w:rsidRDefault="008D2649" w:rsidP="008D2649">
      <w:pPr>
        <w:pStyle w:val="Els-reference-head"/>
      </w:pPr>
      <w:r>
        <w:t>References</w:t>
      </w:r>
    </w:p>
    <w:p w14:paraId="52FB39F8" w14:textId="2CCF855B" w:rsidR="00A03F1E" w:rsidRPr="0005159C" w:rsidRDefault="005C6CCA" w:rsidP="00A03F1E">
      <w:pPr>
        <w:widowControl w:val="0"/>
        <w:autoSpaceDE w:val="0"/>
        <w:autoSpaceDN w:val="0"/>
        <w:adjustRightInd w:val="0"/>
        <w:rPr>
          <w:noProof/>
          <w:sz w:val="18"/>
          <w:szCs w:val="24"/>
        </w:rPr>
      </w:pPr>
      <w:r>
        <w:rPr>
          <w:lang w:val="en-US"/>
        </w:rPr>
        <w:fldChar w:fldCharType="begin" w:fldLock="1"/>
      </w:r>
      <w:r>
        <w:rPr>
          <w:lang w:val="en-US"/>
        </w:rPr>
        <w:instrText xml:space="preserve">ADDIN Mendeley Bibliography CSL_BIBLIOGRAPHY </w:instrText>
      </w:r>
      <w:r w:rsidR="004E700B">
        <w:rPr>
          <w:lang w:val="en-US"/>
        </w:rPr>
        <w:fldChar w:fldCharType="separate"/>
      </w:r>
      <w:r>
        <w:rPr>
          <w:lang w:val="en-US"/>
        </w:rPr>
        <w:fldChar w:fldCharType="end"/>
      </w:r>
      <w:r w:rsidR="00A03F1E" w:rsidRPr="0005159C">
        <w:rPr>
          <w:noProof/>
          <w:sz w:val="18"/>
          <w:szCs w:val="24"/>
        </w:rPr>
        <w:t>D.T. Ahneman, J.G. Estrada, S. Lin, S.D. Dreher, A.G. Doyle, 2018, Predicting reaction performance in C–N cross-coupling using machine learning. Science, 360, 186–190.</w:t>
      </w:r>
    </w:p>
    <w:p w14:paraId="0AEBCAD8" w14:textId="77777777" w:rsidR="00A03F1E" w:rsidRPr="0005159C" w:rsidRDefault="00A03F1E" w:rsidP="00A03F1E">
      <w:pPr>
        <w:widowControl w:val="0"/>
        <w:autoSpaceDE w:val="0"/>
        <w:autoSpaceDN w:val="0"/>
        <w:adjustRightInd w:val="0"/>
        <w:rPr>
          <w:noProof/>
          <w:sz w:val="18"/>
          <w:szCs w:val="24"/>
        </w:rPr>
      </w:pPr>
      <w:r w:rsidRPr="0005159C">
        <w:rPr>
          <w:noProof/>
          <w:sz w:val="18"/>
          <w:szCs w:val="24"/>
        </w:rPr>
        <w:t>N.H. Angello, V. Rathore, W. Beker, A. Wołos, E.R. Jira, R. Roszak, et al., 2022, Closed-loop optimization of general reaction conditions for heteroaryl Suzuki-Miyaura coupling. Science, 378, 399–405.</w:t>
      </w:r>
    </w:p>
    <w:p w14:paraId="12D17B97" w14:textId="77777777" w:rsidR="00A03F1E" w:rsidRPr="0005159C" w:rsidRDefault="00A03F1E" w:rsidP="00A03F1E">
      <w:pPr>
        <w:widowControl w:val="0"/>
        <w:autoSpaceDE w:val="0"/>
        <w:autoSpaceDN w:val="0"/>
        <w:adjustRightInd w:val="0"/>
        <w:rPr>
          <w:noProof/>
          <w:sz w:val="18"/>
          <w:szCs w:val="24"/>
        </w:rPr>
      </w:pPr>
      <w:r w:rsidRPr="0005159C">
        <w:rPr>
          <w:noProof/>
          <w:sz w:val="18"/>
          <w:szCs w:val="24"/>
        </w:rPr>
        <w:t>J.A. Bennett, M. Abolhasani, 2022, Autonomous chemical science and engineering enabled by self-driving laboratories. Curr Opin Chem Eng, 36, 100831.</w:t>
      </w:r>
    </w:p>
    <w:p w14:paraId="097F0F66" w14:textId="77777777" w:rsidR="00A03F1E" w:rsidRPr="0005159C" w:rsidRDefault="00A03F1E" w:rsidP="00A03F1E">
      <w:pPr>
        <w:widowControl w:val="0"/>
        <w:autoSpaceDE w:val="0"/>
        <w:autoSpaceDN w:val="0"/>
        <w:adjustRightInd w:val="0"/>
        <w:rPr>
          <w:noProof/>
          <w:sz w:val="18"/>
          <w:szCs w:val="24"/>
        </w:rPr>
      </w:pPr>
      <w:r w:rsidRPr="0005159C">
        <w:rPr>
          <w:noProof/>
          <w:sz w:val="18"/>
          <w:szCs w:val="24"/>
        </w:rPr>
        <w:t>K.V. Chuang, M.J. Keiser, 2018, Comment on “Predicting reaction performance in C–N cross-coupling using machine learning.” Science, 362, 589–604.</w:t>
      </w:r>
    </w:p>
    <w:p w14:paraId="6A7E70BA" w14:textId="77777777" w:rsidR="00A03F1E" w:rsidRPr="0005159C" w:rsidRDefault="00A03F1E" w:rsidP="00A03F1E">
      <w:pPr>
        <w:widowControl w:val="0"/>
        <w:autoSpaceDE w:val="0"/>
        <w:autoSpaceDN w:val="0"/>
        <w:adjustRightInd w:val="0"/>
        <w:rPr>
          <w:noProof/>
          <w:sz w:val="18"/>
          <w:szCs w:val="24"/>
        </w:rPr>
      </w:pPr>
      <w:r w:rsidRPr="0005159C">
        <w:rPr>
          <w:noProof/>
          <w:sz w:val="18"/>
          <w:szCs w:val="24"/>
        </w:rPr>
        <w:t>J.M. Granda, L. Donina, V. Dragone, D-L. Long, L. Cronin, 2018, Controlling an organic synthesis robot with machine learning to search for new reactivity. Nature, 559, 377–381.</w:t>
      </w:r>
    </w:p>
    <w:p w14:paraId="0FB78403" w14:textId="77777777" w:rsidR="00A03F1E" w:rsidRPr="0005159C" w:rsidRDefault="00A03F1E" w:rsidP="00A03F1E">
      <w:pPr>
        <w:widowControl w:val="0"/>
        <w:autoSpaceDE w:val="0"/>
        <w:autoSpaceDN w:val="0"/>
        <w:adjustRightInd w:val="0"/>
        <w:rPr>
          <w:noProof/>
          <w:sz w:val="18"/>
          <w:szCs w:val="24"/>
        </w:rPr>
      </w:pPr>
      <w:r w:rsidRPr="0005159C">
        <w:rPr>
          <w:noProof/>
          <w:sz w:val="18"/>
          <w:szCs w:val="24"/>
        </w:rPr>
        <w:t>Y. Kwon, D. Lee, Y.S. Choi, S. Kang, 2022, Uncertainty-aware prediction of chemical reaction yields with graph neural networks. J Cheminform, 14, 2.</w:t>
      </w:r>
    </w:p>
    <w:p w14:paraId="0E5024E9" w14:textId="77777777" w:rsidR="00A03F1E" w:rsidRPr="0005159C" w:rsidRDefault="00A03F1E" w:rsidP="00A03F1E">
      <w:pPr>
        <w:widowControl w:val="0"/>
        <w:autoSpaceDE w:val="0"/>
        <w:autoSpaceDN w:val="0"/>
        <w:adjustRightInd w:val="0"/>
        <w:rPr>
          <w:noProof/>
          <w:sz w:val="18"/>
          <w:szCs w:val="24"/>
        </w:rPr>
      </w:pPr>
      <w:r w:rsidRPr="0005159C">
        <w:rPr>
          <w:noProof/>
          <w:sz w:val="18"/>
          <w:szCs w:val="24"/>
        </w:rPr>
        <w:t>D. Perera, J.W. Tucker, S. Brahmbhatt, C.J. Helal, A. Chong, W. Farrell, et al., 2018, A platform for automated nanomole-scale reaction screening and micromole-scale synthesis in flow. Science, 359, 429–434.</w:t>
      </w:r>
    </w:p>
    <w:p w14:paraId="33A4AC80" w14:textId="77777777" w:rsidR="00A03F1E" w:rsidRPr="0005159C" w:rsidRDefault="00A03F1E" w:rsidP="00A03F1E">
      <w:pPr>
        <w:widowControl w:val="0"/>
        <w:autoSpaceDE w:val="0"/>
        <w:autoSpaceDN w:val="0"/>
        <w:adjustRightInd w:val="0"/>
        <w:rPr>
          <w:noProof/>
          <w:sz w:val="18"/>
          <w:szCs w:val="24"/>
        </w:rPr>
      </w:pPr>
      <w:r w:rsidRPr="0005159C">
        <w:rPr>
          <w:noProof/>
          <w:sz w:val="18"/>
          <w:szCs w:val="24"/>
        </w:rPr>
        <w:t>A. Pomberger, A.A. Pedrina McCarthy, A. Khan, S. Sung, C.J. Taylor, M.J. Gaunt, et al., 2022, The effect of chemical representation on active machine learning towards closed-loop optimization. React Chem Eng, 7, 1368–1379.</w:t>
      </w:r>
    </w:p>
    <w:p w14:paraId="4F7A8AA2" w14:textId="77777777" w:rsidR="00A03F1E" w:rsidRPr="0005159C" w:rsidRDefault="00A03F1E" w:rsidP="00A03F1E">
      <w:pPr>
        <w:widowControl w:val="0"/>
        <w:autoSpaceDE w:val="0"/>
        <w:autoSpaceDN w:val="0"/>
        <w:adjustRightInd w:val="0"/>
        <w:rPr>
          <w:noProof/>
          <w:sz w:val="18"/>
          <w:szCs w:val="24"/>
        </w:rPr>
      </w:pPr>
      <w:r w:rsidRPr="0005159C">
        <w:rPr>
          <w:noProof/>
          <w:sz w:val="18"/>
          <w:szCs w:val="24"/>
        </w:rPr>
        <w:t>C.E. Rasmussen, 2004, Gaussian Processes in machine learning. Lect Notes Comput Sci, 3176, 63–71.</w:t>
      </w:r>
    </w:p>
    <w:p w14:paraId="2B25446A" w14:textId="77777777" w:rsidR="00A03F1E" w:rsidRPr="0005159C" w:rsidRDefault="00A03F1E" w:rsidP="00A03F1E">
      <w:pPr>
        <w:widowControl w:val="0"/>
        <w:autoSpaceDE w:val="0"/>
        <w:autoSpaceDN w:val="0"/>
        <w:adjustRightInd w:val="0"/>
        <w:rPr>
          <w:noProof/>
          <w:sz w:val="18"/>
          <w:szCs w:val="24"/>
        </w:rPr>
      </w:pPr>
      <w:r w:rsidRPr="0005159C">
        <w:rPr>
          <w:noProof/>
          <w:sz w:val="18"/>
          <w:szCs w:val="24"/>
        </w:rPr>
        <w:t>M. Saebi, B. Nan, J.E. Herr, J. Wahlers, Z. Guo, A.M. Zurański, et al., 2023, On the use of real-world datasets for reaction yield prediction. Chem Sci, 14, 4997–5005.</w:t>
      </w:r>
    </w:p>
    <w:p w14:paraId="4FBE6EFF" w14:textId="77777777" w:rsidR="00A03F1E" w:rsidRPr="0005159C" w:rsidRDefault="00A03F1E" w:rsidP="00A03F1E">
      <w:pPr>
        <w:widowControl w:val="0"/>
        <w:autoSpaceDE w:val="0"/>
        <w:autoSpaceDN w:val="0"/>
        <w:adjustRightInd w:val="0"/>
        <w:rPr>
          <w:noProof/>
          <w:sz w:val="18"/>
          <w:szCs w:val="24"/>
        </w:rPr>
      </w:pPr>
      <w:r w:rsidRPr="0005159C">
        <w:rPr>
          <w:noProof/>
          <w:sz w:val="18"/>
          <w:szCs w:val="24"/>
        </w:rPr>
        <w:t>P. Schwaller, A.C. Vaucher, T. Laino, J.-L. Reymond, 2021, Prediction of chemical reaction yields using deep learning. Mach Learn Sci Technol, 2, 015016.</w:t>
      </w:r>
    </w:p>
    <w:p w14:paraId="144DE6C3" w14:textId="36A851B1" w:rsidR="008D2649" w:rsidRPr="0005159C" w:rsidRDefault="00A03F1E" w:rsidP="00A03F1E">
      <w:pPr>
        <w:widowControl w:val="0"/>
        <w:autoSpaceDE w:val="0"/>
        <w:autoSpaceDN w:val="0"/>
        <w:adjustRightInd w:val="0"/>
        <w:rPr>
          <w:noProof/>
          <w:sz w:val="18"/>
          <w:szCs w:val="24"/>
        </w:rPr>
      </w:pPr>
      <w:r w:rsidRPr="0005159C">
        <w:rPr>
          <w:noProof/>
          <w:sz w:val="18"/>
          <w:szCs w:val="24"/>
        </w:rPr>
        <w:t>E. Stach, B. DeCost, A.G. Kusne, J. Hattrick-Simpers, K.A. Brown, K.G. Reyes, et al., 2021, Autonomous experimentation systems for materials development: A community perspective. Matter, 4, 2702–2726.</w:t>
      </w:r>
    </w:p>
    <w:sectPr w:rsidR="008D2649" w:rsidRPr="0005159C" w:rsidSect="008B0184">
      <w:headerReference w:type="even" r:id="rId17"/>
      <w:headerReference w:type="default" r:id="rId18"/>
      <w:headerReference w:type="first" r:id="rId19"/>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43C2F" w14:textId="77777777" w:rsidR="002033C7" w:rsidRDefault="002033C7">
      <w:r>
        <w:separator/>
      </w:r>
    </w:p>
  </w:endnote>
  <w:endnote w:type="continuationSeparator" w:id="0">
    <w:p w14:paraId="25F76192" w14:textId="77777777" w:rsidR="002033C7" w:rsidRDefault="002033C7">
      <w:r>
        <w:continuationSeparator/>
      </w:r>
    </w:p>
  </w:endnote>
  <w:endnote w:type="continuationNotice" w:id="1">
    <w:p w14:paraId="6C77647B" w14:textId="77777777" w:rsidR="002033C7" w:rsidRDefault="00203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37E3" w14:textId="77777777" w:rsidR="002033C7" w:rsidRDefault="002033C7">
      <w:r>
        <w:separator/>
      </w:r>
    </w:p>
  </w:footnote>
  <w:footnote w:type="continuationSeparator" w:id="0">
    <w:p w14:paraId="3B5D6FD7" w14:textId="77777777" w:rsidR="002033C7" w:rsidRDefault="002033C7">
      <w:r>
        <w:continuationSeparator/>
      </w:r>
    </w:p>
  </w:footnote>
  <w:footnote w:type="continuationNotice" w:id="1">
    <w:p w14:paraId="112C4332" w14:textId="77777777" w:rsidR="002033C7" w:rsidRDefault="002033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8FB36C4" w:rsidR="00DD3D9E" w:rsidRDefault="00DD3D9E">
    <w:pPr>
      <w:pStyle w:val="Header"/>
      <w:tabs>
        <w:tab w:val="clear" w:pos="7200"/>
        <w:tab w:val="right" w:pos="7088"/>
      </w:tabs>
    </w:pPr>
    <w:r>
      <w:rPr>
        <w:rStyle w:val="PageNumber"/>
      </w:rPr>
      <w:tab/>
    </w:r>
    <w:r>
      <w:rPr>
        <w:rStyle w:val="PageNumber"/>
        <w:i/>
      </w:rPr>
      <w:tab/>
    </w:r>
    <w:r w:rsidR="00D10E22">
      <w:rPr>
        <w:i/>
      </w:rPr>
      <w:fldChar w:fldCharType="begin"/>
    </w:r>
    <w:r>
      <w:rPr>
        <w:i/>
      </w:rPr>
      <w:instrText xml:space="preserve"> MACROBUTTON NoMacro </w:instrText>
    </w:r>
    <w:r w:rsidR="003214BE">
      <w:rPr>
        <w:i/>
      </w:rPr>
      <w:instrText>P. J. Salazar and B. Benyahia</w:instrText>
    </w:r>
    <w:r>
      <w:rPr>
        <w:i/>
      </w:rPr>
      <w:instrText>.</w:instrText>
    </w:r>
    <w:r w:rsidR="00D10E22">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6F0C7DC" w:rsidR="00DD3D9E" w:rsidRDefault="00D10E22">
    <w:pPr>
      <w:pStyle w:val="Header"/>
      <w:tabs>
        <w:tab w:val="clear" w:pos="7200"/>
        <w:tab w:val="right" w:pos="7088"/>
      </w:tabs>
      <w:jc w:val="right"/>
      <w:rPr>
        <w:sz w:val="24"/>
      </w:rPr>
    </w:pPr>
    <w:r>
      <w:rPr>
        <w:i/>
      </w:rPr>
      <w:fldChar w:fldCharType="begin"/>
    </w:r>
    <w:r w:rsidR="00DD3D9E">
      <w:rPr>
        <w:i/>
      </w:rPr>
      <w:instrText xml:space="preserve"> MACROBUTTON NoMacro </w:instrText>
    </w:r>
    <w:r w:rsidR="0007059B">
      <w:rPr>
        <w:i/>
      </w:rPr>
      <w:instrText xml:space="preserve">Non-parameric </w:instrText>
    </w:r>
    <w:r w:rsidR="00B6140D">
      <w:rPr>
        <w:i/>
      </w:rPr>
      <w:instrText>M</w:instrText>
    </w:r>
    <w:r w:rsidR="0007059B">
      <w:rPr>
        <w:i/>
      </w:rPr>
      <w:instrText>odels</w:instrText>
    </w:r>
    <w:r w:rsidR="00B6140D">
      <w:rPr>
        <w:i/>
      </w:rPr>
      <w:instrText xml:space="preserve"> for Yield Prediction in a Suzuki-Miyaura</w:instrText>
    </w:r>
    <w:r w:rsidR="0089300A">
      <w:rPr>
        <w:i/>
      </w:rPr>
      <w:instrText xml:space="preserve"> Coupling</w:instrText>
    </w:r>
    <w:r>
      <w:rPr>
        <w:i/>
      </w:rPr>
      <w:fldChar w:fldCharType="end"/>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E56"/>
    <w:rsid w:val="00004844"/>
    <w:rsid w:val="00007854"/>
    <w:rsid w:val="0001011C"/>
    <w:rsid w:val="00010B1D"/>
    <w:rsid w:val="00010D1A"/>
    <w:rsid w:val="00011380"/>
    <w:rsid w:val="0001754F"/>
    <w:rsid w:val="000211AE"/>
    <w:rsid w:val="00021FFE"/>
    <w:rsid w:val="00022F20"/>
    <w:rsid w:val="00023F65"/>
    <w:rsid w:val="00024636"/>
    <w:rsid w:val="000250E6"/>
    <w:rsid w:val="00025A1D"/>
    <w:rsid w:val="00030FC7"/>
    <w:rsid w:val="0003337F"/>
    <w:rsid w:val="0003779F"/>
    <w:rsid w:val="00037E7E"/>
    <w:rsid w:val="00040832"/>
    <w:rsid w:val="0004571B"/>
    <w:rsid w:val="0004767E"/>
    <w:rsid w:val="0005055F"/>
    <w:rsid w:val="00050621"/>
    <w:rsid w:val="00050D7B"/>
    <w:rsid w:val="00051159"/>
    <w:rsid w:val="0005159C"/>
    <w:rsid w:val="00052AD4"/>
    <w:rsid w:val="0005364B"/>
    <w:rsid w:val="00054E7A"/>
    <w:rsid w:val="00056228"/>
    <w:rsid w:val="000567A7"/>
    <w:rsid w:val="00056809"/>
    <w:rsid w:val="00056A19"/>
    <w:rsid w:val="00057922"/>
    <w:rsid w:val="000609C2"/>
    <w:rsid w:val="00061B9D"/>
    <w:rsid w:val="0006333F"/>
    <w:rsid w:val="00063901"/>
    <w:rsid w:val="00063CDA"/>
    <w:rsid w:val="00064A7C"/>
    <w:rsid w:val="000651AF"/>
    <w:rsid w:val="0006591D"/>
    <w:rsid w:val="00066429"/>
    <w:rsid w:val="0007059B"/>
    <w:rsid w:val="00071DAF"/>
    <w:rsid w:val="00074F00"/>
    <w:rsid w:val="00076754"/>
    <w:rsid w:val="000767E5"/>
    <w:rsid w:val="00076B9F"/>
    <w:rsid w:val="00077541"/>
    <w:rsid w:val="00081A67"/>
    <w:rsid w:val="00081F53"/>
    <w:rsid w:val="0008210F"/>
    <w:rsid w:val="000823A2"/>
    <w:rsid w:val="000826D8"/>
    <w:rsid w:val="000838FC"/>
    <w:rsid w:val="000913D1"/>
    <w:rsid w:val="00092771"/>
    <w:rsid w:val="00093857"/>
    <w:rsid w:val="000945C1"/>
    <w:rsid w:val="0009463F"/>
    <w:rsid w:val="00096DB9"/>
    <w:rsid w:val="000A07C0"/>
    <w:rsid w:val="000A1F59"/>
    <w:rsid w:val="000A2832"/>
    <w:rsid w:val="000A2C9C"/>
    <w:rsid w:val="000A2EEF"/>
    <w:rsid w:val="000A411A"/>
    <w:rsid w:val="000B11D4"/>
    <w:rsid w:val="000C133E"/>
    <w:rsid w:val="000C1D80"/>
    <w:rsid w:val="000C441E"/>
    <w:rsid w:val="000C5941"/>
    <w:rsid w:val="000D29EA"/>
    <w:rsid w:val="000D3106"/>
    <w:rsid w:val="000D3D9B"/>
    <w:rsid w:val="000D5AB8"/>
    <w:rsid w:val="000D6B79"/>
    <w:rsid w:val="000D7154"/>
    <w:rsid w:val="000E0EE2"/>
    <w:rsid w:val="000E46A4"/>
    <w:rsid w:val="000F029D"/>
    <w:rsid w:val="000F1008"/>
    <w:rsid w:val="000F27AA"/>
    <w:rsid w:val="000F3F0A"/>
    <w:rsid w:val="000F589A"/>
    <w:rsid w:val="000F619D"/>
    <w:rsid w:val="000F6325"/>
    <w:rsid w:val="000F7232"/>
    <w:rsid w:val="000F7634"/>
    <w:rsid w:val="001015F4"/>
    <w:rsid w:val="00101681"/>
    <w:rsid w:val="00105068"/>
    <w:rsid w:val="001052D7"/>
    <w:rsid w:val="0011093F"/>
    <w:rsid w:val="00111F20"/>
    <w:rsid w:val="00112215"/>
    <w:rsid w:val="001122B4"/>
    <w:rsid w:val="00112FDB"/>
    <w:rsid w:val="00115244"/>
    <w:rsid w:val="0011534D"/>
    <w:rsid w:val="001164D8"/>
    <w:rsid w:val="00125D65"/>
    <w:rsid w:val="00131032"/>
    <w:rsid w:val="00131852"/>
    <w:rsid w:val="00132C07"/>
    <w:rsid w:val="00133E5B"/>
    <w:rsid w:val="001358CF"/>
    <w:rsid w:val="00135DBD"/>
    <w:rsid w:val="00136EC4"/>
    <w:rsid w:val="0014256F"/>
    <w:rsid w:val="0014349D"/>
    <w:rsid w:val="00143587"/>
    <w:rsid w:val="001437C6"/>
    <w:rsid w:val="00150250"/>
    <w:rsid w:val="00155BA5"/>
    <w:rsid w:val="0016032F"/>
    <w:rsid w:val="00160F94"/>
    <w:rsid w:val="001641EB"/>
    <w:rsid w:val="0016478D"/>
    <w:rsid w:val="0016491D"/>
    <w:rsid w:val="001656F2"/>
    <w:rsid w:val="00166022"/>
    <w:rsid w:val="0017018E"/>
    <w:rsid w:val="0017049C"/>
    <w:rsid w:val="0017078A"/>
    <w:rsid w:val="00174B73"/>
    <w:rsid w:val="00180866"/>
    <w:rsid w:val="00181D44"/>
    <w:rsid w:val="00183034"/>
    <w:rsid w:val="001831CF"/>
    <w:rsid w:val="00183E2E"/>
    <w:rsid w:val="00183FB9"/>
    <w:rsid w:val="00185DA5"/>
    <w:rsid w:val="00186FB8"/>
    <w:rsid w:val="001879F6"/>
    <w:rsid w:val="0019297A"/>
    <w:rsid w:val="00192E5F"/>
    <w:rsid w:val="00192E62"/>
    <w:rsid w:val="00195B46"/>
    <w:rsid w:val="00196A83"/>
    <w:rsid w:val="00196F31"/>
    <w:rsid w:val="00197C51"/>
    <w:rsid w:val="001A05BC"/>
    <w:rsid w:val="001A19DE"/>
    <w:rsid w:val="001A2511"/>
    <w:rsid w:val="001A3B97"/>
    <w:rsid w:val="001A4709"/>
    <w:rsid w:val="001A4ACE"/>
    <w:rsid w:val="001A6AA9"/>
    <w:rsid w:val="001B052F"/>
    <w:rsid w:val="001B0E06"/>
    <w:rsid w:val="001B2098"/>
    <w:rsid w:val="001B285E"/>
    <w:rsid w:val="001B29EE"/>
    <w:rsid w:val="001B3796"/>
    <w:rsid w:val="001B4DB1"/>
    <w:rsid w:val="001C0148"/>
    <w:rsid w:val="001C6B0B"/>
    <w:rsid w:val="001C7326"/>
    <w:rsid w:val="001C757E"/>
    <w:rsid w:val="001D0096"/>
    <w:rsid w:val="001D0723"/>
    <w:rsid w:val="001D537F"/>
    <w:rsid w:val="001D5ECF"/>
    <w:rsid w:val="001E1C68"/>
    <w:rsid w:val="001E2E09"/>
    <w:rsid w:val="001E4DDA"/>
    <w:rsid w:val="001E5047"/>
    <w:rsid w:val="001E6743"/>
    <w:rsid w:val="001F165F"/>
    <w:rsid w:val="001F1C9C"/>
    <w:rsid w:val="001F1FC8"/>
    <w:rsid w:val="001F258D"/>
    <w:rsid w:val="001F378E"/>
    <w:rsid w:val="001F7960"/>
    <w:rsid w:val="001F7A15"/>
    <w:rsid w:val="00202337"/>
    <w:rsid w:val="002027D4"/>
    <w:rsid w:val="002033C7"/>
    <w:rsid w:val="00203725"/>
    <w:rsid w:val="0020390F"/>
    <w:rsid w:val="00207FBC"/>
    <w:rsid w:val="00210173"/>
    <w:rsid w:val="00214038"/>
    <w:rsid w:val="00215F1F"/>
    <w:rsid w:val="00217118"/>
    <w:rsid w:val="00220E9E"/>
    <w:rsid w:val="00223B55"/>
    <w:rsid w:val="0023070E"/>
    <w:rsid w:val="00233564"/>
    <w:rsid w:val="002343D4"/>
    <w:rsid w:val="00234CE2"/>
    <w:rsid w:val="00235A9E"/>
    <w:rsid w:val="002368BE"/>
    <w:rsid w:val="00236F3B"/>
    <w:rsid w:val="0024374D"/>
    <w:rsid w:val="00243E21"/>
    <w:rsid w:val="00245DC9"/>
    <w:rsid w:val="00247696"/>
    <w:rsid w:val="002476CD"/>
    <w:rsid w:val="0025086E"/>
    <w:rsid w:val="00252B91"/>
    <w:rsid w:val="00256C72"/>
    <w:rsid w:val="00257839"/>
    <w:rsid w:val="00260222"/>
    <w:rsid w:val="002632B8"/>
    <w:rsid w:val="002641BB"/>
    <w:rsid w:val="00264926"/>
    <w:rsid w:val="00265B2A"/>
    <w:rsid w:val="00265DB8"/>
    <w:rsid w:val="00270259"/>
    <w:rsid w:val="002709A7"/>
    <w:rsid w:val="002729B0"/>
    <w:rsid w:val="002738CF"/>
    <w:rsid w:val="002741D0"/>
    <w:rsid w:val="002744CC"/>
    <w:rsid w:val="002745F1"/>
    <w:rsid w:val="00274B97"/>
    <w:rsid w:val="00275F0B"/>
    <w:rsid w:val="002811B1"/>
    <w:rsid w:val="00282BE7"/>
    <w:rsid w:val="00284946"/>
    <w:rsid w:val="00284DFC"/>
    <w:rsid w:val="00286151"/>
    <w:rsid w:val="002875D5"/>
    <w:rsid w:val="00291D77"/>
    <w:rsid w:val="00292714"/>
    <w:rsid w:val="00294E76"/>
    <w:rsid w:val="00296426"/>
    <w:rsid w:val="002A3D55"/>
    <w:rsid w:val="002A4D26"/>
    <w:rsid w:val="002A4D30"/>
    <w:rsid w:val="002A54AB"/>
    <w:rsid w:val="002B0280"/>
    <w:rsid w:val="002B05FA"/>
    <w:rsid w:val="002B23BB"/>
    <w:rsid w:val="002B3D7B"/>
    <w:rsid w:val="002B3FC3"/>
    <w:rsid w:val="002B72F5"/>
    <w:rsid w:val="002C043E"/>
    <w:rsid w:val="002C054D"/>
    <w:rsid w:val="002C14B6"/>
    <w:rsid w:val="002C2A01"/>
    <w:rsid w:val="002C54B3"/>
    <w:rsid w:val="002C5DB3"/>
    <w:rsid w:val="002C797A"/>
    <w:rsid w:val="002D2093"/>
    <w:rsid w:val="002D2D89"/>
    <w:rsid w:val="002D4200"/>
    <w:rsid w:val="002D4486"/>
    <w:rsid w:val="002D4F7E"/>
    <w:rsid w:val="002D590D"/>
    <w:rsid w:val="002D6506"/>
    <w:rsid w:val="002E0147"/>
    <w:rsid w:val="002E3056"/>
    <w:rsid w:val="002E3414"/>
    <w:rsid w:val="002E5308"/>
    <w:rsid w:val="002F0A4D"/>
    <w:rsid w:val="002F1BEC"/>
    <w:rsid w:val="002F3322"/>
    <w:rsid w:val="002F360A"/>
    <w:rsid w:val="002F3F32"/>
    <w:rsid w:val="002F5CA7"/>
    <w:rsid w:val="002F6B97"/>
    <w:rsid w:val="002F7FC6"/>
    <w:rsid w:val="00302CDC"/>
    <w:rsid w:val="00305B9A"/>
    <w:rsid w:val="0030624D"/>
    <w:rsid w:val="00311092"/>
    <w:rsid w:val="00312F3E"/>
    <w:rsid w:val="0031598E"/>
    <w:rsid w:val="0031745F"/>
    <w:rsid w:val="00317647"/>
    <w:rsid w:val="003214BE"/>
    <w:rsid w:val="0032768C"/>
    <w:rsid w:val="00330AFC"/>
    <w:rsid w:val="003329C0"/>
    <w:rsid w:val="0034100F"/>
    <w:rsid w:val="00342939"/>
    <w:rsid w:val="00342F0E"/>
    <w:rsid w:val="0034303A"/>
    <w:rsid w:val="00346B28"/>
    <w:rsid w:val="00347120"/>
    <w:rsid w:val="00351A92"/>
    <w:rsid w:val="00352B39"/>
    <w:rsid w:val="003537FB"/>
    <w:rsid w:val="0035401B"/>
    <w:rsid w:val="00354932"/>
    <w:rsid w:val="00357594"/>
    <w:rsid w:val="00360BB7"/>
    <w:rsid w:val="00360E95"/>
    <w:rsid w:val="003652C7"/>
    <w:rsid w:val="003658D2"/>
    <w:rsid w:val="00366C63"/>
    <w:rsid w:val="00367239"/>
    <w:rsid w:val="00371D0E"/>
    <w:rsid w:val="00372902"/>
    <w:rsid w:val="00375F4A"/>
    <w:rsid w:val="00380712"/>
    <w:rsid w:val="0038310D"/>
    <w:rsid w:val="0038607C"/>
    <w:rsid w:val="0039387E"/>
    <w:rsid w:val="00394F96"/>
    <w:rsid w:val="00396C98"/>
    <w:rsid w:val="003A116B"/>
    <w:rsid w:val="003A35B3"/>
    <w:rsid w:val="003A4073"/>
    <w:rsid w:val="003A4256"/>
    <w:rsid w:val="003B517F"/>
    <w:rsid w:val="003B56A6"/>
    <w:rsid w:val="003B589B"/>
    <w:rsid w:val="003C0D5F"/>
    <w:rsid w:val="003C4FA9"/>
    <w:rsid w:val="003C6691"/>
    <w:rsid w:val="003D1582"/>
    <w:rsid w:val="003D277F"/>
    <w:rsid w:val="003D3FF3"/>
    <w:rsid w:val="003D48A1"/>
    <w:rsid w:val="003D6A8F"/>
    <w:rsid w:val="003D7E4C"/>
    <w:rsid w:val="003E07DB"/>
    <w:rsid w:val="003E109F"/>
    <w:rsid w:val="003E1BA9"/>
    <w:rsid w:val="003E2EC8"/>
    <w:rsid w:val="003E3987"/>
    <w:rsid w:val="003E41C2"/>
    <w:rsid w:val="003E4625"/>
    <w:rsid w:val="003E4BD8"/>
    <w:rsid w:val="003E69EA"/>
    <w:rsid w:val="003F3AFD"/>
    <w:rsid w:val="003F415D"/>
    <w:rsid w:val="003F4858"/>
    <w:rsid w:val="003F504F"/>
    <w:rsid w:val="003F518B"/>
    <w:rsid w:val="004003B0"/>
    <w:rsid w:val="00401766"/>
    <w:rsid w:val="004023F2"/>
    <w:rsid w:val="00402A71"/>
    <w:rsid w:val="00402BD9"/>
    <w:rsid w:val="00405D5B"/>
    <w:rsid w:val="00406549"/>
    <w:rsid w:val="0040724E"/>
    <w:rsid w:val="004079D7"/>
    <w:rsid w:val="00410766"/>
    <w:rsid w:val="00413739"/>
    <w:rsid w:val="0041444B"/>
    <w:rsid w:val="00414CA7"/>
    <w:rsid w:val="0041520B"/>
    <w:rsid w:val="00416801"/>
    <w:rsid w:val="00417298"/>
    <w:rsid w:val="00417740"/>
    <w:rsid w:val="00420D79"/>
    <w:rsid w:val="004239B9"/>
    <w:rsid w:val="0042565B"/>
    <w:rsid w:val="004256D6"/>
    <w:rsid w:val="004268E8"/>
    <w:rsid w:val="004273D1"/>
    <w:rsid w:val="00431D09"/>
    <w:rsid w:val="004328F5"/>
    <w:rsid w:val="00432C20"/>
    <w:rsid w:val="00441A2B"/>
    <w:rsid w:val="00444869"/>
    <w:rsid w:val="00444ED6"/>
    <w:rsid w:val="00445E62"/>
    <w:rsid w:val="004508DA"/>
    <w:rsid w:val="00452F41"/>
    <w:rsid w:val="004531D5"/>
    <w:rsid w:val="004545B7"/>
    <w:rsid w:val="004564FC"/>
    <w:rsid w:val="00457E56"/>
    <w:rsid w:val="00457F2F"/>
    <w:rsid w:val="004615D6"/>
    <w:rsid w:val="004640FB"/>
    <w:rsid w:val="004648D7"/>
    <w:rsid w:val="004660AC"/>
    <w:rsid w:val="00470B70"/>
    <w:rsid w:val="00472B63"/>
    <w:rsid w:val="004731E2"/>
    <w:rsid w:val="00473546"/>
    <w:rsid w:val="00474014"/>
    <w:rsid w:val="00475C21"/>
    <w:rsid w:val="00482895"/>
    <w:rsid w:val="004844E4"/>
    <w:rsid w:val="004855EE"/>
    <w:rsid w:val="0048709D"/>
    <w:rsid w:val="00496361"/>
    <w:rsid w:val="0049772C"/>
    <w:rsid w:val="00497B24"/>
    <w:rsid w:val="004A0574"/>
    <w:rsid w:val="004A083F"/>
    <w:rsid w:val="004A08FB"/>
    <w:rsid w:val="004A0A83"/>
    <w:rsid w:val="004A1F38"/>
    <w:rsid w:val="004A4552"/>
    <w:rsid w:val="004A69F0"/>
    <w:rsid w:val="004B0B4E"/>
    <w:rsid w:val="004B36CF"/>
    <w:rsid w:val="004B44E1"/>
    <w:rsid w:val="004C149A"/>
    <w:rsid w:val="004C2A92"/>
    <w:rsid w:val="004C32BC"/>
    <w:rsid w:val="004C5E53"/>
    <w:rsid w:val="004C5E8D"/>
    <w:rsid w:val="004C6CFC"/>
    <w:rsid w:val="004D2EDF"/>
    <w:rsid w:val="004D66B5"/>
    <w:rsid w:val="004E0FF8"/>
    <w:rsid w:val="004E495E"/>
    <w:rsid w:val="004E575E"/>
    <w:rsid w:val="004E6A5B"/>
    <w:rsid w:val="004E700B"/>
    <w:rsid w:val="004F0B28"/>
    <w:rsid w:val="004F573B"/>
    <w:rsid w:val="004F7A17"/>
    <w:rsid w:val="00501675"/>
    <w:rsid w:val="0050247B"/>
    <w:rsid w:val="005072A1"/>
    <w:rsid w:val="005131EE"/>
    <w:rsid w:val="005177E1"/>
    <w:rsid w:val="00521077"/>
    <w:rsid w:val="00523C52"/>
    <w:rsid w:val="0052479B"/>
    <w:rsid w:val="00524FB4"/>
    <w:rsid w:val="0052571C"/>
    <w:rsid w:val="00525E4A"/>
    <w:rsid w:val="005300F7"/>
    <w:rsid w:val="00530D9C"/>
    <w:rsid w:val="00531C50"/>
    <w:rsid w:val="005372EE"/>
    <w:rsid w:val="00541CE7"/>
    <w:rsid w:val="005421ED"/>
    <w:rsid w:val="00542A2F"/>
    <w:rsid w:val="00542D5E"/>
    <w:rsid w:val="005431E9"/>
    <w:rsid w:val="005467E6"/>
    <w:rsid w:val="0055092A"/>
    <w:rsid w:val="005517F5"/>
    <w:rsid w:val="005518AB"/>
    <w:rsid w:val="00552D5C"/>
    <w:rsid w:val="00552EEB"/>
    <w:rsid w:val="0055356F"/>
    <w:rsid w:val="005558D8"/>
    <w:rsid w:val="0056032F"/>
    <w:rsid w:val="0056236C"/>
    <w:rsid w:val="005629C6"/>
    <w:rsid w:val="00564D60"/>
    <w:rsid w:val="00566CA5"/>
    <w:rsid w:val="00570CA2"/>
    <w:rsid w:val="00571516"/>
    <w:rsid w:val="00571CCD"/>
    <w:rsid w:val="005732A3"/>
    <w:rsid w:val="00577B39"/>
    <w:rsid w:val="00577C0A"/>
    <w:rsid w:val="005862B0"/>
    <w:rsid w:val="00586C87"/>
    <w:rsid w:val="00590B2C"/>
    <w:rsid w:val="0059147C"/>
    <w:rsid w:val="00595E47"/>
    <w:rsid w:val="005971ED"/>
    <w:rsid w:val="005A1141"/>
    <w:rsid w:val="005A2051"/>
    <w:rsid w:val="005A2D41"/>
    <w:rsid w:val="005A46B9"/>
    <w:rsid w:val="005A706D"/>
    <w:rsid w:val="005A780F"/>
    <w:rsid w:val="005B5A73"/>
    <w:rsid w:val="005B6408"/>
    <w:rsid w:val="005B7820"/>
    <w:rsid w:val="005C2E76"/>
    <w:rsid w:val="005C65C3"/>
    <w:rsid w:val="005C6CCA"/>
    <w:rsid w:val="005C7529"/>
    <w:rsid w:val="005D09AE"/>
    <w:rsid w:val="005D0C3C"/>
    <w:rsid w:val="005D19B2"/>
    <w:rsid w:val="005D1FB9"/>
    <w:rsid w:val="005D4D0F"/>
    <w:rsid w:val="005D6D5B"/>
    <w:rsid w:val="005E0D29"/>
    <w:rsid w:val="005E3BB4"/>
    <w:rsid w:val="005E70F9"/>
    <w:rsid w:val="005F2440"/>
    <w:rsid w:val="005F5696"/>
    <w:rsid w:val="005F5A0F"/>
    <w:rsid w:val="005F6AB9"/>
    <w:rsid w:val="005F7391"/>
    <w:rsid w:val="005F7550"/>
    <w:rsid w:val="00603834"/>
    <w:rsid w:val="0060512C"/>
    <w:rsid w:val="00606686"/>
    <w:rsid w:val="00613D6E"/>
    <w:rsid w:val="00615570"/>
    <w:rsid w:val="006179EC"/>
    <w:rsid w:val="00621043"/>
    <w:rsid w:val="00624633"/>
    <w:rsid w:val="00626B46"/>
    <w:rsid w:val="0062784D"/>
    <w:rsid w:val="006302F9"/>
    <w:rsid w:val="006306F0"/>
    <w:rsid w:val="00630863"/>
    <w:rsid w:val="006316EE"/>
    <w:rsid w:val="0063232B"/>
    <w:rsid w:val="006333B0"/>
    <w:rsid w:val="00635032"/>
    <w:rsid w:val="00635857"/>
    <w:rsid w:val="00635E2D"/>
    <w:rsid w:val="0064018D"/>
    <w:rsid w:val="00646002"/>
    <w:rsid w:val="00647A3D"/>
    <w:rsid w:val="00651A54"/>
    <w:rsid w:val="006527F6"/>
    <w:rsid w:val="0066063D"/>
    <w:rsid w:val="00662C24"/>
    <w:rsid w:val="00663B73"/>
    <w:rsid w:val="00665057"/>
    <w:rsid w:val="00667B4A"/>
    <w:rsid w:val="006701C7"/>
    <w:rsid w:val="0067108B"/>
    <w:rsid w:val="006735A7"/>
    <w:rsid w:val="006739B8"/>
    <w:rsid w:val="00675275"/>
    <w:rsid w:val="00675EC9"/>
    <w:rsid w:val="0068226F"/>
    <w:rsid w:val="00682F87"/>
    <w:rsid w:val="00685993"/>
    <w:rsid w:val="006863C2"/>
    <w:rsid w:val="00687990"/>
    <w:rsid w:val="00687E3D"/>
    <w:rsid w:val="00690640"/>
    <w:rsid w:val="00696758"/>
    <w:rsid w:val="006A115B"/>
    <w:rsid w:val="006A1F33"/>
    <w:rsid w:val="006A34F0"/>
    <w:rsid w:val="006A69BF"/>
    <w:rsid w:val="006B076F"/>
    <w:rsid w:val="006B24EA"/>
    <w:rsid w:val="006B330B"/>
    <w:rsid w:val="006B6E30"/>
    <w:rsid w:val="006B77C5"/>
    <w:rsid w:val="006B7FFD"/>
    <w:rsid w:val="006C0BD1"/>
    <w:rsid w:val="006C1622"/>
    <w:rsid w:val="006D1F4D"/>
    <w:rsid w:val="006D2533"/>
    <w:rsid w:val="006D2EC9"/>
    <w:rsid w:val="006D34CC"/>
    <w:rsid w:val="006D3E1A"/>
    <w:rsid w:val="006D6FC2"/>
    <w:rsid w:val="006E0331"/>
    <w:rsid w:val="006E0624"/>
    <w:rsid w:val="006E2E0C"/>
    <w:rsid w:val="006E3326"/>
    <w:rsid w:val="006E47D9"/>
    <w:rsid w:val="006F26E7"/>
    <w:rsid w:val="006F63EF"/>
    <w:rsid w:val="006F7398"/>
    <w:rsid w:val="00700B03"/>
    <w:rsid w:val="00701A21"/>
    <w:rsid w:val="007020A6"/>
    <w:rsid w:val="00702961"/>
    <w:rsid w:val="007041EC"/>
    <w:rsid w:val="0070450F"/>
    <w:rsid w:val="00707889"/>
    <w:rsid w:val="007111BF"/>
    <w:rsid w:val="0071124A"/>
    <w:rsid w:val="00711601"/>
    <w:rsid w:val="00711DF4"/>
    <w:rsid w:val="00717B68"/>
    <w:rsid w:val="00717E2A"/>
    <w:rsid w:val="0072131E"/>
    <w:rsid w:val="00724B5C"/>
    <w:rsid w:val="00725C91"/>
    <w:rsid w:val="00730FDC"/>
    <w:rsid w:val="0073215B"/>
    <w:rsid w:val="007322D9"/>
    <w:rsid w:val="00734E17"/>
    <w:rsid w:val="00734E2D"/>
    <w:rsid w:val="0073588F"/>
    <w:rsid w:val="00740DE1"/>
    <w:rsid w:val="00743A1C"/>
    <w:rsid w:val="00743C4A"/>
    <w:rsid w:val="00744328"/>
    <w:rsid w:val="00745A80"/>
    <w:rsid w:val="00750FC0"/>
    <w:rsid w:val="00751CB1"/>
    <w:rsid w:val="00751FAC"/>
    <w:rsid w:val="00752FA9"/>
    <w:rsid w:val="00752FE3"/>
    <w:rsid w:val="00754EA7"/>
    <w:rsid w:val="0075579D"/>
    <w:rsid w:val="00757991"/>
    <w:rsid w:val="00757BD9"/>
    <w:rsid w:val="0076076A"/>
    <w:rsid w:val="0076481C"/>
    <w:rsid w:val="00767AED"/>
    <w:rsid w:val="00773EEA"/>
    <w:rsid w:val="00773FFB"/>
    <w:rsid w:val="007778AB"/>
    <w:rsid w:val="007779AC"/>
    <w:rsid w:val="00781B03"/>
    <w:rsid w:val="00782728"/>
    <w:rsid w:val="00782CC5"/>
    <w:rsid w:val="00783250"/>
    <w:rsid w:val="007846BF"/>
    <w:rsid w:val="0078570F"/>
    <w:rsid w:val="00785C51"/>
    <w:rsid w:val="0079549E"/>
    <w:rsid w:val="007A2166"/>
    <w:rsid w:val="007A7D86"/>
    <w:rsid w:val="007B10DB"/>
    <w:rsid w:val="007B4E5C"/>
    <w:rsid w:val="007B6540"/>
    <w:rsid w:val="007B7B60"/>
    <w:rsid w:val="007C10F2"/>
    <w:rsid w:val="007C1276"/>
    <w:rsid w:val="007C2F7B"/>
    <w:rsid w:val="007C35A7"/>
    <w:rsid w:val="007C5637"/>
    <w:rsid w:val="007C6C24"/>
    <w:rsid w:val="007D1751"/>
    <w:rsid w:val="007D246E"/>
    <w:rsid w:val="007D48A7"/>
    <w:rsid w:val="007D5788"/>
    <w:rsid w:val="007D70A1"/>
    <w:rsid w:val="007E0FD7"/>
    <w:rsid w:val="007E24C7"/>
    <w:rsid w:val="007E5059"/>
    <w:rsid w:val="007F1334"/>
    <w:rsid w:val="007F2A50"/>
    <w:rsid w:val="0080155C"/>
    <w:rsid w:val="0080355B"/>
    <w:rsid w:val="00806C15"/>
    <w:rsid w:val="008102FE"/>
    <w:rsid w:val="00811C1F"/>
    <w:rsid w:val="008132E8"/>
    <w:rsid w:val="00813582"/>
    <w:rsid w:val="008204CA"/>
    <w:rsid w:val="00821408"/>
    <w:rsid w:val="00822C8C"/>
    <w:rsid w:val="00823407"/>
    <w:rsid w:val="0083291E"/>
    <w:rsid w:val="008344E1"/>
    <w:rsid w:val="008354E1"/>
    <w:rsid w:val="0083756B"/>
    <w:rsid w:val="00837869"/>
    <w:rsid w:val="00841AE7"/>
    <w:rsid w:val="00841FFC"/>
    <w:rsid w:val="00843997"/>
    <w:rsid w:val="00845201"/>
    <w:rsid w:val="0084641D"/>
    <w:rsid w:val="00847377"/>
    <w:rsid w:val="008502D0"/>
    <w:rsid w:val="00857113"/>
    <w:rsid w:val="00857BBA"/>
    <w:rsid w:val="008602F1"/>
    <w:rsid w:val="0086191E"/>
    <w:rsid w:val="00864B3A"/>
    <w:rsid w:val="0087107E"/>
    <w:rsid w:val="00873CB7"/>
    <w:rsid w:val="00874054"/>
    <w:rsid w:val="00877471"/>
    <w:rsid w:val="00890C79"/>
    <w:rsid w:val="00890EEC"/>
    <w:rsid w:val="008917EA"/>
    <w:rsid w:val="0089300A"/>
    <w:rsid w:val="00893A0B"/>
    <w:rsid w:val="00897D2D"/>
    <w:rsid w:val="008A1542"/>
    <w:rsid w:val="008A1AC2"/>
    <w:rsid w:val="008A4A9D"/>
    <w:rsid w:val="008A4F23"/>
    <w:rsid w:val="008A5866"/>
    <w:rsid w:val="008A6A36"/>
    <w:rsid w:val="008A6F7B"/>
    <w:rsid w:val="008A7785"/>
    <w:rsid w:val="008A7ECD"/>
    <w:rsid w:val="008B0184"/>
    <w:rsid w:val="008B0859"/>
    <w:rsid w:val="008B0D98"/>
    <w:rsid w:val="008B1598"/>
    <w:rsid w:val="008C342B"/>
    <w:rsid w:val="008C5D02"/>
    <w:rsid w:val="008C6371"/>
    <w:rsid w:val="008C6528"/>
    <w:rsid w:val="008C6A0D"/>
    <w:rsid w:val="008D11D3"/>
    <w:rsid w:val="008D2649"/>
    <w:rsid w:val="008D2B2F"/>
    <w:rsid w:val="008D5E97"/>
    <w:rsid w:val="008D6DD7"/>
    <w:rsid w:val="008D7C6C"/>
    <w:rsid w:val="008E0053"/>
    <w:rsid w:val="008E0696"/>
    <w:rsid w:val="008E118E"/>
    <w:rsid w:val="008E2681"/>
    <w:rsid w:val="008E6146"/>
    <w:rsid w:val="008E79EF"/>
    <w:rsid w:val="008F1CC7"/>
    <w:rsid w:val="008F4298"/>
    <w:rsid w:val="008F742D"/>
    <w:rsid w:val="0090062F"/>
    <w:rsid w:val="00900A1D"/>
    <w:rsid w:val="009020AB"/>
    <w:rsid w:val="00902863"/>
    <w:rsid w:val="00903F29"/>
    <w:rsid w:val="009042A2"/>
    <w:rsid w:val="00904ECA"/>
    <w:rsid w:val="0090568D"/>
    <w:rsid w:val="0090580D"/>
    <w:rsid w:val="0090629C"/>
    <w:rsid w:val="00906543"/>
    <w:rsid w:val="00906E3C"/>
    <w:rsid w:val="0091127D"/>
    <w:rsid w:val="00911384"/>
    <w:rsid w:val="0091198C"/>
    <w:rsid w:val="009125C9"/>
    <w:rsid w:val="00913879"/>
    <w:rsid w:val="00914459"/>
    <w:rsid w:val="00914EA7"/>
    <w:rsid w:val="00915E0E"/>
    <w:rsid w:val="00916980"/>
    <w:rsid w:val="00916B98"/>
    <w:rsid w:val="009174CA"/>
    <w:rsid w:val="00917661"/>
    <w:rsid w:val="00920708"/>
    <w:rsid w:val="00920AEB"/>
    <w:rsid w:val="00922B10"/>
    <w:rsid w:val="00923C6B"/>
    <w:rsid w:val="00925BDF"/>
    <w:rsid w:val="00926B96"/>
    <w:rsid w:val="009274A2"/>
    <w:rsid w:val="009278B5"/>
    <w:rsid w:val="00932225"/>
    <w:rsid w:val="00932BB9"/>
    <w:rsid w:val="00933A46"/>
    <w:rsid w:val="00934FB1"/>
    <w:rsid w:val="009358CE"/>
    <w:rsid w:val="009372DA"/>
    <w:rsid w:val="00940341"/>
    <w:rsid w:val="00940584"/>
    <w:rsid w:val="00941609"/>
    <w:rsid w:val="0094174C"/>
    <w:rsid w:val="0094755C"/>
    <w:rsid w:val="00947EBA"/>
    <w:rsid w:val="0095009F"/>
    <w:rsid w:val="00955315"/>
    <w:rsid w:val="00956109"/>
    <w:rsid w:val="009601F0"/>
    <w:rsid w:val="0096020B"/>
    <w:rsid w:val="00960BBA"/>
    <w:rsid w:val="00963013"/>
    <w:rsid w:val="00964BBD"/>
    <w:rsid w:val="009650EC"/>
    <w:rsid w:val="00967ABD"/>
    <w:rsid w:val="00967E52"/>
    <w:rsid w:val="00970131"/>
    <w:rsid w:val="00970E5D"/>
    <w:rsid w:val="00972A82"/>
    <w:rsid w:val="00973AD6"/>
    <w:rsid w:val="00973C11"/>
    <w:rsid w:val="009756C3"/>
    <w:rsid w:val="0097701C"/>
    <w:rsid w:val="00980A65"/>
    <w:rsid w:val="00981D2E"/>
    <w:rsid w:val="00983435"/>
    <w:rsid w:val="0099648D"/>
    <w:rsid w:val="009A013D"/>
    <w:rsid w:val="009A2A8D"/>
    <w:rsid w:val="009A3114"/>
    <w:rsid w:val="009A3514"/>
    <w:rsid w:val="009A43AB"/>
    <w:rsid w:val="009A4A67"/>
    <w:rsid w:val="009A4E6D"/>
    <w:rsid w:val="009B17FC"/>
    <w:rsid w:val="009B1CC0"/>
    <w:rsid w:val="009B1DE7"/>
    <w:rsid w:val="009B369D"/>
    <w:rsid w:val="009B3B08"/>
    <w:rsid w:val="009B567F"/>
    <w:rsid w:val="009B7B8C"/>
    <w:rsid w:val="009C0DB0"/>
    <w:rsid w:val="009C3AE5"/>
    <w:rsid w:val="009C450A"/>
    <w:rsid w:val="009C5A48"/>
    <w:rsid w:val="009C7F6C"/>
    <w:rsid w:val="009D02B7"/>
    <w:rsid w:val="009D0903"/>
    <w:rsid w:val="009D0D2C"/>
    <w:rsid w:val="009D1360"/>
    <w:rsid w:val="009D2D65"/>
    <w:rsid w:val="009D2EA5"/>
    <w:rsid w:val="009D3A3F"/>
    <w:rsid w:val="009D4E15"/>
    <w:rsid w:val="009D5BDE"/>
    <w:rsid w:val="009E1643"/>
    <w:rsid w:val="009E1E55"/>
    <w:rsid w:val="009E261F"/>
    <w:rsid w:val="009E2E9B"/>
    <w:rsid w:val="009E3A43"/>
    <w:rsid w:val="009F22E7"/>
    <w:rsid w:val="009F7440"/>
    <w:rsid w:val="009F78B0"/>
    <w:rsid w:val="00A01B95"/>
    <w:rsid w:val="00A01E67"/>
    <w:rsid w:val="00A03F1E"/>
    <w:rsid w:val="00A04AA0"/>
    <w:rsid w:val="00A0575E"/>
    <w:rsid w:val="00A11ED2"/>
    <w:rsid w:val="00A159BB"/>
    <w:rsid w:val="00A15D23"/>
    <w:rsid w:val="00A21549"/>
    <w:rsid w:val="00A21CF9"/>
    <w:rsid w:val="00A22461"/>
    <w:rsid w:val="00A228F6"/>
    <w:rsid w:val="00A234DB"/>
    <w:rsid w:val="00A243A5"/>
    <w:rsid w:val="00A2476D"/>
    <w:rsid w:val="00A25E70"/>
    <w:rsid w:val="00A33765"/>
    <w:rsid w:val="00A34D47"/>
    <w:rsid w:val="00A35909"/>
    <w:rsid w:val="00A35DC7"/>
    <w:rsid w:val="00A35E8F"/>
    <w:rsid w:val="00A36C1D"/>
    <w:rsid w:val="00A37460"/>
    <w:rsid w:val="00A3761E"/>
    <w:rsid w:val="00A37DF5"/>
    <w:rsid w:val="00A4223F"/>
    <w:rsid w:val="00A44AF1"/>
    <w:rsid w:val="00A46EFC"/>
    <w:rsid w:val="00A4769E"/>
    <w:rsid w:val="00A5015D"/>
    <w:rsid w:val="00A533F4"/>
    <w:rsid w:val="00A55A02"/>
    <w:rsid w:val="00A56361"/>
    <w:rsid w:val="00A61D8E"/>
    <w:rsid w:val="00A62120"/>
    <w:rsid w:val="00A63269"/>
    <w:rsid w:val="00A65708"/>
    <w:rsid w:val="00A65882"/>
    <w:rsid w:val="00A6599E"/>
    <w:rsid w:val="00A716B6"/>
    <w:rsid w:val="00A723AD"/>
    <w:rsid w:val="00A72D2B"/>
    <w:rsid w:val="00A73BF0"/>
    <w:rsid w:val="00A7508F"/>
    <w:rsid w:val="00A77AE1"/>
    <w:rsid w:val="00A80DEA"/>
    <w:rsid w:val="00A81DA0"/>
    <w:rsid w:val="00A83F70"/>
    <w:rsid w:val="00A85A3D"/>
    <w:rsid w:val="00A90264"/>
    <w:rsid w:val="00A90AF2"/>
    <w:rsid w:val="00A92377"/>
    <w:rsid w:val="00A94049"/>
    <w:rsid w:val="00A94629"/>
    <w:rsid w:val="00A946D4"/>
    <w:rsid w:val="00AA0FCD"/>
    <w:rsid w:val="00AA54EF"/>
    <w:rsid w:val="00AA7A29"/>
    <w:rsid w:val="00AB0E4A"/>
    <w:rsid w:val="00AB119D"/>
    <w:rsid w:val="00AB128C"/>
    <w:rsid w:val="00AB29ED"/>
    <w:rsid w:val="00AB4298"/>
    <w:rsid w:val="00AB4ACD"/>
    <w:rsid w:val="00AB533B"/>
    <w:rsid w:val="00AB62D1"/>
    <w:rsid w:val="00AB798B"/>
    <w:rsid w:val="00AB7B4A"/>
    <w:rsid w:val="00AC1909"/>
    <w:rsid w:val="00AC237F"/>
    <w:rsid w:val="00AC37FE"/>
    <w:rsid w:val="00AC5067"/>
    <w:rsid w:val="00AC5D4B"/>
    <w:rsid w:val="00AD0044"/>
    <w:rsid w:val="00AD0B9F"/>
    <w:rsid w:val="00AD3CE2"/>
    <w:rsid w:val="00AD3F61"/>
    <w:rsid w:val="00AD42B9"/>
    <w:rsid w:val="00AD7F10"/>
    <w:rsid w:val="00AE3295"/>
    <w:rsid w:val="00AE4BD8"/>
    <w:rsid w:val="00AE5800"/>
    <w:rsid w:val="00AE6423"/>
    <w:rsid w:val="00AE699E"/>
    <w:rsid w:val="00AF05A9"/>
    <w:rsid w:val="00AF5AA9"/>
    <w:rsid w:val="00AF63BD"/>
    <w:rsid w:val="00AF6F14"/>
    <w:rsid w:val="00B00776"/>
    <w:rsid w:val="00B01759"/>
    <w:rsid w:val="00B04D02"/>
    <w:rsid w:val="00B07197"/>
    <w:rsid w:val="00B10B43"/>
    <w:rsid w:val="00B10C22"/>
    <w:rsid w:val="00B1368C"/>
    <w:rsid w:val="00B20CC1"/>
    <w:rsid w:val="00B2362D"/>
    <w:rsid w:val="00B24A9A"/>
    <w:rsid w:val="00B326B6"/>
    <w:rsid w:val="00B328D7"/>
    <w:rsid w:val="00B33461"/>
    <w:rsid w:val="00B351FC"/>
    <w:rsid w:val="00B35E0D"/>
    <w:rsid w:val="00B362A0"/>
    <w:rsid w:val="00B37190"/>
    <w:rsid w:val="00B41CD4"/>
    <w:rsid w:val="00B4388F"/>
    <w:rsid w:val="00B46A2A"/>
    <w:rsid w:val="00B50A39"/>
    <w:rsid w:val="00B52E87"/>
    <w:rsid w:val="00B54C15"/>
    <w:rsid w:val="00B562B7"/>
    <w:rsid w:val="00B56B96"/>
    <w:rsid w:val="00B56E4F"/>
    <w:rsid w:val="00B6140D"/>
    <w:rsid w:val="00B61453"/>
    <w:rsid w:val="00B62D0E"/>
    <w:rsid w:val="00B63237"/>
    <w:rsid w:val="00B64768"/>
    <w:rsid w:val="00B65819"/>
    <w:rsid w:val="00B6655E"/>
    <w:rsid w:val="00B7217E"/>
    <w:rsid w:val="00B735CB"/>
    <w:rsid w:val="00B73677"/>
    <w:rsid w:val="00B737D5"/>
    <w:rsid w:val="00B74377"/>
    <w:rsid w:val="00B759CD"/>
    <w:rsid w:val="00B766F4"/>
    <w:rsid w:val="00B80910"/>
    <w:rsid w:val="00B80DC5"/>
    <w:rsid w:val="00B871D2"/>
    <w:rsid w:val="00B9197E"/>
    <w:rsid w:val="00B930D9"/>
    <w:rsid w:val="00B945EE"/>
    <w:rsid w:val="00B954DC"/>
    <w:rsid w:val="00B95B2B"/>
    <w:rsid w:val="00B9699A"/>
    <w:rsid w:val="00BA094A"/>
    <w:rsid w:val="00BA1787"/>
    <w:rsid w:val="00BB05A5"/>
    <w:rsid w:val="00BB2D2D"/>
    <w:rsid w:val="00BB6A7E"/>
    <w:rsid w:val="00BB7D99"/>
    <w:rsid w:val="00BC0A2E"/>
    <w:rsid w:val="00BC1051"/>
    <w:rsid w:val="00BD229C"/>
    <w:rsid w:val="00BD2394"/>
    <w:rsid w:val="00BD2E02"/>
    <w:rsid w:val="00BD43F6"/>
    <w:rsid w:val="00BE1A62"/>
    <w:rsid w:val="00BE290A"/>
    <w:rsid w:val="00BE34C4"/>
    <w:rsid w:val="00BE421E"/>
    <w:rsid w:val="00BE5FE4"/>
    <w:rsid w:val="00BE7291"/>
    <w:rsid w:val="00BF1FE0"/>
    <w:rsid w:val="00BF3A3D"/>
    <w:rsid w:val="00BF61DC"/>
    <w:rsid w:val="00C02464"/>
    <w:rsid w:val="00C02C94"/>
    <w:rsid w:val="00C0328A"/>
    <w:rsid w:val="00C04725"/>
    <w:rsid w:val="00C06C23"/>
    <w:rsid w:val="00C14F41"/>
    <w:rsid w:val="00C156D2"/>
    <w:rsid w:val="00C1572C"/>
    <w:rsid w:val="00C16E1C"/>
    <w:rsid w:val="00C1714D"/>
    <w:rsid w:val="00C20E0C"/>
    <w:rsid w:val="00C22485"/>
    <w:rsid w:val="00C26F7C"/>
    <w:rsid w:val="00C32F06"/>
    <w:rsid w:val="00C379C2"/>
    <w:rsid w:val="00C4004E"/>
    <w:rsid w:val="00C4483F"/>
    <w:rsid w:val="00C46338"/>
    <w:rsid w:val="00C473D1"/>
    <w:rsid w:val="00C50FF7"/>
    <w:rsid w:val="00C544EA"/>
    <w:rsid w:val="00C612C3"/>
    <w:rsid w:val="00C61791"/>
    <w:rsid w:val="00C637BB"/>
    <w:rsid w:val="00C63A12"/>
    <w:rsid w:val="00C65613"/>
    <w:rsid w:val="00C66790"/>
    <w:rsid w:val="00C73092"/>
    <w:rsid w:val="00C7517A"/>
    <w:rsid w:val="00C8026C"/>
    <w:rsid w:val="00C8068C"/>
    <w:rsid w:val="00C811E5"/>
    <w:rsid w:val="00C8567A"/>
    <w:rsid w:val="00C874D6"/>
    <w:rsid w:val="00C91867"/>
    <w:rsid w:val="00C960DC"/>
    <w:rsid w:val="00CA0394"/>
    <w:rsid w:val="00CA0AA1"/>
    <w:rsid w:val="00CA0D6C"/>
    <w:rsid w:val="00CA2367"/>
    <w:rsid w:val="00CA3EA1"/>
    <w:rsid w:val="00CB1999"/>
    <w:rsid w:val="00CB1FD8"/>
    <w:rsid w:val="00CB4C98"/>
    <w:rsid w:val="00CB63CE"/>
    <w:rsid w:val="00CB6C24"/>
    <w:rsid w:val="00CC0E18"/>
    <w:rsid w:val="00CC2A03"/>
    <w:rsid w:val="00CC2CF1"/>
    <w:rsid w:val="00CC2E8A"/>
    <w:rsid w:val="00CC3D94"/>
    <w:rsid w:val="00CC55E3"/>
    <w:rsid w:val="00CC5D32"/>
    <w:rsid w:val="00CC7CE1"/>
    <w:rsid w:val="00CD0F43"/>
    <w:rsid w:val="00CD1920"/>
    <w:rsid w:val="00CD2C07"/>
    <w:rsid w:val="00CD5C3E"/>
    <w:rsid w:val="00CE618C"/>
    <w:rsid w:val="00CE66D5"/>
    <w:rsid w:val="00CE6751"/>
    <w:rsid w:val="00CE687A"/>
    <w:rsid w:val="00CE7A4C"/>
    <w:rsid w:val="00CF0367"/>
    <w:rsid w:val="00CF23C7"/>
    <w:rsid w:val="00CF5F6B"/>
    <w:rsid w:val="00D004FE"/>
    <w:rsid w:val="00D02C75"/>
    <w:rsid w:val="00D03383"/>
    <w:rsid w:val="00D049B5"/>
    <w:rsid w:val="00D05058"/>
    <w:rsid w:val="00D074E6"/>
    <w:rsid w:val="00D10E22"/>
    <w:rsid w:val="00D123E3"/>
    <w:rsid w:val="00D12418"/>
    <w:rsid w:val="00D126B2"/>
    <w:rsid w:val="00D12B97"/>
    <w:rsid w:val="00D13D2C"/>
    <w:rsid w:val="00D13F0E"/>
    <w:rsid w:val="00D15087"/>
    <w:rsid w:val="00D15C9E"/>
    <w:rsid w:val="00D16E88"/>
    <w:rsid w:val="00D1726D"/>
    <w:rsid w:val="00D20F39"/>
    <w:rsid w:val="00D231BF"/>
    <w:rsid w:val="00D23B15"/>
    <w:rsid w:val="00D23D6F"/>
    <w:rsid w:val="00D23EBA"/>
    <w:rsid w:val="00D261CD"/>
    <w:rsid w:val="00D268C0"/>
    <w:rsid w:val="00D27EF6"/>
    <w:rsid w:val="00D31BD4"/>
    <w:rsid w:val="00D33E53"/>
    <w:rsid w:val="00D4081B"/>
    <w:rsid w:val="00D424AA"/>
    <w:rsid w:val="00D4424A"/>
    <w:rsid w:val="00D45A75"/>
    <w:rsid w:val="00D45F2E"/>
    <w:rsid w:val="00D47E2A"/>
    <w:rsid w:val="00D50BA3"/>
    <w:rsid w:val="00D541B1"/>
    <w:rsid w:val="00D54FF3"/>
    <w:rsid w:val="00D55AD8"/>
    <w:rsid w:val="00D575F9"/>
    <w:rsid w:val="00D57809"/>
    <w:rsid w:val="00D60281"/>
    <w:rsid w:val="00D619CD"/>
    <w:rsid w:val="00D62F31"/>
    <w:rsid w:val="00D63189"/>
    <w:rsid w:val="00D63943"/>
    <w:rsid w:val="00D7059A"/>
    <w:rsid w:val="00D723B1"/>
    <w:rsid w:val="00D726FB"/>
    <w:rsid w:val="00D727CC"/>
    <w:rsid w:val="00D72CA4"/>
    <w:rsid w:val="00D73207"/>
    <w:rsid w:val="00D73D41"/>
    <w:rsid w:val="00D800C9"/>
    <w:rsid w:val="00D806ED"/>
    <w:rsid w:val="00D80709"/>
    <w:rsid w:val="00D81A5C"/>
    <w:rsid w:val="00D82D6F"/>
    <w:rsid w:val="00D85970"/>
    <w:rsid w:val="00D85F2A"/>
    <w:rsid w:val="00D87CBB"/>
    <w:rsid w:val="00D87EB6"/>
    <w:rsid w:val="00D902D9"/>
    <w:rsid w:val="00D9181E"/>
    <w:rsid w:val="00D92B24"/>
    <w:rsid w:val="00D93EB6"/>
    <w:rsid w:val="00D94C5B"/>
    <w:rsid w:val="00D94F00"/>
    <w:rsid w:val="00D964A6"/>
    <w:rsid w:val="00D965C7"/>
    <w:rsid w:val="00D96CF8"/>
    <w:rsid w:val="00DA1421"/>
    <w:rsid w:val="00DA3996"/>
    <w:rsid w:val="00DA5490"/>
    <w:rsid w:val="00DA7CA1"/>
    <w:rsid w:val="00DB0AA1"/>
    <w:rsid w:val="00DB0D44"/>
    <w:rsid w:val="00DB1C7B"/>
    <w:rsid w:val="00DC0F5C"/>
    <w:rsid w:val="00DC2F94"/>
    <w:rsid w:val="00DC3132"/>
    <w:rsid w:val="00DC315F"/>
    <w:rsid w:val="00DC3EA0"/>
    <w:rsid w:val="00DC4477"/>
    <w:rsid w:val="00DC46AC"/>
    <w:rsid w:val="00DC5DF0"/>
    <w:rsid w:val="00DC76F1"/>
    <w:rsid w:val="00DD0575"/>
    <w:rsid w:val="00DD1978"/>
    <w:rsid w:val="00DD249F"/>
    <w:rsid w:val="00DD2BC7"/>
    <w:rsid w:val="00DD382F"/>
    <w:rsid w:val="00DD3D9E"/>
    <w:rsid w:val="00DD4A9B"/>
    <w:rsid w:val="00DD746A"/>
    <w:rsid w:val="00DD7908"/>
    <w:rsid w:val="00DE0170"/>
    <w:rsid w:val="00DE0F40"/>
    <w:rsid w:val="00DE24D4"/>
    <w:rsid w:val="00DE5138"/>
    <w:rsid w:val="00DE535F"/>
    <w:rsid w:val="00DE5C2C"/>
    <w:rsid w:val="00DE6EAE"/>
    <w:rsid w:val="00DF0849"/>
    <w:rsid w:val="00DF438D"/>
    <w:rsid w:val="00DF4B91"/>
    <w:rsid w:val="00DF574B"/>
    <w:rsid w:val="00DF5AFD"/>
    <w:rsid w:val="00DF74D5"/>
    <w:rsid w:val="00DF7810"/>
    <w:rsid w:val="00E05186"/>
    <w:rsid w:val="00E10179"/>
    <w:rsid w:val="00E107A0"/>
    <w:rsid w:val="00E108AC"/>
    <w:rsid w:val="00E12B79"/>
    <w:rsid w:val="00E14CEC"/>
    <w:rsid w:val="00E15B72"/>
    <w:rsid w:val="00E16EC0"/>
    <w:rsid w:val="00E205E2"/>
    <w:rsid w:val="00E20C76"/>
    <w:rsid w:val="00E22605"/>
    <w:rsid w:val="00E258F5"/>
    <w:rsid w:val="00E310DB"/>
    <w:rsid w:val="00E3183F"/>
    <w:rsid w:val="00E3537A"/>
    <w:rsid w:val="00E43047"/>
    <w:rsid w:val="00E44D39"/>
    <w:rsid w:val="00E464AF"/>
    <w:rsid w:val="00E46537"/>
    <w:rsid w:val="00E51639"/>
    <w:rsid w:val="00E55945"/>
    <w:rsid w:val="00E55CAD"/>
    <w:rsid w:val="00E55ED7"/>
    <w:rsid w:val="00E61F5B"/>
    <w:rsid w:val="00E62EF4"/>
    <w:rsid w:val="00E70B91"/>
    <w:rsid w:val="00E726C9"/>
    <w:rsid w:val="00E73E02"/>
    <w:rsid w:val="00E742F2"/>
    <w:rsid w:val="00E761BE"/>
    <w:rsid w:val="00E811E0"/>
    <w:rsid w:val="00E8192E"/>
    <w:rsid w:val="00E82297"/>
    <w:rsid w:val="00E83BEE"/>
    <w:rsid w:val="00E83CD3"/>
    <w:rsid w:val="00E86888"/>
    <w:rsid w:val="00E90B4C"/>
    <w:rsid w:val="00E934A2"/>
    <w:rsid w:val="00E9508E"/>
    <w:rsid w:val="00E974FA"/>
    <w:rsid w:val="00E97F84"/>
    <w:rsid w:val="00EA2B6F"/>
    <w:rsid w:val="00EA4808"/>
    <w:rsid w:val="00EA668A"/>
    <w:rsid w:val="00EA6961"/>
    <w:rsid w:val="00EB1102"/>
    <w:rsid w:val="00EB39BF"/>
    <w:rsid w:val="00EB5F9F"/>
    <w:rsid w:val="00EB6778"/>
    <w:rsid w:val="00EB797B"/>
    <w:rsid w:val="00EB7A24"/>
    <w:rsid w:val="00EC20DF"/>
    <w:rsid w:val="00EC2768"/>
    <w:rsid w:val="00EC41A7"/>
    <w:rsid w:val="00EC4727"/>
    <w:rsid w:val="00EC4D89"/>
    <w:rsid w:val="00EC652B"/>
    <w:rsid w:val="00EC6EBC"/>
    <w:rsid w:val="00ED01DA"/>
    <w:rsid w:val="00ED02CF"/>
    <w:rsid w:val="00ED24F1"/>
    <w:rsid w:val="00ED2CE5"/>
    <w:rsid w:val="00ED35A8"/>
    <w:rsid w:val="00ED5AD8"/>
    <w:rsid w:val="00ED5C34"/>
    <w:rsid w:val="00EE1391"/>
    <w:rsid w:val="00EE1906"/>
    <w:rsid w:val="00EE3247"/>
    <w:rsid w:val="00EE475F"/>
    <w:rsid w:val="00EF2E36"/>
    <w:rsid w:val="00EF39FD"/>
    <w:rsid w:val="00EF3DCF"/>
    <w:rsid w:val="00EF3E77"/>
    <w:rsid w:val="00F06842"/>
    <w:rsid w:val="00F107FD"/>
    <w:rsid w:val="00F11E2A"/>
    <w:rsid w:val="00F1282C"/>
    <w:rsid w:val="00F12A10"/>
    <w:rsid w:val="00F208EB"/>
    <w:rsid w:val="00F2587A"/>
    <w:rsid w:val="00F27D8F"/>
    <w:rsid w:val="00F310C7"/>
    <w:rsid w:val="00F363C7"/>
    <w:rsid w:val="00F37032"/>
    <w:rsid w:val="00F37FF3"/>
    <w:rsid w:val="00F4041E"/>
    <w:rsid w:val="00F4179A"/>
    <w:rsid w:val="00F42FF3"/>
    <w:rsid w:val="00F43C5B"/>
    <w:rsid w:val="00F45CA0"/>
    <w:rsid w:val="00F503DF"/>
    <w:rsid w:val="00F50FCE"/>
    <w:rsid w:val="00F560CD"/>
    <w:rsid w:val="00F63C03"/>
    <w:rsid w:val="00F66DB7"/>
    <w:rsid w:val="00F67DF4"/>
    <w:rsid w:val="00F7072E"/>
    <w:rsid w:val="00F746CD"/>
    <w:rsid w:val="00F82360"/>
    <w:rsid w:val="00F83054"/>
    <w:rsid w:val="00F840CF"/>
    <w:rsid w:val="00F85313"/>
    <w:rsid w:val="00F86C71"/>
    <w:rsid w:val="00F908ED"/>
    <w:rsid w:val="00F9224D"/>
    <w:rsid w:val="00F96506"/>
    <w:rsid w:val="00FA00F0"/>
    <w:rsid w:val="00FA1130"/>
    <w:rsid w:val="00FA7C5D"/>
    <w:rsid w:val="00FB5AB1"/>
    <w:rsid w:val="00FB64A8"/>
    <w:rsid w:val="00FB66AD"/>
    <w:rsid w:val="00FB71C0"/>
    <w:rsid w:val="00FC01CD"/>
    <w:rsid w:val="00FC036B"/>
    <w:rsid w:val="00FC0371"/>
    <w:rsid w:val="00FC0643"/>
    <w:rsid w:val="00FC0AE2"/>
    <w:rsid w:val="00FC2B4B"/>
    <w:rsid w:val="00FC7386"/>
    <w:rsid w:val="00FD3379"/>
    <w:rsid w:val="00FD752C"/>
    <w:rsid w:val="00FE0F68"/>
    <w:rsid w:val="00FF0E26"/>
    <w:rsid w:val="00FF0F83"/>
    <w:rsid w:val="00FF2911"/>
    <w:rsid w:val="00FF321D"/>
    <w:rsid w:val="00FF4884"/>
    <w:rsid w:val="00FF7AE5"/>
    <w:rsid w:val="01B552A4"/>
    <w:rsid w:val="0A9DB356"/>
    <w:rsid w:val="0D720AC8"/>
    <w:rsid w:val="10C6CEFB"/>
    <w:rsid w:val="16BEBF39"/>
    <w:rsid w:val="3CFBF72F"/>
    <w:rsid w:val="40EB1AC9"/>
    <w:rsid w:val="43D63CB8"/>
    <w:rsid w:val="4AB57974"/>
    <w:rsid w:val="588CB79D"/>
    <w:rsid w:val="5C6FF29D"/>
    <w:rsid w:val="6215E732"/>
    <w:rsid w:val="63F8D159"/>
    <w:rsid w:val="654CF235"/>
    <w:rsid w:val="6FABB209"/>
    <w:rsid w:val="79283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C5B4F5B2-C684-426D-A87B-48BACA0D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customStyle="1" w:styleId="figurecaption">
    <w:name w:val="figurecaption"/>
    <w:basedOn w:val="Normal"/>
    <w:next w:val="Normal"/>
    <w:rsid w:val="00A77AE1"/>
    <w:pPr>
      <w:keepLines/>
      <w:overflowPunct w:val="0"/>
      <w:autoSpaceDE w:val="0"/>
      <w:autoSpaceDN w:val="0"/>
      <w:adjustRightInd w:val="0"/>
      <w:spacing w:before="120" w:after="240" w:line="220" w:lineRule="atLeast"/>
      <w:jc w:val="center"/>
      <w:textAlignment w:val="baseline"/>
    </w:pPr>
    <w:rPr>
      <w:sz w:val="18"/>
      <w:lang w:val="en-US"/>
    </w:rPr>
  </w:style>
  <w:style w:type="character" w:styleId="PlaceholderText">
    <w:name w:val="Placeholder Text"/>
    <w:basedOn w:val="DefaultParagraphFont"/>
    <w:uiPriority w:val="99"/>
    <w:semiHidden/>
    <w:rsid w:val="005F7550"/>
    <w:rPr>
      <w:color w:val="808080"/>
    </w:rPr>
  </w:style>
  <w:style w:type="paragraph" w:styleId="NormalWeb">
    <w:name w:val="Normal (Web)"/>
    <w:basedOn w:val="Normal"/>
    <w:semiHidden/>
    <w:unhideWhenUsed/>
    <w:rsid w:val="006B330B"/>
    <w:rPr>
      <w:sz w:val="24"/>
      <w:szCs w:val="24"/>
    </w:rPr>
  </w:style>
  <w:style w:type="paragraph" w:styleId="Revision">
    <w:name w:val="Revision"/>
    <w:hidden/>
    <w:uiPriority w:val="99"/>
    <w:semiHidden/>
    <w:rsid w:val="005E70F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5102">
      <w:bodyDiv w:val="1"/>
      <w:marLeft w:val="0"/>
      <w:marRight w:val="0"/>
      <w:marTop w:val="0"/>
      <w:marBottom w:val="0"/>
      <w:divBdr>
        <w:top w:val="none" w:sz="0" w:space="0" w:color="auto"/>
        <w:left w:val="none" w:sz="0" w:space="0" w:color="auto"/>
        <w:bottom w:val="none" w:sz="0" w:space="0" w:color="auto"/>
        <w:right w:val="none" w:sz="0" w:space="0" w:color="auto"/>
      </w:divBdr>
    </w:div>
    <w:div w:id="86779231">
      <w:bodyDiv w:val="1"/>
      <w:marLeft w:val="0"/>
      <w:marRight w:val="0"/>
      <w:marTop w:val="0"/>
      <w:marBottom w:val="0"/>
      <w:divBdr>
        <w:top w:val="none" w:sz="0" w:space="0" w:color="auto"/>
        <w:left w:val="none" w:sz="0" w:space="0" w:color="auto"/>
        <w:bottom w:val="none" w:sz="0" w:space="0" w:color="auto"/>
        <w:right w:val="none" w:sz="0" w:space="0" w:color="auto"/>
      </w:divBdr>
    </w:div>
    <w:div w:id="218976964">
      <w:bodyDiv w:val="1"/>
      <w:marLeft w:val="0"/>
      <w:marRight w:val="0"/>
      <w:marTop w:val="0"/>
      <w:marBottom w:val="0"/>
      <w:divBdr>
        <w:top w:val="none" w:sz="0" w:space="0" w:color="auto"/>
        <w:left w:val="none" w:sz="0" w:space="0" w:color="auto"/>
        <w:bottom w:val="none" w:sz="0" w:space="0" w:color="auto"/>
        <w:right w:val="none" w:sz="0" w:space="0" w:color="auto"/>
      </w:divBdr>
    </w:div>
    <w:div w:id="222520116">
      <w:bodyDiv w:val="1"/>
      <w:marLeft w:val="0"/>
      <w:marRight w:val="0"/>
      <w:marTop w:val="0"/>
      <w:marBottom w:val="0"/>
      <w:divBdr>
        <w:top w:val="none" w:sz="0" w:space="0" w:color="auto"/>
        <w:left w:val="none" w:sz="0" w:space="0" w:color="auto"/>
        <w:bottom w:val="none" w:sz="0" w:space="0" w:color="auto"/>
        <w:right w:val="none" w:sz="0" w:space="0" w:color="auto"/>
      </w:divBdr>
    </w:div>
    <w:div w:id="252587879">
      <w:bodyDiv w:val="1"/>
      <w:marLeft w:val="0"/>
      <w:marRight w:val="0"/>
      <w:marTop w:val="0"/>
      <w:marBottom w:val="0"/>
      <w:divBdr>
        <w:top w:val="none" w:sz="0" w:space="0" w:color="auto"/>
        <w:left w:val="none" w:sz="0" w:space="0" w:color="auto"/>
        <w:bottom w:val="none" w:sz="0" w:space="0" w:color="auto"/>
        <w:right w:val="none" w:sz="0" w:space="0" w:color="auto"/>
      </w:divBdr>
    </w:div>
    <w:div w:id="360326707">
      <w:bodyDiv w:val="1"/>
      <w:marLeft w:val="0"/>
      <w:marRight w:val="0"/>
      <w:marTop w:val="0"/>
      <w:marBottom w:val="0"/>
      <w:divBdr>
        <w:top w:val="none" w:sz="0" w:space="0" w:color="auto"/>
        <w:left w:val="none" w:sz="0" w:space="0" w:color="auto"/>
        <w:bottom w:val="none" w:sz="0" w:space="0" w:color="auto"/>
        <w:right w:val="none" w:sz="0" w:space="0" w:color="auto"/>
      </w:divBdr>
    </w:div>
    <w:div w:id="428353601">
      <w:bodyDiv w:val="1"/>
      <w:marLeft w:val="0"/>
      <w:marRight w:val="0"/>
      <w:marTop w:val="0"/>
      <w:marBottom w:val="0"/>
      <w:divBdr>
        <w:top w:val="none" w:sz="0" w:space="0" w:color="auto"/>
        <w:left w:val="none" w:sz="0" w:space="0" w:color="auto"/>
        <w:bottom w:val="none" w:sz="0" w:space="0" w:color="auto"/>
        <w:right w:val="none" w:sz="0" w:space="0" w:color="auto"/>
      </w:divBdr>
    </w:div>
    <w:div w:id="529882047">
      <w:bodyDiv w:val="1"/>
      <w:marLeft w:val="0"/>
      <w:marRight w:val="0"/>
      <w:marTop w:val="0"/>
      <w:marBottom w:val="0"/>
      <w:divBdr>
        <w:top w:val="none" w:sz="0" w:space="0" w:color="auto"/>
        <w:left w:val="none" w:sz="0" w:space="0" w:color="auto"/>
        <w:bottom w:val="none" w:sz="0" w:space="0" w:color="auto"/>
        <w:right w:val="none" w:sz="0" w:space="0" w:color="auto"/>
      </w:divBdr>
    </w:div>
    <w:div w:id="553546872">
      <w:bodyDiv w:val="1"/>
      <w:marLeft w:val="0"/>
      <w:marRight w:val="0"/>
      <w:marTop w:val="0"/>
      <w:marBottom w:val="0"/>
      <w:divBdr>
        <w:top w:val="none" w:sz="0" w:space="0" w:color="auto"/>
        <w:left w:val="none" w:sz="0" w:space="0" w:color="auto"/>
        <w:bottom w:val="none" w:sz="0" w:space="0" w:color="auto"/>
        <w:right w:val="none" w:sz="0" w:space="0" w:color="auto"/>
      </w:divBdr>
    </w:div>
    <w:div w:id="691420494">
      <w:bodyDiv w:val="1"/>
      <w:marLeft w:val="0"/>
      <w:marRight w:val="0"/>
      <w:marTop w:val="0"/>
      <w:marBottom w:val="0"/>
      <w:divBdr>
        <w:top w:val="none" w:sz="0" w:space="0" w:color="auto"/>
        <w:left w:val="none" w:sz="0" w:space="0" w:color="auto"/>
        <w:bottom w:val="none" w:sz="0" w:space="0" w:color="auto"/>
        <w:right w:val="none" w:sz="0" w:space="0" w:color="auto"/>
      </w:divBdr>
      <w:divsChild>
        <w:div w:id="1050836253">
          <w:marLeft w:val="0"/>
          <w:marRight w:val="0"/>
          <w:marTop w:val="0"/>
          <w:marBottom w:val="0"/>
          <w:divBdr>
            <w:top w:val="none" w:sz="0" w:space="0" w:color="auto"/>
            <w:left w:val="none" w:sz="0" w:space="0" w:color="auto"/>
            <w:bottom w:val="none" w:sz="0" w:space="0" w:color="auto"/>
            <w:right w:val="none" w:sz="0" w:space="0" w:color="auto"/>
          </w:divBdr>
          <w:divsChild>
            <w:div w:id="65223662">
              <w:marLeft w:val="0"/>
              <w:marRight w:val="0"/>
              <w:marTop w:val="100"/>
              <w:marBottom w:val="100"/>
              <w:divBdr>
                <w:top w:val="single" w:sz="2" w:space="0" w:color="D9D9E3"/>
                <w:left w:val="single" w:sz="2" w:space="0" w:color="D9D9E3"/>
                <w:bottom w:val="single" w:sz="2" w:space="0" w:color="D9D9E3"/>
                <w:right w:val="single" w:sz="2" w:space="0" w:color="D9D9E3"/>
              </w:divBdr>
              <w:divsChild>
                <w:div w:id="768501804">
                  <w:marLeft w:val="0"/>
                  <w:marRight w:val="0"/>
                  <w:marTop w:val="0"/>
                  <w:marBottom w:val="0"/>
                  <w:divBdr>
                    <w:top w:val="single" w:sz="2" w:space="0" w:color="D9D9E3"/>
                    <w:left w:val="single" w:sz="2" w:space="0" w:color="D9D9E3"/>
                    <w:bottom w:val="single" w:sz="2" w:space="0" w:color="D9D9E3"/>
                    <w:right w:val="single" w:sz="2" w:space="0" w:color="D9D9E3"/>
                  </w:divBdr>
                  <w:divsChild>
                    <w:div w:id="157766686">
                      <w:marLeft w:val="0"/>
                      <w:marRight w:val="0"/>
                      <w:marTop w:val="0"/>
                      <w:marBottom w:val="0"/>
                      <w:divBdr>
                        <w:top w:val="single" w:sz="2" w:space="0" w:color="D9D9E3"/>
                        <w:left w:val="single" w:sz="2" w:space="0" w:color="D9D9E3"/>
                        <w:bottom w:val="single" w:sz="2" w:space="0" w:color="D9D9E3"/>
                        <w:right w:val="single" w:sz="2" w:space="0" w:color="D9D9E3"/>
                      </w:divBdr>
                      <w:divsChild>
                        <w:div w:id="1521353488">
                          <w:marLeft w:val="0"/>
                          <w:marRight w:val="0"/>
                          <w:marTop w:val="0"/>
                          <w:marBottom w:val="0"/>
                          <w:divBdr>
                            <w:top w:val="single" w:sz="2" w:space="0" w:color="D9D9E3"/>
                            <w:left w:val="single" w:sz="2" w:space="0" w:color="D9D9E3"/>
                            <w:bottom w:val="single" w:sz="2" w:space="0" w:color="D9D9E3"/>
                            <w:right w:val="single" w:sz="2" w:space="0" w:color="D9D9E3"/>
                          </w:divBdr>
                          <w:divsChild>
                            <w:div w:id="1041320190">
                              <w:marLeft w:val="0"/>
                              <w:marRight w:val="0"/>
                              <w:marTop w:val="0"/>
                              <w:marBottom w:val="0"/>
                              <w:divBdr>
                                <w:top w:val="single" w:sz="2" w:space="0" w:color="D9D9E3"/>
                                <w:left w:val="single" w:sz="2" w:space="0" w:color="D9D9E3"/>
                                <w:bottom w:val="single" w:sz="2" w:space="0" w:color="D9D9E3"/>
                                <w:right w:val="single" w:sz="2" w:space="0" w:color="D9D9E3"/>
                              </w:divBdr>
                              <w:divsChild>
                                <w:div w:id="1375813478">
                                  <w:marLeft w:val="0"/>
                                  <w:marRight w:val="0"/>
                                  <w:marTop w:val="0"/>
                                  <w:marBottom w:val="0"/>
                                  <w:divBdr>
                                    <w:top w:val="single" w:sz="2" w:space="0" w:color="D9D9E3"/>
                                    <w:left w:val="single" w:sz="2" w:space="0" w:color="D9D9E3"/>
                                    <w:bottom w:val="single" w:sz="2" w:space="0" w:color="D9D9E3"/>
                                    <w:right w:val="single" w:sz="2" w:space="0" w:color="D9D9E3"/>
                                  </w:divBdr>
                                  <w:divsChild>
                                    <w:div w:id="978652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14431121">
      <w:bodyDiv w:val="1"/>
      <w:marLeft w:val="0"/>
      <w:marRight w:val="0"/>
      <w:marTop w:val="0"/>
      <w:marBottom w:val="0"/>
      <w:divBdr>
        <w:top w:val="none" w:sz="0" w:space="0" w:color="auto"/>
        <w:left w:val="none" w:sz="0" w:space="0" w:color="auto"/>
        <w:bottom w:val="none" w:sz="0" w:space="0" w:color="auto"/>
        <w:right w:val="none" w:sz="0" w:space="0" w:color="auto"/>
      </w:divBdr>
    </w:div>
    <w:div w:id="730421022">
      <w:bodyDiv w:val="1"/>
      <w:marLeft w:val="0"/>
      <w:marRight w:val="0"/>
      <w:marTop w:val="0"/>
      <w:marBottom w:val="0"/>
      <w:divBdr>
        <w:top w:val="none" w:sz="0" w:space="0" w:color="auto"/>
        <w:left w:val="none" w:sz="0" w:space="0" w:color="auto"/>
        <w:bottom w:val="none" w:sz="0" w:space="0" w:color="auto"/>
        <w:right w:val="none" w:sz="0" w:space="0" w:color="auto"/>
      </w:divBdr>
    </w:div>
    <w:div w:id="747073580">
      <w:bodyDiv w:val="1"/>
      <w:marLeft w:val="0"/>
      <w:marRight w:val="0"/>
      <w:marTop w:val="0"/>
      <w:marBottom w:val="0"/>
      <w:divBdr>
        <w:top w:val="none" w:sz="0" w:space="0" w:color="auto"/>
        <w:left w:val="none" w:sz="0" w:space="0" w:color="auto"/>
        <w:bottom w:val="none" w:sz="0" w:space="0" w:color="auto"/>
        <w:right w:val="none" w:sz="0" w:space="0" w:color="auto"/>
      </w:divBdr>
    </w:div>
    <w:div w:id="756443236">
      <w:bodyDiv w:val="1"/>
      <w:marLeft w:val="0"/>
      <w:marRight w:val="0"/>
      <w:marTop w:val="0"/>
      <w:marBottom w:val="0"/>
      <w:divBdr>
        <w:top w:val="none" w:sz="0" w:space="0" w:color="auto"/>
        <w:left w:val="none" w:sz="0" w:space="0" w:color="auto"/>
        <w:bottom w:val="none" w:sz="0" w:space="0" w:color="auto"/>
        <w:right w:val="none" w:sz="0" w:space="0" w:color="auto"/>
      </w:divBdr>
    </w:div>
    <w:div w:id="818617500">
      <w:bodyDiv w:val="1"/>
      <w:marLeft w:val="0"/>
      <w:marRight w:val="0"/>
      <w:marTop w:val="0"/>
      <w:marBottom w:val="0"/>
      <w:divBdr>
        <w:top w:val="none" w:sz="0" w:space="0" w:color="auto"/>
        <w:left w:val="none" w:sz="0" w:space="0" w:color="auto"/>
        <w:bottom w:val="none" w:sz="0" w:space="0" w:color="auto"/>
        <w:right w:val="none" w:sz="0" w:space="0" w:color="auto"/>
      </w:divBdr>
    </w:div>
    <w:div w:id="946741544">
      <w:bodyDiv w:val="1"/>
      <w:marLeft w:val="0"/>
      <w:marRight w:val="0"/>
      <w:marTop w:val="0"/>
      <w:marBottom w:val="0"/>
      <w:divBdr>
        <w:top w:val="none" w:sz="0" w:space="0" w:color="auto"/>
        <w:left w:val="none" w:sz="0" w:space="0" w:color="auto"/>
        <w:bottom w:val="none" w:sz="0" w:space="0" w:color="auto"/>
        <w:right w:val="none" w:sz="0" w:space="0" w:color="auto"/>
      </w:divBdr>
    </w:div>
    <w:div w:id="997418598">
      <w:bodyDiv w:val="1"/>
      <w:marLeft w:val="0"/>
      <w:marRight w:val="0"/>
      <w:marTop w:val="0"/>
      <w:marBottom w:val="0"/>
      <w:divBdr>
        <w:top w:val="none" w:sz="0" w:space="0" w:color="auto"/>
        <w:left w:val="none" w:sz="0" w:space="0" w:color="auto"/>
        <w:bottom w:val="none" w:sz="0" w:space="0" w:color="auto"/>
        <w:right w:val="none" w:sz="0" w:space="0" w:color="auto"/>
      </w:divBdr>
    </w:div>
    <w:div w:id="1273976252">
      <w:bodyDiv w:val="1"/>
      <w:marLeft w:val="0"/>
      <w:marRight w:val="0"/>
      <w:marTop w:val="0"/>
      <w:marBottom w:val="0"/>
      <w:divBdr>
        <w:top w:val="none" w:sz="0" w:space="0" w:color="auto"/>
        <w:left w:val="none" w:sz="0" w:space="0" w:color="auto"/>
        <w:bottom w:val="none" w:sz="0" w:space="0" w:color="auto"/>
        <w:right w:val="none" w:sz="0" w:space="0" w:color="auto"/>
      </w:divBdr>
    </w:div>
    <w:div w:id="1285696407">
      <w:bodyDiv w:val="1"/>
      <w:marLeft w:val="0"/>
      <w:marRight w:val="0"/>
      <w:marTop w:val="0"/>
      <w:marBottom w:val="0"/>
      <w:divBdr>
        <w:top w:val="none" w:sz="0" w:space="0" w:color="auto"/>
        <w:left w:val="none" w:sz="0" w:space="0" w:color="auto"/>
        <w:bottom w:val="none" w:sz="0" w:space="0" w:color="auto"/>
        <w:right w:val="none" w:sz="0" w:space="0" w:color="auto"/>
      </w:divBdr>
    </w:div>
    <w:div w:id="1449163492">
      <w:bodyDiv w:val="1"/>
      <w:marLeft w:val="0"/>
      <w:marRight w:val="0"/>
      <w:marTop w:val="0"/>
      <w:marBottom w:val="0"/>
      <w:divBdr>
        <w:top w:val="none" w:sz="0" w:space="0" w:color="auto"/>
        <w:left w:val="none" w:sz="0" w:space="0" w:color="auto"/>
        <w:bottom w:val="none" w:sz="0" w:space="0" w:color="auto"/>
        <w:right w:val="none" w:sz="0" w:space="0" w:color="auto"/>
      </w:divBdr>
    </w:div>
    <w:div w:id="1490320991">
      <w:bodyDiv w:val="1"/>
      <w:marLeft w:val="0"/>
      <w:marRight w:val="0"/>
      <w:marTop w:val="0"/>
      <w:marBottom w:val="0"/>
      <w:divBdr>
        <w:top w:val="none" w:sz="0" w:space="0" w:color="auto"/>
        <w:left w:val="none" w:sz="0" w:space="0" w:color="auto"/>
        <w:bottom w:val="none" w:sz="0" w:space="0" w:color="auto"/>
        <w:right w:val="none" w:sz="0" w:space="0" w:color="auto"/>
      </w:divBdr>
    </w:div>
    <w:div w:id="1530143626">
      <w:bodyDiv w:val="1"/>
      <w:marLeft w:val="0"/>
      <w:marRight w:val="0"/>
      <w:marTop w:val="0"/>
      <w:marBottom w:val="0"/>
      <w:divBdr>
        <w:top w:val="none" w:sz="0" w:space="0" w:color="auto"/>
        <w:left w:val="none" w:sz="0" w:space="0" w:color="auto"/>
        <w:bottom w:val="none" w:sz="0" w:space="0" w:color="auto"/>
        <w:right w:val="none" w:sz="0" w:space="0" w:color="auto"/>
      </w:divBdr>
    </w:div>
    <w:div w:id="1993097551">
      <w:bodyDiv w:val="1"/>
      <w:marLeft w:val="0"/>
      <w:marRight w:val="0"/>
      <w:marTop w:val="0"/>
      <w:marBottom w:val="0"/>
      <w:divBdr>
        <w:top w:val="none" w:sz="0" w:space="0" w:color="auto"/>
        <w:left w:val="none" w:sz="0" w:space="0" w:color="auto"/>
        <w:bottom w:val="none" w:sz="0" w:space="0" w:color="auto"/>
        <w:right w:val="none" w:sz="0" w:space="0" w:color="auto"/>
      </w:divBdr>
    </w:div>
    <w:div w:id="2103794539">
      <w:bodyDiv w:val="1"/>
      <w:marLeft w:val="0"/>
      <w:marRight w:val="0"/>
      <w:marTop w:val="0"/>
      <w:marBottom w:val="0"/>
      <w:divBdr>
        <w:top w:val="none" w:sz="0" w:space="0" w:color="auto"/>
        <w:left w:val="none" w:sz="0" w:space="0" w:color="auto"/>
        <w:bottom w:val="none" w:sz="0" w:space="0" w:color="auto"/>
        <w:right w:val="none" w:sz="0" w:space="0" w:color="auto"/>
      </w:divBdr>
      <w:divsChild>
        <w:div w:id="296910761">
          <w:marLeft w:val="0"/>
          <w:marRight w:val="0"/>
          <w:marTop w:val="0"/>
          <w:marBottom w:val="0"/>
          <w:divBdr>
            <w:top w:val="none" w:sz="0" w:space="0" w:color="auto"/>
            <w:left w:val="none" w:sz="0" w:space="0" w:color="auto"/>
            <w:bottom w:val="none" w:sz="0" w:space="0" w:color="auto"/>
            <w:right w:val="none" w:sz="0" w:space="0" w:color="auto"/>
          </w:divBdr>
          <w:divsChild>
            <w:div w:id="1226792510">
              <w:marLeft w:val="0"/>
              <w:marRight w:val="0"/>
              <w:marTop w:val="100"/>
              <w:marBottom w:val="100"/>
              <w:divBdr>
                <w:top w:val="single" w:sz="2" w:space="0" w:color="D9D9E3"/>
                <w:left w:val="single" w:sz="2" w:space="0" w:color="D9D9E3"/>
                <w:bottom w:val="single" w:sz="2" w:space="0" w:color="D9D9E3"/>
                <w:right w:val="single" w:sz="2" w:space="0" w:color="D9D9E3"/>
              </w:divBdr>
              <w:divsChild>
                <w:div w:id="1842967475">
                  <w:marLeft w:val="0"/>
                  <w:marRight w:val="0"/>
                  <w:marTop w:val="0"/>
                  <w:marBottom w:val="0"/>
                  <w:divBdr>
                    <w:top w:val="single" w:sz="2" w:space="0" w:color="D9D9E3"/>
                    <w:left w:val="single" w:sz="2" w:space="0" w:color="D9D9E3"/>
                    <w:bottom w:val="single" w:sz="2" w:space="0" w:color="D9D9E3"/>
                    <w:right w:val="single" w:sz="2" w:space="0" w:color="D9D9E3"/>
                  </w:divBdr>
                  <w:divsChild>
                    <w:div w:id="1351179744">
                      <w:marLeft w:val="0"/>
                      <w:marRight w:val="0"/>
                      <w:marTop w:val="0"/>
                      <w:marBottom w:val="0"/>
                      <w:divBdr>
                        <w:top w:val="single" w:sz="2" w:space="0" w:color="D9D9E3"/>
                        <w:left w:val="single" w:sz="2" w:space="0" w:color="D9D9E3"/>
                        <w:bottom w:val="single" w:sz="2" w:space="0" w:color="D9D9E3"/>
                        <w:right w:val="single" w:sz="2" w:space="0" w:color="D9D9E3"/>
                      </w:divBdr>
                      <w:divsChild>
                        <w:div w:id="1775205877">
                          <w:marLeft w:val="0"/>
                          <w:marRight w:val="0"/>
                          <w:marTop w:val="0"/>
                          <w:marBottom w:val="0"/>
                          <w:divBdr>
                            <w:top w:val="single" w:sz="2" w:space="0" w:color="D9D9E3"/>
                            <w:left w:val="single" w:sz="2" w:space="0" w:color="D9D9E3"/>
                            <w:bottom w:val="single" w:sz="2" w:space="0" w:color="D9D9E3"/>
                            <w:right w:val="single" w:sz="2" w:space="0" w:color="D9D9E3"/>
                          </w:divBdr>
                          <w:divsChild>
                            <w:div w:id="1761414661">
                              <w:marLeft w:val="0"/>
                              <w:marRight w:val="0"/>
                              <w:marTop w:val="0"/>
                              <w:marBottom w:val="0"/>
                              <w:divBdr>
                                <w:top w:val="single" w:sz="2" w:space="0" w:color="D9D9E3"/>
                                <w:left w:val="single" w:sz="2" w:space="0" w:color="D9D9E3"/>
                                <w:bottom w:val="single" w:sz="2" w:space="0" w:color="D9D9E3"/>
                                <w:right w:val="single" w:sz="2" w:space="0" w:color="D9D9E3"/>
                              </w:divBdr>
                              <w:divsChild>
                                <w:div w:id="1443067721">
                                  <w:marLeft w:val="0"/>
                                  <w:marRight w:val="0"/>
                                  <w:marTop w:val="0"/>
                                  <w:marBottom w:val="0"/>
                                  <w:divBdr>
                                    <w:top w:val="single" w:sz="2" w:space="0" w:color="D9D9E3"/>
                                    <w:left w:val="single" w:sz="2" w:space="0" w:color="D9D9E3"/>
                                    <w:bottom w:val="single" w:sz="2" w:space="0" w:color="D9D9E3"/>
                                    <w:right w:val="single" w:sz="2" w:space="0" w:color="D9D9E3"/>
                                  </w:divBdr>
                                  <w:divsChild>
                                    <w:div w:id="899756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FEE0543CB3D8478CC77575177B217D" ma:contentTypeVersion="14" ma:contentTypeDescription="Create a new document." ma:contentTypeScope="" ma:versionID="a4de7af81f35dbe11ed0eb6d4b9672b4">
  <xsd:schema xmlns:xsd="http://www.w3.org/2001/XMLSchema" xmlns:xs="http://www.w3.org/2001/XMLSchema" xmlns:p="http://schemas.microsoft.com/office/2006/metadata/properties" xmlns:ns3="16d2fee3-09c0-484e-8a10-90528ad0f5c6" xmlns:ns4="728082bf-c0b5-4c84-81f2-cc05daec14e6" targetNamespace="http://schemas.microsoft.com/office/2006/metadata/properties" ma:root="true" ma:fieldsID="7a69bbec842781edec585c319c4097fb" ns3:_="" ns4:_="">
    <xsd:import namespace="16d2fee3-09c0-484e-8a10-90528ad0f5c6"/>
    <xsd:import namespace="728082bf-c0b5-4c84-81f2-cc05daec14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_activity"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2fee3-09c0-484e-8a10-90528ad0f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4" nillable="true" ma:displayName="_activity" ma:hidden="true" ma:internalName="_activity">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8082bf-c0b5-4c84-81f2-cc05daec14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d2fee3-09c0-484e-8a10-90528ad0f5c6" xsi:nil="true"/>
  </documentManagement>
</p:properties>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customXml/itemProps2.xml><?xml version="1.0" encoding="utf-8"?>
<ds:datastoreItem xmlns:ds="http://schemas.openxmlformats.org/officeDocument/2006/customXml" ds:itemID="{CFE32D53-0B3E-4913-A2E0-2679961A8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2fee3-09c0-484e-8a10-90528ad0f5c6"/>
    <ds:schemaRef ds:uri="728082bf-c0b5-4c84-81f2-cc05daec1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8CF76-0C2C-4B7D-A1E2-43D78A8A6034}">
  <ds:schemaRefs>
    <ds:schemaRef ds:uri="http://schemas.microsoft.com/sharepoint/v3/contenttype/forms"/>
  </ds:schemaRefs>
</ds:datastoreItem>
</file>

<file path=customXml/itemProps4.xml><?xml version="1.0" encoding="utf-8"?>
<ds:datastoreItem xmlns:ds="http://schemas.openxmlformats.org/officeDocument/2006/customXml" ds:itemID="{0272659E-2B11-45E8-BBC3-14911988AB02}">
  <ds:schemaRef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16d2fee3-09c0-484e-8a10-90528ad0f5c6"/>
    <ds:schemaRef ds:uri="http://purl.org/dc/terms/"/>
    <ds:schemaRef ds:uri="http://schemas.microsoft.com/office/2006/documentManagement/types"/>
    <ds:schemaRef ds:uri="http://schemas.microsoft.com/office/infopath/2007/PartnerControls"/>
    <ds:schemaRef ds:uri="728082bf-c0b5-4c84-81f2-cc05daec14e6"/>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10207</Words>
  <Characters>58184</Characters>
  <Application>Microsoft Office Word</Application>
  <DocSecurity>0</DocSecurity>
  <Lines>484</Lines>
  <Paragraphs>136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68255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Pablo Salazar-Villacis</dc:creator>
  <cp:keywords/>
  <cp:lastModifiedBy>Pablo Salazar-Villacis</cp:lastModifiedBy>
  <cp:revision>2</cp:revision>
  <cp:lastPrinted>2023-10-30T18:10:00Z</cp:lastPrinted>
  <dcterms:created xsi:type="dcterms:W3CDTF">2023-12-22T11:23:00Z</dcterms:created>
  <dcterms:modified xsi:type="dcterms:W3CDTF">2023-12-22T11:23:00Z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Recent Style Id 0_1">
    <vt:lpwstr>http://www.zotero.org/styles/american-chemical-society</vt:lpwstr>
  </property>
  <property fmtid="{D5CDD505-2E9C-101B-9397-08002B2CF9AE}" pid="11" name="Mendeley Recent Style Name 0_1">
    <vt:lpwstr>American Chemical Society</vt:lpwstr>
  </property>
  <property fmtid="{D5CDD505-2E9C-101B-9397-08002B2CF9AE}" pid="12" name="Mendeley Recent Style Id 1_1">
    <vt:lpwstr>http://www.zotero.org/styles/american-medical-association</vt:lpwstr>
  </property>
  <property fmtid="{D5CDD505-2E9C-101B-9397-08002B2CF9AE}" pid="13" name="Mendeley Recent Style Name 1_1">
    <vt:lpwstr>American Medical Association 11th edition</vt:lpwstr>
  </property>
  <property fmtid="{D5CDD505-2E9C-101B-9397-08002B2CF9AE}" pid="14" name="Mendeley Recent Style Id 2_1">
    <vt:lpwstr>http://www.zotero.org/styles/american-political-science-association</vt:lpwstr>
  </property>
  <property fmtid="{D5CDD505-2E9C-101B-9397-08002B2CF9AE}" pid="15" name="Mendeley Recent Style Name 2_1">
    <vt:lpwstr>American Political Science Association</vt:lpwstr>
  </property>
  <property fmtid="{D5CDD505-2E9C-101B-9397-08002B2CF9AE}" pid="16" name="Mendeley Recent Style Id 3_1">
    <vt:lpwstr>http://www.zotero.org/styles/apa</vt:lpwstr>
  </property>
  <property fmtid="{D5CDD505-2E9C-101B-9397-08002B2CF9AE}" pid="17" name="Mendeley Recent Style Name 3_1">
    <vt:lpwstr>American Psychological Association 7th edition</vt:lpwstr>
  </property>
  <property fmtid="{D5CDD505-2E9C-101B-9397-08002B2CF9AE}" pid="18" name="Mendeley Recent Style Id 4_1">
    <vt:lpwstr>http://www.zotero.org/styles/chicago-author-date</vt:lpwstr>
  </property>
  <property fmtid="{D5CDD505-2E9C-101B-9397-08002B2CF9AE}" pid="19" name="Mendeley Recent Style Name 4_1">
    <vt:lpwstr>Chicago Manual of Style 17th edition (author-date)</vt:lpwstr>
  </property>
  <property fmtid="{D5CDD505-2E9C-101B-9397-08002B2CF9AE}" pid="20" name="Mendeley Recent Style Id 5_1">
    <vt:lpwstr>http://www.zotero.org/styles/elsevier-american-chemical-society</vt:lpwstr>
  </property>
  <property fmtid="{D5CDD505-2E9C-101B-9397-08002B2CF9AE}" pid="21" name="Mendeley Recent Style Name 5_1">
    <vt:lpwstr>Elsevier - American Chemical Society</vt:lpwstr>
  </property>
  <property fmtid="{D5CDD505-2E9C-101B-9397-08002B2CF9AE}" pid="22" name="Mendeley Recent Style Id 6_1">
    <vt:lpwstr>http://www.zotero.org/styles/elsevier-harvard2</vt:lpwstr>
  </property>
  <property fmtid="{D5CDD505-2E9C-101B-9397-08002B2CF9AE}" pid="23" name="Mendeley Recent Style Name 6_1">
    <vt:lpwstr>Elsevier - Harvard 2</vt:lpwstr>
  </property>
  <property fmtid="{D5CDD505-2E9C-101B-9397-08002B2CF9AE}" pid="24" name="Mendeley Recent Style Id 7_1">
    <vt:lpwstr>http://www.zotero.org/styles/elsevier-vancouver-author-date</vt:lpwstr>
  </property>
  <property fmtid="{D5CDD505-2E9C-101B-9397-08002B2CF9AE}" pid="25" name="Mendeley Recent Style Name 7_1">
    <vt:lpwstr>Elsevier - Vancouver (author-date)</vt:lpwstr>
  </property>
  <property fmtid="{D5CDD505-2E9C-101B-9397-08002B2CF9AE}" pid="26" name="Mendeley Recent Style Id 8_1">
    <vt:lpwstr>http://csl.mendeley.com/styles/711651611/test</vt:lpwstr>
  </property>
  <property fmtid="{D5CDD505-2E9C-101B-9397-08002B2CF9AE}" pid="27" name="Mendeley Recent Style Name 8_1">
    <vt:lpwstr>Elsevier - Vancouver (author-date) - Pablo Salazar</vt:lpwstr>
  </property>
  <property fmtid="{D5CDD505-2E9C-101B-9397-08002B2CF9AE}" pid="28" name="Mendeley Recent Style Id 9_1">
    <vt:lpwstr>http://www.zotero.org/styles/harvard1</vt:lpwstr>
  </property>
  <property fmtid="{D5CDD505-2E9C-101B-9397-08002B2CF9AE}" pid="29" name="Mendeley Recent Style Name 9_1">
    <vt:lpwstr>Harvard reference format 1 (deprecated)</vt:lpwstr>
  </property>
  <property fmtid="{D5CDD505-2E9C-101B-9397-08002B2CF9AE}" pid="30" name="Mendeley Document_1">
    <vt:lpwstr>True</vt:lpwstr>
  </property>
  <property fmtid="{D5CDD505-2E9C-101B-9397-08002B2CF9AE}" pid="31" name="Mendeley Unique User Id_1">
    <vt:lpwstr>9bb21e68-3ef7-3129-ac4b-c950ac39c320</vt:lpwstr>
  </property>
  <property fmtid="{D5CDD505-2E9C-101B-9397-08002B2CF9AE}" pid="32" name="Mendeley Citation Style_1">
    <vt:lpwstr>http://csl.mendeley.com/styles/711651611/test</vt:lpwstr>
  </property>
  <property fmtid="{D5CDD505-2E9C-101B-9397-08002B2CF9AE}" pid="33" name="ContentTypeId">
    <vt:lpwstr>0x010100EEFEE0543CB3D8478CC77575177B217D</vt:lpwstr>
  </property>
</Properties>
</file>