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954CC55" w:rsidR="00DD3D9E" w:rsidRDefault="000D0225">
      <w:pPr>
        <w:pStyle w:val="Els-Title"/>
        <w:rPr>
          <w:color w:val="000000" w:themeColor="text1"/>
        </w:rPr>
      </w:pPr>
      <w:bookmarkStart w:id="0" w:name="_GoBack"/>
      <w:bookmarkEnd w:id="0"/>
      <w:r w:rsidRPr="000D0225">
        <w:rPr>
          <w:color w:val="000000" w:themeColor="text1"/>
        </w:rPr>
        <w:t xml:space="preserve">Analyzing a </w:t>
      </w:r>
      <w:r w:rsidR="008626DF">
        <w:rPr>
          <w:color w:val="000000" w:themeColor="text1"/>
        </w:rPr>
        <w:t>D</w:t>
      </w:r>
      <w:r w:rsidRPr="000D0225">
        <w:rPr>
          <w:color w:val="000000" w:themeColor="text1"/>
        </w:rPr>
        <w:t xml:space="preserve">atabase of </w:t>
      </w:r>
      <w:r w:rsidR="008626DF">
        <w:rPr>
          <w:color w:val="000000" w:themeColor="text1"/>
        </w:rPr>
        <w:t>D</w:t>
      </w:r>
      <w:r w:rsidRPr="000D0225">
        <w:rPr>
          <w:color w:val="000000" w:themeColor="text1"/>
        </w:rPr>
        <w:t xml:space="preserve">igitalized </w:t>
      </w:r>
      <w:r w:rsidR="008626DF">
        <w:rPr>
          <w:color w:val="000000" w:themeColor="text1"/>
        </w:rPr>
        <w:t>P</w:t>
      </w:r>
      <w:r w:rsidRPr="000D0225">
        <w:rPr>
          <w:color w:val="000000" w:themeColor="text1"/>
        </w:rPr>
        <w:t xml:space="preserve">rocess </w:t>
      </w:r>
      <w:r w:rsidR="008626DF">
        <w:rPr>
          <w:color w:val="000000" w:themeColor="text1"/>
        </w:rPr>
        <w:t>F</w:t>
      </w:r>
      <w:r w:rsidRPr="000D0225">
        <w:rPr>
          <w:color w:val="000000" w:themeColor="text1"/>
        </w:rPr>
        <w:t xml:space="preserve">lowsheets to </w:t>
      </w:r>
      <w:r w:rsidR="008626DF">
        <w:rPr>
          <w:color w:val="000000" w:themeColor="text1"/>
        </w:rPr>
        <w:t>E</w:t>
      </w:r>
      <w:r w:rsidRPr="000D0225">
        <w:rPr>
          <w:color w:val="000000" w:themeColor="text1"/>
        </w:rPr>
        <w:t xml:space="preserve">xtract </w:t>
      </w:r>
      <w:r w:rsidR="008626DF">
        <w:rPr>
          <w:color w:val="000000" w:themeColor="text1"/>
        </w:rPr>
        <w:t>R</w:t>
      </w:r>
      <w:r w:rsidRPr="000D0225">
        <w:rPr>
          <w:color w:val="000000" w:themeColor="text1"/>
        </w:rPr>
        <w:t xml:space="preserve">elevant </w:t>
      </w:r>
      <w:r w:rsidR="008626DF">
        <w:rPr>
          <w:color w:val="000000" w:themeColor="text1"/>
        </w:rPr>
        <w:t>I</w:t>
      </w:r>
      <w:r w:rsidRPr="000D0225">
        <w:rPr>
          <w:color w:val="000000" w:themeColor="text1"/>
        </w:rPr>
        <w:t xml:space="preserve">nitialization </w:t>
      </w:r>
      <w:r w:rsidR="008626DF">
        <w:rPr>
          <w:color w:val="000000" w:themeColor="text1"/>
        </w:rPr>
        <w:t>S</w:t>
      </w:r>
      <w:r w:rsidRPr="000D0225">
        <w:rPr>
          <w:color w:val="000000" w:themeColor="text1"/>
        </w:rPr>
        <w:t xml:space="preserve">tructures for </w:t>
      </w:r>
      <w:r w:rsidR="008626DF">
        <w:rPr>
          <w:color w:val="000000" w:themeColor="text1"/>
        </w:rPr>
        <w:t>E</w:t>
      </w:r>
      <w:r w:rsidRPr="000D0225">
        <w:rPr>
          <w:color w:val="000000" w:themeColor="text1"/>
        </w:rPr>
        <w:t xml:space="preserve">volutionary </w:t>
      </w:r>
      <w:r w:rsidR="008626DF">
        <w:rPr>
          <w:color w:val="000000" w:themeColor="text1"/>
        </w:rPr>
        <w:t>P</w:t>
      </w:r>
      <w:r w:rsidRPr="000D0225">
        <w:rPr>
          <w:color w:val="000000" w:themeColor="text1"/>
        </w:rPr>
        <w:t xml:space="preserve">rocess </w:t>
      </w:r>
      <w:r w:rsidR="008626DF">
        <w:rPr>
          <w:color w:val="000000" w:themeColor="text1"/>
        </w:rPr>
        <w:t>S</w:t>
      </w:r>
      <w:r w:rsidRPr="000D0225">
        <w:rPr>
          <w:color w:val="000000" w:themeColor="text1"/>
        </w:rPr>
        <w:t xml:space="preserve">ynthesis </w:t>
      </w:r>
      <w:r w:rsidR="008626DF">
        <w:rPr>
          <w:color w:val="000000" w:themeColor="text1"/>
        </w:rPr>
        <w:t>M</w:t>
      </w:r>
      <w:r w:rsidRPr="000D0225">
        <w:rPr>
          <w:color w:val="000000" w:themeColor="text1"/>
        </w:rPr>
        <w:t>ethods</w:t>
      </w:r>
    </w:p>
    <w:p w14:paraId="67FE6A8E" w14:textId="76D6D494" w:rsidR="000D0225" w:rsidRDefault="000D0225" w:rsidP="000D0225">
      <w:pPr>
        <w:pStyle w:val="Els-Author"/>
        <w:rPr>
          <w:lang w:val="en-US"/>
        </w:rPr>
      </w:pPr>
      <w:r>
        <w:rPr>
          <w:lang w:val="en-US"/>
        </w:rPr>
        <w:t>Jean-Marc Commenge</w:t>
      </w:r>
      <w:r w:rsidR="008626DF">
        <w:rPr>
          <w:lang w:val="en-US"/>
        </w:rPr>
        <w:t>*</w:t>
      </w:r>
      <w:r>
        <w:rPr>
          <w:lang w:val="en-US"/>
        </w:rPr>
        <w:t>, Andres Pina-Martinez</w:t>
      </w:r>
    </w:p>
    <w:p w14:paraId="01B73E24" w14:textId="6DD79197" w:rsidR="000D0225" w:rsidRDefault="000D0225" w:rsidP="000D0225">
      <w:pPr>
        <w:rPr>
          <w:i/>
          <w:lang w:val="en-US"/>
        </w:rPr>
      </w:pPr>
      <w:proofErr w:type="spellStart"/>
      <w:r w:rsidRPr="000D0225">
        <w:rPr>
          <w:i/>
          <w:lang w:val="en-US"/>
        </w:rPr>
        <w:t>Université</w:t>
      </w:r>
      <w:proofErr w:type="spellEnd"/>
      <w:r w:rsidRPr="000D0225">
        <w:rPr>
          <w:i/>
          <w:lang w:val="en-US"/>
        </w:rPr>
        <w:t xml:space="preserve"> de Lorraine, CNRS, LRGP, F-54000 Nancy, France</w:t>
      </w:r>
    </w:p>
    <w:p w14:paraId="01F935A3" w14:textId="592DE9A2" w:rsidR="000D0225" w:rsidRPr="000D0225" w:rsidRDefault="000D0225" w:rsidP="000D0225">
      <w:pPr>
        <w:rPr>
          <w:i/>
          <w:lang w:val="en-US"/>
        </w:rPr>
      </w:pPr>
      <w:r>
        <w:rPr>
          <w:i/>
          <w:lang w:val="en-US"/>
        </w:rPr>
        <w:t>jean-marc.commenge@univ-lorraine.fr</w:t>
      </w:r>
    </w:p>
    <w:p w14:paraId="144DE684" w14:textId="77777777" w:rsidR="008D2649" w:rsidRDefault="008D2649" w:rsidP="008D2649">
      <w:pPr>
        <w:pStyle w:val="Els-Abstract"/>
      </w:pPr>
      <w:r>
        <w:t>Abstract</w:t>
      </w:r>
    </w:p>
    <w:p w14:paraId="615D0273" w14:textId="5A43F98F" w:rsidR="00E24D38" w:rsidRPr="007D3617" w:rsidRDefault="001F4098" w:rsidP="000D0225">
      <w:pPr>
        <w:pStyle w:val="Els-body-text"/>
        <w:spacing w:after="120"/>
      </w:pPr>
      <w:r>
        <w:t>P</w:t>
      </w:r>
      <w:r w:rsidR="00CA617A" w:rsidRPr="007D3617">
        <w:t xml:space="preserve">rocess synthesis using evolutionary methods, based on the iterative application of mutation operators, requires to initialize the method by one or a </w:t>
      </w:r>
      <w:r>
        <w:t>set</w:t>
      </w:r>
      <w:r w:rsidR="00CA617A" w:rsidRPr="007D3617">
        <w:t xml:space="preserve"> of process structures. Appropriate initialization might reduce computation times by providing first proposals that reduce the number of mutations to reach optimal structures, in terms of units and connectivity. This work demonstrates how to identify, from a given </w:t>
      </w:r>
      <w:r>
        <w:t>database</w:t>
      </w:r>
      <w:r w:rsidR="00CA617A" w:rsidRPr="007D3617">
        <w:t xml:space="preserve"> of flowsheets, the most-central flowsheets</w:t>
      </w:r>
      <w:r w:rsidR="007D3617" w:rsidRPr="007D3617">
        <w:t xml:space="preserve"> that might play a pivotal role </w:t>
      </w:r>
      <w:r w:rsidR="0054058F">
        <w:t>in</w:t>
      </w:r>
      <w:r w:rsidR="007D3617" w:rsidRPr="007D3617">
        <w:t xml:space="preserve"> the evolutionary approach. Three centrality criteria (</w:t>
      </w:r>
      <w:proofErr w:type="spellStart"/>
      <w:r w:rsidR="007D3617" w:rsidRPr="007D3617">
        <w:t>outcloseness</w:t>
      </w:r>
      <w:proofErr w:type="spellEnd"/>
      <w:r w:rsidR="007D3617" w:rsidRPr="007D3617">
        <w:t xml:space="preserve">, betweenness and </w:t>
      </w:r>
      <w:proofErr w:type="spellStart"/>
      <w:r w:rsidR="007D3617" w:rsidRPr="007D3617">
        <w:t>pagerank</w:t>
      </w:r>
      <w:proofErr w:type="spellEnd"/>
      <w:r w:rsidR="007D3617" w:rsidRPr="007D3617">
        <w:t xml:space="preserve">) are combined in a Pareto analysis to </w:t>
      </w:r>
      <w:r w:rsidR="007D3617">
        <w:t>ensure centrality and diversity of the initial population.</w:t>
      </w:r>
    </w:p>
    <w:p w14:paraId="5E0CAA42" w14:textId="28F34D0A" w:rsidR="008626DF" w:rsidRDefault="008626DF" w:rsidP="008626DF">
      <w:pPr>
        <w:pStyle w:val="Els-body-text"/>
        <w:spacing w:after="120"/>
        <w:rPr>
          <w:lang w:val="en-GB"/>
        </w:rPr>
      </w:pPr>
      <w:r>
        <w:rPr>
          <w:b/>
          <w:bCs/>
          <w:lang w:val="en-GB"/>
        </w:rPr>
        <w:t>Keywords</w:t>
      </w:r>
      <w:r>
        <w:rPr>
          <w:lang w:val="en-GB"/>
        </w:rPr>
        <w:t xml:space="preserve">: </w:t>
      </w:r>
      <w:r w:rsidR="0048036C">
        <w:rPr>
          <w:lang w:val="en-GB"/>
        </w:rPr>
        <w:t>process synthesis, flowsheet, database, evolutionary distance, centrality</w:t>
      </w:r>
      <w:r>
        <w:rPr>
          <w:lang w:val="en-GB"/>
        </w:rPr>
        <w:t>.</w:t>
      </w:r>
    </w:p>
    <w:p w14:paraId="11692F8B" w14:textId="799D277F" w:rsidR="000D0225" w:rsidRDefault="008626DF" w:rsidP="008626DF">
      <w:pPr>
        <w:pStyle w:val="Els-body-text"/>
        <w:spacing w:after="120"/>
        <w:rPr>
          <w:b/>
          <w:sz w:val="22"/>
          <w:lang w:val="en-GB"/>
        </w:rPr>
      </w:pPr>
      <w:r>
        <w:rPr>
          <w:b/>
          <w:sz w:val="22"/>
          <w:lang w:val="en-GB"/>
        </w:rPr>
        <w:t xml:space="preserve">1. </w:t>
      </w:r>
      <w:r w:rsidRPr="008626DF">
        <w:rPr>
          <w:b/>
          <w:sz w:val="22"/>
          <w:lang w:val="en-GB"/>
        </w:rPr>
        <w:t>Introduction</w:t>
      </w:r>
    </w:p>
    <w:p w14:paraId="7E744D57" w14:textId="18F87C13" w:rsidR="0048036C" w:rsidRPr="00B25801" w:rsidRDefault="0048036C" w:rsidP="0048036C">
      <w:pPr>
        <w:jc w:val="both"/>
        <w:rPr>
          <w:lang w:val="en-US"/>
        </w:rPr>
      </w:pPr>
      <w:r w:rsidRPr="00F81A77">
        <w:rPr>
          <w:lang w:val="en-US"/>
        </w:rPr>
        <w:t>The energy transition requires certain chemical processes to be redesigned to adapt to sustainable operation (</w:t>
      </w:r>
      <w:proofErr w:type="spellStart"/>
      <w:r w:rsidRPr="00F81A77">
        <w:rPr>
          <w:lang w:val="en-US"/>
        </w:rPr>
        <w:t>biobased</w:t>
      </w:r>
      <w:proofErr w:type="spellEnd"/>
      <w:r w:rsidRPr="00F81A77">
        <w:rPr>
          <w:lang w:val="en-US"/>
        </w:rPr>
        <w:t xml:space="preserve"> inputs, intermittency, decentralized production, etc.)</w:t>
      </w:r>
      <w:r>
        <w:rPr>
          <w:lang w:val="en-US"/>
        </w:rPr>
        <w:t xml:space="preserve"> and new processes to be created from scratch, increasing the need for fast, or even automatic, </w:t>
      </w:r>
      <w:r w:rsidRPr="00AF508C">
        <w:rPr>
          <w:lang w:val="en-US"/>
        </w:rPr>
        <w:t>process synthesis methods. These methods have considerably evolved from heuristics-based to mathematical-programming based optimization (</w:t>
      </w:r>
      <w:r w:rsidR="009D222D">
        <w:rPr>
          <w:lang w:val="en-US"/>
        </w:rPr>
        <w:t xml:space="preserve">leading often to </w:t>
      </w:r>
      <w:r w:rsidRPr="00AF508C">
        <w:rPr>
          <w:lang w:val="en-US"/>
        </w:rPr>
        <w:t>MINLP</w:t>
      </w:r>
      <w:r w:rsidR="009D222D">
        <w:rPr>
          <w:lang w:val="en-US"/>
        </w:rPr>
        <w:t xml:space="preserve"> problems</w:t>
      </w:r>
      <w:r w:rsidRPr="00AF508C">
        <w:rPr>
          <w:lang w:val="en-US"/>
        </w:rPr>
        <w:t xml:space="preserve">): by reducing the influence of prior knowledge and expert bias, evolutionary approaches enlarge the scope of attainable structures, but may be resource demanding to converge to optimal structures. </w:t>
      </w:r>
      <w:r w:rsidR="00AF508C">
        <w:rPr>
          <w:lang w:val="en-US"/>
        </w:rPr>
        <w:t xml:space="preserve">Evolutionary </w:t>
      </w:r>
      <w:r w:rsidR="00117FBD">
        <w:rPr>
          <w:lang w:val="en-US"/>
        </w:rPr>
        <w:t xml:space="preserve">approaches differ in the way they integrate the evolutionary </w:t>
      </w:r>
      <w:r w:rsidR="00054CD9">
        <w:rPr>
          <w:lang w:val="en-US"/>
        </w:rPr>
        <w:t>feature</w:t>
      </w:r>
      <w:r w:rsidR="00117FBD">
        <w:rPr>
          <w:lang w:val="en-US"/>
        </w:rPr>
        <w:t xml:space="preserve">, either by including </w:t>
      </w:r>
      <w:r w:rsidR="0054058F">
        <w:rPr>
          <w:lang w:val="en-US"/>
        </w:rPr>
        <w:t xml:space="preserve">a </w:t>
      </w:r>
      <w:r w:rsidR="00117FBD">
        <w:rPr>
          <w:lang w:val="en-US"/>
        </w:rPr>
        <w:t xml:space="preserve">genetic algorithm </w:t>
      </w:r>
      <w:r w:rsidR="001F4098">
        <w:rPr>
          <w:lang w:val="en-US"/>
        </w:rPr>
        <w:t>in</w:t>
      </w:r>
      <w:r w:rsidR="00117FBD">
        <w:rPr>
          <w:lang w:val="en-US"/>
        </w:rPr>
        <w:t xml:space="preserve"> the optimization of a proposed population or superstructure (Koch et al., 2007; Skiboro</w:t>
      </w:r>
      <w:r w:rsidR="00B25801">
        <w:rPr>
          <w:lang w:val="en-US"/>
        </w:rPr>
        <w:t>w</w:t>
      </w:r>
      <w:r w:rsidR="00117FBD">
        <w:rPr>
          <w:lang w:val="en-US"/>
        </w:rPr>
        <w:t xml:space="preserve">ski et al., 2015), or by applying mutation operators to evolving process structures (Wang et al., 2015; </w:t>
      </w:r>
      <w:proofErr w:type="spellStart"/>
      <w:r w:rsidR="00117FBD">
        <w:rPr>
          <w:lang w:val="en-US"/>
        </w:rPr>
        <w:t>Neveux</w:t>
      </w:r>
      <w:proofErr w:type="spellEnd"/>
      <w:r w:rsidR="00117FBD">
        <w:rPr>
          <w:lang w:val="en-US"/>
        </w:rPr>
        <w:t xml:space="preserve">, 2018). </w:t>
      </w:r>
      <w:r w:rsidR="00B25801">
        <w:rPr>
          <w:lang w:val="en-US"/>
        </w:rPr>
        <w:t>In all cases, p</w:t>
      </w:r>
      <w:r w:rsidRPr="00AF508C">
        <w:rPr>
          <w:lang w:val="en-US"/>
        </w:rPr>
        <w:t>roper initialization with unbiased complex process structures should enable accelerate convergence while enlarging the explored domain.</w:t>
      </w:r>
    </w:p>
    <w:p w14:paraId="1D012C26" w14:textId="695C34D2" w:rsidR="001021B8" w:rsidRDefault="0048036C" w:rsidP="00B25801">
      <w:pPr>
        <w:jc w:val="both"/>
      </w:pPr>
      <w:r w:rsidRPr="00B25801">
        <w:rPr>
          <w:lang w:val="en-US"/>
        </w:rPr>
        <w:t>To identify appropriate initialization structures, a database of digitalized process flowsheets has been created</w:t>
      </w:r>
      <w:r w:rsidR="00B25801" w:rsidRPr="00B25801">
        <w:rPr>
          <w:lang w:val="en-US"/>
        </w:rPr>
        <w:t>, which</w:t>
      </w:r>
      <w:r w:rsidRPr="00B25801">
        <w:rPr>
          <w:lang w:val="en-US"/>
        </w:rPr>
        <w:t xml:space="preserve"> enables to visualize statistical distributions of these processes with respect to their number of units and streams, that directly relates to process engineering strategies such as process integration and intensification. Analysis of mutations </w:t>
      </w:r>
      <w:r w:rsidR="001F4098">
        <w:rPr>
          <w:lang w:val="en-US"/>
        </w:rPr>
        <w:t>operators</w:t>
      </w:r>
      <w:r w:rsidRPr="00B25801">
        <w:rPr>
          <w:lang w:val="en-US"/>
        </w:rPr>
        <w:t xml:space="preserve"> enables to define a </w:t>
      </w:r>
      <w:r w:rsidR="00AA7E5A">
        <w:rPr>
          <w:lang w:val="en-US"/>
        </w:rPr>
        <w:t>semi-</w:t>
      </w:r>
      <w:r w:rsidRPr="00B25801">
        <w:rPr>
          <w:lang w:val="en-US"/>
        </w:rPr>
        <w:t>distance between structures</w:t>
      </w:r>
      <w:r w:rsidR="00B25801">
        <w:rPr>
          <w:lang w:val="en-US"/>
        </w:rPr>
        <w:t xml:space="preserve">: </w:t>
      </w:r>
      <w:r w:rsidRPr="00B25801">
        <w:rPr>
          <w:lang w:val="en-US"/>
        </w:rPr>
        <w:t xml:space="preserve">the flowsheet distribution can </w:t>
      </w:r>
      <w:r w:rsidR="00B25801">
        <w:rPr>
          <w:lang w:val="en-US"/>
        </w:rPr>
        <w:t xml:space="preserve">then </w:t>
      </w:r>
      <w:r w:rsidRPr="00B25801">
        <w:rPr>
          <w:lang w:val="en-US"/>
        </w:rPr>
        <w:t>be studied according to centrality criteria. Three centrality criteria are computed</w:t>
      </w:r>
      <w:r w:rsidR="00AA7E5A">
        <w:rPr>
          <w:lang w:val="en-US"/>
        </w:rPr>
        <w:t xml:space="preserve"> (</w:t>
      </w:r>
      <w:proofErr w:type="spellStart"/>
      <w:r w:rsidRPr="00B25801">
        <w:rPr>
          <w:lang w:val="en-US"/>
        </w:rPr>
        <w:t>outcloseness</w:t>
      </w:r>
      <w:proofErr w:type="spellEnd"/>
      <w:r>
        <w:rPr>
          <w:lang w:val="en-US"/>
        </w:rPr>
        <w:t xml:space="preserve">, betweenness and </w:t>
      </w:r>
      <w:proofErr w:type="spellStart"/>
      <w:r>
        <w:rPr>
          <w:lang w:val="en-US"/>
        </w:rPr>
        <w:t>pagerank</w:t>
      </w:r>
      <w:proofErr w:type="spellEnd"/>
      <w:r w:rsidR="00AA7E5A">
        <w:rPr>
          <w:lang w:val="en-US"/>
        </w:rPr>
        <w:t>) yielding to a Pareto front ensuring diversity and relevance of selected structures</w:t>
      </w:r>
      <w:r>
        <w:rPr>
          <w:lang w:val="en-US"/>
        </w:rPr>
        <w:t>.</w:t>
      </w:r>
      <w:r w:rsidR="00B25801">
        <w:rPr>
          <w:lang w:val="en-US"/>
        </w:rPr>
        <w:t xml:space="preserve"> </w:t>
      </w:r>
      <w:r>
        <w:t>This work present</w:t>
      </w:r>
      <w:r w:rsidR="00B25801">
        <w:t>s</w:t>
      </w:r>
      <w:r>
        <w:t xml:space="preserve"> the database</w:t>
      </w:r>
      <w:r w:rsidRPr="00CF5DAE">
        <w:t xml:space="preserve"> </w:t>
      </w:r>
      <w:r>
        <w:t>of digitalized flowsheets, the main features of their statistical distributions, the computation of the evolutionary distance and the most central process flowsheets with respect to the centrality criteria.</w:t>
      </w:r>
    </w:p>
    <w:p w14:paraId="586D6931" w14:textId="5699D336" w:rsidR="000D0225" w:rsidRPr="001021B8" w:rsidRDefault="001021B8" w:rsidP="008D2649">
      <w:pPr>
        <w:pStyle w:val="Els-body-text"/>
        <w:spacing w:after="120"/>
        <w:rPr>
          <w:b/>
          <w:color w:val="FF0000"/>
          <w:sz w:val="22"/>
          <w:lang w:val="en-GB"/>
        </w:rPr>
      </w:pPr>
      <w:r w:rsidRPr="001021B8">
        <w:rPr>
          <w:b/>
          <w:sz w:val="22"/>
        </w:rPr>
        <w:lastRenderedPageBreak/>
        <w:t>2. Database of digitalized flowsheets</w:t>
      </w:r>
    </w:p>
    <w:p w14:paraId="5A0185D2" w14:textId="5E20450A" w:rsidR="008626DF" w:rsidRDefault="001021B8" w:rsidP="008D2649">
      <w:pPr>
        <w:pStyle w:val="Els-body-text"/>
        <w:spacing w:after="120"/>
        <w:rPr>
          <w:i/>
          <w:lang w:val="en-GB"/>
        </w:rPr>
      </w:pPr>
      <w:r w:rsidRPr="001021B8">
        <w:rPr>
          <w:i/>
          <w:lang w:val="en-GB"/>
        </w:rPr>
        <w:t>2.1. General features</w:t>
      </w:r>
    </w:p>
    <w:p w14:paraId="78D7B4FB" w14:textId="454E9DA7" w:rsidR="001021B8" w:rsidRPr="001021B8" w:rsidRDefault="001A21C9" w:rsidP="008D2649">
      <w:pPr>
        <w:pStyle w:val="Els-body-text"/>
        <w:spacing w:after="120"/>
        <w:rPr>
          <w:lang w:val="en-GB"/>
        </w:rPr>
      </w:pPr>
      <w:r w:rsidRPr="001A21C9">
        <w:rPr>
          <w:lang w:val="en-GB"/>
        </w:rPr>
        <w:t xml:space="preserve">The </w:t>
      </w:r>
      <w:r>
        <w:rPr>
          <w:lang w:val="en-GB"/>
        </w:rPr>
        <w:t>database used for th</w:t>
      </w:r>
      <w:r w:rsidR="0002356B">
        <w:rPr>
          <w:lang w:val="en-GB"/>
        </w:rPr>
        <w:t>is</w:t>
      </w:r>
      <w:r>
        <w:rPr>
          <w:lang w:val="en-GB"/>
        </w:rPr>
        <w:t xml:space="preserve"> analysis </w:t>
      </w:r>
      <w:r w:rsidR="003574EE">
        <w:rPr>
          <w:lang w:val="en-GB"/>
        </w:rPr>
        <w:t>contains 767 flowsheets,</w:t>
      </w:r>
      <w:r w:rsidR="003574EE" w:rsidRPr="003574EE">
        <w:rPr>
          <w:lang w:val="en-GB"/>
        </w:rPr>
        <w:t xml:space="preserve"> </w:t>
      </w:r>
      <w:r w:rsidR="003574EE">
        <w:rPr>
          <w:lang w:val="en-GB"/>
        </w:rPr>
        <w:t>digitalized from 278 papers</w:t>
      </w:r>
      <w:r w:rsidR="00712FAF">
        <w:rPr>
          <w:lang w:val="en-GB"/>
        </w:rPr>
        <w:t xml:space="preserve"> published since 2006</w:t>
      </w:r>
      <w:r w:rsidR="003574EE">
        <w:rPr>
          <w:lang w:val="en-GB"/>
        </w:rPr>
        <w:t xml:space="preserve">. </w:t>
      </w:r>
      <w:r w:rsidR="00FB5E06">
        <w:rPr>
          <w:lang w:val="en-GB"/>
        </w:rPr>
        <w:t>They</w:t>
      </w:r>
      <w:r w:rsidR="003574EE">
        <w:rPr>
          <w:lang w:val="en-GB"/>
        </w:rPr>
        <w:t xml:space="preserve"> include 9971 units (including process inputs and outputs) and 10721 streams. For each flowsheet, the database provides an entry name, the number of streams, unit operations, process inputs, outputs and units among a list of 23 types (</w:t>
      </w:r>
      <w:r w:rsidR="003574EE" w:rsidRPr="003574EE">
        <w:rPr>
          <w:lang w:val="en-GB"/>
        </w:rPr>
        <w:t xml:space="preserve">Absorber, Compressor, Cyclone, Distillation, </w:t>
      </w:r>
      <w:r w:rsidR="00CA5A4E">
        <w:rPr>
          <w:lang w:val="en-GB"/>
        </w:rPr>
        <w:t>etc.</w:t>
      </w:r>
      <w:r w:rsidR="003574EE">
        <w:rPr>
          <w:lang w:val="en-GB"/>
        </w:rPr>
        <w:t>). The</w:t>
      </w:r>
      <w:r w:rsidR="00712FAF">
        <w:rPr>
          <w:lang w:val="en-GB"/>
        </w:rPr>
        <w:t xml:space="preserve"> ordered</w:t>
      </w:r>
      <w:r w:rsidR="003574EE">
        <w:rPr>
          <w:lang w:val="en-GB"/>
        </w:rPr>
        <w:t xml:space="preserve"> list of units, with </w:t>
      </w:r>
      <w:r w:rsidR="00054CD9">
        <w:rPr>
          <w:lang w:val="en-GB"/>
        </w:rPr>
        <w:t>meaningful</w:t>
      </w:r>
      <w:r w:rsidR="003574EE">
        <w:rPr>
          <w:lang w:val="en-GB"/>
        </w:rPr>
        <w:t xml:space="preserve"> prefixes and numbers </w:t>
      </w:r>
      <w:r w:rsidR="00712FAF">
        <w:rPr>
          <w:lang w:val="en-GB"/>
        </w:rPr>
        <w:t xml:space="preserve">to distinguish duplicate units, is provided as well as the incidence matrix: each column corresponds to a unit, and each line to a stream with values -1 or +1 to identify upstream </w:t>
      </w:r>
      <w:r w:rsidR="00054CD9">
        <w:rPr>
          <w:lang w:val="en-GB"/>
        </w:rPr>
        <w:t>or</w:t>
      </w:r>
      <w:r w:rsidR="00712FAF">
        <w:rPr>
          <w:lang w:val="en-GB"/>
        </w:rPr>
        <w:t xml:space="preserve"> downstream units</w:t>
      </w:r>
      <w:r w:rsidR="00054CD9">
        <w:rPr>
          <w:lang w:val="en-GB"/>
        </w:rPr>
        <w:t xml:space="preserve"> respectively</w:t>
      </w:r>
      <w:r w:rsidR="00712FAF">
        <w:rPr>
          <w:lang w:val="en-GB"/>
        </w:rPr>
        <w:t xml:space="preserve">. Additional data </w:t>
      </w:r>
      <w:r w:rsidR="00E24D38">
        <w:rPr>
          <w:lang w:val="en-GB"/>
        </w:rPr>
        <w:t>include</w:t>
      </w:r>
      <w:r w:rsidR="00712FAF">
        <w:rPr>
          <w:lang w:val="en-GB"/>
        </w:rPr>
        <w:t xml:space="preserve"> the flowsheet image, keywords, species and the scientific reference.</w:t>
      </w:r>
      <w:r w:rsidR="00E24D38">
        <w:rPr>
          <w:lang w:val="en-GB"/>
        </w:rPr>
        <w:t xml:space="preserve"> Among the 9971 units, all 23 types of units are present despite a large domination of 1263 heat exchangers, 1173 distillation columns</w:t>
      </w:r>
      <w:r w:rsidR="00EE0666">
        <w:rPr>
          <w:lang w:val="en-GB"/>
        </w:rPr>
        <w:t xml:space="preserve"> and</w:t>
      </w:r>
      <w:r w:rsidR="00E24D38">
        <w:rPr>
          <w:lang w:val="en-GB"/>
        </w:rPr>
        <w:t xml:space="preserve"> 818 mixers compared to only 4 filters, 5 dryers</w:t>
      </w:r>
      <w:r w:rsidR="00EE0666">
        <w:rPr>
          <w:lang w:val="en-GB"/>
        </w:rPr>
        <w:t xml:space="preserve"> </w:t>
      </w:r>
      <w:r w:rsidR="00E24D38">
        <w:rPr>
          <w:lang w:val="en-GB"/>
        </w:rPr>
        <w:t>and 9 mills.</w:t>
      </w:r>
    </w:p>
    <w:p w14:paraId="590F7F41" w14:textId="5CBA1468" w:rsidR="001021B8" w:rsidRDefault="001021B8" w:rsidP="008D2649">
      <w:pPr>
        <w:pStyle w:val="Els-body-text"/>
        <w:spacing w:after="120"/>
        <w:rPr>
          <w:i/>
          <w:lang w:val="en-GB"/>
        </w:rPr>
      </w:pPr>
      <w:r w:rsidRPr="001021B8">
        <w:rPr>
          <w:i/>
          <w:lang w:val="en-GB"/>
        </w:rPr>
        <w:t xml:space="preserve">2.2. Statistical distribution of </w:t>
      </w:r>
      <w:r w:rsidR="00FB5E06">
        <w:rPr>
          <w:i/>
          <w:lang w:val="en-GB"/>
        </w:rPr>
        <w:t xml:space="preserve">the </w:t>
      </w:r>
      <w:r w:rsidR="00FB5E06" w:rsidRPr="001021B8">
        <w:rPr>
          <w:i/>
          <w:lang w:val="en-GB"/>
        </w:rPr>
        <w:t>flowsheet’s</w:t>
      </w:r>
      <w:r w:rsidR="00FB5E06">
        <w:rPr>
          <w:i/>
          <w:lang w:val="en-GB"/>
        </w:rPr>
        <w:t xml:space="preserve"> population</w:t>
      </w:r>
    </w:p>
    <w:p w14:paraId="63952AA3" w14:textId="5CEB1D94" w:rsidR="00CC6A0D" w:rsidRDefault="00B039DE" w:rsidP="008D2649">
      <w:pPr>
        <w:pStyle w:val="Els-body-text"/>
        <w:spacing w:after="120"/>
        <w:rPr>
          <w:lang w:val="en-GB"/>
        </w:rPr>
      </w:pPr>
      <w:r>
        <w:rPr>
          <w:lang w:val="en-GB"/>
        </w:rPr>
        <w:fldChar w:fldCharType="begin"/>
      </w:r>
      <w:r>
        <w:rPr>
          <w:lang w:val="en-GB"/>
        </w:rPr>
        <w:instrText xml:space="preserve"> REF _Ref149931053 \h </w:instrText>
      </w:r>
      <w:r>
        <w:rPr>
          <w:lang w:val="en-GB"/>
        </w:rPr>
      </w:r>
      <w:r>
        <w:rPr>
          <w:lang w:val="en-GB"/>
        </w:rPr>
        <w:fldChar w:fldCharType="separate"/>
      </w:r>
      <w:r w:rsidR="00451594">
        <w:t xml:space="preserve">Figure </w:t>
      </w:r>
      <w:r w:rsidR="00451594">
        <w:rPr>
          <w:noProof/>
        </w:rPr>
        <w:t>1</w:t>
      </w:r>
      <w:r>
        <w:rPr>
          <w:lang w:val="en-GB"/>
        </w:rPr>
        <w:fldChar w:fldCharType="end"/>
      </w:r>
      <w:r>
        <w:rPr>
          <w:lang w:val="en-GB"/>
        </w:rPr>
        <w:t xml:space="preserve"> presents projections of the population </w:t>
      </w:r>
      <w:r w:rsidRPr="00B039DE">
        <w:rPr>
          <w:lang w:val="en-GB"/>
        </w:rPr>
        <w:t>as a function of the number of process inputs and outputs (left) and number of streams and unit operations (right)</w:t>
      </w:r>
      <w:r>
        <w:rPr>
          <w:lang w:val="en-GB"/>
        </w:rPr>
        <w:t xml:space="preserve">. </w:t>
      </w:r>
      <w:r w:rsidR="00FB5E06">
        <w:rPr>
          <w:lang w:val="en-GB"/>
        </w:rPr>
        <w:t>G</w:t>
      </w:r>
      <w:r>
        <w:rPr>
          <w:lang w:val="en-GB"/>
        </w:rPr>
        <w:t xml:space="preserve">rey-shaded areas indicate impossible zones: except 6 cycles </w:t>
      </w:r>
      <w:r w:rsidRPr="00B039DE">
        <w:rPr>
          <w:lang w:val="en-GB"/>
        </w:rPr>
        <w:t xml:space="preserve">which </w:t>
      </w:r>
      <w:r>
        <w:rPr>
          <w:lang w:val="en-GB"/>
        </w:rPr>
        <w:t>possess</w:t>
      </w:r>
      <w:r w:rsidRPr="00B039DE">
        <w:rPr>
          <w:lang w:val="en-GB"/>
        </w:rPr>
        <w:t xml:space="preserve"> </w:t>
      </w:r>
      <w:r w:rsidR="00FB5E06">
        <w:rPr>
          <w:lang w:val="en-GB"/>
        </w:rPr>
        <w:t>no</w:t>
      </w:r>
      <w:r w:rsidRPr="00B039DE">
        <w:rPr>
          <w:lang w:val="en-GB"/>
        </w:rPr>
        <w:t xml:space="preserve"> </w:t>
      </w:r>
      <w:r>
        <w:rPr>
          <w:lang w:val="en-GB"/>
        </w:rPr>
        <w:t>input</w:t>
      </w:r>
      <w:r w:rsidRPr="00B039DE">
        <w:rPr>
          <w:lang w:val="en-GB"/>
        </w:rPr>
        <w:t xml:space="preserve"> or </w:t>
      </w:r>
      <w:r>
        <w:rPr>
          <w:lang w:val="en-GB"/>
        </w:rPr>
        <w:t>output, a process with a non-null number of inputs (resp. outputs) must contain a non-null number of</w:t>
      </w:r>
      <w:r w:rsidR="00CC6A0D">
        <w:rPr>
          <w:lang w:val="en-GB"/>
        </w:rPr>
        <w:t xml:space="preserve"> outputs (resp. inputs). Also, a process with a number of units larger than the number of streams plus one is not feasible.</w:t>
      </w:r>
      <w:r w:rsidR="00FB5E06">
        <w:rPr>
          <w:lang w:val="en-GB"/>
        </w:rPr>
        <w:t xml:space="preserve"> </w:t>
      </w:r>
      <w:r w:rsidR="00CC6A0D">
        <w:rPr>
          <w:lang w:val="en-GB"/>
        </w:rPr>
        <w:t xml:space="preserve">In </w:t>
      </w:r>
      <w:r w:rsidR="00155899">
        <w:rPr>
          <w:lang w:val="en-GB"/>
        </w:rPr>
        <w:fldChar w:fldCharType="begin"/>
      </w:r>
      <w:r w:rsidR="00155899">
        <w:rPr>
          <w:lang w:val="en-GB"/>
        </w:rPr>
        <w:instrText xml:space="preserve"> REF _Ref149931053 \h </w:instrText>
      </w:r>
      <w:r w:rsidR="00155899">
        <w:rPr>
          <w:lang w:val="en-GB"/>
        </w:rPr>
      </w:r>
      <w:r w:rsidR="00155899">
        <w:rPr>
          <w:lang w:val="en-GB"/>
        </w:rPr>
        <w:fldChar w:fldCharType="separate"/>
      </w:r>
      <w:r w:rsidR="00451594">
        <w:t xml:space="preserve">Figure </w:t>
      </w:r>
      <w:r w:rsidR="00451594">
        <w:rPr>
          <w:noProof/>
        </w:rPr>
        <w:t>1</w:t>
      </w:r>
      <w:r w:rsidR="00155899">
        <w:rPr>
          <w:lang w:val="en-GB"/>
        </w:rPr>
        <w:fldChar w:fldCharType="end"/>
      </w:r>
      <w:r w:rsidR="00155899">
        <w:rPr>
          <w:lang w:val="en-GB"/>
        </w:rPr>
        <w:t xml:space="preserve"> (left), despite a mode corresponding to 2 inputs and 2 outputs with 131 structures, the distribution is asymmetric with a medoid corresponding to 2 inputs and 3 outputs. This </w:t>
      </w:r>
      <w:r w:rsidR="00C90630">
        <w:rPr>
          <w:lang w:val="en-GB"/>
        </w:rPr>
        <w:t xml:space="preserve">large </w:t>
      </w:r>
      <w:r w:rsidR="00155899">
        <w:rPr>
          <w:lang w:val="en-GB"/>
        </w:rPr>
        <w:t>number of process outputs</w:t>
      </w:r>
      <w:r w:rsidR="00C90630">
        <w:rPr>
          <w:lang w:val="en-GB"/>
        </w:rPr>
        <w:t xml:space="preserve"> with respect to</w:t>
      </w:r>
      <w:r w:rsidR="00155899">
        <w:rPr>
          <w:lang w:val="en-GB"/>
        </w:rPr>
        <w:t xml:space="preserve"> the inputs might result from the vast literature dedicated to separation processes. </w:t>
      </w:r>
      <w:r w:rsidR="0040228C">
        <w:rPr>
          <w:lang w:val="en-GB"/>
        </w:rPr>
        <w:t>Despite the large number of inputs/outputs of some flowsheets</w:t>
      </w:r>
      <w:r w:rsidR="00C90630">
        <w:rPr>
          <w:lang w:val="en-GB"/>
        </w:rPr>
        <w:t>, up to a total of 16</w:t>
      </w:r>
      <w:r w:rsidR="0040228C">
        <w:rPr>
          <w:lang w:val="en-GB"/>
        </w:rPr>
        <w:t>, almost 90 % of th</w:t>
      </w:r>
      <w:r w:rsidR="00F005C0">
        <w:rPr>
          <w:lang w:val="en-GB"/>
        </w:rPr>
        <w:t>em exhibit less than 4 inputs and 4 outputs.</w:t>
      </w:r>
    </w:p>
    <w:p w14:paraId="7797EEFE" w14:textId="77777777" w:rsidR="00B039DE" w:rsidRDefault="00995F3F" w:rsidP="00B039DE">
      <w:pPr>
        <w:pStyle w:val="Els-body-text"/>
        <w:keepNext/>
        <w:spacing w:after="120"/>
        <w:jc w:val="center"/>
      </w:pPr>
      <w:r w:rsidRPr="00995F3F">
        <w:rPr>
          <w:noProof/>
          <w:lang w:val="en-GB"/>
        </w:rPr>
        <w:drawing>
          <wp:inline distT="0" distB="0" distL="0" distR="0" wp14:anchorId="7AF1D3A5" wp14:editId="134093CA">
            <wp:extent cx="4299581" cy="1951630"/>
            <wp:effectExtent l="0" t="0" r="635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l="9104" t="5249" r="8213"/>
                    <a:stretch/>
                  </pic:blipFill>
                  <pic:spPr bwMode="auto">
                    <a:xfrm>
                      <a:off x="0" y="0"/>
                      <a:ext cx="4389500" cy="1992445"/>
                    </a:xfrm>
                    <a:prstGeom prst="rect">
                      <a:avLst/>
                    </a:prstGeom>
                    <a:noFill/>
                    <a:ln>
                      <a:noFill/>
                    </a:ln>
                    <a:extLst>
                      <a:ext uri="{53640926-AAD7-44D8-BBD7-CCE9431645EC}">
                        <a14:shadowObscured xmlns:a14="http://schemas.microsoft.com/office/drawing/2010/main"/>
                      </a:ext>
                    </a:extLst>
                  </pic:spPr>
                </pic:pic>
              </a:graphicData>
            </a:graphic>
          </wp:inline>
        </w:drawing>
      </w:r>
    </w:p>
    <w:p w14:paraId="3CFC132B" w14:textId="26B30C2A" w:rsidR="00995F3F" w:rsidRDefault="00B039DE" w:rsidP="00B039DE">
      <w:pPr>
        <w:pStyle w:val="Didascalia"/>
        <w:jc w:val="center"/>
      </w:pPr>
      <w:bookmarkStart w:id="1" w:name="_Ref149931053"/>
      <w:r>
        <w:t xml:space="preserve">Figure </w:t>
      </w:r>
      <w:r>
        <w:fldChar w:fldCharType="begin"/>
      </w:r>
      <w:r>
        <w:instrText xml:space="preserve"> SEQ Figure \* ARABIC </w:instrText>
      </w:r>
      <w:r>
        <w:fldChar w:fldCharType="separate"/>
      </w:r>
      <w:r w:rsidR="00451594">
        <w:rPr>
          <w:noProof/>
        </w:rPr>
        <w:t>1</w:t>
      </w:r>
      <w:r>
        <w:fldChar w:fldCharType="end"/>
      </w:r>
      <w:bookmarkEnd w:id="1"/>
      <w:r>
        <w:t>: Projections of the distribution of digitalized flowsheets as a function of the number of process inputs and outputs (left) and number of streams and unit operations (right).</w:t>
      </w:r>
    </w:p>
    <w:p w14:paraId="37737127" w14:textId="202D44F6" w:rsidR="00D81513" w:rsidRDefault="00F005C0" w:rsidP="00A8158D">
      <w:pPr>
        <w:pStyle w:val="Els-caption"/>
        <w:jc w:val="both"/>
        <w:rPr>
          <w:sz w:val="20"/>
          <w:lang w:val="en-GB"/>
        </w:rPr>
      </w:pPr>
      <w:r w:rsidRPr="0046758F">
        <w:rPr>
          <w:sz w:val="20"/>
        </w:rPr>
        <w:t xml:space="preserve">In </w:t>
      </w:r>
      <w:r w:rsidRPr="0046758F">
        <w:rPr>
          <w:sz w:val="20"/>
          <w:lang w:val="en-GB"/>
        </w:rPr>
        <w:fldChar w:fldCharType="begin"/>
      </w:r>
      <w:r w:rsidRPr="0046758F">
        <w:rPr>
          <w:sz w:val="20"/>
          <w:lang w:val="en-GB"/>
        </w:rPr>
        <w:instrText xml:space="preserve"> REF _Ref149931053 \h  \* MERGEFORMAT </w:instrText>
      </w:r>
      <w:r w:rsidRPr="0046758F">
        <w:rPr>
          <w:sz w:val="20"/>
          <w:lang w:val="en-GB"/>
        </w:rPr>
      </w:r>
      <w:r w:rsidRPr="0046758F">
        <w:rPr>
          <w:sz w:val="20"/>
          <w:lang w:val="en-GB"/>
        </w:rPr>
        <w:fldChar w:fldCharType="separate"/>
      </w:r>
      <w:r w:rsidR="00451594" w:rsidRPr="00451594">
        <w:rPr>
          <w:sz w:val="20"/>
        </w:rPr>
        <w:t xml:space="preserve">Figure </w:t>
      </w:r>
      <w:r w:rsidR="00451594" w:rsidRPr="00451594">
        <w:rPr>
          <w:noProof/>
          <w:sz w:val="20"/>
        </w:rPr>
        <w:t>1</w:t>
      </w:r>
      <w:r w:rsidRPr="0046758F">
        <w:rPr>
          <w:sz w:val="20"/>
          <w:lang w:val="en-GB"/>
        </w:rPr>
        <w:fldChar w:fldCharType="end"/>
      </w:r>
      <w:r w:rsidRPr="0046758F">
        <w:rPr>
          <w:sz w:val="20"/>
          <w:lang w:val="en-GB"/>
        </w:rPr>
        <w:t xml:space="preserve"> (right), </w:t>
      </w:r>
      <w:r w:rsidR="0046758F" w:rsidRPr="0046758F">
        <w:rPr>
          <w:sz w:val="20"/>
          <w:lang w:val="en-GB"/>
        </w:rPr>
        <w:t>the</w:t>
      </w:r>
      <w:r w:rsidR="0046758F">
        <w:rPr>
          <w:sz w:val="20"/>
          <w:lang w:val="en-GB"/>
        </w:rPr>
        <w:t xml:space="preserve"> distribution ranges from a single stream (</w:t>
      </w:r>
      <w:proofErr w:type="spellStart"/>
      <w:r w:rsidR="0046758F" w:rsidRPr="00110482">
        <w:rPr>
          <w:sz w:val="20"/>
          <w:lang w:val="en-GB"/>
        </w:rPr>
        <w:t>Neveux</w:t>
      </w:r>
      <w:proofErr w:type="spellEnd"/>
      <w:r w:rsidR="0046758F" w:rsidRPr="00110482">
        <w:rPr>
          <w:sz w:val="20"/>
          <w:lang w:val="en-GB"/>
        </w:rPr>
        <w:t xml:space="preserve"> et al., 2018)</w:t>
      </w:r>
      <w:r w:rsidR="0046758F">
        <w:rPr>
          <w:sz w:val="20"/>
          <w:lang w:val="en-GB"/>
        </w:rPr>
        <w:t xml:space="preserve"> up to a complex </w:t>
      </w:r>
      <w:r w:rsidR="0046758F" w:rsidRPr="0046758F">
        <w:rPr>
          <w:sz w:val="20"/>
          <w:lang w:val="en-GB"/>
        </w:rPr>
        <w:t xml:space="preserve">power-to-liquids </w:t>
      </w:r>
      <w:r w:rsidR="0046758F">
        <w:rPr>
          <w:sz w:val="20"/>
          <w:lang w:val="en-GB"/>
        </w:rPr>
        <w:t xml:space="preserve">process with 55 units and 50 </w:t>
      </w:r>
      <w:r w:rsidR="0046758F" w:rsidRPr="00B25801">
        <w:rPr>
          <w:sz w:val="20"/>
          <w:lang w:val="en-GB"/>
        </w:rPr>
        <w:t>streams (Gao et al., 2022), with a</w:t>
      </w:r>
      <w:r w:rsidR="0046758F">
        <w:rPr>
          <w:sz w:val="20"/>
          <w:lang w:val="en-GB"/>
        </w:rPr>
        <w:t xml:space="preserve"> dense core around 10 units and 10 streams. The distribution </w:t>
      </w:r>
      <w:r w:rsidR="00FB5E06">
        <w:rPr>
          <w:sz w:val="20"/>
          <w:lang w:val="en-GB"/>
        </w:rPr>
        <w:t xml:space="preserve">shape </w:t>
      </w:r>
      <w:r w:rsidR="0046758F">
        <w:rPr>
          <w:sz w:val="20"/>
          <w:lang w:val="en-GB"/>
        </w:rPr>
        <w:t xml:space="preserve">is governed by the average degree of the </w:t>
      </w:r>
      <w:r w:rsidR="003A1F4B">
        <w:rPr>
          <w:sz w:val="20"/>
          <w:lang w:val="en-GB"/>
        </w:rPr>
        <w:t xml:space="preserve">process </w:t>
      </w:r>
      <w:r w:rsidR="0046758F">
        <w:rPr>
          <w:sz w:val="20"/>
          <w:lang w:val="en-GB"/>
        </w:rPr>
        <w:t>graphs. In a graph</w:t>
      </w:r>
      <w:r w:rsidR="00054CD9">
        <w:rPr>
          <w:sz w:val="20"/>
          <w:lang w:val="en-GB"/>
        </w:rPr>
        <w:t xml:space="preserve"> representing a process</w:t>
      </w:r>
      <w:r w:rsidR="0046758F">
        <w:rPr>
          <w:sz w:val="20"/>
          <w:lang w:val="en-GB"/>
        </w:rPr>
        <w:t xml:space="preserve">, the degree of a vertex (process unit) is the number of </w:t>
      </w:r>
      <w:r w:rsidR="003A1F4B">
        <w:rPr>
          <w:sz w:val="20"/>
          <w:lang w:val="en-GB"/>
        </w:rPr>
        <w:t>edges</w:t>
      </w:r>
      <w:r w:rsidR="0046758F">
        <w:rPr>
          <w:sz w:val="20"/>
          <w:lang w:val="en-GB"/>
        </w:rPr>
        <w:t xml:space="preserve"> (process streams) adjacent to this vertex.</w:t>
      </w:r>
    </w:p>
    <w:p w14:paraId="14F78188" w14:textId="0A95FF65" w:rsidR="0046758F" w:rsidRPr="00F005C0" w:rsidRDefault="0046758F" w:rsidP="00A8158D">
      <w:pPr>
        <w:pStyle w:val="Els-caption"/>
        <w:jc w:val="both"/>
        <w:rPr>
          <w:sz w:val="20"/>
        </w:rPr>
      </w:pPr>
      <w:r>
        <w:rPr>
          <w:sz w:val="20"/>
        </w:rPr>
        <w:lastRenderedPageBreak/>
        <w:t xml:space="preserve">The average degrees of the processes range from 1 (single stream) up to 3.28, with a global </w:t>
      </w:r>
      <w:r w:rsidRPr="00B43E34">
        <w:rPr>
          <w:sz w:val="20"/>
        </w:rPr>
        <w:t>average of 2.1</w:t>
      </w:r>
      <w:r w:rsidR="00B43E34" w:rsidRPr="00B43E34">
        <w:rPr>
          <w:sz w:val="20"/>
        </w:rPr>
        <w:t>6</w:t>
      </w:r>
      <w:r w:rsidRPr="00B43E34">
        <w:rPr>
          <w:sz w:val="20"/>
        </w:rPr>
        <w:t>. Only</w:t>
      </w:r>
      <w:r>
        <w:rPr>
          <w:sz w:val="20"/>
        </w:rPr>
        <w:t xml:space="preserve"> a few dozen processes exhibit an average degree above 2.5, whereas the majority lies between 2 and 2.5. Despite these low average degrees, some processes contain highly-connected units, mainly multi-fluid heat exchangers, with an individual degree up to 12.</w:t>
      </w:r>
    </w:p>
    <w:p w14:paraId="564DFF30" w14:textId="7001B0F1" w:rsidR="0005487D" w:rsidRPr="001021B8" w:rsidRDefault="0005487D" w:rsidP="0005487D">
      <w:pPr>
        <w:pStyle w:val="Els-body-text"/>
        <w:spacing w:after="120"/>
        <w:rPr>
          <w:b/>
          <w:color w:val="FF0000"/>
          <w:sz w:val="22"/>
          <w:lang w:val="en-GB"/>
        </w:rPr>
      </w:pPr>
      <w:r>
        <w:rPr>
          <w:b/>
          <w:sz w:val="22"/>
        </w:rPr>
        <w:t>3</w:t>
      </w:r>
      <w:r w:rsidRPr="001021B8">
        <w:rPr>
          <w:b/>
          <w:sz w:val="22"/>
        </w:rPr>
        <w:t xml:space="preserve">. </w:t>
      </w:r>
      <w:r>
        <w:rPr>
          <w:b/>
          <w:sz w:val="22"/>
        </w:rPr>
        <w:t>Evolutionary methods, mutations and evolutionary distance</w:t>
      </w:r>
    </w:p>
    <w:p w14:paraId="0943CB81" w14:textId="37DD1B8A" w:rsidR="0005487D" w:rsidRDefault="0005487D" w:rsidP="0005487D">
      <w:pPr>
        <w:pStyle w:val="Els-body-text"/>
        <w:spacing w:after="120"/>
        <w:rPr>
          <w:i/>
          <w:lang w:val="en-GB"/>
        </w:rPr>
      </w:pPr>
      <w:r>
        <w:rPr>
          <w:i/>
          <w:lang w:val="en-GB"/>
        </w:rPr>
        <w:t>3</w:t>
      </w:r>
      <w:r w:rsidRPr="001021B8">
        <w:rPr>
          <w:i/>
          <w:lang w:val="en-GB"/>
        </w:rPr>
        <w:t xml:space="preserve">.1. </w:t>
      </w:r>
      <w:r>
        <w:rPr>
          <w:i/>
          <w:lang w:val="en-GB"/>
        </w:rPr>
        <w:t xml:space="preserve">Evolutionary methods, mutations and their impact on process </w:t>
      </w:r>
      <w:r w:rsidR="003F5E9F">
        <w:rPr>
          <w:i/>
          <w:lang w:val="en-GB"/>
        </w:rPr>
        <w:t>structures</w:t>
      </w:r>
    </w:p>
    <w:p w14:paraId="5A4C0D2F" w14:textId="4722C87E" w:rsidR="003F5E9F" w:rsidRDefault="00803D53" w:rsidP="0005487D">
      <w:pPr>
        <w:pStyle w:val="Els-body-text"/>
        <w:spacing w:after="120"/>
        <w:rPr>
          <w:lang w:val="en-GB"/>
        </w:rPr>
      </w:pPr>
      <w:r>
        <w:rPr>
          <w:lang w:val="en-GB"/>
        </w:rPr>
        <w:t xml:space="preserve">Evolutionary methods </w:t>
      </w:r>
      <w:r w:rsidR="00433574">
        <w:rPr>
          <w:lang w:val="en-GB"/>
        </w:rPr>
        <w:t xml:space="preserve">based on step-wise </w:t>
      </w:r>
      <w:r w:rsidR="00A45C79">
        <w:rPr>
          <w:lang w:val="en-GB"/>
        </w:rPr>
        <w:t xml:space="preserve">modifications of process structures by application of mutation operators mainly consider insertion and removal of units, and streams permutations (Wang et al., 2015; </w:t>
      </w:r>
      <w:proofErr w:type="spellStart"/>
      <w:r w:rsidR="00A45C79">
        <w:rPr>
          <w:lang w:val="en-GB"/>
        </w:rPr>
        <w:t>Neveux</w:t>
      </w:r>
      <w:proofErr w:type="spellEnd"/>
      <w:r w:rsidR="00A45C79">
        <w:rPr>
          <w:lang w:val="en-GB"/>
        </w:rPr>
        <w:t xml:space="preserve">, 2018). </w:t>
      </w:r>
      <w:r w:rsidR="00054CD9">
        <w:rPr>
          <w:lang w:val="en-GB"/>
        </w:rPr>
        <w:t>In the present work</w:t>
      </w:r>
      <w:r w:rsidR="003D4909">
        <w:rPr>
          <w:lang w:val="en-GB"/>
        </w:rPr>
        <w:t>, t</w:t>
      </w:r>
      <w:r w:rsidR="00A45C79">
        <w:rPr>
          <w:lang w:val="en-GB"/>
        </w:rPr>
        <w:t>hese operators are parameterized with respect to the degree of the inserted/removed units</w:t>
      </w:r>
      <w:r w:rsidR="002C1B44">
        <w:rPr>
          <w:lang w:val="en-GB"/>
        </w:rPr>
        <w:t>, and a new operator consisting in merging one input and one output is added (Table 1). For each operator, Table 1 indicates its impact on the total number of inputs and outputs, the number of streams and number of units.</w:t>
      </w:r>
      <w:r w:rsidR="00054CD9">
        <w:rPr>
          <w:lang w:val="en-GB"/>
        </w:rPr>
        <w:t xml:space="preserve"> For example, inserting a distillation column of degree 3 (D = 3) increases the number of inputs and outputs by one unit, whereas the numbers of streams and units increase by two.</w:t>
      </w:r>
    </w:p>
    <w:p w14:paraId="5A372833" w14:textId="05DE31DF" w:rsidR="0046758F" w:rsidRDefault="0046758F" w:rsidP="0046758F">
      <w:pPr>
        <w:pStyle w:val="Didascalia"/>
        <w:keepNext/>
      </w:pPr>
      <w:bookmarkStart w:id="2" w:name="_Ref150255416"/>
      <w:r>
        <w:t xml:space="preserve">Table </w:t>
      </w:r>
      <w:r>
        <w:fldChar w:fldCharType="begin"/>
      </w:r>
      <w:r>
        <w:instrText xml:space="preserve"> SEQ Tableau \* ARABIC </w:instrText>
      </w:r>
      <w:r>
        <w:fldChar w:fldCharType="separate"/>
      </w:r>
      <w:r w:rsidR="00451594">
        <w:rPr>
          <w:noProof/>
        </w:rPr>
        <w:t>1</w:t>
      </w:r>
      <w:r>
        <w:fldChar w:fldCharType="end"/>
      </w:r>
      <w:bookmarkEnd w:id="2"/>
      <w:r>
        <w:t xml:space="preserve">: Impact of the </w:t>
      </w:r>
      <w:r w:rsidR="00054CD9">
        <w:t xml:space="preserve">application of </w:t>
      </w:r>
      <w:r>
        <w:t>various mutation</w:t>
      </w:r>
      <w:r w:rsidR="008701FF">
        <w:t xml:space="preserve"> operator</w:t>
      </w:r>
      <w:r>
        <w:t>s on the total number of process inputs and outputs, number of streams and number of units.</w:t>
      </w:r>
      <w:r w:rsidR="008701FF">
        <w:t xml:space="preserve"> D denotes the degree of a unit.</w:t>
      </w:r>
    </w:p>
    <w:tbl>
      <w:tblPr>
        <w:tblStyle w:val="Grigliatabella"/>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559"/>
        <w:gridCol w:w="992"/>
        <w:gridCol w:w="993"/>
      </w:tblGrid>
      <w:tr w:rsidR="0046758F" w14:paraId="52E251F8" w14:textId="77777777" w:rsidTr="0046758F">
        <w:tc>
          <w:tcPr>
            <w:tcW w:w="3119" w:type="dxa"/>
            <w:tcBorders>
              <w:top w:val="single" w:sz="4" w:space="0" w:color="auto"/>
              <w:bottom w:val="single" w:sz="4" w:space="0" w:color="auto"/>
            </w:tcBorders>
          </w:tcPr>
          <w:p w14:paraId="04966FDE" w14:textId="57FAC6E5" w:rsidR="0046758F" w:rsidRDefault="0046758F" w:rsidP="0046758F">
            <w:pPr>
              <w:pStyle w:val="Els-body-text"/>
              <w:jc w:val="center"/>
              <w:rPr>
                <w:lang w:val="en-GB"/>
              </w:rPr>
            </w:pPr>
            <w:r>
              <w:rPr>
                <w:lang w:val="en-GB"/>
              </w:rPr>
              <w:t>Mutation</w:t>
            </w:r>
            <w:r w:rsidR="008701FF">
              <w:rPr>
                <w:lang w:val="en-GB"/>
              </w:rPr>
              <w:t xml:space="preserve"> operator</w:t>
            </w:r>
          </w:p>
        </w:tc>
        <w:tc>
          <w:tcPr>
            <w:tcW w:w="1559" w:type="dxa"/>
            <w:tcBorders>
              <w:top w:val="single" w:sz="4" w:space="0" w:color="auto"/>
              <w:bottom w:val="single" w:sz="4" w:space="0" w:color="auto"/>
            </w:tcBorders>
          </w:tcPr>
          <w:p w14:paraId="1A4E3ED7" w14:textId="52EB3814" w:rsidR="0046758F" w:rsidRDefault="0046758F" w:rsidP="0046758F">
            <w:pPr>
              <w:pStyle w:val="Els-body-text"/>
              <w:jc w:val="center"/>
              <w:rPr>
                <w:lang w:val="en-GB"/>
              </w:rPr>
            </w:pPr>
            <w:proofErr w:type="spellStart"/>
            <w:r>
              <w:rPr>
                <w:lang w:val="en-GB"/>
              </w:rPr>
              <w:t>N</w:t>
            </w:r>
            <w:r w:rsidRPr="0046758F">
              <w:rPr>
                <w:vertAlign w:val="subscript"/>
                <w:lang w:val="en-GB"/>
              </w:rPr>
              <w:t>inputs</w:t>
            </w:r>
            <w:proofErr w:type="spellEnd"/>
            <w:r>
              <w:rPr>
                <w:lang w:val="en-GB"/>
              </w:rPr>
              <w:t xml:space="preserve"> + </w:t>
            </w:r>
            <w:proofErr w:type="spellStart"/>
            <w:r>
              <w:rPr>
                <w:lang w:val="en-GB"/>
              </w:rPr>
              <w:t>N</w:t>
            </w:r>
            <w:r w:rsidRPr="0046758F">
              <w:rPr>
                <w:vertAlign w:val="subscript"/>
                <w:lang w:val="en-GB"/>
              </w:rPr>
              <w:t>outputs</w:t>
            </w:r>
            <w:proofErr w:type="spellEnd"/>
          </w:p>
        </w:tc>
        <w:tc>
          <w:tcPr>
            <w:tcW w:w="992" w:type="dxa"/>
            <w:tcBorders>
              <w:top w:val="single" w:sz="4" w:space="0" w:color="auto"/>
              <w:bottom w:val="single" w:sz="4" w:space="0" w:color="auto"/>
            </w:tcBorders>
          </w:tcPr>
          <w:p w14:paraId="46CD7182" w14:textId="0F4E848E" w:rsidR="0046758F" w:rsidRDefault="0046758F" w:rsidP="0046758F">
            <w:pPr>
              <w:pStyle w:val="Els-body-text"/>
              <w:jc w:val="center"/>
              <w:rPr>
                <w:lang w:val="en-GB"/>
              </w:rPr>
            </w:pPr>
            <w:proofErr w:type="spellStart"/>
            <w:r>
              <w:rPr>
                <w:lang w:val="en-GB"/>
              </w:rPr>
              <w:t>N</w:t>
            </w:r>
            <w:r w:rsidRPr="0046758F">
              <w:rPr>
                <w:vertAlign w:val="subscript"/>
                <w:lang w:val="en-GB"/>
              </w:rPr>
              <w:t>streams</w:t>
            </w:r>
            <w:proofErr w:type="spellEnd"/>
          </w:p>
        </w:tc>
        <w:tc>
          <w:tcPr>
            <w:tcW w:w="993" w:type="dxa"/>
            <w:tcBorders>
              <w:top w:val="single" w:sz="4" w:space="0" w:color="auto"/>
              <w:bottom w:val="single" w:sz="4" w:space="0" w:color="auto"/>
            </w:tcBorders>
          </w:tcPr>
          <w:p w14:paraId="528852EE" w14:textId="277FCD04" w:rsidR="0046758F" w:rsidRDefault="0046758F" w:rsidP="0046758F">
            <w:pPr>
              <w:pStyle w:val="Els-body-text"/>
              <w:jc w:val="center"/>
              <w:rPr>
                <w:lang w:val="en-GB"/>
              </w:rPr>
            </w:pPr>
            <w:proofErr w:type="spellStart"/>
            <w:r>
              <w:rPr>
                <w:lang w:val="en-GB"/>
              </w:rPr>
              <w:t>N</w:t>
            </w:r>
            <w:r w:rsidRPr="0046758F">
              <w:rPr>
                <w:vertAlign w:val="subscript"/>
                <w:lang w:val="en-GB"/>
              </w:rPr>
              <w:t>units</w:t>
            </w:r>
            <w:proofErr w:type="spellEnd"/>
          </w:p>
        </w:tc>
      </w:tr>
      <w:tr w:rsidR="0046758F" w14:paraId="7ACA3F59" w14:textId="77777777" w:rsidTr="0046758F">
        <w:tc>
          <w:tcPr>
            <w:tcW w:w="3119" w:type="dxa"/>
            <w:tcBorders>
              <w:top w:val="single" w:sz="4" w:space="0" w:color="auto"/>
            </w:tcBorders>
          </w:tcPr>
          <w:p w14:paraId="6B47CCB4" w14:textId="53DEA5CC" w:rsidR="0046758F" w:rsidRDefault="0046758F" w:rsidP="0046758F">
            <w:pPr>
              <w:pStyle w:val="Els-body-text"/>
              <w:jc w:val="left"/>
              <w:rPr>
                <w:lang w:val="en-GB"/>
              </w:rPr>
            </w:pPr>
            <w:r>
              <w:rPr>
                <w:lang w:val="en-GB"/>
              </w:rPr>
              <w:t>Permute stream connections</w:t>
            </w:r>
          </w:p>
        </w:tc>
        <w:tc>
          <w:tcPr>
            <w:tcW w:w="1559" w:type="dxa"/>
            <w:tcBorders>
              <w:top w:val="single" w:sz="4" w:space="0" w:color="auto"/>
            </w:tcBorders>
          </w:tcPr>
          <w:p w14:paraId="3C850556" w14:textId="2061638A" w:rsidR="0046758F" w:rsidRDefault="0046758F" w:rsidP="0046758F">
            <w:pPr>
              <w:pStyle w:val="Els-body-text"/>
              <w:jc w:val="center"/>
              <w:rPr>
                <w:lang w:val="en-GB"/>
              </w:rPr>
            </w:pPr>
            <w:r>
              <w:rPr>
                <w:lang w:val="en-GB"/>
              </w:rPr>
              <w:t>=</w:t>
            </w:r>
          </w:p>
        </w:tc>
        <w:tc>
          <w:tcPr>
            <w:tcW w:w="992" w:type="dxa"/>
            <w:tcBorders>
              <w:top w:val="single" w:sz="4" w:space="0" w:color="auto"/>
            </w:tcBorders>
          </w:tcPr>
          <w:p w14:paraId="562A761A" w14:textId="5334626C" w:rsidR="0046758F" w:rsidRDefault="0046758F" w:rsidP="0046758F">
            <w:pPr>
              <w:pStyle w:val="Els-body-text"/>
              <w:jc w:val="center"/>
              <w:rPr>
                <w:lang w:val="en-GB"/>
              </w:rPr>
            </w:pPr>
            <w:r>
              <w:rPr>
                <w:lang w:val="en-GB"/>
              </w:rPr>
              <w:t>=</w:t>
            </w:r>
          </w:p>
        </w:tc>
        <w:tc>
          <w:tcPr>
            <w:tcW w:w="993" w:type="dxa"/>
            <w:tcBorders>
              <w:top w:val="single" w:sz="4" w:space="0" w:color="auto"/>
            </w:tcBorders>
          </w:tcPr>
          <w:p w14:paraId="3601B6B0" w14:textId="1BB0B968" w:rsidR="0046758F" w:rsidRDefault="0046758F" w:rsidP="0046758F">
            <w:pPr>
              <w:pStyle w:val="Els-body-text"/>
              <w:jc w:val="center"/>
              <w:rPr>
                <w:lang w:val="en-GB"/>
              </w:rPr>
            </w:pPr>
            <w:r>
              <w:rPr>
                <w:lang w:val="en-GB"/>
              </w:rPr>
              <w:t>=</w:t>
            </w:r>
          </w:p>
        </w:tc>
      </w:tr>
      <w:tr w:rsidR="0046758F" w14:paraId="06F00CDB" w14:textId="77777777" w:rsidTr="0046758F">
        <w:tc>
          <w:tcPr>
            <w:tcW w:w="3119" w:type="dxa"/>
          </w:tcPr>
          <w:p w14:paraId="212E28BD" w14:textId="146EEC9C" w:rsidR="0046758F" w:rsidRDefault="0046758F" w:rsidP="0046758F">
            <w:pPr>
              <w:pStyle w:val="Els-body-text"/>
              <w:jc w:val="left"/>
              <w:rPr>
                <w:lang w:val="en-GB"/>
              </w:rPr>
            </w:pPr>
            <w:r>
              <w:rPr>
                <w:lang w:val="en-GB"/>
              </w:rPr>
              <w:t xml:space="preserve">Add a </w:t>
            </w:r>
            <w:proofErr w:type="spellStart"/>
            <w:r>
              <w:rPr>
                <w:lang w:val="en-GB"/>
              </w:rPr>
              <w:t>D</w:t>
            </w:r>
            <w:r w:rsidRPr="0046758F">
              <w:rPr>
                <w:vertAlign w:val="superscript"/>
                <w:lang w:val="en-GB"/>
              </w:rPr>
              <w:t>th</w:t>
            </w:r>
            <w:proofErr w:type="spellEnd"/>
            <w:r>
              <w:rPr>
                <w:lang w:val="en-GB"/>
              </w:rPr>
              <w:t xml:space="preserve">-degree unit </w:t>
            </w:r>
            <m:oMath>
              <m:r>
                <w:rPr>
                  <w:rFonts w:ascii="Cambria Math" w:hAnsi="Cambria Math"/>
                  <w:lang w:val="en-GB"/>
                </w:rPr>
                <m:t>(D≥2)</m:t>
              </m:r>
            </m:oMath>
          </w:p>
        </w:tc>
        <w:tc>
          <w:tcPr>
            <w:tcW w:w="1559" w:type="dxa"/>
          </w:tcPr>
          <w:p w14:paraId="02DD9855" w14:textId="4F2664CA" w:rsidR="0046758F" w:rsidRDefault="0046758F" w:rsidP="0046758F">
            <w:pPr>
              <w:pStyle w:val="Els-body-text"/>
              <w:jc w:val="center"/>
              <w:rPr>
                <w:lang w:val="en-GB"/>
              </w:rPr>
            </w:pPr>
            <m:oMathPara>
              <m:oMath>
                <m:r>
                  <w:rPr>
                    <w:rFonts w:ascii="Cambria Math" w:hAnsi="Cambria Math"/>
                    <w:lang w:val="en-GB"/>
                  </w:rPr>
                  <m:t>+D-2</m:t>
                </m:r>
              </m:oMath>
            </m:oMathPara>
          </w:p>
        </w:tc>
        <w:tc>
          <w:tcPr>
            <w:tcW w:w="992" w:type="dxa"/>
          </w:tcPr>
          <w:p w14:paraId="0A2994CD" w14:textId="1F9F64CE" w:rsidR="0046758F" w:rsidRDefault="0046758F" w:rsidP="0046758F">
            <w:pPr>
              <w:pStyle w:val="Els-body-text"/>
              <w:jc w:val="center"/>
              <w:rPr>
                <w:lang w:val="en-GB"/>
              </w:rPr>
            </w:pPr>
            <m:oMathPara>
              <m:oMath>
                <m:r>
                  <w:rPr>
                    <w:rFonts w:ascii="Cambria Math" w:hAnsi="Cambria Math"/>
                    <w:lang w:val="en-GB"/>
                  </w:rPr>
                  <m:t>+D-1</m:t>
                </m:r>
              </m:oMath>
            </m:oMathPara>
          </w:p>
        </w:tc>
        <w:tc>
          <w:tcPr>
            <w:tcW w:w="993" w:type="dxa"/>
          </w:tcPr>
          <w:p w14:paraId="783E3E7C" w14:textId="0E16C24C" w:rsidR="0046758F" w:rsidRDefault="0046758F" w:rsidP="0046758F">
            <w:pPr>
              <w:pStyle w:val="Els-body-text"/>
              <w:jc w:val="center"/>
              <w:rPr>
                <w:lang w:val="en-GB"/>
              </w:rPr>
            </w:pPr>
            <m:oMathPara>
              <m:oMath>
                <m:r>
                  <w:rPr>
                    <w:rFonts w:ascii="Cambria Math" w:hAnsi="Cambria Math"/>
                    <w:lang w:val="en-GB"/>
                  </w:rPr>
                  <m:t>+D-1</m:t>
                </m:r>
              </m:oMath>
            </m:oMathPara>
          </w:p>
        </w:tc>
      </w:tr>
      <w:tr w:rsidR="0046758F" w14:paraId="532EDDB6" w14:textId="77777777" w:rsidTr="0046758F">
        <w:tc>
          <w:tcPr>
            <w:tcW w:w="3119" w:type="dxa"/>
          </w:tcPr>
          <w:p w14:paraId="518DBF76" w14:textId="5E1829A3" w:rsidR="0046758F" w:rsidRDefault="0046758F" w:rsidP="0046758F">
            <w:pPr>
              <w:pStyle w:val="Els-body-text"/>
              <w:jc w:val="left"/>
              <w:rPr>
                <w:lang w:val="en-GB"/>
              </w:rPr>
            </w:pPr>
            <w:r>
              <w:rPr>
                <w:lang w:val="en-GB"/>
              </w:rPr>
              <w:t xml:space="preserve">Remove a </w:t>
            </w:r>
            <w:proofErr w:type="spellStart"/>
            <w:r>
              <w:rPr>
                <w:lang w:val="en-GB"/>
              </w:rPr>
              <w:t>D</w:t>
            </w:r>
            <w:r w:rsidRPr="0046758F">
              <w:rPr>
                <w:vertAlign w:val="superscript"/>
                <w:lang w:val="en-GB"/>
              </w:rPr>
              <w:t>th</w:t>
            </w:r>
            <w:proofErr w:type="spellEnd"/>
            <w:r>
              <w:rPr>
                <w:lang w:val="en-GB"/>
              </w:rPr>
              <w:t xml:space="preserve">-degree unit </w:t>
            </w:r>
            <m:oMath>
              <m:r>
                <w:rPr>
                  <w:rFonts w:ascii="Cambria Math" w:hAnsi="Cambria Math"/>
                  <w:lang w:val="en-GB"/>
                </w:rPr>
                <m:t>(D≥2)</m:t>
              </m:r>
            </m:oMath>
          </w:p>
        </w:tc>
        <w:tc>
          <w:tcPr>
            <w:tcW w:w="1559" w:type="dxa"/>
          </w:tcPr>
          <w:p w14:paraId="45F6E5A3" w14:textId="741AD49D" w:rsidR="0046758F" w:rsidRDefault="0046758F" w:rsidP="0046758F">
            <w:pPr>
              <w:pStyle w:val="Els-body-text"/>
              <w:jc w:val="center"/>
              <w:rPr>
                <w:lang w:val="en-GB"/>
              </w:rPr>
            </w:pPr>
            <m:oMathPara>
              <m:oMath>
                <m:r>
                  <w:rPr>
                    <w:rFonts w:ascii="Cambria Math" w:hAnsi="Cambria Math"/>
                    <w:lang w:val="en-GB"/>
                  </w:rPr>
                  <m:t>+D-2</m:t>
                </m:r>
              </m:oMath>
            </m:oMathPara>
          </w:p>
        </w:tc>
        <w:tc>
          <w:tcPr>
            <w:tcW w:w="992" w:type="dxa"/>
          </w:tcPr>
          <w:p w14:paraId="2BD47AE7" w14:textId="50C89101" w:rsidR="0046758F" w:rsidRDefault="0046758F" w:rsidP="0046758F">
            <w:pPr>
              <w:pStyle w:val="Els-body-text"/>
              <w:rPr>
                <w:lang w:val="en-GB"/>
              </w:rPr>
            </w:pPr>
            <m:oMathPara>
              <m:oMath>
                <m:r>
                  <w:rPr>
                    <w:rFonts w:ascii="Cambria Math" w:hAnsi="Cambria Math"/>
                    <w:lang w:val="en-GB"/>
                  </w:rPr>
                  <m:t>-1</m:t>
                </m:r>
              </m:oMath>
            </m:oMathPara>
          </w:p>
        </w:tc>
        <w:tc>
          <w:tcPr>
            <w:tcW w:w="993" w:type="dxa"/>
          </w:tcPr>
          <w:p w14:paraId="117BBDD9" w14:textId="2C47F0A9" w:rsidR="0046758F" w:rsidRDefault="0046758F" w:rsidP="0046758F">
            <w:pPr>
              <w:pStyle w:val="Els-body-text"/>
              <w:jc w:val="center"/>
              <w:rPr>
                <w:lang w:val="en-GB"/>
              </w:rPr>
            </w:pPr>
            <m:oMathPara>
              <m:oMath>
                <m:r>
                  <w:rPr>
                    <w:rFonts w:ascii="Cambria Math" w:hAnsi="Cambria Math"/>
                    <w:lang w:val="en-GB"/>
                  </w:rPr>
                  <m:t>+D-3</m:t>
                </m:r>
              </m:oMath>
            </m:oMathPara>
          </w:p>
        </w:tc>
      </w:tr>
      <w:tr w:rsidR="0046758F" w14:paraId="177E5353" w14:textId="77777777" w:rsidTr="0046758F">
        <w:tc>
          <w:tcPr>
            <w:tcW w:w="3119" w:type="dxa"/>
            <w:tcBorders>
              <w:bottom w:val="single" w:sz="4" w:space="0" w:color="auto"/>
            </w:tcBorders>
          </w:tcPr>
          <w:p w14:paraId="6CBE03A1" w14:textId="1AA07518" w:rsidR="0046758F" w:rsidRDefault="0046758F" w:rsidP="0046758F">
            <w:pPr>
              <w:pStyle w:val="Els-body-text"/>
              <w:jc w:val="left"/>
              <w:rPr>
                <w:lang w:val="en-GB"/>
              </w:rPr>
            </w:pPr>
            <w:r>
              <w:rPr>
                <w:lang w:val="en-GB"/>
              </w:rPr>
              <w:t>Merge one input and one output</w:t>
            </w:r>
          </w:p>
        </w:tc>
        <w:tc>
          <w:tcPr>
            <w:tcW w:w="1559" w:type="dxa"/>
            <w:tcBorders>
              <w:bottom w:val="single" w:sz="4" w:space="0" w:color="auto"/>
            </w:tcBorders>
          </w:tcPr>
          <w:p w14:paraId="509E318C" w14:textId="75C5F4E6" w:rsidR="0046758F" w:rsidRDefault="0046758F" w:rsidP="0046758F">
            <w:pPr>
              <w:pStyle w:val="Els-body-text"/>
              <w:jc w:val="center"/>
              <w:rPr>
                <w:lang w:val="en-GB"/>
              </w:rPr>
            </w:pPr>
            <m:oMathPara>
              <m:oMath>
                <m:r>
                  <w:rPr>
                    <w:rFonts w:ascii="Cambria Math" w:hAnsi="Cambria Math"/>
                    <w:lang w:val="en-GB"/>
                  </w:rPr>
                  <m:t>-2</m:t>
                </m:r>
              </m:oMath>
            </m:oMathPara>
          </w:p>
        </w:tc>
        <w:tc>
          <w:tcPr>
            <w:tcW w:w="992" w:type="dxa"/>
            <w:tcBorders>
              <w:bottom w:val="single" w:sz="4" w:space="0" w:color="auto"/>
            </w:tcBorders>
          </w:tcPr>
          <w:p w14:paraId="5FDF9DA7" w14:textId="46511F34" w:rsidR="0046758F" w:rsidRDefault="0046758F" w:rsidP="0046758F">
            <w:pPr>
              <w:pStyle w:val="Els-body-text"/>
              <w:jc w:val="center"/>
              <w:rPr>
                <w:lang w:val="en-GB"/>
              </w:rPr>
            </w:pPr>
            <m:oMathPara>
              <m:oMath>
                <m:r>
                  <w:rPr>
                    <w:rFonts w:ascii="Cambria Math" w:hAnsi="Cambria Math"/>
                    <w:lang w:val="en-GB"/>
                  </w:rPr>
                  <m:t>-1</m:t>
                </m:r>
              </m:oMath>
            </m:oMathPara>
          </w:p>
        </w:tc>
        <w:tc>
          <w:tcPr>
            <w:tcW w:w="993" w:type="dxa"/>
            <w:tcBorders>
              <w:bottom w:val="single" w:sz="4" w:space="0" w:color="auto"/>
            </w:tcBorders>
          </w:tcPr>
          <w:p w14:paraId="20AFE8AF" w14:textId="1255299C" w:rsidR="0046758F" w:rsidRDefault="0046758F" w:rsidP="0046758F">
            <w:pPr>
              <w:pStyle w:val="Els-body-text"/>
              <w:jc w:val="center"/>
              <w:rPr>
                <w:lang w:val="en-GB"/>
              </w:rPr>
            </w:pPr>
            <m:oMathPara>
              <m:oMath>
                <m:r>
                  <w:rPr>
                    <w:rFonts w:ascii="Cambria Math" w:hAnsi="Cambria Math"/>
                    <w:lang w:val="en-GB"/>
                  </w:rPr>
                  <m:t>-2</m:t>
                </m:r>
              </m:oMath>
            </m:oMathPara>
          </w:p>
        </w:tc>
      </w:tr>
    </w:tbl>
    <w:p w14:paraId="63C0F82A" w14:textId="77777777" w:rsidR="001F4098" w:rsidRDefault="001F4098" w:rsidP="0005487D">
      <w:pPr>
        <w:pStyle w:val="Els-body-text"/>
        <w:spacing w:after="120"/>
        <w:rPr>
          <w:i/>
          <w:lang w:val="en-GB"/>
        </w:rPr>
      </w:pPr>
    </w:p>
    <w:p w14:paraId="496E9C2F" w14:textId="2BCFF399" w:rsidR="0005487D" w:rsidRDefault="0005487D" w:rsidP="0005487D">
      <w:pPr>
        <w:pStyle w:val="Els-body-text"/>
        <w:spacing w:after="120"/>
        <w:rPr>
          <w:i/>
          <w:lang w:val="en-GB"/>
        </w:rPr>
      </w:pPr>
      <w:r>
        <w:rPr>
          <w:i/>
          <w:lang w:val="en-GB"/>
        </w:rPr>
        <w:t xml:space="preserve">3.2. Definition and computation of an evolutionary </w:t>
      </w:r>
      <w:r w:rsidR="00A80C92">
        <w:rPr>
          <w:i/>
          <w:lang w:val="en-GB"/>
        </w:rPr>
        <w:t>(semi-)</w:t>
      </w:r>
      <w:r>
        <w:rPr>
          <w:i/>
          <w:lang w:val="en-GB"/>
        </w:rPr>
        <w:t>distance</w:t>
      </w:r>
    </w:p>
    <w:p w14:paraId="0E2FBBA7" w14:textId="137D1A97" w:rsidR="0046758F" w:rsidRDefault="0046758F" w:rsidP="0005487D">
      <w:pPr>
        <w:pStyle w:val="Els-body-text"/>
        <w:spacing w:after="120"/>
        <w:rPr>
          <w:lang w:val="en-GB"/>
        </w:rPr>
      </w:pPr>
      <w:r>
        <w:rPr>
          <w:lang w:val="en-GB"/>
        </w:rPr>
        <w:t xml:space="preserve">The evolutionary distance used to select the most appropriate process structures for initialization is defined as the minimum number of mutations to be performed to transform a given process structure </w:t>
      </w:r>
      <w:proofErr w:type="spellStart"/>
      <w:r>
        <w:rPr>
          <w:lang w:val="en-GB"/>
        </w:rPr>
        <w:t>P</w:t>
      </w:r>
      <w:r w:rsidRPr="0046758F">
        <w:rPr>
          <w:vertAlign w:val="subscript"/>
          <w:lang w:val="en-GB"/>
        </w:rPr>
        <w:t>source</w:t>
      </w:r>
      <w:proofErr w:type="spellEnd"/>
      <w:r>
        <w:rPr>
          <w:lang w:val="en-GB"/>
        </w:rPr>
        <w:t xml:space="preserve"> into another given process structure </w:t>
      </w:r>
      <w:proofErr w:type="spellStart"/>
      <w:r>
        <w:rPr>
          <w:lang w:val="en-GB"/>
        </w:rPr>
        <w:t>P</w:t>
      </w:r>
      <w:r w:rsidRPr="0046758F">
        <w:rPr>
          <w:vertAlign w:val="subscript"/>
          <w:lang w:val="en-GB"/>
        </w:rPr>
        <w:t>target</w:t>
      </w:r>
      <w:proofErr w:type="spellEnd"/>
      <w:r>
        <w:rPr>
          <w:lang w:val="en-GB"/>
        </w:rPr>
        <w:t xml:space="preserve">, under a set of authorized mutations, excluding stream permutations. Being given two structures </w:t>
      </w:r>
      <w:proofErr w:type="spellStart"/>
      <w:r>
        <w:rPr>
          <w:lang w:val="en-GB"/>
        </w:rPr>
        <w:t>P</w:t>
      </w:r>
      <w:r w:rsidRPr="0046758F">
        <w:rPr>
          <w:vertAlign w:val="subscript"/>
          <w:lang w:val="en-GB"/>
        </w:rPr>
        <w:t>source</w:t>
      </w:r>
      <w:proofErr w:type="spellEnd"/>
      <w:r>
        <w:rPr>
          <w:lang w:val="en-GB"/>
        </w:rPr>
        <w:t xml:space="preserve"> and </w:t>
      </w:r>
      <w:proofErr w:type="spellStart"/>
      <w:r>
        <w:rPr>
          <w:lang w:val="en-GB"/>
        </w:rPr>
        <w:t>P</w:t>
      </w:r>
      <w:r w:rsidRPr="0046758F">
        <w:rPr>
          <w:vertAlign w:val="subscript"/>
          <w:lang w:val="en-GB"/>
        </w:rPr>
        <w:t>target</w:t>
      </w:r>
      <w:proofErr w:type="spellEnd"/>
      <w:r>
        <w:rPr>
          <w:lang w:val="en-GB"/>
        </w:rPr>
        <w:t xml:space="preserve"> </w:t>
      </w:r>
      <w:r w:rsidR="00BD7177">
        <w:rPr>
          <w:lang w:val="en-GB"/>
        </w:rPr>
        <w:t xml:space="preserve">with their </w:t>
      </w:r>
      <w:r>
        <w:rPr>
          <w:lang w:val="en-GB"/>
        </w:rPr>
        <w:t xml:space="preserve">lists of units and incidence matrices, the computation of the distance </w:t>
      </w:r>
      <w:proofErr w:type="gramStart"/>
      <w:r w:rsidR="00BD7177">
        <w:rPr>
          <w:lang w:val="en-GB"/>
        </w:rPr>
        <w:t>d(</w:t>
      </w:r>
      <w:proofErr w:type="spellStart"/>
      <w:proofErr w:type="gramEnd"/>
      <w:r w:rsidR="00BD7177">
        <w:rPr>
          <w:lang w:val="en-GB"/>
        </w:rPr>
        <w:t>P</w:t>
      </w:r>
      <w:r w:rsidR="00BD7177" w:rsidRPr="00BD7177">
        <w:rPr>
          <w:vertAlign w:val="subscript"/>
          <w:lang w:val="en-GB"/>
        </w:rPr>
        <w:t>source</w:t>
      </w:r>
      <w:proofErr w:type="spellEnd"/>
      <w:r w:rsidR="00BD7177">
        <w:rPr>
          <w:lang w:val="en-GB"/>
        </w:rPr>
        <w:t xml:space="preserve">, </w:t>
      </w:r>
      <w:proofErr w:type="spellStart"/>
      <w:r w:rsidR="00BD7177">
        <w:rPr>
          <w:lang w:val="en-GB"/>
        </w:rPr>
        <w:t>P</w:t>
      </w:r>
      <w:r w:rsidR="00BD7177" w:rsidRPr="00BD7177">
        <w:rPr>
          <w:vertAlign w:val="subscript"/>
          <w:lang w:val="en-GB"/>
        </w:rPr>
        <w:t>target</w:t>
      </w:r>
      <w:proofErr w:type="spellEnd"/>
      <w:r w:rsidR="00BD7177">
        <w:rPr>
          <w:lang w:val="en-GB"/>
        </w:rPr>
        <w:t xml:space="preserve">) </w:t>
      </w:r>
      <w:r>
        <w:rPr>
          <w:lang w:val="en-GB"/>
        </w:rPr>
        <w:t>includes the following steps:</w:t>
      </w:r>
    </w:p>
    <w:p w14:paraId="196A832B" w14:textId="739A03B0" w:rsidR="0046758F" w:rsidRPr="0046758F" w:rsidRDefault="0046758F" w:rsidP="00BD7177">
      <w:pPr>
        <w:pStyle w:val="Els-body-text"/>
        <w:numPr>
          <w:ilvl w:val="0"/>
          <w:numId w:val="21"/>
        </w:numPr>
        <w:rPr>
          <w:lang w:val="en-GB"/>
        </w:rPr>
      </w:pPr>
      <w:r w:rsidRPr="0046758F">
        <w:rPr>
          <w:lang w:val="en-GB"/>
        </w:rPr>
        <w:t xml:space="preserve">List all units (except inputs and outputs) and corresponding degrees </w:t>
      </w:r>
      <w:r w:rsidR="0008521D">
        <w:rPr>
          <w:lang w:val="en-GB"/>
        </w:rPr>
        <w:t>in</w:t>
      </w:r>
      <w:r w:rsidRPr="0046758F">
        <w:rPr>
          <w:lang w:val="en-GB"/>
        </w:rPr>
        <w:t xml:space="preserve"> the source and target structures</w:t>
      </w:r>
      <w:r>
        <w:rPr>
          <w:lang w:val="en-GB"/>
        </w:rPr>
        <w:t>,</w:t>
      </w:r>
    </w:p>
    <w:p w14:paraId="2636CCCF" w14:textId="746CCFB6" w:rsidR="0046758F" w:rsidRPr="0046758F" w:rsidRDefault="0046758F" w:rsidP="00BD7177">
      <w:pPr>
        <w:pStyle w:val="Els-body-text"/>
        <w:numPr>
          <w:ilvl w:val="0"/>
          <w:numId w:val="21"/>
        </w:numPr>
        <w:rPr>
          <w:lang w:val="en-GB"/>
        </w:rPr>
      </w:pPr>
      <w:r w:rsidRPr="0046758F">
        <w:rPr>
          <w:lang w:val="en-GB"/>
        </w:rPr>
        <w:t>Compare the number of inputs</w:t>
      </w:r>
      <w:r>
        <w:rPr>
          <w:lang w:val="en-GB"/>
        </w:rPr>
        <w:t xml:space="preserve"> and </w:t>
      </w:r>
      <w:r w:rsidRPr="0046758F">
        <w:rPr>
          <w:lang w:val="en-GB"/>
        </w:rPr>
        <w:t>outputs and number of streams of structures to calculate the required</w:t>
      </w:r>
      <w:r>
        <w:rPr>
          <w:lang w:val="en-GB"/>
        </w:rPr>
        <w:t xml:space="preserve"> increments</w:t>
      </w:r>
      <w:r w:rsidRPr="0046758F">
        <w:rPr>
          <w:lang w:val="en-GB"/>
        </w:rPr>
        <w:t xml:space="preserve"> </w:t>
      </w:r>
      <w:r w:rsidRPr="0046758F">
        <w:rPr>
          <w:rFonts w:ascii="Symbol" w:hAnsi="Symbol"/>
          <w:lang w:val="en-GB"/>
        </w:rPr>
        <w:t></w:t>
      </w:r>
      <w:r w:rsidRPr="0046758F">
        <w:rPr>
          <w:vertAlign w:val="subscript"/>
          <w:lang w:val="en-GB"/>
        </w:rPr>
        <w:t xml:space="preserve">Inputs + </w:t>
      </w:r>
      <w:proofErr w:type="spellStart"/>
      <w:proofErr w:type="gramStart"/>
      <w:r w:rsidRPr="0046758F">
        <w:rPr>
          <w:vertAlign w:val="subscript"/>
          <w:lang w:val="en-GB"/>
        </w:rPr>
        <w:t>Outputs,req</w:t>
      </w:r>
      <w:proofErr w:type="spellEnd"/>
      <w:proofErr w:type="gramEnd"/>
      <w:r w:rsidRPr="0046758F">
        <w:rPr>
          <w:lang w:val="en-GB"/>
        </w:rPr>
        <w:t xml:space="preserve"> and </w:t>
      </w:r>
      <w:r w:rsidRPr="0046758F">
        <w:rPr>
          <w:rFonts w:ascii="Symbol" w:hAnsi="Symbol"/>
          <w:lang w:val="en-GB"/>
        </w:rPr>
        <w:t></w:t>
      </w:r>
      <w:proofErr w:type="spellStart"/>
      <w:r w:rsidRPr="0046758F">
        <w:rPr>
          <w:vertAlign w:val="subscript"/>
          <w:lang w:val="en-GB"/>
        </w:rPr>
        <w:t>streams,req</w:t>
      </w:r>
      <w:proofErr w:type="spellEnd"/>
      <w:r>
        <w:rPr>
          <w:lang w:val="en-GB"/>
        </w:rPr>
        <w:t>,</w:t>
      </w:r>
    </w:p>
    <w:p w14:paraId="1F5BDFEB" w14:textId="08585444" w:rsidR="0046758F" w:rsidRPr="0046758F" w:rsidRDefault="0046758F" w:rsidP="00BD7177">
      <w:pPr>
        <w:pStyle w:val="Els-body-text"/>
        <w:numPr>
          <w:ilvl w:val="0"/>
          <w:numId w:val="21"/>
        </w:numPr>
        <w:rPr>
          <w:lang w:val="en-GB"/>
        </w:rPr>
      </w:pPr>
      <w:r w:rsidRPr="0046758F">
        <w:rPr>
          <w:lang w:val="en-GB"/>
        </w:rPr>
        <w:t xml:space="preserve">Identify all units (with </w:t>
      </w:r>
      <w:r w:rsidR="00BD7177">
        <w:rPr>
          <w:lang w:val="en-GB"/>
        </w:rPr>
        <w:t xml:space="preserve">type and </w:t>
      </w:r>
      <w:r w:rsidRPr="0046758F">
        <w:rPr>
          <w:lang w:val="en-GB"/>
        </w:rPr>
        <w:t>degree) that are not common to both structures</w:t>
      </w:r>
      <w:r>
        <w:rPr>
          <w:lang w:val="en-GB"/>
        </w:rPr>
        <w:t>,</w:t>
      </w:r>
    </w:p>
    <w:p w14:paraId="22A9EF1F" w14:textId="05286EF6" w:rsidR="0046758F" w:rsidRPr="0046758F" w:rsidRDefault="0046758F" w:rsidP="00BD7177">
      <w:pPr>
        <w:pStyle w:val="Els-body-text"/>
        <w:numPr>
          <w:ilvl w:val="0"/>
          <w:numId w:val="21"/>
        </w:numPr>
        <w:rPr>
          <w:lang w:val="en-GB"/>
        </w:rPr>
      </w:pPr>
      <w:r w:rsidRPr="0046758F">
        <w:rPr>
          <w:lang w:val="en-GB"/>
        </w:rPr>
        <w:t>Initialize</w:t>
      </w:r>
      <w:r>
        <w:rPr>
          <w:lang w:val="en-GB"/>
        </w:rPr>
        <w:t xml:space="preserve"> actual increments</w:t>
      </w:r>
      <w:r w:rsidRPr="0046758F">
        <w:rPr>
          <w:lang w:val="en-GB"/>
        </w:rPr>
        <w:t xml:space="preserve"> </w:t>
      </w:r>
      <w:r w:rsidRPr="0046758F">
        <w:rPr>
          <w:rFonts w:ascii="Symbol" w:hAnsi="Symbol"/>
          <w:lang w:val="en-GB"/>
        </w:rPr>
        <w:t></w:t>
      </w:r>
      <w:proofErr w:type="spellStart"/>
      <w:r w:rsidRPr="0046758F">
        <w:rPr>
          <w:vertAlign w:val="subscript"/>
          <w:lang w:val="en-GB"/>
        </w:rPr>
        <w:t>Inputs+Outputs</w:t>
      </w:r>
      <w:proofErr w:type="spellEnd"/>
      <w:r w:rsidRPr="0046758F">
        <w:rPr>
          <w:lang w:val="en-GB"/>
        </w:rPr>
        <w:t xml:space="preserve"> and </w:t>
      </w:r>
      <w:r w:rsidRPr="0046758F">
        <w:rPr>
          <w:rFonts w:ascii="Symbol" w:hAnsi="Symbol"/>
          <w:lang w:val="en-GB"/>
        </w:rPr>
        <w:t></w:t>
      </w:r>
      <w:r w:rsidRPr="0046758F">
        <w:rPr>
          <w:vertAlign w:val="subscript"/>
          <w:lang w:val="en-GB"/>
        </w:rPr>
        <w:t>streams</w:t>
      </w:r>
      <w:r w:rsidRPr="0046758F">
        <w:rPr>
          <w:lang w:val="en-GB"/>
        </w:rPr>
        <w:t xml:space="preserve"> </w:t>
      </w:r>
      <w:r w:rsidR="004F4950">
        <w:rPr>
          <w:lang w:val="en-GB"/>
        </w:rPr>
        <w:t>and</w:t>
      </w:r>
      <w:r w:rsidR="00BD7177">
        <w:rPr>
          <w:lang w:val="en-GB"/>
        </w:rPr>
        <w:t xml:space="preserve"> d(</w:t>
      </w:r>
      <w:proofErr w:type="spellStart"/>
      <w:proofErr w:type="gramStart"/>
      <w:r w:rsidR="00BD7177">
        <w:rPr>
          <w:lang w:val="en-GB"/>
        </w:rPr>
        <w:t>P</w:t>
      </w:r>
      <w:r w:rsidR="00BD7177" w:rsidRPr="00BD7177">
        <w:rPr>
          <w:vertAlign w:val="subscript"/>
          <w:lang w:val="en-GB"/>
        </w:rPr>
        <w:t>source</w:t>
      </w:r>
      <w:r w:rsidR="00BD7177">
        <w:rPr>
          <w:lang w:val="en-GB"/>
        </w:rPr>
        <w:t>,P</w:t>
      </w:r>
      <w:r w:rsidR="00BD7177" w:rsidRPr="00BD7177">
        <w:rPr>
          <w:vertAlign w:val="subscript"/>
          <w:lang w:val="en-GB"/>
        </w:rPr>
        <w:t>target</w:t>
      </w:r>
      <w:proofErr w:type="spellEnd"/>
      <w:proofErr w:type="gramEnd"/>
      <w:r w:rsidR="00BD7177">
        <w:rPr>
          <w:lang w:val="en-GB"/>
        </w:rPr>
        <w:t>) to 0</w:t>
      </w:r>
      <w:r>
        <w:rPr>
          <w:lang w:val="en-GB"/>
        </w:rPr>
        <w:t>,</w:t>
      </w:r>
    </w:p>
    <w:p w14:paraId="6C474D4E" w14:textId="41503A6A" w:rsidR="0046758F" w:rsidRPr="0046758F" w:rsidRDefault="0046758F" w:rsidP="00BD7177">
      <w:pPr>
        <w:pStyle w:val="Els-body-text"/>
        <w:numPr>
          <w:ilvl w:val="0"/>
          <w:numId w:val="21"/>
        </w:numPr>
        <w:rPr>
          <w:lang w:val="en-GB"/>
        </w:rPr>
      </w:pPr>
      <w:r>
        <w:rPr>
          <w:lang w:val="en-GB"/>
        </w:rPr>
        <w:t>Update actual</w:t>
      </w:r>
      <w:r w:rsidRPr="0046758F">
        <w:rPr>
          <w:lang w:val="en-GB"/>
        </w:rPr>
        <w:t xml:space="preserve"> increments </w:t>
      </w:r>
      <w:r w:rsidRPr="0046758F">
        <w:rPr>
          <w:rFonts w:ascii="Symbol" w:hAnsi="Symbol"/>
          <w:lang w:val="en-GB"/>
        </w:rPr>
        <w:t></w:t>
      </w:r>
      <w:r w:rsidRPr="0046758F">
        <w:rPr>
          <w:vertAlign w:val="subscript"/>
          <w:lang w:val="en-GB"/>
        </w:rPr>
        <w:t>Inputs + Outputs</w:t>
      </w:r>
      <w:r w:rsidRPr="0046758F">
        <w:rPr>
          <w:lang w:val="en-GB"/>
        </w:rPr>
        <w:t xml:space="preserve"> and </w:t>
      </w:r>
      <w:r w:rsidRPr="0046758F">
        <w:rPr>
          <w:rFonts w:ascii="Symbol" w:hAnsi="Symbol"/>
          <w:lang w:val="en-GB"/>
        </w:rPr>
        <w:t></w:t>
      </w:r>
      <w:r w:rsidRPr="0046758F">
        <w:rPr>
          <w:vertAlign w:val="subscript"/>
          <w:lang w:val="en-GB"/>
        </w:rPr>
        <w:t>streams</w:t>
      </w:r>
      <w:r w:rsidRPr="0046758F">
        <w:rPr>
          <w:lang w:val="en-GB"/>
        </w:rPr>
        <w:t xml:space="preserve"> </w:t>
      </w:r>
      <w:r>
        <w:rPr>
          <w:lang w:val="en-GB"/>
        </w:rPr>
        <w:t xml:space="preserve">according to </w:t>
      </w:r>
      <w:r>
        <w:rPr>
          <w:lang w:val="en-GB"/>
        </w:rPr>
        <w:fldChar w:fldCharType="begin"/>
      </w:r>
      <w:r>
        <w:rPr>
          <w:lang w:val="en-GB"/>
        </w:rPr>
        <w:instrText xml:space="preserve"> REF _Ref150255416 \h </w:instrText>
      </w:r>
      <w:r>
        <w:rPr>
          <w:lang w:val="en-GB"/>
        </w:rPr>
      </w:r>
      <w:r>
        <w:rPr>
          <w:lang w:val="en-GB"/>
        </w:rPr>
        <w:fldChar w:fldCharType="separate"/>
      </w:r>
      <w:r w:rsidR="00451594">
        <w:t xml:space="preserve">Table </w:t>
      </w:r>
      <w:r w:rsidR="00451594">
        <w:rPr>
          <w:noProof/>
        </w:rPr>
        <w:t>1</w:t>
      </w:r>
      <w:r>
        <w:rPr>
          <w:lang w:val="en-GB"/>
        </w:rPr>
        <w:fldChar w:fldCharType="end"/>
      </w:r>
      <w:r w:rsidR="00BD7177">
        <w:rPr>
          <w:lang w:val="en-GB"/>
        </w:rPr>
        <w:t xml:space="preserve">, and increase the distance </w:t>
      </w:r>
      <w:proofErr w:type="gramStart"/>
      <w:r w:rsidR="00BD7177">
        <w:rPr>
          <w:lang w:val="en-GB"/>
        </w:rPr>
        <w:t>d(</w:t>
      </w:r>
      <w:proofErr w:type="spellStart"/>
      <w:proofErr w:type="gramEnd"/>
      <w:r w:rsidR="00BD7177">
        <w:rPr>
          <w:lang w:val="en-GB"/>
        </w:rPr>
        <w:t>P</w:t>
      </w:r>
      <w:r w:rsidR="00BD7177" w:rsidRPr="00BD7177">
        <w:rPr>
          <w:vertAlign w:val="subscript"/>
          <w:lang w:val="en-GB"/>
        </w:rPr>
        <w:t>source</w:t>
      </w:r>
      <w:proofErr w:type="spellEnd"/>
      <w:r w:rsidR="00BD7177">
        <w:rPr>
          <w:lang w:val="en-GB"/>
        </w:rPr>
        <w:t xml:space="preserve">, </w:t>
      </w:r>
      <w:proofErr w:type="spellStart"/>
      <w:r w:rsidR="00BD7177">
        <w:rPr>
          <w:lang w:val="en-GB"/>
        </w:rPr>
        <w:t>P</w:t>
      </w:r>
      <w:r w:rsidR="00BD7177" w:rsidRPr="00BD7177">
        <w:rPr>
          <w:vertAlign w:val="subscript"/>
          <w:lang w:val="en-GB"/>
        </w:rPr>
        <w:t>target</w:t>
      </w:r>
      <w:proofErr w:type="spellEnd"/>
      <w:r w:rsidR="00BD7177">
        <w:rPr>
          <w:lang w:val="en-GB"/>
        </w:rPr>
        <w:t>) by one unit</w:t>
      </w:r>
      <w:r>
        <w:rPr>
          <w:lang w:val="en-GB"/>
        </w:rPr>
        <w:t xml:space="preserve"> </w:t>
      </w:r>
      <w:r w:rsidRPr="0046758F">
        <w:rPr>
          <w:lang w:val="en-GB"/>
        </w:rPr>
        <w:t xml:space="preserve">for </w:t>
      </w:r>
      <w:r>
        <w:rPr>
          <w:lang w:val="en-GB"/>
        </w:rPr>
        <w:t>all necessary</w:t>
      </w:r>
      <w:r w:rsidRPr="0046758F">
        <w:rPr>
          <w:lang w:val="en-GB"/>
        </w:rPr>
        <w:t xml:space="preserve"> mutation</w:t>
      </w:r>
      <w:r>
        <w:rPr>
          <w:lang w:val="en-GB"/>
        </w:rPr>
        <w:t>s</w:t>
      </w:r>
      <w:r w:rsidRPr="0046758F">
        <w:rPr>
          <w:lang w:val="en-GB"/>
        </w:rPr>
        <w:t>:</w:t>
      </w:r>
    </w:p>
    <w:p w14:paraId="066D8966" w14:textId="26D94287" w:rsidR="0046758F" w:rsidRPr="0046758F" w:rsidRDefault="0046758F" w:rsidP="00BD7177">
      <w:pPr>
        <w:pStyle w:val="Els-body-text"/>
        <w:numPr>
          <w:ilvl w:val="1"/>
          <w:numId w:val="21"/>
        </w:numPr>
        <w:rPr>
          <w:lang w:val="en-GB"/>
        </w:rPr>
      </w:pPr>
      <w:r w:rsidRPr="0046758F">
        <w:rPr>
          <w:lang w:val="en-GB"/>
        </w:rPr>
        <w:t xml:space="preserve">Remove all not-common units </w:t>
      </w:r>
      <w:r>
        <w:rPr>
          <w:lang w:val="en-GB"/>
        </w:rPr>
        <w:t>included in</w:t>
      </w:r>
      <w:r w:rsidRPr="0046758F">
        <w:rPr>
          <w:lang w:val="en-GB"/>
        </w:rPr>
        <w:t xml:space="preserve"> the source structure</w:t>
      </w:r>
      <w:r>
        <w:rPr>
          <w:lang w:val="en-GB"/>
        </w:rPr>
        <w:t>,</w:t>
      </w:r>
    </w:p>
    <w:p w14:paraId="333CBC70" w14:textId="64DA5314" w:rsidR="0046758F" w:rsidRPr="0046758F" w:rsidRDefault="0046758F" w:rsidP="00BD7177">
      <w:pPr>
        <w:pStyle w:val="Els-body-text"/>
        <w:numPr>
          <w:ilvl w:val="1"/>
          <w:numId w:val="21"/>
        </w:numPr>
        <w:rPr>
          <w:lang w:val="en-GB"/>
        </w:rPr>
      </w:pPr>
      <w:r w:rsidRPr="0046758F">
        <w:rPr>
          <w:lang w:val="en-GB"/>
        </w:rPr>
        <w:t xml:space="preserve">Add all not-common units </w:t>
      </w:r>
      <w:r>
        <w:rPr>
          <w:lang w:val="en-GB"/>
        </w:rPr>
        <w:t>missing in</w:t>
      </w:r>
      <w:r w:rsidRPr="0046758F">
        <w:rPr>
          <w:lang w:val="en-GB"/>
        </w:rPr>
        <w:t xml:space="preserve"> the target structure</w:t>
      </w:r>
      <w:r>
        <w:rPr>
          <w:lang w:val="en-GB"/>
        </w:rPr>
        <w:t>,</w:t>
      </w:r>
    </w:p>
    <w:p w14:paraId="21273E8C" w14:textId="6A946050" w:rsidR="0046758F" w:rsidRDefault="0046758F" w:rsidP="00BD7177">
      <w:pPr>
        <w:pStyle w:val="Els-body-text"/>
        <w:numPr>
          <w:ilvl w:val="0"/>
          <w:numId w:val="21"/>
        </w:numPr>
        <w:rPr>
          <w:lang w:val="en-GB"/>
        </w:rPr>
      </w:pPr>
      <w:r w:rsidRPr="0046758F">
        <w:rPr>
          <w:lang w:val="en-GB"/>
        </w:rPr>
        <w:t xml:space="preserve">Merge one input and one output </w:t>
      </w:r>
      <w:r>
        <w:rPr>
          <w:lang w:val="en-GB"/>
        </w:rPr>
        <w:t xml:space="preserve">of the target structure </w:t>
      </w:r>
      <w:r w:rsidRPr="0046758F">
        <w:rPr>
          <w:lang w:val="en-GB"/>
        </w:rPr>
        <w:t>as many times as required</w:t>
      </w:r>
      <w:r w:rsidR="00BD7177">
        <w:rPr>
          <w:lang w:val="en-GB"/>
        </w:rPr>
        <w:t xml:space="preserve"> (and accordingly increase the distance </w:t>
      </w:r>
      <w:proofErr w:type="gramStart"/>
      <w:r w:rsidR="00BD7177">
        <w:rPr>
          <w:lang w:val="en-GB"/>
        </w:rPr>
        <w:t>d(</w:t>
      </w:r>
      <w:proofErr w:type="spellStart"/>
      <w:proofErr w:type="gramEnd"/>
      <w:r w:rsidR="00BD7177">
        <w:rPr>
          <w:lang w:val="en-GB"/>
        </w:rPr>
        <w:t>P</w:t>
      </w:r>
      <w:r w:rsidR="00BD7177" w:rsidRPr="00BD7177">
        <w:rPr>
          <w:vertAlign w:val="subscript"/>
          <w:lang w:val="en-GB"/>
        </w:rPr>
        <w:t>source</w:t>
      </w:r>
      <w:proofErr w:type="spellEnd"/>
      <w:r w:rsidR="00BD7177">
        <w:rPr>
          <w:lang w:val="en-GB"/>
        </w:rPr>
        <w:t xml:space="preserve">, </w:t>
      </w:r>
      <w:proofErr w:type="spellStart"/>
      <w:r w:rsidR="00BD7177">
        <w:rPr>
          <w:lang w:val="en-GB"/>
        </w:rPr>
        <w:t>P</w:t>
      </w:r>
      <w:r w:rsidR="00BD7177" w:rsidRPr="00BD7177">
        <w:rPr>
          <w:vertAlign w:val="subscript"/>
          <w:lang w:val="en-GB"/>
        </w:rPr>
        <w:t>target</w:t>
      </w:r>
      <w:proofErr w:type="spellEnd"/>
      <w:r w:rsidR="00BD7177">
        <w:rPr>
          <w:lang w:val="en-GB"/>
        </w:rPr>
        <w:t>) by one unit)</w:t>
      </w:r>
      <w:r w:rsidRPr="0046758F">
        <w:rPr>
          <w:lang w:val="en-GB"/>
        </w:rPr>
        <w:t xml:space="preserve"> </w:t>
      </w:r>
      <w:r>
        <w:rPr>
          <w:lang w:val="en-GB"/>
        </w:rPr>
        <w:t xml:space="preserve">so that </w:t>
      </w:r>
      <w:r w:rsidRPr="0046758F">
        <w:rPr>
          <w:rFonts w:ascii="Symbol" w:hAnsi="Symbol"/>
          <w:lang w:val="en-GB"/>
        </w:rPr>
        <w:t></w:t>
      </w:r>
      <w:proofErr w:type="spellStart"/>
      <w:r w:rsidRPr="0046758F">
        <w:rPr>
          <w:vertAlign w:val="subscript"/>
          <w:lang w:val="en-GB"/>
        </w:rPr>
        <w:t>Inputs+Outputs</w:t>
      </w:r>
      <w:proofErr w:type="spellEnd"/>
      <w:r w:rsidRPr="0046758F">
        <w:rPr>
          <w:lang w:val="en-GB"/>
        </w:rPr>
        <w:t xml:space="preserve"> and </w:t>
      </w:r>
      <w:r w:rsidRPr="0046758F">
        <w:rPr>
          <w:rFonts w:ascii="Symbol" w:hAnsi="Symbol"/>
          <w:lang w:val="en-GB"/>
        </w:rPr>
        <w:t></w:t>
      </w:r>
      <w:r w:rsidRPr="0046758F">
        <w:rPr>
          <w:vertAlign w:val="subscript"/>
          <w:lang w:val="en-GB"/>
        </w:rPr>
        <w:t>streams</w:t>
      </w:r>
      <w:r w:rsidRPr="0046758F">
        <w:rPr>
          <w:lang w:val="en-GB"/>
        </w:rPr>
        <w:t xml:space="preserve"> </w:t>
      </w:r>
      <w:r w:rsidR="004F4950">
        <w:rPr>
          <w:lang w:val="en-GB"/>
        </w:rPr>
        <w:t>be equal to</w:t>
      </w:r>
      <w:r w:rsidRPr="0046758F">
        <w:rPr>
          <w:lang w:val="en-GB"/>
        </w:rPr>
        <w:t xml:space="preserve"> </w:t>
      </w:r>
      <w:r w:rsidRPr="0046758F">
        <w:rPr>
          <w:rFonts w:ascii="Symbol" w:hAnsi="Symbol"/>
          <w:lang w:val="en-GB"/>
        </w:rPr>
        <w:t></w:t>
      </w:r>
      <w:r w:rsidRPr="0046758F">
        <w:rPr>
          <w:vertAlign w:val="subscript"/>
          <w:lang w:val="en-GB"/>
        </w:rPr>
        <w:t xml:space="preserve">Inputs + </w:t>
      </w:r>
      <w:proofErr w:type="spellStart"/>
      <w:r w:rsidRPr="0046758F">
        <w:rPr>
          <w:vertAlign w:val="subscript"/>
          <w:lang w:val="en-GB"/>
        </w:rPr>
        <w:t>Outputs,req</w:t>
      </w:r>
      <w:proofErr w:type="spellEnd"/>
      <w:r w:rsidRPr="0046758F">
        <w:rPr>
          <w:lang w:val="en-GB"/>
        </w:rPr>
        <w:t xml:space="preserve"> and </w:t>
      </w:r>
      <w:r w:rsidRPr="0046758F">
        <w:rPr>
          <w:rFonts w:ascii="Symbol" w:hAnsi="Symbol"/>
          <w:lang w:val="en-GB"/>
        </w:rPr>
        <w:t></w:t>
      </w:r>
      <w:proofErr w:type="spellStart"/>
      <w:r w:rsidRPr="0046758F">
        <w:rPr>
          <w:vertAlign w:val="subscript"/>
          <w:lang w:val="en-GB"/>
        </w:rPr>
        <w:t>streams,req</w:t>
      </w:r>
      <w:proofErr w:type="spellEnd"/>
      <w:r>
        <w:rPr>
          <w:lang w:val="en-GB"/>
        </w:rPr>
        <w:t>.</w:t>
      </w:r>
    </w:p>
    <w:p w14:paraId="711818C1" w14:textId="7035FE44" w:rsidR="0046758F" w:rsidRDefault="00BD7177" w:rsidP="00BD7177">
      <w:pPr>
        <w:pStyle w:val="Els-body-text"/>
        <w:spacing w:before="240" w:after="120"/>
        <w:rPr>
          <w:lang w:val="en-GB"/>
        </w:rPr>
      </w:pPr>
      <w:r>
        <w:rPr>
          <w:lang w:val="en-GB"/>
        </w:rPr>
        <w:lastRenderedPageBreak/>
        <w:t>Th</w:t>
      </w:r>
      <w:r w:rsidR="0008521D">
        <w:rPr>
          <w:lang w:val="en-GB"/>
        </w:rPr>
        <w:t>is</w:t>
      </w:r>
      <w:r>
        <w:rPr>
          <w:lang w:val="en-GB"/>
        </w:rPr>
        <w:t xml:space="preserve"> computation sequence provide</w:t>
      </w:r>
      <w:r w:rsidR="0008521D">
        <w:rPr>
          <w:lang w:val="en-GB"/>
        </w:rPr>
        <w:t>s</w:t>
      </w:r>
      <w:r>
        <w:rPr>
          <w:lang w:val="en-GB"/>
        </w:rPr>
        <w:t xml:space="preserve"> a measurement of the difference between structures, more specifically a semi-distance</w:t>
      </w:r>
      <w:r w:rsidR="002C1B44">
        <w:rPr>
          <w:lang w:val="en-GB"/>
        </w:rPr>
        <w:t>: indeed, w</w:t>
      </w:r>
      <w:r>
        <w:rPr>
          <w:lang w:val="en-GB"/>
        </w:rPr>
        <w:t xml:space="preserve">hereas identity and positivity conditions are obvious, the symmetry condition is not satisfied: </w:t>
      </w:r>
      <w:proofErr w:type="gramStart"/>
      <w:r>
        <w:rPr>
          <w:lang w:val="en-GB"/>
        </w:rPr>
        <w:t>d(</w:t>
      </w:r>
      <w:proofErr w:type="spellStart"/>
      <w:proofErr w:type="gramEnd"/>
      <w:r>
        <w:rPr>
          <w:lang w:val="en-GB"/>
        </w:rPr>
        <w:t>P</w:t>
      </w:r>
      <w:r w:rsidRPr="00BD7177">
        <w:rPr>
          <w:vertAlign w:val="subscript"/>
          <w:lang w:val="en-GB"/>
        </w:rPr>
        <w:t>source</w:t>
      </w:r>
      <w:proofErr w:type="spellEnd"/>
      <w:r>
        <w:rPr>
          <w:lang w:val="en-GB"/>
        </w:rPr>
        <w:t xml:space="preserve">, </w:t>
      </w:r>
      <w:proofErr w:type="spellStart"/>
      <w:r>
        <w:rPr>
          <w:lang w:val="en-GB"/>
        </w:rPr>
        <w:t>P</w:t>
      </w:r>
      <w:r w:rsidRPr="00BD7177">
        <w:rPr>
          <w:vertAlign w:val="subscript"/>
          <w:lang w:val="en-GB"/>
        </w:rPr>
        <w:t>target</w:t>
      </w:r>
      <w:proofErr w:type="spellEnd"/>
      <w:r>
        <w:rPr>
          <w:lang w:val="en-GB"/>
        </w:rPr>
        <w:t xml:space="preserve">) is not </w:t>
      </w:r>
      <w:r w:rsidR="004F4950">
        <w:rPr>
          <w:lang w:val="en-GB"/>
        </w:rPr>
        <w:t>always</w:t>
      </w:r>
      <w:r>
        <w:rPr>
          <w:lang w:val="en-GB"/>
        </w:rPr>
        <w:t xml:space="preserve"> equal to d(</w:t>
      </w:r>
      <w:proofErr w:type="spellStart"/>
      <w:r>
        <w:rPr>
          <w:lang w:val="en-GB"/>
        </w:rPr>
        <w:t>P</w:t>
      </w:r>
      <w:r w:rsidRPr="00BD7177">
        <w:rPr>
          <w:vertAlign w:val="subscript"/>
          <w:lang w:val="en-GB"/>
        </w:rPr>
        <w:t>target</w:t>
      </w:r>
      <w:proofErr w:type="spellEnd"/>
      <w:r>
        <w:rPr>
          <w:lang w:val="en-GB"/>
        </w:rPr>
        <w:t xml:space="preserve">, </w:t>
      </w:r>
      <w:proofErr w:type="spellStart"/>
      <w:r>
        <w:rPr>
          <w:lang w:val="en-GB"/>
        </w:rPr>
        <w:t>P</w:t>
      </w:r>
      <w:r w:rsidRPr="00BD7177">
        <w:rPr>
          <w:vertAlign w:val="subscript"/>
          <w:lang w:val="en-GB"/>
        </w:rPr>
        <w:t>source</w:t>
      </w:r>
      <w:proofErr w:type="spellEnd"/>
      <w:r>
        <w:rPr>
          <w:lang w:val="en-GB"/>
        </w:rPr>
        <w:t xml:space="preserve">). The triangle inequality has been </w:t>
      </w:r>
      <w:r w:rsidR="004F4950">
        <w:rPr>
          <w:lang w:val="en-GB"/>
        </w:rPr>
        <w:t>checked</w:t>
      </w:r>
      <w:r>
        <w:rPr>
          <w:lang w:val="en-GB"/>
        </w:rPr>
        <w:t xml:space="preserve"> on 60 million triplets (P</w:t>
      </w:r>
      <w:r w:rsidRPr="00BD7177">
        <w:rPr>
          <w:vertAlign w:val="subscript"/>
          <w:lang w:val="en-GB"/>
        </w:rPr>
        <w:t>1</w:t>
      </w:r>
      <w:r>
        <w:rPr>
          <w:lang w:val="en-GB"/>
        </w:rPr>
        <w:t>, P</w:t>
      </w:r>
      <w:r w:rsidRPr="00BD7177">
        <w:rPr>
          <w:vertAlign w:val="subscript"/>
          <w:lang w:val="en-GB"/>
        </w:rPr>
        <w:t>2</w:t>
      </w:r>
      <w:r>
        <w:rPr>
          <w:lang w:val="en-GB"/>
        </w:rPr>
        <w:t>, P</w:t>
      </w:r>
      <w:r w:rsidRPr="00BD7177">
        <w:rPr>
          <w:vertAlign w:val="subscript"/>
          <w:lang w:val="en-GB"/>
        </w:rPr>
        <w:t>3</w:t>
      </w:r>
      <w:r>
        <w:rPr>
          <w:lang w:val="en-GB"/>
        </w:rPr>
        <w:t>). This lack of symmetry slows down the computation of the distance matrix and hinder</w:t>
      </w:r>
      <w:r w:rsidR="004F4950">
        <w:rPr>
          <w:lang w:val="en-GB"/>
        </w:rPr>
        <w:t>s</w:t>
      </w:r>
      <w:r>
        <w:rPr>
          <w:lang w:val="en-GB"/>
        </w:rPr>
        <w:t xml:space="preserve"> some post-treatment methods. When necessary</w:t>
      </w:r>
      <w:r w:rsidR="0002356B">
        <w:rPr>
          <w:lang w:val="en-GB"/>
        </w:rPr>
        <w:t>,</w:t>
      </w:r>
      <w:r>
        <w:rPr>
          <w:lang w:val="en-GB"/>
        </w:rPr>
        <w:t xml:space="preserve"> a real distance can be defined </w:t>
      </w:r>
      <w:r w:rsidR="0002356B">
        <w:rPr>
          <w:lang w:val="en-GB"/>
        </w:rPr>
        <w:t xml:space="preserve">by averaging </w:t>
      </w:r>
      <w:proofErr w:type="gramStart"/>
      <w:r w:rsidR="0002356B">
        <w:rPr>
          <w:lang w:val="en-GB"/>
        </w:rPr>
        <w:t>d(</w:t>
      </w:r>
      <w:proofErr w:type="spellStart"/>
      <w:proofErr w:type="gramEnd"/>
      <w:r w:rsidR="0002356B">
        <w:rPr>
          <w:lang w:val="en-GB"/>
        </w:rPr>
        <w:t>P</w:t>
      </w:r>
      <w:r w:rsidR="0002356B" w:rsidRPr="00BD7177">
        <w:rPr>
          <w:vertAlign w:val="subscript"/>
          <w:lang w:val="en-GB"/>
        </w:rPr>
        <w:t>target</w:t>
      </w:r>
      <w:proofErr w:type="spellEnd"/>
      <w:r w:rsidR="0002356B">
        <w:rPr>
          <w:lang w:val="en-GB"/>
        </w:rPr>
        <w:t xml:space="preserve">, </w:t>
      </w:r>
      <w:proofErr w:type="spellStart"/>
      <w:r w:rsidR="0002356B">
        <w:rPr>
          <w:lang w:val="en-GB"/>
        </w:rPr>
        <w:t>P</w:t>
      </w:r>
      <w:r w:rsidR="0002356B" w:rsidRPr="00BD7177">
        <w:rPr>
          <w:vertAlign w:val="subscript"/>
          <w:lang w:val="en-GB"/>
        </w:rPr>
        <w:t>source</w:t>
      </w:r>
      <w:proofErr w:type="spellEnd"/>
      <w:r w:rsidR="0002356B">
        <w:rPr>
          <w:lang w:val="en-GB"/>
        </w:rPr>
        <w:t>) and d(</w:t>
      </w:r>
      <w:proofErr w:type="spellStart"/>
      <w:r w:rsidR="0002356B">
        <w:rPr>
          <w:lang w:val="en-GB"/>
        </w:rPr>
        <w:t>P</w:t>
      </w:r>
      <w:r w:rsidR="0002356B" w:rsidRPr="00BD7177">
        <w:rPr>
          <w:vertAlign w:val="subscript"/>
          <w:lang w:val="en-GB"/>
        </w:rPr>
        <w:t>source</w:t>
      </w:r>
      <w:proofErr w:type="spellEnd"/>
      <w:r w:rsidR="0002356B">
        <w:rPr>
          <w:lang w:val="en-GB"/>
        </w:rPr>
        <w:t xml:space="preserve">, </w:t>
      </w:r>
      <w:proofErr w:type="spellStart"/>
      <w:r w:rsidR="0002356B">
        <w:rPr>
          <w:lang w:val="en-GB"/>
        </w:rPr>
        <w:t>P</w:t>
      </w:r>
      <w:r w:rsidR="0002356B" w:rsidRPr="00BD7177">
        <w:rPr>
          <w:vertAlign w:val="subscript"/>
          <w:lang w:val="en-GB"/>
        </w:rPr>
        <w:t>target</w:t>
      </w:r>
      <w:proofErr w:type="spellEnd"/>
      <w:r w:rsidR="0002356B">
        <w:rPr>
          <w:lang w:val="en-GB"/>
        </w:rPr>
        <w:t>)</w:t>
      </w:r>
      <w:r w:rsidR="00D81513">
        <w:rPr>
          <w:lang w:val="en-GB"/>
        </w:rPr>
        <w:t>.</w:t>
      </w:r>
    </w:p>
    <w:p w14:paraId="133C2818" w14:textId="10B00DC7" w:rsidR="002C1B44" w:rsidRPr="0008521D" w:rsidRDefault="002C1B44" w:rsidP="0008521D">
      <w:pPr>
        <w:pStyle w:val="Els-body-text"/>
        <w:spacing w:after="120"/>
        <w:rPr>
          <w:lang w:val="en-GB"/>
        </w:rPr>
      </w:pPr>
      <w:r>
        <w:rPr>
          <w:lang w:val="en-GB"/>
        </w:rPr>
        <w:fldChar w:fldCharType="begin"/>
      </w:r>
      <w:r>
        <w:rPr>
          <w:lang w:val="en-GB"/>
        </w:rPr>
        <w:instrText xml:space="preserve"> REF _Ref151717851 \h </w:instrText>
      </w:r>
      <w:r>
        <w:rPr>
          <w:lang w:val="en-GB"/>
        </w:rPr>
      </w:r>
      <w:r>
        <w:rPr>
          <w:lang w:val="en-GB"/>
        </w:rPr>
        <w:fldChar w:fldCharType="separate"/>
      </w:r>
      <w:r w:rsidR="00451594">
        <w:t xml:space="preserve">Figure </w:t>
      </w:r>
      <w:r w:rsidR="00451594">
        <w:rPr>
          <w:noProof/>
        </w:rPr>
        <w:t>2</w:t>
      </w:r>
      <w:r>
        <w:rPr>
          <w:lang w:val="en-GB"/>
        </w:rPr>
        <w:fldChar w:fldCharType="end"/>
      </w:r>
      <w:r>
        <w:rPr>
          <w:lang w:val="en-GB"/>
        </w:rPr>
        <w:t xml:space="preserve"> </w:t>
      </w:r>
      <w:r w:rsidR="00D30FE9">
        <w:rPr>
          <w:lang w:val="en-GB"/>
        </w:rPr>
        <w:t xml:space="preserve">(left) </w:t>
      </w:r>
      <w:r>
        <w:rPr>
          <w:lang w:val="en-GB"/>
        </w:rPr>
        <w:t xml:space="preserve">presents </w:t>
      </w:r>
      <w:r w:rsidR="00B81E43">
        <w:rPr>
          <w:lang w:val="en-GB"/>
        </w:rPr>
        <w:t>the</w:t>
      </w:r>
      <w:r>
        <w:rPr>
          <w:lang w:val="en-GB"/>
        </w:rPr>
        <w:t xml:space="preserve"> distribution of evolutionary distances between all couples of process structures in the database. </w:t>
      </w:r>
      <w:r w:rsidR="00B81E43" w:rsidRPr="00B81E43">
        <w:rPr>
          <w:lang w:val="en-GB"/>
        </w:rPr>
        <w:t xml:space="preserve">Whereas 480 couples exhibit a null distance, indicating the presence of similar processes in the database that only differ by their connections, the average distance is about 17.5 </w:t>
      </w:r>
      <w:r w:rsidR="0075351E">
        <w:rPr>
          <w:lang w:val="en-GB"/>
        </w:rPr>
        <w:t>mutations, confirming the diversity of the flowsheets. T</w:t>
      </w:r>
      <w:r w:rsidR="00B81E43" w:rsidRPr="00B81E43">
        <w:rPr>
          <w:lang w:val="en-GB"/>
        </w:rPr>
        <w:t>he maximum distance is as large as 70</w:t>
      </w:r>
      <w:r w:rsidR="0075351E">
        <w:rPr>
          <w:lang w:val="en-GB"/>
        </w:rPr>
        <w:t>, demonstrating that even large flowsheets can include radically different unit</w:t>
      </w:r>
      <w:r w:rsidR="0008521D">
        <w:rPr>
          <w:lang w:val="en-GB"/>
        </w:rPr>
        <w:t>s</w:t>
      </w:r>
      <w:r w:rsidR="0075351E">
        <w:rPr>
          <w:lang w:val="en-GB"/>
        </w:rPr>
        <w:t xml:space="preserve"> in terms of type or connectivity. The shape of the distribution does not enable to identify any significant structure (clusters, gaps, etc.) in the population.</w:t>
      </w:r>
    </w:p>
    <w:tbl>
      <w:tblPr>
        <w:tblStyle w:val="Grigliatabella"/>
        <w:tblW w:w="7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3160"/>
      </w:tblGrid>
      <w:tr w:rsidR="0008521D" w14:paraId="5591B06A" w14:textId="77777777" w:rsidTr="001F4098">
        <w:trPr>
          <w:trHeight w:val="2113"/>
        </w:trPr>
        <w:tc>
          <w:tcPr>
            <w:tcW w:w="3912" w:type="dxa"/>
          </w:tcPr>
          <w:p w14:paraId="099DBCA7" w14:textId="0BFE5AAF" w:rsidR="0008521D" w:rsidRDefault="0008521D" w:rsidP="000A48EB">
            <w:pPr>
              <w:pStyle w:val="Els-body-text"/>
              <w:keepNext/>
              <w:jc w:val="center"/>
            </w:pPr>
            <w:r w:rsidRPr="0008521D">
              <w:rPr>
                <w:noProof/>
              </w:rPr>
              <w:drawing>
                <wp:inline distT="0" distB="0" distL="0" distR="0" wp14:anchorId="50EEF2B8" wp14:editId="1D7A1C96">
                  <wp:extent cx="2366754" cy="1351129"/>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393351" cy="1366312"/>
                          </a:xfrm>
                          <a:prstGeom prst="rect">
                            <a:avLst/>
                          </a:prstGeom>
                          <a:noFill/>
                          <a:ln>
                            <a:noFill/>
                          </a:ln>
                        </pic:spPr>
                      </pic:pic>
                    </a:graphicData>
                  </a:graphic>
                </wp:inline>
              </w:drawing>
            </w:r>
          </w:p>
        </w:tc>
        <w:tc>
          <w:tcPr>
            <w:tcW w:w="3191" w:type="dxa"/>
          </w:tcPr>
          <w:p w14:paraId="035B0313" w14:textId="048E4E99" w:rsidR="0008521D" w:rsidRDefault="0008521D" w:rsidP="000A48EB">
            <w:pPr>
              <w:pStyle w:val="Els-body-text"/>
              <w:keepNext/>
              <w:jc w:val="center"/>
            </w:pPr>
            <w:r w:rsidRPr="00ED5AB9">
              <w:rPr>
                <w:noProof/>
              </w:rPr>
              <w:drawing>
                <wp:inline distT="0" distB="0" distL="0" distR="0" wp14:anchorId="626A031F" wp14:editId="44E994B9">
                  <wp:extent cx="1757968" cy="131700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793401" cy="1343554"/>
                          </a:xfrm>
                          <a:prstGeom prst="rect">
                            <a:avLst/>
                          </a:prstGeom>
                          <a:noFill/>
                          <a:ln>
                            <a:noFill/>
                          </a:ln>
                        </pic:spPr>
                      </pic:pic>
                    </a:graphicData>
                  </a:graphic>
                </wp:inline>
              </w:drawing>
            </w:r>
          </w:p>
        </w:tc>
      </w:tr>
    </w:tbl>
    <w:p w14:paraId="429A5625" w14:textId="630F178A" w:rsidR="003F5E9F" w:rsidRDefault="002C1B44" w:rsidP="002C1B44">
      <w:pPr>
        <w:pStyle w:val="Didascalia"/>
        <w:jc w:val="center"/>
      </w:pPr>
      <w:bookmarkStart w:id="3" w:name="_Ref151717851"/>
      <w:r>
        <w:t xml:space="preserve">Figure </w:t>
      </w:r>
      <w:r>
        <w:fldChar w:fldCharType="begin"/>
      </w:r>
      <w:r>
        <w:instrText xml:space="preserve"> SEQ Figure \* ARABIC </w:instrText>
      </w:r>
      <w:r>
        <w:fldChar w:fldCharType="separate"/>
      </w:r>
      <w:r w:rsidR="00451594">
        <w:rPr>
          <w:noProof/>
        </w:rPr>
        <w:t>2</w:t>
      </w:r>
      <w:r>
        <w:fldChar w:fldCharType="end"/>
      </w:r>
      <w:bookmarkEnd w:id="3"/>
      <w:r>
        <w:t>: Distribution of evolutionary distances</w:t>
      </w:r>
      <w:r w:rsidR="0008521D">
        <w:t xml:space="preserve"> (left) and visualization of the population of flowsheets by 2D multi-dimensional scaling (right)</w:t>
      </w:r>
      <w:r>
        <w:t>.</w:t>
      </w:r>
    </w:p>
    <w:p w14:paraId="3EBB702B" w14:textId="12FFBC82" w:rsidR="0008521D" w:rsidRPr="004F4950" w:rsidRDefault="00D30FE9" w:rsidP="0008521D">
      <w:pPr>
        <w:pStyle w:val="Els-caption"/>
        <w:jc w:val="both"/>
        <w:rPr>
          <w:sz w:val="20"/>
        </w:rPr>
      </w:pPr>
      <w:r w:rsidRPr="004F4950">
        <w:rPr>
          <w:sz w:val="20"/>
          <w:lang w:val="en-GB"/>
        </w:rPr>
        <w:t>A</w:t>
      </w:r>
      <w:r w:rsidR="0008521D" w:rsidRPr="004F4950">
        <w:rPr>
          <w:sz w:val="20"/>
          <w:lang w:val="en-GB"/>
        </w:rPr>
        <w:t xml:space="preserve"> 2D multidimensional scaling (MDS) is presented in</w:t>
      </w:r>
      <w:r w:rsidR="00DE4347" w:rsidRPr="004F4950">
        <w:rPr>
          <w:sz w:val="20"/>
          <w:lang w:val="en-GB"/>
        </w:rPr>
        <w:t xml:space="preserve"> </w:t>
      </w:r>
      <w:r w:rsidR="00DE4347" w:rsidRPr="004F4950">
        <w:rPr>
          <w:sz w:val="20"/>
          <w:lang w:val="en-GB"/>
        </w:rPr>
        <w:fldChar w:fldCharType="begin"/>
      </w:r>
      <w:r w:rsidR="00DE4347" w:rsidRPr="004F4950">
        <w:rPr>
          <w:sz w:val="20"/>
          <w:lang w:val="en-GB"/>
        </w:rPr>
        <w:instrText xml:space="preserve"> REF _Ref151717851 \h </w:instrText>
      </w:r>
      <w:r w:rsidR="004F4950">
        <w:rPr>
          <w:sz w:val="20"/>
          <w:lang w:val="en-GB"/>
        </w:rPr>
        <w:instrText xml:space="preserve"> \* MERGEFORMAT </w:instrText>
      </w:r>
      <w:r w:rsidR="00DE4347" w:rsidRPr="004F4950">
        <w:rPr>
          <w:sz w:val="20"/>
          <w:lang w:val="en-GB"/>
        </w:rPr>
      </w:r>
      <w:r w:rsidR="00DE4347" w:rsidRPr="004F4950">
        <w:rPr>
          <w:sz w:val="20"/>
          <w:lang w:val="en-GB"/>
        </w:rPr>
        <w:fldChar w:fldCharType="separate"/>
      </w:r>
      <w:r w:rsidR="00451594" w:rsidRPr="00451594">
        <w:rPr>
          <w:sz w:val="20"/>
        </w:rPr>
        <w:t xml:space="preserve">Figure </w:t>
      </w:r>
      <w:r w:rsidR="00451594" w:rsidRPr="00451594">
        <w:rPr>
          <w:noProof/>
          <w:sz w:val="20"/>
        </w:rPr>
        <w:t>2</w:t>
      </w:r>
      <w:r w:rsidR="00DE4347" w:rsidRPr="004F4950">
        <w:rPr>
          <w:sz w:val="20"/>
          <w:lang w:val="en-GB"/>
        </w:rPr>
        <w:fldChar w:fldCharType="end"/>
      </w:r>
      <w:r w:rsidR="00DE4347" w:rsidRPr="004F4950">
        <w:rPr>
          <w:sz w:val="20"/>
          <w:lang w:val="en-GB"/>
        </w:rPr>
        <w:t xml:space="preserve"> (right)</w:t>
      </w:r>
      <w:r w:rsidR="0008521D" w:rsidRPr="004F4950">
        <w:rPr>
          <w:sz w:val="20"/>
          <w:lang w:val="en-GB"/>
        </w:rPr>
        <w:t xml:space="preserve"> (Aggarwal, 2015). MDS is a projective method for dimensionality reduction that optimizes a distribution of points (here on a plane) that exhibit a distance matrix similar to the original data. Despite its projective character, this view confirms the lack of structure in the population, that looks like a gaussian distribution. The maximum distance between the points on the far right and those on the far left, about 70, is coherent with the distance distribution.</w:t>
      </w:r>
    </w:p>
    <w:p w14:paraId="42FD226C" w14:textId="496EE574" w:rsidR="003F5E9F" w:rsidRDefault="003F5E9F" w:rsidP="0005487D">
      <w:pPr>
        <w:pStyle w:val="Els-body-text"/>
        <w:spacing w:after="120"/>
        <w:rPr>
          <w:b/>
          <w:sz w:val="22"/>
          <w:lang w:val="en-GB"/>
        </w:rPr>
      </w:pPr>
      <w:r>
        <w:rPr>
          <w:b/>
          <w:sz w:val="22"/>
          <w:lang w:val="en-GB"/>
        </w:rPr>
        <w:t xml:space="preserve">4. </w:t>
      </w:r>
      <w:r w:rsidRPr="003F5E9F">
        <w:rPr>
          <w:b/>
          <w:sz w:val="22"/>
          <w:lang w:val="en-GB"/>
        </w:rPr>
        <w:t>Analysis of most-central flowsheets</w:t>
      </w:r>
    </w:p>
    <w:p w14:paraId="2B7673A8" w14:textId="2786F54B" w:rsidR="00E2504D" w:rsidRDefault="004F4950" w:rsidP="00D81513">
      <w:pPr>
        <w:pStyle w:val="Els-body-text"/>
        <w:rPr>
          <w:lang w:val="en-GB"/>
        </w:rPr>
      </w:pPr>
      <w:r>
        <w:rPr>
          <w:lang w:val="en-GB"/>
        </w:rPr>
        <w:t>T</w:t>
      </w:r>
      <w:r w:rsidR="003E3D7B">
        <w:rPr>
          <w:lang w:val="en-GB"/>
        </w:rPr>
        <w:t>he population of flowsheets can be considered as a graph whose nodes are the process structures and whose edges are weighted by the distance between structures.</w:t>
      </w:r>
      <w:r w:rsidR="00DE4347">
        <w:rPr>
          <w:lang w:val="en-GB"/>
        </w:rPr>
        <w:t xml:space="preserve"> </w:t>
      </w:r>
      <w:r w:rsidR="00E2504D">
        <w:rPr>
          <w:lang w:val="en-GB"/>
        </w:rPr>
        <w:t>To identify flowsheets</w:t>
      </w:r>
      <w:r w:rsidR="005B3088">
        <w:rPr>
          <w:lang w:val="en-GB"/>
        </w:rPr>
        <w:t xml:space="preserve"> that might be relevant for initialization of evolutionary approaches, </w:t>
      </w:r>
      <w:r w:rsidR="008701FF">
        <w:rPr>
          <w:lang w:val="en-GB"/>
        </w:rPr>
        <w:t>three centrality criteria are computed for the database flowsheets</w:t>
      </w:r>
      <w:r w:rsidR="000962C9">
        <w:rPr>
          <w:lang w:val="en-GB"/>
        </w:rPr>
        <w:t xml:space="preserve"> (Aggarwal, </w:t>
      </w:r>
      <w:r w:rsidR="0058005C">
        <w:rPr>
          <w:lang w:val="en-GB"/>
        </w:rPr>
        <w:t>2015</w:t>
      </w:r>
      <w:r w:rsidR="000962C9">
        <w:rPr>
          <w:lang w:val="en-GB"/>
        </w:rPr>
        <w:t>)</w:t>
      </w:r>
      <w:r w:rsidR="008701FF">
        <w:rPr>
          <w:lang w:val="en-GB"/>
        </w:rPr>
        <w:t>:</w:t>
      </w:r>
    </w:p>
    <w:p w14:paraId="60E2CAEE" w14:textId="170228C5" w:rsidR="008701FF" w:rsidRDefault="008701FF" w:rsidP="00D81513">
      <w:pPr>
        <w:pStyle w:val="Els-body-text"/>
        <w:numPr>
          <w:ilvl w:val="0"/>
          <w:numId w:val="22"/>
        </w:numPr>
        <w:ind w:left="426" w:hanging="284"/>
        <w:rPr>
          <w:lang w:val="en-GB"/>
        </w:rPr>
      </w:pPr>
      <w:proofErr w:type="spellStart"/>
      <w:r>
        <w:rPr>
          <w:lang w:val="en-GB"/>
        </w:rPr>
        <w:t>Outcloseness</w:t>
      </w:r>
      <w:proofErr w:type="spellEnd"/>
      <w:r w:rsidR="003C0C02">
        <w:rPr>
          <w:lang w:val="en-GB"/>
        </w:rPr>
        <w:t xml:space="preserve"> </w:t>
      </w:r>
      <w:r w:rsidR="0058005C" w:rsidRPr="0058005C">
        <w:rPr>
          <w:lang w:val="en-GB"/>
        </w:rPr>
        <w:t xml:space="preserve">measures how many </w:t>
      </w:r>
      <w:r w:rsidR="0058005C">
        <w:rPr>
          <w:lang w:val="en-GB"/>
        </w:rPr>
        <w:t>mutations</w:t>
      </w:r>
      <w:r w:rsidR="0058005C" w:rsidRPr="0058005C">
        <w:rPr>
          <w:lang w:val="en-GB"/>
        </w:rPr>
        <w:t xml:space="preserve"> </w:t>
      </w:r>
      <w:r w:rsidR="0058005C">
        <w:rPr>
          <w:lang w:val="en-GB"/>
        </w:rPr>
        <w:t>are</w:t>
      </w:r>
      <w:r w:rsidR="0058005C" w:rsidRPr="0058005C">
        <w:rPr>
          <w:lang w:val="en-GB"/>
        </w:rPr>
        <w:t xml:space="preserve"> required to access </w:t>
      </w:r>
      <w:r w:rsidR="003C0C02">
        <w:rPr>
          <w:lang w:val="en-GB"/>
        </w:rPr>
        <w:t>any</w:t>
      </w:r>
      <w:r w:rsidR="0058005C" w:rsidRPr="0058005C">
        <w:rPr>
          <w:lang w:val="en-GB"/>
        </w:rPr>
        <w:t xml:space="preserve"> other </w:t>
      </w:r>
      <w:r w:rsidR="0058005C">
        <w:rPr>
          <w:lang w:val="en-GB"/>
        </w:rPr>
        <w:t xml:space="preserve">structure j </w:t>
      </w:r>
      <w:r w:rsidR="0058005C" w:rsidRPr="0058005C">
        <w:rPr>
          <w:lang w:val="en-GB"/>
        </w:rPr>
        <w:t xml:space="preserve">from a </w:t>
      </w:r>
      <w:r w:rsidR="0058005C">
        <w:rPr>
          <w:lang w:val="en-GB"/>
        </w:rPr>
        <w:t xml:space="preserve">structure i. </w:t>
      </w:r>
      <w:r w:rsidR="003C0C02">
        <w:rPr>
          <w:lang w:val="en-GB"/>
        </w:rPr>
        <w:t>Centrality is maximal when the sum of distances is minimal, explaining the use of the inverse of the sum of distances as:</w:t>
      </w:r>
    </w:p>
    <w:tbl>
      <w:tblPr>
        <w:tblStyle w:val="Grigliatabella"/>
        <w:tblW w:w="6379"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2841"/>
      </w:tblGrid>
      <w:tr w:rsidR="00D30FE9" w14:paraId="60D9A267" w14:textId="77777777" w:rsidTr="00D30FE9">
        <w:tc>
          <w:tcPr>
            <w:tcW w:w="3538" w:type="dxa"/>
            <w:vAlign w:val="center"/>
          </w:tcPr>
          <w:p w14:paraId="17103B2A" w14:textId="265AA66C" w:rsidR="00D30FE9" w:rsidRPr="00D30FE9" w:rsidRDefault="001A2805" w:rsidP="00BC2CF9">
            <w:pPr>
              <w:pStyle w:val="Els-body-text"/>
              <w:ind w:left="426" w:hanging="283"/>
              <w:jc w:val="left"/>
              <w:rPr>
                <w:lang w:val="en-GB"/>
              </w:rPr>
            </w:pPr>
            <m:oMathPara>
              <m:oMathParaPr>
                <m:jc m:val="left"/>
              </m:oMathParaP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outcloseness</m:t>
                    </m:r>
                  </m:sub>
                </m:sSub>
                <m:d>
                  <m:dPr>
                    <m:ctrlPr>
                      <w:rPr>
                        <w:rFonts w:ascii="Cambria Math" w:hAnsi="Cambria Math"/>
                        <w:i/>
                        <w:lang w:val="en-GB"/>
                      </w:rPr>
                    </m:ctrlPr>
                  </m:dPr>
                  <m:e>
                    <m:r>
                      <w:rPr>
                        <w:rFonts w:ascii="Cambria Math" w:hAnsi="Cambria Math"/>
                        <w:lang w:val="en-GB"/>
                      </w:rPr>
                      <m:t>i</m:t>
                    </m:r>
                  </m:e>
                </m:d>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nary>
                      <m:naryPr>
                        <m:chr m:val="∑"/>
                        <m:limLoc m:val="undOvr"/>
                        <m:supHide m:val="1"/>
                        <m:ctrlPr>
                          <w:rPr>
                            <w:rFonts w:ascii="Cambria Math" w:hAnsi="Cambria Math"/>
                            <w:i/>
                            <w:lang w:val="en-GB"/>
                          </w:rPr>
                        </m:ctrlPr>
                      </m:naryPr>
                      <m:sub>
                        <m:r>
                          <w:rPr>
                            <w:rFonts w:ascii="Cambria Math" w:hAnsi="Cambria Math"/>
                            <w:lang w:val="en-GB"/>
                          </w:rPr>
                          <m:t>j≠i</m:t>
                        </m:r>
                      </m:sub>
                      <m:sup/>
                      <m:e>
                        <m:r>
                          <w:rPr>
                            <w:rFonts w:ascii="Cambria Math" w:hAnsi="Cambria Math"/>
                            <w:lang w:val="en-GB"/>
                          </w:rPr>
                          <m:t>d(i,j)</m:t>
                        </m:r>
                      </m:e>
                    </m:nary>
                  </m:den>
                </m:f>
              </m:oMath>
            </m:oMathPara>
          </w:p>
        </w:tc>
        <w:tc>
          <w:tcPr>
            <w:tcW w:w="2841" w:type="dxa"/>
            <w:vAlign w:val="center"/>
          </w:tcPr>
          <w:p w14:paraId="64BA79A5" w14:textId="26B5170B" w:rsidR="00D30FE9" w:rsidRDefault="00D30FE9" w:rsidP="00BC2CF9">
            <w:pPr>
              <w:pStyle w:val="Els-body-text"/>
              <w:ind w:left="426" w:hanging="283"/>
              <w:jc w:val="right"/>
              <w:rPr>
                <w:lang w:val="en-GB"/>
              </w:rPr>
            </w:pPr>
            <w:r>
              <w:rPr>
                <w:lang w:val="en-GB"/>
              </w:rPr>
              <w:t>(</w:t>
            </w:r>
            <w:r w:rsidR="00736CED">
              <w:rPr>
                <w:lang w:val="en-GB"/>
              </w:rPr>
              <w:t>1</w:t>
            </w:r>
            <w:r>
              <w:rPr>
                <w:lang w:val="en-GB"/>
              </w:rPr>
              <w:t>)</w:t>
            </w:r>
          </w:p>
        </w:tc>
      </w:tr>
    </w:tbl>
    <w:p w14:paraId="6C8E31A8" w14:textId="066FBEA0" w:rsidR="008701FF" w:rsidRPr="00D30FE9" w:rsidRDefault="008701FF" w:rsidP="00D81513">
      <w:pPr>
        <w:pStyle w:val="Els-body-text"/>
        <w:numPr>
          <w:ilvl w:val="0"/>
          <w:numId w:val="22"/>
        </w:numPr>
        <w:ind w:left="426" w:hanging="284"/>
        <w:rPr>
          <w:lang w:val="en-GB"/>
        </w:rPr>
      </w:pPr>
      <w:r>
        <w:rPr>
          <w:lang w:val="en-GB"/>
        </w:rPr>
        <w:t>Betweenness</w:t>
      </w:r>
      <w:r w:rsidR="003C0C02">
        <w:rPr>
          <w:lang w:val="en-GB"/>
        </w:rPr>
        <w:t xml:space="preserve"> </w:t>
      </w:r>
      <w:r w:rsidR="003C0C02">
        <w:t xml:space="preserve">measures how often each process structure appears on a shortest path between two other structures in the population. For </w:t>
      </w:r>
      <w:r w:rsidR="008B5FF7">
        <w:t>structures s and t, the total number of shortest paths</w:t>
      </w:r>
      <w:r w:rsidR="00D30FE9">
        <w:t xml:space="preserve"> between them</w:t>
      </w:r>
      <w:r w:rsidR="008B5FF7">
        <w:t xml:space="preserve"> is denoted </w:t>
      </w:r>
      <w:proofErr w:type="spellStart"/>
      <w:r w:rsidR="008B5FF7">
        <w:t>N</w:t>
      </w:r>
      <w:r w:rsidR="008B5FF7" w:rsidRPr="008B5FF7">
        <w:rPr>
          <w:vertAlign w:val="subscript"/>
        </w:rPr>
        <w:t>st</w:t>
      </w:r>
      <w:proofErr w:type="spellEnd"/>
      <w:r w:rsidR="008B5FF7">
        <w:t xml:space="preserve">, and the number of shortest paths including the structure </w:t>
      </w:r>
      <w:r w:rsidR="003E3D7B">
        <w:t>i</w:t>
      </w:r>
      <w:r w:rsidR="008B5FF7">
        <w:t xml:space="preserve"> is denoted </w:t>
      </w:r>
      <w:proofErr w:type="spellStart"/>
      <w:r w:rsidR="008B5FF7">
        <w:t>n</w:t>
      </w:r>
      <w:r w:rsidR="008B5FF7" w:rsidRPr="008B5FF7">
        <w:rPr>
          <w:vertAlign w:val="subscript"/>
        </w:rPr>
        <w:t>st</w:t>
      </w:r>
      <w:proofErr w:type="spellEnd"/>
      <w:r w:rsidR="008B5FF7">
        <w:t>(i)</w:t>
      </w:r>
      <w:r w:rsidR="003C0C02">
        <w:t>:</w:t>
      </w:r>
    </w:p>
    <w:tbl>
      <w:tblPr>
        <w:tblStyle w:val="Grigliatabella"/>
        <w:tblW w:w="636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1"/>
        <w:gridCol w:w="3126"/>
      </w:tblGrid>
      <w:tr w:rsidR="00D30FE9" w14:paraId="05038FCE" w14:textId="77777777" w:rsidTr="00FB5E06">
        <w:trPr>
          <w:trHeight w:val="456"/>
        </w:trPr>
        <w:tc>
          <w:tcPr>
            <w:tcW w:w="3241" w:type="dxa"/>
            <w:vAlign w:val="center"/>
          </w:tcPr>
          <w:p w14:paraId="7551C14B" w14:textId="53B5FDCD" w:rsidR="00D30FE9" w:rsidRPr="00D30FE9" w:rsidRDefault="001A2805" w:rsidP="00BC2CF9">
            <w:pPr>
              <w:pStyle w:val="Els-body-text"/>
              <w:spacing w:after="120"/>
              <w:ind w:left="426" w:hanging="284"/>
              <w:jc w:val="center"/>
              <w:rPr>
                <w:lang w:val="en-GB"/>
              </w:rPr>
            </w:pPr>
            <m:oMathPara>
              <m:oMathParaPr>
                <m:jc m:val="left"/>
              </m:oMathParaP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betweenness</m:t>
                    </m:r>
                  </m:sub>
                </m:sSub>
                <m:d>
                  <m:dPr>
                    <m:ctrlPr>
                      <w:rPr>
                        <w:rFonts w:ascii="Cambria Math" w:hAnsi="Cambria Math"/>
                        <w:i/>
                        <w:lang w:val="en-GB"/>
                      </w:rPr>
                    </m:ctrlPr>
                  </m:dPr>
                  <m:e>
                    <m:r>
                      <w:rPr>
                        <w:rFonts w:ascii="Cambria Math" w:hAnsi="Cambria Math"/>
                        <w:lang w:val="en-GB"/>
                      </w:rPr>
                      <m:t>i</m:t>
                    </m:r>
                  </m:e>
                </m:d>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s,t≠i</m:t>
                    </m:r>
                  </m:sub>
                  <m:sup/>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st</m:t>
                            </m:r>
                          </m:sub>
                        </m:sSub>
                        <m:r>
                          <w:rPr>
                            <w:rFonts w:ascii="Cambria Math" w:hAnsi="Cambria Math"/>
                            <w:lang w:val="en-GB"/>
                          </w:rPr>
                          <m:t>(i)</m:t>
                        </m:r>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st</m:t>
                            </m:r>
                          </m:sub>
                        </m:sSub>
                      </m:den>
                    </m:f>
                  </m:e>
                </m:nary>
              </m:oMath>
            </m:oMathPara>
          </w:p>
        </w:tc>
        <w:tc>
          <w:tcPr>
            <w:tcW w:w="3126" w:type="dxa"/>
            <w:vAlign w:val="center"/>
          </w:tcPr>
          <w:p w14:paraId="5C716383" w14:textId="534A6560" w:rsidR="00D30FE9" w:rsidRDefault="00D30FE9" w:rsidP="00BC2CF9">
            <w:pPr>
              <w:pStyle w:val="Els-body-text"/>
              <w:spacing w:after="120"/>
              <w:ind w:left="426" w:hanging="284"/>
              <w:jc w:val="right"/>
              <w:rPr>
                <w:lang w:val="en-GB"/>
              </w:rPr>
            </w:pPr>
            <w:r>
              <w:rPr>
                <w:lang w:val="en-GB"/>
              </w:rPr>
              <w:t>(</w:t>
            </w:r>
            <w:r w:rsidR="00736CED">
              <w:rPr>
                <w:lang w:val="en-GB"/>
              </w:rPr>
              <w:t>2</w:t>
            </w:r>
            <w:r>
              <w:rPr>
                <w:lang w:val="en-GB"/>
              </w:rPr>
              <w:t>)</w:t>
            </w:r>
          </w:p>
        </w:tc>
      </w:tr>
    </w:tbl>
    <w:p w14:paraId="21547A19" w14:textId="58E7A341" w:rsidR="008701FF" w:rsidRDefault="008701FF" w:rsidP="008701FF">
      <w:pPr>
        <w:pStyle w:val="Els-body-text"/>
        <w:numPr>
          <w:ilvl w:val="0"/>
          <w:numId w:val="22"/>
        </w:numPr>
        <w:spacing w:after="120"/>
        <w:ind w:left="426" w:hanging="283"/>
        <w:rPr>
          <w:lang w:val="en-GB"/>
        </w:rPr>
      </w:pPr>
      <w:proofErr w:type="spellStart"/>
      <w:r>
        <w:rPr>
          <w:lang w:val="en-GB"/>
        </w:rPr>
        <w:t>Pagerank</w:t>
      </w:r>
      <w:proofErr w:type="spellEnd"/>
      <w:r w:rsidR="003E3D7B">
        <w:rPr>
          <w:lang w:val="en-GB"/>
        </w:rPr>
        <w:t xml:space="preserve"> measures the probability of presence at the node i of the graph of flowsheets during a random walk through this graph. At each node in the graph, the next node is chosen from all downstream nodes with a probability inversely proportional to their evolutionary distance. The </w:t>
      </w:r>
      <w:proofErr w:type="spellStart"/>
      <w:r w:rsidR="003E3D7B">
        <w:rPr>
          <w:lang w:val="en-GB"/>
        </w:rPr>
        <w:t>pagerank</w:t>
      </w:r>
      <w:proofErr w:type="spellEnd"/>
      <w:r w:rsidR="003E3D7B">
        <w:rPr>
          <w:lang w:val="en-GB"/>
        </w:rPr>
        <w:t xml:space="preserve"> can be interpreted as the average time spent at each node during this random walk.</w:t>
      </w:r>
    </w:p>
    <w:p w14:paraId="6CE85E3F" w14:textId="1868E55B" w:rsidR="00054CD9" w:rsidRDefault="00EB4953" w:rsidP="00BC2CF9">
      <w:pPr>
        <w:pStyle w:val="Els-body-text"/>
        <w:spacing w:after="120"/>
      </w:pPr>
      <w:r>
        <w:rPr>
          <w:lang w:val="en-GB"/>
        </w:rPr>
        <w:fldChar w:fldCharType="begin"/>
      </w:r>
      <w:r>
        <w:rPr>
          <w:lang w:val="en-GB"/>
        </w:rPr>
        <w:instrText xml:space="preserve"> REF _Ref152259246 \h </w:instrText>
      </w:r>
      <w:r>
        <w:rPr>
          <w:lang w:val="en-GB"/>
        </w:rPr>
      </w:r>
      <w:r>
        <w:rPr>
          <w:lang w:val="en-GB"/>
        </w:rPr>
        <w:fldChar w:fldCharType="separate"/>
      </w:r>
      <w:r w:rsidR="00451594">
        <w:t xml:space="preserve">Figure </w:t>
      </w:r>
      <w:r w:rsidR="00451594">
        <w:rPr>
          <w:noProof/>
        </w:rPr>
        <w:t>3</w:t>
      </w:r>
      <w:r>
        <w:rPr>
          <w:lang w:val="en-GB"/>
        </w:rPr>
        <w:fldChar w:fldCharType="end"/>
      </w:r>
      <w:r>
        <w:rPr>
          <w:lang w:val="en-GB"/>
        </w:rPr>
        <w:t xml:space="preserve"> </w:t>
      </w:r>
      <w:r w:rsidR="003E3D7B">
        <w:rPr>
          <w:lang w:val="en-GB"/>
        </w:rPr>
        <w:t xml:space="preserve">presents the </w:t>
      </w:r>
      <w:r w:rsidR="003E3D7B">
        <w:t>centrality criteria for all structures as a function of their numbers of streams and unit</w:t>
      </w:r>
      <w:r w:rsidR="004F4950">
        <w:t>s</w:t>
      </w:r>
      <w:r w:rsidR="003E3D7B">
        <w:t>. Structures of interest possess maximal values of the criteria.</w:t>
      </w:r>
      <w:r w:rsidR="006E6DFC">
        <w:t xml:space="preserve"> All criteria exhibit similar trends, with a decrease as a function of the number of streams and units. Betweenness is the most discriminatory</w:t>
      </w:r>
      <w:r w:rsidR="004F4950">
        <w:t xml:space="preserve"> whereas </w:t>
      </w:r>
      <w:proofErr w:type="spellStart"/>
      <w:r w:rsidR="004F4950">
        <w:t>o</w:t>
      </w:r>
      <w:r w:rsidR="006E6DFC">
        <w:t>utcloseness</w:t>
      </w:r>
      <w:proofErr w:type="spellEnd"/>
      <w:r w:rsidR="006E6DFC">
        <w:t xml:space="preserve"> and </w:t>
      </w:r>
      <w:proofErr w:type="spellStart"/>
      <w:r w:rsidR="006E6DFC">
        <w:t>pagerank</w:t>
      </w:r>
      <w:proofErr w:type="spellEnd"/>
      <w:r w:rsidR="006E6DFC">
        <w:t xml:space="preserve"> have similar shapes</w:t>
      </w:r>
      <w:r w:rsidR="00CA617A">
        <w:t>. L</w:t>
      </w:r>
      <w:r w:rsidR="006E6DFC">
        <w:t>arge structures mainly exhibit low centrality but exceptions exist: some large process</w:t>
      </w:r>
      <w:r w:rsidR="00932AC6">
        <w:t>es</w:t>
      </w:r>
      <w:r w:rsidR="006E6DFC">
        <w:t xml:space="preserve"> with up to 48 units exhibit medium centrality. According to </w:t>
      </w:r>
      <w:proofErr w:type="spellStart"/>
      <w:r w:rsidR="006E6DFC">
        <w:t>outcloseness</w:t>
      </w:r>
      <w:proofErr w:type="spellEnd"/>
      <w:r w:rsidR="006E6DFC">
        <w:t xml:space="preserve"> and betweenness, </w:t>
      </w:r>
      <w:r w:rsidR="004F4950">
        <w:t>best</w:t>
      </w:r>
      <w:r w:rsidR="006E6DFC">
        <w:t xml:space="preserve"> structures are small including less than 5 streams/units</w:t>
      </w:r>
      <w:r w:rsidR="00932AC6">
        <w:t xml:space="preserve">, whereas </w:t>
      </w:r>
      <w:proofErr w:type="spellStart"/>
      <w:r w:rsidR="00932AC6">
        <w:t>pagerank</w:t>
      </w:r>
      <w:proofErr w:type="spellEnd"/>
      <w:r w:rsidR="00932AC6">
        <w:t xml:space="preserve"> favors structures with 6 to 10 streams/units, indicating that a compromise might be necessary to ensure </w:t>
      </w:r>
      <w:r w:rsidR="00CA617A">
        <w:t xml:space="preserve">relevance and </w:t>
      </w:r>
      <w:r w:rsidR="00932AC6">
        <w:t>diversity of the initialization.</w:t>
      </w:r>
      <w:bookmarkStart w:id="4" w:name="_Ref151816739"/>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66"/>
        <w:gridCol w:w="2370"/>
      </w:tblGrid>
      <w:tr w:rsidR="00BC2CF9" w14:paraId="19544426" w14:textId="77777777" w:rsidTr="00D81513">
        <w:trPr>
          <w:trHeight w:val="187"/>
        </w:trPr>
        <w:tc>
          <w:tcPr>
            <w:tcW w:w="2322" w:type="dxa"/>
          </w:tcPr>
          <w:p w14:paraId="4E6688C2" w14:textId="00E01D6D" w:rsidR="00054CD9" w:rsidRPr="00054CD9" w:rsidRDefault="00054CD9" w:rsidP="00054CD9">
            <w:pPr>
              <w:pStyle w:val="Els-body-text"/>
              <w:jc w:val="center"/>
              <w:rPr>
                <w:sz w:val="18"/>
                <w:lang w:val="en-GB"/>
              </w:rPr>
            </w:pPr>
            <w:proofErr w:type="spellStart"/>
            <w:r w:rsidRPr="00C94326">
              <w:rPr>
                <w:sz w:val="18"/>
                <w:lang w:val="en-GB"/>
              </w:rPr>
              <w:t>Outcloseness</w:t>
            </w:r>
            <w:proofErr w:type="spellEnd"/>
          </w:p>
        </w:tc>
        <w:tc>
          <w:tcPr>
            <w:tcW w:w="2338" w:type="dxa"/>
          </w:tcPr>
          <w:p w14:paraId="4E995956" w14:textId="556AE500" w:rsidR="00054CD9" w:rsidRPr="00054CD9" w:rsidRDefault="00054CD9" w:rsidP="00054CD9">
            <w:pPr>
              <w:pStyle w:val="Els-body-text"/>
              <w:jc w:val="center"/>
              <w:rPr>
                <w:sz w:val="18"/>
                <w:lang w:val="en-GB"/>
              </w:rPr>
            </w:pPr>
            <w:r w:rsidRPr="00C94326">
              <w:rPr>
                <w:sz w:val="18"/>
                <w:lang w:val="en-GB"/>
              </w:rPr>
              <w:t>Betweenness</w:t>
            </w:r>
          </w:p>
        </w:tc>
        <w:tc>
          <w:tcPr>
            <w:tcW w:w="2342" w:type="dxa"/>
          </w:tcPr>
          <w:p w14:paraId="6C05106E" w14:textId="18282797" w:rsidR="00054CD9" w:rsidRPr="00054CD9" w:rsidRDefault="00054CD9" w:rsidP="00054CD9">
            <w:pPr>
              <w:pStyle w:val="Els-body-text"/>
              <w:jc w:val="center"/>
              <w:rPr>
                <w:sz w:val="18"/>
                <w:lang w:val="en-GB"/>
              </w:rPr>
            </w:pPr>
            <w:proofErr w:type="spellStart"/>
            <w:r w:rsidRPr="00C94326">
              <w:rPr>
                <w:sz w:val="18"/>
                <w:lang w:val="en-GB"/>
              </w:rPr>
              <w:t>Pagerank</w:t>
            </w:r>
            <w:proofErr w:type="spellEnd"/>
          </w:p>
        </w:tc>
      </w:tr>
      <w:tr w:rsidR="00BC2CF9" w14:paraId="7DD15E81" w14:textId="77777777" w:rsidTr="00D81513">
        <w:trPr>
          <w:trHeight w:val="2383"/>
        </w:trPr>
        <w:tc>
          <w:tcPr>
            <w:tcW w:w="2322" w:type="dxa"/>
          </w:tcPr>
          <w:p w14:paraId="50C726C4" w14:textId="5F74A407" w:rsidR="00054CD9" w:rsidRDefault="00054CD9" w:rsidP="00D81513">
            <w:pPr>
              <w:pStyle w:val="Els-caption"/>
              <w:spacing w:before="0" w:after="0"/>
            </w:pPr>
            <w:r w:rsidRPr="00054CD9">
              <w:rPr>
                <w:noProof/>
              </w:rPr>
              <w:drawing>
                <wp:inline distT="0" distB="0" distL="0" distR="0" wp14:anchorId="369204A3" wp14:editId="35A1D56F">
                  <wp:extent cx="1361961" cy="1555062"/>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71022" cy="1565408"/>
                          </a:xfrm>
                          <a:prstGeom prst="rect">
                            <a:avLst/>
                          </a:prstGeom>
                          <a:noFill/>
                          <a:ln>
                            <a:noFill/>
                          </a:ln>
                        </pic:spPr>
                      </pic:pic>
                    </a:graphicData>
                  </a:graphic>
                </wp:inline>
              </w:drawing>
            </w:r>
          </w:p>
        </w:tc>
        <w:tc>
          <w:tcPr>
            <w:tcW w:w="2338" w:type="dxa"/>
          </w:tcPr>
          <w:p w14:paraId="0327198E" w14:textId="0B1F4AB6" w:rsidR="00054CD9" w:rsidRDefault="00054CD9" w:rsidP="00D81513">
            <w:pPr>
              <w:pStyle w:val="Els-caption"/>
              <w:spacing w:before="0" w:after="0"/>
            </w:pPr>
            <w:r w:rsidRPr="00054CD9">
              <w:rPr>
                <w:noProof/>
              </w:rPr>
              <w:drawing>
                <wp:inline distT="0" distB="0" distL="0" distR="0" wp14:anchorId="5C57B81C" wp14:editId="7E0BFD91">
                  <wp:extent cx="1372163" cy="1566711"/>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382207" cy="1578179"/>
                          </a:xfrm>
                          <a:prstGeom prst="rect">
                            <a:avLst/>
                          </a:prstGeom>
                          <a:noFill/>
                          <a:ln>
                            <a:noFill/>
                          </a:ln>
                        </pic:spPr>
                      </pic:pic>
                    </a:graphicData>
                  </a:graphic>
                </wp:inline>
              </w:drawing>
            </w:r>
          </w:p>
        </w:tc>
        <w:tc>
          <w:tcPr>
            <w:tcW w:w="2342" w:type="dxa"/>
          </w:tcPr>
          <w:p w14:paraId="0E0C02BA" w14:textId="0759D63F" w:rsidR="00054CD9" w:rsidRDefault="00BC2CF9" w:rsidP="00D81513">
            <w:pPr>
              <w:pStyle w:val="Els-caption"/>
              <w:spacing w:before="0" w:after="0"/>
            </w:pPr>
            <w:r w:rsidRPr="00BC2CF9">
              <w:rPr>
                <w:noProof/>
              </w:rPr>
              <w:drawing>
                <wp:inline distT="0" distB="0" distL="0" distR="0" wp14:anchorId="2AC5F274" wp14:editId="77257C4E">
                  <wp:extent cx="1374512" cy="1569392"/>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85430" cy="1581858"/>
                          </a:xfrm>
                          <a:prstGeom prst="rect">
                            <a:avLst/>
                          </a:prstGeom>
                          <a:noFill/>
                          <a:ln>
                            <a:noFill/>
                          </a:ln>
                        </pic:spPr>
                      </pic:pic>
                    </a:graphicData>
                  </a:graphic>
                </wp:inline>
              </w:drawing>
            </w:r>
          </w:p>
        </w:tc>
      </w:tr>
    </w:tbl>
    <w:p w14:paraId="1B1D8F1D" w14:textId="25A3E4D7" w:rsidR="00B43E34" w:rsidRDefault="003E3D7B" w:rsidP="001F4098">
      <w:pPr>
        <w:pStyle w:val="Didascalia"/>
        <w:jc w:val="center"/>
      </w:pPr>
      <w:bookmarkStart w:id="5" w:name="_Ref152259246"/>
      <w:r>
        <w:t xml:space="preserve">Figure </w:t>
      </w:r>
      <w:r>
        <w:fldChar w:fldCharType="begin"/>
      </w:r>
      <w:r>
        <w:instrText xml:space="preserve"> SEQ Figure \* ARABIC </w:instrText>
      </w:r>
      <w:r>
        <w:fldChar w:fldCharType="separate"/>
      </w:r>
      <w:r w:rsidR="00451594">
        <w:rPr>
          <w:noProof/>
        </w:rPr>
        <w:t>3</w:t>
      </w:r>
      <w:r>
        <w:fldChar w:fldCharType="end"/>
      </w:r>
      <w:bookmarkEnd w:id="4"/>
      <w:bookmarkEnd w:id="5"/>
      <w:r>
        <w:t>: Evolutions of the three centrality criteria for all structures in the database as a function of their numbers of streams and unit operations.</w:t>
      </w:r>
    </w:p>
    <w:p w14:paraId="6ECB8562" w14:textId="7AC36128" w:rsidR="00BC2CF9" w:rsidRDefault="00932AC6" w:rsidP="00EB4953">
      <w:pPr>
        <w:pStyle w:val="Els-caption"/>
        <w:jc w:val="both"/>
        <w:rPr>
          <w:sz w:val="20"/>
        </w:rPr>
      </w:pPr>
      <w:r w:rsidRPr="00110482">
        <w:rPr>
          <w:sz w:val="20"/>
        </w:rPr>
        <w:t xml:space="preserve">To </w:t>
      </w:r>
      <w:r w:rsidR="00FB5E06">
        <w:rPr>
          <w:sz w:val="20"/>
        </w:rPr>
        <w:t>consider</w:t>
      </w:r>
      <w:r w:rsidRPr="00110482">
        <w:rPr>
          <w:sz w:val="20"/>
        </w:rPr>
        <w:t xml:space="preserve"> all criteria, a multi-objective analysis is performed in the </w:t>
      </w:r>
      <w:r w:rsidR="00FB5E06">
        <w:rPr>
          <w:sz w:val="20"/>
        </w:rPr>
        <w:t>3D</w:t>
      </w:r>
      <w:r w:rsidRPr="00110482">
        <w:rPr>
          <w:sz w:val="20"/>
        </w:rPr>
        <w:t xml:space="preserve"> space composed by the criteria. Projections in </w:t>
      </w:r>
      <w:r w:rsidRPr="00110482">
        <w:rPr>
          <w:sz w:val="20"/>
        </w:rPr>
        <w:fldChar w:fldCharType="begin"/>
      </w:r>
      <w:r w:rsidRPr="00110482">
        <w:rPr>
          <w:sz w:val="20"/>
        </w:rPr>
        <w:instrText xml:space="preserve"> REF _Ref151817919 \h  \* MERGEFORMAT </w:instrText>
      </w:r>
      <w:r w:rsidRPr="00110482">
        <w:rPr>
          <w:sz w:val="20"/>
        </w:rPr>
      </w:r>
      <w:r w:rsidRPr="00110482">
        <w:rPr>
          <w:sz w:val="20"/>
        </w:rPr>
        <w:fldChar w:fldCharType="separate"/>
      </w:r>
      <w:r w:rsidR="00451594" w:rsidRPr="00451594">
        <w:rPr>
          <w:sz w:val="20"/>
        </w:rPr>
        <w:t xml:space="preserve">Figure </w:t>
      </w:r>
      <w:r w:rsidR="00451594" w:rsidRPr="00451594">
        <w:rPr>
          <w:noProof/>
          <w:sz w:val="20"/>
        </w:rPr>
        <w:t>4</w:t>
      </w:r>
      <w:r w:rsidRPr="00110482">
        <w:rPr>
          <w:sz w:val="20"/>
        </w:rPr>
        <w:fldChar w:fldCharType="end"/>
      </w:r>
      <w:r w:rsidRPr="00110482">
        <w:rPr>
          <w:sz w:val="20"/>
        </w:rPr>
        <w:t xml:space="preserve"> highlight with circles the 20 non-dominated structures according to the three criteria.</w:t>
      </w:r>
      <w:r w:rsidR="002A6D9A" w:rsidRPr="00110482">
        <w:rPr>
          <w:sz w:val="20"/>
        </w:rPr>
        <w:t xml:space="preserve"> The similar trends observed in </w:t>
      </w:r>
      <w:r w:rsidR="00EB4953" w:rsidRPr="0054058F">
        <w:rPr>
          <w:sz w:val="20"/>
        </w:rPr>
        <w:fldChar w:fldCharType="begin"/>
      </w:r>
      <w:r w:rsidR="00EB4953" w:rsidRPr="0054058F">
        <w:rPr>
          <w:sz w:val="20"/>
        </w:rPr>
        <w:instrText xml:space="preserve"> REF _Ref152259246 \h </w:instrText>
      </w:r>
      <w:r w:rsidR="0054058F">
        <w:rPr>
          <w:sz w:val="20"/>
        </w:rPr>
        <w:instrText xml:space="preserve"> \* MERGEFORMAT </w:instrText>
      </w:r>
      <w:r w:rsidR="00EB4953" w:rsidRPr="0054058F">
        <w:rPr>
          <w:sz w:val="20"/>
        </w:rPr>
      </w:r>
      <w:r w:rsidR="00EB4953" w:rsidRPr="0054058F">
        <w:rPr>
          <w:sz w:val="20"/>
        </w:rPr>
        <w:fldChar w:fldCharType="separate"/>
      </w:r>
      <w:r w:rsidR="00451594" w:rsidRPr="00451594">
        <w:rPr>
          <w:sz w:val="20"/>
        </w:rPr>
        <w:t xml:space="preserve">Figure </w:t>
      </w:r>
      <w:r w:rsidR="00451594" w:rsidRPr="00451594">
        <w:rPr>
          <w:noProof/>
          <w:sz w:val="20"/>
        </w:rPr>
        <w:t>3</w:t>
      </w:r>
      <w:r w:rsidR="00EB4953" w:rsidRPr="0054058F">
        <w:rPr>
          <w:sz w:val="20"/>
        </w:rPr>
        <w:fldChar w:fldCharType="end"/>
      </w:r>
      <w:r w:rsidR="00EB4953">
        <w:rPr>
          <w:sz w:val="20"/>
        </w:rPr>
        <w:t xml:space="preserve"> </w:t>
      </w:r>
      <w:r w:rsidR="002A6D9A" w:rsidRPr="00110482">
        <w:rPr>
          <w:sz w:val="20"/>
        </w:rPr>
        <w:t xml:space="preserve">reduce the number of Pareto structures while maintaining diversity of their central character. </w:t>
      </w:r>
      <w:r w:rsidR="00110482" w:rsidRPr="00110482">
        <w:rPr>
          <w:sz w:val="20"/>
        </w:rPr>
        <w:t xml:space="preserve">Only </w:t>
      </w:r>
      <w:r w:rsidR="005525E7">
        <w:rPr>
          <w:sz w:val="20"/>
        </w:rPr>
        <w:t>8</w:t>
      </w:r>
      <w:r w:rsidR="00110482" w:rsidRPr="00110482">
        <w:rPr>
          <w:sz w:val="20"/>
        </w:rPr>
        <w:t xml:space="preserve"> circles</w:t>
      </w:r>
      <w:r w:rsidR="00A36D51">
        <w:rPr>
          <w:sz w:val="20"/>
        </w:rPr>
        <w:t xml:space="preserve"> (with overlap)</w:t>
      </w:r>
      <w:r w:rsidR="00110482" w:rsidRPr="00110482">
        <w:rPr>
          <w:sz w:val="20"/>
        </w:rPr>
        <w:t xml:space="preserve"> are visible in </w:t>
      </w:r>
      <w:r w:rsidR="00110482" w:rsidRPr="00110482">
        <w:rPr>
          <w:sz w:val="20"/>
        </w:rPr>
        <w:fldChar w:fldCharType="begin"/>
      </w:r>
      <w:r w:rsidR="00110482" w:rsidRPr="00110482">
        <w:rPr>
          <w:sz w:val="20"/>
        </w:rPr>
        <w:instrText xml:space="preserve"> REF _Ref151817919 \h </w:instrText>
      </w:r>
      <w:r w:rsidR="00110482">
        <w:rPr>
          <w:sz w:val="20"/>
        </w:rPr>
        <w:instrText xml:space="preserve"> \* MERGEFORMAT </w:instrText>
      </w:r>
      <w:r w:rsidR="00110482" w:rsidRPr="00110482">
        <w:rPr>
          <w:sz w:val="20"/>
        </w:rPr>
      </w:r>
      <w:r w:rsidR="00110482" w:rsidRPr="00110482">
        <w:rPr>
          <w:sz w:val="20"/>
        </w:rPr>
        <w:fldChar w:fldCharType="separate"/>
      </w:r>
      <w:r w:rsidR="00451594" w:rsidRPr="00451594">
        <w:rPr>
          <w:sz w:val="20"/>
        </w:rPr>
        <w:t xml:space="preserve">Figure </w:t>
      </w:r>
      <w:r w:rsidR="00451594" w:rsidRPr="00451594">
        <w:rPr>
          <w:noProof/>
          <w:sz w:val="20"/>
        </w:rPr>
        <w:t>4</w:t>
      </w:r>
      <w:r w:rsidR="00110482" w:rsidRPr="00110482">
        <w:rPr>
          <w:sz w:val="20"/>
        </w:rPr>
        <w:fldChar w:fldCharType="end"/>
      </w:r>
      <w:r w:rsidR="00110482" w:rsidRPr="00110482">
        <w:rPr>
          <w:sz w:val="20"/>
        </w:rPr>
        <w:t xml:space="preserve"> confirming the presence of similar structures</w:t>
      </w:r>
      <w:r w:rsidR="000D417D">
        <w:rPr>
          <w:sz w:val="20"/>
        </w:rPr>
        <w:t xml:space="preserve"> (subject to stream permutations)</w:t>
      </w:r>
      <w:r w:rsidR="00110482" w:rsidRPr="00110482">
        <w:rPr>
          <w:sz w:val="20"/>
        </w:rPr>
        <w:t>.</w:t>
      </w:r>
      <w:r w:rsidR="00BC2CF9" w:rsidRPr="00BC2CF9">
        <w:rPr>
          <w:sz w:val="20"/>
        </w:rPr>
        <w:t xml:space="preserve"> </w:t>
      </w:r>
    </w:p>
    <w:p w14:paraId="49C34781" w14:textId="627604FA" w:rsidR="00BC2CF9" w:rsidRDefault="00BC2CF9" w:rsidP="001F4098">
      <w:pPr>
        <w:pStyle w:val="Els-caption"/>
        <w:jc w:val="both"/>
        <w:rPr>
          <w:sz w:val="20"/>
        </w:rPr>
      </w:pPr>
      <w:r w:rsidRPr="00CA617A">
        <w:rPr>
          <w:sz w:val="20"/>
        </w:rPr>
        <w:fldChar w:fldCharType="begin"/>
      </w:r>
      <w:r w:rsidRPr="00CA617A">
        <w:rPr>
          <w:sz w:val="20"/>
        </w:rPr>
        <w:instrText xml:space="preserve"> REF _Ref151975014 \h </w:instrText>
      </w:r>
      <w:r>
        <w:rPr>
          <w:sz w:val="20"/>
        </w:rPr>
        <w:instrText xml:space="preserve"> \* MERGEFORMAT </w:instrText>
      </w:r>
      <w:r w:rsidRPr="00CA617A">
        <w:rPr>
          <w:sz w:val="20"/>
        </w:rPr>
      </w:r>
      <w:r w:rsidRPr="00CA617A">
        <w:rPr>
          <w:sz w:val="20"/>
        </w:rPr>
        <w:fldChar w:fldCharType="separate"/>
      </w:r>
      <w:r w:rsidR="00451594" w:rsidRPr="00451594">
        <w:rPr>
          <w:sz w:val="20"/>
        </w:rPr>
        <w:t xml:space="preserve">Figure </w:t>
      </w:r>
      <w:r w:rsidR="00451594" w:rsidRPr="00451594">
        <w:rPr>
          <w:noProof/>
          <w:sz w:val="20"/>
        </w:rPr>
        <w:t>5</w:t>
      </w:r>
      <w:r w:rsidRPr="00CA617A">
        <w:rPr>
          <w:sz w:val="20"/>
        </w:rPr>
        <w:fldChar w:fldCharType="end"/>
      </w:r>
      <w:r w:rsidRPr="00CA617A">
        <w:rPr>
          <w:sz w:val="20"/>
        </w:rPr>
        <w:t xml:space="preserve"> presents the process flowsheets of the 8 different types observed along the Pareto front. Except inputs and outputs, they only contain distillation columns, mixers and splitters. The simplest one is the single stream (most central structure with respect to single-objective optimization of </w:t>
      </w:r>
      <w:proofErr w:type="spellStart"/>
      <w:r w:rsidRPr="00CA617A">
        <w:rPr>
          <w:sz w:val="20"/>
        </w:rPr>
        <w:t>outcloseness</w:t>
      </w:r>
      <w:proofErr w:type="spellEnd"/>
      <w:r w:rsidRPr="00CA617A">
        <w:rPr>
          <w:sz w:val="20"/>
        </w:rPr>
        <w:t xml:space="preserve">), and the most complex includes three columns with a recycle stream (most central structure with respect to single-objective optimization of </w:t>
      </w:r>
      <w:proofErr w:type="spellStart"/>
      <w:r w:rsidRPr="00CA617A">
        <w:rPr>
          <w:sz w:val="20"/>
        </w:rPr>
        <w:t>pagerank</w:t>
      </w:r>
      <w:proofErr w:type="spellEnd"/>
      <w:r w:rsidRPr="00CA617A">
        <w:rPr>
          <w:sz w:val="20"/>
        </w:rPr>
        <w:t>).</w:t>
      </w:r>
      <w:r>
        <w:rPr>
          <w:sz w:val="20"/>
        </w:rPr>
        <w:t xml:space="preserve"> </w:t>
      </w:r>
    </w:p>
    <w:p w14:paraId="73DD23DE" w14:textId="42CBF9C5" w:rsidR="00932AC6" w:rsidRPr="001F4098" w:rsidRDefault="00BC2CF9" w:rsidP="001F4098">
      <w:pPr>
        <w:pStyle w:val="Els-caption"/>
        <w:jc w:val="both"/>
        <w:rPr>
          <w:sz w:val="20"/>
        </w:rPr>
      </w:pPr>
      <w:r>
        <w:rPr>
          <w:sz w:val="20"/>
        </w:rPr>
        <w:t xml:space="preserve">Despite the </w:t>
      </w:r>
      <w:r w:rsidR="00D81513">
        <w:rPr>
          <w:sz w:val="20"/>
        </w:rPr>
        <w:t xml:space="preserve">surprising </w:t>
      </w:r>
      <w:r>
        <w:rPr>
          <w:sz w:val="20"/>
        </w:rPr>
        <w:t>absence of heat exchangers</w:t>
      </w:r>
      <w:r w:rsidRPr="00EE0666">
        <w:rPr>
          <w:sz w:val="20"/>
        </w:rPr>
        <w:t xml:space="preserve"> </w:t>
      </w:r>
      <w:r>
        <w:rPr>
          <w:sz w:val="20"/>
        </w:rPr>
        <w:t>in the optimal solutions</w:t>
      </w:r>
      <w:r w:rsidR="00D81513">
        <w:rPr>
          <w:sz w:val="20"/>
        </w:rPr>
        <w:t xml:space="preserve"> (most frequent unit type in the database)</w:t>
      </w:r>
      <w:r>
        <w:rPr>
          <w:sz w:val="20"/>
        </w:rPr>
        <w:t>, the dominating presence of distillation columns in the database might be a bias that favors this unit type: reduction of the database should be considered on a case by case basis to fit to case studies specifications.</w:t>
      </w:r>
    </w:p>
    <w:p w14:paraId="36D8FDF0" w14:textId="2B93E929" w:rsidR="007D3617" w:rsidRDefault="007D3617" w:rsidP="00932AC6">
      <w:pPr>
        <w:pStyle w:val="Els-body-text"/>
        <w:keepNext/>
        <w:spacing w:after="120"/>
        <w:jc w:val="center"/>
      </w:pPr>
      <w:r w:rsidRPr="007D3617">
        <w:rPr>
          <w:noProof/>
        </w:rPr>
        <w:lastRenderedPageBreak/>
        <w:drawing>
          <wp:inline distT="0" distB="0" distL="0" distR="0" wp14:anchorId="28D18C0B" wp14:editId="6A747C58">
            <wp:extent cx="4491500" cy="1460310"/>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l="7970" r="7172"/>
                    <a:stretch/>
                  </pic:blipFill>
                  <pic:spPr bwMode="auto">
                    <a:xfrm>
                      <a:off x="0" y="0"/>
                      <a:ext cx="4542825" cy="1476997"/>
                    </a:xfrm>
                    <a:prstGeom prst="rect">
                      <a:avLst/>
                    </a:prstGeom>
                    <a:noFill/>
                    <a:ln>
                      <a:noFill/>
                    </a:ln>
                    <a:extLst>
                      <a:ext uri="{53640926-AAD7-44D8-BBD7-CCE9431645EC}">
                        <a14:shadowObscured xmlns:a14="http://schemas.microsoft.com/office/drawing/2010/main"/>
                      </a:ext>
                    </a:extLst>
                  </pic:spPr>
                </pic:pic>
              </a:graphicData>
            </a:graphic>
          </wp:inline>
        </w:drawing>
      </w:r>
    </w:p>
    <w:p w14:paraId="44578B0D" w14:textId="065565D5" w:rsidR="00B43E34" w:rsidRPr="00152A15" w:rsidRDefault="00932AC6" w:rsidP="00932AC6">
      <w:pPr>
        <w:pStyle w:val="Didascalia"/>
        <w:jc w:val="center"/>
      </w:pPr>
      <w:bookmarkStart w:id="6" w:name="_Ref151817919"/>
      <w:r>
        <w:t xml:space="preserve">Figure </w:t>
      </w:r>
      <w:r>
        <w:fldChar w:fldCharType="begin"/>
      </w:r>
      <w:r>
        <w:instrText xml:space="preserve"> SEQ Figure \* ARABIC </w:instrText>
      </w:r>
      <w:r>
        <w:fldChar w:fldCharType="separate"/>
      </w:r>
      <w:r w:rsidR="00451594">
        <w:rPr>
          <w:noProof/>
        </w:rPr>
        <w:t>4</w:t>
      </w:r>
      <w:r>
        <w:fldChar w:fldCharType="end"/>
      </w:r>
      <w:bookmarkEnd w:id="6"/>
      <w:r>
        <w:t>: Projections of the database structures over the plane</w:t>
      </w:r>
      <w:r w:rsidR="00CA617A">
        <w:t>s</w:t>
      </w:r>
      <w:r>
        <w:t xml:space="preserve"> of the three-dimensional space of the three </w:t>
      </w:r>
      <w:r w:rsidRPr="00152A15">
        <w:t>criteria. Circles indicate the structures on the Pareto front.</w:t>
      </w:r>
    </w:p>
    <w:tbl>
      <w:tblPr>
        <w:tblStyle w:val="Grigliatabella"/>
        <w:tblW w:w="0" w:type="auto"/>
        <w:tblLook w:val="04A0" w:firstRow="1" w:lastRow="0" w:firstColumn="1" w:lastColumn="0" w:noHBand="0" w:noVBand="1"/>
      </w:tblPr>
      <w:tblGrid>
        <w:gridCol w:w="1717"/>
        <w:gridCol w:w="1716"/>
        <w:gridCol w:w="1853"/>
        <w:gridCol w:w="1776"/>
      </w:tblGrid>
      <w:tr w:rsidR="00395FE8" w:rsidRPr="00152A15" w14:paraId="714CC99D" w14:textId="77777777" w:rsidTr="00152A15">
        <w:trPr>
          <w:trHeight w:val="1137"/>
        </w:trPr>
        <w:tc>
          <w:tcPr>
            <w:tcW w:w="1712" w:type="dxa"/>
            <w:vAlign w:val="center"/>
          </w:tcPr>
          <w:p w14:paraId="29E31F6C" w14:textId="0817ED68" w:rsidR="00395FE8" w:rsidRPr="00152A15" w:rsidRDefault="00395FE8" w:rsidP="00A442CA">
            <w:pPr>
              <w:pStyle w:val="Els-caption"/>
              <w:spacing w:before="0" w:after="0"/>
              <w:jc w:val="center"/>
            </w:pPr>
            <w:r w:rsidRPr="00152A15">
              <w:rPr>
                <w:noProof/>
              </w:rPr>
              <w:drawing>
                <wp:inline distT="0" distB="0" distL="0" distR="0" wp14:anchorId="18FB549F" wp14:editId="0F1687AD">
                  <wp:extent cx="759619" cy="178734"/>
                  <wp:effectExtent l="0" t="0" r="2540" b="0"/>
                  <wp:docPr id="60" name="Graphiqu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tream.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821952" cy="193401"/>
                          </a:xfrm>
                          <a:prstGeom prst="rect">
                            <a:avLst/>
                          </a:prstGeom>
                        </pic:spPr>
                      </pic:pic>
                    </a:graphicData>
                  </a:graphic>
                </wp:inline>
              </w:drawing>
            </w:r>
          </w:p>
        </w:tc>
        <w:tc>
          <w:tcPr>
            <w:tcW w:w="1706" w:type="dxa"/>
            <w:vAlign w:val="center"/>
          </w:tcPr>
          <w:p w14:paraId="093943C3" w14:textId="4050E97B" w:rsidR="00395FE8" w:rsidRPr="00152A15" w:rsidRDefault="00395FE8" w:rsidP="00784565">
            <w:pPr>
              <w:pStyle w:val="Els-caption"/>
              <w:spacing w:before="0" w:after="0"/>
              <w:jc w:val="center"/>
            </w:pPr>
            <w:r w:rsidRPr="00152A15">
              <w:rPr>
                <w:noProof/>
              </w:rPr>
              <w:drawing>
                <wp:inline distT="0" distB="0" distL="0" distR="0" wp14:anchorId="7B19E4E7" wp14:editId="1745D96E">
                  <wp:extent cx="800100" cy="388049"/>
                  <wp:effectExtent l="0" t="0" r="0" b="0"/>
                  <wp:docPr id="59" name="Graphiqu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Mix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27973" cy="401567"/>
                          </a:xfrm>
                          <a:prstGeom prst="rect">
                            <a:avLst/>
                          </a:prstGeom>
                        </pic:spPr>
                      </pic:pic>
                    </a:graphicData>
                  </a:graphic>
                </wp:inline>
              </w:drawing>
            </w:r>
          </w:p>
        </w:tc>
        <w:tc>
          <w:tcPr>
            <w:tcW w:w="1853" w:type="dxa"/>
            <w:vAlign w:val="center"/>
          </w:tcPr>
          <w:p w14:paraId="74E934ED" w14:textId="3B63380E" w:rsidR="00395FE8" w:rsidRPr="00152A15" w:rsidRDefault="00395FE8" w:rsidP="00784565">
            <w:pPr>
              <w:pStyle w:val="Els-caption"/>
              <w:spacing w:before="0" w:after="0"/>
              <w:jc w:val="center"/>
            </w:pPr>
            <w:r w:rsidRPr="00152A15">
              <w:rPr>
                <w:noProof/>
              </w:rPr>
              <w:drawing>
                <wp:inline distT="0" distB="0" distL="0" distR="0" wp14:anchorId="686A32A5" wp14:editId="4FCE5C61">
                  <wp:extent cx="728663" cy="621398"/>
                  <wp:effectExtent l="0" t="0" r="0" b="7620"/>
                  <wp:docPr id="58" name="Graphiqu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_colonn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51064" cy="640501"/>
                          </a:xfrm>
                          <a:prstGeom prst="rect">
                            <a:avLst/>
                          </a:prstGeom>
                        </pic:spPr>
                      </pic:pic>
                    </a:graphicData>
                  </a:graphic>
                </wp:inline>
              </w:drawing>
            </w:r>
          </w:p>
        </w:tc>
        <w:tc>
          <w:tcPr>
            <w:tcW w:w="1754" w:type="dxa"/>
            <w:vAlign w:val="center"/>
          </w:tcPr>
          <w:p w14:paraId="31A064EE" w14:textId="7E8304E6" w:rsidR="004A61E7" w:rsidRPr="00152A15" w:rsidRDefault="004A61E7" w:rsidP="00784565">
            <w:pPr>
              <w:pStyle w:val="Els-caption"/>
              <w:spacing w:before="0" w:after="0"/>
              <w:jc w:val="center"/>
            </w:pPr>
            <w:r w:rsidRPr="00152A15">
              <w:rPr>
                <w:noProof/>
              </w:rPr>
              <w:drawing>
                <wp:inline distT="0" distB="0" distL="0" distR="0" wp14:anchorId="035FD85B" wp14:editId="670F1078">
                  <wp:extent cx="987553" cy="548640"/>
                  <wp:effectExtent l="0" t="0" r="3175" b="3810"/>
                  <wp:docPr id="54" name="Graphiqu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3_colonne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029689" cy="572049"/>
                          </a:xfrm>
                          <a:prstGeom prst="rect">
                            <a:avLst/>
                          </a:prstGeom>
                        </pic:spPr>
                      </pic:pic>
                    </a:graphicData>
                  </a:graphic>
                </wp:inline>
              </w:drawing>
            </w:r>
          </w:p>
        </w:tc>
      </w:tr>
      <w:tr w:rsidR="00395FE8" w:rsidRPr="00152A15" w14:paraId="0464D420" w14:textId="77777777" w:rsidTr="00152A15">
        <w:trPr>
          <w:trHeight w:val="1409"/>
        </w:trPr>
        <w:tc>
          <w:tcPr>
            <w:tcW w:w="1712" w:type="dxa"/>
            <w:vAlign w:val="center"/>
          </w:tcPr>
          <w:p w14:paraId="29DF6CFE" w14:textId="37DA873F" w:rsidR="00A442CA" w:rsidRPr="00152A15" w:rsidRDefault="00A442CA" w:rsidP="00784565">
            <w:pPr>
              <w:pStyle w:val="Els-caption"/>
              <w:spacing w:before="0" w:after="0"/>
              <w:jc w:val="center"/>
            </w:pPr>
          </w:p>
          <w:p w14:paraId="5BFAE5EE" w14:textId="7DBB1881" w:rsidR="00395FE8" w:rsidRPr="00152A15" w:rsidRDefault="00395FE8" w:rsidP="00784565">
            <w:pPr>
              <w:pStyle w:val="Els-caption"/>
              <w:spacing w:before="0" w:after="0"/>
              <w:jc w:val="center"/>
            </w:pPr>
            <w:r w:rsidRPr="00152A15">
              <w:rPr>
                <w:noProof/>
              </w:rPr>
              <w:drawing>
                <wp:inline distT="0" distB="0" distL="0" distR="0" wp14:anchorId="0DA7FBD6" wp14:editId="222BCE0B">
                  <wp:extent cx="953225" cy="548640"/>
                  <wp:effectExtent l="0" t="0" r="0" b="3810"/>
                  <wp:docPr id="57" name="Graphiqu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2_colonnes_avec_recycl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003667" cy="577672"/>
                          </a:xfrm>
                          <a:prstGeom prst="rect">
                            <a:avLst/>
                          </a:prstGeom>
                        </pic:spPr>
                      </pic:pic>
                    </a:graphicData>
                  </a:graphic>
                </wp:inline>
              </w:drawing>
            </w:r>
          </w:p>
          <w:p w14:paraId="7B6527E8" w14:textId="77777777" w:rsidR="00A442CA" w:rsidRPr="00152A15" w:rsidRDefault="00A442CA" w:rsidP="00784565">
            <w:pPr>
              <w:pStyle w:val="Els-caption"/>
              <w:spacing w:before="0" w:after="0"/>
              <w:jc w:val="center"/>
            </w:pPr>
            <w:r w:rsidRPr="00152A15">
              <w:t>2 variants</w:t>
            </w:r>
          </w:p>
        </w:tc>
        <w:tc>
          <w:tcPr>
            <w:tcW w:w="1706" w:type="dxa"/>
            <w:vAlign w:val="center"/>
          </w:tcPr>
          <w:p w14:paraId="2BB6490D" w14:textId="7CE34918" w:rsidR="00395FE8" w:rsidRPr="00152A15" w:rsidRDefault="00395FE8" w:rsidP="00784565">
            <w:pPr>
              <w:pStyle w:val="Els-caption"/>
              <w:spacing w:before="0" w:after="0"/>
              <w:jc w:val="center"/>
            </w:pPr>
            <w:r w:rsidRPr="00152A15">
              <w:rPr>
                <w:noProof/>
              </w:rPr>
              <w:drawing>
                <wp:inline distT="0" distB="0" distL="0" distR="0" wp14:anchorId="36782BA2" wp14:editId="25BE7711">
                  <wp:extent cx="947494" cy="497434"/>
                  <wp:effectExtent l="0" t="0" r="5080" b="0"/>
                  <wp:docPr id="55" name="Graphiqu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2_colonnes_en_serie.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82268" cy="515690"/>
                          </a:xfrm>
                          <a:prstGeom prst="rect">
                            <a:avLst/>
                          </a:prstGeom>
                        </pic:spPr>
                      </pic:pic>
                    </a:graphicData>
                  </a:graphic>
                </wp:inline>
              </w:drawing>
            </w:r>
          </w:p>
          <w:p w14:paraId="3C9FD02B" w14:textId="77777777" w:rsidR="00A442CA" w:rsidRPr="00152A15" w:rsidRDefault="00A442CA" w:rsidP="00784565">
            <w:pPr>
              <w:pStyle w:val="Els-caption"/>
              <w:spacing w:before="0" w:after="0"/>
              <w:jc w:val="center"/>
            </w:pPr>
            <w:r w:rsidRPr="00152A15">
              <w:t>8 variants</w:t>
            </w:r>
          </w:p>
        </w:tc>
        <w:tc>
          <w:tcPr>
            <w:tcW w:w="1853" w:type="dxa"/>
            <w:vAlign w:val="center"/>
          </w:tcPr>
          <w:p w14:paraId="18B2194C" w14:textId="0FE0BE82" w:rsidR="00395FE8" w:rsidRPr="00152A15" w:rsidRDefault="00395FE8" w:rsidP="00784565">
            <w:pPr>
              <w:pStyle w:val="Els-caption"/>
              <w:spacing w:before="0" w:after="0"/>
              <w:jc w:val="center"/>
            </w:pPr>
            <w:r w:rsidRPr="00152A15">
              <w:rPr>
                <w:noProof/>
              </w:rPr>
              <w:drawing>
                <wp:inline distT="0" distB="0" distL="0" distR="0" wp14:anchorId="3BF94530" wp14:editId="63F5A4D7">
                  <wp:extent cx="996918" cy="672998"/>
                  <wp:effectExtent l="0" t="0" r="0" b="0"/>
                  <wp:docPr id="56" name="Graphiqu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2_colonnes_1_mixe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1059064" cy="714951"/>
                          </a:xfrm>
                          <a:prstGeom prst="rect">
                            <a:avLst/>
                          </a:prstGeom>
                        </pic:spPr>
                      </pic:pic>
                    </a:graphicData>
                  </a:graphic>
                </wp:inline>
              </w:drawing>
            </w:r>
          </w:p>
          <w:p w14:paraId="1601FBE2" w14:textId="77777777" w:rsidR="00A442CA" w:rsidRPr="00152A15" w:rsidRDefault="00A442CA" w:rsidP="00784565">
            <w:pPr>
              <w:pStyle w:val="Els-caption"/>
              <w:spacing w:before="0" w:after="0"/>
              <w:jc w:val="center"/>
            </w:pPr>
            <w:r w:rsidRPr="00152A15">
              <w:t>4 variants</w:t>
            </w:r>
          </w:p>
        </w:tc>
        <w:tc>
          <w:tcPr>
            <w:tcW w:w="1754" w:type="dxa"/>
            <w:vAlign w:val="center"/>
          </w:tcPr>
          <w:p w14:paraId="1224E181" w14:textId="67ACF201" w:rsidR="004A61E7" w:rsidRPr="00152A15" w:rsidRDefault="004A61E7" w:rsidP="00784565">
            <w:pPr>
              <w:pStyle w:val="Els-caption"/>
              <w:spacing w:before="0" w:after="0"/>
              <w:jc w:val="center"/>
            </w:pPr>
            <w:r w:rsidRPr="00152A15">
              <w:rPr>
                <w:noProof/>
              </w:rPr>
              <w:drawing>
                <wp:inline distT="0" distB="0" distL="0" distR="0" wp14:anchorId="70CCF2D1" wp14:editId="234C1242">
                  <wp:extent cx="969746" cy="566928"/>
                  <wp:effectExtent l="0" t="0" r="1905" b="5080"/>
                  <wp:docPr id="53" name="Graphiqu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3_colonnes_1_splitter_2.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029055" cy="601601"/>
                          </a:xfrm>
                          <a:prstGeom prst="rect">
                            <a:avLst/>
                          </a:prstGeom>
                        </pic:spPr>
                      </pic:pic>
                    </a:graphicData>
                  </a:graphic>
                </wp:inline>
              </w:drawing>
            </w:r>
          </w:p>
          <w:p w14:paraId="6B3C53B9" w14:textId="77777777" w:rsidR="00A442CA" w:rsidRPr="00152A15" w:rsidRDefault="00A442CA" w:rsidP="00784565">
            <w:pPr>
              <w:pStyle w:val="Els-caption"/>
              <w:keepNext/>
              <w:spacing w:before="0" w:after="0"/>
              <w:jc w:val="center"/>
            </w:pPr>
            <w:r w:rsidRPr="00152A15">
              <w:t>2 variants</w:t>
            </w:r>
          </w:p>
        </w:tc>
      </w:tr>
    </w:tbl>
    <w:p w14:paraId="2B6D8326" w14:textId="66283FCB" w:rsidR="00110482" w:rsidRPr="00110482" w:rsidRDefault="005525E7" w:rsidP="005525E7">
      <w:pPr>
        <w:pStyle w:val="Didascalia"/>
        <w:jc w:val="center"/>
      </w:pPr>
      <w:bookmarkStart w:id="7" w:name="_Ref151975014"/>
      <w:r w:rsidRPr="00152A15">
        <w:t xml:space="preserve">Figure </w:t>
      </w:r>
      <w:r w:rsidRPr="00152A15">
        <w:fldChar w:fldCharType="begin"/>
      </w:r>
      <w:r w:rsidRPr="00152A15">
        <w:instrText xml:space="preserve"> SEQ Figure \* ARABIC </w:instrText>
      </w:r>
      <w:r w:rsidRPr="00152A15">
        <w:fldChar w:fldCharType="separate"/>
      </w:r>
      <w:r w:rsidR="00451594">
        <w:rPr>
          <w:noProof/>
        </w:rPr>
        <w:t>5</w:t>
      </w:r>
      <w:r w:rsidRPr="00152A15">
        <w:fldChar w:fldCharType="end"/>
      </w:r>
      <w:bookmarkEnd w:id="7"/>
      <w:r w:rsidRPr="00152A15">
        <w:t>: Visualization of the 8 different types of process structures on the Pareto front.</w:t>
      </w:r>
    </w:p>
    <w:p w14:paraId="2BF01397" w14:textId="02A69FB9" w:rsidR="003F5E9F" w:rsidRPr="003F5E9F" w:rsidRDefault="003F5E9F" w:rsidP="008D2649">
      <w:pPr>
        <w:pStyle w:val="Els-body-text"/>
        <w:spacing w:after="120"/>
        <w:rPr>
          <w:b/>
          <w:sz w:val="22"/>
          <w:lang w:val="en-GB"/>
        </w:rPr>
      </w:pPr>
      <w:r w:rsidRPr="003F5E9F">
        <w:rPr>
          <w:b/>
          <w:sz w:val="22"/>
          <w:lang w:val="en-GB"/>
        </w:rPr>
        <w:t>5. Conclusions</w:t>
      </w:r>
    </w:p>
    <w:p w14:paraId="4D4A1E99" w14:textId="7D543D01" w:rsidR="003F5E9F" w:rsidRDefault="007270E0" w:rsidP="008D2649">
      <w:pPr>
        <w:pStyle w:val="Els-body-text"/>
        <w:spacing w:after="120"/>
        <w:rPr>
          <w:lang w:val="en-GB"/>
        </w:rPr>
      </w:pPr>
      <w:r w:rsidRPr="007270E0">
        <w:rPr>
          <w:lang w:val="en-GB"/>
        </w:rPr>
        <w:t>A</w:t>
      </w:r>
      <w:r w:rsidR="00470531" w:rsidRPr="007270E0">
        <w:rPr>
          <w:lang w:val="en-GB"/>
        </w:rPr>
        <w:t xml:space="preserve">nalysis of a </w:t>
      </w:r>
      <w:r w:rsidR="00D3562F" w:rsidRPr="007270E0">
        <w:rPr>
          <w:lang w:val="en-GB"/>
        </w:rPr>
        <w:t xml:space="preserve">flowsheets </w:t>
      </w:r>
      <w:r w:rsidR="00470531" w:rsidRPr="007270E0">
        <w:rPr>
          <w:lang w:val="en-GB"/>
        </w:rPr>
        <w:t xml:space="preserve">database enabled to identity 8 types of process structures (and </w:t>
      </w:r>
      <w:r w:rsidRPr="007270E0">
        <w:rPr>
          <w:lang w:val="en-GB"/>
        </w:rPr>
        <w:t>their variants by stream permutation) that are the most central with respect to three centrality criteria (</w:t>
      </w:r>
      <w:proofErr w:type="spellStart"/>
      <w:r w:rsidRPr="007270E0">
        <w:rPr>
          <w:lang w:val="en-GB"/>
        </w:rPr>
        <w:t>outcloseness</w:t>
      </w:r>
      <w:proofErr w:type="spellEnd"/>
      <w:r w:rsidRPr="007270E0">
        <w:rPr>
          <w:lang w:val="en-GB"/>
        </w:rPr>
        <w:t xml:space="preserve">, betweenness and </w:t>
      </w:r>
      <w:proofErr w:type="spellStart"/>
      <w:r w:rsidRPr="007270E0">
        <w:rPr>
          <w:lang w:val="en-GB"/>
        </w:rPr>
        <w:t>pagerank</w:t>
      </w:r>
      <w:proofErr w:type="spellEnd"/>
      <w:r w:rsidRPr="007270E0">
        <w:rPr>
          <w:lang w:val="en-GB"/>
        </w:rPr>
        <w:t>). This pivotal position among the population of flowsheets makes them relevant for initialization of evolutionary approaches for process synthesis, while ensuring some diversity of the initialization.</w:t>
      </w:r>
      <w:r w:rsidR="00D3562F">
        <w:rPr>
          <w:lang w:val="en-GB"/>
        </w:rPr>
        <w:t xml:space="preserve"> Effective impact of this initialization on the complete process synthesis computation still needs to be quantified as well as</w:t>
      </w:r>
      <w:r w:rsidR="00975DF6">
        <w:rPr>
          <w:lang w:val="en-GB"/>
        </w:rPr>
        <w:t xml:space="preserve"> the possible introduction of biases.</w:t>
      </w:r>
    </w:p>
    <w:p w14:paraId="1222F836" w14:textId="1154124D" w:rsidR="003F5E9F" w:rsidRPr="003F5E9F" w:rsidRDefault="003F5E9F" w:rsidP="008D2649">
      <w:pPr>
        <w:pStyle w:val="Els-body-text"/>
        <w:spacing w:after="120"/>
        <w:rPr>
          <w:b/>
          <w:sz w:val="22"/>
          <w:lang w:val="en-GB"/>
        </w:rPr>
      </w:pPr>
      <w:r w:rsidRPr="003F5E9F">
        <w:rPr>
          <w:b/>
          <w:sz w:val="22"/>
          <w:lang w:val="en-GB"/>
        </w:rPr>
        <w:t>References</w:t>
      </w:r>
    </w:p>
    <w:p w14:paraId="31CBF116" w14:textId="4393BE14" w:rsidR="00E0460E" w:rsidRPr="00E0460E" w:rsidRDefault="00E0460E" w:rsidP="00117FBD">
      <w:pPr>
        <w:pStyle w:val="Els-referenceno-number"/>
        <w:jc w:val="both"/>
        <w:rPr>
          <w:lang w:val="en-US"/>
        </w:rPr>
      </w:pPr>
      <w:r w:rsidRPr="00E0460E">
        <w:rPr>
          <w:lang w:val="en-US"/>
        </w:rPr>
        <w:t>C. Aggarwal, 2015, Data Mining – the textbook, Springer.</w:t>
      </w:r>
    </w:p>
    <w:p w14:paraId="064BA2C0" w14:textId="30E61A1F" w:rsidR="0046758F" w:rsidRDefault="0046758F" w:rsidP="00117FBD">
      <w:pPr>
        <w:pStyle w:val="Els-referenceno-number"/>
        <w:jc w:val="both"/>
        <w:rPr>
          <w:lang w:val="en-US"/>
        </w:rPr>
      </w:pPr>
      <w:r w:rsidRPr="00110482">
        <w:rPr>
          <w:lang w:val="en-US"/>
        </w:rPr>
        <w:t>R</w:t>
      </w:r>
      <w:r w:rsidR="00110482" w:rsidRPr="00110482">
        <w:rPr>
          <w:lang w:val="en-US"/>
        </w:rPr>
        <w:t>.</w:t>
      </w:r>
      <w:r w:rsidRPr="00110482">
        <w:rPr>
          <w:lang w:val="en-US"/>
        </w:rPr>
        <w:t xml:space="preserve"> Gao, L</w:t>
      </w:r>
      <w:r w:rsidR="00110482" w:rsidRPr="00110482">
        <w:rPr>
          <w:lang w:val="en-US"/>
        </w:rPr>
        <w:t>.</w:t>
      </w:r>
      <w:r w:rsidRPr="00110482">
        <w:rPr>
          <w:lang w:val="en-US"/>
        </w:rPr>
        <w:t xml:space="preserve"> Zhang, L</w:t>
      </w:r>
      <w:r w:rsidR="00110482" w:rsidRPr="00110482">
        <w:rPr>
          <w:lang w:val="en-US"/>
        </w:rPr>
        <w:t>.</w:t>
      </w:r>
      <w:r w:rsidRPr="00110482">
        <w:rPr>
          <w:lang w:val="en-US"/>
        </w:rPr>
        <w:t xml:space="preserve"> Wang, X</w:t>
      </w:r>
      <w:r w:rsidR="00110482" w:rsidRPr="00110482">
        <w:rPr>
          <w:lang w:val="en-US"/>
        </w:rPr>
        <w:t>.</w:t>
      </w:r>
      <w:r w:rsidRPr="00110482">
        <w:rPr>
          <w:lang w:val="en-US"/>
        </w:rPr>
        <w:t xml:space="preserve"> Zhang, C</w:t>
      </w:r>
      <w:r w:rsidR="00110482" w:rsidRPr="00110482">
        <w:rPr>
          <w:lang w:val="en-US"/>
        </w:rPr>
        <w:t>.</w:t>
      </w:r>
      <w:r w:rsidRPr="00110482">
        <w:rPr>
          <w:lang w:val="en-US"/>
        </w:rPr>
        <w:t xml:space="preserve"> Zhang, K</w:t>
      </w:r>
      <w:r w:rsidR="00110482" w:rsidRPr="00110482">
        <w:rPr>
          <w:lang w:val="en-US"/>
        </w:rPr>
        <w:t>.</w:t>
      </w:r>
      <w:r w:rsidRPr="00110482">
        <w:rPr>
          <w:lang w:val="en-US"/>
        </w:rPr>
        <w:t>-W</w:t>
      </w:r>
      <w:r w:rsidR="00110482" w:rsidRPr="00110482">
        <w:rPr>
          <w:lang w:val="en-US"/>
        </w:rPr>
        <w:t>.</w:t>
      </w:r>
      <w:r w:rsidRPr="00110482">
        <w:rPr>
          <w:lang w:val="en-US"/>
        </w:rPr>
        <w:t xml:space="preserve"> Jun, S</w:t>
      </w:r>
      <w:r w:rsidR="00110482" w:rsidRPr="00110482">
        <w:rPr>
          <w:lang w:val="en-US"/>
        </w:rPr>
        <w:t>.</w:t>
      </w:r>
      <w:r w:rsidRPr="00110482">
        <w:rPr>
          <w:lang w:val="en-US"/>
        </w:rPr>
        <w:t xml:space="preserve"> K</w:t>
      </w:r>
      <w:r w:rsidR="00110482" w:rsidRPr="00110482">
        <w:rPr>
          <w:lang w:val="en-US"/>
        </w:rPr>
        <w:t>.</w:t>
      </w:r>
      <w:r w:rsidRPr="00110482">
        <w:rPr>
          <w:lang w:val="en-US"/>
        </w:rPr>
        <w:t xml:space="preserve"> Kim, H</w:t>
      </w:r>
      <w:r w:rsidR="00110482" w:rsidRPr="00110482">
        <w:rPr>
          <w:lang w:val="en-US"/>
        </w:rPr>
        <w:t>.</w:t>
      </w:r>
      <w:r w:rsidRPr="00110482">
        <w:rPr>
          <w:lang w:val="en-US"/>
        </w:rPr>
        <w:t>-G</w:t>
      </w:r>
      <w:r w:rsidR="00110482" w:rsidRPr="00110482">
        <w:rPr>
          <w:lang w:val="en-US"/>
        </w:rPr>
        <w:t>.</w:t>
      </w:r>
      <w:r w:rsidRPr="00110482">
        <w:rPr>
          <w:lang w:val="en-US"/>
        </w:rPr>
        <w:t xml:space="preserve"> Park, Y</w:t>
      </w:r>
      <w:r w:rsidR="00110482" w:rsidRPr="00110482">
        <w:rPr>
          <w:lang w:val="en-US"/>
        </w:rPr>
        <w:t>.</w:t>
      </w:r>
      <w:r w:rsidRPr="00110482">
        <w:rPr>
          <w:lang w:val="en-US"/>
        </w:rPr>
        <w:t xml:space="preserve"> Gao, Y</w:t>
      </w:r>
      <w:r w:rsidR="00110482" w:rsidRPr="00110482">
        <w:rPr>
          <w:lang w:val="en-US"/>
        </w:rPr>
        <w:t>.</w:t>
      </w:r>
      <w:r w:rsidRPr="00110482">
        <w:rPr>
          <w:lang w:val="en-US"/>
        </w:rPr>
        <w:t xml:space="preserve"> Zhu, T</w:t>
      </w:r>
      <w:r w:rsidR="00110482" w:rsidRPr="00110482">
        <w:rPr>
          <w:lang w:val="en-US"/>
        </w:rPr>
        <w:t>.</w:t>
      </w:r>
      <w:r w:rsidRPr="00110482">
        <w:rPr>
          <w:lang w:val="en-US"/>
        </w:rPr>
        <w:t xml:space="preserve"> Zhao, H</w:t>
      </w:r>
      <w:r w:rsidR="00110482" w:rsidRPr="00110482">
        <w:rPr>
          <w:lang w:val="en-US"/>
        </w:rPr>
        <w:t>.</w:t>
      </w:r>
      <w:r w:rsidRPr="00110482">
        <w:rPr>
          <w:lang w:val="en-US"/>
        </w:rPr>
        <w:t xml:space="preserve"> Wan, G</w:t>
      </w:r>
      <w:r w:rsidR="00110482" w:rsidRPr="00110482">
        <w:rPr>
          <w:lang w:val="en-US"/>
        </w:rPr>
        <w:t>.</w:t>
      </w:r>
      <w:r w:rsidRPr="00110482">
        <w:rPr>
          <w:lang w:val="en-US"/>
        </w:rPr>
        <w:t xml:space="preserve"> Guan,</w:t>
      </w:r>
      <w:r w:rsidR="00110482" w:rsidRPr="00110482">
        <w:rPr>
          <w:lang w:val="en-US"/>
        </w:rPr>
        <w:t xml:space="preserve"> 2022,</w:t>
      </w:r>
      <w:r w:rsidRPr="00110482">
        <w:rPr>
          <w:lang w:val="en-US"/>
        </w:rPr>
        <w:t xml:space="preserve"> A comparative study on hybrid power-to-liquids/power-to-gas processes coupled with different water electrolysis technologies, Energy Conversion and Management, 263, 115671.</w:t>
      </w:r>
    </w:p>
    <w:p w14:paraId="6FE18719" w14:textId="5E2A3E01" w:rsidR="00117FBD" w:rsidRDefault="00117FBD" w:rsidP="00117FBD">
      <w:pPr>
        <w:pStyle w:val="Els-referenceno-number"/>
        <w:jc w:val="both"/>
        <w:rPr>
          <w:lang w:val="en-US"/>
        </w:rPr>
      </w:pPr>
      <w:r>
        <w:rPr>
          <w:lang w:val="en-US"/>
        </w:rPr>
        <w:t>C. Koch, F. Cziesla, G. Tsatsatonis, 2007, Optimization of combined cycle power plants using evolutionary algorithms, Chemical Engineering and Processing, 46, 1151-1159.</w:t>
      </w:r>
    </w:p>
    <w:p w14:paraId="02F3FD21" w14:textId="1599944B" w:rsidR="0046758F" w:rsidRDefault="0046758F" w:rsidP="00117FBD">
      <w:pPr>
        <w:pStyle w:val="Els-referenceno-number"/>
        <w:jc w:val="both"/>
        <w:rPr>
          <w:lang w:val="en-US"/>
        </w:rPr>
      </w:pPr>
      <w:r w:rsidRPr="00A45C79">
        <w:rPr>
          <w:lang w:val="en-US"/>
        </w:rPr>
        <w:t>T</w:t>
      </w:r>
      <w:r w:rsidR="00A45C79" w:rsidRPr="00A45C79">
        <w:rPr>
          <w:lang w:val="en-US"/>
        </w:rPr>
        <w:t>.</w:t>
      </w:r>
      <w:r w:rsidRPr="00A45C79">
        <w:rPr>
          <w:lang w:val="en-US"/>
        </w:rPr>
        <w:t xml:space="preserve"> Neveux, </w:t>
      </w:r>
      <w:r w:rsidR="00A45C79" w:rsidRPr="00A45C79">
        <w:rPr>
          <w:lang w:val="en-US"/>
        </w:rPr>
        <w:t xml:space="preserve">2018, </w:t>
      </w:r>
      <w:r w:rsidRPr="00A45C79">
        <w:rPr>
          <w:lang w:val="en-US"/>
        </w:rPr>
        <w:t>Ab-initio process synthesis using evolutionary programming, Chemical Engineering Science, 185, 209-221</w:t>
      </w:r>
      <w:r w:rsidR="00A45C79" w:rsidRPr="00A45C79">
        <w:rPr>
          <w:lang w:val="en-US"/>
        </w:rPr>
        <w:t>.</w:t>
      </w:r>
    </w:p>
    <w:p w14:paraId="3FDAB240" w14:textId="339DE401" w:rsidR="00117FBD" w:rsidRPr="00A45C79" w:rsidRDefault="00117FBD" w:rsidP="00117FBD">
      <w:pPr>
        <w:pStyle w:val="Els-referenceno-number"/>
        <w:jc w:val="both"/>
        <w:rPr>
          <w:lang w:val="en-US"/>
        </w:rPr>
      </w:pPr>
      <w:r>
        <w:rPr>
          <w:lang w:val="en-US"/>
        </w:rPr>
        <w:t>M. Skiborowski, M. Rautenberg, W. Marquardt, 2015, A hybrid evolutionary-deterministic optimization approach for conceptual design, Ind. Eng. Chem. Res., 54, 10054-10072.</w:t>
      </w:r>
    </w:p>
    <w:p w14:paraId="144DE6C3" w14:textId="234CC72F" w:rsidR="008D2649" w:rsidRDefault="00A45C79" w:rsidP="007D3617">
      <w:pPr>
        <w:pStyle w:val="Els-referenceno-number"/>
        <w:jc w:val="both"/>
        <w:rPr>
          <w:lang w:val="en-US"/>
        </w:rPr>
      </w:pPr>
      <w:r>
        <w:rPr>
          <w:lang w:val="en-US"/>
        </w:rPr>
        <w:t xml:space="preserve">L. Wang, P. Voll, M. Lampe, Y. Yang, A. Bardow, 2015, </w:t>
      </w:r>
      <w:r w:rsidRPr="00A45C79">
        <w:rPr>
          <w:lang w:val="en-US"/>
        </w:rPr>
        <w:t xml:space="preserve">Superstructure-free synthesis and </w:t>
      </w:r>
      <w:r>
        <w:rPr>
          <w:lang w:val="en-US"/>
        </w:rPr>
        <w:t>o</w:t>
      </w:r>
      <w:r w:rsidRPr="00A45C79">
        <w:rPr>
          <w:lang w:val="en-US"/>
        </w:rPr>
        <w:t>ptimization of thermal power</w:t>
      </w:r>
      <w:r>
        <w:rPr>
          <w:lang w:val="en-US"/>
        </w:rPr>
        <w:t xml:space="preserve"> </w:t>
      </w:r>
      <w:r w:rsidRPr="00A45C79">
        <w:rPr>
          <w:lang w:val="en-US"/>
        </w:rPr>
        <w:t>plants</w:t>
      </w:r>
      <w:r>
        <w:rPr>
          <w:lang w:val="en-US"/>
        </w:rPr>
        <w:t>, Energy, 91, 700-711.</w:t>
      </w:r>
    </w:p>
    <w:sectPr w:rsidR="008D2649" w:rsidSect="008B0184">
      <w:headerReference w:type="even" r:id="rId31"/>
      <w:headerReference w:type="default" r:id="rId32"/>
      <w:headerReference w:type="first" r:id="rId3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3B40F" w14:textId="77777777" w:rsidR="001A2805" w:rsidRDefault="001A2805">
      <w:r>
        <w:separator/>
      </w:r>
    </w:p>
  </w:endnote>
  <w:endnote w:type="continuationSeparator" w:id="0">
    <w:p w14:paraId="3B0977E4" w14:textId="77777777" w:rsidR="001A2805" w:rsidRDefault="001A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642E" w14:textId="77777777" w:rsidR="001A2805" w:rsidRDefault="001A2805">
      <w:r>
        <w:separator/>
      </w:r>
    </w:p>
  </w:footnote>
  <w:footnote w:type="continuationSeparator" w:id="0">
    <w:p w14:paraId="30E76C2C" w14:textId="77777777" w:rsidR="001A2805" w:rsidRDefault="001A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4C32EEC" w:rsidR="00FB5E06" w:rsidRDefault="00FB5E06">
    <w:pPr>
      <w:pStyle w:val="Intestazione"/>
      <w:tabs>
        <w:tab w:val="clear" w:pos="7200"/>
        <w:tab w:val="right" w:pos="7088"/>
      </w:tabs>
    </w:pPr>
    <w:r>
      <w:rPr>
        <w:rStyle w:val="Numeropagina"/>
      </w:rPr>
      <w:tab/>
    </w:r>
    <w:r>
      <w:rPr>
        <w:rStyle w:val="Numeropagina"/>
        <w:i/>
      </w:rPr>
      <w:tab/>
    </w:r>
    <w:r>
      <w:rPr>
        <w:i/>
      </w:rPr>
      <w:t>J.M. Commenge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391FCFC" w:rsidR="00FB5E06" w:rsidRPr="003002CA" w:rsidRDefault="00FB5E06" w:rsidP="003002CA">
    <w:pPr>
      <w:pStyle w:val="Intestazione"/>
    </w:pPr>
    <w:r w:rsidRPr="003002CA">
      <w:rPr>
        <w:i/>
      </w:rPr>
      <w:t>Analyzing a Database of Digitalized Process Flowsheets to Extract Relevant Initialization Structures for Evolutionary Process Synthesis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B5E06" w:rsidRPr="003B50B5" w:rsidRDefault="00FB5E06"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FB5E06" w:rsidRDefault="00FB5E0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52F5E3B"/>
    <w:multiLevelType w:val="hybridMultilevel"/>
    <w:tmpl w:val="851E75D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568"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3C3E31"/>
    <w:multiLevelType w:val="hybridMultilevel"/>
    <w:tmpl w:val="74426E76"/>
    <w:lvl w:ilvl="0" w:tplc="040C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442EC"/>
    <w:multiLevelType w:val="hybridMultilevel"/>
    <w:tmpl w:val="59928A0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8F694D"/>
    <w:multiLevelType w:val="hybridMultilevel"/>
    <w:tmpl w:val="138E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0"/>
  </w:num>
  <w:num w:numId="6">
    <w:abstractNumId w:val="7"/>
  </w:num>
  <w:num w:numId="7">
    <w:abstractNumId w:val="15"/>
  </w:num>
  <w:num w:numId="8">
    <w:abstractNumId w:val="2"/>
  </w:num>
  <w:num w:numId="9">
    <w:abstractNumId w:val="13"/>
  </w:num>
  <w:num w:numId="10">
    <w:abstractNumId w:val="17"/>
  </w:num>
  <w:num w:numId="11">
    <w:abstractNumId w:val="16"/>
  </w:num>
  <w:num w:numId="12">
    <w:abstractNumId w:val="6"/>
  </w:num>
  <w:num w:numId="13">
    <w:abstractNumId w:val="11"/>
  </w:num>
  <w:num w:numId="14">
    <w:abstractNumId w:val="3"/>
  </w:num>
  <w:num w:numId="15">
    <w:abstractNumId w:val="8"/>
  </w:num>
  <w:num w:numId="16">
    <w:abstractNumId w:val="4"/>
  </w:num>
  <w:num w:numId="17">
    <w:abstractNumId w:val="5"/>
  </w:num>
  <w:num w:numId="18">
    <w:abstractNumId w:val="12"/>
  </w:num>
  <w:num w:numId="19">
    <w:abstractNumId w:val="1"/>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356B"/>
    <w:rsid w:val="0005487D"/>
    <w:rsid w:val="00054CD9"/>
    <w:rsid w:val="000653C2"/>
    <w:rsid w:val="0008521D"/>
    <w:rsid w:val="000962C9"/>
    <w:rsid w:val="000A48EB"/>
    <w:rsid w:val="000D0225"/>
    <w:rsid w:val="000D3C4C"/>
    <w:rsid w:val="000D3D9B"/>
    <w:rsid w:val="000D417D"/>
    <w:rsid w:val="001021B8"/>
    <w:rsid w:val="00110482"/>
    <w:rsid w:val="00117FBD"/>
    <w:rsid w:val="00152A15"/>
    <w:rsid w:val="00155899"/>
    <w:rsid w:val="0016032F"/>
    <w:rsid w:val="001661EA"/>
    <w:rsid w:val="001879F6"/>
    <w:rsid w:val="001A21C9"/>
    <w:rsid w:val="001A2805"/>
    <w:rsid w:val="001B00D8"/>
    <w:rsid w:val="001C0148"/>
    <w:rsid w:val="001C757E"/>
    <w:rsid w:val="001E1571"/>
    <w:rsid w:val="001F4098"/>
    <w:rsid w:val="0020390F"/>
    <w:rsid w:val="00246AFC"/>
    <w:rsid w:val="00255C4B"/>
    <w:rsid w:val="00264926"/>
    <w:rsid w:val="00291BCA"/>
    <w:rsid w:val="002A6D9A"/>
    <w:rsid w:val="002C1B44"/>
    <w:rsid w:val="003002CA"/>
    <w:rsid w:val="0031156D"/>
    <w:rsid w:val="003574EE"/>
    <w:rsid w:val="003918DD"/>
    <w:rsid w:val="00395FE8"/>
    <w:rsid w:val="003A1F4B"/>
    <w:rsid w:val="003C0C02"/>
    <w:rsid w:val="003D1582"/>
    <w:rsid w:val="003D4909"/>
    <w:rsid w:val="003D7E4C"/>
    <w:rsid w:val="003E3D7B"/>
    <w:rsid w:val="003E41C2"/>
    <w:rsid w:val="003F5E9F"/>
    <w:rsid w:val="0040228C"/>
    <w:rsid w:val="00433574"/>
    <w:rsid w:val="00451594"/>
    <w:rsid w:val="0046758F"/>
    <w:rsid w:val="00470531"/>
    <w:rsid w:val="0048036C"/>
    <w:rsid w:val="0049666E"/>
    <w:rsid w:val="0049772C"/>
    <w:rsid w:val="004A61E7"/>
    <w:rsid w:val="004F2B03"/>
    <w:rsid w:val="004F4950"/>
    <w:rsid w:val="00514DE4"/>
    <w:rsid w:val="0054058F"/>
    <w:rsid w:val="005525E7"/>
    <w:rsid w:val="00552EEB"/>
    <w:rsid w:val="0058005C"/>
    <w:rsid w:val="0058026F"/>
    <w:rsid w:val="005B1A40"/>
    <w:rsid w:val="005B3088"/>
    <w:rsid w:val="005C5D2A"/>
    <w:rsid w:val="0064674D"/>
    <w:rsid w:val="006567A1"/>
    <w:rsid w:val="006A69BF"/>
    <w:rsid w:val="006E6DFC"/>
    <w:rsid w:val="006F2471"/>
    <w:rsid w:val="00711DF4"/>
    <w:rsid w:val="00712FAF"/>
    <w:rsid w:val="007270E0"/>
    <w:rsid w:val="00736CED"/>
    <w:rsid w:val="0075351E"/>
    <w:rsid w:val="00761AD1"/>
    <w:rsid w:val="00776CCE"/>
    <w:rsid w:val="007D3617"/>
    <w:rsid w:val="007D70A1"/>
    <w:rsid w:val="00803D53"/>
    <w:rsid w:val="008132E8"/>
    <w:rsid w:val="00823407"/>
    <w:rsid w:val="008626DF"/>
    <w:rsid w:val="00865862"/>
    <w:rsid w:val="008701FF"/>
    <w:rsid w:val="00875A77"/>
    <w:rsid w:val="008905DD"/>
    <w:rsid w:val="008B0184"/>
    <w:rsid w:val="008B50A5"/>
    <w:rsid w:val="008B5FF7"/>
    <w:rsid w:val="008C5D02"/>
    <w:rsid w:val="008D2649"/>
    <w:rsid w:val="0090568D"/>
    <w:rsid w:val="009125C9"/>
    <w:rsid w:val="00913879"/>
    <w:rsid w:val="00917661"/>
    <w:rsid w:val="00932AC6"/>
    <w:rsid w:val="00950104"/>
    <w:rsid w:val="00970E5D"/>
    <w:rsid w:val="00975DF6"/>
    <w:rsid w:val="0097659E"/>
    <w:rsid w:val="0097701C"/>
    <w:rsid w:val="00980A65"/>
    <w:rsid w:val="00995F3F"/>
    <w:rsid w:val="009D222D"/>
    <w:rsid w:val="00A15A17"/>
    <w:rsid w:val="00A25E70"/>
    <w:rsid w:val="00A33765"/>
    <w:rsid w:val="00A36D51"/>
    <w:rsid w:val="00A442CA"/>
    <w:rsid w:val="00A45C79"/>
    <w:rsid w:val="00A63269"/>
    <w:rsid w:val="00A80C92"/>
    <w:rsid w:val="00A8158D"/>
    <w:rsid w:val="00A92377"/>
    <w:rsid w:val="00AA7E5A"/>
    <w:rsid w:val="00AB29ED"/>
    <w:rsid w:val="00AE4BD8"/>
    <w:rsid w:val="00AF508C"/>
    <w:rsid w:val="00B039DE"/>
    <w:rsid w:val="00B25801"/>
    <w:rsid w:val="00B4388F"/>
    <w:rsid w:val="00B43E34"/>
    <w:rsid w:val="00B63237"/>
    <w:rsid w:val="00B81E43"/>
    <w:rsid w:val="00BB45F1"/>
    <w:rsid w:val="00BC2CF9"/>
    <w:rsid w:val="00BD7177"/>
    <w:rsid w:val="00C90630"/>
    <w:rsid w:val="00C94326"/>
    <w:rsid w:val="00C960DC"/>
    <w:rsid w:val="00CA1BF8"/>
    <w:rsid w:val="00CA5A4E"/>
    <w:rsid w:val="00CA617A"/>
    <w:rsid w:val="00CC6A0D"/>
    <w:rsid w:val="00CD457A"/>
    <w:rsid w:val="00CE13A0"/>
    <w:rsid w:val="00D02C75"/>
    <w:rsid w:val="00D10E22"/>
    <w:rsid w:val="00D13D2C"/>
    <w:rsid w:val="00D30FE9"/>
    <w:rsid w:val="00D3562F"/>
    <w:rsid w:val="00D81513"/>
    <w:rsid w:val="00DC2F94"/>
    <w:rsid w:val="00DD3D9E"/>
    <w:rsid w:val="00DD7908"/>
    <w:rsid w:val="00DE4347"/>
    <w:rsid w:val="00DF2489"/>
    <w:rsid w:val="00E0460E"/>
    <w:rsid w:val="00E24D38"/>
    <w:rsid w:val="00E2504D"/>
    <w:rsid w:val="00E82297"/>
    <w:rsid w:val="00EB4953"/>
    <w:rsid w:val="00EB71A2"/>
    <w:rsid w:val="00ED5AB9"/>
    <w:rsid w:val="00EE0666"/>
    <w:rsid w:val="00EF39FD"/>
    <w:rsid w:val="00F005C0"/>
    <w:rsid w:val="00F06842"/>
    <w:rsid w:val="00F107FD"/>
    <w:rsid w:val="00F84966"/>
    <w:rsid w:val="00F93C77"/>
    <w:rsid w:val="00FB5E06"/>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01EC0019-F15F-4D23-B04E-4C7047D3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link w:val="TestofumettoCarattere"/>
    <w:uiPriority w:val="99"/>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TestofumettoCarattere">
    <w:name w:val="Testo fumetto Carattere"/>
    <w:basedOn w:val="Carpredefinitoparagrafo"/>
    <w:link w:val="Testofumetto"/>
    <w:uiPriority w:val="99"/>
    <w:semiHidden/>
    <w:rsid w:val="000D0225"/>
    <w:rPr>
      <w:rFonts w:ascii="Tahoma" w:hAnsi="Tahoma" w:cs="Tahoma"/>
      <w:sz w:val="16"/>
      <w:szCs w:val="16"/>
      <w:lang w:eastAsia="en-US"/>
    </w:rPr>
  </w:style>
  <w:style w:type="table" w:styleId="Grigliatabella">
    <w:name w:val="Table Grid"/>
    <w:basedOn w:val="Tabellanormale"/>
    <w:rsid w:val="0046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46758F"/>
    <w:rPr>
      <w:color w:val="808080"/>
    </w:rPr>
  </w:style>
  <w:style w:type="character" w:styleId="CodiceHTML">
    <w:name w:val="HTML Code"/>
    <w:basedOn w:val="Carpredefinitoparagrafo"/>
    <w:uiPriority w:val="99"/>
    <w:semiHidden/>
    <w:unhideWhenUsed/>
    <w:rsid w:val="003C0C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801278">
      <w:bodyDiv w:val="1"/>
      <w:marLeft w:val="0"/>
      <w:marRight w:val="0"/>
      <w:marTop w:val="0"/>
      <w:marBottom w:val="0"/>
      <w:divBdr>
        <w:top w:val="none" w:sz="0" w:space="0" w:color="auto"/>
        <w:left w:val="none" w:sz="0" w:space="0" w:color="auto"/>
        <w:bottom w:val="none" w:sz="0" w:space="0" w:color="auto"/>
        <w:right w:val="none" w:sz="0" w:space="0" w:color="auto"/>
      </w:divBdr>
    </w:div>
    <w:div w:id="20693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svg"/><Relationship Id="rId26" Type="http://schemas.openxmlformats.org/officeDocument/2006/relationships/image" Target="media/image19.sv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sv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sv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sv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svg"/><Relationship Id="rId27" Type="http://schemas.openxmlformats.org/officeDocument/2006/relationships/image" Target="media/image20.png"/><Relationship Id="rId30" Type="http://schemas.openxmlformats.org/officeDocument/2006/relationships/image" Target="media/image23.svg"/><Relationship Id="rId35" Type="http://schemas.openxmlformats.org/officeDocument/2006/relationships/theme" Target="theme/theme1.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6135-4D4E-4BB1-9ECB-8BF067C1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2539</Words>
  <Characters>14475</Characters>
  <Application>Microsoft Office Word</Application>
  <DocSecurity>0</DocSecurity>
  <Lines>120</Lines>
  <Paragraphs>33</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2</cp:revision>
  <cp:lastPrinted>2024-01-15T17:10:00Z</cp:lastPrinted>
  <dcterms:created xsi:type="dcterms:W3CDTF">2024-01-16T09:41:00Z</dcterms:created>
  <dcterms:modified xsi:type="dcterms:W3CDTF">2024-01-16T09:41:00Z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