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DE67F" w14:textId="52DC74BD" w:rsidR="00DD3D9E" w:rsidRPr="00B4388F" w:rsidRDefault="00D24FB4" w:rsidP="00893E2F">
      <w:pPr>
        <w:pStyle w:val="Els-Title"/>
        <w:jc w:val="both"/>
        <w:rPr>
          <w:color w:val="000000" w:themeColor="text1"/>
        </w:rPr>
      </w:pPr>
      <w:r w:rsidRPr="00D24FB4">
        <w:rPr>
          <w:color w:val="000000" w:themeColor="text1"/>
        </w:rPr>
        <w:t xml:space="preserve">Hybrid </w:t>
      </w:r>
      <w:r w:rsidR="00A54C01">
        <w:rPr>
          <w:rFonts w:hint="eastAsia"/>
          <w:color w:val="000000" w:themeColor="text1"/>
          <w:lang w:eastAsia="zh-CN"/>
        </w:rPr>
        <w:t>d</w:t>
      </w:r>
      <w:r w:rsidRPr="00D24FB4">
        <w:rPr>
          <w:color w:val="000000" w:themeColor="text1"/>
        </w:rPr>
        <w:t xml:space="preserve">eep </w:t>
      </w:r>
      <w:r w:rsidR="00A54C01">
        <w:rPr>
          <w:color w:val="000000" w:themeColor="text1"/>
        </w:rPr>
        <w:t>l</w:t>
      </w:r>
      <w:r w:rsidR="00A54C01" w:rsidRPr="00D24FB4">
        <w:rPr>
          <w:color w:val="000000" w:themeColor="text1"/>
        </w:rPr>
        <w:t xml:space="preserve">earning </w:t>
      </w:r>
      <w:r w:rsidR="00A54C01">
        <w:rPr>
          <w:color w:val="000000" w:themeColor="text1"/>
        </w:rPr>
        <w:t>m</w:t>
      </w:r>
      <w:r w:rsidR="00A54C01" w:rsidRPr="00D24FB4">
        <w:rPr>
          <w:color w:val="000000" w:themeColor="text1"/>
        </w:rPr>
        <w:t xml:space="preserve">odel </w:t>
      </w:r>
      <w:r w:rsidRPr="00D24FB4">
        <w:rPr>
          <w:color w:val="000000" w:themeColor="text1"/>
        </w:rPr>
        <w:t xml:space="preserve">for </w:t>
      </w:r>
      <w:r w:rsidR="00A54C01">
        <w:rPr>
          <w:color w:val="000000" w:themeColor="text1"/>
        </w:rPr>
        <w:t>e</w:t>
      </w:r>
      <w:r w:rsidR="00A54C01" w:rsidRPr="00D24FB4">
        <w:rPr>
          <w:color w:val="000000" w:themeColor="text1"/>
        </w:rPr>
        <w:t xml:space="preserve">valuations </w:t>
      </w:r>
      <w:r w:rsidRPr="00D24FB4">
        <w:rPr>
          <w:color w:val="000000" w:themeColor="text1"/>
        </w:rPr>
        <w:t xml:space="preserve">of </w:t>
      </w:r>
      <w:r w:rsidR="00A54C01">
        <w:rPr>
          <w:color w:val="000000" w:themeColor="text1"/>
        </w:rPr>
        <w:t>p</w:t>
      </w:r>
      <w:r w:rsidR="00A54C01" w:rsidRPr="00D24FB4">
        <w:rPr>
          <w:color w:val="000000" w:themeColor="text1"/>
        </w:rPr>
        <w:t>rotein</w:t>
      </w:r>
      <w:r w:rsidRPr="00D24FB4">
        <w:rPr>
          <w:color w:val="000000" w:themeColor="text1"/>
        </w:rPr>
        <w:t>-</w:t>
      </w:r>
      <w:r w:rsidR="00A54C01">
        <w:rPr>
          <w:color w:val="000000" w:themeColor="text1"/>
        </w:rPr>
        <w:t>l</w:t>
      </w:r>
      <w:r w:rsidR="00A54C01" w:rsidRPr="00D24FB4">
        <w:rPr>
          <w:color w:val="000000" w:themeColor="text1"/>
        </w:rPr>
        <w:t xml:space="preserve">igand </w:t>
      </w:r>
      <w:r w:rsidR="00A54C01">
        <w:rPr>
          <w:color w:val="000000" w:themeColor="text1"/>
        </w:rPr>
        <w:t>b</w:t>
      </w:r>
      <w:r w:rsidR="00A54C01" w:rsidRPr="00D24FB4">
        <w:rPr>
          <w:color w:val="000000" w:themeColor="text1"/>
        </w:rPr>
        <w:t xml:space="preserve">inding </w:t>
      </w:r>
      <w:r w:rsidR="00A54C01">
        <w:rPr>
          <w:color w:val="000000" w:themeColor="text1"/>
        </w:rPr>
        <w:t>k</w:t>
      </w:r>
      <w:r w:rsidR="00A54C01" w:rsidRPr="00D24FB4">
        <w:rPr>
          <w:color w:val="000000" w:themeColor="text1"/>
        </w:rPr>
        <w:t xml:space="preserve">inetic </w:t>
      </w:r>
      <w:proofErr w:type="gramStart"/>
      <w:r w:rsidR="00A54C01">
        <w:rPr>
          <w:color w:val="000000" w:themeColor="text1"/>
        </w:rPr>
        <w:t>p</w:t>
      </w:r>
      <w:r w:rsidR="00A54C01" w:rsidRPr="00D24FB4">
        <w:rPr>
          <w:color w:val="000000" w:themeColor="text1"/>
        </w:rPr>
        <w:t>roperty</w:t>
      </w:r>
      <w:proofErr w:type="gramEnd"/>
    </w:p>
    <w:p w14:paraId="144DE680" w14:textId="294BC04A" w:rsidR="00DD3D9E" w:rsidRDefault="00D24FB4" w:rsidP="00893E2F">
      <w:pPr>
        <w:pStyle w:val="Els-Author"/>
        <w:jc w:val="both"/>
      </w:pPr>
      <w:r w:rsidRPr="00D24FB4">
        <w:t>Yujing Zhao, Qilei Liu</w:t>
      </w:r>
      <w:r w:rsidRPr="00D24FB4">
        <w:rPr>
          <w:vertAlign w:val="superscript"/>
        </w:rPr>
        <w:t>*</w:t>
      </w:r>
      <w:r w:rsidRPr="00D24FB4">
        <w:t xml:space="preserve">, </w:t>
      </w:r>
      <w:r w:rsidR="00795430">
        <w:t>Y</w:t>
      </w:r>
      <w:r w:rsidR="00795430">
        <w:rPr>
          <w:lang w:eastAsia="zh-CN"/>
        </w:rPr>
        <w:t xml:space="preserve">u Zhuang, Yachao Dong, Linlin Liu, </w:t>
      </w:r>
      <w:r w:rsidRPr="00D24FB4">
        <w:t>Jian Du, Qingwei Meng, Lei Zhang</w:t>
      </w:r>
      <w:r w:rsidRPr="00D24FB4">
        <w:rPr>
          <w:vertAlign w:val="superscript"/>
        </w:rPr>
        <w:t>*</w:t>
      </w:r>
    </w:p>
    <w:p w14:paraId="144DE681" w14:textId="5A1CB0CC" w:rsidR="00DD3D9E" w:rsidRDefault="00D24FB4" w:rsidP="00893E2F">
      <w:pPr>
        <w:pStyle w:val="Els-Affiliation"/>
        <w:jc w:val="both"/>
      </w:pPr>
      <w:r w:rsidRPr="00D24FB4">
        <w:t>State Key Laboratory of Fine Chemical</w:t>
      </w:r>
      <w:r w:rsidR="00373BFF">
        <w:rPr>
          <w:rFonts w:hint="eastAsia"/>
          <w:lang w:eastAsia="zh-CN"/>
        </w:rPr>
        <w:t>s</w:t>
      </w:r>
      <w:r w:rsidRPr="00D24FB4">
        <w:t>, Frontiers Science Center for Smart Materials Oriented Chemical Engineering, Institute of Chemical Process Systems Engineering, School of Chemical Engineering, Dalian University of Technology, Dalian 116024, China</w:t>
      </w:r>
    </w:p>
    <w:p w14:paraId="144DE683" w14:textId="518E463C" w:rsidR="008D2649" w:rsidRPr="00A94774" w:rsidRDefault="00AE5E0E" w:rsidP="00893E2F">
      <w:pPr>
        <w:pStyle w:val="Els-Affiliation"/>
        <w:spacing w:after="120"/>
        <w:jc w:val="both"/>
      </w:pPr>
      <w:r w:rsidRPr="00AE5E0E">
        <w:t>Qilei Liu (liuqilei@dlut.edu.cn), Lei Zhang (keleiz@dlut.edu.cn)</w:t>
      </w:r>
    </w:p>
    <w:p w14:paraId="144DE684" w14:textId="77777777" w:rsidR="008D2649" w:rsidRDefault="008D2649" w:rsidP="008D2649">
      <w:pPr>
        <w:pStyle w:val="Els-Abstract"/>
      </w:pPr>
      <w:r>
        <w:t>Abstract</w:t>
      </w:r>
    </w:p>
    <w:p w14:paraId="49264816" w14:textId="36158141" w:rsidR="005206FB" w:rsidRPr="005206FB" w:rsidRDefault="005206FB" w:rsidP="005206FB">
      <w:pPr>
        <w:pStyle w:val="Els-body-text"/>
        <w:spacing w:after="120"/>
        <w:rPr>
          <w:lang w:val="en-GB"/>
        </w:rPr>
      </w:pPr>
      <w:r w:rsidRPr="005206FB">
        <w:rPr>
          <w:lang w:val="en-GB"/>
        </w:rPr>
        <w:t xml:space="preserve">A growing consensus is emerging that optimizing the binding kinetic parameters is crucial to ensure better </w:t>
      </w:r>
      <w:r w:rsidR="003000BB">
        <w:rPr>
          <w:lang w:val="en-GB"/>
        </w:rPr>
        <w:t xml:space="preserve">drug </w:t>
      </w:r>
      <w:r w:rsidRPr="005206FB">
        <w:rPr>
          <w:lang w:val="en-GB"/>
        </w:rPr>
        <w:t xml:space="preserve">efficacy. Therefore, </w:t>
      </w:r>
      <w:r w:rsidRPr="002F7079">
        <w:rPr>
          <w:i/>
          <w:iCs/>
          <w:lang w:val="en-GB"/>
        </w:rPr>
        <w:t>in silico</w:t>
      </w:r>
      <w:r w:rsidRPr="005206FB">
        <w:rPr>
          <w:lang w:val="en-GB"/>
        </w:rPr>
        <w:t xml:space="preserve"> methods are necessary to predict the kinetic parameters of drug-protein binding. In this study, we demonstrate the application of a</w:t>
      </w:r>
      <w:r w:rsidR="002A7136">
        <w:rPr>
          <w:lang w:val="en-GB"/>
        </w:rPr>
        <w:t>n</w:t>
      </w:r>
      <w:r w:rsidRPr="005206FB">
        <w:rPr>
          <w:lang w:val="en-GB"/>
        </w:rPr>
        <w:t xml:space="preserve"> attention mechanism to derive </w:t>
      </w:r>
      <w:r w:rsidR="002813DB">
        <w:rPr>
          <w:lang w:val="en-GB"/>
        </w:rPr>
        <w:t xml:space="preserve">a </w:t>
      </w:r>
      <w:r w:rsidR="00F20E42">
        <w:rPr>
          <w:lang w:val="en-GB"/>
        </w:rPr>
        <w:t xml:space="preserve">deep learning-based </w:t>
      </w:r>
      <w:r w:rsidRPr="005206FB">
        <w:rPr>
          <w:lang w:val="en-GB"/>
        </w:rPr>
        <w:t xml:space="preserve">structure-kinetics </w:t>
      </w:r>
      <w:r w:rsidR="002813DB" w:rsidRPr="005206FB">
        <w:rPr>
          <w:lang w:val="en-GB"/>
        </w:rPr>
        <w:t>relationship</w:t>
      </w:r>
      <w:r w:rsidR="002813DB">
        <w:rPr>
          <w:lang w:val="en-GB"/>
        </w:rPr>
        <w:t xml:space="preserve"> model</w:t>
      </w:r>
      <w:r w:rsidR="002813DB" w:rsidRPr="005206FB">
        <w:rPr>
          <w:lang w:val="en-GB"/>
        </w:rPr>
        <w:t xml:space="preserve"> </w:t>
      </w:r>
      <w:r w:rsidRPr="005206FB">
        <w:rPr>
          <w:lang w:val="en-GB"/>
        </w:rPr>
        <w:t>for the dissociation rate constants (</w:t>
      </w:r>
      <w:proofErr w:type="spellStart"/>
      <w:r w:rsidRPr="00317750">
        <w:rPr>
          <w:i/>
          <w:iCs/>
          <w:lang w:val="en-GB" w:eastAsia="zh-CN"/>
        </w:rPr>
        <w:t>k</w:t>
      </w:r>
      <w:r w:rsidRPr="00317750">
        <w:rPr>
          <w:iCs/>
          <w:vertAlign w:val="subscript"/>
          <w:lang w:val="en-GB" w:eastAsia="zh-CN"/>
        </w:rPr>
        <w:t>off</w:t>
      </w:r>
      <w:proofErr w:type="spellEnd"/>
      <w:r w:rsidRPr="005206FB">
        <w:rPr>
          <w:lang w:val="en-GB"/>
        </w:rPr>
        <w:t xml:space="preserve">) of inhibitors targeting drug-protein interactions. This </w:t>
      </w:r>
      <w:r w:rsidR="00B63076">
        <w:rPr>
          <w:lang w:val="en-GB"/>
        </w:rPr>
        <w:t>model</w:t>
      </w:r>
      <w:r w:rsidR="00B63076" w:rsidRPr="005206FB">
        <w:rPr>
          <w:lang w:val="en-GB"/>
        </w:rPr>
        <w:t xml:space="preserve"> </w:t>
      </w:r>
      <w:r w:rsidRPr="005206FB">
        <w:rPr>
          <w:lang w:val="en-GB"/>
        </w:rPr>
        <w:t xml:space="preserve">has the capability to provide accurate predictions for evaluating the </w:t>
      </w:r>
      <w:proofErr w:type="spellStart"/>
      <w:r w:rsidRPr="006C7399">
        <w:rPr>
          <w:i/>
          <w:iCs/>
          <w:lang w:val="en-GB"/>
        </w:rPr>
        <w:t>k</w:t>
      </w:r>
      <w:r w:rsidRPr="006C7399">
        <w:rPr>
          <w:vertAlign w:val="subscript"/>
          <w:lang w:val="en-GB"/>
        </w:rPr>
        <w:t>off</w:t>
      </w:r>
      <w:proofErr w:type="spellEnd"/>
      <w:r w:rsidRPr="005206FB">
        <w:rPr>
          <w:lang w:val="en-GB"/>
        </w:rPr>
        <w:t xml:space="preserve"> of protein-ligand complexes. To the best of our knowledge, the deep learning model developed in this work achieves </w:t>
      </w:r>
      <w:r w:rsidR="00DC76C5">
        <w:rPr>
          <w:lang w:val="en-GB"/>
        </w:rPr>
        <w:t xml:space="preserve">the </w:t>
      </w:r>
      <w:r w:rsidRPr="005206FB">
        <w:rPr>
          <w:lang w:val="en-GB"/>
        </w:rPr>
        <w:t>state-of-the-art prediction accuracy and outperforms other commonly used machine learning</w:t>
      </w:r>
      <w:r w:rsidR="00C90FBE">
        <w:rPr>
          <w:rFonts w:hint="eastAsia"/>
          <w:lang w:val="en-GB" w:eastAsia="zh-CN"/>
        </w:rPr>
        <w:t>-based</w:t>
      </w:r>
      <w:r w:rsidR="00C90FBE">
        <w:rPr>
          <w:lang w:val="en-GB"/>
        </w:rPr>
        <w:t xml:space="preserve"> </w:t>
      </w:r>
      <w:r w:rsidR="00C90FBE" w:rsidRPr="00C90FBE">
        <w:rPr>
          <w:lang w:val="en-GB"/>
        </w:rPr>
        <w:t>generic dissociation kinetic models</w:t>
      </w:r>
      <w:r w:rsidRPr="005206FB">
        <w:rPr>
          <w:lang w:val="en-GB"/>
        </w:rPr>
        <w:t xml:space="preserve"> (e.g., random forest models) in terms of precision and efficiency.</w:t>
      </w:r>
    </w:p>
    <w:p w14:paraId="517E8FA9" w14:textId="424D8871" w:rsidR="0034023C" w:rsidRDefault="0034023C" w:rsidP="00317750">
      <w:pPr>
        <w:pStyle w:val="Els-body-text"/>
        <w:spacing w:after="120"/>
        <w:rPr>
          <w:lang w:val="en-GB"/>
        </w:rPr>
      </w:pPr>
      <w:r>
        <w:rPr>
          <w:b/>
          <w:bCs/>
          <w:lang w:val="en-GB"/>
        </w:rPr>
        <w:t>Keywords</w:t>
      </w:r>
      <w:r>
        <w:rPr>
          <w:lang w:val="en-GB"/>
        </w:rPr>
        <w:t xml:space="preserve">: </w:t>
      </w:r>
      <w:r w:rsidR="0006154F" w:rsidRPr="0006154F">
        <w:rPr>
          <w:lang w:val="en-GB"/>
        </w:rPr>
        <w:t>drug binding kinetics</w:t>
      </w:r>
      <w:r w:rsidR="00BC2D47">
        <w:rPr>
          <w:rFonts w:hint="eastAsia"/>
          <w:lang w:val="en-GB" w:eastAsia="zh-CN"/>
        </w:rPr>
        <w:t>,</w:t>
      </w:r>
      <w:r w:rsidR="0006154F" w:rsidRPr="0006154F">
        <w:rPr>
          <w:lang w:val="en-GB"/>
        </w:rPr>
        <w:t xml:space="preserve"> deep learning</w:t>
      </w:r>
      <w:r w:rsidR="00BC2D47">
        <w:rPr>
          <w:lang w:val="en-GB"/>
        </w:rPr>
        <w:t>,</w:t>
      </w:r>
      <w:r w:rsidR="00BC2D47" w:rsidRPr="0006154F">
        <w:rPr>
          <w:lang w:val="en-GB"/>
        </w:rPr>
        <w:t xml:space="preserve"> </w:t>
      </w:r>
      <w:r w:rsidR="0006154F" w:rsidRPr="0006154F">
        <w:rPr>
          <w:lang w:val="en-GB"/>
        </w:rPr>
        <w:t>dissociation kinetic constant</w:t>
      </w:r>
      <w:r w:rsidR="00BC2D47">
        <w:rPr>
          <w:lang w:val="en-GB"/>
        </w:rPr>
        <w:t>,</w:t>
      </w:r>
      <w:r w:rsidR="00BC2D47" w:rsidRPr="0006154F">
        <w:rPr>
          <w:lang w:val="en-GB"/>
        </w:rPr>
        <w:t xml:space="preserve"> </w:t>
      </w:r>
      <w:r w:rsidR="0006154F" w:rsidRPr="0006154F">
        <w:rPr>
          <w:lang w:val="en-GB"/>
        </w:rPr>
        <w:t>Mol2vec</w:t>
      </w:r>
      <w:r w:rsidR="00BC2D47">
        <w:rPr>
          <w:lang w:val="en-GB"/>
        </w:rPr>
        <w:t>,</w:t>
      </w:r>
      <w:r w:rsidR="00BC2D47" w:rsidRPr="0006154F">
        <w:rPr>
          <w:lang w:val="en-GB"/>
        </w:rPr>
        <w:t xml:space="preserve"> </w:t>
      </w:r>
      <w:r w:rsidR="0006154F" w:rsidRPr="0006154F">
        <w:rPr>
          <w:lang w:val="en-GB"/>
        </w:rPr>
        <w:t>attention mechanism</w:t>
      </w:r>
      <w:r>
        <w:rPr>
          <w:lang w:val="en-GB"/>
        </w:rPr>
        <w:t>.</w:t>
      </w:r>
    </w:p>
    <w:p w14:paraId="144DE689" w14:textId="21F3B463" w:rsidR="008D2649" w:rsidRDefault="00C5263C" w:rsidP="008D2649">
      <w:pPr>
        <w:pStyle w:val="Els-1storder-head"/>
      </w:pPr>
      <w:r w:rsidRPr="00C5263C">
        <w:t>Introductio</w:t>
      </w:r>
      <w:r>
        <w:t>n</w:t>
      </w:r>
    </w:p>
    <w:p w14:paraId="5C8D8B01" w14:textId="6A3FE2E2" w:rsidR="00235639" w:rsidRDefault="00235639" w:rsidP="0094359F">
      <w:pPr>
        <w:pStyle w:val="Els-body-text"/>
      </w:pPr>
      <w:r>
        <w:rPr>
          <w:lang w:val="en-GB"/>
        </w:rPr>
        <w:t>D</w:t>
      </w:r>
      <w:r w:rsidRPr="00235639">
        <w:rPr>
          <w:lang w:val="en-GB"/>
        </w:rPr>
        <w:t>rugs play a significant role in disease prevention and safeguarding public health</w:t>
      </w:r>
      <w:r w:rsidR="00DF4C9F" w:rsidRPr="00317750">
        <w:rPr>
          <w:lang w:val="en-GB"/>
        </w:rPr>
        <w:t xml:space="preserve">. </w:t>
      </w:r>
      <w:r w:rsidRPr="00235639">
        <w:rPr>
          <w:lang w:val="en-GB"/>
        </w:rPr>
        <w:t>The process of discovering a new drug is an arduous and costly endeavour, often surpassing a duration of 10 years and requiring a budget exceeding one billion dollars</w:t>
      </w:r>
      <w:r w:rsidR="00DF4C9F" w:rsidRPr="00317750">
        <w:rPr>
          <w:lang w:val="en-GB"/>
        </w:rPr>
        <w:t xml:space="preserve">. </w:t>
      </w:r>
      <w:r w:rsidR="003B375E" w:rsidRPr="00235639">
        <w:t xml:space="preserve">The </w:t>
      </w:r>
      <w:r w:rsidR="00F673BF">
        <w:rPr>
          <w:rFonts w:hint="eastAsia"/>
          <w:lang w:eastAsia="zh-CN"/>
        </w:rPr>
        <w:t>bi</w:t>
      </w:r>
      <w:r w:rsidR="00F673BF">
        <w:rPr>
          <w:lang w:eastAsia="zh-CN"/>
        </w:rPr>
        <w:t xml:space="preserve">nding/unbinding </w:t>
      </w:r>
      <w:r w:rsidR="003B375E" w:rsidRPr="00235639">
        <w:t xml:space="preserve">kinetic properties of </w:t>
      </w:r>
      <w:r w:rsidR="00477D44">
        <w:t>protein</w:t>
      </w:r>
      <w:r w:rsidR="003B375E" w:rsidRPr="00235639">
        <w:t>-</w:t>
      </w:r>
      <w:r w:rsidR="00477D44">
        <w:t>ligand complex</w:t>
      </w:r>
      <w:r w:rsidR="00B201BD">
        <w:t>es</w:t>
      </w:r>
      <w:r w:rsidR="003B375E" w:rsidRPr="00235639">
        <w:t>, such as the dissociation rate constant (</w:t>
      </w:r>
      <w:proofErr w:type="spellStart"/>
      <w:r w:rsidR="003B375E" w:rsidRPr="00317750">
        <w:rPr>
          <w:i/>
          <w:iCs/>
          <w:lang w:val="en-GB" w:eastAsia="zh-CN"/>
        </w:rPr>
        <w:t>k</w:t>
      </w:r>
      <w:r w:rsidR="003B375E" w:rsidRPr="00317750">
        <w:rPr>
          <w:iCs/>
          <w:vertAlign w:val="subscript"/>
          <w:lang w:val="en-GB" w:eastAsia="zh-CN"/>
        </w:rPr>
        <w:t>off</w:t>
      </w:r>
      <w:proofErr w:type="spellEnd"/>
      <w:r w:rsidR="003B375E" w:rsidRPr="00235639">
        <w:t>), are increasingly recognized as crucial factors influencing drug efficacy and safety during the drug optimization process</w:t>
      </w:r>
      <w:r w:rsidR="00DF4C9F" w:rsidRPr="00317750">
        <w:rPr>
          <w:lang w:val="en-GB"/>
        </w:rPr>
        <w:t xml:space="preserve">. </w:t>
      </w:r>
      <w:r w:rsidRPr="00235639">
        <w:t xml:space="preserve">Although various experimental methods, molecular dynamics simulations, and surrogate modeling techniques have been developed to measure or estimate </w:t>
      </w:r>
      <w:proofErr w:type="spellStart"/>
      <w:r w:rsidR="00986F34" w:rsidRPr="00317750">
        <w:rPr>
          <w:i/>
          <w:iCs/>
          <w:lang w:val="en-GB" w:eastAsia="zh-CN"/>
        </w:rPr>
        <w:t>k</w:t>
      </w:r>
      <w:r w:rsidR="00986F34" w:rsidRPr="00317750">
        <w:rPr>
          <w:iCs/>
          <w:vertAlign w:val="subscript"/>
          <w:lang w:val="en-GB" w:eastAsia="zh-CN"/>
        </w:rPr>
        <w:t>off</w:t>
      </w:r>
      <w:proofErr w:type="spellEnd"/>
      <w:r w:rsidRPr="00235639">
        <w:t xml:space="preserve">, the current approaches, both experimental and </w:t>
      </w:r>
      <w:r w:rsidRPr="002F7079">
        <w:rPr>
          <w:i/>
          <w:iCs/>
        </w:rPr>
        <w:t>in silico</w:t>
      </w:r>
      <w:r w:rsidRPr="00235639">
        <w:t xml:space="preserve">, suffer from limitations in providing </w:t>
      </w:r>
      <w:r w:rsidR="00BA6B75" w:rsidRPr="00235639">
        <w:t>high-throughput</w:t>
      </w:r>
      <w:r w:rsidRPr="00235639">
        <w:t xml:space="preserve"> and accurate predictions. Therefore, this study aims to address this gap by introducing a novel data-driven </w:t>
      </w:r>
      <w:r w:rsidR="006C3359" w:rsidRPr="00235639">
        <w:t>dissociation</w:t>
      </w:r>
      <w:r w:rsidRPr="00235639">
        <w:t xml:space="preserve"> kinetic model. This model employs a hybrid deep learning architecture that combines a convolutional neural network with the </w:t>
      </w:r>
      <w:r w:rsidR="00A22670">
        <w:t>a</w:t>
      </w:r>
      <w:r w:rsidRPr="00235639">
        <w:t xml:space="preserve">ttention mechanism for the prediction of </w:t>
      </w:r>
      <w:proofErr w:type="spellStart"/>
      <w:r w:rsidR="004C2357" w:rsidRPr="00A83843">
        <w:rPr>
          <w:i/>
          <w:iCs/>
          <w:lang w:val="en-GB"/>
        </w:rPr>
        <w:t>k</w:t>
      </w:r>
      <w:r w:rsidR="004C2357" w:rsidRPr="00A83843">
        <w:rPr>
          <w:vertAlign w:val="subscript"/>
          <w:lang w:val="en-GB"/>
        </w:rPr>
        <w:t>off</w:t>
      </w:r>
      <w:proofErr w:type="spellEnd"/>
      <w:r w:rsidRPr="00235639">
        <w:t xml:space="preserve"> values in protein-ligand complexes across multiple targets.</w:t>
      </w:r>
    </w:p>
    <w:p w14:paraId="144DE699" w14:textId="65416FBC" w:rsidR="008D2649" w:rsidRDefault="00C5263C" w:rsidP="008D2649">
      <w:pPr>
        <w:pStyle w:val="Els-1storder-head"/>
      </w:pPr>
      <w:r w:rsidRPr="00C5263C">
        <w:t xml:space="preserve">Development of the </w:t>
      </w:r>
      <w:r w:rsidR="000757D9">
        <w:t>D</w:t>
      </w:r>
      <w:r w:rsidRPr="00C5263C">
        <w:t xml:space="preserve">issociation </w:t>
      </w:r>
      <w:r w:rsidR="000757D9">
        <w:t>K</w:t>
      </w:r>
      <w:r w:rsidRPr="00C5263C">
        <w:t xml:space="preserve">inetic </w:t>
      </w:r>
      <w:r w:rsidR="000757D9">
        <w:t>M</w:t>
      </w:r>
      <w:r w:rsidRPr="00C5263C">
        <w:t>odel</w:t>
      </w:r>
    </w:p>
    <w:p w14:paraId="144DE69A" w14:textId="58CC0A43" w:rsidR="008D2649" w:rsidRDefault="003A6CF6" w:rsidP="008D2649">
      <w:pPr>
        <w:pStyle w:val="Els-2ndorder-head"/>
      </w:pPr>
      <w:r w:rsidRPr="003A6CF6">
        <w:t xml:space="preserve">Dissociation </w:t>
      </w:r>
      <w:r w:rsidR="000757D9">
        <w:t>K</w:t>
      </w:r>
      <w:r w:rsidRPr="003A6CF6">
        <w:t xml:space="preserve">inetic </w:t>
      </w:r>
      <w:r w:rsidR="000757D9">
        <w:t>D</w:t>
      </w:r>
      <w:r w:rsidRPr="003A6CF6">
        <w:t xml:space="preserve">ata </w:t>
      </w:r>
      <w:r w:rsidR="000757D9">
        <w:t>P</w:t>
      </w:r>
      <w:r w:rsidRPr="003A6CF6">
        <w:t>reparatio</w:t>
      </w:r>
      <w:r>
        <w:t>n</w:t>
      </w:r>
    </w:p>
    <w:p w14:paraId="7938F1C1" w14:textId="79E65DF6" w:rsidR="009E704D" w:rsidRPr="007A0C8C" w:rsidRDefault="00C36659" w:rsidP="0094359F">
      <w:pPr>
        <w:jc w:val="both"/>
        <w:rPr>
          <w:color w:val="000000" w:themeColor="text1"/>
        </w:rPr>
      </w:pPr>
      <w:bookmarkStart w:id="0" w:name="_Hlk150798643"/>
      <w:r w:rsidRPr="00C36659">
        <w:t>In this study, a comprehensive dissociation kinetic database</w:t>
      </w:r>
      <w:r w:rsidR="00CF6366">
        <w:t xml:space="preserve"> is establi</w:t>
      </w:r>
      <w:r w:rsidR="00876A88">
        <w:t>sh</w:t>
      </w:r>
      <w:r w:rsidR="00CF6366">
        <w:t>ed</w:t>
      </w:r>
      <w:r w:rsidRPr="00C36659">
        <w:t xml:space="preserve"> by collecting dissociation kinetic data from four datasets, namely</w:t>
      </w:r>
      <w:r w:rsidR="009E704D" w:rsidRPr="007A0C8C">
        <w:t xml:space="preserve"> KIND</w:t>
      </w:r>
      <w:r w:rsidR="00A123FF" w:rsidRPr="00A123FF">
        <w:t xml:space="preserve"> </w:t>
      </w:r>
      <w:r w:rsidR="00F14B00">
        <w:t>(</w:t>
      </w:r>
      <w:r w:rsidR="00A123FF" w:rsidRPr="00A178D2">
        <w:rPr>
          <w:lang w:eastAsia="zh-CN"/>
        </w:rPr>
        <w:t>Schuetz et al.</w:t>
      </w:r>
      <w:r w:rsidR="00F14B00" w:rsidRPr="00A178D2">
        <w:rPr>
          <w:lang w:eastAsia="zh-CN"/>
        </w:rPr>
        <w:t>,</w:t>
      </w:r>
      <w:r w:rsidR="00603A48" w:rsidRPr="00A178D2">
        <w:rPr>
          <w:lang w:eastAsia="zh-CN"/>
        </w:rPr>
        <w:t xml:space="preserve"> 2020)</w:t>
      </w:r>
      <w:r w:rsidR="009E704D" w:rsidRPr="007A0C8C">
        <w:t xml:space="preserve">, </w:t>
      </w:r>
      <w:proofErr w:type="spellStart"/>
      <w:r w:rsidR="009E704D" w:rsidRPr="007A0C8C">
        <w:t>BindingDB</w:t>
      </w:r>
      <w:proofErr w:type="spellEnd"/>
      <w:r w:rsidR="00A123FF" w:rsidRPr="00A123FF">
        <w:t xml:space="preserve"> </w:t>
      </w:r>
      <w:r w:rsidR="005D57C5">
        <w:t>(</w:t>
      </w:r>
      <w:r w:rsidR="00A123FF" w:rsidRPr="006416FD">
        <w:rPr>
          <w:lang w:eastAsia="zh-CN"/>
        </w:rPr>
        <w:t>Gilson et al.</w:t>
      </w:r>
      <w:r w:rsidR="005D57C5" w:rsidRPr="006416FD">
        <w:rPr>
          <w:lang w:eastAsia="zh-CN"/>
        </w:rPr>
        <w:t>,</w:t>
      </w:r>
      <w:r w:rsidR="00603A48" w:rsidRPr="006416FD">
        <w:rPr>
          <w:lang w:eastAsia="zh-CN"/>
        </w:rPr>
        <w:t xml:space="preserve"> 2016)</w:t>
      </w:r>
      <w:r w:rsidR="009E704D" w:rsidRPr="007A0C8C">
        <w:t>, PDBbind-koff-2020</w:t>
      </w:r>
      <w:r w:rsidR="00A123FF" w:rsidRPr="00A123FF">
        <w:t xml:space="preserve"> </w:t>
      </w:r>
      <w:r w:rsidR="008236CD" w:rsidRPr="00190E8A">
        <w:t>(</w:t>
      </w:r>
      <w:r w:rsidR="00A123FF" w:rsidRPr="00190E8A">
        <w:rPr>
          <w:lang w:eastAsia="zh-CN"/>
        </w:rPr>
        <w:t>Liu et al.</w:t>
      </w:r>
      <w:r w:rsidR="008236CD" w:rsidRPr="00190E8A">
        <w:rPr>
          <w:lang w:eastAsia="zh-CN"/>
        </w:rPr>
        <w:t>,</w:t>
      </w:r>
      <w:r w:rsidR="00603A48" w:rsidRPr="00190E8A">
        <w:rPr>
          <w:lang w:eastAsia="zh-CN"/>
        </w:rPr>
        <w:t xml:space="preserve"> 2022)</w:t>
      </w:r>
      <w:r w:rsidR="009E704D" w:rsidRPr="007A0C8C">
        <w:t xml:space="preserve">, and </w:t>
      </w:r>
      <w:r w:rsidRPr="00D02928">
        <w:rPr>
          <w:color w:val="000000" w:themeColor="text1"/>
        </w:rPr>
        <w:t>the work by</w:t>
      </w:r>
      <w:r w:rsidRPr="007A0C8C">
        <w:t xml:space="preserve"> </w:t>
      </w:r>
      <w:proofErr w:type="spellStart"/>
      <w:r w:rsidR="009E704D" w:rsidRPr="007A0C8C">
        <w:lastRenderedPageBreak/>
        <w:t>Amangeldiuly</w:t>
      </w:r>
      <w:proofErr w:type="spellEnd"/>
      <w:r w:rsidR="009E704D" w:rsidRPr="007A0C8C">
        <w:t xml:space="preserve"> et al</w:t>
      </w:r>
      <w:r w:rsidR="005D522B">
        <w:t>.</w:t>
      </w:r>
      <w:r w:rsidR="00603A48">
        <w:t xml:space="preserve"> </w:t>
      </w:r>
      <w:r w:rsidR="00603A48" w:rsidRPr="00B47955">
        <w:rPr>
          <w:lang w:eastAsia="zh-CN"/>
        </w:rPr>
        <w:t>(2020)</w:t>
      </w:r>
      <w:r w:rsidR="009E704D" w:rsidRPr="007A0C8C">
        <w:t>.</w:t>
      </w:r>
      <w:r w:rsidR="00C92F0E">
        <w:rPr>
          <w:color w:val="000000" w:themeColor="text1"/>
        </w:rPr>
        <w:t xml:space="preserve"> </w:t>
      </w:r>
      <w:r w:rsidR="00E333B5" w:rsidRPr="00E333B5">
        <w:rPr>
          <w:color w:val="000000" w:themeColor="text1"/>
        </w:rPr>
        <w:t xml:space="preserve">For the database construction, the dissociation kinetic data contributed by the aforementioned datasets are </w:t>
      </w:r>
      <w:r w:rsidR="00CC6C12" w:rsidRPr="00E333B5">
        <w:rPr>
          <w:color w:val="000000" w:themeColor="text1"/>
        </w:rPr>
        <w:t>pre-processed</w:t>
      </w:r>
      <w:r w:rsidR="00E333B5" w:rsidRPr="00E333B5">
        <w:rPr>
          <w:color w:val="000000" w:themeColor="text1"/>
        </w:rPr>
        <w:t xml:space="preserve"> based on the following criteria:</w:t>
      </w:r>
    </w:p>
    <w:p w14:paraId="189F76C5" w14:textId="68626C57" w:rsidR="009E704D" w:rsidRPr="007A0C8C" w:rsidRDefault="006261BF" w:rsidP="006C7399">
      <w:pPr>
        <w:pStyle w:val="af0"/>
        <w:numPr>
          <w:ilvl w:val="0"/>
          <w:numId w:val="20"/>
        </w:numPr>
        <w:ind w:firstLineChars="0"/>
        <w:rPr>
          <w:rFonts w:ascii="Times New Roman" w:hAnsi="Times New Roman" w:cs="Times New Roman"/>
          <w:color w:val="000000" w:themeColor="text1"/>
          <w:sz w:val="20"/>
          <w:szCs w:val="20"/>
        </w:rPr>
      </w:pPr>
      <w:r w:rsidRPr="006261BF">
        <w:rPr>
          <w:rFonts w:ascii="Times New Roman" w:hAnsi="Times New Roman" w:cs="Times New Roman"/>
          <w:color w:val="000000" w:themeColor="text1"/>
          <w:sz w:val="20"/>
          <w:szCs w:val="20"/>
        </w:rPr>
        <w:t xml:space="preserve">Entries involving ligand </w:t>
      </w:r>
      <w:r w:rsidR="00C212FA">
        <w:rPr>
          <w:rFonts w:ascii="Times New Roman" w:hAnsi="Times New Roman" w:cs="Times New Roman"/>
          <w:color w:val="000000" w:themeColor="text1"/>
          <w:sz w:val="20"/>
          <w:szCs w:val="20"/>
        </w:rPr>
        <w:t>SMILES</w:t>
      </w:r>
      <w:r w:rsidRPr="006261BF">
        <w:rPr>
          <w:rFonts w:ascii="Times New Roman" w:hAnsi="Times New Roman" w:cs="Times New Roman"/>
          <w:color w:val="000000" w:themeColor="text1"/>
          <w:sz w:val="20"/>
          <w:szCs w:val="20"/>
        </w:rPr>
        <w:t xml:space="preserve"> that cannot be read by the </w:t>
      </w:r>
      <w:proofErr w:type="spellStart"/>
      <w:r w:rsidRPr="006261BF">
        <w:rPr>
          <w:rFonts w:ascii="Times New Roman" w:hAnsi="Times New Roman" w:cs="Times New Roman"/>
          <w:color w:val="000000" w:themeColor="text1"/>
          <w:sz w:val="20"/>
          <w:szCs w:val="20"/>
        </w:rPr>
        <w:t>RDKit</w:t>
      </w:r>
      <w:proofErr w:type="spellEnd"/>
      <w:r w:rsidRPr="006261BF">
        <w:rPr>
          <w:rFonts w:ascii="Times New Roman" w:hAnsi="Times New Roman" w:cs="Times New Roman"/>
          <w:color w:val="000000" w:themeColor="text1"/>
          <w:sz w:val="20"/>
          <w:szCs w:val="20"/>
        </w:rPr>
        <w:t xml:space="preserve"> tool</w:t>
      </w:r>
      <w:r w:rsidR="002322FE">
        <w:rPr>
          <w:rFonts w:ascii="Times New Roman" w:hAnsi="Times New Roman" w:cs="Times New Roman"/>
          <w:color w:val="000000" w:themeColor="text1"/>
          <w:sz w:val="20"/>
          <w:szCs w:val="20"/>
        </w:rPr>
        <w:t xml:space="preserve"> </w:t>
      </w:r>
      <w:r w:rsidR="002322FE" w:rsidRPr="002E0E4C">
        <w:rPr>
          <w:rFonts w:ascii="Times New Roman" w:hAnsi="Times New Roman" w:cs="Times New Roman"/>
          <w:color w:val="000000" w:themeColor="text1"/>
          <w:sz w:val="20"/>
          <w:szCs w:val="20"/>
        </w:rPr>
        <w:t>(Landrum, 2006)</w:t>
      </w:r>
      <w:r w:rsidR="002322FE">
        <w:rPr>
          <w:rFonts w:ascii="Times New Roman" w:hAnsi="Times New Roman" w:cs="Times New Roman"/>
          <w:color w:val="000000" w:themeColor="text1"/>
          <w:sz w:val="20"/>
          <w:szCs w:val="20"/>
        </w:rPr>
        <w:t xml:space="preserve"> </w:t>
      </w:r>
      <w:r w:rsidR="009E704D" w:rsidRPr="007A0C8C">
        <w:rPr>
          <w:rFonts w:ascii="Times New Roman" w:hAnsi="Times New Roman" w:cs="Times New Roman"/>
          <w:color w:val="000000" w:themeColor="text1"/>
          <w:sz w:val="20"/>
          <w:szCs w:val="20"/>
        </w:rPr>
        <w:t>or the ligand Morgen fragments cannot be found in the Mol2vec method</w:t>
      </w:r>
      <w:r w:rsidR="002322FE">
        <w:rPr>
          <w:rFonts w:ascii="Times New Roman" w:hAnsi="Times New Roman" w:cs="Times New Roman"/>
          <w:color w:val="000000" w:themeColor="text1"/>
          <w:sz w:val="20"/>
          <w:szCs w:val="20"/>
        </w:rPr>
        <w:t xml:space="preserve"> </w:t>
      </w:r>
      <w:r w:rsidR="002322FE" w:rsidRPr="001E4CB0">
        <w:rPr>
          <w:rFonts w:ascii="Times New Roman" w:hAnsi="Times New Roman" w:cs="Times New Roman"/>
          <w:color w:val="000000" w:themeColor="text1"/>
          <w:sz w:val="20"/>
          <w:szCs w:val="20"/>
        </w:rPr>
        <w:t>(</w:t>
      </w:r>
      <w:r w:rsidR="00BC12EB" w:rsidRPr="001E4CB0">
        <w:rPr>
          <w:rFonts w:ascii="Times New Roman" w:hAnsi="Times New Roman" w:cs="Times New Roman"/>
          <w:color w:val="000000" w:themeColor="text1"/>
          <w:sz w:val="20"/>
          <w:szCs w:val="20"/>
        </w:rPr>
        <w:t>Jaeger et al</w:t>
      </w:r>
      <w:r w:rsidR="00D02089" w:rsidRPr="001E4CB0">
        <w:rPr>
          <w:rFonts w:ascii="Times New Roman" w:hAnsi="Times New Roman" w:cs="Times New Roman"/>
          <w:color w:val="000000" w:themeColor="text1"/>
          <w:sz w:val="20"/>
          <w:szCs w:val="20"/>
        </w:rPr>
        <w:t>.</w:t>
      </w:r>
      <w:r w:rsidR="002322FE" w:rsidRPr="001E4CB0">
        <w:rPr>
          <w:rFonts w:ascii="Times New Roman" w:hAnsi="Times New Roman" w:cs="Times New Roman"/>
          <w:color w:val="000000" w:themeColor="text1"/>
          <w:sz w:val="20"/>
          <w:szCs w:val="20"/>
        </w:rPr>
        <w:t>, 2018)</w:t>
      </w:r>
      <w:r w:rsidR="009E704D" w:rsidRPr="007A0C8C">
        <w:rPr>
          <w:rFonts w:ascii="Times New Roman" w:hAnsi="Times New Roman" w:cs="Times New Roman"/>
          <w:color w:val="000000" w:themeColor="text1"/>
          <w:sz w:val="20"/>
          <w:szCs w:val="20"/>
        </w:rPr>
        <w:t xml:space="preserve"> are deleted.</w:t>
      </w:r>
    </w:p>
    <w:p w14:paraId="389C2E92" w14:textId="17DA91F0" w:rsidR="009E704D" w:rsidRPr="007A0C8C" w:rsidRDefault="006261BF" w:rsidP="006C7399">
      <w:pPr>
        <w:pStyle w:val="af0"/>
        <w:numPr>
          <w:ilvl w:val="0"/>
          <w:numId w:val="20"/>
        </w:numPr>
        <w:ind w:firstLineChars="0"/>
        <w:rPr>
          <w:rFonts w:ascii="Times New Roman" w:hAnsi="Times New Roman" w:cs="Times New Roman"/>
          <w:color w:val="000000" w:themeColor="text1"/>
          <w:sz w:val="20"/>
          <w:szCs w:val="20"/>
        </w:rPr>
      </w:pPr>
      <w:r w:rsidRPr="006261BF">
        <w:rPr>
          <w:rFonts w:ascii="Times New Roman" w:hAnsi="Times New Roman" w:cs="Times New Roman"/>
          <w:color w:val="000000" w:themeColor="text1"/>
          <w:sz w:val="20"/>
          <w:szCs w:val="20"/>
        </w:rPr>
        <w:t>Entries associated with protein-ligand complexes having a Morgen fragment number between 20 and 74 and an amino acid number between 40 and 500 are retained</w:t>
      </w:r>
      <w:r w:rsidR="009E704D" w:rsidRPr="007A0C8C">
        <w:rPr>
          <w:rFonts w:ascii="Times New Roman" w:hAnsi="Times New Roman" w:cs="Times New Roman"/>
          <w:color w:val="000000" w:themeColor="text1"/>
          <w:sz w:val="20"/>
          <w:szCs w:val="20"/>
        </w:rPr>
        <w:t>.</w:t>
      </w:r>
    </w:p>
    <w:p w14:paraId="5AB36A0F" w14:textId="384D9343" w:rsidR="009E704D" w:rsidRPr="007A0C8C" w:rsidRDefault="006261BF" w:rsidP="006C7399">
      <w:pPr>
        <w:pStyle w:val="af0"/>
        <w:numPr>
          <w:ilvl w:val="0"/>
          <w:numId w:val="20"/>
        </w:numPr>
        <w:ind w:firstLineChars="0"/>
        <w:rPr>
          <w:rFonts w:ascii="Times New Roman" w:hAnsi="Times New Roman" w:cs="Times New Roman"/>
          <w:color w:val="000000" w:themeColor="text1"/>
          <w:sz w:val="20"/>
          <w:szCs w:val="20"/>
        </w:rPr>
      </w:pPr>
      <w:r w:rsidRPr="006261BF">
        <w:rPr>
          <w:rFonts w:ascii="Times New Roman" w:hAnsi="Times New Roman" w:cs="Times New Roman"/>
          <w:color w:val="000000" w:themeColor="text1"/>
          <w:sz w:val="20"/>
          <w:szCs w:val="20"/>
        </w:rPr>
        <w:t xml:space="preserve">Entries related to protein-ligand complexes with </w:t>
      </w:r>
      <w:proofErr w:type="spellStart"/>
      <w:r w:rsidRPr="006C7399">
        <w:rPr>
          <w:rFonts w:ascii="Times New Roman" w:hAnsi="Times New Roman" w:cs="Times New Roman"/>
          <w:i/>
          <w:iCs/>
          <w:color w:val="000000" w:themeColor="text1"/>
          <w:sz w:val="20"/>
          <w:szCs w:val="20"/>
        </w:rPr>
        <w:t>pk</w:t>
      </w:r>
      <w:r w:rsidRPr="006C7399">
        <w:rPr>
          <w:rFonts w:ascii="Times New Roman" w:hAnsi="Times New Roman" w:cs="Times New Roman"/>
          <w:color w:val="000000" w:themeColor="text1"/>
          <w:sz w:val="20"/>
          <w:szCs w:val="20"/>
          <w:vertAlign w:val="subscript"/>
        </w:rPr>
        <w:t>off</w:t>
      </w:r>
      <w:proofErr w:type="spellEnd"/>
      <w:r w:rsidRPr="006261BF">
        <w:rPr>
          <w:rFonts w:ascii="Times New Roman" w:hAnsi="Times New Roman" w:cs="Times New Roman"/>
          <w:color w:val="000000" w:themeColor="text1"/>
          <w:sz w:val="20"/>
          <w:szCs w:val="20"/>
        </w:rPr>
        <w:t xml:space="preserve"> values ranging from 0 to 5 and </w:t>
      </w:r>
      <w:r w:rsidR="003A2D2F">
        <w:rPr>
          <w:rFonts w:ascii="Times New Roman" w:hAnsi="Times New Roman" w:cs="Times New Roman"/>
          <w:color w:val="000000" w:themeColor="text1"/>
          <w:sz w:val="20"/>
          <w:szCs w:val="20"/>
        </w:rPr>
        <w:t>without</w:t>
      </w:r>
      <w:r w:rsidR="003A2D2F" w:rsidRPr="006261BF">
        <w:rPr>
          <w:rFonts w:ascii="Times New Roman" w:hAnsi="Times New Roman" w:cs="Times New Roman"/>
          <w:color w:val="000000" w:themeColor="text1"/>
          <w:sz w:val="20"/>
          <w:szCs w:val="20"/>
        </w:rPr>
        <w:t xml:space="preserve"> </w:t>
      </w:r>
      <w:r w:rsidRPr="006261BF">
        <w:rPr>
          <w:rFonts w:ascii="Times New Roman" w:hAnsi="Times New Roman" w:cs="Times New Roman"/>
          <w:color w:val="000000" w:themeColor="text1"/>
          <w:sz w:val="20"/>
          <w:szCs w:val="20"/>
        </w:rPr>
        <w:t xml:space="preserve">uncertain inequality signs (e.g., </w:t>
      </w:r>
      <w:r w:rsidR="001253F2">
        <w:rPr>
          <w:rFonts w:ascii="Times New Roman" w:hAnsi="Times New Roman" w:cs="Times New Roman"/>
          <w:color w:val="000000" w:themeColor="text1"/>
          <w:sz w:val="20"/>
          <w:szCs w:val="20"/>
        </w:rPr>
        <w:t>“</w:t>
      </w:r>
      <w:r w:rsidR="001253F2" w:rsidRPr="006261BF">
        <w:rPr>
          <w:rFonts w:ascii="Times New Roman" w:hAnsi="Times New Roman" w:cs="Times New Roman"/>
          <w:color w:val="000000" w:themeColor="text1"/>
          <w:sz w:val="20"/>
          <w:szCs w:val="20"/>
        </w:rPr>
        <w:t>&gt;</w:t>
      </w:r>
      <w:r w:rsidR="001253F2">
        <w:rPr>
          <w:rFonts w:ascii="Times New Roman" w:hAnsi="Times New Roman" w:cs="Times New Roman"/>
          <w:color w:val="000000" w:themeColor="text1"/>
          <w:sz w:val="20"/>
          <w:szCs w:val="20"/>
        </w:rPr>
        <w:t>”</w:t>
      </w:r>
      <w:r w:rsidR="001253F2" w:rsidRPr="006261BF">
        <w:rPr>
          <w:rFonts w:ascii="Times New Roman" w:hAnsi="Times New Roman" w:cs="Times New Roman"/>
          <w:color w:val="000000" w:themeColor="text1"/>
          <w:sz w:val="20"/>
          <w:szCs w:val="20"/>
        </w:rPr>
        <w:t xml:space="preserve">, </w:t>
      </w:r>
      <w:r w:rsidR="001253F2">
        <w:rPr>
          <w:rFonts w:ascii="Times New Roman" w:hAnsi="Times New Roman" w:cs="Times New Roman"/>
          <w:color w:val="000000" w:themeColor="text1"/>
          <w:sz w:val="20"/>
          <w:szCs w:val="20"/>
        </w:rPr>
        <w:t>“</w:t>
      </w:r>
      <w:r w:rsidR="001253F2" w:rsidRPr="006261BF">
        <w:rPr>
          <w:rFonts w:ascii="Times New Roman" w:hAnsi="Times New Roman" w:cs="Times New Roman"/>
          <w:color w:val="000000" w:themeColor="text1"/>
          <w:sz w:val="20"/>
          <w:szCs w:val="20"/>
        </w:rPr>
        <w:t>&lt;</w:t>
      </w:r>
      <w:r w:rsidR="001253F2">
        <w:rPr>
          <w:rFonts w:ascii="Times New Roman" w:hAnsi="Times New Roman" w:cs="Times New Roman"/>
          <w:color w:val="000000" w:themeColor="text1"/>
          <w:sz w:val="20"/>
          <w:szCs w:val="20"/>
        </w:rPr>
        <w:t>”</w:t>
      </w:r>
      <w:r w:rsidR="001253F2" w:rsidRPr="006261BF">
        <w:rPr>
          <w:rFonts w:ascii="Times New Roman" w:hAnsi="Times New Roman" w:cs="Times New Roman"/>
          <w:color w:val="000000" w:themeColor="text1"/>
          <w:sz w:val="20"/>
          <w:szCs w:val="20"/>
        </w:rPr>
        <w:t xml:space="preserve">) </w:t>
      </w:r>
      <w:r w:rsidRPr="006261BF">
        <w:rPr>
          <w:rFonts w:ascii="Times New Roman" w:hAnsi="Times New Roman" w:cs="Times New Roman"/>
          <w:color w:val="000000" w:themeColor="text1"/>
          <w:sz w:val="20"/>
          <w:szCs w:val="20"/>
        </w:rPr>
        <w:t>are retained</w:t>
      </w:r>
      <w:r w:rsidR="009E704D" w:rsidRPr="007A0C8C">
        <w:rPr>
          <w:rFonts w:ascii="Times New Roman" w:hAnsi="Times New Roman" w:cs="Times New Roman"/>
          <w:color w:val="000000" w:themeColor="text1"/>
          <w:sz w:val="20"/>
          <w:szCs w:val="20"/>
        </w:rPr>
        <w:t>.</w:t>
      </w:r>
    </w:p>
    <w:p w14:paraId="2FF8A52E" w14:textId="1E13D31E" w:rsidR="009E704D" w:rsidRPr="007A0C8C" w:rsidRDefault="006261BF" w:rsidP="006C7399">
      <w:pPr>
        <w:pStyle w:val="af0"/>
        <w:numPr>
          <w:ilvl w:val="0"/>
          <w:numId w:val="20"/>
        </w:numPr>
        <w:ind w:firstLineChars="0"/>
        <w:rPr>
          <w:rFonts w:ascii="Times New Roman" w:hAnsi="Times New Roman" w:cs="Times New Roman"/>
          <w:color w:val="000000" w:themeColor="text1"/>
          <w:sz w:val="20"/>
          <w:szCs w:val="20"/>
        </w:rPr>
      </w:pPr>
      <w:r w:rsidRPr="006261BF">
        <w:rPr>
          <w:rFonts w:ascii="Times New Roman" w:hAnsi="Times New Roman" w:cs="Times New Roman"/>
          <w:color w:val="000000" w:themeColor="text1"/>
          <w:sz w:val="20"/>
          <w:szCs w:val="20"/>
        </w:rPr>
        <w:t>Entries involving protein-ligand complexes with more than one protein chain are excluded</w:t>
      </w:r>
      <w:r w:rsidR="009E704D" w:rsidRPr="007A0C8C">
        <w:rPr>
          <w:rFonts w:ascii="Times New Roman" w:hAnsi="Times New Roman" w:cs="Times New Roman"/>
          <w:color w:val="000000" w:themeColor="text1"/>
          <w:sz w:val="20"/>
          <w:szCs w:val="20"/>
        </w:rPr>
        <w:t>.</w:t>
      </w:r>
    </w:p>
    <w:p w14:paraId="70E5A67B" w14:textId="65BD45B5" w:rsidR="009E704D" w:rsidRPr="007A0C8C" w:rsidRDefault="006261BF" w:rsidP="006C7399">
      <w:pPr>
        <w:pStyle w:val="af0"/>
        <w:numPr>
          <w:ilvl w:val="0"/>
          <w:numId w:val="20"/>
        </w:numPr>
        <w:ind w:firstLineChars="0"/>
        <w:rPr>
          <w:rFonts w:ascii="Times New Roman" w:hAnsi="Times New Roman" w:cs="Times New Roman"/>
          <w:color w:val="000000" w:themeColor="text1"/>
          <w:sz w:val="20"/>
          <w:szCs w:val="20"/>
        </w:rPr>
      </w:pPr>
      <w:r w:rsidRPr="006261BF">
        <w:rPr>
          <w:rFonts w:ascii="Times New Roman" w:hAnsi="Times New Roman" w:cs="Times New Roman"/>
          <w:color w:val="000000" w:themeColor="text1"/>
          <w:sz w:val="20"/>
          <w:szCs w:val="20"/>
        </w:rPr>
        <w:t xml:space="preserve">Ligands conforming to </w:t>
      </w:r>
      <w:r w:rsidR="001117D1" w:rsidRPr="006261BF">
        <w:rPr>
          <w:rFonts w:ascii="Times New Roman" w:hAnsi="Times New Roman" w:cs="Times New Roman"/>
          <w:color w:val="000000" w:themeColor="text1"/>
          <w:sz w:val="20"/>
          <w:szCs w:val="20"/>
        </w:rPr>
        <w:t>Lipinski</w:t>
      </w:r>
      <w:r w:rsidR="001117D1">
        <w:rPr>
          <w:rFonts w:ascii="Times New Roman" w:hAnsi="Times New Roman" w:cs="Times New Roman"/>
          <w:color w:val="000000" w:themeColor="text1"/>
          <w:sz w:val="20"/>
          <w:szCs w:val="20"/>
        </w:rPr>
        <w:t>’</w:t>
      </w:r>
      <w:r w:rsidR="001117D1" w:rsidRPr="006261BF">
        <w:rPr>
          <w:rFonts w:ascii="Times New Roman" w:hAnsi="Times New Roman" w:cs="Times New Roman"/>
          <w:color w:val="000000" w:themeColor="text1"/>
          <w:sz w:val="20"/>
          <w:szCs w:val="20"/>
        </w:rPr>
        <w:t xml:space="preserve">s </w:t>
      </w:r>
      <w:r w:rsidR="001117D1">
        <w:rPr>
          <w:rFonts w:ascii="Times New Roman" w:hAnsi="Times New Roman" w:cs="Times New Roman"/>
          <w:color w:val="000000" w:themeColor="text1"/>
          <w:sz w:val="20"/>
          <w:szCs w:val="20"/>
        </w:rPr>
        <w:t>“</w:t>
      </w:r>
      <w:r w:rsidRPr="006261BF">
        <w:rPr>
          <w:rFonts w:ascii="Times New Roman" w:hAnsi="Times New Roman" w:cs="Times New Roman"/>
          <w:color w:val="000000" w:themeColor="text1"/>
          <w:sz w:val="20"/>
          <w:szCs w:val="20"/>
        </w:rPr>
        <w:t>Rule of Five</w:t>
      </w:r>
      <w:r w:rsidR="001117D1">
        <w:rPr>
          <w:rFonts w:ascii="Times New Roman" w:hAnsi="Times New Roman" w:cs="Times New Roman"/>
          <w:color w:val="000000" w:themeColor="text1"/>
          <w:sz w:val="20"/>
          <w:szCs w:val="20"/>
        </w:rPr>
        <w:t>”</w:t>
      </w:r>
      <w:r w:rsidR="001117D1" w:rsidRPr="007A0C8C">
        <w:rPr>
          <w:rFonts w:ascii="Times New Roman" w:eastAsia="宋体" w:hAnsi="Times New Roman" w:cs="Times New Roman"/>
          <w:color w:val="000000" w:themeColor="text1"/>
          <w:sz w:val="20"/>
          <w:szCs w:val="20"/>
        </w:rPr>
        <w:t xml:space="preserve"> </w:t>
      </w:r>
      <w:r w:rsidR="009E704D" w:rsidRPr="007A0C8C">
        <w:rPr>
          <w:rFonts w:ascii="Times New Roman" w:eastAsia="宋体" w:hAnsi="Times New Roman" w:cs="Times New Roman"/>
          <w:color w:val="000000" w:themeColor="text1"/>
          <w:sz w:val="20"/>
          <w:szCs w:val="20"/>
        </w:rPr>
        <w:t xml:space="preserve">are </w:t>
      </w:r>
      <w:r w:rsidR="009E704D" w:rsidRPr="007A0C8C">
        <w:rPr>
          <w:rFonts w:ascii="Times New Roman" w:hAnsi="Times New Roman" w:cs="Times New Roman"/>
          <w:color w:val="000000" w:themeColor="text1"/>
          <w:sz w:val="20"/>
          <w:szCs w:val="20"/>
        </w:rPr>
        <w:t>retained.</w:t>
      </w:r>
    </w:p>
    <w:p w14:paraId="3530B58B" w14:textId="7AB06779" w:rsidR="009E704D" w:rsidRPr="007A0C8C" w:rsidRDefault="006261BF" w:rsidP="006C7399">
      <w:pPr>
        <w:pStyle w:val="af0"/>
        <w:numPr>
          <w:ilvl w:val="0"/>
          <w:numId w:val="20"/>
        </w:numPr>
        <w:ind w:firstLineChars="0"/>
        <w:rPr>
          <w:rFonts w:ascii="Times New Roman" w:hAnsi="Times New Roman" w:cs="Times New Roman"/>
          <w:color w:val="000000" w:themeColor="text1"/>
          <w:sz w:val="20"/>
          <w:szCs w:val="20"/>
        </w:rPr>
      </w:pPr>
      <w:r w:rsidRPr="006261BF">
        <w:rPr>
          <w:rFonts w:ascii="Times New Roman" w:hAnsi="Times New Roman" w:cs="Times New Roman"/>
          <w:color w:val="000000" w:themeColor="text1"/>
          <w:sz w:val="20"/>
          <w:szCs w:val="20"/>
        </w:rPr>
        <w:t>Entries involving charged or ionic ligands are excluded</w:t>
      </w:r>
      <w:r w:rsidR="009E704D" w:rsidRPr="007A0C8C">
        <w:rPr>
          <w:rFonts w:ascii="Times New Roman" w:hAnsi="Times New Roman" w:cs="Times New Roman"/>
          <w:color w:val="000000" w:themeColor="text1"/>
          <w:sz w:val="20"/>
          <w:szCs w:val="20"/>
        </w:rPr>
        <w:t>.</w:t>
      </w:r>
    </w:p>
    <w:p w14:paraId="28B16EE3" w14:textId="224344E2" w:rsidR="009E704D" w:rsidRPr="007A0C8C" w:rsidRDefault="006261BF" w:rsidP="006C7399">
      <w:pPr>
        <w:pStyle w:val="af0"/>
        <w:numPr>
          <w:ilvl w:val="0"/>
          <w:numId w:val="20"/>
        </w:numPr>
        <w:ind w:firstLineChars="0"/>
        <w:rPr>
          <w:rFonts w:ascii="Times New Roman" w:hAnsi="Times New Roman" w:cs="Times New Roman"/>
          <w:color w:val="000000" w:themeColor="text1"/>
          <w:sz w:val="20"/>
          <w:szCs w:val="20"/>
        </w:rPr>
      </w:pPr>
      <w:r w:rsidRPr="006261BF">
        <w:rPr>
          <w:rFonts w:ascii="Times New Roman" w:hAnsi="Times New Roman" w:cs="Times New Roman"/>
          <w:color w:val="000000" w:themeColor="text1"/>
          <w:sz w:val="20"/>
          <w:szCs w:val="20"/>
        </w:rPr>
        <w:t>Duplicate entries are retained only once</w:t>
      </w:r>
      <w:r w:rsidR="009E704D" w:rsidRPr="007A0C8C">
        <w:rPr>
          <w:rFonts w:ascii="Times New Roman" w:hAnsi="Times New Roman" w:cs="Times New Roman"/>
          <w:color w:val="000000" w:themeColor="text1"/>
          <w:sz w:val="20"/>
          <w:szCs w:val="20"/>
        </w:rPr>
        <w:t>.</w:t>
      </w:r>
    </w:p>
    <w:p w14:paraId="63D0828C" w14:textId="6A42434A" w:rsidR="00FA6F8E" w:rsidRDefault="00D02928" w:rsidP="0094359F">
      <w:pPr>
        <w:pStyle w:val="Els-body-text"/>
        <w:rPr>
          <w:color w:val="000000" w:themeColor="text1"/>
        </w:rPr>
      </w:pPr>
      <w:r w:rsidRPr="00D02928">
        <w:rPr>
          <w:color w:val="000000" w:themeColor="text1"/>
        </w:rPr>
        <w:t xml:space="preserve">After applying the above criteria, a total of 2,716 unique protein-ligand </w:t>
      </w:r>
      <w:proofErr w:type="spellStart"/>
      <w:r w:rsidR="00EC1493" w:rsidRPr="002822BF">
        <w:rPr>
          <w:i/>
          <w:iCs/>
        </w:rPr>
        <w:t>pk</w:t>
      </w:r>
      <w:r w:rsidR="00EC1493" w:rsidRPr="002822BF">
        <w:rPr>
          <w:vertAlign w:val="subscript"/>
        </w:rPr>
        <w:t>off</w:t>
      </w:r>
      <w:proofErr w:type="spellEnd"/>
      <w:r w:rsidR="00EC1493" w:rsidRPr="002822BF">
        <w:t xml:space="preserve"> values</w:t>
      </w:r>
      <w:r w:rsidRPr="00D02928">
        <w:rPr>
          <w:color w:val="000000" w:themeColor="text1"/>
        </w:rPr>
        <w:t xml:space="preserve"> </w:t>
      </w:r>
      <w:r w:rsidR="005A4F20">
        <w:rPr>
          <w:color w:val="000000" w:themeColor="text1"/>
        </w:rPr>
        <w:t xml:space="preserve">are obtained </w:t>
      </w:r>
      <w:r w:rsidRPr="00D02928">
        <w:rPr>
          <w:color w:val="000000" w:themeColor="text1"/>
        </w:rPr>
        <w:t>for our database</w:t>
      </w:r>
      <w:r w:rsidR="00EC1493" w:rsidRPr="002822BF">
        <w:t>, as well as the corresponding SMILES strings of ligands and FASTA strings</w:t>
      </w:r>
      <w:r w:rsidR="00EC1493" w:rsidRPr="002822BF" w:rsidDel="0030207E">
        <w:t xml:space="preserve"> </w:t>
      </w:r>
      <w:r w:rsidR="00EC1493" w:rsidRPr="002822BF">
        <w:rPr>
          <w:color w:val="000000" w:themeColor="text1"/>
        </w:rPr>
        <w:t>of proteins</w:t>
      </w:r>
      <w:r w:rsidRPr="00D02928">
        <w:rPr>
          <w:color w:val="000000" w:themeColor="text1"/>
        </w:rPr>
        <w:t>. This dataset is divided into a training dataset (2,175 samples), a validation dataset (270 samples), and a test dataset (271 samples), following an 8:1:1 ratio, respectively.</w:t>
      </w:r>
      <w:r w:rsidR="002A685B">
        <w:rPr>
          <w:color w:val="000000" w:themeColor="text1"/>
        </w:rPr>
        <w:t xml:space="preserve"> </w:t>
      </w:r>
      <w:r w:rsidR="00FA6F8E" w:rsidRPr="00FA6F8E">
        <w:rPr>
          <w:color w:val="000000" w:themeColor="text1"/>
        </w:rPr>
        <w:t xml:space="preserve">The </w:t>
      </w:r>
      <w:proofErr w:type="spellStart"/>
      <w:r w:rsidR="00FA6F8E" w:rsidRPr="002822BF">
        <w:rPr>
          <w:i/>
          <w:iCs/>
        </w:rPr>
        <w:t>pk</w:t>
      </w:r>
      <w:r w:rsidR="00FA6F8E" w:rsidRPr="002822BF">
        <w:rPr>
          <w:vertAlign w:val="subscript"/>
        </w:rPr>
        <w:t>off</w:t>
      </w:r>
      <w:proofErr w:type="spellEnd"/>
      <w:r w:rsidR="00FA6F8E" w:rsidRPr="00FA6F8E">
        <w:rPr>
          <w:color w:val="000000" w:themeColor="text1"/>
        </w:rPr>
        <w:t xml:space="preserve"> values in our database cover a wide range from 0 to 5, representing the majority of cases in terms of </w:t>
      </w:r>
      <w:proofErr w:type="spellStart"/>
      <w:r w:rsidR="00FA6F8E" w:rsidRPr="002822BF">
        <w:rPr>
          <w:i/>
          <w:iCs/>
        </w:rPr>
        <w:t>pk</w:t>
      </w:r>
      <w:r w:rsidR="00FA6F8E" w:rsidRPr="002822BF">
        <w:rPr>
          <w:vertAlign w:val="subscript"/>
        </w:rPr>
        <w:t>off</w:t>
      </w:r>
      <w:proofErr w:type="spellEnd"/>
      <w:r w:rsidR="00FA6F8E" w:rsidRPr="00FA6F8E">
        <w:rPr>
          <w:color w:val="000000" w:themeColor="text1"/>
        </w:rPr>
        <w:t xml:space="preserve"> values. A higher </w:t>
      </w:r>
      <w:proofErr w:type="spellStart"/>
      <w:r w:rsidR="001C799F" w:rsidRPr="002822BF">
        <w:rPr>
          <w:i/>
          <w:iCs/>
        </w:rPr>
        <w:t>pk</w:t>
      </w:r>
      <w:r w:rsidR="001C799F" w:rsidRPr="002822BF">
        <w:rPr>
          <w:vertAlign w:val="subscript"/>
        </w:rPr>
        <w:t>off</w:t>
      </w:r>
      <w:proofErr w:type="spellEnd"/>
      <w:r w:rsidR="00FA6F8E" w:rsidRPr="00FA6F8E">
        <w:rPr>
          <w:color w:val="000000" w:themeColor="text1"/>
        </w:rPr>
        <w:t xml:space="preserve"> value indicates a longer duration of the inhibitor candidate binding to the protein. In </w:t>
      </w:r>
      <w:r w:rsidR="00FA6F8E" w:rsidRPr="006C7399">
        <w:rPr>
          <w:b/>
          <w:bCs/>
          <w:color w:val="000000" w:themeColor="text1"/>
        </w:rPr>
        <w:t>Fig</w:t>
      </w:r>
      <w:r w:rsidR="00061A49">
        <w:rPr>
          <w:b/>
          <w:bCs/>
          <w:color w:val="000000" w:themeColor="text1"/>
        </w:rPr>
        <w:t>ure</w:t>
      </w:r>
      <w:r w:rsidR="00FA6F8E" w:rsidRPr="006C7399">
        <w:rPr>
          <w:b/>
          <w:bCs/>
          <w:color w:val="000000" w:themeColor="text1"/>
        </w:rPr>
        <w:t xml:space="preserve">s </w:t>
      </w:r>
      <w:r w:rsidR="00160036" w:rsidRPr="006C7399">
        <w:rPr>
          <w:b/>
          <w:bCs/>
          <w:color w:val="000000" w:themeColor="text1"/>
        </w:rPr>
        <w:t>1</w:t>
      </w:r>
      <w:r w:rsidR="00FA6F8E" w:rsidRPr="006C7399">
        <w:rPr>
          <w:b/>
          <w:bCs/>
          <w:color w:val="000000" w:themeColor="text1"/>
        </w:rPr>
        <w:t>(</w:t>
      </w:r>
      <w:r w:rsidR="00160036" w:rsidRPr="006C7399">
        <w:rPr>
          <w:b/>
          <w:bCs/>
          <w:color w:val="000000" w:themeColor="text1"/>
          <w:lang w:eastAsia="zh-CN"/>
        </w:rPr>
        <w:t>a</w:t>
      </w:r>
      <w:r w:rsidR="00FA6F8E" w:rsidRPr="006C7399">
        <w:rPr>
          <w:b/>
          <w:bCs/>
          <w:color w:val="000000" w:themeColor="text1"/>
        </w:rPr>
        <w:t>-</w:t>
      </w:r>
      <w:r w:rsidR="00160036" w:rsidRPr="006C7399">
        <w:rPr>
          <w:b/>
          <w:bCs/>
          <w:color w:val="000000" w:themeColor="text1"/>
        </w:rPr>
        <w:t>b</w:t>
      </w:r>
      <w:r w:rsidR="00FA6F8E" w:rsidRPr="006C7399">
        <w:rPr>
          <w:b/>
          <w:bCs/>
          <w:color w:val="000000" w:themeColor="text1"/>
        </w:rPr>
        <w:t>)</w:t>
      </w:r>
      <w:r w:rsidR="00FA6F8E" w:rsidRPr="00FA6F8E">
        <w:rPr>
          <w:color w:val="000000" w:themeColor="text1"/>
        </w:rPr>
        <w:t>, the distributions of the numbers of Morgan fragments for ligands and the amino acids for proteins in our database are presented, respectively. These distributions approximate the normal distribution, indicating that our dissociation kinetic database encompasses diverse samples of ligands and proteins.</w:t>
      </w:r>
    </w:p>
    <w:p w14:paraId="333ACD7C" w14:textId="77777777" w:rsidR="002A685B" w:rsidRDefault="002A685B" w:rsidP="00D02928">
      <w:pPr>
        <w:pStyle w:val="Els-body-text"/>
        <w:rPr>
          <w:color w:val="000000" w:themeColor="text1"/>
        </w:rPr>
      </w:pPr>
    </w:p>
    <w:p w14:paraId="33635B80" w14:textId="54A0829F" w:rsidR="00863C0F" w:rsidRDefault="00F23A42" w:rsidP="00863C0F">
      <w:pPr>
        <w:pStyle w:val="Els-body-text"/>
        <w:jc w:val="center"/>
        <w:rPr>
          <w:color w:val="000000" w:themeColor="text1"/>
        </w:rPr>
      </w:pPr>
      <w:r>
        <w:rPr>
          <w:noProof/>
          <w:color w:val="000000" w:themeColor="text1"/>
        </w:rPr>
        <w:drawing>
          <wp:inline distT="0" distB="0" distL="0" distR="0" wp14:anchorId="114FF66A" wp14:editId="2EDB6DCB">
            <wp:extent cx="4493372" cy="1646076"/>
            <wp:effectExtent l="0" t="0" r="2540" b="0"/>
            <wp:docPr id="2492028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36596" cy="1661911"/>
                    </a:xfrm>
                    <a:prstGeom prst="rect">
                      <a:avLst/>
                    </a:prstGeom>
                    <a:noFill/>
                  </pic:spPr>
                </pic:pic>
              </a:graphicData>
            </a:graphic>
          </wp:inline>
        </w:drawing>
      </w:r>
    </w:p>
    <w:p w14:paraId="32BD004E" w14:textId="4D2627BD" w:rsidR="002A685B" w:rsidRDefault="002A685B" w:rsidP="008B7BD6">
      <w:pPr>
        <w:pStyle w:val="Els-body-text"/>
        <w:jc w:val="center"/>
        <w:rPr>
          <w:color w:val="000000" w:themeColor="text1"/>
        </w:rPr>
      </w:pPr>
      <w:r w:rsidRPr="003D1535">
        <w:rPr>
          <w:b/>
          <w:bCs/>
        </w:rPr>
        <w:t xml:space="preserve">Figure </w:t>
      </w:r>
      <w:r w:rsidR="0055380E" w:rsidRPr="003D1535">
        <w:rPr>
          <w:b/>
          <w:bCs/>
        </w:rPr>
        <w:t>1</w:t>
      </w:r>
      <w:r w:rsidRPr="003D1535">
        <w:t xml:space="preserve">. </w:t>
      </w:r>
      <w:proofErr w:type="spellStart"/>
      <w:r w:rsidRPr="003D1535">
        <w:rPr>
          <w:b/>
          <w:bCs/>
        </w:rPr>
        <w:t>a</w:t>
      </w:r>
      <w:proofErr w:type="spellEnd"/>
      <w:r w:rsidRPr="003D1535">
        <w:t xml:space="preserve"> </w:t>
      </w:r>
      <w:proofErr w:type="gramStart"/>
      <w:r w:rsidRPr="003D1535">
        <w:t>The</w:t>
      </w:r>
      <w:proofErr w:type="gramEnd"/>
      <w:r w:rsidRPr="003D1535">
        <w:t xml:space="preserve"> distributions of the numbers of the Mogan fragments for ligands in the established database. </w:t>
      </w:r>
      <w:r w:rsidR="00437380" w:rsidRPr="003D1535">
        <w:rPr>
          <w:b/>
          <w:bCs/>
        </w:rPr>
        <w:t>b</w:t>
      </w:r>
      <w:r w:rsidR="00437380" w:rsidRPr="003D1535">
        <w:t xml:space="preserve"> </w:t>
      </w:r>
      <w:proofErr w:type="gramStart"/>
      <w:r w:rsidRPr="003D1535">
        <w:t>The</w:t>
      </w:r>
      <w:proofErr w:type="gramEnd"/>
      <w:r w:rsidRPr="003D1535">
        <w:t xml:space="preserve"> distributions of the numbers of the amino acids for proteins in the established database.</w:t>
      </w:r>
    </w:p>
    <w:p w14:paraId="10186D3E" w14:textId="77777777" w:rsidR="002A685B" w:rsidRPr="00D02928" w:rsidRDefault="002A685B" w:rsidP="00D02928">
      <w:pPr>
        <w:pStyle w:val="Els-body-text"/>
        <w:rPr>
          <w:color w:val="000000" w:themeColor="text1"/>
        </w:rPr>
      </w:pPr>
    </w:p>
    <w:bookmarkEnd w:id="0"/>
    <w:p w14:paraId="144DE69D" w14:textId="7F2B69C6" w:rsidR="008D2649" w:rsidRDefault="003A6CF6" w:rsidP="008D2649">
      <w:pPr>
        <w:pStyle w:val="Els-2ndorder-head"/>
      </w:pPr>
      <w:r w:rsidRPr="003A6CF6">
        <w:t xml:space="preserve">Input </w:t>
      </w:r>
      <w:r w:rsidR="000757D9">
        <w:t>Representation</w:t>
      </w:r>
    </w:p>
    <w:p w14:paraId="0A5C4465" w14:textId="416FC05A" w:rsidR="00C36F32" w:rsidRDefault="007A0C8C" w:rsidP="0094359F">
      <w:pPr>
        <w:jc w:val="both"/>
        <w:rPr>
          <w:szCs w:val="15"/>
        </w:rPr>
      </w:pPr>
      <w:r w:rsidRPr="007A0C8C">
        <w:rPr>
          <w:szCs w:val="15"/>
        </w:rPr>
        <w:t xml:space="preserve">In our dissociation kinetic model, </w:t>
      </w:r>
      <w:r w:rsidRPr="007A0C8C">
        <w:rPr>
          <w:rFonts w:hint="eastAsia"/>
          <w:szCs w:val="15"/>
        </w:rPr>
        <w:t>the</w:t>
      </w:r>
      <w:r w:rsidRPr="007A0C8C">
        <w:rPr>
          <w:szCs w:val="15"/>
        </w:rPr>
        <w:t xml:space="preserve"> protein-ligand complexes are represented using text-based strings </w:t>
      </w:r>
      <w:r w:rsidR="00C87B91" w:rsidRPr="00C87B91">
        <w:rPr>
          <w:szCs w:val="15"/>
        </w:rPr>
        <w:t>because accessing their three-dimensional structures is time-consuming</w:t>
      </w:r>
      <w:r w:rsidRPr="007A0C8C">
        <w:rPr>
          <w:szCs w:val="15"/>
        </w:rPr>
        <w:t>.</w:t>
      </w:r>
      <w:r w:rsidR="00C87B91">
        <w:rPr>
          <w:szCs w:val="15"/>
        </w:rPr>
        <w:t xml:space="preserve"> </w:t>
      </w:r>
      <w:r w:rsidR="00C87B91" w:rsidRPr="00C87B91">
        <w:rPr>
          <w:szCs w:val="15"/>
        </w:rPr>
        <w:t xml:space="preserve">The ligand is represented using the Mol2vec descriptor, which is a unique set of Morgan fragments with embedded feature vectors for each molecule. To obtain the Mol2vec descriptor, the SMILES string of the ligand is first transformed into fragments using the </w:t>
      </w:r>
      <w:r w:rsidR="00C87B91" w:rsidRPr="00C87B91">
        <w:rPr>
          <w:szCs w:val="15"/>
        </w:rPr>
        <w:lastRenderedPageBreak/>
        <w:t xml:space="preserve">Morgan algorithm with a radius of 1. Then, a search approach is employed to embed the fragments with feature vectors, where the default dimension is 300. </w:t>
      </w:r>
      <w:r w:rsidR="00ED21A5" w:rsidRPr="00C87B91">
        <w:rPr>
          <w:szCs w:val="15"/>
        </w:rPr>
        <w:t>It is important to note that the Morgan fragments used in Mol2vec provide greater interpretability compared to plain text-based SMILES strings.</w:t>
      </w:r>
      <w:r w:rsidR="00850C8F">
        <w:rPr>
          <w:szCs w:val="15"/>
        </w:rPr>
        <w:t xml:space="preserve"> </w:t>
      </w:r>
      <w:r w:rsidR="000458C5" w:rsidRPr="00C87B91">
        <w:rPr>
          <w:szCs w:val="15"/>
        </w:rPr>
        <w:t>Each ligand sample is represented by a two-dimensional matrix with dimensions of 74×300.</w:t>
      </w:r>
      <w:r w:rsidR="000458C5">
        <w:rPr>
          <w:szCs w:val="15"/>
        </w:rPr>
        <w:t xml:space="preserve"> </w:t>
      </w:r>
      <w:r w:rsidR="000458C5" w:rsidRPr="00756159">
        <w:rPr>
          <w:szCs w:val="15"/>
        </w:rPr>
        <w:t xml:space="preserve">The complete </w:t>
      </w:r>
      <w:r w:rsidR="000458C5">
        <w:rPr>
          <w:szCs w:val="15"/>
        </w:rPr>
        <w:t>ligand</w:t>
      </w:r>
      <w:r w:rsidR="000458C5" w:rsidRPr="00756159">
        <w:rPr>
          <w:szCs w:val="15"/>
        </w:rPr>
        <w:t xml:space="preserve"> feature is obtained by summing the vectors of individual </w:t>
      </w:r>
      <w:r w:rsidR="000458C5">
        <w:rPr>
          <w:szCs w:val="15"/>
        </w:rPr>
        <w:t>Morgan fragments</w:t>
      </w:r>
      <w:r w:rsidR="000458C5" w:rsidRPr="00756159">
        <w:rPr>
          <w:szCs w:val="15"/>
        </w:rPr>
        <w:t>.</w:t>
      </w:r>
      <w:r w:rsidR="002F4D81">
        <w:rPr>
          <w:szCs w:val="15"/>
        </w:rPr>
        <w:t xml:space="preserve"> </w:t>
      </w:r>
      <w:r w:rsidR="00C87B91" w:rsidRPr="00C87B91">
        <w:rPr>
          <w:szCs w:val="15"/>
        </w:rPr>
        <w:t xml:space="preserve">For more details about the Mol2vec descriptor, </w:t>
      </w:r>
      <w:r w:rsidR="008D75EF">
        <w:rPr>
          <w:szCs w:val="15"/>
        </w:rPr>
        <w:t xml:space="preserve">please </w:t>
      </w:r>
      <w:r w:rsidR="00C87B91" w:rsidRPr="00C87B91">
        <w:rPr>
          <w:szCs w:val="15"/>
        </w:rPr>
        <w:t>refer to Jaeger et a</w:t>
      </w:r>
      <w:r w:rsidR="00C87B91" w:rsidRPr="00E00F9F">
        <w:rPr>
          <w:szCs w:val="15"/>
        </w:rPr>
        <w:t>l</w:t>
      </w:r>
      <w:r w:rsidR="00272C33" w:rsidRPr="00E00F9F">
        <w:rPr>
          <w:szCs w:val="15"/>
        </w:rPr>
        <w:t>.</w:t>
      </w:r>
      <w:r w:rsidR="002322FE" w:rsidRPr="00E00F9F">
        <w:rPr>
          <w:szCs w:val="15"/>
        </w:rPr>
        <w:t xml:space="preserve"> </w:t>
      </w:r>
      <w:r w:rsidR="002322FE" w:rsidRPr="00E00F9F">
        <w:rPr>
          <w:color w:val="000000" w:themeColor="text1"/>
        </w:rPr>
        <w:t>(2018)</w:t>
      </w:r>
      <w:r w:rsidR="00C87B91" w:rsidRPr="00E00F9F">
        <w:rPr>
          <w:szCs w:val="15"/>
        </w:rPr>
        <w:t>.</w:t>
      </w:r>
    </w:p>
    <w:p w14:paraId="476A674F" w14:textId="0248F4BF" w:rsidR="00C87B91" w:rsidRPr="00756159" w:rsidRDefault="00C00789" w:rsidP="0094359F">
      <w:pPr>
        <w:jc w:val="both"/>
        <w:rPr>
          <w:szCs w:val="15"/>
        </w:rPr>
      </w:pPr>
      <w:r w:rsidRPr="00C87B91">
        <w:rPr>
          <w:szCs w:val="15"/>
        </w:rPr>
        <w:t>The protein is represented using higher-order amino acid strings with embedded feature vectors. Each higher-order amino acid consists of three adjacent amino acids in the protein sequence, which is provided in the FASTA format.</w:t>
      </w:r>
      <w:r w:rsidRPr="00C00789">
        <w:rPr>
          <w:szCs w:val="15"/>
        </w:rPr>
        <w:t xml:space="preserve"> </w:t>
      </w:r>
      <w:r w:rsidR="00074CB6" w:rsidRPr="00C87B91">
        <w:rPr>
          <w:szCs w:val="15"/>
        </w:rPr>
        <w:t>This representation captures the interactions among amino acids.</w:t>
      </w:r>
      <w:r w:rsidR="006C3397">
        <w:rPr>
          <w:szCs w:val="15"/>
        </w:rPr>
        <w:t xml:space="preserve"> </w:t>
      </w:r>
      <w:r w:rsidR="008B5887">
        <w:rPr>
          <w:szCs w:val="15"/>
        </w:rPr>
        <w:t>A</w:t>
      </w:r>
      <w:r w:rsidRPr="00C87B91">
        <w:rPr>
          <w:szCs w:val="15"/>
        </w:rPr>
        <w:t xml:space="preserve"> total of 6,715 higher-order amino acid strings </w:t>
      </w:r>
      <w:r w:rsidR="008B5887">
        <w:rPr>
          <w:szCs w:val="15"/>
        </w:rPr>
        <w:t xml:space="preserve">are generated </w:t>
      </w:r>
      <w:r w:rsidRPr="00C87B91">
        <w:rPr>
          <w:szCs w:val="15"/>
        </w:rPr>
        <w:t xml:space="preserve">from the proteins in our dissociation kinetic database. Each higher-order amino acid string is then embedded with a feature vector using the </w:t>
      </w:r>
      <w:r w:rsidR="00EB6D5D" w:rsidRPr="00C87B91">
        <w:rPr>
          <w:szCs w:val="15"/>
        </w:rPr>
        <w:t xml:space="preserve">embedding method </w:t>
      </w:r>
      <w:r w:rsidR="00EB6D5D">
        <w:rPr>
          <w:szCs w:val="15"/>
        </w:rPr>
        <w:t xml:space="preserve">in the </w:t>
      </w:r>
      <w:proofErr w:type="spellStart"/>
      <w:r w:rsidRPr="00C87B91">
        <w:rPr>
          <w:szCs w:val="15"/>
        </w:rPr>
        <w:t>PyTorch</w:t>
      </w:r>
      <w:proofErr w:type="spellEnd"/>
      <w:r w:rsidRPr="00C87B91">
        <w:rPr>
          <w:szCs w:val="15"/>
        </w:rPr>
        <w:t xml:space="preserve"> library</w:t>
      </w:r>
      <w:r w:rsidR="00435E36">
        <w:rPr>
          <w:szCs w:val="15"/>
        </w:rPr>
        <w:t xml:space="preserve"> </w:t>
      </w:r>
      <w:r w:rsidR="00C81458" w:rsidRPr="00EC52F1">
        <w:t>(</w:t>
      </w:r>
      <w:proofErr w:type="spellStart"/>
      <w:r w:rsidR="00435E36" w:rsidRPr="00EC52F1">
        <w:rPr>
          <w:lang w:eastAsia="zh-CN"/>
        </w:rPr>
        <w:t>Paszke</w:t>
      </w:r>
      <w:proofErr w:type="spellEnd"/>
      <w:r w:rsidR="00435E36" w:rsidRPr="00EC52F1">
        <w:rPr>
          <w:lang w:eastAsia="zh-CN"/>
        </w:rPr>
        <w:t xml:space="preserve"> et al.</w:t>
      </w:r>
      <w:r w:rsidR="00C81458" w:rsidRPr="00EC52F1">
        <w:rPr>
          <w:lang w:eastAsia="zh-CN"/>
        </w:rPr>
        <w:t>,</w:t>
      </w:r>
      <w:r w:rsidR="00435E36" w:rsidRPr="00EC52F1">
        <w:rPr>
          <w:lang w:eastAsia="zh-CN"/>
        </w:rPr>
        <w:t xml:space="preserve"> 2019)</w:t>
      </w:r>
      <w:r w:rsidRPr="00EC52F1">
        <w:rPr>
          <w:szCs w:val="15"/>
        </w:rPr>
        <w:t>.</w:t>
      </w:r>
      <w:r>
        <w:rPr>
          <w:szCs w:val="15"/>
        </w:rPr>
        <w:t xml:space="preserve"> </w:t>
      </w:r>
      <w:r w:rsidRPr="00756159">
        <w:rPr>
          <w:szCs w:val="15"/>
        </w:rPr>
        <w:t>The feature size for each embedded vector is set to 30.</w:t>
      </w:r>
      <w:r w:rsidR="00F82B04" w:rsidRPr="00F82B04">
        <w:rPr>
          <w:szCs w:val="15"/>
        </w:rPr>
        <w:t xml:space="preserve"> </w:t>
      </w:r>
      <w:r w:rsidR="00F82B04" w:rsidRPr="00756159">
        <w:rPr>
          <w:szCs w:val="15"/>
        </w:rPr>
        <w:t>Based on the higher-order amino acid strings, each protein sample is represented by a two-dimensional matrix with dimensions of 500×30</w:t>
      </w:r>
      <w:r w:rsidR="00F82B04" w:rsidRPr="007A0C8C">
        <w:rPr>
          <w:szCs w:val="15"/>
        </w:rPr>
        <w:t>.</w:t>
      </w:r>
      <w:r w:rsidR="00956544" w:rsidRPr="00956544">
        <w:rPr>
          <w:szCs w:val="15"/>
        </w:rPr>
        <w:t xml:space="preserve"> </w:t>
      </w:r>
      <w:r w:rsidR="00956544" w:rsidRPr="00756159">
        <w:rPr>
          <w:szCs w:val="15"/>
        </w:rPr>
        <w:t>The complete protein feature is obtained by summing the vectors of individual higher-order amino acid strings.</w:t>
      </w:r>
    </w:p>
    <w:p w14:paraId="3B78067C" w14:textId="7AC0B416" w:rsidR="003A6CF6" w:rsidRDefault="003A6CF6" w:rsidP="003A6CF6">
      <w:pPr>
        <w:pStyle w:val="Els-2ndorder-head"/>
      </w:pPr>
      <w:r w:rsidRPr="003A6CF6">
        <w:t xml:space="preserve">Implementation of the </w:t>
      </w:r>
      <w:r w:rsidR="000757D9">
        <w:t>D</w:t>
      </w:r>
      <w:r w:rsidR="000757D9" w:rsidRPr="003A6CF6">
        <w:t xml:space="preserve">issociation </w:t>
      </w:r>
      <w:r w:rsidR="000757D9">
        <w:t>K</w:t>
      </w:r>
      <w:r w:rsidR="000757D9" w:rsidRPr="003A6CF6">
        <w:t xml:space="preserve">inetic </w:t>
      </w:r>
      <w:r w:rsidR="000757D9">
        <w:t>M</w:t>
      </w:r>
      <w:r w:rsidR="000757D9" w:rsidRPr="003A6CF6">
        <w:t>ode</w:t>
      </w:r>
      <w:r w:rsidR="000757D9">
        <w:t>l</w:t>
      </w:r>
    </w:p>
    <w:p w14:paraId="36443155" w14:textId="57CC8FCE" w:rsidR="00B82B18" w:rsidRPr="00CE4BBC" w:rsidRDefault="00107754" w:rsidP="00B82B18">
      <w:pPr>
        <w:adjustRightInd w:val="0"/>
        <w:snapToGrid w:val="0"/>
        <w:contextualSpacing/>
        <w:mirrorIndents/>
        <w:jc w:val="both"/>
      </w:pPr>
      <w:r>
        <w:t xml:space="preserve">The architecture of the end-to-end text-based deep learning model for predicting </w:t>
      </w:r>
      <w:proofErr w:type="spellStart"/>
      <w:r w:rsidRPr="002822BF">
        <w:rPr>
          <w:i/>
          <w:iCs/>
        </w:rPr>
        <w:t>pk</w:t>
      </w:r>
      <w:r w:rsidRPr="002822BF">
        <w:rPr>
          <w:vertAlign w:val="subscript"/>
        </w:rPr>
        <w:t>off</w:t>
      </w:r>
      <w:proofErr w:type="spellEnd"/>
      <w:r>
        <w:t xml:space="preserve"> is illustrated in </w:t>
      </w:r>
      <w:r w:rsidRPr="006C7399">
        <w:rPr>
          <w:b/>
          <w:bCs/>
        </w:rPr>
        <w:t>Fig</w:t>
      </w:r>
      <w:r w:rsidR="00D73DD3" w:rsidRPr="006C7399">
        <w:rPr>
          <w:b/>
          <w:bCs/>
        </w:rPr>
        <w:t>ure</w:t>
      </w:r>
      <w:r w:rsidRPr="006C7399">
        <w:rPr>
          <w:b/>
          <w:bCs/>
        </w:rPr>
        <w:t xml:space="preserve"> </w:t>
      </w:r>
      <w:r w:rsidR="00D53138" w:rsidRPr="006C7399">
        <w:rPr>
          <w:b/>
          <w:bCs/>
        </w:rPr>
        <w:t>2</w:t>
      </w:r>
      <w:r>
        <w:t xml:space="preserve">. </w:t>
      </w:r>
      <w:r w:rsidR="00B82B18">
        <w:t>Take a protein-ligand complex as an example. The deep learning model begins with the SMILES string of the ligand and the amino acid sequence (FASTA string) of the protein. These inputs are then transformed into the ligand matrix (Mol2vec descriptor: Morgan fragments with identifier features) and the protein matrix (higher-order amino acids with embedding features), respectively.</w:t>
      </w:r>
      <w:r w:rsidR="007E5CB1">
        <w:rPr>
          <w:rFonts w:hint="eastAsia"/>
          <w:lang w:eastAsia="zh-CN"/>
        </w:rPr>
        <w:t xml:space="preserve"> </w:t>
      </w:r>
      <w:r w:rsidR="00B82B18">
        <w:t>For the ligand matrix, it undergoes feature extraction through a fully connected (FC) layer and a</w:t>
      </w:r>
      <w:r w:rsidR="00BD7FB5">
        <w:t>n</w:t>
      </w:r>
      <w:r w:rsidR="00B82B18">
        <w:t xml:space="preserve"> </w:t>
      </w:r>
      <w:r w:rsidR="00BD7FB5">
        <w:t>a</w:t>
      </w:r>
      <w:r w:rsidR="00B82B18">
        <w:t xml:space="preserve">ttention layer. On the other hand, the protein matrix is processed by a one-dimensional convolution (Conv) layer and a </w:t>
      </w:r>
      <w:proofErr w:type="spellStart"/>
      <w:r w:rsidR="00B82B18">
        <w:t>MaxPool</w:t>
      </w:r>
      <w:proofErr w:type="spellEnd"/>
      <w:r w:rsidR="00B82B18">
        <w:t xml:space="preserve"> layer to reduce the row size before being passed through a</w:t>
      </w:r>
      <w:r w:rsidR="004440EB">
        <w:t>n</w:t>
      </w:r>
      <w:r w:rsidR="00B82B18">
        <w:t xml:space="preserve"> </w:t>
      </w:r>
      <w:r w:rsidR="004440EB">
        <w:t>attention</w:t>
      </w:r>
      <w:r w:rsidR="00B82B18">
        <w:t xml:space="preserve"> layer. This step helps reduce unnecessary computational costs in the attention layer.</w:t>
      </w:r>
      <w:r w:rsidR="003C2FD9">
        <w:rPr>
          <w:rFonts w:hint="eastAsia"/>
          <w:lang w:eastAsia="zh-CN"/>
        </w:rPr>
        <w:t xml:space="preserve"> </w:t>
      </w:r>
      <w:r w:rsidR="00B82B18">
        <w:t xml:space="preserve">At last, the processed features of the ligand matrix are aggregated using a readout operation that adds up the matrix rows. The same process is applied to the protein matrix. The resulting features from both matrices are concatenated and passed through subsequent FC layers to predict the </w:t>
      </w:r>
      <w:proofErr w:type="spellStart"/>
      <w:r w:rsidR="00B82B18" w:rsidRPr="006C7399">
        <w:rPr>
          <w:i/>
          <w:iCs/>
        </w:rPr>
        <w:t>pk</w:t>
      </w:r>
      <w:r w:rsidR="00B82B18" w:rsidRPr="006C7399">
        <w:rPr>
          <w:vertAlign w:val="subscript"/>
        </w:rPr>
        <w:t>off</w:t>
      </w:r>
      <w:proofErr w:type="spellEnd"/>
      <w:r w:rsidR="00B82B18">
        <w:t xml:space="preserve"> values for the protein-ligand complex.</w:t>
      </w:r>
    </w:p>
    <w:p w14:paraId="71255687" w14:textId="133D5D79" w:rsidR="00B82B18" w:rsidRPr="00A94774" w:rsidRDefault="00B82B18" w:rsidP="00B82B18">
      <w:pPr>
        <w:pStyle w:val="Els-1storder-head"/>
        <w:spacing w:after="120"/>
        <w:rPr>
          <w:lang w:val="en-GB"/>
        </w:rPr>
      </w:pPr>
      <w:r w:rsidRPr="00C5263C">
        <w:rPr>
          <w:lang w:val="en-GB"/>
        </w:rPr>
        <w:t xml:space="preserve">Leverage a </w:t>
      </w:r>
      <w:r w:rsidR="000757D9">
        <w:rPr>
          <w:lang w:val="en-GB"/>
        </w:rPr>
        <w:t>H</w:t>
      </w:r>
      <w:r w:rsidR="000757D9" w:rsidRPr="00C5263C">
        <w:rPr>
          <w:lang w:val="en-GB"/>
        </w:rPr>
        <w:t xml:space="preserve">ybrid </w:t>
      </w:r>
      <w:r w:rsidR="000757D9">
        <w:rPr>
          <w:lang w:val="en-GB"/>
        </w:rPr>
        <w:t>D</w:t>
      </w:r>
      <w:r w:rsidR="000757D9" w:rsidRPr="00C5263C">
        <w:rPr>
          <w:lang w:val="en-GB"/>
        </w:rPr>
        <w:t xml:space="preserve">eep </w:t>
      </w:r>
      <w:r w:rsidR="000757D9">
        <w:rPr>
          <w:lang w:val="en-GB"/>
        </w:rPr>
        <w:t>L</w:t>
      </w:r>
      <w:r w:rsidR="000757D9" w:rsidRPr="00C5263C">
        <w:rPr>
          <w:lang w:val="en-GB"/>
        </w:rPr>
        <w:t xml:space="preserve">earning </w:t>
      </w:r>
      <w:r w:rsidR="000757D9">
        <w:rPr>
          <w:lang w:val="en-GB"/>
        </w:rPr>
        <w:t>M</w:t>
      </w:r>
      <w:r w:rsidR="000757D9" w:rsidRPr="00C5263C">
        <w:rPr>
          <w:lang w:val="en-GB"/>
        </w:rPr>
        <w:t xml:space="preserve">odel </w:t>
      </w:r>
      <w:r w:rsidRPr="00C5263C">
        <w:rPr>
          <w:lang w:val="en-GB"/>
        </w:rPr>
        <w:t xml:space="preserve">for </w:t>
      </w:r>
      <w:r w:rsidR="000757D9">
        <w:rPr>
          <w:lang w:val="en-GB"/>
        </w:rPr>
        <w:t>D</w:t>
      </w:r>
      <w:r w:rsidR="000757D9" w:rsidRPr="00C5263C">
        <w:rPr>
          <w:lang w:val="en-GB"/>
        </w:rPr>
        <w:t xml:space="preserve">issociation </w:t>
      </w:r>
      <w:r w:rsidR="000757D9">
        <w:rPr>
          <w:lang w:val="en-GB"/>
        </w:rPr>
        <w:t>R</w:t>
      </w:r>
      <w:r w:rsidR="000757D9" w:rsidRPr="00C5263C">
        <w:rPr>
          <w:lang w:val="en-GB"/>
        </w:rPr>
        <w:t xml:space="preserve">ate </w:t>
      </w:r>
      <w:r w:rsidR="000757D9">
        <w:rPr>
          <w:lang w:val="en-GB"/>
        </w:rPr>
        <w:t>E</w:t>
      </w:r>
      <w:r w:rsidR="000757D9" w:rsidRPr="00C5263C">
        <w:rPr>
          <w:lang w:val="en-GB"/>
        </w:rPr>
        <w:t>valuations</w:t>
      </w:r>
    </w:p>
    <w:p w14:paraId="40757247" w14:textId="57FDF511" w:rsidR="00B82B18" w:rsidRPr="002822BF" w:rsidRDefault="00B82B18" w:rsidP="00B82B18">
      <w:pPr>
        <w:adjustRightInd w:val="0"/>
        <w:snapToGrid w:val="0"/>
        <w:contextualSpacing/>
        <w:mirrorIndents/>
        <w:jc w:val="both"/>
      </w:pPr>
      <w:r w:rsidRPr="00614708">
        <w:t xml:space="preserve">A novel data-driven dissociation kinetic model is developed in this </w:t>
      </w:r>
      <w:r>
        <w:t>work</w:t>
      </w:r>
      <w:r w:rsidRPr="00614708">
        <w:t xml:space="preserve"> to predict </w:t>
      </w:r>
      <w:proofErr w:type="spellStart"/>
      <w:r w:rsidRPr="006C7399">
        <w:rPr>
          <w:i/>
          <w:iCs/>
        </w:rPr>
        <w:t>pk</w:t>
      </w:r>
      <w:r w:rsidRPr="006C7399">
        <w:rPr>
          <w:vertAlign w:val="subscript"/>
        </w:rPr>
        <w:t>off</w:t>
      </w:r>
      <w:proofErr w:type="spellEnd"/>
      <w:r w:rsidRPr="00614708">
        <w:t xml:space="preserve"> using a hybrid deep learning architecture comprising a convolutional neural network and the </w:t>
      </w:r>
      <w:r w:rsidR="00CA6EB5">
        <w:t>attention</w:t>
      </w:r>
      <w:r>
        <w:t xml:space="preserve"> layer. </w:t>
      </w:r>
      <w:r w:rsidRPr="002822BF">
        <w:t xml:space="preserve">The hyperparameters (epoch, batch size, dropout rate, etc.) are determined </w:t>
      </w:r>
      <w:r w:rsidRPr="00C267E1">
        <w:t xml:space="preserve">through a trial-and-error approach based on our empirical knowledge. </w:t>
      </w:r>
      <w:r w:rsidRPr="007A0C8C">
        <w:t xml:space="preserve">The loss function </w:t>
      </w:r>
      <w:r w:rsidRPr="00C267E1">
        <w:t xml:space="preserve">employed </w:t>
      </w:r>
      <w:r w:rsidRPr="007A0C8C">
        <w:t xml:space="preserve">in our </w:t>
      </w:r>
      <w:r w:rsidRPr="007A0C8C">
        <w:rPr>
          <w:szCs w:val="15"/>
        </w:rPr>
        <w:t>dissociation</w:t>
      </w:r>
      <w:r w:rsidRPr="007A0C8C" w:rsidDel="009059B0">
        <w:t xml:space="preserve"> </w:t>
      </w:r>
      <w:r w:rsidRPr="007A0C8C">
        <w:t xml:space="preserve">kinetic model is </w:t>
      </w:r>
      <w:r w:rsidRPr="00C267E1">
        <w:t xml:space="preserve">the </w:t>
      </w:r>
      <w:r>
        <w:t>m</w:t>
      </w:r>
      <w:r w:rsidRPr="00C267E1">
        <w:t xml:space="preserve">ean </w:t>
      </w:r>
      <w:r>
        <w:t>s</w:t>
      </w:r>
      <w:r w:rsidRPr="00C267E1">
        <w:t xml:space="preserve">quared </w:t>
      </w:r>
      <w:r>
        <w:t>e</w:t>
      </w:r>
      <w:r w:rsidRPr="00C267E1">
        <w:t>rro</w:t>
      </w:r>
      <w:r>
        <w:t>r</w:t>
      </w:r>
      <w:r w:rsidRPr="00C267E1">
        <w:t xml:space="preserve"> </w:t>
      </w:r>
      <w:r>
        <w:t>(</w:t>
      </w:r>
      <w:r w:rsidRPr="007A0C8C">
        <w:rPr>
          <w:i/>
          <w:iCs/>
        </w:rPr>
        <w:t>MSE</w:t>
      </w:r>
      <w:r>
        <w:t>)</w:t>
      </w:r>
      <w:r w:rsidRPr="007A0C8C">
        <w:t xml:space="preserve">, commonly used </w:t>
      </w:r>
      <w:r>
        <w:t>in</w:t>
      </w:r>
      <w:r w:rsidRPr="007A0C8C">
        <w:t xml:space="preserve"> regression tasks. To minimize the loss function, </w:t>
      </w:r>
      <w:r w:rsidRPr="00C267E1">
        <w:t xml:space="preserve">we optimize the model parameters using the </w:t>
      </w:r>
      <w:r w:rsidR="002F4EB4">
        <w:t>a</w:t>
      </w:r>
      <w:r w:rsidRPr="00C267E1">
        <w:t xml:space="preserve">daptive </w:t>
      </w:r>
      <w:r>
        <w:t>m</w:t>
      </w:r>
      <w:r w:rsidRPr="00C267E1">
        <w:t xml:space="preserve">oment </w:t>
      </w:r>
      <w:r>
        <w:t>o</w:t>
      </w:r>
      <w:r w:rsidRPr="00C267E1">
        <w:t>ptimize</w:t>
      </w:r>
      <w:r w:rsidRPr="00030B1E">
        <w:t>r (</w:t>
      </w:r>
      <w:r w:rsidRPr="00030B1E">
        <w:rPr>
          <w:lang w:eastAsia="zh-CN"/>
        </w:rPr>
        <w:t>Kingma and Ba, 2014)</w:t>
      </w:r>
      <w:r>
        <w:t xml:space="preserve">, </w:t>
      </w:r>
      <w:r w:rsidRPr="007A0C8C">
        <w:t xml:space="preserve">with the learning rates </w:t>
      </w:r>
      <w:r w:rsidRPr="00510559">
        <w:t xml:space="preserve">ranging </w:t>
      </w:r>
      <w:r w:rsidRPr="007A0C8C">
        <w:t>from</w:t>
      </w:r>
      <w:r w:rsidRPr="007A0C8C">
        <w:rPr>
          <w:color w:val="FF0000"/>
        </w:rPr>
        <w:t xml:space="preserve"> </w:t>
      </w:r>
      <w:r w:rsidRPr="007A0C8C">
        <w:rPr>
          <w:color w:val="000000" w:themeColor="text1"/>
        </w:rPr>
        <w:t>0.0005 to 0.00005</w:t>
      </w:r>
      <w:r>
        <w:t>.</w:t>
      </w:r>
      <w:r w:rsidRPr="007A0C8C">
        <w:t xml:space="preserve"> </w:t>
      </w:r>
      <w:r>
        <w:t>A</w:t>
      </w:r>
      <w:r w:rsidRPr="007A0C8C">
        <w:t xml:space="preserve"> decay factor of</w:t>
      </w:r>
      <w:r w:rsidRPr="007A0C8C">
        <w:rPr>
          <w:color w:val="FF0000"/>
        </w:rPr>
        <w:t xml:space="preserve"> </w:t>
      </w:r>
      <w:r w:rsidRPr="007A0C8C">
        <w:rPr>
          <w:color w:val="000000" w:themeColor="text1"/>
        </w:rPr>
        <w:t>0.5</w:t>
      </w:r>
      <w:r w:rsidRPr="007A0C8C">
        <w:rPr>
          <w:color w:val="FF0000"/>
        </w:rPr>
        <w:t xml:space="preserve"> </w:t>
      </w:r>
      <w:r w:rsidRPr="007A0C8C">
        <w:t xml:space="preserve">is </w:t>
      </w:r>
      <w:r w:rsidRPr="003D7EE1">
        <w:t>applied</w:t>
      </w:r>
      <w:r w:rsidRPr="007A0C8C">
        <w:t xml:space="preserve"> to update the learning rates when the loss function of </w:t>
      </w:r>
      <w:r>
        <w:t xml:space="preserve">the </w:t>
      </w:r>
      <w:r w:rsidRPr="007A0C8C">
        <w:t>validation set</w:t>
      </w:r>
      <w:r w:rsidRPr="003D7EE1">
        <w:t xml:space="preserve"> does not decrease with</w:t>
      </w:r>
      <w:r w:rsidRPr="007A0C8C">
        <w:t xml:space="preserve"> epochs. </w:t>
      </w:r>
      <w:r w:rsidRPr="00DF60A8">
        <w:t xml:space="preserve">The evaluation criteria for assessing the prediction results of our dissociation kinetic model in estimating </w:t>
      </w:r>
      <w:proofErr w:type="spellStart"/>
      <w:r w:rsidRPr="007A0C8C">
        <w:rPr>
          <w:i/>
          <w:iCs/>
        </w:rPr>
        <w:t>pk</w:t>
      </w:r>
      <w:r w:rsidRPr="007A0C8C">
        <w:rPr>
          <w:vertAlign w:val="subscript"/>
        </w:rPr>
        <w:t>off</w:t>
      </w:r>
      <w:proofErr w:type="spellEnd"/>
      <w:r w:rsidRPr="00DF60A8">
        <w:t xml:space="preserve"> are the </w:t>
      </w:r>
      <w:r w:rsidRPr="002822BF">
        <w:t>Pearson</w:t>
      </w:r>
      <w:r w:rsidRPr="00DF60A8">
        <w:t xml:space="preserve"> coefficient (</w:t>
      </w:r>
      <w:r w:rsidRPr="007A0C8C">
        <w:rPr>
          <w:i/>
          <w:iCs/>
        </w:rPr>
        <w:t>r</w:t>
      </w:r>
      <w:r w:rsidRPr="00DF60A8">
        <w:t xml:space="preserve">) and the </w:t>
      </w:r>
      <w:r>
        <w:t>r</w:t>
      </w:r>
      <w:r w:rsidRPr="00DF60A8">
        <w:t xml:space="preserve">oot </w:t>
      </w:r>
      <w:r>
        <w:t>m</w:t>
      </w:r>
      <w:r w:rsidRPr="00DF60A8">
        <w:t xml:space="preserve">ean </w:t>
      </w:r>
      <w:r>
        <w:t>s</w:t>
      </w:r>
      <w:r w:rsidRPr="00DF60A8">
        <w:t xml:space="preserve">quare </w:t>
      </w:r>
      <w:r>
        <w:t>e</w:t>
      </w:r>
      <w:r w:rsidRPr="00DF60A8">
        <w:t>rror (</w:t>
      </w:r>
      <w:r w:rsidRPr="007A0C8C">
        <w:rPr>
          <w:i/>
          <w:iCs/>
        </w:rPr>
        <w:t>RMSE</w:t>
      </w:r>
      <w:r w:rsidRPr="00DF60A8">
        <w:t xml:space="preserve">). Higher values of </w:t>
      </w:r>
      <w:r w:rsidRPr="007A0C8C">
        <w:rPr>
          <w:i/>
          <w:iCs/>
        </w:rPr>
        <w:t>r</w:t>
      </w:r>
      <w:r w:rsidRPr="00DF60A8">
        <w:t xml:space="preserve"> and lower values of </w:t>
      </w:r>
      <w:r w:rsidRPr="007A0C8C">
        <w:rPr>
          <w:i/>
          <w:iCs/>
        </w:rPr>
        <w:t>RMSE</w:t>
      </w:r>
      <w:r w:rsidRPr="00DF60A8">
        <w:t xml:space="preserve"> indicate better predictive performance of the dissociation kinetic model. </w:t>
      </w:r>
      <w:r w:rsidR="00C35359" w:rsidRPr="008233A8">
        <w:t>The deep learning-based dissociation kinetic model is trained 20 times to prevent fortuitously exceptional outcomes.</w:t>
      </w:r>
      <w:r w:rsidR="0049541F">
        <w:t xml:space="preserve"> </w:t>
      </w:r>
      <w:r w:rsidRPr="007A0C8C">
        <w:t xml:space="preserve">The </w:t>
      </w:r>
      <w:r w:rsidRPr="007A0C8C">
        <w:rPr>
          <w:szCs w:val="15"/>
        </w:rPr>
        <w:lastRenderedPageBreak/>
        <w:t>dissociation</w:t>
      </w:r>
      <w:r w:rsidRPr="007A0C8C" w:rsidDel="009059B0">
        <w:t xml:space="preserve"> </w:t>
      </w:r>
      <w:r w:rsidRPr="007A0C8C">
        <w:t xml:space="preserve">kinetic model is </w:t>
      </w:r>
      <w:r w:rsidRPr="005D48D4">
        <w:t>implemented</w:t>
      </w:r>
      <w:r w:rsidRPr="007A0C8C">
        <w:t xml:space="preserve"> </w:t>
      </w:r>
      <w:r>
        <w:t>using</w:t>
      </w:r>
      <w:r w:rsidRPr="007A0C8C">
        <w:t xml:space="preserve"> the </w:t>
      </w:r>
      <w:proofErr w:type="spellStart"/>
      <w:r w:rsidRPr="007A0C8C">
        <w:t>PyTorch</w:t>
      </w:r>
      <w:proofErr w:type="spellEnd"/>
      <w:r w:rsidRPr="007A0C8C">
        <w:t xml:space="preserve"> library</w:t>
      </w:r>
      <w:r>
        <w:t xml:space="preserve"> </w:t>
      </w:r>
      <w:r w:rsidRPr="009A2A5F">
        <w:t>(</w:t>
      </w:r>
      <w:proofErr w:type="spellStart"/>
      <w:r w:rsidRPr="009A2A5F">
        <w:rPr>
          <w:lang w:eastAsia="zh-CN"/>
        </w:rPr>
        <w:t>Paszke</w:t>
      </w:r>
      <w:proofErr w:type="spellEnd"/>
      <w:r w:rsidRPr="009A2A5F">
        <w:rPr>
          <w:lang w:eastAsia="zh-CN"/>
        </w:rPr>
        <w:t xml:space="preserve"> et al., 2019)</w:t>
      </w:r>
      <w:r w:rsidRPr="009A2A5F">
        <w:t xml:space="preserve"> a</w:t>
      </w:r>
      <w:r>
        <w:t>nd</w:t>
      </w:r>
      <w:r w:rsidRPr="007A0C8C">
        <w:t xml:space="preserve"> the Python language</w:t>
      </w:r>
      <w:r>
        <w:t xml:space="preserve"> </w:t>
      </w:r>
      <w:r w:rsidRPr="004F7E28">
        <w:t>(</w:t>
      </w:r>
      <w:r w:rsidRPr="004F7E28">
        <w:rPr>
          <w:lang w:eastAsia="zh-CN"/>
        </w:rPr>
        <w:t>Oliphant, 2007)</w:t>
      </w:r>
      <w:r w:rsidRPr="007A0C8C">
        <w:t>.</w:t>
      </w:r>
      <w:r w:rsidRPr="006C7399">
        <w:t xml:space="preserve"> </w:t>
      </w:r>
      <w:r>
        <w:t xml:space="preserve">The training and prediction results for </w:t>
      </w:r>
      <w:proofErr w:type="spellStart"/>
      <w:r w:rsidRPr="0056131C">
        <w:rPr>
          <w:i/>
          <w:iCs/>
        </w:rPr>
        <w:t>pk</w:t>
      </w:r>
      <w:r w:rsidRPr="0056131C">
        <w:rPr>
          <w:vertAlign w:val="subscript"/>
        </w:rPr>
        <w:t>off</w:t>
      </w:r>
      <w:proofErr w:type="spellEnd"/>
      <w:r w:rsidRPr="00EC1493">
        <w:t xml:space="preserve"> </w:t>
      </w:r>
      <w:r w:rsidRPr="0056131C">
        <w:t>of the deep learning model</w:t>
      </w:r>
      <w:r>
        <w:t xml:space="preserve"> are shown in</w:t>
      </w:r>
      <w:r w:rsidRPr="00614708">
        <w:t xml:space="preserve"> </w:t>
      </w:r>
      <w:r w:rsidRPr="006C7399">
        <w:rPr>
          <w:b/>
          <w:bCs/>
        </w:rPr>
        <w:t>Figure. 3</w:t>
      </w:r>
      <w:r w:rsidRPr="00614708">
        <w:t>.</w:t>
      </w:r>
    </w:p>
    <w:p w14:paraId="405423AA" w14:textId="77777777" w:rsidR="00107754" w:rsidRDefault="00107754" w:rsidP="00107754">
      <w:pPr>
        <w:adjustRightInd w:val="0"/>
        <w:snapToGrid w:val="0"/>
        <w:contextualSpacing/>
        <w:mirrorIndents/>
        <w:jc w:val="both"/>
      </w:pPr>
    </w:p>
    <w:p w14:paraId="49320FED" w14:textId="6EE06F7B" w:rsidR="000A359A" w:rsidRDefault="009B5E97" w:rsidP="000A359A">
      <w:pPr>
        <w:adjustRightInd w:val="0"/>
        <w:snapToGrid w:val="0"/>
        <w:contextualSpacing/>
        <w:mirrorIndents/>
        <w:jc w:val="center"/>
      </w:pPr>
      <w:r>
        <w:rPr>
          <w:noProof/>
        </w:rPr>
        <w:drawing>
          <wp:inline distT="0" distB="0" distL="0" distR="0" wp14:anchorId="062E5975" wp14:editId="6BFB8895">
            <wp:extent cx="4499610" cy="1919605"/>
            <wp:effectExtent l="0" t="0" r="0" b="4445"/>
            <wp:docPr id="11504821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99610" cy="1919605"/>
                    </a:xfrm>
                    <a:prstGeom prst="rect">
                      <a:avLst/>
                    </a:prstGeom>
                    <a:noFill/>
                    <a:ln>
                      <a:noFill/>
                    </a:ln>
                  </pic:spPr>
                </pic:pic>
              </a:graphicData>
            </a:graphic>
          </wp:inline>
        </w:drawing>
      </w:r>
    </w:p>
    <w:p w14:paraId="05509556" w14:textId="580357CB" w:rsidR="00D00B5C" w:rsidRDefault="00EC1493" w:rsidP="00611EEB">
      <w:pPr>
        <w:adjustRightInd w:val="0"/>
        <w:snapToGrid w:val="0"/>
        <w:contextualSpacing/>
        <w:mirrorIndents/>
        <w:jc w:val="center"/>
      </w:pPr>
      <w:r w:rsidRPr="0072389E">
        <w:rPr>
          <w:b/>
          <w:bCs/>
        </w:rPr>
        <w:t xml:space="preserve">Figure </w:t>
      </w:r>
      <w:r w:rsidR="0055380E" w:rsidRPr="0072389E">
        <w:rPr>
          <w:b/>
          <w:bCs/>
        </w:rPr>
        <w:t>2</w:t>
      </w:r>
      <w:r w:rsidRPr="0072389E">
        <w:t>. The architecture of the deep learning model.</w:t>
      </w:r>
    </w:p>
    <w:p w14:paraId="5FF75C2C" w14:textId="77777777" w:rsidR="002822BF" w:rsidRPr="00D53138" w:rsidRDefault="002822BF" w:rsidP="002822BF">
      <w:pPr>
        <w:adjustRightInd w:val="0"/>
        <w:snapToGrid w:val="0"/>
        <w:contextualSpacing/>
        <w:mirrorIndents/>
        <w:jc w:val="both"/>
      </w:pPr>
    </w:p>
    <w:p w14:paraId="2F97F13B" w14:textId="0B05CEA4" w:rsidR="002822BF" w:rsidRPr="002822BF" w:rsidRDefault="00402A80" w:rsidP="008116DB">
      <w:pPr>
        <w:adjustRightInd w:val="0"/>
        <w:snapToGrid w:val="0"/>
        <w:contextualSpacing/>
        <w:mirrorIndents/>
        <w:jc w:val="center"/>
      </w:pPr>
      <w:r>
        <w:rPr>
          <w:noProof/>
        </w:rPr>
        <w:drawing>
          <wp:inline distT="0" distB="0" distL="0" distR="0" wp14:anchorId="518364A3" wp14:editId="1495112E">
            <wp:extent cx="4499610" cy="1148715"/>
            <wp:effectExtent l="0" t="0" r="0" b="0"/>
            <wp:docPr id="1922699655" name="图片 3" descr="图形用户界面, 图表, 散点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699655" name="图片 3" descr="图形用户界面, 图表, 散点图&#10;&#10;描述已自动生成"/>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99610" cy="1148715"/>
                    </a:xfrm>
                    <a:prstGeom prst="rect">
                      <a:avLst/>
                    </a:prstGeom>
                    <a:noFill/>
                    <a:ln>
                      <a:noFill/>
                    </a:ln>
                  </pic:spPr>
                </pic:pic>
              </a:graphicData>
            </a:graphic>
          </wp:inline>
        </w:drawing>
      </w:r>
    </w:p>
    <w:p w14:paraId="730E37D3" w14:textId="5D3135D1" w:rsidR="002822BF" w:rsidRPr="002822BF" w:rsidRDefault="00962561" w:rsidP="008B7BD6">
      <w:pPr>
        <w:adjustRightInd w:val="0"/>
        <w:snapToGrid w:val="0"/>
        <w:contextualSpacing/>
        <w:mirrorIndents/>
        <w:jc w:val="center"/>
        <w:rPr>
          <w:b/>
          <w:bCs/>
        </w:rPr>
      </w:pPr>
      <w:r w:rsidRPr="000B5C36">
        <w:rPr>
          <w:b/>
          <w:bCs/>
        </w:rPr>
        <w:t xml:space="preserve">Figure </w:t>
      </w:r>
      <w:r w:rsidR="003B6396" w:rsidRPr="000B5C36">
        <w:rPr>
          <w:b/>
          <w:bCs/>
        </w:rPr>
        <w:t>3</w:t>
      </w:r>
      <w:r w:rsidRPr="000B5C36">
        <w:t>.</w:t>
      </w:r>
      <w:r w:rsidR="002822BF" w:rsidRPr="000B5C36">
        <w:t xml:space="preserve"> </w:t>
      </w:r>
      <w:r w:rsidR="002D69B7" w:rsidRPr="000B5C36">
        <w:t>Training</w:t>
      </w:r>
      <w:r w:rsidR="002822BF" w:rsidRPr="000B5C36">
        <w:t xml:space="preserve"> and prediction results for </w:t>
      </w:r>
      <w:proofErr w:type="spellStart"/>
      <w:r w:rsidR="002822BF" w:rsidRPr="000B5C36">
        <w:rPr>
          <w:i/>
          <w:iCs/>
        </w:rPr>
        <w:t>pk</w:t>
      </w:r>
      <w:r w:rsidR="002822BF" w:rsidRPr="000B5C36">
        <w:rPr>
          <w:vertAlign w:val="subscript"/>
        </w:rPr>
        <w:t>off</w:t>
      </w:r>
      <w:proofErr w:type="spellEnd"/>
      <w:r w:rsidR="00EC1493" w:rsidRPr="000B5C36">
        <w:t xml:space="preserve"> of the deep learning model</w:t>
      </w:r>
      <w:r w:rsidR="002822BF" w:rsidRPr="000B5C36">
        <w:t xml:space="preserve">. </w:t>
      </w:r>
      <w:proofErr w:type="spellStart"/>
      <w:r w:rsidR="00C267E1" w:rsidRPr="000B5C36">
        <w:rPr>
          <w:b/>
          <w:bCs/>
        </w:rPr>
        <w:t>a</w:t>
      </w:r>
      <w:proofErr w:type="spellEnd"/>
      <w:r w:rsidR="002822BF" w:rsidRPr="000B5C36">
        <w:t xml:space="preserve"> </w:t>
      </w:r>
      <w:proofErr w:type="gramStart"/>
      <w:r w:rsidR="002822BF" w:rsidRPr="000B5C36">
        <w:t>The</w:t>
      </w:r>
      <w:proofErr w:type="gramEnd"/>
      <w:r w:rsidR="002822BF" w:rsidRPr="000B5C36">
        <w:t xml:space="preserve"> loss function (</w:t>
      </w:r>
      <w:r w:rsidR="002822BF" w:rsidRPr="000B5C36">
        <w:rPr>
          <w:i/>
          <w:iCs/>
        </w:rPr>
        <w:t>MSE</w:t>
      </w:r>
      <w:r w:rsidR="002822BF" w:rsidRPr="000B5C36">
        <w:t xml:space="preserve">) varying with the epochs during the training process of the deep learning model. </w:t>
      </w:r>
      <w:r w:rsidR="00C267E1" w:rsidRPr="000B5C36">
        <w:rPr>
          <w:b/>
          <w:bCs/>
        </w:rPr>
        <w:t>b</w:t>
      </w:r>
      <w:r w:rsidR="002822BF" w:rsidRPr="000B5C36">
        <w:t xml:space="preserve"> </w:t>
      </w:r>
      <w:proofErr w:type="gramStart"/>
      <w:r w:rsidR="002822BF" w:rsidRPr="000B5C36">
        <w:t>The</w:t>
      </w:r>
      <w:proofErr w:type="gramEnd"/>
      <w:r w:rsidR="002822BF" w:rsidRPr="000B5C36">
        <w:t xml:space="preserve"> metrics function (</w:t>
      </w:r>
      <w:r w:rsidR="002822BF" w:rsidRPr="000B5C36">
        <w:rPr>
          <w:i/>
          <w:iCs/>
        </w:rPr>
        <w:t>r</w:t>
      </w:r>
      <w:r w:rsidR="002822BF" w:rsidRPr="000B5C36">
        <w:t xml:space="preserve">) varying with the epochs during the training process of the deep learning model. </w:t>
      </w:r>
      <w:r w:rsidR="00C267E1" w:rsidRPr="000B5C36">
        <w:rPr>
          <w:b/>
          <w:bCs/>
        </w:rPr>
        <w:t xml:space="preserve">c </w:t>
      </w:r>
      <w:proofErr w:type="gramStart"/>
      <w:r w:rsidR="002822BF" w:rsidRPr="000B5C36">
        <w:t>The</w:t>
      </w:r>
      <w:proofErr w:type="gramEnd"/>
      <w:r w:rsidR="002822BF" w:rsidRPr="000B5C36">
        <w:t xml:space="preserve"> prediction results of the deep learning model for </w:t>
      </w:r>
      <w:proofErr w:type="spellStart"/>
      <w:r w:rsidR="002822BF" w:rsidRPr="000B5C36">
        <w:rPr>
          <w:i/>
          <w:iCs/>
        </w:rPr>
        <w:t>pk</w:t>
      </w:r>
      <w:r w:rsidR="002822BF" w:rsidRPr="000B5C36">
        <w:rPr>
          <w:vertAlign w:val="subscript"/>
        </w:rPr>
        <w:t>off</w:t>
      </w:r>
      <w:proofErr w:type="spellEnd"/>
      <w:r w:rsidR="002822BF" w:rsidRPr="000B5C36">
        <w:t>.</w:t>
      </w:r>
    </w:p>
    <w:p w14:paraId="0380A03A" w14:textId="77777777" w:rsidR="002822BF" w:rsidRPr="002822BF" w:rsidRDefault="002822BF" w:rsidP="002822BF">
      <w:pPr>
        <w:adjustRightInd w:val="0"/>
        <w:snapToGrid w:val="0"/>
        <w:contextualSpacing/>
        <w:mirrorIndents/>
        <w:jc w:val="both"/>
      </w:pPr>
    </w:p>
    <w:p w14:paraId="21CB6168" w14:textId="722FF441" w:rsidR="00D76171" w:rsidRPr="002822BF" w:rsidRDefault="002822BF" w:rsidP="0094359F">
      <w:pPr>
        <w:pStyle w:val="Els-body-text"/>
        <w:rPr>
          <w:color w:val="000000" w:themeColor="text1"/>
          <w:shd w:val="clear" w:color="auto" w:fill="FFFFFF"/>
        </w:rPr>
      </w:pPr>
      <w:r w:rsidRPr="002822BF">
        <w:t xml:space="preserve">The </w:t>
      </w:r>
      <w:r w:rsidRPr="002822BF">
        <w:rPr>
          <w:i/>
          <w:iCs/>
        </w:rPr>
        <w:t>MSE</w:t>
      </w:r>
      <w:r w:rsidRPr="002822BF">
        <w:t xml:space="preserve"> and </w:t>
      </w:r>
      <w:r w:rsidRPr="002822BF">
        <w:rPr>
          <w:i/>
          <w:iCs/>
        </w:rPr>
        <w:t>r</w:t>
      </w:r>
      <w:r w:rsidRPr="002822BF">
        <w:t xml:space="preserve"> values of our deep learning model for the training, validation, test sets are </w:t>
      </w:r>
      <w:r w:rsidR="002F321F" w:rsidRPr="002F321F">
        <w:t>as follows:</w:t>
      </w:r>
      <w:r w:rsidR="002F321F">
        <w:t xml:space="preserve"> </w:t>
      </w:r>
      <w:r w:rsidR="00E2010C" w:rsidRPr="00E2010C">
        <w:t>0.238±0.018, 0.299±0.020, 0.292±0.014 and 0.869±0.010, 0.838±0.012, 0.836±0.009</w:t>
      </w:r>
      <w:r w:rsidRPr="002822BF">
        <w:t xml:space="preserve">, respectively. </w:t>
      </w:r>
      <w:r w:rsidRPr="002822BF">
        <w:rPr>
          <w:b/>
          <w:bCs/>
        </w:rPr>
        <w:t>Fig</w:t>
      </w:r>
      <w:r w:rsidR="00AB3A4C">
        <w:rPr>
          <w:b/>
          <w:bCs/>
        </w:rPr>
        <w:t>ure</w:t>
      </w:r>
      <w:r w:rsidRPr="002822BF">
        <w:rPr>
          <w:b/>
          <w:bCs/>
        </w:rPr>
        <w:t xml:space="preserve">s </w:t>
      </w:r>
      <w:r w:rsidR="002F321F">
        <w:rPr>
          <w:b/>
          <w:bCs/>
        </w:rPr>
        <w:t>3</w:t>
      </w:r>
      <w:r w:rsidRPr="002822BF">
        <w:rPr>
          <w:b/>
          <w:bCs/>
        </w:rPr>
        <w:t>(</w:t>
      </w:r>
      <w:r w:rsidR="002F321F">
        <w:rPr>
          <w:b/>
          <w:bCs/>
        </w:rPr>
        <w:t>a</w:t>
      </w:r>
      <w:r w:rsidRPr="002822BF">
        <w:rPr>
          <w:b/>
          <w:bCs/>
        </w:rPr>
        <w:t>-</w:t>
      </w:r>
      <w:r w:rsidR="002F321F">
        <w:rPr>
          <w:b/>
          <w:bCs/>
        </w:rPr>
        <w:t>b</w:t>
      </w:r>
      <w:r w:rsidRPr="002822BF">
        <w:rPr>
          <w:b/>
          <w:bCs/>
        </w:rPr>
        <w:t>)</w:t>
      </w:r>
      <w:r w:rsidRPr="002822BF">
        <w:t xml:space="preserve"> </w:t>
      </w:r>
      <w:r w:rsidR="002F321F" w:rsidRPr="00D76171">
        <w:rPr>
          <w:color w:val="000000" w:themeColor="text1"/>
          <w:shd w:val="clear" w:color="auto" w:fill="FFFFFF"/>
        </w:rPr>
        <w:t>depict the variations of</w:t>
      </w:r>
      <w:r w:rsidRPr="002822BF">
        <w:t xml:space="preserve"> the loss function (</w:t>
      </w:r>
      <w:r w:rsidRPr="002822BF">
        <w:rPr>
          <w:i/>
          <w:iCs/>
        </w:rPr>
        <w:t>MSE</w:t>
      </w:r>
      <w:r w:rsidRPr="002822BF">
        <w:t>) and the metrics function (</w:t>
      </w:r>
      <w:r w:rsidRPr="002822BF">
        <w:rPr>
          <w:i/>
          <w:iCs/>
        </w:rPr>
        <w:t>r</w:t>
      </w:r>
      <w:r w:rsidRPr="002822BF">
        <w:t xml:space="preserve">) varying with the epochs during the training process of the deep learning model, respectively. </w:t>
      </w:r>
      <w:r w:rsidR="002F321F" w:rsidRPr="00D76171">
        <w:rPr>
          <w:color w:val="000000" w:themeColor="text1"/>
          <w:shd w:val="clear" w:color="auto" w:fill="FFFFFF"/>
        </w:rPr>
        <w:t>These results demonstrate</w:t>
      </w:r>
      <w:r w:rsidRPr="002822BF">
        <w:t xml:space="preserve"> that </w:t>
      </w:r>
      <w:r w:rsidR="002F321F" w:rsidRPr="00D76171">
        <w:rPr>
          <w:color w:val="000000" w:themeColor="text1"/>
          <w:shd w:val="clear" w:color="auto" w:fill="FFFFFF"/>
        </w:rPr>
        <w:t>our</w:t>
      </w:r>
      <w:r w:rsidRPr="002822BF">
        <w:t xml:space="preserve"> developed deep learning model </w:t>
      </w:r>
      <w:r w:rsidR="002F321F" w:rsidRPr="00D76171">
        <w:rPr>
          <w:color w:val="000000" w:themeColor="text1"/>
          <w:shd w:val="clear" w:color="auto" w:fill="FFFFFF"/>
        </w:rPr>
        <w:t>does not suffer from</w:t>
      </w:r>
      <w:r w:rsidRPr="002822BF">
        <w:t xml:space="preserve"> overfitting and </w:t>
      </w:r>
      <w:r w:rsidR="002F321F">
        <w:t>can</w:t>
      </w:r>
      <w:r w:rsidRPr="002822BF">
        <w:t xml:space="preserve"> </w:t>
      </w:r>
      <w:r w:rsidR="002F321F" w:rsidRPr="00D76171">
        <w:rPr>
          <w:color w:val="000000" w:themeColor="text1"/>
          <w:shd w:val="clear" w:color="auto" w:fill="FFFFFF"/>
        </w:rPr>
        <w:t>effectively extrapolate to new samples</w:t>
      </w:r>
      <w:r w:rsidRPr="002822BF">
        <w:t xml:space="preserve">. </w:t>
      </w:r>
      <w:r w:rsidR="002F321F" w:rsidRPr="00D76171">
        <w:rPr>
          <w:color w:val="000000" w:themeColor="text1"/>
          <w:shd w:val="clear" w:color="auto" w:fill="FFFFFF"/>
        </w:rPr>
        <w:t xml:space="preserve">Furthermore, the incorporation of the attention mechanism accelerates the learning process of our model. The deep learning model achieves convergence at </w:t>
      </w:r>
      <w:r w:rsidR="005F714E">
        <w:rPr>
          <w:color w:val="000000" w:themeColor="text1"/>
          <w:shd w:val="clear" w:color="auto" w:fill="FFFFFF"/>
        </w:rPr>
        <w:t>around</w:t>
      </w:r>
      <w:r w:rsidR="002F321F" w:rsidRPr="00D76171">
        <w:rPr>
          <w:color w:val="000000" w:themeColor="text1"/>
          <w:shd w:val="clear" w:color="auto" w:fill="FFFFFF"/>
        </w:rPr>
        <w:t xml:space="preserve"> </w:t>
      </w:r>
      <w:r w:rsidR="00BB66BF">
        <w:rPr>
          <w:color w:val="000000" w:themeColor="text1"/>
          <w:shd w:val="clear" w:color="auto" w:fill="FFFFFF"/>
        </w:rPr>
        <w:t>40</w:t>
      </w:r>
      <w:r w:rsidR="00983D58">
        <w:rPr>
          <w:color w:val="000000" w:themeColor="text1"/>
          <w:shd w:val="clear" w:color="auto" w:fill="FFFFFF"/>
        </w:rPr>
        <w:t>th</w:t>
      </w:r>
      <w:r w:rsidR="002F321F" w:rsidRPr="00D76171">
        <w:rPr>
          <w:color w:val="000000" w:themeColor="text1"/>
          <w:shd w:val="clear" w:color="auto" w:fill="FFFFFF"/>
        </w:rPr>
        <w:t xml:space="preserve"> epoch when attention layers are utilized, whereas it requires more </w:t>
      </w:r>
      <w:r w:rsidR="0091183B">
        <w:rPr>
          <w:color w:val="000000" w:themeColor="text1"/>
          <w:shd w:val="clear" w:color="auto" w:fill="FFFFFF"/>
        </w:rPr>
        <w:t>than</w:t>
      </w:r>
      <w:r w:rsidR="002F321F" w:rsidRPr="00D76171">
        <w:rPr>
          <w:color w:val="000000" w:themeColor="text1"/>
          <w:shd w:val="clear" w:color="auto" w:fill="FFFFFF"/>
        </w:rPr>
        <w:t xml:space="preserve"> </w:t>
      </w:r>
      <w:r w:rsidR="00900016">
        <w:rPr>
          <w:color w:val="000000" w:themeColor="text1"/>
          <w:shd w:val="clear" w:color="auto" w:fill="FFFFFF"/>
        </w:rPr>
        <w:t>80</w:t>
      </w:r>
      <w:r w:rsidR="002F321F" w:rsidRPr="00D76171">
        <w:rPr>
          <w:color w:val="000000" w:themeColor="text1"/>
          <w:shd w:val="clear" w:color="auto" w:fill="FFFFFF"/>
        </w:rPr>
        <w:t xml:space="preserve"> epoch</w:t>
      </w:r>
      <w:r w:rsidR="003D47A6">
        <w:rPr>
          <w:color w:val="000000" w:themeColor="text1"/>
          <w:shd w:val="clear" w:color="auto" w:fill="FFFFFF"/>
        </w:rPr>
        <w:t>s</w:t>
      </w:r>
      <w:r w:rsidR="002F321F" w:rsidRPr="00D76171">
        <w:rPr>
          <w:color w:val="000000" w:themeColor="text1"/>
          <w:shd w:val="clear" w:color="auto" w:fill="FFFFFF"/>
        </w:rPr>
        <w:t xml:space="preserve"> to achieve similar results without attention layers. </w:t>
      </w:r>
      <w:r w:rsidR="002F321F" w:rsidRPr="002F321F">
        <w:rPr>
          <w:b/>
          <w:bCs/>
          <w:color w:val="000000" w:themeColor="text1"/>
          <w:shd w:val="clear" w:color="auto" w:fill="FFFFFF"/>
        </w:rPr>
        <w:t xml:space="preserve">Figure </w:t>
      </w:r>
      <w:r w:rsidR="006E543B">
        <w:rPr>
          <w:b/>
          <w:bCs/>
          <w:color w:val="000000" w:themeColor="text1"/>
          <w:shd w:val="clear" w:color="auto" w:fill="FFFFFF"/>
        </w:rPr>
        <w:t>3</w:t>
      </w:r>
      <w:r w:rsidR="002F321F" w:rsidRPr="002F321F">
        <w:rPr>
          <w:b/>
          <w:bCs/>
          <w:color w:val="000000" w:themeColor="text1"/>
          <w:shd w:val="clear" w:color="auto" w:fill="FFFFFF"/>
        </w:rPr>
        <w:t>(c)</w:t>
      </w:r>
      <w:r w:rsidR="002F321F" w:rsidRPr="00D76171">
        <w:rPr>
          <w:color w:val="000000" w:themeColor="text1"/>
          <w:shd w:val="clear" w:color="auto" w:fill="FFFFFF"/>
        </w:rPr>
        <w:t xml:space="preserve"> illustrates the prediction results of our </w:t>
      </w:r>
      <w:r w:rsidR="00A546D8" w:rsidRPr="00A546D8">
        <w:rPr>
          <w:color w:val="000000" w:themeColor="text1"/>
          <w:shd w:val="clear" w:color="auto" w:fill="FFFFFF"/>
        </w:rPr>
        <w:t xml:space="preserve">optimal </w:t>
      </w:r>
      <w:r w:rsidR="002F321F" w:rsidRPr="00D76171">
        <w:rPr>
          <w:color w:val="000000" w:themeColor="text1"/>
          <w:shd w:val="clear" w:color="auto" w:fill="FFFFFF"/>
        </w:rPr>
        <w:t xml:space="preserve">deep learning model on the test set, demonstrating an acceptable prediction ability with an </w:t>
      </w:r>
      <w:r w:rsidR="002F321F" w:rsidRPr="002822BF">
        <w:rPr>
          <w:i/>
          <w:iCs/>
        </w:rPr>
        <w:t>r</w:t>
      </w:r>
      <w:r w:rsidR="002F321F" w:rsidRPr="00D76171">
        <w:rPr>
          <w:color w:val="000000" w:themeColor="text1"/>
          <w:shd w:val="clear" w:color="auto" w:fill="FFFFFF"/>
        </w:rPr>
        <w:t xml:space="preserve"> value of 0.</w:t>
      </w:r>
      <w:r w:rsidR="00CA4036">
        <w:rPr>
          <w:color w:val="000000" w:themeColor="text1"/>
          <w:shd w:val="clear" w:color="auto" w:fill="FFFFFF"/>
        </w:rPr>
        <w:t>840</w:t>
      </w:r>
      <w:r w:rsidR="002F321F" w:rsidRPr="00D76171">
        <w:rPr>
          <w:color w:val="000000" w:themeColor="text1"/>
          <w:shd w:val="clear" w:color="auto" w:fill="FFFFFF"/>
        </w:rPr>
        <w:t>. This indicates that our deep learning model can provide qualitative evaluations of the dissociation kinetics of protein-ligand complexes.</w:t>
      </w:r>
      <w:r w:rsidR="002F321F" w:rsidRPr="002F321F">
        <w:rPr>
          <w:color w:val="000000" w:themeColor="text1"/>
          <w:shd w:val="clear" w:color="auto" w:fill="FFFFFF"/>
        </w:rPr>
        <w:t xml:space="preserve"> </w:t>
      </w:r>
      <w:r w:rsidR="002F321F" w:rsidRPr="00D76171">
        <w:rPr>
          <w:color w:val="000000" w:themeColor="text1"/>
          <w:shd w:val="clear" w:color="auto" w:fill="FFFFFF"/>
        </w:rPr>
        <w:t>Importantly, our model is lightweight, with only 15,603 training parameters, compared to other affinity-based deep learning models such as</w:t>
      </w:r>
      <w:r w:rsidR="002F321F" w:rsidRPr="002F321F">
        <w:rPr>
          <w:color w:val="000000" w:themeColor="text1"/>
          <w:shd w:val="clear" w:color="auto" w:fill="FFFFFF"/>
        </w:rPr>
        <w:t xml:space="preserve"> </w:t>
      </w:r>
      <w:r w:rsidR="002F321F" w:rsidRPr="002822BF">
        <w:rPr>
          <w:color w:val="000000" w:themeColor="text1"/>
          <w:shd w:val="clear" w:color="auto" w:fill="FFFFFF"/>
        </w:rPr>
        <w:t>KDEEP</w:t>
      </w:r>
      <w:r w:rsidR="000F208F">
        <w:rPr>
          <w:color w:val="000000" w:themeColor="text1"/>
          <w:shd w:val="clear" w:color="auto" w:fill="FFFFFF"/>
        </w:rPr>
        <w:t xml:space="preserve"> </w:t>
      </w:r>
      <w:r w:rsidR="00A508FA" w:rsidRPr="00F30C00">
        <w:rPr>
          <w:color w:val="000000" w:themeColor="text1"/>
          <w:shd w:val="clear" w:color="auto" w:fill="FFFFFF"/>
        </w:rPr>
        <w:t>(</w:t>
      </w:r>
      <w:r w:rsidR="000F208F" w:rsidRPr="00F30C00">
        <w:rPr>
          <w:color w:val="000000" w:themeColor="text1"/>
          <w:shd w:val="clear" w:color="auto" w:fill="FFFFFF"/>
        </w:rPr>
        <w:t>Jiménez et al.</w:t>
      </w:r>
      <w:r w:rsidR="00A508FA" w:rsidRPr="00F30C00">
        <w:rPr>
          <w:color w:val="000000" w:themeColor="text1"/>
          <w:shd w:val="clear" w:color="auto" w:fill="FFFFFF"/>
        </w:rPr>
        <w:t>,</w:t>
      </w:r>
      <w:r w:rsidR="000F208F" w:rsidRPr="00F30C00">
        <w:rPr>
          <w:color w:val="000000" w:themeColor="text1"/>
          <w:shd w:val="clear" w:color="auto" w:fill="FFFFFF"/>
        </w:rPr>
        <w:t xml:space="preserve"> 2018)</w:t>
      </w:r>
      <w:r w:rsidR="002F321F">
        <w:rPr>
          <w:rFonts w:hint="eastAsia"/>
          <w:lang w:eastAsia="zh-CN"/>
        </w:rPr>
        <w:t>,</w:t>
      </w:r>
      <w:r w:rsidR="002F321F">
        <w:rPr>
          <w:lang w:eastAsia="zh-CN"/>
        </w:rPr>
        <w:t xml:space="preserve"> </w:t>
      </w:r>
      <w:r w:rsidR="002F321F" w:rsidRPr="00D76171">
        <w:rPr>
          <w:color w:val="000000" w:themeColor="text1"/>
          <w:shd w:val="clear" w:color="auto" w:fill="FFFFFF"/>
        </w:rPr>
        <w:t>which typically have around 1,000,000 training parameters. This highlights the efficiency of our model in terms of training and extrapolations.</w:t>
      </w:r>
    </w:p>
    <w:p w14:paraId="2B24588D" w14:textId="6943A358" w:rsidR="007222B4" w:rsidRPr="002822BF" w:rsidRDefault="007222B4" w:rsidP="0094359F">
      <w:pPr>
        <w:adjustRightInd w:val="0"/>
        <w:snapToGrid w:val="0"/>
        <w:contextualSpacing/>
        <w:mirrorIndents/>
        <w:jc w:val="both"/>
      </w:pPr>
      <w:r w:rsidRPr="007222B4">
        <w:lastRenderedPageBreak/>
        <w:t xml:space="preserve">To highlight the superior prediction accuracy of our deep learning model in estimating </w:t>
      </w:r>
      <w:proofErr w:type="spellStart"/>
      <w:r w:rsidRPr="002822BF">
        <w:rPr>
          <w:i/>
          <w:iCs/>
        </w:rPr>
        <w:t>pk</w:t>
      </w:r>
      <w:r w:rsidRPr="002822BF">
        <w:rPr>
          <w:vertAlign w:val="subscript"/>
        </w:rPr>
        <w:t>off</w:t>
      </w:r>
      <w:proofErr w:type="spellEnd"/>
      <w:r w:rsidRPr="002822BF">
        <w:t xml:space="preserve"> </w:t>
      </w:r>
      <w:r w:rsidRPr="007222B4">
        <w:t xml:space="preserve">values, we compare it with other machine learning-based </w:t>
      </w:r>
      <w:r w:rsidR="00AC1005">
        <w:t xml:space="preserve">generic </w:t>
      </w:r>
      <w:r w:rsidRPr="007222B4">
        <w:t>dissociation kinetic models described in the literature (</w:t>
      </w:r>
      <w:r w:rsidRPr="006C7399">
        <w:rPr>
          <w:b/>
          <w:bCs/>
        </w:rPr>
        <w:t>Table 1</w:t>
      </w:r>
      <w:r w:rsidRPr="007222B4">
        <w:t xml:space="preserve">). </w:t>
      </w:r>
      <w:proofErr w:type="spellStart"/>
      <w:r w:rsidR="000F208F" w:rsidRPr="00CA2F6E">
        <w:t>Amangeldiuly</w:t>
      </w:r>
      <w:proofErr w:type="spellEnd"/>
      <w:r w:rsidR="000F208F" w:rsidRPr="00CA2F6E" w:rsidDel="000F208F">
        <w:t xml:space="preserve"> </w:t>
      </w:r>
      <w:r w:rsidR="002822BF" w:rsidRPr="00CA2F6E">
        <w:t>et al.</w:t>
      </w:r>
      <w:r w:rsidR="000F208F" w:rsidRPr="00CA2F6E">
        <w:t xml:space="preserve"> (2020)</w:t>
      </w:r>
      <w:r w:rsidR="002822BF" w:rsidRPr="002822BF">
        <w:t xml:space="preserve"> </w:t>
      </w:r>
      <w:r w:rsidRPr="007222B4">
        <w:t>compiled</w:t>
      </w:r>
      <w:r w:rsidR="002822BF" w:rsidRPr="002822BF">
        <w:t xml:space="preserve"> a database containing 501 protein-ligand complexes with experimental</w:t>
      </w:r>
      <w:r w:rsidR="002822BF" w:rsidRPr="002822BF">
        <w:rPr>
          <w:i/>
          <w:iCs/>
        </w:rPr>
        <w:t xml:space="preserve"> </w:t>
      </w:r>
      <w:proofErr w:type="spellStart"/>
      <w:r w:rsidR="002822BF" w:rsidRPr="002822BF">
        <w:rPr>
          <w:i/>
          <w:iCs/>
        </w:rPr>
        <w:t>k</w:t>
      </w:r>
      <w:r w:rsidR="002822BF" w:rsidRPr="002822BF">
        <w:rPr>
          <w:vertAlign w:val="subscript"/>
        </w:rPr>
        <w:t>off</w:t>
      </w:r>
      <w:proofErr w:type="spellEnd"/>
      <w:r w:rsidR="002822BF" w:rsidRPr="002822BF">
        <w:t xml:space="preserve"> from the public literature. </w:t>
      </w:r>
      <w:r w:rsidRPr="007222B4">
        <w:t xml:space="preserve">They used this dataset to develop an optimal </w:t>
      </w:r>
      <w:r w:rsidR="007E7482">
        <w:t>r</w:t>
      </w:r>
      <w:r w:rsidR="007E7482" w:rsidRPr="007222B4">
        <w:t xml:space="preserve">andom </w:t>
      </w:r>
      <w:r w:rsidR="007E7482">
        <w:t>f</w:t>
      </w:r>
      <w:r w:rsidR="007E7482" w:rsidRPr="007222B4">
        <w:t xml:space="preserve">orest </w:t>
      </w:r>
      <w:r w:rsidRPr="007222B4">
        <w:t xml:space="preserve">(RF) algorithm, achieving an </w:t>
      </w:r>
      <w:r w:rsidRPr="002822BF">
        <w:rPr>
          <w:i/>
          <w:iCs/>
        </w:rPr>
        <w:t>r</w:t>
      </w:r>
      <w:r w:rsidRPr="007222B4">
        <w:t xml:space="preserve"> value of 0.78 and </w:t>
      </w:r>
      <w:r w:rsidRPr="002822BF">
        <w:rPr>
          <w:i/>
          <w:iCs/>
        </w:rPr>
        <w:t>RMSE</w:t>
      </w:r>
      <w:r w:rsidRPr="007222B4">
        <w:t xml:space="preserve"> of 0.82 on the validation set, and an </w:t>
      </w:r>
      <w:r w:rsidRPr="002822BF">
        <w:rPr>
          <w:i/>
          <w:iCs/>
        </w:rPr>
        <w:t>r</w:t>
      </w:r>
      <w:r w:rsidRPr="007222B4">
        <w:t xml:space="preserve"> value of 0.75 and </w:t>
      </w:r>
      <w:r w:rsidRPr="002822BF">
        <w:rPr>
          <w:i/>
          <w:iCs/>
        </w:rPr>
        <w:t>RMSE</w:t>
      </w:r>
      <w:r w:rsidRPr="007222B4">
        <w:t xml:space="preserve"> of 1.10 on the test set.</w:t>
      </w:r>
      <w:r w:rsidR="002822BF" w:rsidRPr="002822BF">
        <w:t xml:space="preserve"> Liu et al.</w:t>
      </w:r>
      <w:r w:rsidR="000F208F">
        <w:t xml:space="preserve"> </w:t>
      </w:r>
      <w:r w:rsidR="000F208F" w:rsidRPr="008E5DBF">
        <w:t>(2022)</w:t>
      </w:r>
      <w:r w:rsidR="002822BF" w:rsidRPr="002822BF">
        <w:t xml:space="preserve"> </w:t>
      </w:r>
      <w:r w:rsidRPr="007222B4">
        <w:t>created</w:t>
      </w:r>
      <w:r w:rsidR="002822BF" w:rsidRPr="002822BF">
        <w:t xml:space="preserve"> a database consisting of 680 experimental </w:t>
      </w:r>
      <w:proofErr w:type="spellStart"/>
      <w:r w:rsidR="002822BF" w:rsidRPr="002822BF">
        <w:rPr>
          <w:i/>
          <w:iCs/>
        </w:rPr>
        <w:t>k</w:t>
      </w:r>
      <w:r w:rsidR="002822BF" w:rsidRPr="002822BF">
        <w:rPr>
          <w:vertAlign w:val="subscript"/>
        </w:rPr>
        <w:t>off</w:t>
      </w:r>
      <w:proofErr w:type="spellEnd"/>
      <w:r w:rsidR="002822BF" w:rsidRPr="002822BF">
        <w:t xml:space="preserve"> </w:t>
      </w:r>
      <w:r w:rsidRPr="007222B4">
        <w:t>values</w:t>
      </w:r>
      <w:r w:rsidRPr="002822BF">
        <w:t xml:space="preserve"> </w:t>
      </w:r>
      <w:r w:rsidR="002822BF" w:rsidRPr="002822BF">
        <w:t xml:space="preserve">and </w:t>
      </w:r>
      <w:r w:rsidRPr="007222B4">
        <w:t>their</w:t>
      </w:r>
      <w:r w:rsidR="002822BF" w:rsidRPr="002822BF">
        <w:t xml:space="preserve"> corresponding protein-ligand complex structures. </w:t>
      </w:r>
      <w:r w:rsidRPr="007222B4">
        <w:t xml:space="preserve">They developed a general RF model based on this database to predict </w:t>
      </w:r>
      <w:proofErr w:type="spellStart"/>
      <w:r w:rsidRPr="002822BF">
        <w:rPr>
          <w:i/>
          <w:iCs/>
        </w:rPr>
        <w:t>p</w:t>
      </w:r>
      <w:r w:rsidRPr="002822BF">
        <w:rPr>
          <w:i/>
        </w:rPr>
        <w:t>k</w:t>
      </w:r>
      <w:r w:rsidRPr="002822BF">
        <w:rPr>
          <w:iCs/>
          <w:vertAlign w:val="subscript"/>
        </w:rPr>
        <w:t>off</w:t>
      </w:r>
      <w:proofErr w:type="spellEnd"/>
      <w:r w:rsidRPr="007222B4">
        <w:t xml:space="preserve"> values. The final model was selected using the evaluation criteria of </w:t>
      </w:r>
      <w:r w:rsidRPr="002822BF">
        <w:rPr>
          <w:i/>
          <w:iCs/>
        </w:rPr>
        <w:t>r</w:t>
      </w:r>
      <w:r w:rsidRPr="002822BF">
        <w:t xml:space="preserve"> and </w:t>
      </w:r>
      <w:r w:rsidRPr="002822BF">
        <w:rPr>
          <w:i/>
          <w:iCs/>
        </w:rPr>
        <w:t>RMSE</w:t>
      </w:r>
      <w:r w:rsidRPr="007222B4">
        <w:t xml:space="preserve"> values: for the training set, </w:t>
      </w:r>
      <w:r w:rsidRPr="002822BF">
        <w:rPr>
          <w:i/>
          <w:iCs/>
        </w:rPr>
        <w:t>r</w:t>
      </w:r>
      <w:r w:rsidRPr="007222B4">
        <w:t xml:space="preserve"> = 0.968 and </w:t>
      </w:r>
      <w:r w:rsidR="00B86F83" w:rsidRPr="002822BF">
        <w:rPr>
          <w:i/>
          <w:iCs/>
        </w:rPr>
        <w:t>RMSE</w:t>
      </w:r>
      <w:r w:rsidRPr="007222B4">
        <w:t xml:space="preserve"> = 0.474; for the validation set, </w:t>
      </w:r>
      <w:r w:rsidRPr="002822BF">
        <w:rPr>
          <w:i/>
          <w:iCs/>
        </w:rPr>
        <w:t>r</w:t>
      </w:r>
      <w:r w:rsidRPr="007222B4">
        <w:t xml:space="preserve"> = 0.706 and </w:t>
      </w:r>
      <w:r w:rsidR="00B86F83" w:rsidRPr="002822BF">
        <w:rPr>
          <w:i/>
          <w:iCs/>
        </w:rPr>
        <w:t>RMSE</w:t>
      </w:r>
      <w:r w:rsidRPr="007222B4">
        <w:t xml:space="preserve"> = 0.986; and for the test set, </w:t>
      </w:r>
      <w:r w:rsidRPr="002822BF">
        <w:rPr>
          <w:i/>
          <w:iCs/>
        </w:rPr>
        <w:t>r</w:t>
      </w:r>
      <w:r w:rsidRPr="007222B4">
        <w:t xml:space="preserve"> = 0.501 and </w:t>
      </w:r>
      <w:r w:rsidR="00B86F83" w:rsidRPr="002822BF">
        <w:rPr>
          <w:i/>
          <w:iCs/>
        </w:rPr>
        <w:t>RMSE</w:t>
      </w:r>
      <w:r w:rsidRPr="007222B4">
        <w:t xml:space="preserve"> = 0.891. The model developed by </w:t>
      </w:r>
      <w:r w:rsidR="00DD2C01" w:rsidRPr="002822BF">
        <w:t>Liu et al.</w:t>
      </w:r>
      <w:r w:rsidR="000F208F">
        <w:t xml:space="preserve"> </w:t>
      </w:r>
      <w:r w:rsidR="000F208F" w:rsidRPr="00B54320">
        <w:t>(2022)</w:t>
      </w:r>
      <w:r w:rsidRPr="007222B4">
        <w:t xml:space="preserve"> shows signs of overfitting, as indicated by its performance on the training, validation, and test datasets. On the other hand, it is unclear whether the model proposed by </w:t>
      </w:r>
      <w:proofErr w:type="spellStart"/>
      <w:r w:rsidR="00B92E30" w:rsidRPr="00F5353E">
        <w:t>Amangeldiuly</w:t>
      </w:r>
      <w:proofErr w:type="spellEnd"/>
      <w:r w:rsidR="00B92E30" w:rsidRPr="00F5353E" w:rsidDel="000F208F">
        <w:t xml:space="preserve"> </w:t>
      </w:r>
      <w:r w:rsidR="00B92E30" w:rsidRPr="00F5353E">
        <w:t>et al. (2020)</w:t>
      </w:r>
      <w:r w:rsidRPr="007222B4">
        <w:t xml:space="preserve"> suffers from overfitting, as they have not provided the performance on the training dataset. In comparison, our deep learning model demonstrates superior performance on the training set (</w:t>
      </w:r>
      <w:r w:rsidR="00B86F83" w:rsidRPr="002822BF">
        <w:rPr>
          <w:i/>
          <w:iCs/>
        </w:rPr>
        <w:t>r</w:t>
      </w:r>
      <w:r w:rsidRPr="007222B4">
        <w:t xml:space="preserve"> = </w:t>
      </w:r>
      <w:r w:rsidR="00F87EAD" w:rsidRPr="00F87EAD">
        <w:t>0.869±0.010</w:t>
      </w:r>
      <w:r w:rsidRPr="007222B4">
        <w:t xml:space="preserve"> and </w:t>
      </w:r>
      <w:r w:rsidR="00B86F83" w:rsidRPr="002822BF">
        <w:rPr>
          <w:i/>
          <w:iCs/>
        </w:rPr>
        <w:t>RMSE</w:t>
      </w:r>
      <w:r w:rsidRPr="007222B4">
        <w:t xml:space="preserve"> = </w:t>
      </w:r>
      <w:r w:rsidR="0014061B" w:rsidRPr="0014061B">
        <w:t>0.488±0.018</w:t>
      </w:r>
      <w:r w:rsidRPr="007222B4">
        <w:t>), validation set (</w:t>
      </w:r>
      <w:r w:rsidR="00B86F83" w:rsidRPr="002822BF">
        <w:rPr>
          <w:i/>
          <w:iCs/>
        </w:rPr>
        <w:t>r</w:t>
      </w:r>
      <w:r w:rsidRPr="007222B4">
        <w:t xml:space="preserve"> = </w:t>
      </w:r>
      <w:r w:rsidR="009D0306" w:rsidRPr="009D0306">
        <w:t>0.838±0.012</w:t>
      </w:r>
      <w:r w:rsidRPr="007222B4">
        <w:t xml:space="preserve"> and </w:t>
      </w:r>
      <w:r w:rsidR="00B86F83" w:rsidRPr="002822BF">
        <w:rPr>
          <w:i/>
          <w:iCs/>
        </w:rPr>
        <w:t>RMSE</w:t>
      </w:r>
      <w:r w:rsidRPr="007222B4">
        <w:t xml:space="preserve"> = </w:t>
      </w:r>
      <w:r w:rsidR="00974335" w:rsidRPr="00974335">
        <w:t>0.546±0.018</w:t>
      </w:r>
      <w:r w:rsidRPr="007222B4">
        <w:t>), and test set (</w:t>
      </w:r>
      <w:r w:rsidR="00B86F83" w:rsidRPr="002822BF">
        <w:rPr>
          <w:i/>
          <w:iCs/>
        </w:rPr>
        <w:t>r</w:t>
      </w:r>
      <w:r w:rsidRPr="007222B4">
        <w:t xml:space="preserve"> = </w:t>
      </w:r>
      <w:r w:rsidR="008A2A98" w:rsidRPr="008A2A98">
        <w:t>0.836±0.009</w:t>
      </w:r>
      <w:r w:rsidRPr="007222B4">
        <w:t xml:space="preserve"> and </w:t>
      </w:r>
      <w:r w:rsidR="00B86F83" w:rsidRPr="002822BF">
        <w:rPr>
          <w:i/>
          <w:iCs/>
        </w:rPr>
        <w:t>RMSE</w:t>
      </w:r>
      <w:r w:rsidRPr="007222B4">
        <w:t xml:space="preserve"> = </w:t>
      </w:r>
      <w:r w:rsidR="00660BBE" w:rsidRPr="00660BBE">
        <w:t>0.540±0.013</w:t>
      </w:r>
      <w:r w:rsidRPr="007222B4">
        <w:t>). This improvement can be attributed to the advantages of our deep learning architecture and the abundance of our database. Moreover, our model enjoys faster computational speed compared to the aforementioned models, thanks to the utilization of text descriptors. In contrast, the calculations of descriptors in the previous models rely on three-dimensional structures of protein-ligand complexes</w:t>
      </w:r>
      <w:r w:rsidR="00DD2C01" w:rsidRPr="002822BF">
        <w:t>.</w:t>
      </w:r>
      <w:r w:rsidRPr="007222B4">
        <w:t xml:space="preserve"> These analyses strongly support the conclusion that our deep learning model outperforms other known </w:t>
      </w:r>
      <w:r w:rsidR="00390D7A" w:rsidRPr="007222B4">
        <w:t>machine learning</w:t>
      </w:r>
      <w:r w:rsidR="000C2D26" w:rsidRPr="000C2D26">
        <w:t xml:space="preserve">-based </w:t>
      </w:r>
      <w:bookmarkStart w:id="1" w:name="_Hlk153204378"/>
      <w:r w:rsidR="000C2D26" w:rsidRPr="000C2D26">
        <w:t>generic dissociation kinetic models</w:t>
      </w:r>
      <w:bookmarkEnd w:id="1"/>
      <w:r w:rsidRPr="007222B4">
        <w:t xml:space="preserve"> in predicting </w:t>
      </w:r>
      <w:proofErr w:type="spellStart"/>
      <w:r w:rsidRPr="006C7399">
        <w:rPr>
          <w:i/>
          <w:iCs/>
        </w:rPr>
        <w:t>pk</w:t>
      </w:r>
      <w:r w:rsidRPr="006C7399">
        <w:rPr>
          <w:vertAlign w:val="subscript"/>
        </w:rPr>
        <w:t>off</w:t>
      </w:r>
      <w:proofErr w:type="spellEnd"/>
      <w:r w:rsidRPr="007222B4">
        <w:t xml:space="preserve"> values.</w:t>
      </w:r>
    </w:p>
    <w:p w14:paraId="20C24395" w14:textId="77777777" w:rsidR="002822BF" w:rsidRPr="002822BF" w:rsidRDefault="002822BF" w:rsidP="002822BF">
      <w:pPr>
        <w:adjustRightInd w:val="0"/>
        <w:snapToGrid w:val="0"/>
        <w:contextualSpacing/>
        <w:mirrorIndents/>
        <w:jc w:val="both"/>
        <w:rPr>
          <w:color w:val="333333"/>
          <w:shd w:val="clear" w:color="auto" w:fill="FFFFFF"/>
        </w:rPr>
      </w:pPr>
    </w:p>
    <w:p w14:paraId="57A76C2A" w14:textId="43306F9E" w:rsidR="002822BF" w:rsidRPr="002822BF" w:rsidRDefault="002B465A" w:rsidP="00962561">
      <w:pPr>
        <w:adjustRightInd w:val="0"/>
        <w:snapToGrid w:val="0"/>
        <w:contextualSpacing/>
        <w:mirrorIndents/>
        <w:jc w:val="center"/>
        <w:rPr>
          <w:color w:val="000000" w:themeColor="text1"/>
          <w:shd w:val="clear" w:color="auto" w:fill="FFFFFF"/>
        </w:rPr>
      </w:pPr>
      <w:r w:rsidRPr="006C7399">
        <w:rPr>
          <w:b/>
          <w:color w:val="000000" w:themeColor="text1"/>
          <w:shd w:val="clear" w:color="auto" w:fill="FFFFFF"/>
        </w:rPr>
        <w:t>Table 1</w:t>
      </w:r>
      <w:r w:rsidR="00962561" w:rsidRPr="00962561">
        <w:rPr>
          <w:bCs/>
          <w:color w:val="000000" w:themeColor="text1"/>
          <w:shd w:val="clear" w:color="auto" w:fill="FFFFFF"/>
        </w:rPr>
        <w:t>.</w:t>
      </w:r>
      <w:r w:rsidR="002822BF" w:rsidRPr="002822BF">
        <w:rPr>
          <w:color w:val="000000" w:themeColor="text1"/>
          <w:shd w:val="clear" w:color="auto" w:fill="FFFFFF"/>
        </w:rPr>
        <w:t xml:space="preserve"> Performance comparisons between the deep learning model developed in this work and the existing models in literature.</w:t>
      </w:r>
    </w:p>
    <w:tbl>
      <w:tblPr>
        <w:tblStyle w:val="af1"/>
        <w:tblW w:w="46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770"/>
        <w:gridCol w:w="1254"/>
        <w:gridCol w:w="1253"/>
      </w:tblGrid>
      <w:tr w:rsidR="002822BF" w:rsidRPr="002822BF" w14:paraId="456FAC91" w14:textId="77777777" w:rsidTr="00B01621">
        <w:trPr>
          <w:jc w:val="center"/>
        </w:trPr>
        <w:tc>
          <w:tcPr>
            <w:tcW w:w="1733" w:type="pct"/>
            <w:tcBorders>
              <w:top w:val="single" w:sz="8" w:space="0" w:color="auto"/>
              <w:bottom w:val="single" w:sz="4" w:space="0" w:color="auto"/>
            </w:tcBorders>
            <w:vAlign w:val="center"/>
          </w:tcPr>
          <w:p w14:paraId="4CED7A92" w14:textId="77777777" w:rsidR="002822BF" w:rsidRPr="002822BF" w:rsidRDefault="002822BF" w:rsidP="002822BF">
            <w:pPr>
              <w:adjustRightInd w:val="0"/>
              <w:snapToGrid w:val="0"/>
              <w:contextualSpacing/>
              <w:mirrorIndents/>
              <w:jc w:val="both"/>
              <w:rPr>
                <w:b/>
                <w:color w:val="000000" w:themeColor="text1"/>
                <w:shd w:val="clear" w:color="auto" w:fill="FFFFFF"/>
                <w:lang w:eastAsia="zh-CN"/>
              </w:rPr>
            </w:pPr>
            <w:r w:rsidRPr="002822BF">
              <w:rPr>
                <w:b/>
                <w:color w:val="000000" w:themeColor="text1"/>
                <w:shd w:val="clear" w:color="auto" w:fill="FFFFFF"/>
                <w:lang w:eastAsia="zh-CN"/>
              </w:rPr>
              <w:t>Model</w:t>
            </w:r>
          </w:p>
        </w:tc>
        <w:tc>
          <w:tcPr>
            <w:tcW w:w="1352" w:type="pct"/>
            <w:tcBorders>
              <w:top w:val="single" w:sz="8" w:space="0" w:color="auto"/>
              <w:bottom w:val="single" w:sz="4" w:space="0" w:color="auto"/>
            </w:tcBorders>
            <w:vAlign w:val="center"/>
          </w:tcPr>
          <w:p w14:paraId="4D8421C8" w14:textId="3C238017" w:rsidR="002822BF" w:rsidRPr="002822BF" w:rsidRDefault="002822BF" w:rsidP="002822BF">
            <w:pPr>
              <w:adjustRightInd w:val="0"/>
              <w:snapToGrid w:val="0"/>
              <w:contextualSpacing/>
              <w:mirrorIndents/>
              <w:jc w:val="both"/>
              <w:rPr>
                <w:b/>
                <w:color w:val="000000" w:themeColor="text1"/>
                <w:shd w:val="clear" w:color="auto" w:fill="FFFFFF"/>
              </w:rPr>
            </w:pPr>
            <w:r w:rsidRPr="002822BF">
              <w:rPr>
                <w:b/>
                <w:color w:val="000000" w:themeColor="text1"/>
                <w:shd w:val="clear" w:color="auto" w:fill="FFFFFF"/>
              </w:rPr>
              <w:t>Dataset</w:t>
            </w:r>
          </w:p>
        </w:tc>
        <w:tc>
          <w:tcPr>
            <w:tcW w:w="958" w:type="pct"/>
            <w:tcBorders>
              <w:top w:val="single" w:sz="8" w:space="0" w:color="auto"/>
              <w:bottom w:val="single" w:sz="4" w:space="0" w:color="auto"/>
            </w:tcBorders>
            <w:vAlign w:val="center"/>
          </w:tcPr>
          <w:p w14:paraId="6110E154" w14:textId="77777777" w:rsidR="002822BF" w:rsidRPr="002822BF" w:rsidRDefault="002822BF" w:rsidP="002822BF">
            <w:pPr>
              <w:adjustRightInd w:val="0"/>
              <w:snapToGrid w:val="0"/>
              <w:contextualSpacing/>
              <w:mirrorIndents/>
              <w:jc w:val="both"/>
              <w:rPr>
                <w:b/>
                <w:color w:val="000000" w:themeColor="text1"/>
                <w:shd w:val="clear" w:color="auto" w:fill="FFFFFF"/>
              </w:rPr>
            </w:pPr>
            <w:r w:rsidRPr="002822BF">
              <w:rPr>
                <w:b/>
                <w:i/>
                <w:iCs/>
                <w:color w:val="000000" w:themeColor="text1"/>
                <w:shd w:val="clear" w:color="auto" w:fill="FFFFFF"/>
              </w:rPr>
              <w:t>r</w:t>
            </w:r>
          </w:p>
        </w:tc>
        <w:tc>
          <w:tcPr>
            <w:tcW w:w="957" w:type="pct"/>
            <w:tcBorders>
              <w:top w:val="single" w:sz="8" w:space="0" w:color="auto"/>
              <w:bottom w:val="single" w:sz="4" w:space="0" w:color="auto"/>
            </w:tcBorders>
            <w:vAlign w:val="center"/>
          </w:tcPr>
          <w:p w14:paraId="5FA12E07" w14:textId="77777777" w:rsidR="002822BF" w:rsidRPr="002822BF" w:rsidRDefault="002822BF" w:rsidP="002822BF">
            <w:pPr>
              <w:adjustRightInd w:val="0"/>
              <w:snapToGrid w:val="0"/>
              <w:contextualSpacing/>
              <w:mirrorIndents/>
              <w:jc w:val="both"/>
              <w:rPr>
                <w:b/>
                <w:i/>
                <w:iCs/>
                <w:color w:val="000000" w:themeColor="text1"/>
                <w:shd w:val="clear" w:color="auto" w:fill="FFFFFF"/>
              </w:rPr>
            </w:pPr>
            <w:r w:rsidRPr="002822BF">
              <w:rPr>
                <w:b/>
                <w:i/>
                <w:iCs/>
                <w:color w:val="000000" w:themeColor="text1"/>
                <w:shd w:val="clear" w:color="auto" w:fill="FFFFFF"/>
              </w:rPr>
              <w:t>RMSE</w:t>
            </w:r>
          </w:p>
        </w:tc>
      </w:tr>
      <w:tr w:rsidR="003B4C90" w:rsidRPr="002822BF" w14:paraId="5F6C2785" w14:textId="77777777" w:rsidTr="00B01621">
        <w:trPr>
          <w:jc w:val="center"/>
        </w:trPr>
        <w:tc>
          <w:tcPr>
            <w:tcW w:w="1733" w:type="pct"/>
            <w:tcBorders>
              <w:top w:val="single" w:sz="4" w:space="0" w:color="auto"/>
            </w:tcBorders>
            <w:vAlign w:val="center"/>
          </w:tcPr>
          <w:p w14:paraId="683C1156" w14:textId="77777777" w:rsidR="003B4C90" w:rsidRPr="002822BF" w:rsidRDefault="003B4C90" w:rsidP="003B4C90">
            <w:pPr>
              <w:adjustRightInd w:val="0"/>
              <w:snapToGrid w:val="0"/>
              <w:contextualSpacing/>
              <w:mirrorIndents/>
              <w:jc w:val="both"/>
              <w:rPr>
                <w:color w:val="000000" w:themeColor="text1"/>
                <w:shd w:val="clear" w:color="auto" w:fill="FFFFFF"/>
                <w:lang w:eastAsia="zh-CN"/>
              </w:rPr>
            </w:pPr>
            <w:r w:rsidRPr="002822BF">
              <w:rPr>
                <w:color w:val="000000" w:themeColor="text1"/>
                <w:shd w:val="clear" w:color="auto" w:fill="FFFFFF"/>
                <w:lang w:eastAsia="zh-CN"/>
              </w:rPr>
              <w:t>This work</w:t>
            </w:r>
          </w:p>
        </w:tc>
        <w:tc>
          <w:tcPr>
            <w:tcW w:w="1352" w:type="pct"/>
            <w:tcBorders>
              <w:top w:val="single" w:sz="4" w:space="0" w:color="auto"/>
            </w:tcBorders>
            <w:vAlign w:val="center"/>
          </w:tcPr>
          <w:p w14:paraId="63720833" w14:textId="3B6EBC8E" w:rsidR="003B4C90" w:rsidRPr="002822BF" w:rsidRDefault="003B4C90" w:rsidP="003B4C90">
            <w:pPr>
              <w:adjustRightInd w:val="0"/>
              <w:snapToGrid w:val="0"/>
              <w:contextualSpacing/>
              <w:mirrorIndents/>
              <w:jc w:val="both"/>
              <w:rPr>
                <w:color w:val="000000" w:themeColor="text1"/>
                <w:shd w:val="clear" w:color="auto" w:fill="FFFFFF"/>
                <w:lang w:eastAsia="zh-CN"/>
              </w:rPr>
            </w:pPr>
            <w:r w:rsidRPr="002822BF">
              <w:rPr>
                <w:color w:val="000000" w:themeColor="text1"/>
                <w:shd w:val="clear" w:color="auto" w:fill="FFFFFF"/>
              </w:rPr>
              <w:t>Training</w:t>
            </w:r>
          </w:p>
        </w:tc>
        <w:tc>
          <w:tcPr>
            <w:tcW w:w="958" w:type="pct"/>
            <w:tcBorders>
              <w:top w:val="single" w:sz="4" w:space="0" w:color="auto"/>
            </w:tcBorders>
          </w:tcPr>
          <w:p w14:paraId="28B18550" w14:textId="1ACDE1AE" w:rsidR="003B4C90" w:rsidRPr="002822BF" w:rsidRDefault="003B4C90" w:rsidP="003B4C90">
            <w:pPr>
              <w:adjustRightInd w:val="0"/>
              <w:snapToGrid w:val="0"/>
              <w:contextualSpacing/>
              <w:mirrorIndents/>
              <w:jc w:val="both"/>
              <w:rPr>
                <w:shd w:val="clear" w:color="auto" w:fill="FFFFFF"/>
              </w:rPr>
            </w:pPr>
            <w:r w:rsidRPr="00E833B4">
              <w:t>0.869±0.010</w:t>
            </w:r>
          </w:p>
        </w:tc>
        <w:tc>
          <w:tcPr>
            <w:tcW w:w="957" w:type="pct"/>
            <w:tcBorders>
              <w:top w:val="single" w:sz="4" w:space="0" w:color="auto"/>
            </w:tcBorders>
          </w:tcPr>
          <w:p w14:paraId="3D542069" w14:textId="25F32B20" w:rsidR="003B4C90" w:rsidRPr="002822BF" w:rsidRDefault="003B4C90" w:rsidP="003B4C90">
            <w:pPr>
              <w:adjustRightInd w:val="0"/>
              <w:snapToGrid w:val="0"/>
              <w:contextualSpacing/>
              <w:mirrorIndents/>
              <w:jc w:val="both"/>
              <w:rPr>
                <w:shd w:val="clear" w:color="auto" w:fill="FFFFFF"/>
                <w:lang w:eastAsia="zh-CN"/>
              </w:rPr>
            </w:pPr>
            <w:r w:rsidRPr="00E833B4">
              <w:t>0.488±0.018</w:t>
            </w:r>
          </w:p>
        </w:tc>
      </w:tr>
      <w:tr w:rsidR="003B4C90" w:rsidRPr="002822BF" w14:paraId="445E8E5C" w14:textId="77777777" w:rsidTr="00B01621">
        <w:trPr>
          <w:jc w:val="center"/>
        </w:trPr>
        <w:tc>
          <w:tcPr>
            <w:tcW w:w="1733" w:type="pct"/>
            <w:vAlign w:val="center"/>
          </w:tcPr>
          <w:p w14:paraId="53350F2E" w14:textId="77777777" w:rsidR="003B4C90" w:rsidRPr="002822BF" w:rsidRDefault="003B4C90" w:rsidP="003B4C90">
            <w:pPr>
              <w:adjustRightInd w:val="0"/>
              <w:snapToGrid w:val="0"/>
              <w:contextualSpacing/>
              <w:mirrorIndents/>
              <w:jc w:val="both"/>
              <w:rPr>
                <w:color w:val="000000" w:themeColor="text1"/>
                <w:shd w:val="clear" w:color="auto" w:fill="FFFFFF"/>
              </w:rPr>
            </w:pPr>
          </w:p>
        </w:tc>
        <w:tc>
          <w:tcPr>
            <w:tcW w:w="1352" w:type="pct"/>
            <w:vAlign w:val="center"/>
          </w:tcPr>
          <w:p w14:paraId="359426D6" w14:textId="224469AE" w:rsidR="003B4C90" w:rsidRPr="002822BF" w:rsidRDefault="003B4C90" w:rsidP="003B4C90">
            <w:pPr>
              <w:adjustRightInd w:val="0"/>
              <w:snapToGrid w:val="0"/>
              <w:contextualSpacing/>
              <w:mirrorIndents/>
              <w:jc w:val="both"/>
              <w:rPr>
                <w:color w:val="000000" w:themeColor="text1"/>
                <w:shd w:val="clear" w:color="auto" w:fill="FFFFFF"/>
                <w:lang w:eastAsia="zh-CN"/>
              </w:rPr>
            </w:pPr>
            <w:r w:rsidRPr="002822BF">
              <w:rPr>
                <w:color w:val="000000" w:themeColor="text1"/>
                <w:shd w:val="clear" w:color="auto" w:fill="FFFFFF"/>
              </w:rPr>
              <w:t>Validation</w:t>
            </w:r>
          </w:p>
        </w:tc>
        <w:tc>
          <w:tcPr>
            <w:tcW w:w="958" w:type="pct"/>
          </w:tcPr>
          <w:p w14:paraId="0FA2B264" w14:textId="73CBBC44" w:rsidR="003B4C90" w:rsidRPr="002822BF" w:rsidRDefault="003B4C90" w:rsidP="003B4C90">
            <w:pPr>
              <w:adjustRightInd w:val="0"/>
              <w:snapToGrid w:val="0"/>
              <w:contextualSpacing/>
              <w:mirrorIndents/>
              <w:jc w:val="both"/>
              <w:rPr>
                <w:shd w:val="clear" w:color="auto" w:fill="FFFFFF"/>
              </w:rPr>
            </w:pPr>
            <w:r w:rsidRPr="00E833B4">
              <w:t>0.838±0.012</w:t>
            </w:r>
          </w:p>
        </w:tc>
        <w:tc>
          <w:tcPr>
            <w:tcW w:w="957" w:type="pct"/>
          </w:tcPr>
          <w:p w14:paraId="6FA26737" w14:textId="7AC9B5AF" w:rsidR="003B4C90" w:rsidRPr="002822BF" w:rsidRDefault="003B4C90" w:rsidP="003B4C90">
            <w:pPr>
              <w:adjustRightInd w:val="0"/>
              <w:snapToGrid w:val="0"/>
              <w:contextualSpacing/>
              <w:mirrorIndents/>
              <w:jc w:val="both"/>
              <w:rPr>
                <w:shd w:val="clear" w:color="auto" w:fill="FFFFFF"/>
                <w:lang w:eastAsia="zh-CN"/>
              </w:rPr>
            </w:pPr>
            <w:r w:rsidRPr="00E833B4">
              <w:t>0.546±0.018</w:t>
            </w:r>
          </w:p>
        </w:tc>
      </w:tr>
      <w:tr w:rsidR="003B4C90" w:rsidRPr="002822BF" w14:paraId="61CE6061" w14:textId="77777777" w:rsidTr="00B01621">
        <w:trPr>
          <w:jc w:val="center"/>
        </w:trPr>
        <w:tc>
          <w:tcPr>
            <w:tcW w:w="1733" w:type="pct"/>
            <w:vAlign w:val="center"/>
          </w:tcPr>
          <w:p w14:paraId="7A88301E" w14:textId="77777777" w:rsidR="003B4C90" w:rsidRPr="002822BF" w:rsidRDefault="003B4C90" w:rsidP="003B4C90">
            <w:pPr>
              <w:adjustRightInd w:val="0"/>
              <w:snapToGrid w:val="0"/>
              <w:contextualSpacing/>
              <w:mirrorIndents/>
              <w:jc w:val="both"/>
              <w:rPr>
                <w:color w:val="000000" w:themeColor="text1"/>
                <w:shd w:val="clear" w:color="auto" w:fill="FFFFFF"/>
              </w:rPr>
            </w:pPr>
          </w:p>
        </w:tc>
        <w:tc>
          <w:tcPr>
            <w:tcW w:w="1352" w:type="pct"/>
            <w:vAlign w:val="center"/>
          </w:tcPr>
          <w:p w14:paraId="55AAE0CA" w14:textId="359706BD" w:rsidR="003B4C90" w:rsidRPr="002822BF" w:rsidRDefault="003B4C90" w:rsidP="003B4C90">
            <w:pPr>
              <w:adjustRightInd w:val="0"/>
              <w:snapToGrid w:val="0"/>
              <w:contextualSpacing/>
              <w:mirrorIndents/>
              <w:jc w:val="both"/>
              <w:rPr>
                <w:b/>
                <w:bCs/>
                <w:color w:val="000000" w:themeColor="text1"/>
                <w:shd w:val="clear" w:color="auto" w:fill="FFFFFF"/>
                <w:lang w:eastAsia="zh-CN"/>
              </w:rPr>
            </w:pPr>
            <w:r w:rsidRPr="002822BF">
              <w:rPr>
                <w:b/>
                <w:bCs/>
                <w:color w:val="000000" w:themeColor="text1"/>
                <w:shd w:val="clear" w:color="auto" w:fill="FFFFFF"/>
              </w:rPr>
              <w:t xml:space="preserve">Test </w:t>
            </w:r>
          </w:p>
        </w:tc>
        <w:tc>
          <w:tcPr>
            <w:tcW w:w="958" w:type="pct"/>
          </w:tcPr>
          <w:p w14:paraId="177E82D2" w14:textId="25FDB75A" w:rsidR="003B4C90" w:rsidRPr="00C04417" w:rsidRDefault="003B4C90" w:rsidP="003B4C90">
            <w:pPr>
              <w:adjustRightInd w:val="0"/>
              <w:snapToGrid w:val="0"/>
              <w:contextualSpacing/>
              <w:mirrorIndents/>
              <w:jc w:val="both"/>
              <w:rPr>
                <w:b/>
                <w:bCs/>
                <w:shd w:val="clear" w:color="auto" w:fill="FFFFFF"/>
              </w:rPr>
            </w:pPr>
            <w:r w:rsidRPr="00C04417">
              <w:rPr>
                <w:b/>
                <w:bCs/>
              </w:rPr>
              <w:t>0.836±0.009</w:t>
            </w:r>
          </w:p>
        </w:tc>
        <w:tc>
          <w:tcPr>
            <w:tcW w:w="957" w:type="pct"/>
          </w:tcPr>
          <w:p w14:paraId="6B6D792B" w14:textId="0989E929" w:rsidR="003B4C90" w:rsidRPr="00C04417" w:rsidRDefault="003B4C90" w:rsidP="003B4C90">
            <w:pPr>
              <w:adjustRightInd w:val="0"/>
              <w:snapToGrid w:val="0"/>
              <w:contextualSpacing/>
              <w:mirrorIndents/>
              <w:jc w:val="both"/>
              <w:rPr>
                <w:b/>
                <w:bCs/>
                <w:shd w:val="clear" w:color="auto" w:fill="FFFFFF"/>
                <w:lang w:eastAsia="zh-CN"/>
              </w:rPr>
            </w:pPr>
            <w:r w:rsidRPr="00C04417">
              <w:rPr>
                <w:b/>
                <w:bCs/>
              </w:rPr>
              <w:t>0.540±0.013</w:t>
            </w:r>
          </w:p>
        </w:tc>
      </w:tr>
      <w:tr w:rsidR="002822BF" w:rsidRPr="002822BF" w14:paraId="27A477E9" w14:textId="77777777" w:rsidTr="00B01621">
        <w:trPr>
          <w:jc w:val="center"/>
        </w:trPr>
        <w:tc>
          <w:tcPr>
            <w:tcW w:w="1733" w:type="pct"/>
            <w:vAlign w:val="center"/>
          </w:tcPr>
          <w:p w14:paraId="45544985" w14:textId="023D0A13" w:rsidR="002822BF" w:rsidRPr="002822BF" w:rsidRDefault="002822BF" w:rsidP="002822BF">
            <w:pPr>
              <w:adjustRightInd w:val="0"/>
              <w:snapToGrid w:val="0"/>
              <w:contextualSpacing/>
              <w:mirrorIndents/>
              <w:jc w:val="both"/>
              <w:rPr>
                <w:color w:val="000000" w:themeColor="text1"/>
                <w:shd w:val="clear" w:color="auto" w:fill="FFFFFF"/>
                <w:lang w:eastAsia="zh-CN"/>
              </w:rPr>
            </w:pPr>
            <w:r w:rsidRPr="002822BF">
              <w:rPr>
                <w:color w:val="000000" w:themeColor="text1"/>
                <w:shd w:val="clear" w:color="auto" w:fill="FFFFFF"/>
                <w:lang w:eastAsia="zh-CN"/>
              </w:rPr>
              <w:t>RF model</w:t>
            </w:r>
            <w:r w:rsidR="00FD200E">
              <w:rPr>
                <w:color w:val="000000" w:themeColor="text1"/>
                <w:shd w:val="clear" w:color="auto" w:fill="FFFFFF"/>
                <w:lang w:eastAsia="zh-CN"/>
              </w:rPr>
              <w:t xml:space="preserve"> (</w:t>
            </w:r>
            <w:proofErr w:type="spellStart"/>
            <w:r w:rsidR="00FD200E" w:rsidRPr="00FD200E">
              <w:rPr>
                <w:color w:val="000000" w:themeColor="text1"/>
                <w:shd w:val="clear" w:color="auto" w:fill="FFFFFF"/>
                <w:lang w:eastAsia="zh-CN"/>
              </w:rPr>
              <w:t>Amangeldiuly</w:t>
            </w:r>
            <w:proofErr w:type="spellEnd"/>
            <w:r w:rsidR="00DE328A">
              <w:rPr>
                <w:color w:val="000000" w:themeColor="text1"/>
                <w:shd w:val="clear" w:color="auto" w:fill="FFFFFF"/>
                <w:lang w:eastAsia="zh-CN"/>
              </w:rPr>
              <w:t xml:space="preserve"> et al., 2020</w:t>
            </w:r>
            <w:r w:rsidR="00FD200E">
              <w:rPr>
                <w:color w:val="000000" w:themeColor="text1"/>
                <w:shd w:val="clear" w:color="auto" w:fill="FFFFFF"/>
                <w:lang w:eastAsia="zh-CN"/>
              </w:rPr>
              <w:t>)</w:t>
            </w:r>
          </w:p>
        </w:tc>
        <w:tc>
          <w:tcPr>
            <w:tcW w:w="1352" w:type="pct"/>
            <w:vAlign w:val="center"/>
          </w:tcPr>
          <w:p w14:paraId="4D955CD1" w14:textId="7DEA41EB" w:rsidR="002822BF" w:rsidRPr="002822BF" w:rsidRDefault="002822BF" w:rsidP="002822BF">
            <w:pPr>
              <w:adjustRightInd w:val="0"/>
              <w:snapToGrid w:val="0"/>
              <w:contextualSpacing/>
              <w:mirrorIndents/>
              <w:jc w:val="both"/>
              <w:rPr>
                <w:color w:val="000000" w:themeColor="text1"/>
                <w:shd w:val="clear" w:color="auto" w:fill="FFFFFF"/>
              </w:rPr>
            </w:pPr>
            <w:r w:rsidRPr="002822BF">
              <w:rPr>
                <w:color w:val="000000" w:themeColor="text1"/>
                <w:shd w:val="clear" w:color="auto" w:fill="FFFFFF"/>
              </w:rPr>
              <w:t>Training</w:t>
            </w:r>
          </w:p>
        </w:tc>
        <w:tc>
          <w:tcPr>
            <w:tcW w:w="958" w:type="pct"/>
            <w:vAlign w:val="center"/>
          </w:tcPr>
          <w:p w14:paraId="76168E2C" w14:textId="77777777" w:rsidR="002822BF" w:rsidRPr="002822BF" w:rsidRDefault="002822BF" w:rsidP="002822BF">
            <w:pPr>
              <w:adjustRightInd w:val="0"/>
              <w:snapToGrid w:val="0"/>
              <w:contextualSpacing/>
              <w:mirrorIndents/>
              <w:jc w:val="both"/>
              <w:rPr>
                <w:shd w:val="clear" w:color="auto" w:fill="FFFFFF"/>
                <w:lang w:eastAsia="zh-CN"/>
              </w:rPr>
            </w:pPr>
            <w:r w:rsidRPr="002822BF">
              <w:rPr>
                <w:shd w:val="clear" w:color="auto" w:fill="FFFFFF"/>
                <w:lang w:eastAsia="zh-CN"/>
              </w:rPr>
              <w:t>Unknown</w:t>
            </w:r>
          </w:p>
        </w:tc>
        <w:tc>
          <w:tcPr>
            <w:tcW w:w="957" w:type="pct"/>
            <w:vAlign w:val="center"/>
          </w:tcPr>
          <w:p w14:paraId="5A591C6D" w14:textId="77777777" w:rsidR="002822BF" w:rsidRPr="002822BF" w:rsidRDefault="002822BF" w:rsidP="002822BF">
            <w:pPr>
              <w:adjustRightInd w:val="0"/>
              <w:snapToGrid w:val="0"/>
              <w:contextualSpacing/>
              <w:mirrorIndents/>
              <w:jc w:val="both"/>
              <w:rPr>
                <w:shd w:val="clear" w:color="auto" w:fill="FFFFFF"/>
              </w:rPr>
            </w:pPr>
            <w:r w:rsidRPr="002822BF">
              <w:rPr>
                <w:shd w:val="clear" w:color="auto" w:fill="FFFFFF"/>
                <w:lang w:eastAsia="zh-CN"/>
              </w:rPr>
              <w:t>Unknown</w:t>
            </w:r>
          </w:p>
        </w:tc>
      </w:tr>
      <w:tr w:rsidR="002822BF" w:rsidRPr="002822BF" w14:paraId="3FDC9608" w14:textId="77777777" w:rsidTr="00B01621">
        <w:trPr>
          <w:jc w:val="center"/>
        </w:trPr>
        <w:tc>
          <w:tcPr>
            <w:tcW w:w="1733" w:type="pct"/>
            <w:vAlign w:val="center"/>
          </w:tcPr>
          <w:p w14:paraId="6B98F837" w14:textId="77777777" w:rsidR="002822BF" w:rsidRPr="002822BF" w:rsidRDefault="002822BF" w:rsidP="002822BF">
            <w:pPr>
              <w:adjustRightInd w:val="0"/>
              <w:snapToGrid w:val="0"/>
              <w:contextualSpacing/>
              <w:mirrorIndents/>
              <w:jc w:val="both"/>
              <w:rPr>
                <w:color w:val="000000" w:themeColor="text1"/>
                <w:shd w:val="clear" w:color="auto" w:fill="FFFFFF"/>
              </w:rPr>
            </w:pPr>
          </w:p>
        </w:tc>
        <w:tc>
          <w:tcPr>
            <w:tcW w:w="1352" w:type="pct"/>
            <w:vAlign w:val="center"/>
          </w:tcPr>
          <w:p w14:paraId="66773643" w14:textId="1EEFDC98" w:rsidR="002822BF" w:rsidRPr="002822BF" w:rsidRDefault="002822BF" w:rsidP="002822BF">
            <w:pPr>
              <w:adjustRightInd w:val="0"/>
              <w:snapToGrid w:val="0"/>
              <w:contextualSpacing/>
              <w:mirrorIndents/>
              <w:jc w:val="both"/>
              <w:rPr>
                <w:color w:val="000000" w:themeColor="text1"/>
                <w:shd w:val="clear" w:color="auto" w:fill="FFFFFF"/>
              </w:rPr>
            </w:pPr>
            <w:r w:rsidRPr="002822BF">
              <w:rPr>
                <w:color w:val="000000" w:themeColor="text1"/>
                <w:shd w:val="clear" w:color="auto" w:fill="FFFFFF"/>
              </w:rPr>
              <w:t>Validation</w:t>
            </w:r>
          </w:p>
        </w:tc>
        <w:tc>
          <w:tcPr>
            <w:tcW w:w="958" w:type="pct"/>
            <w:vAlign w:val="center"/>
          </w:tcPr>
          <w:p w14:paraId="066991EB" w14:textId="77777777" w:rsidR="002822BF" w:rsidRPr="002822BF" w:rsidRDefault="002822BF" w:rsidP="002822BF">
            <w:pPr>
              <w:adjustRightInd w:val="0"/>
              <w:snapToGrid w:val="0"/>
              <w:contextualSpacing/>
              <w:mirrorIndents/>
              <w:jc w:val="both"/>
              <w:rPr>
                <w:shd w:val="clear" w:color="auto" w:fill="FFFFFF"/>
              </w:rPr>
            </w:pPr>
            <w:r w:rsidRPr="002822BF">
              <w:rPr>
                <w:shd w:val="clear" w:color="auto" w:fill="FFFFFF"/>
              </w:rPr>
              <w:t>0.78</w:t>
            </w:r>
          </w:p>
        </w:tc>
        <w:tc>
          <w:tcPr>
            <w:tcW w:w="957" w:type="pct"/>
            <w:vAlign w:val="center"/>
          </w:tcPr>
          <w:p w14:paraId="1B0F953A" w14:textId="77777777" w:rsidR="002822BF" w:rsidRPr="002822BF" w:rsidRDefault="002822BF" w:rsidP="002822BF">
            <w:pPr>
              <w:adjustRightInd w:val="0"/>
              <w:snapToGrid w:val="0"/>
              <w:contextualSpacing/>
              <w:mirrorIndents/>
              <w:jc w:val="both"/>
              <w:rPr>
                <w:shd w:val="clear" w:color="auto" w:fill="FFFFFF"/>
              </w:rPr>
            </w:pPr>
            <w:r w:rsidRPr="002822BF">
              <w:rPr>
                <w:shd w:val="clear" w:color="auto" w:fill="FFFFFF"/>
              </w:rPr>
              <w:t>0.82</w:t>
            </w:r>
          </w:p>
        </w:tc>
      </w:tr>
      <w:tr w:rsidR="002822BF" w:rsidRPr="002822BF" w14:paraId="779FE707" w14:textId="77777777" w:rsidTr="00B01621">
        <w:trPr>
          <w:jc w:val="center"/>
        </w:trPr>
        <w:tc>
          <w:tcPr>
            <w:tcW w:w="1733" w:type="pct"/>
            <w:vAlign w:val="center"/>
          </w:tcPr>
          <w:p w14:paraId="0C748115" w14:textId="77777777" w:rsidR="002822BF" w:rsidRPr="002822BF" w:rsidRDefault="002822BF" w:rsidP="002822BF">
            <w:pPr>
              <w:adjustRightInd w:val="0"/>
              <w:snapToGrid w:val="0"/>
              <w:contextualSpacing/>
              <w:mirrorIndents/>
              <w:jc w:val="both"/>
              <w:rPr>
                <w:color w:val="000000" w:themeColor="text1"/>
                <w:shd w:val="clear" w:color="auto" w:fill="FFFFFF"/>
              </w:rPr>
            </w:pPr>
          </w:p>
        </w:tc>
        <w:tc>
          <w:tcPr>
            <w:tcW w:w="1352" w:type="pct"/>
            <w:vAlign w:val="center"/>
          </w:tcPr>
          <w:p w14:paraId="6C88C3BD" w14:textId="72EE6F62" w:rsidR="002822BF" w:rsidRPr="002822BF" w:rsidRDefault="002822BF" w:rsidP="002822BF">
            <w:pPr>
              <w:adjustRightInd w:val="0"/>
              <w:snapToGrid w:val="0"/>
              <w:contextualSpacing/>
              <w:mirrorIndents/>
              <w:jc w:val="both"/>
              <w:rPr>
                <w:color w:val="000000" w:themeColor="text1"/>
                <w:shd w:val="clear" w:color="auto" w:fill="FFFFFF"/>
              </w:rPr>
            </w:pPr>
            <w:r w:rsidRPr="002822BF">
              <w:rPr>
                <w:color w:val="000000" w:themeColor="text1"/>
                <w:shd w:val="clear" w:color="auto" w:fill="FFFFFF"/>
              </w:rPr>
              <w:t>Test</w:t>
            </w:r>
          </w:p>
        </w:tc>
        <w:tc>
          <w:tcPr>
            <w:tcW w:w="958" w:type="pct"/>
            <w:vAlign w:val="center"/>
          </w:tcPr>
          <w:p w14:paraId="55CA23F1" w14:textId="77777777" w:rsidR="002822BF" w:rsidRPr="002822BF" w:rsidRDefault="002822BF" w:rsidP="002822BF">
            <w:pPr>
              <w:adjustRightInd w:val="0"/>
              <w:snapToGrid w:val="0"/>
              <w:contextualSpacing/>
              <w:mirrorIndents/>
              <w:jc w:val="both"/>
              <w:rPr>
                <w:shd w:val="clear" w:color="auto" w:fill="FFFFFF"/>
              </w:rPr>
            </w:pPr>
            <w:r w:rsidRPr="002822BF">
              <w:rPr>
                <w:shd w:val="clear" w:color="auto" w:fill="FFFFFF"/>
              </w:rPr>
              <w:t>0.7</w:t>
            </w:r>
            <w:r w:rsidRPr="002822BF">
              <w:rPr>
                <w:shd w:val="clear" w:color="auto" w:fill="FFFFFF"/>
                <w:lang w:eastAsia="zh-CN"/>
              </w:rPr>
              <w:t>5</w:t>
            </w:r>
          </w:p>
        </w:tc>
        <w:tc>
          <w:tcPr>
            <w:tcW w:w="957" w:type="pct"/>
            <w:vAlign w:val="center"/>
          </w:tcPr>
          <w:p w14:paraId="46D1BF2C" w14:textId="77777777" w:rsidR="002822BF" w:rsidRPr="002822BF" w:rsidRDefault="002822BF" w:rsidP="002822BF">
            <w:pPr>
              <w:adjustRightInd w:val="0"/>
              <w:snapToGrid w:val="0"/>
              <w:contextualSpacing/>
              <w:mirrorIndents/>
              <w:jc w:val="both"/>
              <w:rPr>
                <w:shd w:val="clear" w:color="auto" w:fill="FFFFFF"/>
              </w:rPr>
            </w:pPr>
            <w:r w:rsidRPr="002822BF">
              <w:rPr>
                <w:shd w:val="clear" w:color="auto" w:fill="FFFFFF"/>
                <w:lang w:eastAsia="zh-CN"/>
              </w:rPr>
              <w:t>1.10</w:t>
            </w:r>
          </w:p>
        </w:tc>
      </w:tr>
      <w:tr w:rsidR="002822BF" w:rsidRPr="002822BF" w14:paraId="7366C2E2" w14:textId="77777777" w:rsidTr="00B01621">
        <w:trPr>
          <w:jc w:val="center"/>
        </w:trPr>
        <w:tc>
          <w:tcPr>
            <w:tcW w:w="1733" w:type="pct"/>
            <w:vAlign w:val="center"/>
          </w:tcPr>
          <w:p w14:paraId="4C6EF4E6" w14:textId="7669CC1C" w:rsidR="002822BF" w:rsidRPr="002822BF" w:rsidRDefault="002822BF" w:rsidP="002822BF">
            <w:pPr>
              <w:adjustRightInd w:val="0"/>
              <w:snapToGrid w:val="0"/>
              <w:contextualSpacing/>
              <w:mirrorIndents/>
              <w:jc w:val="both"/>
              <w:rPr>
                <w:color w:val="000000" w:themeColor="text1"/>
                <w:shd w:val="clear" w:color="auto" w:fill="FFFFFF"/>
              </w:rPr>
            </w:pPr>
            <w:r w:rsidRPr="002822BF">
              <w:rPr>
                <w:color w:val="000000" w:themeColor="text1"/>
                <w:shd w:val="clear" w:color="auto" w:fill="FFFFFF"/>
                <w:lang w:eastAsia="zh-CN"/>
              </w:rPr>
              <w:t>RF model</w:t>
            </w:r>
            <w:r w:rsidR="000936C0">
              <w:rPr>
                <w:color w:val="000000" w:themeColor="text1"/>
                <w:shd w:val="clear" w:color="auto" w:fill="FFFFFF"/>
                <w:lang w:eastAsia="zh-CN"/>
              </w:rPr>
              <w:t xml:space="preserve"> (</w:t>
            </w:r>
            <w:r w:rsidR="000936C0" w:rsidRPr="000936C0">
              <w:rPr>
                <w:color w:val="000000" w:themeColor="text1"/>
                <w:shd w:val="clear" w:color="auto" w:fill="FFFFFF"/>
                <w:lang w:eastAsia="zh-CN"/>
              </w:rPr>
              <w:t>Liu</w:t>
            </w:r>
            <w:r w:rsidR="00BE58A2">
              <w:rPr>
                <w:color w:val="000000" w:themeColor="text1"/>
                <w:shd w:val="clear" w:color="auto" w:fill="FFFFFF"/>
                <w:lang w:eastAsia="zh-CN"/>
              </w:rPr>
              <w:t xml:space="preserve"> et al., 2022</w:t>
            </w:r>
            <w:r w:rsidR="000936C0">
              <w:rPr>
                <w:color w:val="000000" w:themeColor="text1"/>
                <w:shd w:val="clear" w:color="auto" w:fill="FFFFFF"/>
                <w:lang w:eastAsia="zh-CN"/>
              </w:rPr>
              <w:t>)</w:t>
            </w:r>
          </w:p>
        </w:tc>
        <w:tc>
          <w:tcPr>
            <w:tcW w:w="1352" w:type="pct"/>
            <w:vAlign w:val="center"/>
          </w:tcPr>
          <w:p w14:paraId="57B5F10C" w14:textId="4033FD56" w:rsidR="002822BF" w:rsidRPr="002822BF" w:rsidRDefault="002822BF" w:rsidP="002822BF">
            <w:pPr>
              <w:adjustRightInd w:val="0"/>
              <w:snapToGrid w:val="0"/>
              <w:contextualSpacing/>
              <w:mirrorIndents/>
              <w:jc w:val="both"/>
              <w:rPr>
                <w:color w:val="000000" w:themeColor="text1"/>
                <w:shd w:val="clear" w:color="auto" w:fill="FFFFFF"/>
              </w:rPr>
            </w:pPr>
            <w:r w:rsidRPr="002822BF">
              <w:rPr>
                <w:color w:val="000000" w:themeColor="text1"/>
                <w:shd w:val="clear" w:color="auto" w:fill="FFFFFF"/>
              </w:rPr>
              <w:t>Training</w:t>
            </w:r>
          </w:p>
        </w:tc>
        <w:tc>
          <w:tcPr>
            <w:tcW w:w="958" w:type="pct"/>
            <w:vAlign w:val="center"/>
          </w:tcPr>
          <w:p w14:paraId="79ED3CDC" w14:textId="77777777" w:rsidR="002822BF" w:rsidRPr="002822BF" w:rsidRDefault="002822BF" w:rsidP="002822BF">
            <w:pPr>
              <w:adjustRightInd w:val="0"/>
              <w:snapToGrid w:val="0"/>
              <w:contextualSpacing/>
              <w:mirrorIndents/>
              <w:jc w:val="both"/>
              <w:rPr>
                <w:shd w:val="clear" w:color="auto" w:fill="FFFFFF"/>
              </w:rPr>
            </w:pPr>
            <w:r w:rsidRPr="002822BF">
              <w:rPr>
                <w:shd w:val="clear" w:color="auto" w:fill="FFFFFF"/>
              </w:rPr>
              <w:t>0.968</w:t>
            </w:r>
          </w:p>
        </w:tc>
        <w:tc>
          <w:tcPr>
            <w:tcW w:w="957" w:type="pct"/>
            <w:vAlign w:val="center"/>
          </w:tcPr>
          <w:p w14:paraId="1D44CC85" w14:textId="77777777" w:rsidR="002822BF" w:rsidRPr="002822BF" w:rsidRDefault="002822BF" w:rsidP="002822BF">
            <w:pPr>
              <w:adjustRightInd w:val="0"/>
              <w:snapToGrid w:val="0"/>
              <w:contextualSpacing/>
              <w:mirrorIndents/>
              <w:jc w:val="both"/>
              <w:rPr>
                <w:shd w:val="clear" w:color="auto" w:fill="FFFFFF"/>
              </w:rPr>
            </w:pPr>
            <w:r w:rsidRPr="002822BF">
              <w:rPr>
                <w:shd w:val="clear" w:color="auto" w:fill="FFFFFF"/>
              </w:rPr>
              <w:t>0.474</w:t>
            </w:r>
          </w:p>
        </w:tc>
      </w:tr>
      <w:tr w:rsidR="002822BF" w:rsidRPr="002822BF" w14:paraId="739723FB" w14:textId="77777777" w:rsidTr="00B01621">
        <w:trPr>
          <w:jc w:val="center"/>
        </w:trPr>
        <w:tc>
          <w:tcPr>
            <w:tcW w:w="1733" w:type="pct"/>
            <w:vAlign w:val="center"/>
          </w:tcPr>
          <w:p w14:paraId="484F5DA0" w14:textId="77777777" w:rsidR="002822BF" w:rsidRPr="002822BF" w:rsidRDefault="002822BF" w:rsidP="002822BF">
            <w:pPr>
              <w:adjustRightInd w:val="0"/>
              <w:snapToGrid w:val="0"/>
              <w:contextualSpacing/>
              <w:mirrorIndents/>
              <w:jc w:val="both"/>
              <w:rPr>
                <w:color w:val="000000" w:themeColor="text1"/>
                <w:shd w:val="clear" w:color="auto" w:fill="FFFFFF"/>
              </w:rPr>
            </w:pPr>
          </w:p>
        </w:tc>
        <w:tc>
          <w:tcPr>
            <w:tcW w:w="1352" w:type="pct"/>
            <w:vAlign w:val="center"/>
          </w:tcPr>
          <w:p w14:paraId="27C790FA" w14:textId="258A941A" w:rsidR="002822BF" w:rsidRPr="002822BF" w:rsidRDefault="002822BF" w:rsidP="002822BF">
            <w:pPr>
              <w:adjustRightInd w:val="0"/>
              <w:snapToGrid w:val="0"/>
              <w:contextualSpacing/>
              <w:mirrorIndents/>
              <w:jc w:val="both"/>
              <w:rPr>
                <w:color w:val="000000" w:themeColor="text1"/>
                <w:shd w:val="clear" w:color="auto" w:fill="FFFFFF"/>
              </w:rPr>
            </w:pPr>
            <w:r w:rsidRPr="002822BF">
              <w:rPr>
                <w:color w:val="000000" w:themeColor="text1"/>
                <w:shd w:val="clear" w:color="auto" w:fill="FFFFFF"/>
              </w:rPr>
              <w:t>Validation</w:t>
            </w:r>
          </w:p>
        </w:tc>
        <w:tc>
          <w:tcPr>
            <w:tcW w:w="958" w:type="pct"/>
            <w:vAlign w:val="center"/>
          </w:tcPr>
          <w:p w14:paraId="2E119619" w14:textId="77777777" w:rsidR="002822BF" w:rsidRPr="002822BF" w:rsidRDefault="002822BF" w:rsidP="002822BF">
            <w:pPr>
              <w:adjustRightInd w:val="0"/>
              <w:snapToGrid w:val="0"/>
              <w:contextualSpacing/>
              <w:mirrorIndents/>
              <w:jc w:val="both"/>
              <w:rPr>
                <w:shd w:val="clear" w:color="auto" w:fill="FFFFFF"/>
              </w:rPr>
            </w:pPr>
            <w:r w:rsidRPr="002822BF">
              <w:rPr>
                <w:shd w:val="clear" w:color="auto" w:fill="FFFFFF"/>
              </w:rPr>
              <w:t>0.706</w:t>
            </w:r>
          </w:p>
        </w:tc>
        <w:tc>
          <w:tcPr>
            <w:tcW w:w="957" w:type="pct"/>
            <w:vAlign w:val="center"/>
          </w:tcPr>
          <w:p w14:paraId="73B7F74C" w14:textId="77777777" w:rsidR="002822BF" w:rsidRPr="002822BF" w:rsidRDefault="002822BF" w:rsidP="002822BF">
            <w:pPr>
              <w:adjustRightInd w:val="0"/>
              <w:snapToGrid w:val="0"/>
              <w:contextualSpacing/>
              <w:mirrorIndents/>
              <w:jc w:val="both"/>
              <w:rPr>
                <w:shd w:val="clear" w:color="auto" w:fill="FFFFFF"/>
              </w:rPr>
            </w:pPr>
            <w:r w:rsidRPr="002822BF">
              <w:rPr>
                <w:shd w:val="clear" w:color="auto" w:fill="FFFFFF"/>
              </w:rPr>
              <w:t>0.986</w:t>
            </w:r>
          </w:p>
        </w:tc>
      </w:tr>
      <w:tr w:rsidR="002822BF" w:rsidRPr="002822BF" w14:paraId="2326540F" w14:textId="77777777" w:rsidTr="00B01621">
        <w:trPr>
          <w:jc w:val="center"/>
        </w:trPr>
        <w:tc>
          <w:tcPr>
            <w:tcW w:w="1733" w:type="pct"/>
            <w:tcBorders>
              <w:bottom w:val="single" w:sz="8" w:space="0" w:color="auto"/>
            </w:tcBorders>
            <w:vAlign w:val="center"/>
          </w:tcPr>
          <w:p w14:paraId="084C3A51" w14:textId="77777777" w:rsidR="002822BF" w:rsidRPr="002822BF" w:rsidRDefault="002822BF" w:rsidP="002822BF">
            <w:pPr>
              <w:adjustRightInd w:val="0"/>
              <w:snapToGrid w:val="0"/>
              <w:contextualSpacing/>
              <w:mirrorIndents/>
              <w:jc w:val="both"/>
              <w:rPr>
                <w:color w:val="000000" w:themeColor="text1"/>
                <w:shd w:val="clear" w:color="auto" w:fill="FFFFFF"/>
              </w:rPr>
            </w:pPr>
          </w:p>
        </w:tc>
        <w:tc>
          <w:tcPr>
            <w:tcW w:w="1352" w:type="pct"/>
            <w:tcBorders>
              <w:bottom w:val="single" w:sz="8" w:space="0" w:color="auto"/>
            </w:tcBorders>
            <w:vAlign w:val="center"/>
          </w:tcPr>
          <w:p w14:paraId="6F65D8B7" w14:textId="50606457" w:rsidR="002822BF" w:rsidRPr="002822BF" w:rsidRDefault="002822BF" w:rsidP="002822BF">
            <w:pPr>
              <w:adjustRightInd w:val="0"/>
              <w:snapToGrid w:val="0"/>
              <w:contextualSpacing/>
              <w:mirrorIndents/>
              <w:jc w:val="both"/>
              <w:rPr>
                <w:color w:val="000000" w:themeColor="text1"/>
                <w:shd w:val="clear" w:color="auto" w:fill="FFFFFF"/>
              </w:rPr>
            </w:pPr>
            <w:r w:rsidRPr="002822BF">
              <w:rPr>
                <w:color w:val="000000" w:themeColor="text1"/>
                <w:shd w:val="clear" w:color="auto" w:fill="FFFFFF"/>
              </w:rPr>
              <w:t xml:space="preserve">Test </w:t>
            </w:r>
          </w:p>
        </w:tc>
        <w:tc>
          <w:tcPr>
            <w:tcW w:w="958" w:type="pct"/>
            <w:tcBorders>
              <w:bottom w:val="single" w:sz="8" w:space="0" w:color="auto"/>
            </w:tcBorders>
            <w:vAlign w:val="center"/>
          </w:tcPr>
          <w:p w14:paraId="3137D387" w14:textId="77777777" w:rsidR="002822BF" w:rsidRPr="002822BF" w:rsidRDefault="002822BF" w:rsidP="002822BF">
            <w:pPr>
              <w:adjustRightInd w:val="0"/>
              <w:snapToGrid w:val="0"/>
              <w:contextualSpacing/>
              <w:mirrorIndents/>
              <w:jc w:val="both"/>
              <w:rPr>
                <w:shd w:val="clear" w:color="auto" w:fill="FFFFFF"/>
              </w:rPr>
            </w:pPr>
            <w:r w:rsidRPr="002822BF">
              <w:rPr>
                <w:shd w:val="clear" w:color="auto" w:fill="FFFFFF"/>
              </w:rPr>
              <w:t>0.501</w:t>
            </w:r>
          </w:p>
        </w:tc>
        <w:tc>
          <w:tcPr>
            <w:tcW w:w="957" w:type="pct"/>
            <w:tcBorders>
              <w:bottom w:val="single" w:sz="8" w:space="0" w:color="auto"/>
            </w:tcBorders>
            <w:vAlign w:val="center"/>
          </w:tcPr>
          <w:p w14:paraId="45BA9D03" w14:textId="77777777" w:rsidR="002822BF" w:rsidRPr="002822BF" w:rsidRDefault="002822BF" w:rsidP="002822BF">
            <w:pPr>
              <w:adjustRightInd w:val="0"/>
              <w:snapToGrid w:val="0"/>
              <w:contextualSpacing/>
              <w:mirrorIndents/>
              <w:jc w:val="both"/>
              <w:rPr>
                <w:shd w:val="clear" w:color="auto" w:fill="FFFFFF"/>
              </w:rPr>
            </w:pPr>
            <w:r w:rsidRPr="002822BF">
              <w:rPr>
                <w:shd w:val="clear" w:color="auto" w:fill="FFFFFF"/>
              </w:rPr>
              <w:t>0.891</w:t>
            </w:r>
          </w:p>
        </w:tc>
      </w:tr>
    </w:tbl>
    <w:p w14:paraId="1073805F" w14:textId="77777777" w:rsidR="002822BF" w:rsidRPr="009B57E5" w:rsidRDefault="002822BF" w:rsidP="009B57E5">
      <w:pPr>
        <w:jc w:val="center"/>
        <w:rPr>
          <w:color w:val="000000" w:themeColor="text1"/>
          <w:shd w:val="clear" w:color="auto" w:fill="FFFFFF"/>
        </w:rPr>
      </w:pPr>
    </w:p>
    <w:p w14:paraId="144DE6BA" w14:textId="77777777" w:rsidR="008D2649" w:rsidRPr="00A94774" w:rsidRDefault="008D2649" w:rsidP="008D2649">
      <w:pPr>
        <w:pStyle w:val="Els-1storder-head"/>
        <w:spacing w:after="120"/>
        <w:rPr>
          <w:lang w:val="en-GB"/>
        </w:rPr>
      </w:pPr>
      <w:r w:rsidRPr="00A94774">
        <w:rPr>
          <w:lang w:val="en-GB"/>
        </w:rPr>
        <w:t>Conclusions</w:t>
      </w:r>
    </w:p>
    <w:p w14:paraId="34B0481B" w14:textId="2D2F9E37" w:rsidR="00073602" w:rsidRDefault="00073602" w:rsidP="0094359F">
      <w:pPr>
        <w:pStyle w:val="Els-body-text"/>
        <w:spacing w:after="120"/>
        <w:rPr>
          <w:lang w:val="en-GB"/>
        </w:rPr>
      </w:pPr>
      <w:r w:rsidRPr="00073602">
        <w:rPr>
          <w:lang w:val="en-GB"/>
        </w:rPr>
        <w:t xml:space="preserve">A comprehensive dissociation kinetic database </w:t>
      </w:r>
      <w:r w:rsidR="00B9151A">
        <w:rPr>
          <w:lang w:val="en-GB"/>
        </w:rPr>
        <w:t>is</w:t>
      </w:r>
      <w:r w:rsidR="00B9151A" w:rsidRPr="00073602">
        <w:rPr>
          <w:lang w:val="en-GB"/>
        </w:rPr>
        <w:t xml:space="preserve"> </w:t>
      </w:r>
      <w:r w:rsidRPr="00073602">
        <w:rPr>
          <w:lang w:val="en-GB"/>
        </w:rPr>
        <w:t xml:space="preserve">constructed by gathering 2,716 unique </w:t>
      </w:r>
      <w:proofErr w:type="spellStart"/>
      <w:r w:rsidRPr="006C7399">
        <w:rPr>
          <w:i/>
          <w:iCs/>
          <w:lang w:val="en-GB"/>
        </w:rPr>
        <w:t>k</w:t>
      </w:r>
      <w:r w:rsidRPr="006C7399">
        <w:rPr>
          <w:vertAlign w:val="subscript"/>
          <w:lang w:val="en-GB"/>
        </w:rPr>
        <w:t>off</w:t>
      </w:r>
      <w:proofErr w:type="spellEnd"/>
      <w:r w:rsidRPr="00073602">
        <w:rPr>
          <w:lang w:val="en-GB"/>
        </w:rPr>
        <w:t xml:space="preserve"> values for various ligands and targets from the literature. Utilizing this database, an end-to-end deep learning-based model </w:t>
      </w:r>
      <w:r w:rsidR="004D0FDA">
        <w:rPr>
          <w:lang w:val="en-GB"/>
        </w:rPr>
        <w:t xml:space="preserve">is developed </w:t>
      </w:r>
      <w:r w:rsidRPr="00073602">
        <w:rPr>
          <w:lang w:val="en-GB"/>
        </w:rPr>
        <w:t xml:space="preserve">for rapid </w:t>
      </w:r>
      <w:proofErr w:type="spellStart"/>
      <w:r w:rsidR="00321FF5" w:rsidRPr="0019358B">
        <w:rPr>
          <w:i/>
          <w:iCs/>
          <w:lang w:val="en-GB"/>
        </w:rPr>
        <w:t>k</w:t>
      </w:r>
      <w:r w:rsidR="00321FF5" w:rsidRPr="0019358B">
        <w:rPr>
          <w:vertAlign w:val="subscript"/>
          <w:lang w:val="en-GB"/>
        </w:rPr>
        <w:t>off</w:t>
      </w:r>
      <w:proofErr w:type="spellEnd"/>
      <w:r w:rsidRPr="00073602">
        <w:rPr>
          <w:lang w:val="en-GB"/>
        </w:rPr>
        <w:t xml:space="preserve"> predictions. Our deep learning model achieves superior performance compared </w:t>
      </w:r>
      <w:r w:rsidR="00E965D9">
        <w:rPr>
          <w:lang w:val="en-GB"/>
        </w:rPr>
        <w:t>with the</w:t>
      </w:r>
      <w:r w:rsidR="00E965D9" w:rsidRPr="00073602">
        <w:rPr>
          <w:lang w:val="en-GB"/>
        </w:rPr>
        <w:t xml:space="preserve"> </w:t>
      </w:r>
      <w:r w:rsidRPr="00073602">
        <w:rPr>
          <w:lang w:val="en-GB"/>
        </w:rPr>
        <w:t xml:space="preserve">existing </w:t>
      </w:r>
      <w:r w:rsidR="004024A7" w:rsidRPr="007222B4">
        <w:t>machine learning</w:t>
      </w:r>
      <w:r w:rsidR="00954123" w:rsidRPr="000C2D26">
        <w:t>-based generic</w:t>
      </w:r>
      <w:r w:rsidR="00954123" w:rsidRPr="00073602">
        <w:rPr>
          <w:lang w:val="en-GB"/>
        </w:rPr>
        <w:t xml:space="preserve"> </w:t>
      </w:r>
      <w:r w:rsidRPr="00073602">
        <w:rPr>
          <w:lang w:val="en-GB"/>
        </w:rPr>
        <w:t xml:space="preserve">dissociation kinetic models, as evidenced by the </w:t>
      </w:r>
      <w:r w:rsidRPr="00A33D8F">
        <w:rPr>
          <w:i/>
          <w:iCs/>
          <w:szCs w:val="15"/>
        </w:rPr>
        <w:t>MSE</w:t>
      </w:r>
      <w:r w:rsidRPr="00073602">
        <w:rPr>
          <w:lang w:val="en-GB"/>
        </w:rPr>
        <w:t xml:space="preserve"> and </w:t>
      </w:r>
      <w:r w:rsidRPr="00A33D8F">
        <w:rPr>
          <w:i/>
          <w:iCs/>
          <w:szCs w:val="15"/>
        </w:rPr>
        <w:t>r</w:t>
      </w:r>
      <w:r w:rsidRPr="00073602">
        <w:rPr>
          <w:lang w:val="en-GB"/>
        </w:rPr>
        <w:t xml:space="preserve"> values </w:t>
      </w:r>
      <w:r w:rsidRPr="00073602">
        <w:rPr>
          <w:lang w:val="en-GB"/>
        </w:rPr>
        <w:lastRenderedPageBreak/>
        <w:t xml:space="preserve">obtained on the training, validation, and test sets. Specifically, the </w:t>
      </w:r>
      <w:r w:rsidRPr="00A33D8F">
        <w:rPr>
          <w:i/>
          <w:iCs/>
          <w:szCs w:val="15"/>
        </w:rPr>
        <w:t>MSE</w:t>
      </w:r>
      <w:r w:rsidRPr="00073602">
        <w:rPr>
          <w:lang w:val="en-GB"/>
        </w:rPr>
        <w:t xml:space="preserve"> values are </w:t>
      </w:r>
      <w:r w:rsidR="00361144" w:rsidRPr="00361144">
        <w:rPr>
          <w:lang w:val="en-GB"/>
        </w:rPr>
        <w:t xml:space="preserve">0.238±0.018, 0.299±0.020, </w:t>
      </w:r>
      <w:r w:rsidR="00881132">
        <w:rPr>
          <w:lang w:val="en-GB"/>
        </w:rPr>
        <w:t xml:space="preserve">and </w:t>
      </w:r>
      <w:r w:rsidR="00361144" w:rsidRPr="00361144">
        <w:rPr>
          <w:lang w:val="en-GB"/>
        </w:rPr>
        <w:t>0.292±0.014</w:t>
      </w:r>
      <w:r w:rsidRPr="00073602">
        <w:rPr>
          <w:lang w:val="en-GB"/>
        </w:rPr>
        <w:t xml:space="preserve">, while the </w:t>
      </w:r>
      <w:r w:rsidRPr="00A33D8F">
        <w:rPr>
          <w:i/>
          <w:iCs/>
          <w:szCs w:val="15"/>
        </w:rPr>
        <w:t>r</w:t>
      </w:r>
      <w:r w:rsidRPr="00073602">
        <w:rPr>
          <w:lang w:val="en-GB"/>
        </w:rPr>
        <w:t xml:space="preserve"> values are </w:t>
      </w:r>
      <w:r w:rsidR="00174128" w:rsidRPr="00174128">
        <w:rPr>
          <w:lang w:val="en-GB"/>
        </w:rPr>
        <w:t xml:space="preserve">0.869±0.010, 0.838±0.012, </w:t>
      </w:r>
      <w:r w:rsidR="00FB6722">
        <w:rPr>
          <w:lang w:val="en-GB"/>
        </w:rPr>
        <w:t xml:space="preserve">and </w:t>
      </w:r>
      <w:r w:rsidR="00174128" w:rsidRPr="00174128">
        <w:rPr>
          <w:lang w:val="en-GB"/>
        </w:rPr>
        <w:t>0.836±0.009</w:t>
      </w:r>
      <w:r w:rsidRPr="00073602">
        <w:rPr>
          <w:lang w:val="en-GB"/>
        </w:rPr>
        <w:t xml:space="preserve">, respectively. These results demonstrate that our model surpasses other </w:t>
      </w:r>
      <w:r w:rsidR="00F86B48">
        <w:rPr>
          <w:lang w:val="en-GB"/>
        </w:rPr>
        <w:t xml:space="preserve">known </w:t>
      </w:r>
      <w:r w:rsidR="00385270" w:rsidRPr="007222B4">
        <w:t>machine learning</w:t>
      </w:r>
      <w:r w:rsidR="009B3AB4" w:rsidRPr="000C2D26">
        <w:t>-based generic</w:t>
      </w:r>
      <w:r w:rsidR="009B3AB4" w:rsidRPr="00073602">
        <w:rPr>
          <w:lang w:val="en-GB"/>
        </w:rPr>
        <w:t xml:space="preserve"> dissociation kinetic models</w:t>
      </w:r>
      <w:r w:rsidRPr="00073602">
        <w:rPr>
          <w:lang w:val="en-GB"/>
        </w:rPr>
        <w:t xml:space="preserve"> and achieves </w:t>
      </w:r>
      <w:r w:rsidR="0012084E">
        <w:rPr>
          <w:lang w:val="en-GB"/>
        </w:rPr>
        <w:t xml:space="preserve">the </w:t>
      </w:r>
      <w:r w:rsidRPr="00073602">
        <w:rPr>
          <w:lang w:val="en-GB"/>
        </w:rPr>
        <w:t>state-of-the-art prediction accuracy</w:t>
      </w:r>
      <w:r w:rsidR="00260B77">
        <w:rPr>
          <w:lang w:val="en-GB"/>
        </w:rPr>
        <w:t xml:space="preserve"> in predicting </w:t>
      </w:r>
      <w:proofErr w:type="spellStart"/>
      <w:r w:rsidR="00260B77" w:rsidRPr="006C7399">
        <w:rPr>
          <w:i/>
          <w:iCs/>
          <w:lang w:val="en-GB"/>
        </w:rPr>
        <w:t>pk</w:t>
      </w:r>
      <w:r w:rsidR="00260B77" w:rsidRPr="006C7399">
        <w:rPr>
          <w:vertAlign w:val="subscript"/>
          <w:lang w:val="en-GB"/>
        </w:rPr>
        <w:t>off</w:t>
      </w:r>
      <w:proofErr w:type="spellEnd"/>
      <w:r w:rsidRPr="00073602">
        <w:rPr>
          <w:lang w:val="en-GB"/>
        </w:rPr>
        <w:t>.</w:t>
      </w:r>
    </w:p>
    <w:p w14:paraId="459990E8" w14:textId="77777777" w:rsidR="005A15DC" w:rsidRPr="00A94774" w:rsidRDefault="005A15DC" w:rsidP="005A15DC">
      <w:pPr>
        <w:pStyle w:val="Els-reference-head"/>
        <w:spacing w:after="120"/>
        <w:rPr>
          <w:lang w:val="en-GB"/>
        </w:rPr>
      </w:pPr>
      <w:r w:rsidRPr="00532941">
        <w:rPr>
          <w:lang w:val="en-GB"/>
        </w:rPr>
        <w:t>Acknowledgement</w:t>
      </w:r>
    </w:p>
    <w:p w14:paraId="0BCA7421" w14:textId="02005CDB" w:rsidR="005A15DC" w:rsidRPr="006C7399" w:rsidRDefault="005A15DC" w:rsidP="0094359F">
      <w:pPr>
        <w:spacing w:line="300" w:lineRule="auto"/>
        <w:jc w:val="both"/>
        <w:rPr>
          <w:rFonts w:ascii="Arial" w:hAnsi="Arial" w:cs="Arial"/>
          <w:b/>
        </w:rPr>
      </w:pPr>
      <w:r w:rsidRPr="00B425CE">
        <w:t xml:space="preserve">The authors are grateful for financial supports of </w:t>
      </w:r>
      <w:r w:rsidR="00CF20C0" w:rsidRPr="00B425CE">
        <w:t>“the Fundamental Research Funds for the Central Universities” [DUT22YG218]</w:t>
      </w:r>
      <w:r w:rsidR="00050C5B">
        <w:t xml:space="preserve">, </w:t>
      </w:r>
      <w:r w:rsidR="00E33AA0" w:rsidRPr="00B425CE">
        <w:t>China Postdoctoral Science Foundation [2022M710578]</w:t>
      </w:r>
      <w:r w:rsidR="00E33AA0">
        <w:t xml:space="preserve">, and </w:t>
      </w:r>
      <w:r w:rsidRPr="00137608">
        <w:t>National Natural Science Foundation of China [22208042]</w:t>
      </w:r>
      <w:r w:rsidRPr="00B425CE">
        <w:t>.</w:t>
      </w:r>
    </w:p>
    <w:p w14:paraId="144DE6BF" w14:textId="608D0AD6" w:rsidR="008D2649" w:rsidRDefault="008D2649" w:rsidP="008D2649">
      <w:pPr>
        <w:pStyle w:val="Els-reference-head"/>
      </w:pPr>
      <w:r>
        <w:t>References</w:t>
      </w:r>
    </w:p>
    <w:p w14:paraId="7AC3AD13" w14:textId="2C8F8015" w:rsidR="008F31DB" w:rsidRPr="008F31DB" w:rsidRDefault="008F31DB" w:rsidP="008B7BD6">
      <w:pPr>
        <w:pStyle w:val="EndNoteBibliography"/>
        <w:ind w:left="238" w:hanging="238"/>
        <w:jc w:val="both"/>
        <w:rPr>
          <w:sz w:val="20"/>
        </w:rPr>
      </w:pPr>
      <w:r w:rsidRPr="008F31DB">
        <w:rPr>
          <w:sz w:val="20"/>
        </w:rPr>
        <w:t>T.E. Oliphant, 2007. Python for scientific computing. Computing in science &amp; engineering, 9(3), pp.10-20.</w:t>
      </w:r>
    </w:p>
    <w:p w14:paraId="3FD3A238" w14:textId="3A143CE2" w:rsidR="008F31DB" w:rsidRPr="008F31DB" w:rsidRDefault="008F31DB" w:rsidP="008B7BD6">
      <w:pPr>
        <w:pStyle w:val="EndNoteBibliography"/>
        <w:ind w:left="238" w:hanging="238"/>
        <w:jc w:val="both"/>
        <w:rPr>
          <w:sz w:val="20"/>
        </w:rPr>
      </w:pPr>
      <w:r w:rsidRPr="008F31DB">
        <w:rPr>
          <w:sz w:val="20"/>
        </w:rPr>
        <w:t>S. Jaeger, S. Fulle, and S. Turk, 2018. Mol2vec: unsupervised machine learning approach with chemical intuition. Journal of chemical information and modeling, 58(1), pp.27-35.</w:t>
      </w:r>
    </w:p>
    <w:p w14:paraId="350322F9" w14:textId="38CA62FE" w:rsidR="008F31DB" w:rsidRPr="008F31DB" w:rsidRDefault="008F31DB" w:rsidP="008B7BD6">
      <w:pPr>
        <w:pStyle w:val="EndNoteBibliography"/>
        <w:ind w:left="238" w:hanging="238"/>
        <w:jc w:val="both"/>
        <w:rPr>
          <w:sz w:val="20"/>
        </w:rPr>
      </w:pPr>
      <w:r w:rsidRPr="008F31DB">
        <w:rPr>
          <w:sz w:val="20"/>
        </w:rPr>
        <w:t>N. Amangeldiuly, D. Karlov, and M.V. Fedorov, 2020. Baseline model for predicting protein–ligand unbinding kinetics through machine learning. Journal of Chemical Information and Modeling, 60(12), pp.5946-5956.</w:t>
      </w:r>
    </w:p>
    <w:p w14:paraId="5461821F" w14:textId="6C3F7EA4" w:rsidR="008F31DB" w:rsidRPr="008F31DB" w:rsidRDefault="008F31DB" w:rsidP="008B7BD6">
      <w:pPr>
        <w:pStyle w:val="EndNoteBibliography"/>
        <w:ind w:left="238" w:hanging="238"/>
        <w:jc w:val="both"/>
        <w:rPr>
          <w:sz w:val="20"/>
        </w:rPr>
      </w:pPr>
      <w:r w:rsidRPr="008F31DB">
        <w:rPr>
          <w:sz w:val="20"/>
        </w:rPr>
        <w:t>M.K. Gilson, T. Liu, M. Baitaluk, G. Nicola, L. Hwang, and J. Chong, 2016. BindingDB in 2015: a public database for medicinal chemistry, computational chemistry and systems pharmacology. Nucleic acids research, 44(D1), pp.D1045-D1053.</w:t>
      </w:r>
    </w:p>
    <w:p w14:paraId="3BC9CD08" w14:textId="5DFAB11B" w:rsidR="008F31DB" w:rsidRPr="008F31DB" w:rsidRDefault="008F31DB" w:rsidP="008B7BD6">
      <w:pPr>
        <w:pStyle w:val="EndNoteBibliography"/>
        <w:ind w:left="238" w:hanging="238"/>
        <w:jc w:val="both"/>
        <w:rPr>
          <w:sz w:val="20"/>
        </w:rPr>
      </w:pPr>
      <w:r w:rsidRPr="008F31DB">
        <w:rPr>
          <w:sz w:val="20"/>
        </w:rPr>
        <w:t>J. Jiménez, M. Skalic, G. Martinez-Rosell, and G. De Fabritiis, 2018. K deep: protein–ligand absolute binding affinity prediction via 3d-convolutional neural networks. Journal of chemical information and modeling, 58(2), pp.287-296.</w:t>
      </w:r>
    </w:p>
    <w:p w14:paraId="47CB89B7" w14:textId="4B889EED" w:rsidR="008F31DB" w:rsidRPr="008F31DB" w:rsidRDefault="008F31DB" w:rsidP="008B7BD6">
      <w:pPr>
        <w:pStyle w:val="EndNoteBibliography"/>
        <w:ind w:left="238" w:hanging="238"/>
        <w:jc w:val="both"/>
        <w:rPr>
          <w:sz w:val="20"/>
        </w:rPr>
      </w:pPr>
      <w:r w:rsidRPr="008F31DB">
        <w:rPr>
          <w:sz w:val="20"/>
        </w:rPr>
        <w:t>H. Liu, M. Su, H.X. Lin, R. Wang, and Y. Li, 2022. Public data set of protein–ligand dissociation kinetic constants for quantitative structure–kinetics relationship studies. ACS omega, 7(22), pp.18985-18996.</w:t>
      </w:r>
    </w:p>
    <w:p w14:paraId="666F1B34" w14:textId="5345BCE4" w:rsidR="008F31DB" w:rsidRPr="008F31DB" w:rsidRDefault="008F31DB" w:rsidP="008B7BD6">
      <w:pPr>
        <w:pStyle w:val="EndNoteBibliography"/>
        <w:ind w:left="238" w:hanging="238"/>
        <w:jc w:val="both"/>
        <w:rPr>
          <w:sz w:val="20"/>
        </w:rPr>
      </w:pPr>
      <w:r w:rsidRPr="008F31DB">
        <w:rPr>
          <w:sz w:val="20"/>
        </w:rPr>
        <w:t>G. Landrum, 2006. RDKit: Open-source cheminformatics. 2006. Google Scholar.</w:t>
      </w:r>
    </w:p>
    <w:p w14:paraId="4F737F0B" w14:textId="1B78B297" w:rsidR="008F31DB" w:rsidRPr="008F31DB" w:rsidRDefault="008F31DB" w:rsidP="008B7BD6">
      <w:pPr>
        <w:pStyle w:val="EndNoteBibliography"/>
        <w:ind w:left="238" w:hanging="238"/>
        <w:jc w:val="both"/>
        <w:rPr>
          <w:sz w:val="20"/>
        </w:rPr>
      </w:pPr>
      <w:r w:rsidRPr="008F31DB">
        <w:rPr>
          <w:sz w:val="20"/>
        </w:rPr>
        <w:t>D.P. Kingma, and J. Ba, 2014. Adam: A method for stochastic optimization. arxiv preprint arxiv:1412.6980.</w:t>
      </w:r>
    </w:p>
    <w:p w14:paraId="1CDDAB14" w14:textId="386A08FD" w:rsidR="008F31DB" w:rsidRPr="008F31DB" w:rsidRDefault="008F31DB" w:rsidP="008B7BD6">
      <w:pPr>
        <w:pStyle w:val="EndNoteBibliography"/>
        <w:ind w:left="238" w:hanging="238"/>
        <w:jc w:val="both"/>
        <w:rPr>
          <w:sz w:val="20"/>
        </w:rPr>
      </w:pPr>
      <w:r w:rsidRPr="008F31DB">
        <w:rPr>
          <w:sz w:val="20"/>
        </w:rPr>
        <w:t>D.A. Schuetz, L. Richter, R. Martini, and G.F. Ecker, 2020. A structure–kinetic relationship study using matched molecular pair analysis. RSC Medicinal Chemistry, 11(11), pp.1285-1294.</w:t>
      </w:r>
    </w:p>
    <w:p w14:paraId="144DE6C3" w14:textId="7E996B68" w:rsidR="008D2649" w:rsidRDefault="008F31DB" w:rsidP="008B7BD6">
      <w:pPr>
        <w:pStyle w:val="EndNoteBibliography"/>
        <w:ind w:left="238" w:hanging="238"/>
        <w:jc w:val="both"/>
      </w:pPr>
      <w:r w:rsidRPr="008F31DB">
        <w:rPr>
          <w:sz w:val="20"/>
        </w:rPr>
        <w:t>A. Paszke, S. Gross, F. Massa, A. Lerer, J. Bradbury, G. Chanan, T. Killeen, Z. Lin, N., Gimelshein, L. Antiga, and A. Desmaison, 2019. Pytorch: An imperative style, high-performance deep learning library. Advances in neural information processing systems, 32.</w:t>
      </w:r>
    </w:p>
    <w:sectPr w:rsidR="008D2649" w:rsidSect="008B0184">
      <w:headerReference w:type="even" r:id="rId11"/>
      <w:headerReference w:type="default" r:id="rId12"/>
      <w:headerReference w:type="first" r:id="rId13"/>
      <w:type w:val="continuous"/>
      <w:pgSz w:w="11906" w:h="16838" w:code="9"/>
      <w:pgMar w:top="2377" w:right="2410" w:bottom="2892" w:left="2410" w:header="1701" w:footer="2892" w:gutter="0"/>
      <w:cols w:space="720" w:equalWidth="0">
        <w:col w:w="7087"/>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6E27F" w14:textId="77777777" w:rsidR="00184A89" w:rsidRDefault="00184A89">
      <w:r>
        <w:separator/>
      </w:r>
    </w:p>
  </w:endnote>
  <w:endnote w:type="continuationSeparator" w:id="0">
    <w:p w14:paraId="770727A8" w14:textId="77777777" w:rsidR="00184A89" w:rsidRDefault="00184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43990" w14:textId="77777777" w:rsidR="00184A89" w:rsidRDefault="00184A89">
      <w:r>
        <w:separator/>
      </w:r>
    </w:p>
  </w:footnote>
  <w:footnote w:type="continuationSeparator" w:id="0">
    <w:p w14:paraId="5E89A001" w14:textId="77777777" w:rsidR="00184A89" w:rsidRDefault="00184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E6C9" w14:textId="4B8E2D4D" w:rsidR="00DD3D9E" w:rsidRDefault="00DD3D9E">
    <w:pPr>
      <w:pStyle w:val="a5"/>
      <w:tabs>
        <w:tab w:val="clear" w:pos="7200"/>
        <w:tab w:val="right" w:pos="7088"/>
      </w:tabs>
    </w:pPr>
    <w:r>
      <w:rPr>
        <w:rStyle w:val="ab"/>
      </w:rPr>
      <w:tab/>
    </w:r>
    <w:r>
      <w:rPr>
        <w:rStyle w:val="ab"/>
        <w:i/>
      </w:rPr>
      <w:tab/>
    </w:r>
    <w:r w:rsidR="001D639E" w:rsidRPr="00B70592">
      <w:rPr>
        <w:i/>
      </w:rPr>
      <w:t>Y</w:t>
    </w:r>
    <w:r w:rsidR="001D639E">
      <w:rPr>
        <w:i/>
      </w:rPr>
      <w:t>.</w:t>
    </w:r>
    <w:r w:rsidR="001D639E" w:rsidRPr="00B70592">
      <w:rPr>
        <w:i/>
      </w:rPr>
      <w:t xml:space="preserve"> </w:t>
    </w:r>
    <w:r w:rsidR="00B70592" w:rsidRPr="00B70592">
      <w:rPr>
        <w:i/>
      </w:rPr>
      <w:t>Z</w:t>
    </w:r>
    <w:r w:rsidR="001D639E">
      <w:rPr>
        <w:i/>
      </w:rPr>
      <w:t>hao</w:t>
    </w:r>
    <w:r w:rsidR="00B70592" w:rsidRPr="00B70592">
      <w:rPr>
        <w:i/>
      </w:rPr>
      <w:t xml:space="preserve">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E6CA" w14:textId="670766B8" w:rsidR="00DD3D9E" w:rsidRDefault="003A6CF6">
    <w:pPr>
      <w:pStyle w:val="a5"/>
      <w:tabs>
        <w:tab w:val="clear" w:pos="7200"/>
        <w:tab w:val="right" w:pos="7088"/>
      </w:tabs>
      <w:jc w:val="right"/>
      <w:rPr>
        <w:sz w:val="24"/>
      </w:rPr>
    </w:pPr>
    <w:r w:rsidRPr="003A6CF6">
      <w:rPr>
        <w:i/>
      </w:rPr>
      <w:t xml:space="preserve">Hybrid </w:t>
    </w:r>
    <w:r w:rsidR="006C0D43">
      <w:rPr>
        <w:i/>
      </w:rPr>
      <w:t>d</w:t>
    </w:r>
    <w:r w:rsidR="006C0D43" w:rsidRPr="003A6CF6">
      <w:rPr>
        <w:i/>
      </w:rPr>
      <w:t xml:space="preserve">eep </w:t>
    </w:r>
    <w:r w:rsidR="006C0D43">
      <w:rPr>
        <w:i/>
      </w:rPr>
      <w:t>l</w:t>
    </w:r>
    <w:r w:rsidR="006C0D43" w:rsidRPr="003A6CF6">
      <w:rPr>
        <w:i/>
      </w:rPr>
      <w:t xml:space="preserve">earning </w:t>
    </w:r>
    <w:r w:rsidR="006C0D43">
      <w:rPr>
        <w:i/>
      </w:rPr>
      <w:t>m</w:t>
    </w:r>
    <w:r w:rsidR="006C0D43" w:rsidRPr="003A6CF6">
      <w:rPr>
        <w:i/>
      </w:rPr>
      <w:t xml:space="preserve">odel </w:t>
    </w:r>
    <w:r w:rsidRPr="003A6CF6">
      <w:rPr>
        <w:i/>
      </w:rPr>
      <w:t xml:space="preserve">for </w:t>
    </w:r>
    <w:r w:rsidR="006C0D43">
      <w:rPr>
        <w:i/>
      </w:rPr>
      <w:t>e</w:t>
    </w:r>
    <w:r w:rsidR="006C0D43" w:rsidRPr="003A6CF6">
      <w:rPr>
        <w:i/>
      </w:rPr>
      <w:t xml:space="preserve">valuations </w:t>
    </w:r>
    <w:r w:rsidRPr="003A6CF6">
      <w:rPr>
        <w:i/>
      </w:rPr>
      <w:t xml:space="preserve">of </w:t>
    </w:r>
    <w:r w:rsidR="006C0D43">
      <w:rPr>
        <w:i/>
      </w:rPr>
      <w:t>p</w:t>
    </w:r>
    <w:r w:rsidR="006C0D43" w:rsidRPr="003A6CF6">
      <w:rPr>
        <w:i/>
      </w:rPr>
      <w:t>rotein</w:t>
    </w:r>
    <w:r w:rsidRPr="003A6CF6">
      <w:rPr>
        <w:i/>
      </w:rPr>
      <w:t>-</w:t>
    </w:r>
    <w:r w:rsidR="006C0D43">
      <w:rPr>
        <w:i/>
      </w:rPr>
      <w:t>l</w:t>
    </w:r>
    <w:r w:rsidR="006C0D43" w:rsidRPr="003A6CF6">
      <w:rPr>
        <w:i/>
      </w:rPr>
      <w:t xml:space="preserve">igand </w:t>
    </w:r>
    <w:r w:rsidR="006C0D43">
      <w:rPr>
        <w:i/>
      </w:rPr>
      <w:t>b</w:t>
    </w:r>
    <w:r w:rsidR="006C0D43" w:rsidRPr="003A6CF6">
      <w:rPr>
        <w:i/>
      </w:rPr>
      <w:t xml:space="preserve">inding </w:t>
    </w:r>
    <w:r w:rsidR="006C0D43">
      <w:rPr>
        <w:i/>
      </w:rPr>
      <w:t>k</w:t>
    </w:r>
    <w:r w:rsidR="006C0D43" w:rsidRPr="003A6CF6">
      <w:rPr>
        <w:i/>
      </w:rPr>
      <w:t xml:space="preserve">inetic </w:t>
    </w:r>
    <w:r w:rsidR="006C0D43">
      <w:rPr>
        <w:i/>
      </w:rPr>
      <w:t>p</w:t>
    </w:r>
    <w:r w:rsidR="006C0D43" w:rsidRPr="003A6CF6">
      <w:rPr>
        <w:i/>
      </w:rPr>
      <w:t>ropert</w:t>
    </w:r>
    <w:r w:rsidR="006C0D43">
      <w:rPr>
        <w:i/>
      </w:rPr>
      <w:t>y</w:t>
    </w:r>
    <w:r w:rsidR="00DD3D9E">
      <w:rPr>
        <w:rStyle w:val="ab"/>
        <w:i/>
        <w:sz w:val="24"/>
      </w:rPr>
      <w:tab/>
    </w:r>
    <w:r w:rsidR="00DD3D9E">
      <w:rPr>
        <w:rStyle w:val="ab"/>
        <w:sz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E6CB" w14:textId="77777777" w:rsidR="00F06842" w:rsidRPr="003B50B5" w:rsidRDefault="00F06842" w:rsidP="00F06842">
    <w:pPr>
      <w:pStyle w:val="ElsevierBodyTextCentredNospace"/>
      <w:jc w:val="left"/>
      <w:rPr>
        <w:noProof/>
        <w:sz w:val="18"/>
        <w:szCs w:val="18"/>
      </w:rPr>
    </w:pPr>
    <w:r w:rsidRPr="0068162C">
      <w:rPr>
        <w:color w:val="auto"/>
        <w:sz w:val="18"/>
        <w:szCs w:val="18"/>
      </w:rPr>
      <w:t xml:space="preserve">Flavio Manenti, Gintaras V. </w:t>
    </w:r>
    <w:proofErr w:type="spellStart"/>
    <w:r w:rsidRPr="0068162C">
      <w:rPr>
        <w:color w:val="auto"/>
        <w:sz w:val="18"/>
        <w:szCs w:val="18"/>
      </w:rPr>
      <w:t>Reklaitis</w:t>
    </w:r>
    <w:proofErr w:type="spellEnd"/>
    <w:r w:rsidRPr="0068162C">
      <w:rPr>
        <w:color w:val="auto"/>
        <w:sz w:val="18"/>
        <w:szCs w:val="18"/>
      </w:rPr>
      <w:t xml:space="preserve"> (Eds.),</w:t>
    </w:r>
    <w:r>
      <w:rPr>
        <w:color w:val="auto"/>
      </w:rPr>
      <w:t xml:space="preserve"> </w:t>
    </w:r>
    <w:r w:rsidRPr="003B50B5">
      <w:rPr>
        <w:noProof/>
        <w:sz w:val="18"/>
        <w:szCs w:val="18"/>
      </w:rPr>
      <w:t xml:space="preserve">Proceedings </w:t>
    </w:r>
    <w:r>
      <w:rPr>
        <w:noProof/>
        <w:sz w:val="18"/>
        <w:szCs w:val="18"/>
      </w:rPr>
      <w:t>o</w:t>
    </w:r>
    <w:r w:rsidRPr="003B50B5">
      <w:rPr>
        <w:noProof/>
        <w:sz w:val="18"/>
        <w:szCs w:val="18"/>
      </w:rPr>
      <w:t xml:space="preserve">f </w:t>
    </w:r>
    <w:r w:rsidRPr="00F06842">
      <w:rPr>
        <w:noProof/>
        <w:sz w:val="18"/>
        <w:szCs w:val="18"/>
      </w:rPr>
      <w:t xml:space="preserve">the </w:t>
    </w:r>
    <w:r w:rsidRPr="00F06842">
      <w:rPr>
        <w:rStyle w:val="underline1"/>
        <w:sz w:val="18"/>
        <w:szCs w:val="18"/>
        <w:u w:val="none"/>
      </w:rPr>
      <w:t>34</w:t>
    </w:r>
    <w:r w:rsidRPr="00F06842">
      <w:rPr>
        <w:rStyle w:val="underline1"/>
        <w:sz w:val="18"/>
        <w:szCs w:val="18"/>
        <w:u w:val="none"/>
        <w:vertAlign w:val="superscript"/>
      </w:rPr>
      <w:t>th</w:t>
    </w:r>
    <w:r w:rsidRPr="00F06842">
      <w:rPr>
        <w:rStyle w:val="underline1"/>
        <w:sz w:val="18"/>
        <w:szCs w:val="18"/>
        <w:u w:val="none"/>
      </w:rPr>
      <w:t xml:space="preserve"> European Symposium on Computer Aided Process Engineering / 15</w:t>
    </w:r>
    <w:r w:rsidRPr="00F06842">
      <w:rPr>
        <w:rStyle w:val="underline1"/>
        <w:sz w:val="18"/>
        <w:szCs w:val="18"/>
        <w:u w:val="none"/>
        <w:vertAlign w:val="superscript"/>
      </w:rPr>
      <w:t>th</w:t>
    </w:r>
    <w:r w:rsidRPr="00F06842">
      <w:rPr>
        <w:rStyle w:val="underline1"/>
        <w:sz w:val="18"/>
        <w:szCs w:val="18"/>
        <w:u w:val="none"/>
      </w:rPr>
      <w:t xml:space="preserve"> International Symposium on Process Systems Engineerin</w:t>
    </w:r>
    <w:r w:rsidRPr="003B50B5">
      <w:rPr>
        <w:rStyle w:val="underline1"/>
        <w:sz w:val="18"/>
        <w:szCs w:val="18"/>
      </w:rPr>
      <w:t>g</w:t>
    </w:r>
    <w:r w:rsidRPr="003B50B5">
      <w:rPr>
        <w:noProof/>
        <w:sz w:val="18"/>
        <w:szCs w:val="18"/>
      </w:rPr>
      <w:t xml:space="preserve"> (ESCAPE34/PSE</w:t>
    </w:r>
    <w:r>
      <w:rPr>
        <w:noProof/>
        <w:sz w:val="18"/>
        <w:szCs w:val="18"/>
      </w:rPr>
      <w:t>24</w:t>
    </w:r>
    <w:r w:rsidRPr="003B50B5">
      <w:rPr>
        <w:noProof/>
        <w:sz w:val="18"/>
        <w:szCs w:val="18"/>
      </w:rPr>
      <w:t xml:space="preserve">), June </w:t>
    </w:r>
    <w:r>
      <w:rPr>
        <w:noProof/>
        <w:sz w:val="18"/>
        <w:szCs w:val="18"/>
      </w:rPr>
      <w:t>2-6</w:t>
    </w:r>
    <w:r w:rsidRPr="003B50B5">
      <w:rPr>
        <w:noProof/>
        <w:sz w:val="18"/>
        <w:szCs w:val="18"/>
      </w:rPr>
      <w:t>, 2024,</w:t>
    </w:r>
    <w:r w:rsidRPr="003B50B5">
      <w:rPr>
        <w:sz w:val="18"/>
        <w:szCs w:val="18"/>
      </w:rPr>
      <w:t xml:space="preserve"> Florence</w:t>
    </w:r>
    <w:r w:rsidRPr="003B50B5">
      <w:rPr>
        <w:noProof/>
        <w:sz w:val="18"/>
        <w:szCs w:val="18"/>
      </w:rPr>
      <w:t>, Italy</w:t>
    </w:r>
  </w:p>
  <w:p w14:paraId="144DE6CC" w14:textId="77777777" w:rsidR="00DD3D9E" w:rsidRDefault="00F06842" w:rsidP="00F06842">
    <w:pPr>
      <w:tabs>
        <w:tab w:val="right" w:pos="7086"/>
      </w:tabs>
    </w:pPr>
    <w:r w:rsidRPr="001E6A29">
      <w:rPr>
        <w:sz w:val="18"/>
        <w:szCs w:val="18"/>
      </w:rPr>
      <w:t>© 202</w:t>
    </w:r>
    <w:r>
      <w:rPr>
        <w:sz w:val="18"/>
        <w:szCs w:val="18"/>
      </w:rPr>
      <w:t>4</w:t>
    </w:r>
    <w:r w:rsidRPr="001E6A29">
      <w:rPr>
        <w:sz w:val="18"/>
        <w:szCs w:val="18"/>
      </w:rPr>
      <w:t xml:space="preserve"> Elsevier B.V. All rights reserved.</w:t>
    </w:r>
    <w:r w:rsidR="00DD3D9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178C"/>
    <w:multiLevelType w:val="multilevel"/>
    <w:tmpl w:val="A2DC3AD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 w15:restartNumberingAfterBreak="0">
    <w:nsid w:val="1A2E0393"/>
    <w:multiLevelType w:val="multilevel"/>
    <w:tmpl w:val="77CA1008"/>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2" w15:restartNumberingAfterBreak="0">
    <w:nsid w:val="1D0C7A89"/>
    <w:multiLevelType w:val="singleLevel"/>
    <w:tmpl w:val="3814B02C"/>
    <w:lvl w:ilvl="0">
      <w:start w:val="1"/>
      <w:numFmt w:val="decimal"/>
      <w:lvlText w:val="[%1]"/>
      <w:lvlJc w:val="left"/>
      <w:pPr>
        <w:tabs>
          <w:tab w:val="num" w:pos="360"/>
        </w:tabs>
        <w:ind w:left="312" w:hanging="312"/>
      </w:pPr>
    </w:lvl>
  </w:abstractNum>
  <w:abstractNum w:abstractNumId="3" w15:restartNumberingAfterBreak="0">
    <w:nsid w:val="241C6CF0"/>
    <w:multiLevelType w:val="multilevel"/>
    <w:tmpl w:val="F490D9D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15:restartNumberingAfterBreak="0">
    <w:nsid w:val="2438217E"/>
    <w:multiLevelType w:val="multilevel"/>
    <w:tmpl w:val="B3242232"/>
    <w:lvl w:ilvl="0">
      <w:start w:val="1"/>
      <w:numFmt w:val="decimal"/>
      <w:pStyle w:val="Els-Chapterno"/>
      <w:suff w:val="space"/>
      <w:lvlText w:val="Chapter %1"/>
      <w:lvlJc w:val="left"/>
      <w:pPr>
        <w:ind w:left="0" w:firstLine="0"/>
      </w:pPr>
      <w:rPr>
        <w:rFonts w:hint="default"/>
      </w:rPr>
    </w:lvl>
    <w:lvl w:ilvl="1">
      <w:start w:val="1"/>
      <w:numFmt w:val="decimal"/>
      <w:pStyle w:val="Els-1storder-head"/>
      <w:suff w:val="space"/>
      <w:lvlText w:val="%2."/>
      <w:lvlJc w:val="left"/>
      <w:pPr>
        <w:ind w:left="0" w:firstLine="0"/>
      </w:pPr>
      <w:rPr>
        <w:rFonts w:hint="default"/>
      </w:rPr>
    </w:lvl>
    <w:lvl w:ilvl="2">
      <w:start w:val="1"/>
      <w:numFmt w:val="decimal"/>
      <w:pStyle w:val="Els-2ndorder-head"/>
      <w:suff w:val="space"/>
      <w:lvlText w:val="%2.%3."/>
      <w:lvlJc w:val="left"/>
      <w:pPr>
        <w:ind w:left="0" w:firstLine="0"/>
      </w:pPr>
      <w:rPr>
        <w:rFonts w:hint="default"/>
      </w:rPr>
    </w:lvl>
    <w:lvl w:ilvl="3">
      <w:start w:val="1"/>
      <w:numFmt w:val="decimal"/>
      <w:pStyle w:val="Els-3rdorder-head"/>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5" w15:restartNumberingAfterBreak="0">
    <w:nsid w:val="25486B6C"/>
    <w:multiLevelType w:val="singleLevel"/>
    <w:tmpl w:val="FE1C3F06"/>
    <w:lvl w:ilvl="0">
      <w:start w:val="1"/>
      <w:numFmt w:val="decimal"/>
      <w:lvlText w:val="[%1]"/>
      <w:lvlJc w:val="left"/>
      <w:pPr>
        <w:tabs>
          <w:tab w:val="num" w:pos="360"/>
        </w:tabs>
        <w:ind w:left="312" w:hanging="312"/>
      </w:pPr>
    </w:lvl>
  </w:abstractNum>
  <w:abstractNum w:abstractNumId="6" w15:restartNumberingAfterBreak="0">
    <w:nsid w:val="27477AAC"/>
    <w:multiLevelType w:val="hybridMultilevel"/>
    <w:tmpl w:val="D2E8ABE2"/>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29322B9F"/>
    <w:multiLevelType w:val="multilevel"/>
    <w:tmpl w:val="C5F4A82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8" w15:restartNumberingAfterBreak="0">
    <w:nsid w:val="2AB1025D"/>
    <w:multiLevelType w:val="hybridMultilevel"/>
    <w:tmpl w:val="3DD8E7C4"/>
    <w:lvl w:ilvl="0" w:tplc="0BECA5BC">
      <w:start w:val="1"/>
      <w:numFmt w:val="decimal"/>
      <w:pStyle w:val="Els-reference"/>
      <w:lvlText w:val="%1."/>
      <w:lvlJc w:val="right"/>
      <w:pPr>
        <w:tabs>
          <w:tab w:val="num" w:pos="480"/>
        </w:tabs>
        <w:ind w:left="480" w:hanging="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E652E1E"/>
    <w:multiLevelType w:val="hybridMultilevel"/>
    <w:tmpl w:val="6F0EF366"/>
    <w:lvl w:ilvl="0" w:tplc="FF1690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AA62CA"/>
    <w:multiLevelType w:val="hybridMultilevel"/>
    <w:tmpl w:val="AB36EAAA"/>
    <w:lvl w:ilvl="0" w:tplc="A082456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7E7170"/>
    <w:multiLevelType w:val="multilevel"/>
    <w:tmpl w:val="596AD3C4"/>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12"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3" w15:restartNumberingAfterBreak="0">
    <w:nsid w:val="5E827A20"/>
    <w:multiLevelType w:val="multilevel"/>
    <w:tmpl w:val="3170006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4" w15:restartNumberingAfterBreak="0">
    <w:nsid w:val="70535D76"/>
    <w:multiLevelType w:val="multilevel"/>
    <w:tmpl w:val="D480ADB0"/>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15" w15:restartNumberingAfterBreak="0">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FB22AD2"/>
    <w:multiLevelType w:val="hybridMultilevel"/>
    <w:tmpl w:val="60B0B3A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632910568">
    <w:abstractNumId w:val="12"/>
  </w:num>
  <w:num w:numId="2" w16cid:durableId="47382885">
    <w:abstractNumId w:val="12"/>
  </w:num>
  <w:num w:numId="3" w16cid:durableId="967853731">
    <w:abstractNumId w:val="12"/>
  </w:num>
  <w:num w:numId="4" w16cid:durableId="1739282265">
    <w:abstractNumId w:val="12"/>
  </w:num>
  <w:num w:numId="5" w16cid:durableId="698892343">
    <w:abstractNumId w:val="0"/>
  </w:num>
  <w:num w:numId="6" w16cid:durableId="1660883641">
    <w:abstractNumId w:val="7"/>
  </w:num>
  <w:num w:numId="7" w16cid:durableId="1863349795">
    <w:abstractNumId w:val="13"/>
  </w:num>
  <w:num w:numId="8" w16cid:durableId="1750734252">
    <w:abstractNumId w:val="1"/>
  </w:num>
  <w:num w:numId="9" w16cid:durableId="203061615">
    <w:abstractNumId w:val="11"/>
  </w:num>
  <w:num w:numId="10" w16cid:durableId="1478497114">
    <w:abstractNumId w:val="15"/>
  </w:num>
  <w:num w:numId="11" w16cid:durableId="1896693444">
    <w:abstractNumId w:val="14"/>
  </w:num>
  <w:num w:numId="12" w16cid:durableId="774787662">
    <w:abstractNumId w:val="5"/>
  </w:num>
  <w:num w:numId="13" w16cid:durableId="1525900646">
    <w:abstractNumId w:val="9"/>
  </w:num>
  <w:num w:numId="14" w16cid:durableId="1455515963">
    <w:abstractNumId w:val="2"/>
  </w:num>
  <w:num w:numId="15" w16cid:durableId="446657998">
    <w:abstractNumId w:val="8"/>
  </w:num>
  <w:num w:numId="16" w16cid:durableId="322592235">
    <w:abstractNumId w:val="3"/>
  </w:num>
  <w:num w:numId="17" w16cid:durableId="596719075">
    <w:abstractNumId w:val="4"/>
  </w:num>
  <w:num w:numId="18" w16cid:durableId="886648604">
    <w:abstractNumId w:val="10"/>
  </w:num>
  <w:num w:numId="19" w16cid:durableId="775099723">
    <w:abstractNumId w:val="16"/>
  </w:num>
  <w:num w:numId="20" w16cid:durableId="10341874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283"/>
  <w:evenAndOddHeaders/>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Numbered&lt;/Style&gt;&lt;LeftDelim&gt;{&lt;/LeftDelim&gt;&lt;RightDelim&gt;}&lt;/RightDelim&gt;&lt;FontName&gt;Times New Roman&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etzxwevl9wxtmefadrvp9wtvvvz9atdtppp&quot;&gt;Qilei_Liu&lt;record-ids&gt;&lt;item&gt;645&lt;/item&gt;&lt;item&gt;709&lt;/item&gt;&lt;item&gt;836&lt;/item&gt;&lt;item&gt;837&lt;/item&gt;&lt;/record-ids&gt;&lt;/item&gt;&lt;/Libraries&gt;"/>
  </w:docVars>
  <w:rsids>
    <w:rsidRoot w:val="00B63237"/>
    <w:rsid w:val="00012ED9"/>
    <w:rsid w:val="00022113"/>
    <w:rsid w:val="00030B1E"/>
    <w:rsid w:val="00033A5C"/>
    <w:rsid w:val="00036070"/>
    <w:rsid w:val="0003654E"/>
    <w:rsid w:val="000458C5"/>
    <w:rsid w:val="00047EA0"/>
    <w:rsid w:val="00050C5B"/>
    <w:rsid w:val="0006154F"/>
    <w:rsid w:val="00061A49"/>
    <w:rsid w:val="00073602"/>
    <w:rsid w:val="00074CB6"/>
    <w:rsid w:val="000757D9"/>
    <w:rsid w:val="000835F1"/>
    <w:rsid w:val="000840D8"/>
    <w:rsid w:val="00086A61"/>
    <w:rsid w:val="00087A0B"/>
    <w:rsid w:val="000936C0"/>
    <w:rsid w:val="000A359A"/>
    <w:rsid w:val="000A46E1"/>
    <w:rsid w:val="000B3C5F"/>
    <w:rsid w:val="000B5B0F"/>
    <w:rsid w:val="000B5C36"/>
    <w:rsid w:val="000C00E5"/>
    <w:rsid w:val="000C0ECA"/>
    <w:rsid w:val="000C2D26"/>
    <w:rsid w:val="000D32B1"/>
    <w:rsid w:val="000D3D9B"/>
    <w:rsid w:val="000D56FA"/>
    <w:rsid w:val="000D7505"/>
    <w:rsid w:val="000E2002"/>
    <w:rsid w:val="000E5CC2"/>
    <w:rsid w:val="000F208F"/>
    <w:rsid w:val="0010284E"/>
    <w:rsid w:val="00107754"/>
    <w:rsid w:val="001117D1"/>
    <w:rsid w:val="0012084E"/>
    <w:rsid w:val="001253F2"/>
    <w:rsid w:val="00130AB0"/>
    <w:rsid w:val="001317B8"/>
    <w:rsid w:val="00134F27"/>
    <w:rsid w:val="00136B3B"/>
    <w:rsid w:val="00136C9F"/>
    <w:rsid w:val="001375DF"/>
    <w:rsid w:val="0014061B"/>
    <w:rsid w:val="001566CD"/>
    <w:rsid w:val="00160036"/>
    <w:rsid w:val="0016032F"/>
    <w:rsid w:val="00174128"/>
    <w:rsid w:val="00184A89"/>
    <w:rsid w:val="001879F6"/>
    <w:rsid w:val="00187AE8"/>
    <w:rsid w:val="00190E8A"/>
    <w:rsid w:val="00193B40"/>
    <w:rsid w:val="001C0148"/>
    <w:rsid w:val="001C0568"/>
    <w:rsid w:val="001C103D"/>
    <w:rsid w:val="001C13C5"/>
    <w:rsid w:val="001C59B5"/>
    <w:rsid w:val="001C757E"/>
    <w:rsid w:val="001C799F"/>
    <w:rsid w:val="001D639E"/>
    <w:rsid w:val="001E1166"/>
    <w:rsid w:val="001E4CB0"/>
    <w:rsid w:val="0020390F"/>
    <w:rsid w:val="002058A7"/>
    <w:rsid w:val="00223A38"/>
    <w:rsid w:val="002279C2"/>
    <w:rsid w:val="002322FE"/>
    <w:rsid w:val="00235639"/>
    <w:rsid w:val="00235D4A"/>
    <w:rsid w:val="0024075B"/>
    <w:rsid w:val="0025294A"/>
    <w:rsid w:val="00260B77"/>
    <w:rsid w:val="002644D3"/>
    <w:rsid w:val="002647E8"/>
    <w:rsid w:val="00264926"/>
    <w:rsid w:val="00266923"/>
    <w:rsid w:val="00272C33"/>
    <w:rsid w:val="0028134C"/>
    <w:rsid w:val="002813DB"/>
    <w:rsid w:val="002822BF"/>
    <w:rsid w:val="00282622"/>
    <w:rsid w:val="002930D1"/>
    <w:rsid w:val="002A518C"/>
    <w:rsid w:val="002A685B"/>
    <w:rsid w:val="002A7136"/>
    <w:rsid w:val="002B033D"/>
    <w:rsid w:val="002B3136"/>
    <w:rsid w:val="002B465A"/>
    <w:rsid w:val="002D1038"/>
    <w:rsid w:val="002D69B7"/>
    <w:rsid w:val="002E0E4C"/>
    <w:rsid w:val="002F321F"/>
    <w:rsid w:val="002F4D81"/>
    <w:rsid w:val="002F4EB4"/>
    <w:rsid w:val="002F7079"/>
    <w:rsid w:val="003000BB"/>
    <w:rsid w:val="00300EC4"/>
    <w:rsid w:val="00301D6A"/>
    <w:rsid w:val="00310D80"/>
    <w:rsid w:val="00317750"/>
    <w:rsid w:val="00321FF5"/>
    <w:rsid w:val="00322BA8"/>
    <w:rsid w:val="00327C1B"/>
    <w:rsid w:val="00334B37"/>
    <w:rsid w:val="0033506C"/>
    <w:rsid w:val="0034023C"/>
    <w:rsid w:val="00344972"/>
    <w:rsid w:val="00356011"/>
    <w:rsid w:val="00356D8C"/>
    <w:rsid w:val="00357D38"/>
    <w:rsid w:val="00361144"/>
    <w:rsid w:val="00364FA7"/>
    <w:rsid w:val="00366DFB"/>
    <w:rsid w:val="00373BFF"/>
    <w:rsid w:val="00383C27"/>
    <w:rsid w:val="00385270"/>
    <w:rsid w:val="003854D8"/>
    <w:rsid w:val="00390D7A"/>
    <w:rsid w:val="00394970"/>
    <w:rsid w:val="003A026D"/>
    <w:rsid w:val="003A2D2F"/>
    <w:rsid w:val="003A54A2"/>
    <w:rsid w:val="003A6CF6"/>
    <w:rsid w:val="003B375E"/>
    <w:rsid w:val="003B4C90"/>
    <w:rsid w:val="003B6396"/>
    <w:rsid w:val="003C24ED"/>
    <w:rsid w:val="003C2FD9"/>
    <w:rsid w:val="003D1535"/>
    <w:rsid w:val="003D1582"/>
    <w:rsid w:val="003D47A6"/>
    <w:rsid w:val="003D6618"/>
    <w:rsid w:val="003D7E4C"/>
    <w:rsid w:val="003D7EE1"/>
    <w:rsid w:val="003E41C2"/>
    <w:rsid w:val="003E7CF4"/>
    <w:rsid w:val="003F303F"/>
    <w:rsid w:val="004024A7"/>
    <w:rsid w:val="00402A80"/>
    <w:rsid w:val="00435E36"/>
    <w:rsid w:val="00437380"/>
    <w:rsid w:val="00440AD4"/>
    <w:rsid w:val="004440EB"/>
    <w:rsid w:val="00450EA9"/>
    <w:rsid w:val="00451B69"/>
    <w:rsid w:val="00460DC8"/>
    <w:rsid w:val="0046262B"/>
    <w:rsid w:val="004643FE"/>
    <w:rsid w:val="00471B43"/>
    <w:rsid w:val="00477D44"/>
    <w:rsid w:val="0049541F"/>
    <w:rsid w:val="004974D6"/>
    <w:rsid w:val="0049772C"/>
    <w:rsid w:val="004B10DF"/>
    <w:rsid w:val="004B502F"/>
    <w:rsid w:val="004B6778"/>
    <w:rsid w:val="004B7BC5"/>
    <w:rsid w:val="004C0B1E"/>
    <w:rsid w:val="004C2357"/>
    <w:rsid w:val="004C79F3"/>
    <w:rsid w:val="004D0FDA"/>
    <w:rsid w:val="004E3700"/>
    <w:rsid w:val="004F2170"/>
    <w:rsid w:val="004F7E28"/>
    <w:rsid w:val="00510559"/>
    <w:rsid w:val="005206FB"/>
    <w:rsid w:val="00527E98"/>
    <w:rsid w:val="0054214F"/>
    <w:rsid w:val="00552EEB"/>
    <w:rsid w:val="0055380E"/>
    <w:rsid w:val="0056131C"/>
    <w:rsid w:val="00583C3C"/>
    <w:rsid w:val="005858EB"/>
    <w:rsid w:val="00591407"/>
    <w:rsid w:val="005A0466"/>
    <w:rsid w:val="005A15DC"/>
    <w:rsid w:val="005A4F20"/>
    <w:rsid w:val="005B29D0"/>
    <w:rsid w:val="005B302B"/>
    <w:rsid w:val="005C770E"/>
    <w:rsid w:val="005D1311"/>
    <w:rsid w:val="005D48D4"/>
    <w:rsid w:val="005D522B"/>
    <w:rsid w:val="005D57C5"/>
    <w:rsid w:val="005E75F4"/>
    <w:rsid w:val="005F2537"/>
    <w:rsid w:val="005F714E"/>
    <w:rsid w:val="00603A48"/>
    <w:rsid w:val="00611EEB"/>
    <w:rsid w:val="00614708"/>
    <w:rsid w:val="006250EE"/>
    <w:rsid w:val="006261BF"/>
    <w:rsid w:val="00626E7C"/>
    <w:rsid w:val="00635E3B"/>
    <w:rsid w:val="0064063F"/>
    <w:rsid w:val="006416FD"/>
    <w:rsid w:val="00642FAE"/>
    <w:rsid w:val="006477BA"/>
    <w:rsid w:val="0065022C"/>
    <w:rsid w:val="00660BBE"/>
    <w:rsid w:val="00666236"/>
    <w:rsid w:val="0066769A"/>
    <w:rsid w:val="0067709F"/>
    <w:rsid w:val="00685E31"/>
    <w:rsid w:val="006915D8"/>
    <w:rsid w:val="00692535"/>
    <w:rsid w:val="0069308B"/>
    <w:rsid w:val="006A69BF"/>
    <w:rsid w:val="006B75DD"/>
    <w:rsid w:val="006C0D43"/>
    <w:rsid w:val="006C3359"/>
    <w:rsid w:val="006C3397"/>
    <w:rsid w:val="006C5945"/>
    <w:rsid w:val="006C7399"/>
    <w:rsid w:val="006D67C9"/>
    <w:rsid w:val="006E19E8"/>
    <w:rsid w:val="006E543B"/>
    <w:rsid w:val="00701757"/>
    <w:rsid w:val="00711DF4"/>
    <w:rsid w:val="007222B4"/>
    <w:rsid w:val="0072389E"/>
    <w:rsid w:val="00725F3D"/>
    <w:rsid w:val="00731680"/>
    <w:rsid w:val="0073544E"/>
    <w:rsid w:val="00736136"/>
    <w:rsid w:val="00751A03"/>
    <w:rsid w:val="00754402"/>
    <w:rsid w:val="00756159"/>
    <w:rsid w:val="00793932"/>
    <w:rsid w:val="00795430"/>
    <w:rsid w:val="007A0C8C"/>
    <w:rsid w:val="007A37C4"/>
    <w:rsid w:val="007B3ABE"/>
    <w:rsid w:val="007D0863"/>
    <w:rsid w:val="007D33EB"/>
    <w:rsid w:val="007D70A1"/>
    <w:rsid w:val="007E1431"/>
    <w:rsid w:val="007E2DBF"/>
    <w:rsid w:val="007E5CB1"/>
    <w:rsid w:val="007E7482"/>
    <w:rsid w:val="0081097B"/>
    <w:rsid w:val="008116DB"/>
    <w:rsid w:val="008132E8"/>
    <w:rsid w:val="008165A7"/>
    <w:rsid w:val="008233A8"/>
    <w:rsid w:val="00823407"/>
    <w:rsid w:val="008236CD"/>
    <w:rsid w:val="00843967"/>
    <w:rsid w:val="0084397A"/>
    <w:rsid w:val="008471FD"/>
    <w:rsid w:val="00850C8F"/>
    <w:rsid w:val="00863C0F"/>
    <w:rsid w:val="00876A88"/>
    <w:rsid w:val="00881132"/>
    <w:rsid w:val="008838FE"/>
    <w:rsid w:val="00890119"/>
    <w:rsid w:val="00892CA1"/>
    <w:rsid w:val="00893E2F"/>
    <w:rsid w:val="008A2A98"/>
    <w:rsid w:val="008B0184"/>
    <w:rsid w:val="008B1DA8"/>
    <w:rsid w:val="008B5887"/>
    <w:rsid w:val="008B7BD6"/>
    <w:rsid w:val="008C5D02"/>
    <w:rsid w:val="008D2649"/>
    <w:rsid w:val="008D75EF"/>
    <w:rsid w:val="008E5DBF"/>
    <w:rsid w:val="008F31DB"/>
    <w:rsid w:val="00900016"/>
    <w:rsid w:val="009002C6"/>
    <w:rsid w:val="0090284C"/>
    <w:rsid w:val="00904B9E"/>
    <w:rsid w:val="0090568D"/>
    <w:rsid w:val="0091183B"/>
    <w:rsid w:val="009125C9"/>
    <w:rsid w:val="00913879"/>
    <w:rsid w:val="0091575E"/>
    <w:rsid w:val="00917661"/>
    <w:rsid w:val="0094359F"/>
    <w:rsid w:val="00944282"/>
    <w:rsid w:val="009503D9"/>
    <w:rsid w:val="00954123"/>
    <w:rsid w:val="00956544"/>
    <w:rsid w:val="00962561"/>
    <w:rsid w:val="00963F61"/>
    <w:rsid w:val="00970E5D"/>
    <w:rsid w:val="00974335"/>
    <w:rsid w:val="0097701C"/>
    <w:rsid w:val="00977475"/>
    <w:rsid w:val="00980A65"/>
    <w:rsid w:val="00981EA7"/>
    <w:rsid w:val="00982478"/>
    <w:rsid w:val="00983D58"/>
    <w:rsid w:val="00986F34"/>
    <w:rsid w:val="00993DD0"/>
    <w:rsid w:val="00995466"/>
    <w:rsid w:val="009A2A5F"/>
    <w:rsid w:val="009A2A73"/>
    <w:rsid w:val="009A49C2"/>
    <w:rsid w:val="009B3AB4"/>
    <w:rsid w:val="009B57E5"/>
    <w:rsid w:val="009B5E97"/>
    <w:rsid w:val="009C6181"/>
    <w:rsid w:val="009D0306"/>
    <w:rsid w:val="009D4A85"/>
    <w:rsid w:val="009E5844"/>
    <w:rsid w:val="009E704D"/>
    <w:rsid w:val="00A057A1"/>
    <w:rsid w:val="00A123FF"/>
    <w:rsid w:val="00A1322D"/>
    <w:rsid w:val="00A178D2"/>
    <w:rsid w:val="00A22670"/>
    <w:rsid w:val="00A23125"/>
    <w:rsid w:val="00A25E70"/>
    <w:rsid w:val="00A33765"/>
    <w:rsid w:val="00A33D8F"/>
    <w:rsid w:val="00A342EA"/>
    <w:rsid w:val="00A36BE8"/>
    <w:rsid w:val="00A404D8"/>
    <w:rsid w:val="00A46231"/>
    <w:rsid w:val="00A508FA"/>
    <w:rsid w:val="00A51F3B"/>
    <w:rsid w:val="00A546D8"/>
    <w:rsid w:val="00A54C01"/>
    <w:rsid w:val="00A56D18"/>
    <w:rsid w:val="00A63269"/>
    <w:rsid w:val="00A67867"/>
    <w:rsid w:val="00A71AA1"/>
    <w:rsid w:val="00A74B3F"/>
    <w:rsid w:val="00A74C64"/>
    <w:rsid w:val="00A80C39"/>
    <w:rsid w:val="00A83996"/>
    <w:rsid w:val="00A92377"/>
    <w:rsid w:val="00A92B47"/>
    <w:rsid w:val="00A9338C"/>
    <w:rsid w:val="00A94292"/>
    <w:rsid w:val="00A95FFA"/>
    <w:rsid w:val="00AB29ED"/>
    <w:rsid w:val="00AB3A4C"/>
    <w:rsid w:val="00AC1005"/>
    <w:rsid w:val="00AC3345"/>
    <w:rsid w:val="00AC5587"/>
    <w:rsid w:val="00AC5B92"/>
    <w:rsid w:val="00AD6D07"/>
    <w:rsid w:val="00AE4BD8"/>
    <w:rsid w:val="00AE5E0E"/>
    <w:rsid w:val="00AF531E"/>
    <w:rsid w:val="00B01621"/>
    <w:rsid w:val="00B01ADF"/>
    <w:rsid w:val="00B04038"/>
    <w:rsid w:val="00B201BD"/>
    <w:rsid w:val="00B4388F"/>
    <w:rsid w:val="00B47955"/>
    <w:rsid w:val="00B54320"/>
    <w:rsid w:val="00B55E8A"/>
    <w:rsid w:val="00B63076"/>
    <w:rsid w:val="00B63237"/>
    <w:rsid w:val="00B70592"/>
    <w:rsid w:val="00B71614"/>
    <w:rsid w:val="00B82B18"/>
    <w:rsid w:val="00B86F83"/>
    <w:rsid w:val="00B9151A"/>
    <w:rsid w:val="00B92E30"/>
    <w:rsid w:val="00BA6B75"/>
    <w:rsid w:val="00BB41F8"/>
    <w:rsid w:val="00BB66BF"/>
    <w:rsid w:val="00BC12EB"/>
    <w:rsid w:val="00BC23ED"/>
    <w:rsid w:val="00BC2D47"/>
    <w:rsid w:val="00BD036C"/>
    <w:rsid w:val="00BD7B9F"/>
    <w:rsid w:val="00BD7FB5"/>
    <w:rsid w:val="00BE58A2"/>
    <w:rsid w:val="00C00789"/>
    <w:rsid w:val="00C04417"/>
    <w:rsid w:val="00C212FA"/>
    <w:rsid w:val="00C24FD4"/>
    <w:rsid w:val="00C26549"/>
    <w:rsid w:val="00C267E1"/>
    <w:rsid w:val="00C2757D"/>
    <w:rsid w:val="00C325D0"/>
    <w:rsid w:val="00C35359"/>
    <w:rsid w:val="00C36659"/>
    <w:rsid w:val="00C36CF7"/>
    <w:rsid w:val="00C36F32"/>
    <w:rsid w:val="00C523ED"/>
    <w:rsid w:val="00C5263C"/>
    <w:rsid w:val="00C629F2"/>
    <w:rsid w:val="00C6619F"/>
    <w:rsid w:val="00C7244A"/>
    <w:rsid w:val="00C75C0F"/>
    <w:rsid w:val="00C765CD"/>
    <w:rsid w:val="00C81458"/>
    <w:rsid w:val="00C837AC"/>
    <w:rsid w:val="00C87B91"/>
    <w:rsid w:val="00C90FBE"/>
    <w:rsid w:val="00C92F0E"/>
    <w:rsid w:val="00C960DC"/>
    <w:rsid w:val="00CA2F6E"/>
    <w:rsid w:val="00CA4036"/>
    <w:rsid w:val="00CA4EFD"/>
    <w:rsid w:val="00CA64B9"/>
    <w:rsid w:val="00CA6EB5"/>
    <w:rsid w:val="00CC6C12"/>
    <w:rsid w:val="00CC7B9F"/>
    <w:rsid w:val="00CD0F21"/>
    <w:rsid w:val="00CE1EC1"/>
    <w:rsid w:val="00CE4BBC"/>
    <w:rsid w:val="00CF20C0"/>
    <w:rsid w:val="00CF30A3"/>
    <w:rsid w:val="00CF6366"/>
    <w:rsid w:val="00D00B5C"/>
    <w:rsid w:val="00D02089"/>
    <w:rsid w:val="00D02928"/>
    <w:rsid w:val="00D02C75"/>
    <w:rsid w:val="00D04C20"/>
    <w:rsid w:val="00D10E22"/>
    <w:rsid w:val="00D13D2C"/>
    <w:rsid w:val="00D1787C"/>
    <w:rsid w:val="00D24FB4"/>
    <w:rsid w:val="00D429BA"/>
    <w:rsid w:val="00D47835"/>
    <w:rsid w:val="00D51DD0"/>
    <w:rsid w:val="00D53138"/>
    <w:rsid w:val="00D64B66"/>
    <w:rsid w:val="00D70A35"/>
    <w:rsid w:val="00D73DD3"/>
    <w:rsid w:val="00D76171"/>
    <w:rsid w:val="00D81A73"/>
    <w:rsid w:val="00D91567"/>
    <w:rsid w:val="00DB1C03"/>
    <w:rsid w:val="00DC2F94"/>
    <w:rsid w:val="00DC37D3"/>
    <w:rsid w:val="00DC48D3"/>
    <w:rsid w:val="00DC76C5"/>
    <w:rsid w:val="00DD2C01"/>
    <w:rsid w:val="00DD3D9E"/>
    <w:rsid w:val="00DD5184"/>
    <w:rsid w:val="00DD7908"/>
    <w:rsid w:val="00DE328A"/>
    <w:rsid w:val="00DE7039"/>
    <w:rsid w:val="00DF4C9F"/>
    <w:rsid w:val="00DF60A8"/>
    <w:rsid w:val="00E00F9F"/>
    <w:rsid w:val="00E02E69"/>
    <w:rsid w:val="00E14B96"/>
    <w:rsid w:val="00E2010C"/>
    <w:rsid w:val="00E251E3"/>
    <w:rsid w:val="00E333B5"/>
    <w:rsid w:val="00E33AA0"/>
    <w:rsid w:val="00E36E0B"/>
    <w:rsid w:val="00E549FB"/>
    <w:rsid w:val="00E5575F"/>
    <w:rsid w:val="00E70C2F"/>
    <w:rsid w:val="00E77825"/>
    <w:rsid w:val="00E80C7F"/>
    <w:rsid w:val="00E82297"/>
    <w:rsid w:val="00E965D9"/>
    <w:rsid w:val="00EA6BD2"/>
    <w:rsid w:val="00EB1CCC"/>
    <w:rsid w:val="00EB6D5D"/>
    <w:rsid w:val="00EC00B9"/>
    <w:rsid w:val="00EC1493"/>
    <w:rsid w:val="00EC1817"/>
    <w:rsid w:val="00EC52F1"/>
    <w:rsid w:val="00ED21A5"/>
    <w:rsid w:val="00EF39FD"/>
    <w:rsid w:val="00F06842"/>
    <w:rsid w:val="00F107FD"/>
    <w:rsid w:val="00F14B00"/>
    <w:rsid w:val="00F1530E"/>
    <w:rsid w:val="00F20E42"/>
    <w:rsid w:val="00F23A42"/>
    <w:rsid w:val="00F268C5"/>
    <w:rsid w:val="00F30C00"/>
    <w:rsid w:val="00F5031D"/>
    <w:rsid w:val="00F5353E"/>
    <w:rsid w:val="00F56A93"/>
    <w:rsid w:val="00F63F3D"/>
    <w:rsid w:val="00F673BF"/>
    <w:rsid w:val="00F776E2"/>
    <w:rsid w:val="00F82B04"/>
    <w:rsid w:val="00F86B48"/>
    <w:rsid w:val="00F87EAD"/>
    <w:rsid w:val="00F938C1"/>
    <w:rsid w:val="00FA075D"/>
    <w:rsid w:val="00FA6F8E"/>
    <w:rsid w:val="00FB03B0"/>
    <w:rsid w:val="00FB309A"/>
    <w:rsid w:val="00FB31B3"/>
    <w:rsid w:val="00FB4974"/>
    <w:rsid w:val="00FB64A8"/>
    <w:rsid w:val="00FB6722"/>
    <w:rsid w:val="00FC1FC9"/>
    <w:rsid w:val="00FC28F7"/>
    <w:rsid w:val="00FC3D46"/>
    <w:rsid w:val="00FD200E"/>
    <w:rsid w:val="00FD4372"/>
    <w:rsid w:val="00FD5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4DE67F"/>
  <w15:docId w15:val="{B89D3AFA-8814-4AAB-A339-74180925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0184"/>
    <w:rPr>
      <w:lang w:eastAsia="en-US"/>
    </w:rPr>
  </w:style>
  <w:style w:type="paragraph" w:styleId="3">
    <w:name w:val="heading 3"/>
    <w:basedOn w:val="a"/>
    <w:next w:val="a"/>
    <w:qFormat/>
    <w:rsid w:val="008B018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Els-caption"/>
    <w:next w:val="Els-caption"/>
    <w:qFormat/>
    <w:rsid w:val="008B0184"/>
  </w:style>
  <w:style w:type="paragraph" w:customStyle="1" w:styleId="Els-caption">
    <w:name w:val="Els-caption"/>
    <w:rsid w:val="008B0184"/>
    <w:pPr>
      <w:keepLines/>
      <w:spacing w:before="100" w:after="120"/>
    </w:pPr>
    <w:rPr>
      <w:sz w:val="18"/>
      <w:lang w:val="en-US" w:eastAsia="en-US"/>
    </w:rPr>
  </w:style>
  <w:style w:type="paragraph" w:customStyle="1" w:styleId="Els-1storder-head">
    <w:name w:val="Els-1storder-head"/>
    <w:basedOn w:val="Els-body-text"/>
    <w:next w:val="Els-body-text"/>
    <w:rsid w:val="008B0184"/>
    <w:pPr>
      <w:keepNext/>
      <w:numPr>
        <w:ilvl w:val="1"/>
        <w:numId w:val="17"/>
      </w:numPr>
      <w:suppressAutoHyphens/>
      <w:spacing w:before="240" w:after="60" w:line="240" w:lineRule="exact"/>
    </w:pPr>
    <w:rPr>
      <w:b/>
      <w:sz w:val="22"/>
    </w:rPr>
  </w:style>
  <w:style w:type="paragraph" w:customStyle="1" w:styleId="Els-body-text">
    <w:name w:val="Els-body-text"/>
    <w:rsid w:val="008B0184"/>
    <w:pPr>
      <w:jc w:val="both"/>
    </w:pPr>
    <w:rPr>
      <w:lang w:val="en-US" w:eastAsia="en-US"/>
    </w:rPr>
  </w:style>
  <w:style w:type="paragraph" w:customStyle="1" w:styleId="Els-2ndorder-head">
    <w:name w:val="Els-2ndorder-head"/>
    <w:basedOn w:val="Els-body-text"/>
    <w:next w:val="Els-body-text"/>
    <w:rsid w:val="008B0184"/>
    <w:pPr>
      <w:keepNext/>
      <w:numPr>
        <w:ilvl w:val="2"/>
        <w:numId w:val="17"/>
      </w:numPr>
      <w:suppressAutoHyphens/>
      <w:spacing w:before="80"/>
    </w:pPr>
    <w:rPr>
      <w:i/>
    </w:rPr>
  </w:style>
  <w:style w:type="paragraph" w:customStyle="1" w:styleId="Els-3rdorder-head">
    <w:name w:val="Els-3rdorder-head"/>
    <w:basedOn w:val="Els-body-text"/>
    <w:next w:val="Els-body-text"/>
    <w:rsid w:val="008B0184"/>
    <w:pPr>
      <w:keepNext/>
      <w:numPr>
        <w:ilvl w:val="3"/>
        <w:numId w:val="17"/>
      </w:numPr>
      <w:suppressAutoHyphens/>
      <w:spacing w:before="60"/>
    </w:pPr>
    <w:rPr>
      <w:i/>
    </w:rPr>
  </w:style>
  <w:style w:type="paragraph" w:customStyle="1" w:styleId="Els-Affiliation">
    <w:name w:val="Els-Affiliation"/>
    <w:rsid w:val="008B0184"/>
    <w:pPr>
      <w:suppressAutoHyphens/>
      <w:spacing w:line="240" w:lineRule="exact"/>
    </w:pPr>
    <w:rPr>
      <w:i/>
      <w:noProof/>
      <w:lang w:eastAsia="en-US"/>
    </w:rPr>
  </w:style>
  <w:style w:type="paragraph" w:customStyle="1" w:styleId="Els-Author">
    <w:name w:val="Els-Author"/>
    <w:next w:val="Els-Affiliation"/>
    <w:rsid w:val="008B0184"/>
    <w:pPr>
      <w:keepNext/>
      <w:suppressAutoHyphens/>
      <w:spacing w:after="60" w:line="310" w:lineRule="exact"/>
    </w:pPr>
    <w:rPr>
      <w:noProof/>
      <w:sz w:val="22"/>
      <w:lang w:eastAsia="en-US"/>
    </w:rPr>
  </w:style>
  <w:style w:type="paragraph" w:customStyle="1" w:styleId="Els-bulletlist">
    <w:name w:val="Els-bulletlist"/>
    <w:basedOn w:val="Els-body-text"/>
    <w:rsid w:val="008B0184"/>
    <w:pPr>
      <w:tabs>
        <w:tab w:val="left" w:pos="240"/>
        <w:tab w:val="num" w:pos="360"/>
      </w:tabs>
      <w:ind w:left="240" w:hanging="240"/>
      <w:jc w:val="left"/>
    </w:pPr>
  </w:style>
  <w:style w:type="paragraph" w:customStyle="1" w:styleId="Els-chem-equation">
    <w:name w:val="Els-chem-equation"/>
    <w:basedOn w:val="Els-body-text"/>
    <w:next w:val="Els-body-text"/>
    <w:rsid w:val="008B0184"/>
    <w:pPr>
      <w:tabs>
        <w:tab w:val="right" w:pos="7088"/>
      </w:tabs>
      <w:spacing w:before="120" w:after="120"/>
    </w:pPr>
    <w:rPr>
      <w:noProof/>
      <w:lang w:val="en-GB"/>
    </w:rPr>
  </w:style>
  <w:style w:type="paragraph" w:customStyle="1" w:styleId="Els-equation">
    <w:name w:val="Els-equation"/>
    <w:basedOn w:val="Els-body-text"/>
    <w:next w:val="Els-body-text"/>
    <w:rsid w:val="008B0184"/>
    <w:pPr>
      <w:tabs>
        <w:tab w:val="right" w:pos="7088"/>
      </w:tabs>
      <w:spacing w:before="120" w:after="120"/>
    </w:pPr>
    <w:rPr>
      <w:i/>
      <w:noProof/>
      <w:lang w:val="en-GB"/>
    </w:rPr>
  </w:style>
  <w:style w:type="paragraph" w:customStyle="1" w:styleId="Els-footnote">
    <w:name w:val="Els-footnote"/>
    <w:rsid w:val="008B0184"/>
    <w:pPr>
      <w:keepLines/>
      <w:widowControl w:val="0"/>
      <w:ind w:left="120" w:hanging="120"/>
    </w:pPr>
    <w:rPr>
      <w:sz w:val="18"/>
      <w:lang w:val="en-US" w:eastAsia="en-US"/>
    </w:rPr>
  </w:style>
  <w:style w:type="paragraph" w:customStyle="1" w:styleId="Els-numlist">
    <w:name w:val="Els-numlist"/>
    <w:basedOn w:val="Els-body-text"/>
    <w:rsid w:val="008B0184"/>
    <w:pPr>
      <w:tabs>
        <w:tab w:val="left" w:pos="240"/>
        <w:tab w:val="num" w:pos="360"/>
      </w:tabs>
      <w:ind w:left="240" w:hanging="240"/>
      <w:jc w:val="left"/>
    </w:pPr>
  </w:style>
  <w:style w:type="paragraph" w:customStyle="1" w:styleId="Els-reference">
    <w:name w:val="Els-reference"/>
    <w:rsid w:val="008B0184"/>
    <w:pPr>
      <w:numPr>
        <w:numId w:val="15"/>
      </w:numPr>
      <w:ind w:left="482"/>
    </w:pPr>
    <w:rPr>
      <w:noProof/>
      <w:sz w:val="18"/>
      <w:lang w:eastAsia="en-US"/>
    </w:rPr>
  </w:style>
  <w:style w:type="paragraph" w:customStyle="1" w:styleId="Els-reference-head">
    <w:name w:val="Els-reference-head"/>
    <w:basedOn w:val="Els-body-text"/>
    <w:next w:val="Els-referenceno-number"/>
    <w:rsid w:val="008B0184"/>
    <w:pPr>
      <w:keepNext/>
      <w:spacing w:before="240" w:after="60"/>
    </w:pPr>
    <w:rPr>
      <w:b/>
      <w:sz w:val="22"/>
      <w:szCs w:val="22"/>
    </w:rPr>
  </w:style>
  <w:style w:type="paragraph" w:customStyle="1" w:styleId="Els-table-text">
    <w:name w:val="Els-table-text"/>
    <w:rsid w:val="008B0184"/>
    <w:pPr>
      <w:keepNext/>
      <w:spacing w:after="80" w:line="240" w:lineRule="exact"/>
    </w:pPr>
    <w:rPr>
      <w:sz w:val="18"/>
      <w:lang w:val="en-US" w:eastAsia="en-US"/>
    </w:rPr>
  </w:style>
  <w:style w:type="paragraph" w:customStyle="1" w:styleId="Els-Title">
    <w:name w:val="Els-Title"/>
    <w:next w:val="Els-Author"/>
    <w:rsid w:val="008B0184"/>
    <w:pPr>
      <w:suppressAutoHyphens/>
      <w:spacing w:before="240" w:after="120" w:line="360" w:lineRule="exact"/>
    </w:pPr>
    <w:rPr>
      <w:b/>
      <w:sz w:val="32"/>
      <w:lang w:val="en-US" w:eastAsia="en-US"/>
    </w:rPr>
  </w:style>
  <w:style w:type="character" w:styleId="a4">
    <w:name w:val="endnote reference"/>
    <w:basedOn w:val="a0"/>
    <w:semiHidden/>
    <w:rsid w:val="008B0184"/>
    <w:rPr>
      <w:vertAlign w:val="superscript"/>
    </w:rPr>
  </w:style>
  <w:style w:type="paragraph" w:styleId="a5">
    <w:name w:val="header"/>
    <w:rsid w:val="008B0184"/>
    <w:pPr>
      <w:tabs>
        <w:tab w:val="center" w:pos="3600"/>
        <w:tab w:val="right" w:pos="7200"/>
      </w:tabs>
      <w:spacing w:line="200" w:lineRule="atLeast"/>
    </w:pPr>
    <w:rPr>
      <w:noProof/>
      <w:lang w:eastAsia="en-US"/>
    </w:rPr>
  </w:style>
  <w:style w:type="paragraph" w:styleId="a6">
    <w:name w:val="footer"/>
    <w:basedOn w:val="a5"/>
    <w:link w:val="a7"/>
    <w:uiPriority w:val="99"/>
    <w:rsid w:val="008B0184"/>
  </w:style>
  <w:style w:type="character" w:styleId="a8">
    <w:name w:val="footnote reference"/>
    <w:semiHidden/>
    <w:rsid w:val="008B0184"/>
    <w:rPr>
      <w:vertAlign w:val="superscript"/>
    </w:rPr>
  </w:style>
  <w:style w:type="paragraph" w:styleId="a9">
    <w:name w:val="footnote text"/>
    <w:basedOn w:val="a"/>
    <w:semiHidden/>
    <w:rsid w:val="008B0184"/>
    <w:rPr>
      <w:rFonts w:ascii="Univers" w:hAnsi="Univers"/>
    </w:rPr>
  </w:style>
  <w:style w:type="character" w:styleId="aa">
    <w:name w:val="Hyperlink"/>
    <w:basedOn w:val="a0"/>
    <w:rsid w:val="008B0184"/>
    <w:rPr>
      <w:color w:val="0000FF"/>
      <w:u w:val="single"/>
    </w:rPr>
  </w:style>
  <w:style w:type="character" w:customStyle="1" w:styleId="MTEquationSection">
    <w:name w:val="MTEquationSection"/>
    <w:basedOn w:val="a0"/>
    <w:rsid w:val="008B0184"/>
    <w:rPr>
      <w:vanish/>
      <w:color w:val="FF0000"/>
    </w:rPr>
  </w:style>
  <w:style w:type="character" w:styleId="ab">
    <w:name w:val="page number"/>
    <w:basedOn w:val="a0"/>
    <w:rsid w:val="008B0184"/>
    <w:rPr>
      <w:sz w:val="20"/>
      <w:szCs w:val="20"/>
    </w:rPr>
  </w:style>
  <w:style w:type="paragraph" w:customStyle="1" w:styleId="Els-Chapterno">
    <w:name w:val="Els-Chapter no"/>
    <w:rsid w:val="008B0184"/>
    <w:pPr>
      <w:numPr>
        <w:numId w:val="17"/>
      </w:numPr>
      <w:spacing w:before="907" w:line="260" w:lineRule="exact"/>
    </w:pPr>
    <w:rPr>
      <w:sz w:val="24"/>
      <w:szCs w:val="24"/>
      <w:lang w:val="en-US" w:eastAsia="en-US"/>
    </w:rPr>
  </w:style>
  <w:style w:type="paragraph" w:customStyle="1" w:styleId="Els-referenceno-number">
    <w:name w:val="Els-reference no-number"/>
    <w:basedOn w:val="Els-reference"/>
    <w:rsid w:val="008B0184"/>
    <w:pPr>
      <w:numPr>
        <w:numId w:val="0"/>
      </w:numPr>
      <w:ind w:left="240" w:hanging="240"/>
    </w:pPr>
  </w:style>
  <w:style w:type="character" w:customStyle="1" w:styleId="Els-captionChar">
    <w:name w:val="Els-caption Char"/>
    <w:basedOn w:val="a0"/>
    <w:rsid w:val="008B0184"/>
    <w:rPr>
      <w:sz w:val="18"/>
      <w:lang w:val="en-US" w:eastAsia="en-US" w:bidi="ar-SA"/>
    </w:rPr>
  </w:style>
  <w:style w:type="character" w:styleId="ac">
    <w:name w:val="annotation reference"/>
    <w:basedOn w:val="a0"/>
    <w:semiHidden/>
    <w:rsid w:val="008B0184"/>
    <w:rPr>
      <w:sz w:val="16"/>
      <w:szCs w:val="16"/>
    </w:rPr>
  </w:style>
  <w:style w:type="paragraph" w:styleId="ad">
    <w:name w:val="annotation text"/>
    <w:basedOn w:val="a"/>
    <w:semiHidden/>
    <w:rsid w:val="008B0184"/>
  </w:style>
  <w:style w:type="paragraph" w:styleId="ae">
    <w:name w:val="annotation subject"/>
    <w:basedOn w:val="ad"/>
    <w:next w:val="ad"/>
    <w:semiHidden/>
    <w:rsid w:val="008B0184"/>
    <w:rPr>
      <w:b/>
      <w:bCs/>
    </w:rPr>
  </w:style>
  <w:style w:type="paragraph" w:styleId="af">
    <w:name w:val="Balloon Text"/>
    <w:basedOn w:val="a"/>
    <w:semiHidden/>
    <w:rsid w:val="008B0184"/>
    <w:rPr>
      <w:rFonts w:ascii="Tahoma" w:hAnsi="Tahoma" w:cs="Tahoma"/>
      <w:sz w:val="16"/>
      <w:szCs w:val="16"/>
    </w:rPr>
  </w:style>
  <w:style w:type="paragraph" w:customStyle="1" w:styleId="Els-Abstract">
    <w:name w:val="Els-Abstract"/>
    <w:basedOn w:val="Els-1storder-head"/>
    <w:next w:val="Els-body-text"/>
    <w:autoRedefine/>
    <w:rsid w:val="008B0184"/>
    <w:pPr>
      <w:numPr>
        <w:ilvl w:val="0"/>
        <w:numId w:val="0"/>
      </w:numPr>
    </w:pPr>
  </w:style>
  <w:style w:type="character" w:customStyle="1" w:styleId="underline1">
    <w:name w:val="underline1"/>
    <w:basedOn w:val="a0"/>
    <w:rsid w:val="00F06842"/>
    <w:rPr>
      <w:u w:val="single"/>
    </w:rPr>
  </w:style>
  <w:style w:type="paragraph" w:customStyle="1" w:styleId="ElsevierBodyTextCentredNospace">
    <w:name w:val="Elsevier Body Text Centred No space"/>
    <w:basedOn w:val="a"/>
    <w:qFormat/>
    <w:rsid w:val="00F06842"/>
    <w:pPr>
      <w:jc w:val="center"/>
    </w:pPr>
    <w:rPr>
      <w:bCs/>
      <w:iCs/>
      <w:color w:val="000000" w:themeColor="text1"/>
      <w:sz w:val="22"/>
      <w:szCs w:val="24"/>
      <w:lang w:val="en-US"/>
    </w:rPr>
  </w:style>
  <w:style w:type="character" w:customStyle="1" w:styleId="a7">
    <w:name w:val="页脚 字符"/>
    <w:basedOn w:val="a0"/>
    <w:link w:val="a6"/>
    <w:uiPriority w:val="99"/>
    <w:rsid w:val="009E704D"/>
    <w:rPr>
      <w:noProof/>
      <w:lang w:eastAsia="en-US"/>
    </w:rPr>
  </w:style>
  <w:style w:type="paragraph" w:styleId="af0">
    <w:name w:val="List Paragraph"/>
    <w:basedOn w:val="a"/>
    <w:uiPriority w:val="34"/>
    <w:qFormat/>
    <w:rsid w:val="009E704D"/>
    <w:pPr>
      <w:widowControl w:val="0"/>
      <w:ind w:firstLineChars="200" w:firstLine="420"/>
      <w:jc w:val="both"/>
    </w:pPr>
    <w:rPr>
      <w:rFonts w:asciiTheme="minorHAnsi" w:hAnsiTheme="minorHAnsi" w:cstheme="minorBidi"/>
      <w:kern w:val="2"/>
      <w:sz w:val="21"/>
      <w:szCs w:val="22"/>
      <w:lang w:val="en-US" w:eastAsia="zh-CN"/>
    </w:rPr>
  </w:style>
  <w:style w:type="table" w:styleId="af1">
    <w:name w:val="Table Grid"/>
    <w:basedOn w:val="a1"/>
    <w:uiPriority w:val="59"/>
    <w:rsid w:val="002822BF"/>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a"/>
    <w:link w:val="EndNoteBibliographyTitle0"/>
    <w:rsid w:val="008165A7"/>
    <w:pPr>
      <w:jc w:val="center"/>
    </w:pPr>
    <w:rPr>
      <w:noProof/>
      <w:sz w:val="18"/>
      <w:lang w:val="en-US"/>
    </w:rPr>
  </w:style>
  <w:style w:type="character" w:customStyle="1" w:styleId="EndNoteBibliographyTitle0">
    <w:name w:val="EndNote Bibliography Title 字符"/>
    <w:basedOn w:val="a0"/>
    <w:link w:val="EndNoteBibliographyTitle"/>
    <w:rsid w:val="008165A7"/>
    <w:rPr>
      <w:noProof/>
      <w:sz w:val="18"/>
      <w:lang w:val="en-US" w:eastAsia="en-US"/>
    </w:rPr>
  </w:style>
  <w:style w:type="paragraph" w:customStyle="1" w:styleId="EndNoteBibliography">
    <w:name w:val="EndNote Bibliography"/>
    <w:basedOn w:val="a"/>
    <w:link w:val="EndNoteBibliography0"/>
    <w:rsid w:val="008165A7"/>
    <w:rPr>
      <w:noProof/>
      <w:sz w:val="18"/>
      <w:lang w:val="en-US"/>
    </w:rPr>
  </w:style>
  <w:style w:type="character" w:customStyle="1" w:styleId="EndNoteBibliography0">
    <w:name w:val="EndNote Bibliography 字符"/>
    <w:basedOn w:val="a0"/>
    <w:link w:val="EndNoteBibliography"/>
    <w:rsid w:val="008165A7"/>
    <w:rPr>
      <w:noProof/>
      <w:sz w:val="18"/>
      <w:lang w:val="en-US" w:eastAsia="en-US"/>
    </w:rPr>
  </w:style>
  <w:style w:type="paragraph" w:styleId="af2">
    <w:name w:val="Revision"/>
    <w:hidden/>
    <w:uiPriority w:val="99"/>
    <w:semiHidden/>
    <w:rsid w:val="00F776E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0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nakisk\KOSTAS-10%20July%202017\books\book%20proposals\Computer%20Aided%20Chemical%20Engineering\Instructions\Chap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3E2F4-26EE-44BD-8E75-3C13B71AC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Chapter.dotx</Template>
  <TotalTime>272</TotalTime>
  <Pages>6</Pages>
  <Words>2553</Words>
  <Characters>14557</Characters>
  <Application>Microsoft Office Word</Application>
  <DocSecurity>0</DocSecurity>
  <Lines>121</Lines>
  <Paragraphs>34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Chapter</vt:lpstr>
      <vt:lpstr>Chapter</vt:lpstr>
    </vt:vector>
  </TitlesOfParts>
  <Company>Elsevier Science</Company>
  <LinksUpToDate>false</LinksUpToDate>
  <CharactersWithSpaces>17076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dc:title>
  <dc:creator>Kostas</dc:creator>
  <cp:lastModifiedBy>Qilei Liu</cp:lastModifiedBy>
  <cp:revision>202</cp:revision>
  <cp:lastPrinted>2004-12-17T09:20:00Z</cp:lastPrinted>
  <dcterms:created xsi:type="dcterms:W3CDTF">2023-12-09T06:52:00Z</dcterms:created>
  <dcterms:modified xsi:type="dcterms:W3CDTF">2023-12-12T02:25:00Z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2023-10-02T08:38:43Z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d1e5754d-f2d2-4025-b8e5-4cd2943f5f30</vt:lpwstr>
  </property>
  <property fmtid="{D5CDD505-2E9C-101B-9397-08002B2CF9AE}" pid="8" name="MSIP_Label_549ac42a-3eb4-4074-b885-aea26bd6241e_ContentBits">
    <vt:lpwstr>0</vt:lpwstr>
  </property>
  <property fmtid="{D5CDD505-2E9C-101B-9397-08002B2CF9AE}" pid="9" name="GrammarlyDocumentId">
    <vt:lpwstr>1dbdf9704ae63b23c772d0a2d4dc5007e513b2143281315c46e9c661110ba89d</vt:lpwstr>
  </property>
</Properties>
</file>