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AB2CA" w14:textId="66AC9D17" w:rsidR="00314241" w:rsidRPr="00B542CD" w:rsidRDefault="00314241" w:rsidP="00A45784">
      <w:pPr>
        <w:pStyle w:val="Els-Title"/>
        <w:spacing w:before="120" w:line="340" w:lineRule="exact"/>
        <w:jc w:val="both"/>
        <w:rPr>
          <w:color w:val="000000" w:themeColor="text1"/>
          <w:sz w:val="28"/>
          <w:szCs w:val="28"/>
        </w:rPr>
      </w:pPr>
      <w:r w:rsidRPr="00220191">
        <w:rPr>
          <w:color w:val="000000" w:themeColor="text1"/>
          <w:sz w:val="28"/>
          <w:szCs w:val="28"/>
        </w:rPr>
        <w:t xml:space="preserve">Design and </w:t>
      </w:r>
      <w:r w:rsidR="00D00901" w:rsidRPr="00B542CD">
        <w:rPr>
          <w:color w:val="000000" w:themeColor="text1"/>
          <w:sz w:val="28"/>
          <w:szCs w:val="28"/>
        </w:rPr>
        <w:t>P</w:t>
      </w:r>
      <w:r w:rsidRPr="00B542CD">
        <w:rPr>
          <w:color w:val="000000" w:themeColor="text1"/>
          <w:sz w:val="28"/>
          <w:szCs w:val="28"/>
        </w:rPr>
        <w:t xml:space="preserve">lanning </w:t>
      </w:r>
      <w:r w:rsidR="005F1D88" w:rsidRPr="00B542CD">
        <w:rPr>
          <w:color w:val="000000" w:themeColor="text1"/>
          <w:sz w:val="28"/>
          <w:szCs w:val="28"/>
        </w:rPr>
        <w:t xml:space="preserve">of </w:t>
      </w:r>
      <w:r w:rsidR="00D00901" w:rsidRPr="00B542CD">
        <w:rPr>
          <w:color w:val="000000" w:themeColor="text1"/>
          <w:sz w:val="28"/>
          <w:szCs w:val="28"/>
        </w:rPr>
        <w:t>S</w:t>
      </w:r>
      <w:r w:rsidRPr="00B542CD">
        <w:rPr>
          <w:color w:val="000000" w:themeColor="text1"/>
          <w:sz w:val="28"/>
          <w:szCs w:val="28"/>
        </w:rPr>
        <w:t xml:space="preserve">ocially </w:t>
      </w:r>
      <w:r w:rsidR="00D00901" w:rsidRPr="00B542CD">
        <w:rPr>
          <w:color w:val="000000" w:themeColor="text1"/>
          <w:sz w:val="28"/>
          <w:szCs w:val="28"/>
        </w:rPr>
        <w:t>R</w:t>
      </w:r>
      <w:r w:rsidRPr="00B542CD">
        <w:rPr>
          <w:color w:val="000000" w:themeColor="text1"/>
          <w:sz w:val="28"/>
          <w:szCs w:val="28"/>
        </w:rPr>
        <w:t xml:space="preserve">esponsible </w:t>
      </w:r>
      <w:r w:rsidR="00D00901" w:rsidRPr="00B542CD">
        <w:rPr>
          <w:color w:val="000000" w:themeColor="text1"/>
          <w:sz w:val="28"/>
          <w:szCs w:val="28"/>
        </w:rPr>
        <w:t>P</w:t>
      </w:r>
      <w:r w:rsidRPr="00B542CD">
        <w:rPr>
          <w:color w:val="000000" w:themeColor="text1"/>
          <w:sz w:val="28"/>
          <w:szCs w:val="28"/>
        </w:rPr>
        <w:t xml:space="preserve">harmaceutical </w:t>
      </w:r>
      <w:r w:rsidR="00D00901" w:rsidRPr="00B542CD">
        <w:rPr>
          <w:color w:val="000000" w:themeColor="text1"/>
          <w:sz w:val="28"/>
          <w:szCs w:val="28"/>
        </w:rPr>
        <w:t>S</w:t>
      </w:r>
      <w:r w:rsidRPr="00B542CD">
        <w:rPr>
          <w:color w:val="000000" w:themeColor="text1"/>
          <w:sz w:val="28"/>
          <w:szCs w:val="28"/>
        </w:rPr>
        <w:t xml:space="preserve">upply </w:t>
      </w:r>
      <w:r w:rsidR="00D00901" w:rsidRPr="00B542CD">
        <w:rPr>
          <w:color w:val="000000" w:themeColor="text1"/>
          <w:sz w:val="28"/>
          <w:szCs w:val="28"/>
        </w:rPr>
        <w:t>C</w:t>
      </w:r>
      <w:r w:rsidRPr="00B542CD">
        <w:rPr>
          <w:color w:val="000000" w:themeColor="text1"/>
          <w:sz w:val="28"/>
          <w:szCs w:val="28"/>
        </w:rPr>
        <w:t xml:space="preserve">hains </w:t>
      </w:r>
      <w:r w:rsidR="004D48CA" w:rsidRPr="00B542CD">
        <w:rPr>
          <w:color w:val="000000" w:themeColor="text1"/>
          <w:sz w:val="28"/>
          <w:szCs w:val="28"/>
        </w:rPr>
        <w:t>C</w:t>
      </w:r>
      <w:r w:rsidRPr="00B542CD">
        <w:rPr>
          <w:color w:val="000000" w:themeColor="text1"/>
          <w:sz w:val="28"/>
          <w:szCs w:val="28"/>
        </w:rPr>
        <w:t xml:space="preserve">onsidering </w:t>
      </w:r>
      <w:r w:rsidR="00D00901" w:rsidRPr="00B542CD">
        <w:rPr>
          <w:color w:val="000000" w:themeColor="text1"/>
          <w:sz w:val="28"/>
          <w:szCs w:val="28"/>
        </w:rPr>
        <w:t>P</w:t>
      </w:r>
      <w:r w:rsidRPr="00B542CD">
        <w:rPr>
          <w:color w:val="000000" w:themeColor="text1"/>
          <w:sz w:val="28"/>
          <w:szCs w:val="28"/>
        </w:rPr>
        <w:t xml:space="preserve">rocurement </w:t>
      </w:r>
      <w:r w:rsidR="00D00901" w:rsidRPr="00B542CD">
        <w:rPr>
          <w:color w:val="000000" w:themeColor="text1"/>
          <w:sz w:val="28"/>
          <w:szCs w:val="28"/>
        </w:rPr>
        <w:t>S</w:t>
      </w:r>
      <w:r w:rsidRPr="00B542CD">
        <w:rPr>
          <w:color w:val="000000" w:themeColor="text1"/>
          <w:sz w:val="28"/>
          <w:szCs w:val="28"/>
        </w:rPr>
        <w:t>trategies</w:t>
      </w:r>
    </w:p>
    <w:p w14:paraId="6389E0E6" w14:textId="34F99480" w:rsidR="00314241" w:rsidRPr="00B542CD" w:rsidRDefault="00314241" w:rsidP="009E3032">
      <w:pPr>
        <w:keepNext/>
        <w:suppressAutoHyphens/>
        <w:spacing w:after="60"/>
        <w:rPr>
          <w:noProof/>
          <w:sz w:val="22"/>
          <w:lang w:val="pt-PT"/>
        </w:rPr>
      </w:pPr>
      <w:r w:rsidRPr="00B542CD">
        <w:rPr>
          <w:noProof/>
          <w:sz w:val="22"/>
          <w:lang w:val="pt-PT"/>
        </w:rPr>
        <w:t>Inês Duarte</w:t>
      </w:r>
      <w:bookmarkStart w:id="0" w:name="_Hlk118235990"/>
      <w:r w:rsidRPr="00B542CD">
        <w:rPr>
          <w:noProof/>
          <w:sz w:val="22"/>
          <w:vertAlign w:val="superscript"/>
          <w:lang w:val="pt-PT"/>
        </w:rPr>
        <w:t>a</w:t>
      </w:r>
      <w:bookmarkEnd w:id="0"/>
      <w:r w:rsidRPr="00B542CD">
        <w:rPr>
          <w:noProof/>
          <w:sz w:val="22"/>
          <w:vertAlign w:val="superscript"/>
          <w:lang w:val="pt-PT"/>
        </w:rPr>
        <w:t>*</w:t>
      </w:r>
      <w:r w:rsidR="00D00901" w:rsidRPr="00B542CD">
        <w:rPr>
          <w:noProof/>
          <w:sz w:val="22"/>
          <w:lang w:val="pt-PT"/>
        </w:rPr>
        <w:t xml:space="preserve">, </w:t>
      </w:r>
      <w:r w:rsidRPr="00B542CD">
        <w:rPr>
          <w:noProof/>
          <w:sz w:val="22"/>
          <w:lang w:val="pt-PT"/>
        </w:rPr>
        <w:t>Bruna Mota</w:t>
      </w:r>
      <w:r w:rsidRPr="00B542CD">
        <w:rPr>
          <w:noProof/>
          <w:sz w:val="22"/>
          <w:vertAlign w:val="superscript"/>
          <w:lang w:val="pt-PT"/>
        </w:rPr>
        <w:t>a</w:t>
      </w:r>
      <w:r w:rsidR="00D00901" w:rsidRPr="00B542CD">
        <w:rPr>
          <w:noProof/>
          <w:sz w:val="22"/>
          <w:lang w:val="pt-PT"/>
        </w:rPr>
        <w:t>,</w:t>
      </w:r>
      <w:r w:rsidRPr="00B542CD">
        <w:rPr>
          <w:noProof/>
          <w:sz w:val="22"/>
          <w:lang w:val="pt-PT"/>
        </w:rPr>
        <w:t xml:space="preserve"> Tânia Pinto-Varela</w:t>
      </w:r>
      <w:r w:rsidRPr="00B542CD">
        <w:rPr>
          <w:noProof/>
          <w:sz w:val="22"/>
          <w:vertAlign w:val="superscript"/>
          <w:lang w:val="pt-PT"/>
        </w:rPr>
        <w:t>a</w:t>
      </w:r>
      <w:r w:rsidR="00D00901" w:rsidRPr="00B542CD">
        <w:rPr>
          <w:noProof/>
          <w:sz w:val="22"/>
          <w:lang w:val="pt-PT"/>
        </w:rPr>
        <w:t>,</w:t>
      </w:r>
      <w:r w:rsidRPr="00B542CD">
        <w:rPr>
          <w:noProof/>
          <w:sz w:val="22"/>
          <w:lang w:val="pt-PT"/>
        </w:rPr>
        <w:t xml:space="preserve"> Ana Amaro</w:t>
      </w:r>
      <w:r w:rsidRPr="00B542CD">
        <w:rPr>
          <w:noProof/>
          <w:sz w:val="22"/>
          <w:vertAlign w:val="superscript"/>
          <w:lang w:val="pt-PT"/>
        </w:rPr>
        <w:t>b</w:t>
      </w:r>
      <w:r w:rsidR="00D00901" w:rsidRPr="00B542CD">
        <w:rPr>
          <w:noProof/>
          <w:sz w:val="22"/>
          <w:lang w:val="pt-PT"/>
        </w:rPr>
        <w:t>,</w:t>
      </w:r>
      <w:r w:rsidRPr="00B542CD">
        <w:rPr>
          <w:noProof/>
          <w:sz w:val="22"/>
          <w:lang w:val="pt-PT"/>
        </w:rPr>
        <w:t xml:space="preserve"> Ana Paula Barbosa-Povoa</w:t>
      </w:r>
      <w:r w:rsidRPr="00B542CD">
        <w:rPr>
          <w:noProof/>
          <w:sz w:val="22"/>
          <w:vertAlign w:val="superscript"/>
          <w:lang w:val="pt-PT"/>
        </w:rPr>
        <w:t>a</w:t>
      </w:r>
      <w:r w:rsidRPr="00B542CD">
        <w:rPr>
          <w:noProof/>
          <w:sz w:val="22"/>
          <w:lang w:val="pt-PT"/>
        </w:rPr>
        <w:t xml:space="preserve"> </w:t>
      </w:r>
    </w:p>
    <w:p w14:paraId="3B85B883" w14:textId="77777777" w:rsidR="00314241" w:rsidRPr="00B542CD" w:rsidRDefault="00314241" w:rsidP="00B330BF">
      <w:pPr>
        <w:suppressAutoHyphens/>
        <w:rPr>
          <w:i/>
          <w:noProof/>
        </w:rPr>
      </w:pPr>
      <w:r w:rsidRPr="00B542CD">
        <w:rPr>
          <w:i/>
          <w:noProof/>
          <w:vertAlign w:val="superscript"/>
        </w:rPr>
        <w:t>a</w:t>
      </w:r>
      <w:r w:rsidRPr="00B542CD">
        <w:rPr>
          <w:i/>
          <w:noProof/>
        </w:rPr>
        <w:t xml:space="preserve"> Centre for Management Studies of IST (CEG-IST), University of Lisbon. </w:t>
      </w:r>
    </w:p>
    <w:p w14:paraId="14045515" w14:textId="77777777" w:rsidR="00314241" w:rsidRPr="00B542CD" w:rsidRDefault="00314241" w:rsidP="00B330BF">
      <w:pPr>
        <w:suppressAutoHyphens/>
        <w:rPr>
          <w:i/>
          <w:noProof/>
          <w:lang w:val="pt-PT"/>
        </w:rPr>
      </w:pPr>
      <w:r w:rsidRPr="00B542CD">
        <w:rPr>
          <w:i/>
          <w:noProof/>
          <w:lang w:val="pt-PT"/>
        </w:rPr>
        <w:t xml:space="preserve">Av Rovisco Pais, 1, 1049-001 Lisbon, Portugal </w:t>
      </w:r>
    </w:p>
    <w:p w14:paraId="0540B1CB" w14:textId="77777777" w:rsidR="00314241" w:rsidRPr="00B542CD" w:rsidRDefault="00314241" w:rsidP="00B330BF">
      <w:pPr>
        <w:keepNext/>
        <w:suppressAutoHyphens/>
        <w:rPr>
          <w:bCs/>
          <w:i/>
          <w:szCs w:val="18"/>
          <w:lang w:val="pt-PT"/>
        </w:rPr>
      </w:pPr>
      <w:r w:rsidRPr="00B542CD">
        <w:rPr>
          <w:bCs/>
          <w:i/>
          <w:szCs w:val="18"/>
          <w:vertAlign w:val="superscript"/>
          <w:lang w:val="pt-PT"/>
        </w:rPr>
        <w:t xml:space="preserve">b </w:t>
      </w:r>
      <w:r w:rsidRPr="00B542CD">
        <w:rPr>
          <w:bCs/>
          <w:i/>
          <w:szCs w:val="18"/>
          <w:lang w:val="pt-PT"/>
        </w:rPr>
        <w:t>Coimbra Business School-ISCAC/ IPC, Quinta Agrícola, 3045-601 Coimbra, Portugal</w:t>
      </w:r>
    </w:p>
    <w:p w14:paraId="1DF15DD7" w14:textId="77777777" w:rsidR="00314241" w:rsidRPr="00B542CD" w:rsidRDefault="00314241" w:rsidP="00B330BF">
      <w:pPr>
        <w:suppressAutoHyphens/>
        <w:rPr>
          <w:bCs/>
          <w:i/>
          <w:noProof/>
          <w:lang w:val="pt-PT"/>
        </w:rPr>
      </w:pPr>
      <w:r w:rsidRPr="00B542CD">
        <w:rPr>
          <w:bCs/>
          <w:i/>
          <w:noProof/>
          <w:lang w:val="pt-PT"/>
        </w:rPr>
        <w:t>ines.r.duarte@tecnico.ulisboa.pt</w:t>
      </w:r>
    </w:p>
    <w:p w14:paraId="4FA9B135" w14:textId="77777777" w:rsidR="00314241" w:rsidRPr="00B542CD" w:rsidRDefault="00314241" w:rsidP="00220191">
      <w:pPr>
        <w:pStyle w:val="Els-Abstract"/>
      </w:pPr>
      <w:r w:rsidRPr="00B542CD">
        <w:t>Abstract</w:t>
      </w:r>
    </w:p>
    <w:p w14:paraId="3C002F9F" w14:textId="069129AC" w:rsidR="00314241" w:rsidRPr="00B542CD" w:rsidRDefault="00314241" w:rsidP="008D2649">
      <w:pPr>
        <w:pStyle w:val="Els-body-text"/>
        <w:spacing w:after="120"/>
        <w:rPr>
          <w:lang w:val="en-GB"/>
        </w:rPr>
      </w:pPr>
      <w:r w:rsidRPr="00B542CD">
        <w:rPr>
          <w:lang w:val="en-GB"/>
        </w:rPr>
        <w:t>Pharmaceutical supply chains operate in a complex global environment, facing challenges such as medicine shortages caused by raw material scarcity and demand fluctuations. In this context, the awareness of creating sustainable supply chains is high, and ensuring both economic viability and social responsibility is essential. This work proposes a decision-support tool based on a multi-objective mixed</w:t>
      </w:r>
      <w:r w:rsidR="0069268F" w:rsidRPr="00B542CD">
        <w:rPr>
          <w:lang w:val="en-GB"/>
        </w:rPr>
        <w:t>-</w:t>
      </w:r>
      <w:r w:rsidRPr="00B542CD">
        <w:rPr>
          <w:lang w:val="en-GB"/>
        </w:rPr>
        <w:t>integer linear programming model for the design and planning of pharmaceutical supply chains. The proposed tool leverages the Kraljic matrix to categorize raw materials based on their supply risk and profit impact, enabling the identification of efficient procurement strategies.</w:t>
      </w:r>
      <w:r w:rsidR="00CE7421" w:rsidRPr="00B542CD">
        <w:rPr>
          <w:lang w:val="en-GB"/>
        </w:rPr>
        <w:t xml:space="preserve"> </w:t>
      </w:r>
      <w:r w:rsidRPr="00B542CD">
        <w:rPr>
          <w:lang w:val="en-GB"/>
        </w:rPr>
        <w:t xml:space="preserve">The optimization model aids in making strategic and tactical decisions while fulfilling economic and social objectives. The economic objective </w:t>
      </w:r>
      <w:r w:rsidR="00FE5DD9" w:rsidRPr="00B542CD">
        <w:rPr>
          <w:lang w:val="en-GB"/>
        </w:rPr>
        <w:t xml:space="preserve">intends </w:t>
      </w:r>
      <w:r w:rsidRPr="00B542CD">
        <w:rPr>
          <w:lang w:val="en-GB"/>
        </w:rPr>
        <w:t xml:space="preserve">to maximize the Net Present Value. The social dimension is explored through two different approaches: a) an objective function that prioritizes the location of entities in areas with higher incidence of diseases and b) the concern of affordability of different markets exploring the concept of demand-to-price elasticity. The model is applied to a case-study where </w:t>
      </w:r>
      <w:r w:rsidR="00411717" w:rsidRPr="00B542CD">
        <w:rPr>
          <w:lang w:val="en-GB"/>
        </w:rPr>
        <w:t xml:space="preserve">several </w:t>
      </w:r>
      <w:r w:rsidRPr="00B542CD">
        <w:rPr>
          <w:lang w:val="en-GB"/>
        </w:rPr>
        <w:t>scenarios are analysed showing how strategic and tactical decisions are impacted by variations on both supply and demand sides, and how it impacts the performance of sustainability indicators. Moreover, it provides insights into creating socially responsible pharmaceutical supply chains and strategies to reduce vulnerabilities in raw materials sourcing.</w:t>
      </w:r>
    </w:p>
    <w:p w14:paraId="6E2FB9C8" w14:textId="77777777" w:rsidR="00314241" w:rsidRPr="00B542CD" w:rsidRDefault="00314241" w:rsidP="008D2649">
      <w:pPr>
        <w:pStyle w:val="Els-body-text"/>
        <w:spacing w:after="120"/>
        <w:rPr>
          <w:lang w:val="en-GB"/>
        </w:rPr>
      </w:pPr>
      <w:r w:rsidRPr="00B542CD">
        <w:rPr>
          <w:b/>
          <w:bCs/>
          <w:lang w:val="en-GB"/>
        </w:rPr>
        <w:t>Keywords</w:t>
      </w:r>
      <w:r w:rsidRPr="00B542CD">
        <w:rPr>
          <w:lang w:val="en-GB"/>
        </w:rPr>
        <w:t>: Pharmaceutical Supply Chains; Sustainability; Procurement strategies; Accessibility; Optimization.</w:t>
      </w:r>
    </w:p>
    <w:p w14:paraId="37F71163" w14:textId="77777777" w:rsidR="00314241" w:rsidRPr="00B542CD" w:rsidRDefault="00314241" w:rsidP="008D2649">
      <w:pPr>
        <w:pStyle w:val="Els-1storder-head"/>
      </w:pPr>
      <w:r w:rsidRPr="00B542CD">
        <w:t>Introduction</w:t>
      </w:r>
    </w:p>
    <w:p w14:paraId="1C62D3D1" w14:textId="66E5FD15" w:rsidR="00314241" w:rsidRPr="00B542CD" w:rsidRDefault="00314241" w:rsidP="00A37485">
      <w:pPr>
        <w:jc w:val="both"/>
        <w:rPr>
          <w:lang w:val="en-US"/>
        </w:rPr>
      </w:pPr>
      <w:r w:rsidRPr="00B542CD">
        <w:t xml:space="preserve">In the face of </w:t>
      </w:r>
      <w:r w:rsidR="00411717" w:rsidRPr="00B542CD">
        <w:t xml:space="preserve">several </w:t>
      </w:r>
      <w:r w:rsidRPr="00B542CD">
        <w:t>challenges within globally dispersed</w:t>
      </w:r>
      <w:r w:rsidR="00D403E9" w:rsidRPr="00B542CD">
        <w:t xml:space="preserve"> supply chain</w:t>
      </w:r>
      <w:r w:rsidRPr="00B542CD">
        <w:t xml:space="preserve"> entities that demand close integration in an uncertain environment, supply chains face an increasing awareness on establishing sustainable practices </w:t>
      </w:r>
      <w:sdt>
        <w:sdtPr>
          <w:rPr>
            <w:color w:val="000000"/>
          </w:rPr>
          <w:tag w:val="MENDELEY_CITATION_v3_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"/>
          <w:id w:val="1444815781"/>
          <w:placeholder>
            <w:docPart w:val="899C57D774574D62929534285EB2E389"/>
          </w:placeholder>
        </w:sdtPr>
        <w:sdtEndPr/>
        <w:sdtContent>
          <w:r w:rsidR="00143F87" w:rsidRPr="00B542CD">
            <w:rPr>
              <w:color w:val="000000"/>
              <w14:textFill>
                <w14:solidFill>
                  <w14:srgbClr w14:val="000000">
                    <w14:lumMod w14:val="75000"/>
                  </w14:srgbClr>
                </w14:solidFill>
              </w14:textFill>
            </w:rPr>
            <w:t>(Barbosa-Póvoa et al., 2018)</w:t>
          </w:r>
        </w:sdtContent>
      </w:sdt>
      <w:r w:rsidRPr="00B542CD">
        <w:rPr>
          <w:color w:val="365F91" w:themeColor="accent1" w:themeShade="BF"/>
        </w:rPr>
        <w:t xml:space="preserve">. </w:t>
      </w:r>
      <w:r w:rsidRPr="00B542CD">
        <w:t xml:space="preserve">Pharmaceutical supply chains are no exception, and they are crucial to support </w:t>
      </w:r>
      <w:r w:rsidR="00FE5DD9" w:rsidRPr="00B542CD">
        <w:t xml:space="preserve">the </w:t>
      </w:r>
      <w:r w:rsidRPr="00B542CD">
        <w:t xml:space="preserve">health and quality of life of populations. However, medicines shortages caused by raw material scarcity, quality issues, and demand fluctuations </w:t>
      </w:r>
      <w:r w:rsidR="00FE5DD9" w:rsidRPr="00B542CD">
        <w:t>persist</w:t>
      </w:r>
      <w:r w:rsidRPr="00B542CD">
        <w:t xml:space="preserve">, leading to </w:t>
      </w:r>
      <w:r w:rsidR="00FE5DD9" w:rsidRPr="00B542CD">
        <w:t xml:space="preserve">unequal </w:t>
      </w:r>
      <w:r w:rsidRPr="00B542CD">
        <w:t xml:space="preserve">access to these products </w:t>
      </w:r>
      <w:sdt>
        <w:sdtPr>
          <w:rPr>
            <w:color w:val="000000"/>
          </w:rPr>
          <w:tag w:val="MENDELEY_CITATION_v3_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"/>
          <w:id w:val="-2102788979"/>
          <w:placeholder>
            <w:docPart w:val="DefaultPlaceholder_-1854013440"/>
          </w:placeholder>
        </w:sdtPr>
        <w:sdtEndPr/>
        <w:sdtContent>
          <w:r w:rsidR="00143F87" w:rsidRPr="00B542CD">
            <w:rPr>
              <w:color w:val="000000"/>
            </w:rPr>
            <w:t>(FDA, 2019)</w:t>
          </w:r>
        </w:sdtContent>
      </w:sdt>
      <w:r w:rsidR="002A0C96" w:rsidRPr="00B542CD">
        <w:t xml:space="preserve">. </w:t>
      </w:r>
      <w:r w:rsidRPr="00B542CD">
        <w:t>Hence, promoting global access to medicines is crucial</w:t>
      </w:r>
      <w:r w:rsidR="005472C7" w:rsidRPr="00B542CD">
        <w:t>,</w:t>
      </w:r>
      <w:r w:rsidRPr="00B542CD">
        <w:t xml:space="preserve"> making it imperative to integrate social concerns in the management of pharmaceutical supply chain objectives </w:t>
      </w:r>
      <w:sdt>
        <w:sdtPr>
          <w:rPr>
            <w:color w:val="000000"/>
          </w:rPr>
          <w:tag w:val="MENDELEY_CITATION_v3_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"/>
          <w:id w:val="1298569315"/>
          <w:placeholder>
            <w:docPart w:val="9A0B8827F44B404BA7B5BE7AA6164592"/>
          </w:placeholder>
        </w:sdtPr>
        <w:sdtEndPr/>
        <w:sdtContent>
          <w:r w:rsidR="00143F87" w:rsidRPr="00B542CD">
            <w:rPr>
              <w:color w:val="000000"/>
            </w:rPr>
            <w:t>(Milanesi et al., 2020)</w:t>
          </w:r>
        </w:sdtContent>
      </w:sdt>
      <w:r w:rsidRPr="00B542CD">
        <w:t xml:space="preserve">. Moreover, suppliers’ failures and insufficient raw material availability represent significant risks </w:t>
      </w:r>
      <w:r w:rsidRPr="00B542CD">
        <w:rPr>
          <w:lang w:val="en-US"/>
        </w:rPr>
        <w:t xml:space="preserve">that can have far-reaching implications as </w:t>
      </w:r>
      <w:r w:rsidR="00FE5DD9" w:rsidRPr="00B542CD">
        <w:rPr>
          <w:lang w:val="en-US"/>
        </w:rPr>
        <w:t xml:space="preserve">they </w:t>
      </w:r>
      <w:r w:rsidRPr="00B542CD">
        <w:rPr>
          <w:lang w:val="en-US"/>
        </w:rPr>
        <w:t>mark the initial phase of a supply chain</w:t>
      </w:r>
      <w:r w:rsidR="009F1D9F" w:rsidRPr="00B542CD">
        <w:rPr>
          <w:lang w:val="en-US"/>
        </w:rPr>
        <w:t>,</w:t>
      </w:r>
      <w:r w:rsidRPr="00B542CD">
        <w:rPr>
          <w:lang w:val="en-US"/>
        </w:rPr>
        <w:t xml:space="preserve"> </w:t>
      </w:r>
      <w:r w:rsidR="00184359" w:rsidRPr="00B542CD">
        <w:rPr>
          <w:lang w:val="en-US"/>
        </w:rPr>
        <w:t>and effects</w:t>
      </w:r>
      <w:r w:rsidRPr="00B542CD">
        <w:rPr>
          <w:lang w:val="en-US"/>
        </w:rPr>
        <w:t xml:space="preserve"> can ripple </w:t>
      </w:r>
      <w:r w:rsidRPr="00B542CD">
        <w:rPr>
          <w:lang w:val="en-US"/>
        </w:rPr>
        <w:lastRenderedPageBreak/>
        <w:t xml:space="preserve">through the entire supply chain </w:t>
      </w:r>
      <w:sdt>
        <w:sdtPr>
          <w:rPr>
            <w:rFonts w:eastAsia="Calibri"/>
            <w:color w:val="000000"/>
            <w:kern w:val="2"/>
            <w:lang w:val="en-US"/>
            <w14:ligatures w14:val="standardContextual"/>
          </w:rPr>
          <w:tag w:val="MENDELEY_CITATION_v3_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"/>
          <w:id w:val="194130340"/>
          <w:placeholder>
            <w:docPart w:val="6B6A0B1AE8BE425890F8FC4B3740649A"/>
          </w:placeholder>
        </w:sdtPr>
        <w:sdtEndPr/>
        <w:sdtContent>
          <w:r w:rsidR="00143F87" w:rsidRPr="00B542CD">
            <w:rPr>
              <w:rFonts w:eastAsia="Calibri"/>
              <w:color w:val="000000"/>
              <w:kern w:val="2"/>
              <w:lang w:val="en-US"/>
              <w14:ligatures w14:val="standardContextual"/>
            </w:rPr>
            <w:t>(</w:t>
          </w:r>
          <w:proofErr w:type="spellStart"/>
          <w:r w:rsidR="00143F87" w:rsidRPr="00B542CD">
            <w:rPr>
              <w:rFonts w:eastAsia="Calibri"/>
              <w:color w:val="000000"/>
              <w:kern w:val="2"/>
              <w:lang w:val="en-US"/>
              <w14:ligatures w14:val="standardContextual"/>
            </w:rPr>
            <w:t>Jaberidoost</w:t>
          </w:r>
          <w:proofErr w:type="spellEnd"/>
          <w:r w:rsidR="00143F87" w:rsidRPr="00B542CD">
            <w:rPr>
              <w:rFonts w:eastAsia="Calibri"/>
              <w:color w:val="000000"/>
              <w:kern w:val="2"/>
              <w:lang w:val="en-US"/>
              <w14:ligatures w14:val="standardContextual"/>
            </w:rPr>
            <w:t xml:space="preserve"> et al., 2013)</w:t>
          </w:r>
        </w:sdtContent>
      </w:sdt>
      <w:r w:rsidRPr="00B542CD">
        <w:rPr>
          <w:lang w:val="en-US"/>
        </w:rPr>
        <w:t xml:space="preserve">. </w:t>
      </w:r>
      <w:r w:rsidR="005B684B" w:rsidRPr="00B542CD">
        <w:rPr>
          <w:lang w:val="en-US"/>
        </w:rPr>
        <w:t>Given</w:t>
      </w:r>
      <w:r w:rsidRPr="00B542CD">
        <w:rPr>
          <w:lang w:val="en-US"/>
        </w:rPr>
        <w:t xml:space="preserve"> this, establishing effective procurement strategies can significantly impact the supply chain performance. </w:t>
      </w:r>
    </w:p>
    <w:p w14:paraId="1664AC08" w14:textId="2F5E7FF9" w:rsidR="00314241" w:rsidRPr="00B542CD" w:rsidRDefault="00314241" w:rsidP="000A3C60">
      <w:pPr>
        <w:jc w:val="both"/>
        <w:rPr>
          <w:lang w:val="en-US"/>
        </w:rPr>
      </w:pPr>
      <w:r w:rsidRPr="00B542CD">
        <w:rPr>
          <w:lang w:val="en-US"/>
        </w:rPr>
        <w:t>Based on the challenges</w:t>
      </w:r>
      <w:r w:rsidR="00CE7421" w:rsidRPr="00B542CD">
        <w:rPr>
          <w:lang w:val="en-US"/>
        </w:rPr>
        <w:t xml:space="preserve"> outlined</w:t>
      </w:r>
      <w:r w:rsidRPr="00B542CD">
        <w:rPr>
          <w:lang w:val="en-US"/>
        </w:rPr>
        <w:t>, this work presents the following contributions:</w:t>
      </w:r>
    </w:p>
    <w:p w14:paraId="2F285DBD" w14:textId="1D0312F1" w:rsidR="00314241" w:rsidRPr="00B542CD" w:rsidRDefault="00314241" w:rsidP="00074D35">
      <w:pPr>
        <w:pStyle w:val="ListParagraph"/>
        <w:numPr>
          <w:ilvl w:val="0"/>
          <w:numId w:val="19"/>
        </w:numPr>
        <w:jc w:val="both"/>
        <w:rPr>
          <w:lang w:val="en-US"/>
        </w:rPr>
      </w:pPr>
      <w:r w:rsidRPr="00B542CD">
        <w:rPr>
          <w:lang w:val="en-US"/>
        </w:rPr>
        <w:t>Propose</w:t>
      </w:r>
      <w:r w:rsidR="00CE7421" w:rsidRPr="00B542CD">
        <w:rPr>
          <w:lang w:val="en-US"/>
        </w:rPr>
        <w:t>s</w:t>
      </w:r>
      <w:r w:rsidRPr="00B542CD">
        <w:rPr>
          <w:lang w:val="en-US"/>
        </w:rPr>
        <w:t xml:space="preserve"> a multi-objective model for the design and planning of pharmaceutical supply chains that includes </w:t>
      </w:r>
      <w:r w:rsidR="00CE7421" w:rsidRPr="00B542CD">
        <w:rPr>
          <w:lang w:val="en-US"/>
        </w:rPr>
        <w:t xml:space="preserve">both </w:t>
      </w:r>
      <w:r w:rsidRPr="00B542CD">
        <w:rPr>
          <w:lang w:val="en-US"/>
        </w:rPr>
        <w:t xml:space="preserve">strategic and tactical </w:t>
      </w:r>
      <w:proofErr w:type="gramStart"/>
      <w:r w:rsidRPr="00B542CD">
        <w:rPr>
          <w:lang w:val="en-US"/>
        </w:rPr>
        <w:t>decisions;</w:t>
      </w:r>
      <w:proofErr w:type="gramEnd"/>
    </w:p>
    <w:p w14:paraId="3AA0E34B" w14:textId="400412ED" w:rsidR="00314241" w:rsidRPr="00B542CD" w:rsidRDefault="00314241" w:rsidP="00074D35">
      <w:pPr>
        <w:pStyle w:val="ListParagraph"/>
        <w:numPr>
          <w:ilvl w:val="0"/>
          <w:numId w:val="19"/>
        </w:numPr>
        <w:jc w:val="both"/>
        <w:rPr>
          <w:lang w:val="en-US"/>
        </w:rPr>
      </w:pPr>
      <w:r w:rsidRPr="00B542CD">
        <w:rPr>
          <w:lang w:val="en-US"/>
        </w:rPr>
        <w:t>Address</w:t>
      </w:r>
      <w:r w:rsidR="00CE7421" w:rsidRPr="00B542CD">
        <w:rPr>
          <w:lang w:val="en-US"/>
        </w:rPr>
        <w:t>es</w:t>
      </w:r>
      <w:r w:rsidRPr="00B542CD">
        <w:rPr>
          <w:lang w:val="en-US"/>
        </w:rPr>
        <w:t xml:space="preserve"> vulnerabilities in </w:t>
      </w:r>
      <w:r w:rsidR="00CE7421" w:rsidRPr="00B542CD">
        <w:rPr>
          <w:lang w:val="en-US"/>
        </w:rPr>
        <w:t xml:space="preserve">the supply of </w:t>
      </w:r>
      <w:r w:rsidRPr="00B542CD">
        <w:rPr>
          <w:lang w:val="en-US"/>
        </w:rPr>
        <w:t>raw material</w:t>
      </w:r>
      <w:r w:rsidR="00CE7421" w:rsidRPr="00B542CD">
        <w:rPr>
          <w:lang w:val="en-US"/>
        </w:rPr>
        <w:t>s</w:t>
      </w:r>
      <w:r w:rsidRPr="00B542CD">
        <w:rPr>
          <w:lang w:val="en-US"/>
        </w:rPr>
        <w:t xml:space="preserve"> and identif</w:t>
      </w:r>
      <w:r w:rsidR="00CE7421" w:rsidRPr="00B542CD">
        <w:rPr>
          <w:lang w:val="en-US"/>
        </w:rPr>
        <w:t>ies</w:t>
      </w:r>
      <w:r w:rsidRPr="00B542CD">
        <w:rPr>
          <w:lang w:val="en-US"/>
        </w:rPr>
        <w:t xml:space="preserve"> </w:t>
      </w:r>
      <w:r w:rsidR="007A2353" w:rsidRPr="00B542CD">
        <w:rPr>
          <w:lang w:val="en-US"/>
        </w:rPr>
        <w:t>effective procurement</w:t>
      </w:r>
      <w:r w:rsidRPr="00B542CD">
        <w:rPr>
          <w:lang w:val="en-US"/>
        </w:rPr>
        <w:t xml:space="preserve"> strategies envisioning the reduction of supply risk and profit impact</w:t>
      </w:r>
      <w:r w:rsidR="00CE7421" w:rsidRPr="00B542CD">
        <w:rPr>
          <w:lang w:val="en-US"/>
        </w:rPr>
        <w:t xml:space="preserve">, according </w:t>
      </w:r>
      <w:r w:rsidR="001E7BC7" w:rsidRPr="00B542CD">
        <w:rPr>
          <w:lang w:val="en-US"/>
        </w:rPr>
        <w:t>to Kraljic</w:t>
      </w:r>
      <w:r w:rsidRPr="00B542CD">
        <w:rPr>
          <w:lang w:val="en-US"/>
        </w:rPr>
        <w:t xml:space="preserve"> Matrix</w:t>
      </w:r>
      <w:r w:rsidR="00CE7421" w:rsidRPr="00B542CD">
        <w:rPr>
          <w:lang w:val="en-US"/>
        </w:rPr>
        <w:t>’s</w:t>
      </w:r>
      <w:r w:rsidRPr="00B542CD">
        <w:rPr>
          <w:lang w:val="en-US"/>
        </w:rPr>
        <w:t xml:space="preserve"> </w:t>
      </w:r>
      <w:r w:rsidR="00CE7421" w:rsidRPr="00B542CD">
        <w:rPr>
          <w:lang w:val="en-US"/>
        </w:rPr>
        <w:t>classification of r</w:t>
      </w:r>
      <w:r w:rsidRPr="00B542CD">
        <w:rPr>
          <w:lang w:val="en-US"/>
        </w:rPr>
        <w:t xml:space="preserve">aw </w:t>
      </w:r>
      <w:proofErr w:type="gramStart"/>
      <w:r w:rsidRPr="00B542CD">
        <w:rPr>
          <w:lang w:val="en-US"/>
        </w:rPr>
        <w:t>materials;</w:t>
      </w:r>
      <w:proofErr w:type="gramEnd"/>
    </w:p>
    <w:p w14:paraId="493C8099" w14:textId="56BE3F38" w:rsidR="00314241" w:rsidRPr="00B542CD" w:rsidRDefault="00314241" w:rsidP="00074D35">
      <w:pPr>
        <w:pStyle w:val="ListParagraph"/>
        <w:numPr>
          <w:ilvl w:val="0"/>
          <w:numId w:val="19"/>
        </w:numPr>
        <w:jc w:val="both"/>
        <w:rPr>
          <w:lang w:val="en-US"/>
        </w:rPr>
      </w:pPr>
      <w:r w:rsidRPr="00B542CD">
        <w:rPr>
          <w:lang w:val="en-US"/>
        </w:rPr>
        <w:t>Explore</w:t>
      </w:r>
      <w:r w:rsidR="00CE7421" w:rsidRPr="00B542CD">
        <w:rPr>
          <w:lang w:val="en-US"/>
        </w:rPr>
        <w:t>s</w:t>
      </w:r>
      <w:r w:rsidRPr="00B542CD">
        <w:rPr>
          <w:lang w:val="en-US"/>
        </w:rPr>
        <w:t xml:space="preserve"> two social approaches focused on improving </w:t>
      </w:r>
      <w:r w:rsidR="00CE7421" w:rsidRPr="00B542CD">
        <w:rPr>
          <w:lang w:val="en-US"/>
        </w:rPr>
        <w:t xml:space="preserve">equitable access to </w:t>
      </w:r>
      <w:r w:rsidRPr="00B542CD">
        <w:rPr>
          <w:lang w:val="en-US"/>
        </w:rPr>
        <w:t xml:space="preserve">pharmaceutical </w:t>
      </w:r>
      <w:proofErr w:type="gramStart"/>
      <w:r w:rsidRPr="00B542CD">
        <w:rPr>
          <w:lang w:val="en-US"/>
        </w:rPr>
        <w:t>products;</w:t>
      </w:r>
      <w:proofErr w:type="gramEnd"/>
    </w:p>
    <w:p w14:paraId="311E4AF2" w14:textId="40B214C4" w:rsidR="00314241" w:rsidRPr="00B542CD" w:rsidRDefault="00CE7421" w:rsidP="000A3C60">
      <w:pPr>
        <w:pStyle w:val="ListParagraph"/>
        <w:numPr>
          <w:ilvl w:val="0"/>
          <w:numId w:val="19"/>
        </w:numPr>
        <w:spacing w:after="120"/>
        <w:jc w:val="both"/>
        <w:rPr>
          <w:lang w:val="en-US"/>
        </w:rPr>
      </w:pPr>
      <w:r w:rsidRPr="00B542CD">
        <w:rPr>
          <w:lang w:val="en-US"/>
        </w:rPr>
        <w:t>Incorporates</w:t>
      </w:r>
      <w:r w:rsidR="00314241" w:rsidRPr="00B542CD">
        <w:rPr>
          <w:lang w:val="en-US"/>
        </w:rPr>
        <w:t xml:space="preserve"> economic and social </w:t>
      </w:r>
      <w:r w:rsidRPr="00B542CD">
        <w:rPr>
          <w:lang w:val="en-US"/>
        </w:rPr>
        <w:t xml:space="preserve">considerations </w:t>
      </w:r>
      <w:r w:rsidR="00314241" w:rsidRPr="00B542CD">
        <w:rPr>
          <w:lang w:val="en-US"/>
        </w:rPr>
        <w:t>as objective functions</w:t>
      </w:r>
      <w:r w:rsidRPr="00B542CD">
        <w:rPr>
          <w:lang w:val="en-US"/>
        </w:rPr>
        <w:t>,</w:t>
      </w:r>
      <w:r w:rsidR="00314241" w:rsidRPr="00B542CD">
        <w:rPr>
          <w:lang w:val="en-US"/>
        </w:rPr>
        <w:t xml:space="preserve"> </w:t>
      </w:r>
      <w:r w:rsidRPr="00B542CD">
        <w:rPr>
          <w:lang w:val="en-US"/>
        </w:rPr>
        <w:t>allowing</w:t>
      </w:r>
      <w:r w:rsidR="00314241" w:rsidRPr="00B542CD">
        <w:rPr>
          <w:lang w:val="en-US"/>
        </w:rPr>
        <w:t xml:space="preserve"> t</w:t>
      </w:r>
      <w:r w:rsidRPr="00B542CD">
        <w:rPr>
          <w:lang w:val="en-US"/>
        </w:rPr>
        <w:t>he</w:t>
      </w:r>
      <w:r w:rsidR="00314241" w:rsidRPr="00B542CD">
        <w:rPr>
          <w:lang w:val="en-US"/>
        </w:rPr>
        <w:t xml:space="preserve"> </w:t>
      </w:r>
      <w:r w:rsidRPr="00B542CD">
        <w:rPr>
          <w:lang w:val="en-US"/>
        </w:rPr>
        <w:t>analysis of</w:t>
      </w:r>
      <w:r w:rsidR="00314241" w:rsidRPr="00B542CD">
        <w:rPr>
          <w:lang w:val="en-US"/>
        </w:rPr>
        <w:t xml:space="preserve"> trade-offs between these</w:t>
      </w:r>
      <w:r w:rsidR="00053DD5" w:rsidRPr="00B542CD">
        <w:rPr>
          <w:lang w:val="en-US"/>
        </w:rPr>
        <w:t xml:space="preserve"> two</w:t>
      </w:r>
      <w:r w:rsidR="00314241" w:rsidRPr="00B542CD">
        <w:rPr>
          <w:lang w:val="en-US"/>
        </w:rPr>
        <w:t xml:space="preserve"> sustainability pillars.</w:t>
      </w:r>
    </w:p>
    <w:p w14:paraId="722DE5D3" w14:textId="77777777" w:rsidR="00314241" w:rsidRPr="00B542CD" w:rsidRDefault="00314241" w:rsidP="00736A41">
      <w:pPr>
        <w:pStyle w:val="Els-1storder-head"/>
      </w:pPr>
      <w:r w:rsidRPr="00B542CD">
        <w:t>Problem Definition and Mathematical Formulation</w:t>
      </w:r>
    </w:p>
    <w:p w14:paraId="63D09C36" w14:textId="3722A3AD" w:rsidR="00314241" w:rsidRPr="00B542CD" w:rsidRDefault="00314241" w:rsidP="00626B05">
      <w:pPr>
        <w:pStyle w:val="Els-body-text"/>
      </w:pPr>
      <w:r w:rsidRPr="00B542CD">
        <w:t>In this work</w:t>
      </w:r>
      <w:r w:rsidR="00CE7421" w:rsidRPr="00B542CD">
        <w:t>,</w:t>
      </w:r>
      <w:r w:rsidRPr="00B542CD">
        <w:t xml:space="preserve"> the Kraljic matrix is used to </w:t>
      </w:r>
      <w:r w:rsidR="00B27A55" w:rsidRPr="00B542CD">
        <w:t>classify</w:t>
      </w:r>
      <w:r w:rsidRPr="00B542CD">
        <w:t xml:space="preserve"> raw materials regarding their supply risk and profit impact. </w:t>
      </w:r>
      <w:r w:rsidR="00B27A55" w:rsidRPr="00B542CD">
        <w:t>This classification enables the</w:t>
      </w:r>
      <w:r w:rsidRPr="00B542CD">
        <w:t xml:space="preserve"> </w:t>
      </w:r>
      <w:r w:rsidR="00B27A55" w:rsidRPr="00B542CD">
        <w:t>identification</w:t>
      </w:r>
      <w:r w:rsidR="004A0C76" w:rsidRPr="00B542CD">
        <w:t xml:space="preserve"> of</w:t>
      </w:r>
      <w:r w:rsidRPr="00B542CD">
        <w:t xml:space="preserve"> procurement strategies </w:t>
      </w:r>
      <w:r w:rsidR="004A0C76" w:rsidRPr="00B542CD">
        <w:t>aimed at reducing</w:t>
      </w:r>
      <w:r w:rsidRPr="00B542CD">
        <w:t xml:space="preserve"> supply risk and minimi</w:t>
      </w:r>
      <w:r w:rsidR="004A0C76" w:rsidRPr="00B542CD">
        <w:t>zing</w:t>
      </w:r>
      <w:r w:rsidR="00013645" w:rsidRPr="00B542CD">
        <w:t xml:space="preserve"> </w:t>
      </w:r>
      <w:r w:rsidRPr="00B542CD">
        <w:t>profit impact (Kraljic, 1983). This framework allows to categorize materials into strategic items, leverage items, bottleneck items and non-critical items, depending on two main factors: a) supply risk – associated with the availability of suppliers, substitution opportunities, make-or-buy opportunities, and storage risks; b) profit impact – related with the volume of materials purchased, the percentage it represents on the total purchase costs, and the impact that it has on product quality and business growth.</w:t>
      </w:r>
      <w:r w:rsidR="00851412" w:rsidRPr="00B542CD">
        <w:t xml:space="preserve"> When designing and planning pharmaceutical supply chains, it is important to consider appropriate procurement strategies for each raw material, as they play a key role in managing supply risk and optimizing profit impact. The strategic and tactical decisions made during this process significantly influence the overall performance of the supply chain.</w:t>
      </w:r>
      <w:r w:rsidR="0025506F" w:rsidRPr="00B542CD">
        <w:t xml:space="preserve"> The mathematical model proposed is based on the model initially introduced by Duarte et al. (2022), which is further developed to integrate decisions on the selection of raw materials’ suppliers with diverse attributes such as location, capacities, and fluctuating costs over time. </w:t>
      </w:r>
      <w:r w:rsidRPr="00B542CD">
        <w:t xml:space="preserve">Moreover, planning decisions on the levels of supply of raw materials from each supplier </w:t>
      </w:r>
      <w:r w:rsidR="00C25FAB" w:rsidRPr="00B542CD">
        <w:t xml:space="preserve">are </w:t>
      </w:r>
      <w:r w:rsidRPr="00B542CD">
        <w:t xml:space="preserve">included, together with production, inventory, and distribution decisions. The objectives being considered </w:t>
      </w:r>
      <w:r w:rsidR="00C25FAB" w:rsidRPr="00B542CD">
        <w:t xml:space="preserve">intend </w:t>
      </w:r>
      <w:r w:rsidRPr="00B542CD">
        <w:t xml:space="preserve">to contribute to economic and social sustainability improvement of the supply chain and are integrated </w:t>
      </w:r>
      <w:r w:rsidR="007B0EE8" w:rsidRPr="00B542CD">
        <w:t xml:space="preserve">into </w:t>
      </w:r>
      <w:r w:rsidRPr="00B542CD">
        <w:t xml:space="preserve">the model through two objective functions. Moreover, an additional social approach </w:t>
      </w:r>
      <w:r w:rsidR="007B0EE8" w:rsidRPr="00B542CD">
        <w:t>is</w:t>
      </w:r>
      <w:r w:rsidRPr="00B542CD">
        <w:t xml:space="preserve"> integrated to, together with the social objective function, fulfil two strong pillars of equity in access to pharmaceutical products: availability and affordability. </w:t>
      </w:r>
    </w:p>
    <w:p w14:paraId="5505ACBE" w14:textId="77777777" w:rsidR="00314241" w:rsidRPr="00B542CD" w:rsidRDefault="00314241" w:rsidP="00792EE5">
      <w:pPr>
        <w:pStyle w:val="Els-2ndorder-head"/>
        <w:spacing w:before="120"/>
        <w:rPr>
          <w:lang w:val="en-GB"/>
        </w:rPr>
      </w:pPr>
      <w:r w:rsidRPr="00B542CD">
        <w:rPr>
          <w:lang w:val="en-GB"/>
        </w:rPr>
        <w:t>Economic Sustainability objective</w:t>
      </w:r>
    </w:p>
    <w:p w14:paraId="05376EA8" w14:textId="6A878014" w:rsidR="00DD65E9" w:rsidRPr="00B542CD" w:rsidRDefault="00314241" w:rsidP="00CE03BC">
      <w:pPr>
        <w:spacing w:before="120"/>
        <w:jc w:val="both"/>
      </w:pPr>
      <w:r w:rsidRPr="00B542CD">
        <w:t xml:space="preserve">The economic assessment aims to maximize the Net Present Value (NPV) by summing the cash flows of each time-period at an interest rate. These cash flows are </w:t>
      </w:r>
      <w:r w:rsidR="00996F39" w:rsidRPr="00B542CD">
        <w:t>achieved</w:t>
      </w:r>
      <w:r w:rsidRPr="00B542CD">
        <w:t xml:space="preserve"> through the net earnings (</w:t>
      </w:r>
      <m:oMath>
        <m:sSub>
          <m:sSubPr>
            <m:ctrlPr>
              <w:rPr>
                <w:rFonts w:ascii="Cambria Math" w:hAnsi="Cambria Math"/>
                <w:i/>
                <w:iCs/>
              </w:rPr>
            </m:ctrlPr>
          </m:sSubPr>
          <m:e>
            <m:r>
              <w:rPr>
                <w:rFonts w:ascii="Cambria Math" w:hAnsi="Cambria Math"/>
              </w:rPr>
              <m:t>NE</m:t>
            </m:r>
          </m:e>
          <m:sub>
            <m:r>
              <w:rPr>
                <w:rFonts w:ascii="Cambria Math" w:hAnsi="Cambria Math"/>
              </w:rPr>
              <m:t>t</m:t>
            </m:r>
          </m:sub>
        </m:sSub>
        <m:r>
          <m:rPr>
            <m:sty m:val="p"/>
          </m:rPr>
          <w:rPr>
            <w:rFonts w:ascii="Cambria Math" w:hAnsi="Cambria Math"/>
          </w:rPr>
          <m:t> </m:t>
        </m:r>
      </m:oMath>
      <w:r w:rsidRPr="00B542CD">
        <w:t xml:space="preserve">), which are given by the difference between </w:t>
      </w:r>
      <w:r w:rsidR="00996F39" w:rsidRPr="00B542CD">
        <w:t>revenues</w:t>
      </w:r>
      <w:r w:rsidR="003C57E8" w:rsidRPr="00B542CD">
        <w:t xml:space="preserve"> (amount of products sold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 xml:space="preserve">maijt </m:t>
            </m:r>
          </m:sub>
        </m:sSub>
        <m:r>
          <w:rPr>
            <w:rFonts w:ascii="Cambria Math" w:hAnsi="Cambria Math"/>
          </w:rPr>
          <m:t>)</m:t>
        </m:r>
      </m:oMath>
      <w:r w:rsidR="003C57E8" w:rsidRPr="00B542CD">
        <w:t xml:space="preserve"> at a certain price </w:t>
      </w:r>
      <m:oMath>
        <m:r>
          <w:rPr>
            <w:rFonts w:ascii="Cambria Math" w:hAnsi="Cambria Math"/>
          </w:rPr>
          <m:t>(</m:t>
        </m:r>
        <m:sSub>
          <m:sSubPr>
            <m:ctrlPr>
              <w:rPr>
                <w:rFonts w:ascii="Cambria Math" w:eastAsiaTheme="majorEastAsia" w:hAnsi="Cambria Math"/>
                <w:i/>
                <w:iCs/>
              </w:rPr>
            </m:ctrlPr>
          </m:sSubPr>
          <m:e>
            <m:r>
              <w:rPr>
                <w:rFonts w:ascii="Cambria Math" w:eastAsiaTheme="majorEastAsia" w:hAnsi="Cambria Math"/>
              </w:rPr>
              <m:t>ps</m:t>
            </m:r>
          </m:e>
          <m:sub>
            <m:r>
              <w:rPr>
                <w:rFonts w:ascii="Cambria Math" w:eastAsiaTheme="majorEastAsia" w:hAnsi="Cambria Math"/>
              </w:rPr>
              <m:t>mit</m:t>
            </m:r>
          </m:sub>
        </m:sSub>
        <m:r>
          <w:rPr>
            <w:rFonts w:ascii="Cambria Math" w:eastAsiaTheme="majorEastAsia" w:hAnsi="Cambria Math"/>
          </w:rPr>
          <m:t>)</m:t>
        </m:r>
      </m:oMath>
      <w:r w:rsidR="003C57E8" w:rsidRPr="00B542CD">
        <w:t>),</w:t>
      </w:r>
      <w:r w:rsidRPr="00B542CD">
        <w:t xml:space="preserve"> and </w:t>
      </w:r>
      <w:r w:rsidR="003C57E8" w:rsidRPr="00B542CD">
        <w:t xml:space="preserve">the </w:t>
      </w:r>
      <w:r w:rsidRPr="00B542CD">
        <w:t xml:space="preserve">overall costs. As seen in Eq. (1), </w:t>
      </w:r>
      <w:r w:rsidR="0099185B" w:rsidRPr="00B542CD">
        <w:t>the</w:t>
      </w:r>
      <w:r w:rsidRPr="00B542CD">
        <w:t xml:space="preserve"> supply chain costs </w:t>
      </w:r>
      <w:r w:rsidR="0099185B" w:rsidRPr="00B542CD">
        <w:t>considered are</w:t>
      </w:r>
      <w:r w:rsidRPr="00B542CD">
        <w:t xml:space="preserve"> raw material costs (first term), production operating costs (second term), storage costs (third term), </w:t>
      </w:r>
      <w:r w:rsidR="00E339AF" w:rsidRPr="00B542CD">
        <w:t xml:space="preserve">variable </w:t>
      </w:r>
      <w:r w:rsidRPr="00B542CD">
        <w:t xml:space="preserve">transportation costs (fourth term), hub handling costs (fifth term), contracted costs </w:t>
      </w:r>
      <w:r w:rsidR="00E339AF" w:rsidRPr="00B542CD">
        <w:t xml:space="preserve">with airline/freighter </w:t>
      </w:r>
      <w:r w:rsidRPr="00B542CD">
        <w:t>(sixth term), inventory costs (seventh term), labour costs</w:t>
      </w:r>
      <w:r w:rsidR="002F0AFF" w:rsidRPr="00B542CD">
        <w:t xml:space="preserve"> at entities</w:t>
      </w:r>
      <w:r w:rsidRPr="00B542CD">
        <w:t xml:space="preserve"> (eighth and ninth terms), and finally the labour costs for </w:t>
      </w:r>
      <w:r w:rsidR="008C1B74" w:rsidRPr="00B542CD">
        <w:t>the use of technologies</w:t>
      </w:r>
      <w:r w:rsidRPr="00B542CD">
        <w:t xml:space="preserve"> (tenth term).</w:t>
      </w:r>
    </w:p>
    <w:p w14:paraId="468BA040" w14:textId="77777777" w:rsidR="00314241" w:rsidRPr="00B542CD" w:rsidRDefault="00F61F1B" w:rsidP="00925C2B">
      <w:pPr>
        <w:spacing w:after="120"/>
        <w:ind w:left="-562" w:right="-374"/>
        <w:rPr>
          <w:rFonts w:eastAsiaTheme="minorEastAsia"/>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NE</m:t>
              </m:r>
            </m:e>
            <m:sub>
              <m:r>
                <w:rPr>
                  <w:rFonts w:ascii="Cambria Math" w:hAnsi="Cambria Math"/>
                  <w:sz w:val="16"/>
                  <w:szCs w:val="16"/>
                </w:rPr>
                <m:t>t</m:t>
              </m:r>
            </m:sub>
          </m:sSub>
          <m:r>
            <w:rPr>
              <w:rFonts w:ascii="Cambria Math" w:hAnsi="Cambria Math"/>
              <w:sz w:val="16"/>
              <w:szCs w:val="16"/>
            </w:rPr>
            <m:t>=(1-</m:t>
          </m:r>
          <m:r>
            <w:rPr>
              <w:rFonts w:ascii="Cambria Math" w:hAnsi="Cambria Math"/>
              <w:sz w:val="16"/>
              <w:szCs w:val="16"/>
            </w:rPr>
            <m:t>tr</m:t>
          </m:r>
          <m:r>
            <w:rPr>
              <w:rFonts w:ascii="Cambria Math" w:hAnsi="Cambria Math"/>
              <w:sz w:val="16"/>
              <w:szCs w:val="16"/>
            </w:rPr>
            <m:t>)</m:t>
          </m:r>
          <m:d>
            <m:dPr>
              <m:begChr m:val="["/>
              <m:endChr m:val=""/>
              <m:ctrlPr>
                <w:rPr>
                  <w:rFonts w:ascii="Cambria Math" w:hAnsi="Cambria Math"/>
                  <w:i/>
                  <w:sz w:val="16"/>
                  <w:szCs w:val="16"/>
                </w:rPr>
              </m:ctrlPr>
            </m:dPr>
            <m:e>
              <m:nary>
                <m:naryPr>
                  <m:chr m:val="∑"/>
                  <m:supHide m:val="1"/>
                  <m:ctrlPr>
                    <w:rPr>
                      <w:rFonts w:ascii="Cambria Math" w:hAnsi="Cambria Math" w:cs="Arial"/>
                      <w:i/>
                      <w:sz w:val="16"/>
                      <w:szCs w:val="16"/>
                    </w:rPr>
                  </m:ctrlPr>
                </m:naryPr>
                <m:sub>
                  <m:eqArr>
                    <m:eqArrPr>
                      <m:ctrlPr>
                        <w:rPr>
                          <w:rFonts w:ascii="Cambria Math" w:hAnsi="Cambria Math" w:cs="Arial"/>
                          <w:i/>
                          <w:sz w:val="16"/>
                          <w:szCs w:val="16"/>
                        </w:rPr>
                      </m:ctrlPr>
                    </m:eqArrPr>
                    <m:e>
                      <m:d>
                        <m:dPr>
                          <m:ctrlPr>
                            <w:rPr>
                              <w:rFonts w:ascii="Cambria Math" w:hAnsi="Cambria Math" w:cs="Arial"/>
                              <w:i/>
                              <w:sz w:val="16"/>
                              <w:szCs w:val="16"/>
                            </w:rPr>
                          </m:ctrlPr>
                        </m:dPr>
                        <m:e>
                          <m:r>
                            <w:rPr>
                              <w:rFonts w:ascii="Cambria Math" w:hAnsi="Cambria Math" w:cs="Arial"/>
                              <w:sz w:val="16"/>
                              <w:szCs w:val="16"/>
                            </w:rPr>
                            <m:t>m</m:t>
                          </m:r>
                          <m:r>
                            <w:rPr>
                              <w:rFonts w:ascii="Cambria Math" w:hAnsi="Cambria Math" w:cs="Arial"/>
                              <w:sz w:val="16"/>
                              <w:szCs w:val="16"/>
                            </w:rPr>
                            <m:t>,</m:t>
                          </m:r>
                          <m:r>
                            <w:rPr>
                              <w:rFonts w:ascii="Cambria Math" w:hAnsi="Cambria Math" w:cs="Arial"/>
                              <w:sz w:val="16"/>
                              <w:szCs w:val="16"/>
                            </w:rPr>
                            <m:t>i</m:t>
                          </m:r>
                          <m:r>
                            <w:rPr>
                              <w:rFonts w:ascii="Cambria Math" w:hAnsi="Cambria Math" w:cs="Arial"/>
                              <w:sz w:val="16"/>
                              <w:szCs w:val="16"/>
                            </w:rPr>
                            <m:t>,</m:t>
                          </m:r>
                          <m:r>
                            <w:rPr>
                              <w:rFonts w:ascii="Cambria Math" w:hAnsi="Cambria Math" w:cs="Arial"/>
                              <w:sz w:val="16"/>
                              <w:szCs w:val="16"/>
                            </w:rPr>
                            <m:t>j</m:t>
                          </m:r>
                        </m:e>
                      </m:d>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F</m:t>
                          </m:r>
                        </m:e>
                        <m:sub>
                          <m:r>
                            <w:rPr>
                              <w:rFonts w:ascii="Cambria Math" w:hAnsi="Cambria Math" w:cs="Arial"/>
                              <w:sz w:val="16"/>
                              <w:szCs w:val="16"/>
                            </w:rPr>
                            <m:t>INCFP</m:t>
                          </m:r>
                        </m:sub>
                      </m:sSub>
                    </m:e>
                    <m:e>
                      <m:d>
                        <m:dPr>
                          <m:ctrlPr>
                            <w:rPr>
                              <w:rFonts w:ascii="Cambria Math" w:hAnsi="Cambria Math" w:cs="Arial"/>
                              <w:i/>
                              <w:sz w:val="16"/>
                              <w:szCs w:val="16"/>
                            </w:rPr>
                          </m:ctrlPr>
                        </m:dPr>
                        <m:e>
                          <m:r>
                            <w:rPr>
                              <w:rFonts w:ascii="Cambria Math" w:hAnsi="Cambria Math" w:cs="Arial"/>
                              <w:sz w:val="16"/>
                              <w:szCs w:val="16"/>
                            </w:rPr>
                            <m:t>a</m:t>
                          </m:r>
                          <m:r>
                            <w:rPr>
                              <w:rFonts w:ascii="Cambria Math" w:hAnsi="Cambria Math" w:cs="Arial"/>
                              <w:sz w:val="16"/>
                              <w:szCs w:val="16"/>
                            </w:rPr>
                            <m:t>,</m:t>
                          </m:r>
                          <m:r>
                            <w:rPr>
                              <w:rFonts w:ascii="Cambria Math" w:hAnsi="Cambria Math" w:cs="Arial"/>
                              <w:sz w:val="16"/>
                              <w:szCs w:val="16"/>
                            </w:rPr>
                            <m:t>m</m:t>
                          </m:r>
                          <m:r>
                            <w:rPr>
                              <w:rFonts w:ascii="Cambria Math" w:hAnsi="Cambria Math" w:cs="Arial"/>
                              <w:sz w:val="16"/>
                              <w:szCs w:val="16"/>
                            </w:rPr>
                            <m:t>,</m:t>
                          </m:r>
                          <m:r>
                            <w:rPr>
                              <w:rFonts w:ascii="Cambria Math" w:hAnsi="Cambria Math" w:cs="Arial"/>
                              <w:sz w:val="16"/>
                              <w:szCs w:val="16"/>
                            </w:rPr>
                            <m:t>i</m:t>
                          </m:r>
                          <m:r>
                            <w:rPr>
                              <w:rFonts w:ascii="Cambria Math" w:hAnsi="Cambria Math" w:cs="Arial"/>
                              <w:sz w:val="16"/>
                              <w:szCs w:val="16"/>
                            </w:rPr>
                            <m:t>,</m:t>
                          </m:r>
                          <m:r>
                            <w:rPr>
                              <w:rFonts w:ascii="Cambria Math" w:hAnsi="Cambria Math" w:cs="Arial"/>
                              <w:sz w:val="16"/>
                              <w:szCs w:val="16"/>
                            </w:rPr>
                            <m:t>j</m:t>
                          </m:r>
                        </m:e>
                      </m:d>
                      <m:r>
                        <w:rPr>
                          <w:rFonts w:ascii="Cambria Math" w:hAnsi="Cambria Math" w:cs="Arial"/>
                          <w:sz w:val="16"/>
                          <w:szCs w:val="16"/>
                        </w:rPr>
                        <m:t>∈</m:t>
                      </m:r>
                      <m:r>
                        <w:rPr>
                          <w:rFonts w:ascii="Cambria Math" w:hAnsi="Cambria Math" w:cs="Arial"/>
                          <w:sz w:val="16"/>
                          <w:szCs w:val="16"/>
                        </w:rPr>
                        <m:t>NetP</m:t>
                      </m:r>
                    </m:e>
                  </m:eqArr>
                </m:sub>
                <m:sup/>
                <m:e>
                  <m:sSub>
                    <m:sSubPr>
                      <m:ctrlPr>
                        <w:rPr>
                          <w:rFonts w:ascii="Cambria Math" w:hAnsi="Cambria Math" w:cs="Arial"/>
                          <w:i/>
                          <w:sz w:val="16"/>
                          <w:szCs w:val="16"/>
                        </w:rPr>
                      </m:ctrlPr>
                    </m:sSubPr>
                    <m:e>
                      <m:sSub>
                        <m:sSubPr>
                          <m:ctrlPr>
                            <w:rPr>
                              <w:rFonts w:ascii="Cambria Math" w:hAnsi="Cambria Math" w:cs="Arial"/>
                              <w:i/>
                              <w:sz w:val="16"/>
                              <w:szCs w:val="16"/>
                            </w:rPr>
                          </m:ctrlPr>
                        </m:sSubPr>
                        <m:e>
                          <m:r>
                            <w:rPr>
                              <w:rFonts w:ascii="Cambria Math" w:hAnsi="Cambria Math" w:cs="Arial"/>
                              <w:sz w:val="16"/>
                              <w:szCs w:val="16"/>
                            </w:rPr>
                            <m:t>ps</m:t>
                          </m:r>
                        </m:e>
                        <m:sub>
                          <m:r>
                            <w:rPr>
                              <w:rFonts w:ascii="Cambria Math" w:hAnsi="Cambria Math" w:cs="Arial"/>
                              <w:sz w:val="16"/>
                              <w:szCs w:val="16"/>
                            </w:rPr>
                            <m:t>mi</m:t>
                          </m:r>
                        </m:sub>
                      </m:sSub>
                      <m:r>
                        <w:rPr>
                          <w:rFonts w:ascii="Cambria Math" w:hAnsi="Cambria Math" w:cs="Arial"/>
                          <w:sz w:val="16"/>
                          <w:szCs w:val="16"/>
                        </w:rPr>
                        <m:t>X</m:t>
                      </m:r>
                    </m:e>
                    <m:sub>
                      <m:r>
                        <w:rPr>
                          <w:rFonts w:ascii="Cambria Math" w:hAnsi="Cambria Math" w:cs="Arial"/>
                          <w:sz w:val="16"/>
                          <w:szCs w:val="16"/>
                        </w:rPr>
                        <m:t>maijt</m:t>
                      </m:r>
                      <m:r>
                        <w:rPr>
                          <w:rFonts w:ascii="Cambria Math" w:hAnsi="Cambria Math" w:cs="Arial"/>
                          <w:sz w:val="16"/>
                          <w:szCs w:val="16"/>
                        </w:rPr>
                        <m:t xml:space="preserve"> </m:t>
                      </m:r>
                    </m:sub>
                  </m:sSub>
                  <m:r>
                    <w:rPr>
                      <w:rFonts w:ascii="Cambria Math" w:hAnsi="Cambria Math" w:cs="Arial"/>
                      <w:sz w:val="16"/>
                      <w:szCs w:val="16"/>
                    </w:rPr>
                    <m:t xml:space="preserve"> </m:t>
                  </m:r>
                </m:e>
              </m:nary>
              <m:r>
                <w:rPr>
                  <w:rFonts w:ascii="Cambria Math" w:hAnsi="Cambria Math" w:cs="Arial"/>
                  <w:sz w:val="16"/>
                  <w:szCs w:val="16"/>
                </w:rPr>
                <m:t xml:space="preserve">- </m:t>
              </m:r>
              <m:d>
                <m:dPr>
                  <m:endChr m:val=""/>
                  <m:ctrlPr>
                    <w:rPr>
                      <w:rFonts w:ascii="Cambria Math" w:hAnsi="Cambria Math" w:cs="Arial"/>
                      <w:i/>
                      <w:sz w:val="16"/>
                      <w:szCs w:val="16"/>
                    </w:rPr>
                  </m:ctrlPr>
                </m:dPr>
                <m:e>
                  <m:nary>
                    <m:naryPr>
                      <m:chr m:val="∑"/>
                      <m:supHide m:val="1"/>
                      <m:ctrlPr>
                        <w:rPr>
                          <w:rFonts w:ascii="Cambria Math" w:hAnsi="Cambria Math" w:cs="Arial"/>
                          <w:i/>
                          <w:sz w:val="16"/>
                          <w:szCs w:val="16"/>
                        </w:rPr>
                      </m:ctrlPr>
                    </m:naryPr>
                    <m:sub>
                      <m:eqArr>
                        <m:eqArrPr>
                          <m:ctrlPr>
                            <w:rPr>
                              <w:rFonts w:ascii="Cambria Math" w:hAnsi="Cambria Math" w:cs="Arial"/>
                              <w:i/>
                              <w:sz w:val="16"/>
                              <w:szCs w:val="16"/>
                            </w:rPr>
                          </m:ctrlPr>
                        </m:eqArrPr>
                        <m:e>
                          <m:d>
                            <m:dPr>
                              <m:ctrlPr>
                                <w:rPr>
                                  <w:rFonts w:ascii="Cambria Math" w:hAnsi="Cambria Math" w:cs="Arial"/>
                                  <w:i/>
                                  <w:sz w:val="16"/>
                                  <w:szCs w:val="16"/>
                                </w:rPr>
                              </m:ctrlPr>
                            </m:dPr>
                            <m:e>
                              <m:r>
                                <w:rPr>
                                  <w:rFonts w:ascii="Cambria Math" w:hAnsi="Cambria Math" w:cs="Arial"/>
                                  <w:sz w:val="16"/>
                                  <w:szCs w:val="16"/>
                                </w:rPr>
                                <m:t>m</m:t>
                              </m:r>
                              <m:r>
                                <w:rPr>
                                  <w:rFonts w:ascii="Cambria Math" w:hAnsi="Cambria Math" w:cs="Arial"/>
                                  <w:sz w:val="16"/>
                                  <w:szCs w:val="16"/>
                                </w:rPr>
                                <m:t>,</m:t>
                              </m:r>
                              <m:r>
                                <w:rPr>
                                  <w:rFonts w:ascii="Cambria Math" w:hAnsi="Cambria Math" w:cs="Arial"/>
                                  <w:sz w:val="16"/>
                                  <w:szCs w:val="16"/>
                                </w:rPr>
                                <m:t>i</m:t>
                              </m:r>
                              <m:r>
                                <w:rPr>
                                  <w:rFonts w:ascii="Cambria Math" w:hAnsi="Cambria Math" w:cs="Arial"/>
                                  <w:sz w:val="16"/>
                                  <w:szCs w:val="16"/>
                                </w:rPr>
                                <m:t>,</m:t>
                              </m:r>
                              <m:r>
                                <w:rPr>
                                  <w:rFonts w:ascii="Cambria Math" w:hAnsi="Cambria Math" w:cs="Arial"/>
                                  <w:sz w:val="16"/>
                                  <w:szCs w:val="16"/>
                                </w:rPr>
                                <m:t>j</m:t>
                              </m:r>
                            </m:e>
                          </m:d>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F</m:t>
                              </m:r>
                            </m:e>
                            <m:sub>
                              <m:r>
                                <w:rPr>
                                  <w:rFonts w:ascii="Cambria Math" w:hAnsi="Cambria Math" w:cs="Arial"/>
                                  <w:sz w:val="16"/>
                                  <w:szCs w:val="16"/>
                                </w:rPr>
                                <m:t>OUTSUPRM</m:t>
                              </m:r>
                            </m:sub>
                          </m:sSub>
                        </m:e>
                        <m:e>
                          <m:d>
                            <m:dPr>
                              <m:ctrlPr>
                                <w:rPr>
                                  <w:rFonts w:ascii="Cambria Math" w:hAnsi="Cambria Math" w:cs="Arial"/>
                                  <w:i/>
                                  <w:sz w:val="16"/>
                                  <w:szCs w:val="16"/>
                                </w:rPr>
                              </m:ctrlPr>
                            </m:dPr>
                            <m:e>
                              <m:r>
                                <w:rPr>
                                  <w:rFonts w:ascii="Cambria Math" w:hAnsi="Cambria Math" w:cs="Arial"/>
                                  <w:sz w:val="16"/>
                                  <w:szCs w:val="16"/>
                                </w:rPr>
                                <m:t>a</m:t>
                              </m:r>
                              <m:r>
                                <w:rPr>
                                  <w:rFonts w:ascii="Cambria Math" w:hAnsi="Cambria Math" w:cs="Arial"/>
                                  <w:sz w:val="16"/>
                                  <w:szCs w:val="16"/>
                                </w:rPr>
                                <m:t>,</m:t>
                              </m:r>
                              <m:r>
                                <w:rPr>
                                  <w:rFonts w:ascii="Cambria Math" w:hAnsi="Cambria Math" w:cs="Arial"/>
                                  <w:sz w:val="16"/>
                                  <w:szCs w:val="16"/>
                                </w:rPr>
                                <m:t>m</m:t>
                              </m:r>
                              <m:r>
                                <w:rPr>
                                  <w:rFonts w:ascii="Cambria Math" w:hAnsi="Cambria Math" w:cs="Arial"/>
                                  <w:sz w:val="16"/>
                                  <w:szCs w:val="16"/>
                                </w:rPr>
                                <m:t>,</m:t>
                              </m:r>
                              <m:r>
                                <w:rPr>
                                  <w:rFonts w:ascii="Cambria Math" w:hAnsi="Cambria Math" w:cs="Arial"/>
                                  <w:sz w:val="16"/>
                                  <w:szCs w:val="16"/>
                                </w:rPr>
                                <m:t>i</m:t>
                              </m:r>
                              <m:r>
                                <w:rPr>
                                  <w:rFonts w:ascii="Cambria Math" w:hAnsi="Cambria Math" w:cs="Arial"/>
                                  <w:sz w:val="16"/>
                                  <w:szCs w:val="16"/>
                                </w:rPr>
                                <m:t>,</m:t>
                              </m:r>
                              <m:r>
                                <w:rPr>
                                  <w:rFonts w:ascii="Cambria Math" w:hAnsi="Cambria Math" w:cs="Arial"/>
                                  <w:sz w:val="16"/>
                                  <w:szCs w:val="16"/>
                                </w:rPr>
                                <m:t>j</m:t>
                              </m:r>
                            </m:e>
                          </m:d>
                          <m:r>
                            <w:rPr>
                              <w:rFonts w:ascii="Cambria Math" w:hAnsi="Cambria Math" w:cs="Arial"/>
                              <w:sz w:val="16"/>
                              <w:szCs w:val="16"/>
                            </w:rPr>
                            <m:t>∈</m:t>
                          </m:r>
                          <m:r>
                            <w:rPr>
                              <w:rFonts w:ascii="Cambria Math" w:hAnsi="Cambria Math" w:cs="Arial"/>
                              <w:sz w:val="16"/>
                              <w:szCs w:val="16"/>
                            </w:rPr>
                            <m:t>NetP</m:t>
                          </m:r>
                        </m:e>
                      </m:eqArr>
                    </m:sub>
                    <m:sup/>
                    <m:e>
                      <m:sSub>
                        <m:sSubPr>
                          <m:ctrlPr>
                            <w:rPr>
                              <w:rFonts w:ascii="Cambria Math" w:hAnsi="Cambria Math" w:cs="Arial"/>
                              <w:i/>
                              <w:sz w:val="16"/>
                              <w:szCs w:val="16"/>
                            </w:rPr>
                          </m:ctrlPr>
                        </m:sSubPr>
                        <m:e>
                          <m:sSub>
                            <m:sSubPr>
                              <m:ctrlPr>
                                <w:rPr>
                                  <w:rFonts w:ascii="Cambria Math" w:hAnsi="Cambria Math" w:cs="Arial"/>
                                  <w:i/>
                                  <w:sz w:val="16"/>
                                  <w:szCs w:val="16"/>
                                </w:rPr>
                              </m:ctrlPr>
                            </m:sSubPr>
                            <m:e>
                              <m:r>
                                <w:rPr>
                                  <w:rFonts w:ascii="Cambria Math" w:hAnsi="Cambria Math" w:cs="Arial"/>
                                  <w:sz w:val="16"/>
                                  <w:szCs w:val="16"/>
                                </w:rPr>
                                <m:t>rmc</m:t>
                              </m:r>
                            </m:e>
                            <m:sub>
                              <m:r>
                                <w:rPr>
                                  <w:rFonts w:ascii="Cambria Math" w:hAnsi="Cambria Math" w:cs="Arial"/>
                                  <w:sz w:val="16"/>
                                  <w:szCs w:val="16"/>
                                </w:rPr>
                                <m:t>mi</m:t>
                              </m:r>
                            </m:sub>
                          </m:sSub>
                          <m:r>
                            <w:rPr>
                              <w:rFonts w:ascii="Cambria Math" w:hAnsi="Cambria Math" w:cs="Arial"/>
                              <w:sz w:val="16"/>
                              <w:szCs w:val="16"/>
                            </w:rPr>
                            <m:t>X</m:t>
                          </m:r>
                        </m:e>
                        <m:sub>
                          <m:r>
                            <w:rPr>
                              <w:rFonts w:ascii="Cambria Math" w:hAnsi="Cambria Math" w:cs="Arial"/>
                              <w:sz w:val="16"/>
                              <w:szCs w:val="16"/>
                            </w:rPr>
                            <m:t>maijt</m:t>
                          </m:r>
                          <m:r>
                            <w:rPr>
                              <w:rFonts w:ascii="Cambria Math" w:hAnsi="Cambria Math" w:cs="Arial"/>
                              <w:sz w:val="16"/>
                              <w:szCs w:val="16"/>
                            </w:rPr>
                            <m:t xml:space="preserve"> </m:t>
                          </m:r>
                        </m:sub>
                      </m:sSub>
                    </m:e>
                  </m:nary>
                  <m:r>
                    <w:rPr>
                      <w:rFonts w:ascii="Cambria Math" w:hAnsi="Cambria Math" w:cs="Arial"/>
                      <w:sz w:val="16"/>
                      <w:szCs w:val="16"/>
                    </w:rPr>
                    <m:t xml:space="preserve"> </m:t>
                  </m:r>
                </m:e>
              </m:d>
              <m:r>
                <w:rPr>
                  <w:rFonts w:ascii="Cambria Math" w:hAnsi="Cambria Math" w:cs="Arial"/>
                  <w:sz w:val="16"/>
                  <w:szCs w:val="16"/>
                </w:rPr>
                <m:t>+</m:t>
              </m:r>
              <m:nary>
                <m:naryPr>
                  <m:chr m:val="∑"/>
                  <m:supHide m:val="1"/>
                  <m:ctrlPr>
                    <w:rPr>
                      <w:rFonts w:ascii="Cambria Math" w:hAnsi="Cambria Math" w:cs="Arial"/>
                      <w:i/>
                      <w:sz w:val="16"/>
                      <w:szCs w:val="16"/>
                    </w:rPr>
                  </m:ctrlPr>
                </m:naryPr>
                <m:sub>
                  <m:eqArr>
                    <m:eqArrPr>
                      <m:ctrlPr>
                        <w:rPr>
                          <w:rFonts w:ascii="Cambria Math" w:hAnsi="Cambria Math" w:cs="Arial"/>
                          <w:i/>
                          <w:sz w:val="16"/>
                          <w:szCs w:val="16"/>
                        </w:rPr>
                      </m:ctrlPr>
                    </m:eqArrPr>
                    <m:e>
                      <m:d>
                        <m:dPr>
                          <m:ctrlPr>
                            <w:rPr>
                              <w:rFonts w:ascii="Cambria Math" w:hAnsi="Cambria Math" w:cs="Arial"/>
                              <w:i/>
                              <w:sz w:val="16"/>
                              <w:szCs w:val="16"/>
                            </w:rPr>
                          </m:ctrlPr>
                        </m:dPr>
                        <m:e>
                          <m:r>
                            <w:rPr>
                              <w:rFonts w:ascii="Cambria Math" w:hAnsi="Cambria Math" w:cs="Arial"/>
                              <w:sz w:val="16"/>
                              <w:szCs w:val="16"/>
                            </w:rPr>
                            <m:t>m</m:t>
                          </m:r>
                          <m:r>
                            <w:rPr>
                              <w:rFonts w:ascii="Cambria Math" w:hAnsi="Cambria Math" w:cs="Arial"/>
                              <w:sz w:val="16"/>
                              <w:szCs w:val="16"/>
                            </w:rPr>
                            <m:t>,</m:t>
                          </m:r>
                          <m:r>
                            <w:rPr>
                              <w:rFonts w:ascii="Cambria Math" w:hAnsi="Cambria Math" w:cs="Arial"/>
                              <w:sz w:val="16"/>
                              <w:szCs w:val="16"/>
                            </w:rPr>
                            <m:t>g</m:t>
                          </m:r>
                        </m:e>
                      </m:d>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H</m:t>
                          </m:r>
                        </m:e>
                        <m:sub>
                          <m:r>
                            <w:rPr>
                              <w:rFonts w:ascii="Cambria Math" w:hAnsi="Cambria Math" w:cs="Arial"/>
                              <w:sz w:val="16"/>
                              <w:szCs w:val="16"/>
                            </w:rPr>
                            <m:t>prod</m:t>
                          </m:r>
                        </m:sub>
                      </m:sSub>
                    </m:e>
                    <m:e>
                      <m:r>
                        <w:rPr>
                          <w:rFonts w:ascii="Cambria Math" w:hAnsi="Cambria Math" w:cs="Arial"/>
                          <w:sz w:val="16"/>
                          <w:szCs w:val="16"/>
                        </w:rPr>
                        <m:t>i</m:t>
                      </m:r>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I</m:t>
                          </m:r>
                        </m:e>
                        <m:sub>
                          <m:r>
                            <w:rPr>
                              <w:rFonts w:ascii="Cambria Math" w:hAnsi="Cambria Math" w:cs="Arial"/>
                              <w:sz w:val="16"/>
                              <w:szCs w:val="16"/>
                            </w:rPr>
                            <m:t>f</m:t>
                          </m:r>
                        </m:sub>
                      </m:sSub>
                    </m:e>
                  </m:eqArr>
                </m:sub>
                <m:sup/>
                <m:e>
                  <m:sSub>
                    <m:sSubPr>
                      <m:ctrlPr>
                        <w:rPr>
                          <w:rFonts w:ascii="Cambria Math" w:hAnsi="Cambria Math" w:cs="Arial"/>
                          <w:i/>
                          <w:sz w:val="16"/>
                          <w:szCs w:val="16"/>
                        </w:rPr>
                      </m:ctrlPr>
                    </m:sSubPr>
                    <m:e>
                      <m:sSub>
                        <m:sSubPr>
                          <m:ctrlPr>
                            <w:rPr>
                              <w:rFonts w:ascii="Cambria Math" w:hAnsi="Cambria Math" w:cs="Arial"/>
                              <w:i/>
                              <w:sz w:val="16"/>
                              <w:szCs w:val="16"/>
                            </w:rPr>
                          </m:ctrlPr>
                        </m:sSubPr>
                        <m:e>
                          <m:r>
                            <w:rPr>
                              <w:rFonts w:ascii="Cambria Math" w:hAnsi="Cambria Math" w:cs="Arial"/>
                              <w:sz w:val="16"/>
                              <w:szCs w:val="16"/>
                            </w:rPr>
                            <m:t>opc</m:t>
                          </m:r>
                        </m:e>
                        <m:sub>
                          <m:r>
                            <w:rPr>
                              <w:rFonts w:ascii="Cambria Math" w:hAnsi="Cambria Math" w:cs="Arial"/>
                              <w:sz w:val="16"/>
                              <w:szCs w:val="16"/>
                            </w:rPr>
                            <m:t>g</m:t>
                          </m:r>
                        </m:sub>
                      </m:sSub>
                      <m:r>
                        <w:rPr>
                          <w:rFonts w:ascii="Cambria Math" w:hAnsi="Cambria Math" w:cs="Arial"/>
                          <w:sz w:val="16"/>
                          <w:szCs w:val="16"/>
                        </w:rPr>
                        <m:t>P</m:t>
                      </m:r>
                    </m:e>
                    <m:sub>
                      <m:r>
                        <w:rPr>
                          <w:rFonts w:ascii="Cambria Math" w:hAnsi="Cambria Math" w:cs="Arial"/>
                          <w:sz w:val="16"/>
                          <w:szCs w:val="16"/>
                        </w:rPr>
                        <m:t>mgit</m:t>
                      </m:r>
                      <m:r>
                        <w:rPr>
                          <w:rFonts w:ascii="Cambria Math" w:hAnsi="Cambria Math" w:cs="Arial"/>
                          <w:sz w:val="16"/>
                          <w:szCs w:val="16"/>
                        </w:rPr>
                        <m:t xml:space="preserve"> </m:t>
                      </m:r>
                    </m:sub>
                  </m:sSub>
                </m:e>
              </m:nary>
            </m:e>
          </m:d>
        </m:oMath>
      </m:oMathPara>
    </w:p>
    <w:p w14:paraId="758F8D7D" w14:textId="77777777" w:rsidR="00314241" w:rsidRPr="00B542CD" w:rsidRDefault="00314241" w:rsidP="00925C2B">
      <w:pPr>
        <w:spacing w:before="120" w:after="120"/>
        <w:ind w:right="-936"/>
        <w:rPr>
          <w:rFonts w:ascii="Calibri" w:hAnsi="Calibri" w:cs="Arial"/>
          <w:i/>
        </w:rPr>
      </w:pPr>
      <m:oMathPara>
        <m:oMathParaPr>
          <m:jc m:val="left"/>
        </m:oMathParaPr>
        <m:oMath>
          <m:r>
            <w:rPr>
              <w:rFonts w:ascii="Cambria Math" w:eastAsia="Calibri" w:hAnsi="Cambria Math" w:cs="Arial"/>
              <w:sz w:val="16"/>
              <w:szCs w:val="16"/>
            </w:rPr>
            <m:t>+</m:t>
          </m:r>
          <m:nary>
            <m:naryPr>
              <m:chr m:val="∑"/>
              <m:supHide m:val="1"/>
              <m:ctrlPr>
                <w:rPr>
                  <w:rFonts w:ascii="Cambria Math" w:eastAsia="Calibri" w:hAnsi="Cambria Math" w:cs="Arial"/>
                  <w:i/>
                  <w:sz w:val="16"/>
                  <w:szCs w:val="16"/>
                </w:rPr>
              </m:ctrlPr>
            </m:naryPr>
            <m:sub>
              <m:eqArr>
                <m:eqArrPr>
                  <m:ctrlPr>
                    <w:rPr>
                      <w:rFonts w:ascii="Cambria Math" w:eastAsia="Calibri" w:hAnsi="Cambria Math" w:cs="Arial"/>
                      <w:i/>
                      <w:sz w:val="16"/>
                      <w:szCs w:val="16"/>
                    </w:rPr>
                  </m:ctrlPr>
                </m:eqArrPr>
                <m:e>
                  <m:d>
                    <m:dPr>
                      <m:ctrlPr>
                        <w:rPr>
                          <w:rFonts w:ascii="Cambria Math" w:eastAsia="Calibri" w:hAnsi="Cambria Math" w:cs="Arial"/>
                          <w:i/>
                          <w:sz w:val="16"/>
                          <w:szCs w:val="16"/>
                        </w:rPr>
                      </m:ctrlPr>
                    </m:dPr>
                    <m:e>
                      <m:r>
                        <w:rPr>
                          <w:rFonts w:ascii="Cambria Math" w:eastAsia="Calibri" w:hAnsi="Cambria Math" w:cs="Arial"/>
                          <w:sz w:val="16"/>
                          <w:szCs w:val="16"/>
                        </w:rPr>
                        <m:t>m,g</m:t>
                      </m:r>
                    </m:e>
                  </m:d>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H</m:t>
                      </m:r>
                    </m:e>
                    <m:sub>
                      <m:r>
                        <w:rPr>
                          <w:rFonts w:ascii="Cambria Math" w:eastAsia="Calibri" w:hAnsi="Cambria Math" w:cs="Arial"/>
                          <w:sz w:val="16"/>
                          <w:szCs w:val="16"/>
                        </w:rPr>
                        <m:t>stor</m:t>
                      </m:r>
                    </m:sub>
                  </m:sSub>
                </m:e>
                <m:e>
                  <m:r>
                    <w:rPr>
                      <w:rFonts w:ascii="Cambria Math" w:eastAsia="Calibri" w:hAnsi="Cambria Math" w:cs="Arial"/>
                      <w:sz w:val="16"/>
                      <w:szCs w:val="16"/>
                    </w:rPr>
                    <m:t>i∈</m:t>
                  </m:r>
                  <m:sSub>
                    <m:sSubPr>
                      <m:ctrlPr>
                        <w:rPr>
                          <w:rFonts w:ascii="Cambria Math" w:eastAsia="Calibri" w:hAnsi="Cambria Math" w:cs="Arial"/>
                          <w:i/>
                          <w:sz w:val="16"/>
                          <w:szCs w:val="16"/>
                        </w:rPr>
                      </m:ctrlPr>
                    </m:sSubPr>
                    <m:e>
                      <m:r>
                        <w:rPr>
                          <w:rFonts w:ascii="Cambria Math" w:eastAsia="Calibri" w:hAnsi="Cambria Math" w:cs="Arial"/>
                          <w:sz w:val="16"/>
                          <w:szCs w:val="16"/>
                        </w:rPr>
                        <m:t>(I</m:t>
                      </m:r>
                    </m:e>
                    <m:sub>
                      <m:r>
                        <w:rPr>
                          <w:rFonts w:ascii="Cambria Math" w:eastAsia="Calibri" w:hAnsi="Cambria Math" w:cs="Arial"/>
                          <w:sz w:val="16"/>
                          <w:szCs w:val="16"/>
                        </w:rPr>
                        <m:t>f</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I</m:t>
                      </m:r>
                    </m:e>
                    <m:sub>
                      <m:r>
                        <w:rPr>
                          <w:rFonts w:ascii="Cambria Math" w:eastAsia="Calibri" w:hAnsi="Cambria Math" w:cs="Arial"/>
                          <w:sz w:val="16"/>
                          <w:szCs w:val="16"/>
                        </w:rPr>
                        <m:t>w</m:t>
                      </m:r>
                    </m:sub>
                  </m:sSub>
                  <m:r>
                    <w:rPr>
                      <w:rFonts w:ascii="Cambria Math" w:eastAsia="Calibri" w:hAnsi="Cambria Math" w:cs="Arial"/>
                      <w:sz w:val="16"/>
                      <w:szCs w:val="16"/>
                    </w:rPr>
                    <m:t>)</m:t>
                  </m:r>
                </m:e>
              </m:eqArr>
            </m:sub>
            <m:sup/>
            <m:e>
              <m:sSub>
                <m:sSubPr>
                  <m:ctrlPr>
                    <w:rPr>
                      <w:rFonts w:ascii="Cambria Math" w:eastAsia="Calibri" w:hAnsi="Cambria Math" w:cs="Arial"/>
                      <w:i/>
                      <w:sz w:val="16"/>
                      <w:szCs w:val="16"/>
                    </w:rPr>
                  </m:ctrlPr>
                </m:sSubPr>
                <m:e>
                  <m:sSub>
                    <m:sSubPr>
                      <m:ctrlPr>
                        <w:rPr>
                          <w:rFonts w:ascii="Cambria Math" w:eastAsia="Calibri" w:hAnsi="Cambria Math" w:cs="Arial"/>
                          <w:i/>
                          <w:sz w:val="16"/>
                          <w:szCs w:val="16"/>
                        </w:rPr>
                      </m:ctrlPr>
                    </m:sSubPr>
                    <m:e>
                      <m:r>
                        <w:rPr>
                          <w:rFonts w:ascii="Cambria Math" w:eastAsia="Calibri" w:hAnsi="Cambria Math" w:cs="Arial"/>
                          <w:sz w:val="16"/>
                          <w:szCs w:val="16"/>
                        </w:rPr>
                        <m:t>opc</m:t>
                      </m:r>
                    </m:e>
                    <m:sub>
                      <m:r>
                        <w:rPr>
                          <w:rFonts w:ascii="Cambria Math" w:eastAsia="Calibri" w:hAnsi="Cambria Math" w:cs="Arial"/>
                          <w:sz w:val="16"/>
                          <w:szCs w:val="16"/>
                        </w:rPr>
                        <m:t>g</m:t>
                      </m:r>
                    </m:sub>
                  </m:sSub>
                  <m:r>
                    <w:rPr>
                      <w:rFonts w:ascii="Cambria Math" w:eastAsia="Calibri" w:hAnsi="Cambria Math" w:cs="Arial"/>
                      <w:sz w:val="16"/>
                      <w:szCs w:val="16"/>
                    </w:rPr>
                    <m:t>S</m:t>
                  </m:r>
                </m:e>
                <m:sub>
                  <m:r>
                    <w:rPr>
                      <w:rFonts w:ascii="Cambria Math" w:eastAsia="Calibri" w:hAnsi="Cambria Math" w:cs="Arial"/>
                      <w:sz w:val="16"/>
                      <w:szCs w:val="16"/>
                    </w:rPr>
                    <m:t xml:space="preserve">mgit </m:t>
                  </m:r>
                </m:sub>
              </m:sSub>
            </m:e>
          </m:nary>
          <m:r>
            <w:rPr>
              <w:rFonts w:ascii="Cambria Math" w:eastAsia="Calibri" w:hAnsi="Cambria Math" w:cs="Arial"/>
              <w:sz w:val="16"/>
              <w:szCs w:val="16"/>
            </w:rPr>
            <m:t>+</m:t>
          </m:r>
          <m:nary>
            <m:naryPr>
              <m:chr m:val="∑"/>
              <m:supHide m:val="1"/>
              <m:ctrlPr>
                <w:rPr>
                  <w:rFonts w:ascii="Cambria Math" w:eastAsia="Calibri" w:hAnsi="Cambria Math" w:cs="Arial"/>
                  <w:i/>
                  <w:sz w:val="16"/>
                  <w:szCs w:val="16"/>
                </w:rPr>
              </m:ctrlPr>
            </m:naryPr>
            <m:sub>
              <m:eqArr>
                <m:eqArrPr>
                  <m:ctrlPr>
                    <w:rPr>
                      <w:rFonts w:ascii="Cambria Math" w:eastAsia="Calibri" w:hAnsi="Cambria Math" w:cs="Arial"/>
                      <w:i/>
                      <w:sz w:val="16"/>
                      <w:szCs w:val="16"/>
                    </w:rPr>
                  </m:ctrlPr>
                </m:eqArrPr>
                <m:e>
                  <m:d>
                    <m:dPr>
                      <m:ctrlPr>
                        <w:rPr>
                          <w:rFonts w:ascii="Cambria Math" w:eastAsia="Calibri" w:hAnsi="Cambria Math" w:cs="Arial"/>
                          <w:i/>
                          <w:sz w:val="16"/>
                          <w:szCs w:val="16"/>
                        </w:rPr>
                      </m:ctrlPr>
                    </m:dPr>
                    <m:e>
                      <m:r>
                        <w:rPr>
                          <w:rFonts w:ascii="Cambria Math" w:eastAsia="Calibri" w:hAnsi="Cambria Math" w:cs="Arial"/>
                          <w:sz w:val="16"/>
                          <w:szCs w:val="16"/>
                        </w:rPr>
                        <m:t>a,m,i,j</m:t>
                      </m:r>
                    </m:e>
                  </m:d>
                  <m:r>
                    <w:rPr>
                      <w:rFonts w:ascii="Cambria Math" w:eastAsia="Calibri" w:hAnsi="Cambria Math" w:cs="Arial"/>
                      <w:sz w:val="16"/>
                      <w:szCs w:val="16"/>
                    </w:rPr>
                    <m:t>∈NetP</m:t>
                  </m:r>
                </m:e>
                <m:e>
                  <m:r>
                    <w:rPr>
                      <w:rFonts w:ascii="Cambria Math" w:eastAsia="Calibri" w:hAnsi="Cambria Math" w:cs="Arial"/>
                      <w:sz w:val="16"/>
                      <w:szCs w:val="16"/>
                    </w:rPr>
                    <m:t>a∈</m:t>
                  </m:r>
                  <m:sSub>
                    <m:sSubPr>
                      <m:ctrlPr>
                        <w:rPr>
                          <w:rFonts w:ascii="Cambria Math" w:eastAsia="Calibri" w:hAnsi="Cambria Math" w:cs="Arial"/>
                          <w:i/>
                          <w:sz w:val="16"/>
                          <w:szCs w:val="16"/>
                        </w:rPr>
                      </m:ctrlPr>
                    </m:sSubPr>
                    <m:e>
                      <m:r>
                        <w:rPr>
                          <w:rFonts w:ascii="Cambria Math" w:eastAsia="Calibri" w:hAnsi="Cambria Math" w:cs="Arial"/>
                          <w:sz w:val="16"/>
                          <w:szCs w:val="16"/>
                        </w:rPr>
                        <m:t>(A</m:t>
                      </m:r>
                    </m:e>
                    <m:sub>
                      <m:r>
                        <w:rPr>
                          <w:rFonts w:ascii="Cambria Math" w:eastAsia="Calibri" w:hAnsi="Cambria Math" w:cs="Arial"/>
                          <w:sz w:val="16"/>
                          <w:szCs w:val="16"/>
                        </w:rPr>
                        <m:t>plane</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A</m:t>
                      </m:r>
                    </m:e>
                    <m:sub>
                      <m:r>
                        <w:rPr>
                          <w:rFonts w:ascii="Cambria Math" w:eastAsia="Calibri" w:hAnsi="Cambria Math" w:cs="Arial"/>
                          <w:sz w:val="16"/>
                          <w:szCs w:val="16"/>
                        </w:rPr>
                        <m:t>boat</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A</m:t>
                      </m:r>
                    </m:e>
                    <m:sub>
                      <m:r>
                        <w:rPr>
                          <w:rFonts w:ascii="Cambria Math" w:eastAsia="Calibri" w:hAnsi="Cambria Math" w:cs="Arial"/>
                          <w:sz w:val="16"/>
                          <w:szCs w:val="16"/>
                        </w:rPr>
                        <m:t>trucks</m:t>
                      </m:r>
                    </m:sub>
                  </m:sSub>
                  <m:r>
                    <w:rPr>
                      <w:rFonts w:ascii="Cambria Math" w:eastAsia="Calibri" w:hAnsi="Cambria Math" w:cs="Arial"/>
                      <w:sz w:val="16"/>
                      <w:szCs w:val="16"/>
                    </w:rPr>
                    <m:t>)</m:t>
                  </m:r>
                </m:e>
              </m:eqArr>
            </m:sub>
            <m:sup/>
            <m:e>
              <m:sSub>
                <m:sSubPr>
                  <m:ctrlPr>
                    <w:rPr>
                      <w:rFonts w:ascii="Cambria Math" w:eastAsia="Calibri" w:hAnsi="Cambria Math" w:cs="Arial"/>
                      <w:i/>
                      <w:sz w:val="16"/>
                      <w:szCs w:val="16"/>
                    </w:rPr>
                  </m:ctrlPr>
                </m:sSubPr>
                <m:e>
                  <m:sSub>
                    <m:sSubPr>
                      <m:ctrlPr>
                        <w:rPr>
                          <w:rFonts w:ascii="Cambria Math" w:eastAsia="Calibri" w:hAnsi="Cambria Math" w:cs="Arial"/>
                          <w:i/>
                          <w:sz w:val="16"/>
                          <w:szCs w:val="16"/>
                        </w:rPr>
                      </m:ctrlPr>
                    </m:sSubPr>
                    <m:e>
                      <m:r>
                        <w:rPr>
                          <w:rFonts w:ascii="Cambria Math" w:eastAsia="Calibri" w:hAnsi="Cambria Math" w:cs="Arial"/>
                          <w:sz w:val="16"/>
                          <w:szCs w:val="16"/>
                        </w:rPr>
                        <m:t>tc</m:t>
                      </m:r>
                    </m:e>
                    <m:sub>
                      <m:r>
                        <w:rPr>
                          <w:rFonts w:ascii="Cambria Math" w:eastAsia="Calibri" w:hAnsi="Cambria Math" w:cs="Arial"/>
                          <w:sz w:val="16"/>
                          <w:szCs w:val="16"/>
                        </w:rPr>
                        <m:t>a</m:t>
                      </m:r>
                    </m:sub>
                  </m:sSub>
                  <m:sSub>
                    <m:sSubPr>
                      <m:ctrlPr>
                        <w:rPr>
                          <w:rFonts w:ascii="Cambria Math" w:eastAsia="Calibri" w:hAnsi="Cambria Math" w:cs="Arial"/>
                          <w:i/>
                          <w:sz w:val="16"/>
                          <w:szCs w:val="16"/>
                        </w:rPr>
                      </m:ctrlPr>
                    </m:sSubPr>
                    <m:e>
                      <m:r>
                        <w:rPr>
                          <w:rFonts w:ascii="Cambria Math" w:eastAsia="Calibri" w:hAnsi="Cambria Math" w:cs="Arial"/>
                          <w:sz w:val="16"/>
                          <w:szCs w:val="16"/>
                        </w:rPr>
                        <m:t>.pw</m:t>
                      </m:r>
                    </m:e>
                    <m:sub>
                      <m:r>
                        <w:rPr>
                          <w:rFonts w:ascii="Cambria Math" w:eastAsia="Calibri" w:hAnsi="Cambria Math" w:cs="Arial"/>
                          <w:sz w:val="16"/>
                          <w:szCs w:val="16"/>
                        </w:rPr>
                        <m:t>m</m:t>
                      </m:r>
                    </m:sub>
                  </m:sSub>
                  <m:r>
                    <w:rPr>
                      <w:rFonts w:ascii="Cambria Math" w:eastAsia="Calibri" w:hAnsi="Cambria Math" w:cs="Arial"/>
                      <w:sz w:val="16"/>
                      <w:szCs w:val="16"/>
                    </w:rPr>
                    <m:t>.d</m:t>
                  </m:r>
                </m:e>
                <m:sub>
                  <m:r>
                    <w:rPr>
                      <w:rFonts w:ascii="Cambria Math" w:eastAsia="Calibri" w:hAnsi="Cambria Math" w:cs="Arial"/>
                      <w:sz w:val="16"/>
                      <w:szCs w:val="16"/>
                    </w:rPr>
                    <m:t>ij</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X</m:t>
                  </m:r>
                </m:e>
                <m:sub>
                  <m:r>
                    <w:rPr>
                      <w:rFonts w:ascii="Cambria Math" w:eastAsia="Calibri" w:hAnsi="Cambria Math" w:cs="Arial"/>
                      <w:sz w:val="16"/>
                      <w:szCs w:val="16"/>
                    </w:rPr>
                    <m:t>maijt</m:t>
                  </m:r>
                </m:sub>
              </m:sSub>
            </m:e>
          </m:nary>
          <m:r>
            <w:rPr>
              <w:rFonts w:ascii="Cambria Math" w:eastAsia="Calibri" w:hAnsi="Cambria Math" w:cs="Arial"/>
              <w:sz w:val="16"/>
              <w:szCs w:val="16"/>
            </w:rPr>
            <m:t>+</m:t>
          </m:r>
          <m:nary>
            <m:naryPr>
              <m:chr m:val="∑"/>
              <m:supHide m:val="1"/>
              <m:ctrlPr>
                <w:rPr>
                  <w:rFonts w:ascii="Cambria Math" w:eastAsia="Calibri" w:hAnsi="Cambria Math" w:cs="Arial"/>
                  <w:i/>
                  <w:sz w:val="16"/>
                  <w:szCs w:val="16"/>
                </w:rPr>
              </m:ctrlPr>
            </m:naryPr>
            <m:sub>
              <m:eqArr>
                <m:eqArrPr>
                  <m:ctrlPr>
                    <w:rPr>
                      <w:rFonts w:ascii="Cambria Math" w:eastAsia="Calibri" w:hAnsi="Cambria Math" w:cs="Arial"/>
                      <w:i/>
                      <w:sz w:val="16"/>
                      <w:szCs w:val="16"/>
                    </w:rPr>
                  </m:ctrlPr>
                </m:eqArrPr>
                <m:e>
                  <m:d>
                    <m:dPr>
                      <m:ctrlPr>
                        <w:rPr>
                          <w:rFonts w:ascii="Cambria Math" w:eastAsia="Calibri" w:hAnsi="Cambria Math" w:cs="Arial"/>
                          <w:i/>
                          <w:sz w:val="16"/>
                          <w:szCs w:val="16"/>
                        </w:rPr>
                      </m:ctrlPr>
                    </m:dPr>
                    <m:e>
                      <m:r>
                        <w:rPr>
                          <w:rFonts w:ascii="Cambria Math" w:eastAsia="Calibri" w:hAnsi="Cambria Math" w:cs="Arial"/>
                          <w:sz w:val="16"/>
                          <w:szCs w:val="16"/>
                        </w:rPr>
                        <m:t>a,m,i,j</m:t>
                      </m:r>
                    </m:e>
                  </m:d>
                  <m:r>
                    <w:rPr>
                      <w:rFonts w:ascii="Cambria Math" w:eastAsia="Calibri" w:hAnsi="Cambria Math" w:cs="Arial"/>
                      <w:sz w:val="16"/>
                      <w:szCs w:val="16"/>
                    </w:rPr>
                    <m:t>∈NetP</m:t>
                  </m:r>
                </m:e>
                <m:e>
                  <m:r>
                    <w:rPr>
                      <w:rFonts w:ascii="Cambria Math" w:eastAsia="Calibri" w:hAnsi="Cambria Math" w:cs="Arial"/>
                      <w:sz w:val="16"/>
                      <w:szCs w:val="16"/>
                    </w:rPr>
                    <m:t>(j∈</m:t>
                  </m:r>
                  <m:sSub>
                    <m:sSubPr>
                      <m:ctrlPr>
                        <w:rPr>
                          <w:rFonts w:ascii="Cambria Math" w:eastAsia="Calibri" w:hAnsi="Cambria Math" w:cs="Arial"/>
                          <w:i/>
                          <w:sz w:val="16"/>
                          <w:szCs w:val="16"/>
                        </w:rPr>
                      </m:ctrlPr>
                    </m:sSubPr>
                    <m:e>
                      <m:r>
                        <w:rPr>
                          <w:rFonts w:ascii="Cambria Math" w:eastAsia="Calibri" w:hAnsi="Cambria Math" w:cs="Arial"/>
                          <w:sz w:val="16"/>
                          <w:szCs w:val="16"/>
                        </w:rPr>
                        <m:t>I</m:t>
                      </m:r>
                    </m:e>
                    <m:sub>
                      <m:r>
                        <w:rPr>
                          <w:rFonts w:ascii="Cambria Math" w:eastAsia="Calibri" w:hAnsi="Cambria Math" w:cs="Arial"/>
                          <w:sz w:val="16"/>
                          <w:szCs w:val="16"/>
                        </w:rPr>
                        <m:t>plane/boat</m:t>
                      </m:r>
                    </m:sub>
                  </m:sSub>
                  <m:r>
                    <w:rPr>
                      <w:rFonts w:ascii="Cambria Math" w:eastAsia="Calibri" w:hAnsi="Cambria Math" w:cs="Arial"/>
                      <w:sz w:val="16"/>
                      <w:szCs w:val="16"/>
                    </w:rPr>
                    <m:t>∧i∉</m:t>
                  </m:r>
                  <m:sSub>
                    <m:sSubPr>
                      <m:ctrlPr>
                        <w:rPr>
                          <w:rFonts w:ascii="Cambria Math" w:eastAsia="Calibri" w:hAnsi="Cambria Math" w:cs="Arial"/>
                          <w:i/>
                          <w:sz w:val="16"/>
                          <w:szCs w:val="16"/>
                        </w:rPr>
                      </m:ctrlPr>
                    </m:sSubPr>
                    <m:e>
                      <m:r>
                        <w:rPr>
                          <w:rFonts w:ascii="Cambria Math" w:eastAsia="Calibri" w:hAnsi="Cambria Math" w:cs="Arial"/>
                          <w:sz w:val="16"/>
                          <w:szCs w:val="16"/>
                        </w:rPr>
                        <m:t>I</m:t>
                      </m:r>
                    </m:e>
                    <m:sub>
                      <m:r>
                        <w:rPr>
                          <w:rFonts w:ascii="Cambria Math" w:eastAsia="Calibri" w:hAnsi="Cambria Math" w:cs="Arial"/>
                          <w:sz w:val="16"/>
                          <w:szCs w:val="16"/>
                        </w:rPr>
                        <m:t>plane/boat</m:t>
                      </m:r>
                    </m:sub>
                  </m:sSub>
                  <m:r>
                    <w:rPr>
                      <w:rFonts w:ascii="Cambria Math" w:eastAsia="Calibri" w:hAnsi="Cambria Math" w:cs="Arial"/>
                      <w:sz w:val="16"/>
                      <w:szCs w:val="16"/>
                    </w:rPr>
                    <m:t>)</m:t>
                  </m:r>
                </m:e>
              </m:eqArr>
            </m:sub>
            <m:sup/>
            <m:e>
              <m:sSub>
                <m:sSubPr>
                  <m:ctrlPr>
                    <w:rPr>
                      <w:rFonts w:ascii="Cambria Math" w:eastAsia="Calibri" w:hAnsi="Cambria Math" w:cs="Arial"/>
                      <w:i/>
                      <w:sz w:val="16"/>
                      <w:szCs w:val="16"/>
                    </w:rPr>
                  </m:ctrlPr>
                </m:sSubPr>
                <m:e>
                  <m:r>
                    <w:rPr>
                      <w:rFonts w:ascii="Cambria Math" w:eastAsia="Calibri" w:hAnsi="Cambria Math" w:cs="Arial"/>
                      <w:sz w:val="16"/>
                      <w:szCs w:val="16"/>
                    </w:rPr>
                    <m:t>hhc</m:t>
                  </m:r>
                </m:e>
                <m:sub>
                  <m:r>
                    <w:rPr>
                      <w:rFonts w:ascii="Cambria Math" w:eastAsia="Calibri" w:hAnsi="Cambria Math" w:cs="Arial"/>
                      <w:sz w:val="16"/>
                      <w:szCs w:val="16"/>
                    </w:rPr>
                    <m:t>j</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X</m:t>
                  </m:r>
                </m:e>
                <m:sub>
                  <m:r>
                    <w:rPr>
                      <w:rFonts w:ascii="Cambria Math" w:eastAsia="Calibri" w:hAnsi="Cambria Math" w:cs="Arial"/>
                      <w:sz w:val="16"/>
                      <w:szCs w:val="16"/>
                    </w:rPr>
                    <m:t>maijt</m:t>
                  </m:r>
                </m:sub>
              </m:sSub>
            </m:e>
          </m:nary>
        </m:oMath>
      </m:oMathPara>
    </w:p>
    <w:p w14:paraId="1F33F73D" w14:textId="3C3A4F09" w:rsidR="00314241" w:rsidRPr="00B542CD" w:rsidRDefault="00314241" w:rsidP="00925C2B">
      <w:pPr>
        <w:spacing w:before="120" w:after="120"/>
        <w:rPr>
          <w:rFonts w:eastAsiaTheme="minorEastAsia"/>
          <w:sz w:val="16"/>
          <w:szCs w:val="16"/>
        </w:rPr>
      </w:pPr>
      <m:oMathPara>
        <m:oMathParaPr>
          <m:jc m:val="left"/>
        </m:oMathParaPr>
        <m:oMath>
          <m:r>
            <w:rPr>
              <w:rFonts w:ascii="Cambria Math" w:eastAsia="Calibri" w:hAnsi="Cambria Math" w:cs="Arial"/>
              <w:sz w:val="16"/>
              <w:szCs w:val="16"/>
            </w:rPr>
            <m:t>+</m:t>
          </m:r>
          <m:nary>
            <m:naryPr>
              <m:chr m:val="∑"/>
              <m:limLoc m:val="undOvr"/>
              <m:supHide m:val="1"/>
              <m:ctrlPr>
                <w:rPr>
                  <w:rFonts w:ascii="Cambria Math" w:eastAsia="Calibri" w:hAnsi="Cambria Math" w:cs="Arial"/>
                  <w:i/>
                  <w:sz w:val="16"/>
                  <w:szCs w:val="16"/>
                </w:rPr>
              </m:ctrlPr>
            </m:naryPr>
            <m:sub>
              <m:r>
                <w:rPr>
                  <w:rFonts w:ascii="Cambria Math" w:eastAsia="Calibri" w:hAnsi="Cambria Math" w:cs="Arial"/>
                  <w:sz w:val="16"/>
                  <w:szCs w:val="16"/>
                </w:rPr>
                <m:t>i∈</m:t>
              </m:r>
              <m:sSub>
                <m:sSubPr>
                  <m:ctrlPr>
                    <w:rPr>
                      <w:rFonts w:ascii="Cambria Math" w:eastAsia="Calibri" w:hAnsi="Cambria Math" w:cs="Arial"/>
                      <w:i/>
                      <w:sz w:val="16"/>
                      <w:szCs w:val="16"/>
                    </w:rPr>
                  </m:ctrlPr>
                </m:sSubPr>
                <m:e>
                  <m:r>
                    <w:rPr>
                      <w:rFonts w:ascii="Cambria Math" w:eastAsia="Calibri" w:hAnsi="Cambria Math" w:cs="Arial"/>
                      <w:sz w:val="16"/>
                      <w:szCs w:val="16"/>
                    </w:rPr>
                    <m:t>(I</m:t>
                  </m:r>
                </m:e>
                <m:sub>
                  <m:r>
                    <w:rPr>
                      <w:rFonts w:ascii="Cambria Math" w:eastAsia="Calibri" w:hAnsi="Cambria Math" w:cs="Arial"/>
                      <w:sz w:val="16"/>
                      <w:szCs w:val="16"/>
                    </w:rPr>
                    <m:t>plane</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I</m:t>
                  </m:r>
                </m:e>
                <m:sub>
                  <m:r>
                    <w:rPr>
                      <w:rFonts w:ascii="Cambria Math" w:eastAsia="Calibri" w:hAnsi="Cambria Math" w:cs="Arial"/>
                      <w:sz w:val="16"/>
                      <w:szCs w:val="16"/>
                    </w:rPr>
                    <m:t>boat</m:t>
                  </m:r>
                </m:sub>
              </m:sSub>
              <m:r>
                <w:rPr>
                  <w:rFonts w:ascii="Cambria Math" w:eastAsia="Calibri" w:hAnsi="Cambria Math" w:cs="Arial"/>
                  <w:sz w:val="16"/>
                  <w:szCs w:val="16"/>
                </w:rPr>
                <m:t>)</m:t>
              </m:r>
            </m:sub>
            <m:sup/>
            <m:e>
              <m:sSub>
                <m:sSubPr>
                  <m:ctrlPr>
                    <w:rPr>
                      <w:rFonts w:ascii="Cambria Math" w:eastAsia="Calibri" w:hAnsi="Cambria Math" w:cs="Arial"/>
                      <w:i/>
                      <w:sz w:val="16"/>
                      <w:szCs w:val="16"/>
                    </w:rPr>
                  </m:ctrlPr>
                </m:sSubPr>
                <m:e>
                  <m:r>
                    <w:rPr>
                      <w:rFonts w:ascii="Cambria Math" w:eastAsia="Calibri" w:hAnsi="Cambria Math" w:cs="Arial"/>
                      <w:sz w:val="16"/>
                      <w:szCs w:val="16"/>
                    </w:rPr>
                    <m:t>cfp</m:t>
                  </m:r>
                </m:e>
                <m:sub>
                  <m:r>
                    <w:rPr>
                      <w:rFonts w:ascii="Cambria Math" w:eastAsia="Calibri" w:hAnsi="Cambria Math" w:cs="Arial"/>
                      <w:sz w:val="16"/>
                      <w:szCs w:val="16"/>
                    </w:rPr>
                    <m:t>i</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Y</m:t>
                  </m:r>
                </m:e>
                <m:sub>
                  <m:r>
                    <w:rPr>
                      <w:rFonts w:ascii="Cambria Math" w:eastAsia="Calibri" w:hAnsi="Cambria Math" w:cs="Arial"/>
                      <w:sz w:val="16"/>
                      <w:szCs w:val="16"/>
                    </w:rPr>
                    <m:t>i</m:t>
                  </m:r>
                </m:sub>
              </m:sSub>
            </m:e>
          </m:nary>
          <m:r>
            <w:rPr>
              <w:rFonts w:ascii="Cambria Math" w:eastAsia="Calibri" w:hAnsi="Cambria Math" w:cs="Arial"/>
              <w:sz w:val="16"/>
              <w:szCs w:val="16"/>
            </w:rPr>
            <m:t xml:space="preserve"> + </m:t>
          </m:r>
          <m:nary>
            <m:naryPr>
              <m:chr m:val="∑"/>
              <m:limLoc m:val="undOvr"/>
              <m:supHide m:val="1"/>
              <m:ctrlPr>
                <w:rPr>
                  <w:rFonts w:ascii="Cambria Math" w:eastAsia="Calibri" w:hAnsi="Cambria Math" w:cs="Arial"/>
                  <w:i/>
                  <w:sz w:val="16"/>
                  <w:szCs w:val="16"/>
                </w:rPr>
              </m:ctrlPr>
            </m:naryPr>
            <m:sub>
              <m:eqArr>
                <m:eqArrPr>
                  <m:ctrlPr>
                    <w:rPr>
                      <w:rFonts w:ascii="Cambria Math" w:eastAsia="Calibri" w:hAnsi="Cambria Math" w:cs="Arial"/>
                      <w:i/>
                      <w:sz w:val="16"/>
                      <w:szCs w:val="16"/>
                    </w:rPr>
                  </m:ctrlPr>
                </m:eqArrPr>
                <m:e>
                  <m:d>
                    <m:dPr>
                      <m:ctrlPr>
                        <w:rPr>
                          <w:rFonts w:ascii="Cambria Math" w:eastAsia="Calibri" w:hAnsi="Cambria Math" w:cs="Arial"/>
                          <w:i/>
                          <w:sz w:val="16"/>
                          <w:szCs w:val="16"/>
                        </w:rPr>
                      </m:ctrlPr>
                    </m:dPr>
                    <m:e>
                      <m:r>
                        <w:rPr>
                          <w:rFonts w:ascii="Cambria Math" w:eastAsia="Calibri" w:hAnsi="Cambria Math" w:cs="Arial"/>
                          <w:sz w:val="16"/>
                          <w:szCs w:val="16"/>
                        </w:rPr>
                        <m:t>m,g</m:t>
                      </m:r>
                    </m:e>
                  </m:d>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H</m:t>
                      </m:r>
                    </m:e>
                    <m:sub>
                      <m:r>
                        <w:rPr>
                          <w:rFonts w:ascii="Cambria Math" w:eastAsia="Calibri" w:hAnsi="Cambria Math" w:cs="Arial"/>
                          <w:sz w:val="16"/>
                          <w:szCs w:val="16"/>
                        </w:rPr>
                        <m:t>stor</m:t>
                      </m:r>
                    </m:sub>
                  </m:sSub>
                </m:e>
                <m:e>
                  <m:d>
                    <m:dPr>
                      <m:ctrlPr>
                        <w:rPr>
                          <w:rFonts w:ascii="Cambria Math" w:eastAsia="Calibri" w:hAnsi="Cambria Math" w:cs="Arial"/>
                          <w:i/>
                          <w:sz w:val="16"/>
                          <w:szCs w:val="16"/>
                        </w:rPr>
                      </m:ctrlPr>
                    </m:dPr>
                    <m:e>
                      <m:r>
                        <w:rPr>
                          <w:rFonts w:ascii="Cambria Math" w:eastAsia="Calibri" w:hAnsi="Cambria Math" w:cs="Arial"/>
                          <w:sz w:val="16"/>
                          <w:szCs w:val="16"/>
                        </w:rPr>
                        <m:t>m,i</m:t>
                      </m:r>
                    </m:e>
                  </m:d>
                  <m:r>
                    <w:rPr>
                      <w:rFonts w:ascii="Cambria Math" w:eastAsia="Calibri" w:hAnsi="Cambria Math" w:cs="Arial"/>
                      <w:sz w:val="16"/>
                      <w:szCs w:val="16"/>
                    </w:rPr>
                    <m:t>∈V</m:t>
                  </m:r>
                </m:e>
              </m:eqArr>
            </m:sub>
            <m:sup/>
            <m:e>
              <m:sSub>
                <m:sSubPr>
                  <m:ctrlPr>
                    <w:rPr>
                      <w:rFonts w:ascii="Cambria Math" w:eastAsia="Calibri" w:hAnsi="Cambria Math" w:cs="Arial"/>
                      <w:i/>
                      <w:sz w:val="16"/>
                      <w:szCs w:val="16"/>
                    </w:rPr>
                  </m:ctrlPr>
                </m:sSubPr>
                <m:e>
                  <m:r>
                    <w:rPr>
                      <w:rFonts w:ascii="Cambria Math" w:eastAsia="Calibri" w:hAnsi="Cambria Math" w:cs="Arial"/>
                      <w:sz w:val="16"/>
                      <w:szCs w:val="16"/>
                    </w:rPr>
                    <m:t>sc</m:t>
                  </m:r>
                </m:e>
                <m:sub>
                  <m:r>
                    <w:rPr>
                      <w:rFonts w:ascii="Cambria Math" w:eastAsia="Calibri" w:hAnsi="Cambria Math" w:cs="Arial"/>
                      <w:sz w:val="16"/>
                      <w:szCs w:val="16"/>
                    </w:rPr>
                    <m:t>m</m:t>
                  </m:r>
                </m:sub>
              </m:sSub>
              <m:sSub>
                <m:sSubPr>
                  <m:ctrlPr>
                    <w:rPr>
                      <w:rFonts w:ascii="Cambria Math" w:eastAsia="Calibri" w:hAnsi="Cambria Math" w:cs="Arial"/>
                      <w:i/>
                      <w:sz w:val="16"/>
                      <w:szCs w:val="16"/>
                    </w:rPr>
                  </m:ctrlPr>
                </m:sSubPr>
                <m:e>
                  <m:r>
                    <w:rPr>
                      <w:rFonts w:ascii="Cambria Math" w:eastAsia="Calibri" w:hAnsi="Cambria Math" w:cs="Arial"/>
                      <w:sz w:val="16"/>
                      <w:szCs w:val="16"/>
                    </w:rPr>
                    <m:t>S</m:t>
                  </m:r>
                </m:e>
                <m:sub>
                  <m:r>
                    <w:rPr>
                      <w:rFonts w:ascii="Cambria Math" w:eastAsia="Calibri" w:hAnsi="Cambria Math" w:cs="Arial"/>
                      <w:sz w:val="16"/>
                      <w:szCs w:val="16"/>
                    </w:rPr>
                    <m:t>mgit</m:t>
                  </m:r>
                </m:sub>
              </m:sSub>
            </m:e>
          </m:nary>
          <m:r>
            <w:rPr>
              <w:rFonts w:ascii="Cambria Math" w:eastAsia="Calibri" w:hAnsi="Cambria Math" w:cs="Arial"/>
              <w:sz w:val="16"/>
              <w:szCs w:val="16"/>
            </w:rPr>
            <m:t xml:space="preserve">+ </m:t>
          </m:r>
          <m:nary>
            <m:naryPr>
              <m:chr m:val="∑"/>
              <m:limLoc m:val="undOvr"/>
              <m:supHide m:val="1"/>
              <m:ctrlPr>
                <w:rPr>
                  <w:rFonts w:ascii="Cambria Math" w:eastAsia="Calibri" w:hAnsi="Cambria Math" w:cs="Arial"/>
                  <w:i/>
                  <w:sz w:val="16"/>
                  <w:szCs w:val="16"/>
                </w:rPr>
              </m:ctrlPr>
            </m:naryPr>
            <m:sub>
              <m:r>
                <w:rPr>
                  <w:rFonts w:ascii="Cambria Math" w:eastAsia="Calibri" w:hAnsi="Cambria Math" w:cs="Arial"/>
                  <w:sz w:val="16"/>
                  <w:szCs w:val="16"/>
                </w:rPr>
                <m:t>i∈</m:t>
              </m:r>
              <m:sSub>
                <m:sSubPr>
                  <m:ctrlPr>
                    <w:rPr>
                      <w:rFonts w:ascii="Cambria Math" w:eastAsia="Calibri" w:hAnsi="Cambria Math" w:cs="Arial"/>
                      <w:i/>
                      <w:sz w:val="16"/>
                      <w:szCs w:val="16"/>
                    </w:rPr>
                  </m:ctrlPr>
                </m:sSubPr>
                <m:e>
                  <m:r>
                    <w:rPr>
                      <w:rFonts w:ascii="Cambria Math" w:eastAsia="Calibri" w:hAnsi="Cambria Math" w:cs="Arial"/>
                      <w:sz w:val="16"/>
                      <w:szCs w:val="16"/>
                    </w:rPr>
                    <m:t>(I</m:t>
                  </m:r>
                </m:e>
                <m:sub>
                  <m:r>
                    <w:rPr>
                      <w:rFonts w:ascii="Cambria Math" w:eastAsia="Calibri" w:hAnsi="Cambria Math" w:cs="Arial"/>
                      <w:sz w:val="16"/>
                      <w:szCs w:val="16"/>
                    </w:rPr>
                    <m:t>f</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I</m:t>
                  </m:r>
                </m:e>
                <m:sub>
                  <m:r>
                    <w:rPr>
                      <w:rFonts w:ascii="Cambria Math" w:eastAsia="Calibri" w:hAnsi="Cambria Math" w:cs="Arial"/>
                      <w:sz w:val="16"/>
                      <w:szCs w:val="16"/>
                    </w:rPr>
                    <m:t>w</m:t>
                  </m:r>
                </m:sub>
              </m:sSub>
              <m:r>
                <w:rPr>
                  <w:rFonts w:ascii="Cambria Math" w:eastAsia="Calibri" w:hAnsi="Cambria Math" w:cs="Arial"/>
                  <w:sz w:val="16"/>
                  <w:szCs w:val="16"/>
                </w:rPr>
                <m:t>)</m:t>
              </m:r>
            </m:sub>
            <m:sup/>
            <m:e>
              <m:sSub>
                <m:sSubPr>
                  <m:ctrlPr>
                    <w:rPr>
                      <w:rFonts w:ascii="Cambria Math" w:eastAsia="Calibri" w:hAnsi="Cambria Math" w:cs="Arial"/>
                      <w:i/>
                      <w:sz w:val="16"/>
                      <w:szCs w:val="16"/>
                    </w:rPr>
                  </m:ctrlPr>
                </m:sSubPr>
                <m:e>
                  <m:r>
                    <w:rPr>
                      <w:rFonts w:ascii="Cambria Math" w:eastAsia="Calibri" w:hAnsi="Cambria Math" w:cs="Arial"/>
                      <w:sz w:val="16"/>
                      <w:szCs w:val="16"/>
                    </w:rPr>
                    <m:t>w</m:t>
                  </m:r>
                </m:e>
                <m:sub>
                  <m:r>
                    <w:rPr>
                      <w:rFonts w:ascii="Cambria Math" w:eastAsia="Calibri" w:hAnsi="Cambria Math" w:cs="Arial"/>
                      <w:sz w:val="16"/>
                      <w:szCs w:val="16"/>
                    </w:rPr>
                    <m:t>i</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lc</m:t>
                  </m:r>
                </m:e>
                <m:sub>
                  <m:r>
                    <w:rPr>
                      <w:rFonts w:ascii="Cambria Math" w:eastAsia="Calibri" w:hAnsi="Cambria Math" w:cs="Arial"/>
                      <w:sz w:val="16"/>
                      <w:szCs w:val="16"/>
                    </w:rPr>
                    <m:t>i</m:t>
                  </m:r>
                </m:sub>
              </m:sSub>
              <m:r>
                <w:rPr>
                  <w:rFonts w:ascii="Cambria Math" w:eastAsia="Calibri" w:hAnsi="Cambria Math" w:cs="Arial"/>
                  <w:sz w:val="16"/>
                  <w:szCs w:val="16"/>
                </w:rPr>
                <m:t>.wwh.wpt.</m:t>
              </m:r>
              <m:sSub>
                <m:sSubPr>
                  <m:ctrlPr>
                    <w:rPr>
                      <w:rFonts w:ascii="Cambria Math" w:eastAsia="Calibri" w:hAnsi="Cambria Math" w:cs="Arial"/>
                      <w:i/>
                      <w:sz w:val="16"/>
                      <w:szCs w:val="16"/>
                    </w:rPr>
                  </m:ctrlPr>
                </m:sSubPr>
                <m:e>
                  <m:r>
                    <w:rPr>
                      <w:rFonts w:ascii="Cambria Math" w:eastAsia="Calibri" w:hAnsi="Cambria Math" w:cs="Arial"/>
                      <w:sz w:val="16"/>
                      <w:szCs w:val="16"/>
                    </w:rPr>
                    <m:t>Y</m:t>
                  </m:r>
                </m:e>
                <m:sub>
                  <m:r>
                    <w:rPr>
                      <w:rFonts w:ascii="Cambria Math" w:eastAsia="Calibri" w:hAnsi="Cambria Math" w:cs="Arial"/>
                      <w:sz w:val="16"/>
                      <w:szCs w:val="16"/>
                    </w:rPr>
                    <m:t>i</m:t>
                  </m:r>
                </m:sub>
              </m:sSub>
            </m:e>
          </m:nary>
        </m:oMath>
      </m:oMathPara>
    </w:p>
    <w:p w14:paraId="27A09855" w14:textId="368C6D57" w:rsidR="00314241" w:rsidRPr="00B542CD" w:rsidRDefault="00314241" w:rsidP="00925C2B">
      <w:pPr>
        <w:tabs>
          <w:tab w:val="left" w:pos="1000"/>
        </w:tabs>
        <w:spacing w:before="120" w:after="120"/>
        <w:rPr>
          <w:i/>
          <w:sz w:val="16"/>
          <w:szCs w:val="16"/>
        </w:rPr>
      </w:pPr>
      <m:oMathPara>
        <m:oMathParaPr>
          <m:jc m:val="left"/>
        </m:oMathParaPr>
        <m:oMath>
          <m:r>
            <w:rPr>
              <w:rFonts w:ascii="Cambria Math" w:hAnsi="Cambria Math"/>
              <w:sz w:val="16"/>
              <w:szCs w:val="16"/>
            </w:rPr>
            <m:t xml:space="preserve"> +</m:t>
          </m:r>
          <m:d>
            <m:dPr>
              <m:begChr m:val=""/>
              <m:endChr m:val="]"/>
              <m:ctrlPr>
                <w:rPr>
                  <w:rFonts w:ascii="Cambria Math" w:hAnsi="Cambria Math"/>
                  <w:i/>
                  <w:sz w:val="16"/>
                  <w:szCs w:val="16"/>
                </w:rPr>
              </m:ctrlPr>
            </m:dPr>
            <m:e>
              <m:nary>
                <m:naryPr>
                  <m:chr m:val="∑"/>
                  <m:limLoc m:val="undOvr"/>
                  <m:supHide m:val="1"/>
                  <m:ctrlPr>
                    <w:rPr>
                      <w:rFonts w:ascii="Cambria Math" w:hAnsi="Cambria Math" w:cs="Arial"/>
                      <w:i/>
                      <w:sz w:val="16"/>
                      <w:szCs w:val="16"/>
                    </w:rPr>
                  </m:ctrlPr>
                </m:naryPr>
                <m:sub>
                  <m:r>
                    <w:rPr>
                      <w:rFonts w:ascii="Cambria Math" w:hAnsi="Cambria Math" w:cs="Arial"/>
                      <w:sz w:val="16"/>
                      <w:szCs w:val="16"/>
                    </w:rPr>
                    <m:t>i∈</m:t>
                  </m:r>
                  <m:d>
                    <m:dPr>
                      <m:ctrlPr>
                        <w:rPr>
                          <w:rFonts w:ascii="Cambria Math" w:hAnsi="Cambria Math" w:cs="Arial"/>
                          <w:i/>
                          <w:sz w:val="16"/>
                          <w:szCs w:val="16"/>
                        </w:rPr>
                      </m:ctrlPr>
                    </m:dPr>
                    <m:e>
                      <m:sSub>
                        <m:sSubPr>
                          <m:ctrlPr>
                            <w:rPr>
                              <w:rFonts w:ascii="Cambria Math" w:hAnsi="Cambria Math" w:cs="Arial"/>
                              <w:i/>
                              <w:sz w:val="16"/>
                              <w:szCs w:val="16"/>
                            </w:rPr>
                          </m:ctrlPr>
                        </m:sSubPr>
                        <m:e>
                          <m:r>
                            <w:rPr>
                              <w:rFonts w:ascii="Cambria Math" w:hAnsi="Cambria Math" w:cs="Arial"/>
                              <w:sz w:val="16"/>
                              <w:szCs w:val="16"/>
                            </w:rPr>
                            <m:t>I</m:t>
                          </m:r>
                        </m:e>
                        <m:sub>
                          <m:r>
                            <w:rPr>
                              <w:rFonts w:ascii="Cambria Math" w:hAnsi="Cambria Math" w:cs="Arial"/>
                              <w:sz w:val="16"/>
                              <w:szCs w:val="16"/>
                            </w:rPr>
                            <m:t>f</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I</m:t>
                          </m:r>
                        </m:e>
                        <m:sub>
                          <m:r>
                            <w:rPr>
                              <w:rFonts w:ascii="Cambria Math" w:hAnsi="Cambria Math" w:cs="Arial"/>
                              <w:sz w:val="16"/>
                              <w:szCs w:val="16"/>
                            </w:rPr>
                            <m:t>w</m:t>
                          </m:r>
                        </m:sub>
                      </m:sSub>
                    </m:e>
                  </m:d>
                </m:sub>
                <m:sup/>
                <m:e>
                  <m:r>
                    <w:rPr>
                      <w:rFonts w:ascii="Cambria Math" w:hAnsi="Cambria Math" w:cs="Arial"/>
                      <w:sz w:val="16"/>
                      <w:szCs w:val="16"/>
                    </w:rPr>
                    <m:t>wpsq.</m:t>
                  </m:r>
                  <m:sSub>
                    <m:sSubPr>
                      <m:ctrlPr>
                        <w:rPr>
                          <w:rFonts w:ascii="Cambria Math" w:hAnsi="Cambria Math" w:cs="Arial"/>
                          <w:i/>
                          <w:sz w:val="16"/>
                          <w:szCs w:val="16"/>
                        </w:rPr>
                      </m:ctrlPr>
                    </m:sSubPr>
                    <m:e>
                      <m:r>
                        <w:rPr>
                          <w:rFonts w:ascii="Cambria Math" w:hAnsi="Cambria Math" w:cs="Arial"/>
                          <w:sz w:val="16"/>
                          <w:szCs w:val="16"/>
                        </w:rPr>
                        <m:t>lc</m:t>
                      </m:r>
                    </m:e>
                    <m:sub>
                      <m:r>
                        <w:rPr>
                          <w:rFonts w:ascii="Cambria Math" w:hAnsi="Cambria Math" w:cs="Arial"/>
                          <w:sz w:val="16"/>
                          <w:szCs w:val="16"/>
                        </w:rPr>
                        <m:t>i</m:t>
                      </m:r>
                    </m:sub>
                  </m:sSub>
                  <m:r>
                    <w:rPr>
                      <w:rFonts w:ascii="Cambria Math" w:hAnsi="Cambria Math" w:cs="Arial"/>
                      <w:sz w:val="16"/>
                      <w:szCs w:val="16"/>
                    </w:rPr>
                    <m:t>.wwh.wpt.</m:t>
                  </m:r>
                  <m:sSub>
                    <m:sSubPr>
                      <m:ctrlPr>
                        <w:rPr>
                          <w:rFonts w:ascii="Cambria Math" w:hAnsi="Cambria Math" w:cs="Arial"/>
                          <w:i/>
                          <w:sz w:val="16"/>
                          <w:szCs w:val="16"/>
                        </w:rPr>
                      </m:ctrlPr>
                    </m:sSubPr>
                    <m:e>
                      <m:r>
                        <w:rPr>
                          <w:rFonts w:ascii="Cambria Math" w:hAnsi="Cambria Math" w:cs="Arial"/>
                          <w:sz w:val="16"/>
                          <w:szCs w:val="16"/>
                        </w:rPr>
                        <m:t>YC</m:t>
                      </m:r>
                    </m:e>
                    <m:sub>
                      <m:r>
                        <w:rPr>
                          <w:rFonts w:ascii="Cambria Math" w:hAnsi="Cambria Math" w:cs="Arial"/>
                          <w:sz w:val="16"/>
                          <w:szCs w:val="16"/>
                        </w:rPr>
                        <m:t>i</m:t>
                      </m:r>
                    </m:sub>
                  </m:sSub>
                </m:e>
              </m:nary>
              <m:d>
                <m:dPr>
                  <m:begChr m:val=""/>
                  <m:ctrlPr>
                    <w:rPr>
                      <w:rFonts w:ascii="Cambria Math" w:hAnsi="Cambria Math" w:cs="Arial"/>
                      <w:i/>
                      <w:sz w:val="16"/>
                      <w:szCs w:val="16"/>
                    </w:rPr>
                  </m:ctrlPr>
                </m:dPr>
                <m:e>
                  <m:r>
                    <w:rPr>
                      <w:rFonts w:ascii="Cambria Math" w:hAnsi="Cambria Math" w:cs="Arial"/>
                      <w:sz w:val="16"/>
                      <w:szCs w:val="16"/>
                    </w:rPr>
                    <m:t>+</m:t>
                  </m:r>
                  <m:nary>
                    <m:naryPr>
                      <m:chr m:val="∑"/>
                      <m:supHide m:val="1"/>
                      <m:ctrlPr>
                        <w:rPr>
                          <w:rFonts w:ascii="Cambria Math" w:hAnsi="Cambria Math" w:cs="Arial"/>
                          <w:i/>
                          <w:sz w:val="16"/>
                          <w:szCs w:val="16"/>
                        </w:rPr>
                      </m:ctrlPr>
                    </m:naryPr>
                    <m:sub>
                      <m:eqArr>
                        <m:eqArrPr>
                          <m:ctrlPr>
                            <w:rPr>
                              <w:rFonts w:ascii="Cambria Math" w:hAnsi="Cambria Math" w:cs="Arial"/>
                              <w:i/>
                              <w:sz w:val="16"/>
                              <w:szCs w:val="16"/>
                            </w:rPr>
                          </m:ctrlPr>
                        </m:eqArrPr>
                        <m:e>
                          <m:d>
                            <m:dPr>
                              <m:ctrlPr>
                                <w:rPr>
                                  <w:rFonts w:ascii="Cambria Math" w:hAnsi="Cambria Math" w:cs="Arial"/>
                                  <w:i/>
                                  <w:sz w:val="16"/>
                                  <w:szCs w:val="16"/>
                                </w:rPr>
                              </m:ctrlPr>
                            </m:dPr>
                            <m:e>
                              <m:r>
                                <w:rPr>
                                  <w:rFonts w:ascii="Cambria Math" w:hAnsi="Cambria Math" w:cs="Arial"/>
                                  <w:sz w:val="16"/>
                                  <w:szCs w:val="16"/>
                                </w:rPr>
                                <m:t>m,g</m:t>
                              </m:r>
                            </m:e>
                          </m:d>
                          <m:r>
                            <w:rPr>
                              <w:rFonts w:ascii="Cambria Math" w:hAnsi="Cambria Math" w:cs="Arial"/>
                              <w:sz w:val="16"/>
                              <w:szCs w:val="16"/>
                            </w:rPr>
                            <m:t>∈H</m:t>
                          </m:r>
                        </m:e>
                        <m:e>
                          <m:r>
                            <w:rPr>
                              <w:rFonts w:ascii="Cambria Math" w:hAnsi="Cambria Math" w:cs="Arial"/>
                              <w:sz w:val="16"/>
                              <w:szCs w:val="16"/>
                            </w:rPr>
                            <m:t>i∈</m:t>
                          </m:r>
                          <m:sSub>
                            <m:sSubPr>
                              <m:ctrlPr>
                                <w:rPr>
                                  <w:rFonts w:ascii="Cambria Math" w:hAnsi="Cambria Math" w:cs="Arial"/>
                                  <w:i/>
                                  <w:sz w:val="16"/>
                                  <w:szCs w:val="16"/>
                                </w:rPr>
                              </m:ctrlPr>
                            </m:sSubPr>
                            <m:e>
                              <m:r>
                                <w:rPr>
                                  <w:rFonts w:ascii="Cambria Math" w:hAnsi="Cambria Math" w:cs="Arial"/>
                                  <w:sz w:val="16"/>
                                  <w:szCs w:val="16"/>
                                </w:rPr>
                                <m:t>I</m:t>
                              </m:r>
                            </m:e>
                            <m:sub>
                              <m:r>
                                <w:rPr>
                                  <w:rFonts w:ascii="Cambria Math" w:hAnsi="Cambria Math" w:cs="Arial"/>
                                  <w:sz w:val="16"/>
                                  <w:szCs w:val="16"/>
                                </w:rPr>
                                <m:t>f</m:t>
                              </m:r>
                            </m:sub>
                          </m:sSub>
                        </m:e>
                      </m:eqArr>
                    </m:sub>
                    <m:sup/>
                    <m:e>
                      <m:sSub>
                        <m:sSubPr>
                          <m:ctrlPr>
                            <w:rPr>
                              <w:rFonts w:ascii="Cambria Math" w:hAnsi="Cambria Math" w:cs="Arial"/>
                              <w:i/>
                              <w:sz w:val="16"/>
                              <w:szCs w:val="16"/>
                            </w:rPr>
                          </m:ctrlPr>
                        </m:sSubPr>
                        <m:e>
                          <m:r>
                            <w:rPr>
                              <w:rFonts w:ascii="Cambria Math" w:hAnsi="Cambria Math" w:cs="Arial"/>
                              <w:sz w:val="16"/>
                              <w:szCs w:val="16"/>
                            </w:rPr>
                            <m:t>w</m:t>
                          </m:r>
                        </m:e>
                        <m:sub>
                          <m:r>
                            <w:rPr>
                              <w:rFonts w:ascii="Cambria Math" w:hAnsi="Cambria Math" w:cs="Arial"/>
                              <w:sz w:val="16"/>
                              <w:szCs w:val="16"/>
                            </w:rPr>
                            <m:t>g</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lc</m:t>
                          </m:r>
                        </m:e>
                        <m:sub>
                          <m:r>
                            <w:rPr>
                              <w:rFonts w:ascii="Cambria Math" w:hAnsi="Cambria Math" w:cs="Arial"/>
                              <w:sz w:val="16"/>
                              <w:szCs w:val="16"/>
                            </w:rPr>
                            <m:t>i</m:t>
                          </m:r>
                        </m:sub>
                      </m:sSub>
                      <m:r>
                        <w:rPr>
                          <w:rFonts w:ascii="Cambria Math" w:hAnsi="Cambria Math" w:cs="Arial"/>
                          <w:sz w:val="16"/>
                          <w:szCs w:val="16"/>
                        </w:rPr>
                        <m:t>.wwh.wpt.</m:t>
                      </m:r>
                      <m:sSub>
                        <m:sSubPr>
                          <m:ctrlPr>
                            <w:rPr>
                              <w:rFonts w:ascii="Cambria Math" w:hAnsi="Cambria Math" w:cs="Arial"/>
                              <w:i/>
                              <w:sz w:val="16"/>
                              <w:szCs w:val="16"/>
                            </w:rPr>
                          </m:ctrlPr>
                        </m:sSubPr>
                        <m:e>
                          <m:r>
                            <w:rPr>
                              <w:rFonts w:ascii="Cambria Math" w:hAnsi="Cambria Math" w:cs="Arial"/>
                              <w:sz w:val="16"/>
                              <w:szCs w:val="16"/>
                            </w:rPr>
                            <m:t>Z</m:t>
                          </m:r>
                        </m:e>
                        <m:sub>
                          <m:r>
                            <w:rPr>
                              <w:rFonts w:ascii="Cambria Math" w:hAnsi="Cambria Math" w:cs="Arial"/>
                              <w:sz w:val="16"/>
                              <w:szCs w:val="16"/>
                            </w:rPr>
                            <m:t>gmi</m:t>
                          </m:r>
                        </m:sub>
                      </m:sSub>
                    </m:e>
                  </m:nary>
                </m:e>
              </m:d>
              <m:r>
                <w:rPr>
                  <w:rFonts w:ascii="Cambria Math" w:hAnsi="Cambria Math" w:cs="Arial"/>
                  <w:sz w:val="16"/>
                  <w:szCs w:val="16"/>
                </w:rPr>
                <m:t>+ tr.</m:t>
              </m:r>
              <m:sSub>
                <m:sSubPr>
                  <m:ctrlPr>
                    <w:rPr>
                      <w:rFonts w:ascii="Cambria Math" w:hAnsi="Cambria Math" w:cs="Arial"/>
                      <w:i/>
                      <w:sz w:val="16"/>
                      <w:szCs w:val="16"/>
                    </w:rPr>
                  </m:ctrlPr>
                </m:sSubPr>
                <m:e>
                  <m:r>
                    <w:rPr>
                      <w:rFonts w:ascii="Cambria Math" w:hAnsi="Cambria Math" w:cs="Arial"/>
                      <w:sz w:val="16"/>
                      <w:szCs w:val="16"/>
                    </w:rPr>
                    <m:t>DP</m:t>
                  </m:r>
                </m:e>
                <m:sub>
                  <m:r>
                    <w:rPr>
                      <w:rFonts w:ascii="Cambria Math" w:hAnsi="Cambria Math" w:cs="Arial"/>
                      <w:sz w:val="16"/>
                      <w:szCs w:val="16"/>
                    </w:rPr>
                    <m:t>t</m:t>
                  </m:r>
                </m:sub>
              </m:sSub>
            </m:e>
          </m:d>
          <m:r>
            <w:rPr>
              <w:rFonts w:ascii="Cambria Math" w:eastAsiaTheme="minorEastAsia" w:hAnsi="Cambria Math"/>
              <w:sz w:val="16"/>
              <w:szCs w:val="16"/>
            </w:rPr>
            <m:t xml:space="preserve">                                          (1)</m:t>
          </m:r>
        </m:oMath>
      </m:oMathPara>
    </w:p>
    <w:p w14:paraId="5700BF0F" w14:textId="77777777" w:rsidR="00314241" w:rsidRPr="00B542CD" w:rsidRDefault="00314241" w:rsidP="002B1BEE">
      <w:pPr>
        <w:pStyle w:val="Els-2ndorder-head"/>
        <w:spacing w:before="120" w:after="120"/>
        <w:rPr>
          <w:lang w:val="en-GB"/>
        </w:rPr>
      </w:pPr>
      <w:r w:rsidRPr="00B542CD">
        <w:rPr>
          <w:lang w:val="en-GB"/>
        </w:rPr>
        <w:t xml:space="preserve">Social Sustainability assessment </w:t>
      </w:r>
    </w:p>
    <w:p w14:paraId="7B0B8AD0" w14:textId="2E694125" w:rsidR="00314241" w:rsidRPr="00B542CD" w:rsidRDefault="00314241" w:rsidP="00920AFD">
      <w:pPr>
        <w:jc w:val="both"/>
      </w:pPr>
      <w:r w:rsidRPr="00B542CD">
        <w:t xml:space="preserve">The social sustainability assessment is focused on improving equity in access </w:t>
      </w:r>
      <w:r w:rsidR="005947B1" w:rsidRPr="00B542CD">
        <w:t>to</w:t>
      </w:r>
      <w:r w:rsidRPr="00B542CD">
        <w:t xml:space="preserve"> pharmaceutical products, by improving two strong pillars: Availability and Affordability.</w:t>
      </w:r>
      <w:r w:rsidR="002B157B" w:rsidRPr="00B542CD">
        <w:t xml:space="preserve"> </w:t>
      </w:r>
      <w:r w:rsidRPr="00B542CD">
        <w:t xml:space="preserve">The Availability pillar </w:t>
      </w:r>
      <w:r w:rsidR="006C1988" w:rsidRPr="00B542CD">
        <w:t xml:space="preserve">aims to </w:t>
      </w:r>
      <w:r w:rsidRPr="00B542CD">
        <w:t>prioritiz</w:t>
      </w:r>
      <w:r w:rsidR="006C1988" w:rsidRPr="00B542CD">
        <w:t>e</w:t>
      </w:r>
      <w:r w:rsidRPr="00B542CD">
        <w:t xml:space="preserve"> populations with higher incidence of a disease to which the product being produced and distributed is essential for prevention or treatment. Hence, the objective function defined in Eq. (2) maximizes the location of entities in areas with higher DALY (Disability-Adjusted Life Years) - a metric that reflects the burden of a disease as a rate per 100,000 population. In Eq. (2) the parameter </w:t>
      </w:r>
      <m:oMath>
        <m:sSubSup>
          <m:sSubSupPr>
            <m:ctrlPr>
              <w:rPr>
                <w:rFonts w:ascii="Cambria Math" w:hAnsi="Cambria Math"/>
                <w:i/>
                <w:iCs/>
              </w:rPr>
            </m:ctrlPr>
          </m:sSubSupPr>
          <m:e>
            <m:r>
              <w:rPr>
                <w:rFonts w:ascii="Cambria Math" w:hAnsi="Cambria Math"/>
              </w:rPr>
              <m:t> p</m:t>
            </m:r>
          </m:e>
          <m:sub>
            <m:r>
              <w:rPr>
                <w:rFonts w:ascii="Cambria Math" w:hAnsi="Cambria Math"/>
              </w:rPr>
              <m:t> i</m:t>
            </m:r>
          </m:sub>
          <m:sup>
            <m:r>
              <w:rPr>
                <w:rFonts w:ascii="Cambria Math" w:hAnsi="Cambria Math"/>
              </w:rPr>
              <m:t>DALY</m:t>
            </m:r>
          </m:sup>
        </m:sSubSup>
      </m:oMath>
      <w:r w:rsidRPr="00B542CD">
        <w:rPr>
          <w:iCs/>
        </w:rPr>
        <w:t xml:space="preserve"> is used together with the </w:t>
      </w:r>
      <w:r w:rsidR="006C1988" w:rsidRPr="00B542CD">
        <w:rPr>
          <w:iCs/>
        </w:rPr>
        <w:t xml:space="preserve">binary </w:t>
      </w:r>
      <w:r w:rsidRPr="00B542CD">
        <w:rPr>
          <w:iCs/>
        </w:rPr>
        <w:t>decision variable</w:t>
      </w:r>
      <w:r w:rsidR="006C1988" w:rsidRPr="00B542CD">
        <w:rPr>
          <w:iCs/>
        </w:rPr>
        <w:t xml:space="preserve">, </w:t>
      </w:r>
      <m:oMath>
        <m:sSub>
          <m:sSubPr>
            <m:ctrlPr>
              <w:rPr>
                <w:rFonts w:ascii="Cambria Math" w:hAnsi="Cambria Math"/>
                <w:i/>
                <w:iCs/>
              </w:rPr>
            </m:ctrlPr>
          </m:sSubPr>
          <m:e>
            <m:r>
              <w:rPr>
                <w:rFonts w:ascii="Cambria Math" w:hAnsi="Cambria Math"/>
              </w:rPr>
              <m:t>Y</m:t>
            </m:r>
          </m:e>
          <m:sub>
            <m:r>
              <w:rPr>
                <w:rFonts w:ascii="Cambria Math" w:hAnsi="Cambria Math"/>
              </w:rPr>
              <m:t>i</m:t>
            </m:r>
          </m:sub>
        </m:sSub>
      </m:oMath>
      <w:r w:rsidR="006C1988" w:rsidRPr="00B542CD">
        <w:rPr>
          <w:iCs/>
        </w:rPr>
        <w:t>,</w:t>
      </w:r>
      <w:r w:rsidRPr="00B542CD">
        <w:rPr>
          <w:iCs/>
        </w:rPr>
        <w:t xml:space="preserve"> to prioritize the location of entity </w:t>
      </w:r>
      <m:oMath>
        <m:r>
          <w:rPr>
            <w:rFonts w:ascii="Cambria Math" w:hAnsi="Cambria Math"/>
          </w:rPr>
          <m:t>i</m:t>
        </m:r>
      </m:oMath>
      <w:r w:rsidRPr="00B542CD">
        <w:t xml:space="preserve"> in geographical areas with higher DALY value.</w:t>
      </w:r>
      <w:r w:rsidR="002B157B" w:rsidRPr="00B542CD">
        <w:t xml:space="preserve"> </w:t>
      </w:r>
      <w:r w:rsidRPr="00B542CD">
        <w:t>Additionally, a restriction is used to ensure that, when a manufacturing facility is open for production, it produces a percentage of its production to satisfy the local demand, guaranteeing the improvement of accessibility of the population of its geographical area.</w:t>
      </w:r>
    </w:p>
    <w:tbl>
      <w:tblPr>
        <w:tblW w:w="0" w:type="auto"/>
        <w:tblLook w:val="04A0" w:firstRow="1" w:lastRow="0" w:firstColumn="1" w:lastColumn="0" w:noHBand="0" w:noVBand="1"/>
      </w:tblPr>
      <w:tblGrid>
        <w:gridCol w:w="6134"/>
        <w:gridCol w:w="958"/>
      </w:tblGrid>
      <w:tr w:rsidR="00314241" w:rsidRPr="00B542CD" w14:paraId="5C8997AC" w14:textId="77777777" w:rsidTr="00781CCD">
        <w:tc>
          <w:tcPr>
            <w:tcW w:w="6134" w:type="dxa"/>
            <w:shd w:val="clear" w:color="auto" w:fill="auto"/>
            <w:vAlign w:val="center"/>
          </w:tcPr>
          <w:p w14:paraId="04D946CD" w14:textId="77777777" w:rsidR="00314241" w:rsidRPr="00B542CD" w:rsidRDefault="00F61F1B" w:rsidP="004616E6">
            <w:pPr>
              <w:pStyle w:val="Els-body-text"/>
              <w:spacing w:before="120" w:after="120" w:line="264" w:lineRule="auto"/>
              <w:rPr>
                <w:sz w:val="18"/>
                <w:szCs w:val="18"/>
                <w:lang w:val="en-GB"/>
              </w:rPr>
            </w:pPr>
            <m:oMathPara>
              <m:oMathParaPr>
                <m:jc m:val="left"/>
              </m:oMathParaPr>
              <m:oMath>
                <m:func>
                  <m:funcPr>
                    <m:ctrlPr>
                      <w:rPr>
                        <w:rFonts w:ascii="Cambria Math" w:hAnsi="Cambria Math"/>
                        <w:i/>
                        <w:iCs/>
                        <w:sz w:val="18"/>
                        <w:szCs w:val="18"/>
                        <w:lang w:val="en-GB"/>
                      </w:rPr>
                    </m:ctrlPr>
                  </m:funcPr>
                  <m:fName>
                    <m:r>
                      <m:rPr>
                        <m:sty m:val="p"/>
                      </m:rPr>
                      <w:rPr>
                        <w:rFonts w:ascii="Cambria Math" w:hAnsi="Cambria Math"/>
                        <w:sz w:val="18"/>
                        <w:szCs w:val="18"/>
                        <w:lang w:val="en-GB"/>
                      </w:rPr>
                      <m:t>max</m:t>
                    </m:r>
                  </m:fName>
                  <m:e>
                    <m:r>
                      <w:rPr>
                        <w:rFonts w:ascii="Cambria Math" w:hAnsi="Cambria Math"/>
                        <w:sz w:val="18"/>
                        <w:szCs w:val="18"/>
                        <w:lang w:val="en-GB"/>
                      </w:rPr>
                      <m:t>P</m:t>
                    </m:r>
                    <m:r>
                      <w:rPr>
                        <w:rFonts w:ascii="Cambria Math" w:hAnsi="Cambria Math"/>
                        <w:sz w:val="18"/>
                        <w:szCs w:val="18"/>
                        <w:lang w:val="en-GB"/>
                      </w:rPr>
                      <m:t>h</m:t>
                    </m:r>
                    <m:r>
                      <w:rPr>
                        <w:rFonts w:ascii="Cambria Math" w:hAnsi="Cambria Math"/>
                        <w:sz w:val="18"/>
                        <w:szCs w:val="18"/>
                        <w:lang w:val="en-GB"/>
                      </w:rPr>
                      <m:t>armaAccess</m:t>
                    </m:r>
                    <m:r>
                      <w:rPr>
                        <w:rFonts w:ascii="Cambria Math" w:hAnsi="Cambria Math"/>
                        <w:sz w:val="18"/>
                        <w:szCs w:val="18"/>
                        <w:lang w:val="en-GB"/>
                      </w:rPr>
                      <m:t xml:space="preserve">= </m:t>
                    </m:r>
                  </m:e>
                </m:func>
                <m:d>
                  <m:dPr>
                    <m:ctrlPr>
                      <w:rPr>
                        <w:rFonts w:ascii="Cambria Math" w:hAnsi="Cambria Math"/>
                        <w:i/>
                        <w:iCs/>
                        <w:sz w:val="18"/>
                        <w:szCs w:val="18"/>
                        <w:lang w:val="en-GB"/>
                      </w:rPr>
                    </m:ctrlPr>
                  </m:dPr>
                  <m:e>
                    <m:r>
                      <w:rPr>
                        <w:rFonts w:ascii="Cambria Math" w:hAnsi="Cambria Math"/>
                        <w:sz w:val="18"/>
                        <w:szCs w:val="18"/>
                        <w:lang w:val="en-GB"/>
                      </w:rPr>
                      <m:t>  </m:t>
                    </m:r>
                    <m:nary>
                      <m:naryPr>
                        <m:chr m:val="∑"/>
                        <m:limLoc m:val="undOvr"/>
                        <m:supHide m:val="1"/>
                        <m:ctrlPr>
                          <w:rPr>
                            <w:rFonts w:ascii="Cambria Math" w:hAnsi="Cambria Math"/>
                            <w:i/>
                            <w:iCs/>
                            <w:sz w:val="18"/>
                            <w:szCs w:val="18"/>
                            <w:lang w:val="en-GB"/>
                          </w:rPr>
                        </m:ctrlPr>
                      </m:naryPr>
                      <m:sub>
                        <m:r>
                          <w:rPr>
                            <w:rFonts w:ascii="Cambria Math" w:hAnsi="Cambria Math"/>
                            <w:sz w:val="18"/>
                            <w:szCs w:val="18"/>
                            <w:lang w:val="en-GB"/>
                          </w:rPr>
                          <m:t>iϵ</m:t>
                        </m:r>
                        <m:r>
                          <w:rPr>
                            <w:rFonts w:ascii="Cambria Math" w:hAnsi="Cambria Math"/>
                            <w:sz w:val="18"/>
                            <w:szCs w:val="18"/>
                            <w:lang w:val="en-GB"/>
                          </w:rPr>
                          <m:t>(</m:t>
                        </m:r>
                        <m:sSub>
                          <m:sSubPr>
                            <m:ctrlPr>
                              <w:rPr>
                                <w:rFonts w:ascii="Cambria Math" w:hAnsi="Cambria Math"/>
                                <w:i/>
                                <w:iCs/>
                                <w:sz w:val="18"/>
                                <w:szCs w:val="18"/>
                                <w:lang w:val="en-GB"/>
                              </w:rPr>
                            </m:ctrlPr>
                          </m:sSubPr>
                          <m:e>
                            <m:r>
                              <w:rPr>
                                <w:rFonts w:ascii="Cambria Math" w:hAnsi="Cambria Math"/>
                                <w:sz w:val="18"/>
                                <w:szCs w:val="18"/>
                                <w:lang w:val="en-GB"/>
                              </w:rPr>
                              <m:t>I</m:t>
                            </m:r>
                          </m:e>
                          <m:sub>
                            <m:r>
                              <w:rPr>
                                <w:rFonts w:ascii="Cambria Math" w:hAnsi="Cambria Math"/>
                                <w:sz w:val="18"/>
                                <w:szCs w:val="18"/>
                                <w:lang w:val="en-GB"/>
                              </w:rPr>
                              <m:t>f</m:t>
                            </m:r>
                          </m:sub>
                        </m:sSub>
                        <m:r>
                          <w:rPr>
                            <w:rFonts w:ascii="Cambria Math" w:hAnsi="Cambria Math"/>
                            <w:sz w:val="18"/>
                            <w:szCs w:val="18"/>
                            <w:lang w:val="en-GB"/>
                          </w:rPr>
                          <m:t>∪</m:t>
                        </m:r>
                        <m:sSub>
                          <m:sSubPr>
                            <m:ctrlPr>
                              <w:rPr>
                                <w:rFonts w:ascii="Cambria Math" w:hAnsi="Cambria Math"/>
                                <w:i/>
                                <w:iCs/>
                                <w:sz w:val="18"/>
                                <w:szCs w:val="18"/>
                                <w:lang w:val="en-GB"/>
                              </w:rPr>
                            </m:ctrlPr>
                          </m:sSubPr>
                          <m:e>
                            <m:r>
                              <w:rPr>
                                <w:rFonts w:ascii="Cambria Math" w:hAnsi="Cambria Math"/>
                                <w:sz w:val="18"/>
                                <w:szCs w:val="18"/>
                                <w:lang w:val="en-GB"/>
                              </w:rPr>
                              <m:t>I</m:t>
                            </m:r>
                          </m:e>
                          <m:sub>
                            <m:r>
                              <w:rPr>
                                <w:rFonts w:ascii="Cambria Math" w:hAnsi="Cambria Math"/>
                                <w:sz w:val="18"/>
                                <w:szCs w:val="18"/>
                                <w:lang w:val="en-GB"/>
                              </w:rPr>
                              <m:t>w</m:t>
                            </m:r>
                          </m:sub>
                        </m:sSub>
                        <m:r>
                          <w:rPr>
                            <w:rFonts w:ascii="Cambria Math" w:hAnsi="Cambria Math"/>
                            <w:sz w:val="18"/>
                            <w:szCs w:val="18"/>
                            <w:lang w:val="en-GB"/>
                          </w:rPr>
                          <m:t>)</m:t>
                        </m:r>
                      </m:sub>
                      <m:sup/>
                      <m:e>
                        <m:sSubSup>
                          <m:sSubSupPr>
                            <m:ctrlPr>
                              <w:rPr>
                                <w:rFonts w:ascii="Cambria Math" w:hAnsi="Cambria Math"/>
                                <w:i/>
                                <w:iCs/>
                                <w:sz w:val="18"/>
                                <w:szCs w:val="18"/>
                                <w:lang w:val="en-GB"/>
                              </w:rPr>
                            </m:ctrlPr>
                          </m:sSubSupPr>
                          <m:e>
                            <m:r>
                              <w:rPr>
                                <w:rFonts w:ascii="Cambria Math" w:hAnsi="Cambria Math"/>
                                <w:sz w:val="18"/>
                                <w:szCs w:val="18"/>
                                <w:lang w:val="en-GB"/>
                              </w:rPr>
                              <m:t> </m:t>
                            </m:r>
                            <m:r>
                              <w:rPr>
                                <w:rFonts w:ascii="Cambria Math" w:hAnsi="Cambria Math"/>
                                <w:sz w:val="18"/>
                                <w:szCs w:val="18"/>
                                <w:lang w:val="en-GB"/>
                              </w:rPr>
                              <m:t>p</m:t>
                            </m:r>
                          </m:e>
                          <m:sub>
                            <m:r>
                              <w:rPr>
                                <w:rFonts w:ascii="Cambria Math" w:hAnsi="Cambria Math"/>
                                <w:sz w:val="18"/>
                                <w:szCs w:val="18"/>
                                <w:lang w:val="en-GB"/>
                              </w:rPr>
                              <m:t> </m:t>
                            </m:r>
                            <m:r>
                              <w:rPr>
                                <w:rFonts w:ascii="Cambria Math" w:hAnsi="Cambria Math"/>
                                <w:sz w:val="18"/>
                                <w:szCs w:val="18"/>
                                <w:lang w:val="en-GB"/>
                              </w:rPr>
                              <m:t>i</m:t>
                            </m:r>
                          </m:sub>
                          <m:sup>
                            <m:r>
                              <w:rPr>
                                <w:rFonts w:ascii="Cambria Math" w:hAnsi="Cambria Math"/>
                                <w:sz w:val="18"/>
                                <w:szCs w:val="18"/>
                                <w:lang w:val="en-GB"/>
                              </w:rPr>
                              <m:t>DALY</m:t>
                            </m:r>
                          </m:sup>
                        </m:sSubSup>
                        <m:r>
                          <w:rPr>
                            <w:rFonts w:ascii="Cambria Math" w:hAnsi="Cambria Math"/>
                            <w:sz w:val="18"/>
                            <w:szCs w:val="18"/>
                            <w:lang w:val="en-GB"/>
                          </w:rPr>
                          <m:t> . </m:t>
                        </m:r>
                        <m:sSub>
                          <m:sSubPr>
                            <m:ctrlPr>
                              <w:rPr>
                                <w:rFonts w:ascii="Cambria Math" w:hAnsi="Cambria Math"/>
                                <w:i/>
                                <w:iCs/>
                                <w:sz w:val="18"/>
                                <w:szCs w:val="18"/>
                                <w:lang w:val="en-GB"/>
                              </w:rPr>
                            </m:ctrlPr>
                          </m:sSubPr>
                          <m:e>
                            <m:r>
                              <w:rPr>
                                <w:rFonts w:ascii="Cambria Math" w:hAnsi="Cambria Math"/>
                                <w:sz w:val="18"/>
                                <w:szCs w:val="18"/>
                                <w:lang w:val="en-GB"/>
                              </w:rPr>
                              <m:t>Y</m:t>
                            </m:r>
                          </m:e>
                          <m:sub>
                            <m:r>
                              <w:rPr>
                                <w:rFonts w:ascii="Cambria Math" w:hAnsi="Cambria Math"/>
                                <w:sz w:val="18"/>
                                <w:szCs w:val="18"/>
                                <w:lang w:val="en-GB"/>
                              </w:rPr>
                              <m:t>i</m:t>
                            </m:r>
                          </m:sub>
                        </m:sSub>
                      </m:e>
                    </m:nary>
                    <m:r>
                      <w:rPr>
                        <w:rFonts w:ascii="Cambria Math" w:hAnsi="Cambria Math"/>
                        <w:sz w:val="18"/>
                        <w:szCs w:val="18"/>
                        <w:lang w:val="en-GB"/>
                      </w:rPr>
                      <m:t>   </m:t>
                    </m:r>
                  </m:e>
                </m:d>
                <m:r>
                  <w:rPr>
                    <w:rFonts w:ascii="Cambria Math" w:hAnsi="Cambria Math"/>
                    <w:sz w:val="18"/>
                    <w:szCs w:val="18"/>
                    <w:lang w:val="en-GB"/>
                  </w:rPr>
                  <m:t xml:space="preserve">     </m:t>
                </m:r>
              </m:oMath>
            </m:oMathPara>
          </w:p>
        </w:tc>
        <w:tc>
          <w:tcPr>
            <w:tcW w:w="958" w:type="dxa"/>
            <w:shd w:val="clear" w:color="auto" w:fill="auto"/>
            <w:vAlign w:val="center"/>
          </w:tcPr>
          <w:p w14:paraId="590F113D" w14:textId="77777777" w:rsidR="00B926C9" w:rsidRPr="00B542CD" w:rsidRDefault="00FD4B65" w:rsidP="00792EE5">
            <w:pPr>
              <w:pStyle w:val="Els-body-text"/>
              <w:spacing w:line="264" w:lineRule="auto"/>
              <w:jc w:val="right"/>
              <w:rPr>
                <w:sz w:val="18"/>
                <w:szCs w:val="18"/>
                <w:lang w:val="en-GB"/>
              </w:rPr>
            </w:pPr>
            <w:r w:rsidRPr="00B542CD">
              <w:rPr>
                <w:sz w:val="18"/>
                <w:szCs w:val="18"/>
                <w:lang w:val="en-GB"/>
              </w:rPr>
              <w:t xml:space="preserve">      </w:t>
            </w:r>
          </w:p>
          <w:p w14:paraId="1E7DD60E" w14:textId="1AA57891" w:rsidR="00314241" w:rsidRPr="00B542CD" w:rsidRDefault="00314241" w:rsidP="00781CCD">
            <w:pPr>
              <w:pStyle w:val="Els-body-text"/>
              <w:spacing w:line="264" w:lineRule="auto"/>
              <w:jc w:val="right"/>
              <w:rPr>
                <w:sz w:val="18"/>
                <w:szCs w:val="18"/>
                <w:lang w:val="en-GB"/>
              </w:rPr>
            </w:pPr>
            <w:r w:rsidRPr="00B542CD">
              <w:rPr>
                <w:sz w:val="18"/>
                <w:szCs w:val="18"/>
                <w:lang w:val="en-GB"/>
              </w:rPr>
              <w:t>(2)</w:t>
            </w:r>
          </w:p>
        </w:tc>
      </w:tr>
    </w:tbl>
    <w:p w14:paraId="1CB10ACE" w14:textId="79C0558C" w:rsidR="00314241" w:rsidRPr="00B542CD" w:rsidRDefault="00314241" w:rsidP="007C2942">
      <w:pPr>
        <w:jc w:val="both"/>
        <w:rPr>
          <w:rFonts w:eastAsiaTheme="minorEastAsia"/>
          <w:iCs/>
        </w:rPr>
      </w:pPr>
      <w:r w:rsidRPr="00B542CD">
        <w:t>The Affordability pillar is explored through demand-to-price elasticity</w:t>
      </w:r>
      <w:r w:rsidR="00802374" w:rsidRPr="00B542CD">
        <w:t xml:space="preserve"> </w:t>
      </w:r>
      <w:sdt>
        <w:sdtPr>
          <w:rPr>
            <w:color w:val="000000"/>
          </w:rPr>
          <w:tag w:val="MENDELEY_CITATION_v3_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"/>
          <w:id w:val="-1945453708"/>
          <w:placeholder>
            <w:docPart w:val="8F7C479EDFE648838AF710881E25D3BF"/>
          </w:placeholder>
        </w:sdtPr>
        <w:sdtEndPr/>
        <w:sdtContent>
          <w:r w:rsidR="00143F87" w:rsidRPr="00B542CD">
            <w:rPr>
              <w:color w:val="000000"/>
            </w:rPr>
            <w:t>(Duarte et al., 2023)</w:t>
          </w:r>
        </w:sdtContent>
      </w:sdt>
      <w:r w:rsidRPr="00B542CD">
        <w:t>. This approach</w:t>
      </w:r>
      <w:r w:rsidR="007942D8" w:rsidRPr="00B542CD">
        <w:t xml:space="preserve"> a</w:t>
      </w:r>
      <w:r w:rsidRPr="00B542CD">
        <w:rPr>
          <w:color w:val="000000"/>
        </w:rPr>
        <w:t>im</w:t>
      </w:r>
      <w:r w:rsidR="007942D8" w:rsidRPr="00B542CD">
        <w:rPr>
          <w:color w:val="000000"/>
        </w:rPr>
        <w:t>s</w:t>
      </w:r>
      <w:r w:rsidRPr="00B542CD">
        <w:rPr>
          <w:color w:val="000000"/>
        </w:rPr>
        <w:t xml:space="preserve"> </w:t>
      </w:r>
      <w:r w:rsidR="007942D8" w:rsidRPr="00B542CD">
        <w:rPr>
          <w:color w:val="000000"/>
        </w:rPr>
        <w:t xml:space="preserve">to </w:t>
      </w:r>
      <w:r w:rsidRPr="00B542CD">
        <w:rPr>
          <w:color w:val="000000"/>
        </w:rPr>
        <w:t>balanc</w:t>
      </w:r>
      <w:r w:rsidR="007942D8" w:rsidRPr="00B542CD">
        <w:rPr>
          <w:color w:val="000000"/>
        </w:rPr>
        <w:t>e</w:t>
      </w:r>
      <w:r w:rsidRPr="00B542CD">
        <w:rPr>
          <w:color w:val="000000"/>
        </w:rPr>
        <w:t xml:space="preserve"> the supply and demand sides while considering affordability concerns. The elasticity coefficient, </w:t>
      </w:r>
      <m:oMath>
        <m:sSub>
          <m:sSubPr>
            <m:ctrlPr>
              <w:rPr>
                <w:rFonts w:ascii="Cambria Math" w:eastAsiaTheme="majorEastAsia" w:hAnsi="Cambria Math"/>
                <w:i/>
                <w:iCs/>
              </w:rPr>
            </m:ctrlPr>
          </m:sSubPr>
          <m:e>
            <m:r>
              <w:rPr>
                <w:rFonts w:ascii="Cambria Math" w:eastAsia="Cambria Math" w:hAnsi="Cambria Math"/>
              </w:rPr>
              <m:t>ϵ</m:t>
            </m:r>
          </m:e>
          <m:sub>
            <m:r>
              <w:rPr>
                <w:rFonts w:ascii="Cambria Math" w:eastAsiaTheme="majorEastAsia" w:hAnsi="Cambria Math"/>
              </w:rPr>
              <m:t> mi</m:t>
            </m:r>
          </m:sub>
        </m:sSub>
      </m:oMath>
      <w:r w:rsidRPr="00B542CD">
        <w:rPr>
          <w:rFonts w:eastAsiaTheme="minorEastAsia"/>
          <w:iCs/>
        </w:rPr>
        <w:t xml:space="preserve">, translates the connection between demand and price and is determined by the absolute value of the logarithmic change in demand concerning price. </w:t>
      </w:r>
      <w:r w:rsidR="007942D8" w:rsidRPr="00B542CD">
        <w:rPr>
          <w:rFonts w:eastAsiaTheme="minorEastAsia"/>
          <w:iCs/>
        </w:rPr>
        <w:t>D</w:t>
      </w:r>
      <w:r w:rsidRPr="00B542CD">
        <w:rPr>
          <w:rFonts w:eastAsiaTheme="minorEastAsia"/>
          <w:iCs/>
        </w:rPr>
        <w:t xml:space="preserve">emand </w:t>
      </w:r>
      <w:r w:rsidR="00920AFD" w:rsidRPr="00B542CD">
        <w:rPr>
          <w:rFonts w:eastAsiaTheme="minorEastAsia"/>
          <w:iCs/>
        </w:rPr>
        <w:t>is</w:t>
      </w:r>
      <w:r w:rsidRPr="00B542CD">
        <w:rPr>
          <w:rFonts w:eastAsiaTheme="minorEastAsia"/>
          <w:iCs/>
        </w:rPr>
        <w:t xml:space="preserve"> categorized as elastic if its relative change is greater than or equal to the corresponding relative price fluctuation (</w:t>
      </w:r>
      <m:oMath>
        <m:d>
          <m:dPr>
            <m:begChr m:val="|"/>
            <m:endChr m:val="|"/>
            <m:ctrlPr>
              <w:rPr>
                <w:rFonts w:ascii="Cambria Math" w:hAnsi="Cambria Math"/>
                <w:i/>
                <w:iCs/>
              </w:rPr>
            </m:ctrlPr>
          </m:dPr>
          <m:e>
            <m:sSub>
              <m:sSubPr>
                <m:ctrlPr>
                  <w:rPr>
                    <w:rFonts w:ascii="Cambria Math" w:eastAsiaTheme="majorEastAsia" w:hAnsi="Cambria Math"/>
                    <w:i/>
                    <w:iCs/>
                  </w:rPr>
                </m:ctrlPr>
              </m:sSubPr>
              <m:e>
                <m:r>
                  <w:rPr>
                    <w:rFonts w:ascii="Cambria Math" w:eastAsia="Cambria Math" w:hAnsi="Cambria Math"/>
                  </w:rPr>
                  <m:t>ϵ</m:t>
                </m:r>
              </m:e>
              <m:sub>
                <m:r>
                  <w:rPr>
                    <w:rFonts w:ascii="Cambria Math" w:eastAsiaTheme="majorEastAsia" w:hAnsi="Cambria Math"/>
                  </w:rPr>
                  <m:t> mi</m:t>
                </m:r>
              </m:sub>
            </m:sSub>
          </m:e>
        </m:d>
        <m:r>
          <w:rPr>
            <w:rFonts w:ascii="Cambria Math" w:hAnsi="Cambria Math"/>
          </w:rPr>
          <m:t>≥1</m:t>
        </m:r>
      </m:oMath>
      <w:r w:rsidRPr="00B542CD">
        <w:rPr>
          <w:rFonts w:eastAsiaTheme="minorEastAsia"/>
          <w:iCs/>
        </w:rPr>
        <w:t>), and inelastic otherwise (</w:t>
      </w:r>
      <m:oMath>
        <m:d>
          <m:dPr>
            <m:begChr m:val="|"/>
            <m:endChr m:val="|"/>
            <m:ctrlPr>
              <w:rPr>
                <w:rFonts w:ascii="Cambria Math" w:hAnsi="Cambria Math"/>
                <w:i/>
                <w:iCs/>
              </w:rPr>
            </m:ctrlPr>
          </m:dPr>
          <m:e>
            <m:sSub>
              <m:sSubPr>
                <m:ctrlPr>
                  <w:rPr>
                    <w:rFonts w:ascii="Cambria Math" w:eastAsiaTheme="majorEastAsia" w:hAnsi="Cambria Math"/>
                    <w:i/>
                    <w:iCs/>
                  </w:rPr>
                </m:ctrlPr>
              </m:sSubPr>
              <m:e>
                <m:r>
                  <w:rPr>
                    <w:rFonts w:ascii="Cambria Math" w:eastAsia="Cambria Math" w:hAnsi="Cambria Math"/>
                  </w:rPr>
                  <m:t>ϵ</m:t>
                </m:r>
              </m:e>
              <m:sub>
                <m:r>
                  <w:rPr>
                    <w:rFonts w:ascii="Cambria Math" w:eastAsiaTheme="majorEastAsia" w:hAnsi="Cambria Math"/>
                  </w:rPr>
                  <m:t> mi</m:t>
                </m:r>
              </m:sub>
            </m:sSub>
          </m:e>
        </m:d>
        <m:r>
          <w:rPr>
            <w:rFonts w:ascii="Cambria Math" w:hAnsi="Cambria Math"/>
          </w:rPr>
          <m:t>&lt;1</m:t>
        </m:r>
      </m:oMath>
      <w:r w:rsidRPr="00B542CD">
        <w:rPr>
          <w:rFonts w:eastAsiaTheme="minorEastAsia"/>
          <w:iCs/>
        </w:rPr>
        <w:t>). This elasticity coefficient varies with the product (</w:t>
      </w:r>
      <m:oMath>
        <m:r>
          <w:rPr>
            <w:rFonts w:ascii="Cambria Math" w:eastAsiaTheme="majorEastAsia" w:hAnsi="Cambria Math"/>
          </w:rPr>
          <m:t>m</m:t>
        </m:r>
      </m:oMath>
      <w:r w:rsidRPr="00B542CD">
        <w:rPr>
          <w:rFonts w:eastAsiaTheme="minorEastAsia"/>
          <w:iCs/>
        </w:rPr>
        <w:t xml:space="preserve">) and the market </w:t>
      </w:r>
      <m:oMath>
        <m:r>
          <w:rPr>
            <w:rFonts w:ascii="Cambria Math" w:eastAsiaTheme="minorEastAsia" w:hAnsi="Cambria Math"/>
          </w:rPr>
          <m:t>(</m:t>
        </m:r>
        <m:r>
          <w:rPr>
            <w:rFonts w:ascii="Cambria Math" w:hAnsi="Cambria Math"/>
          </w:rPr>
          <m:t>i</m:t>
        </m:r>
      </m:oMath>
      <w:r w:rsidR="002A1BCD" w:rsidRPr="00B542CD">
        <w:rPr>
          <w:rFonts w:eastAsiaTheme="minorEastAsia"/>
        </w:rPr>
        <w:t>)</w:t>
      </w:r>
      <w:r w:rsidRPr="00B542CD">
        <w:rPr>
          <w:rFonts w:eastAsiaTheme="minorEastAsia"/>
          <w:iCs/>
        </w:rPr>
        <w:t xml:space="preserve"> since different markets have different affordability levels, </w:t>
      </w:r>
      <w:r w:rsidR="0088381F" w:rsidRPr="00B542CD">
        <w:rPr>
          <w:rFonts w:eastAsiaTheme="minorEastAsia"/>
          <w:iCs/>
        </w:rPr>
        <w:t>affecting</w:t>
      </w:r>
      <w:r w:rsidRPr="00B542CD">
        <w:rPr>
          <w:rFonts w:eastAsiaTheme="minorEastAsia"/>
          <w:iCs/>
        </w:rPr>
        <w:t xml:space="preserve"> their sensitivity to price fluctuations. </w:t>
      </w:r>
      <w:r w:rsidR="00802374" w:rsidRPr="00B542CD">
        <w:rPr>
          <w:rFonts w:eastAsiaTheme="minorEastAsia"/>
          <w:iCs/>
        </w:rPr>
        <w:t>This</w:t>
      </w:r>
      <w:r w:rsidRPr="00B542CD">
        <w:rPr>
          <w:rFonts w:eastAsiaTheme="minorEastAsia"/>
          <w:iCs/>
        </w:rPr>
        <w:t xml:space="preserve"> approach </w:t>
      </w:r>
      <w:r w:rsidR="00C86924" w:rsidRPr="00B542CD">
        <w:rPr>
          <w:rFonts w:eastAsiaTheme="minorEastAsia"/>
          <w:iCs/>
        </w:rPr>
        <w:t xml:space="preserve">aims </w:t>
      </w:r>
      <w:r w:rsidRPr="00B542CD">
        <w:rPr>
          <w:rFonts w:eastAsiaTheme="minorEastAsia"/>
          <w:iCs/>
        </w:rPr>
        <w:t xml:space="preserve">to explore how the demand-to-price elasticity can be related with the quantity and price that a company can set, as well as the population’s capacity to afford that price, as defined in Eq. (3). The demand </w:t>
      </w:r>
      <w:r w:rsidRPr="00B542CD">
        <w:t>(</w:t>
      </w:r>
      <m:oMath>
        <m:sSub>
          <m:sSubPr>
            <m:ctrlPr>
              <w:rPr>
                <w:rFonts w:ascii="Cambria Math" w:eastAsiaTheme="majorEastAsia" w:hAnsi="Cambria Math"/>
                <w:i/>
                <w:iCs/>
              </w:rPr>
            </m:ctrlPr>
          </m:sSubPr>
          <m:e>
            <m:r>
              <w:rPr>
                <w:rFonts w:ascii="Cambria Math" w:eastAsiaTheme="majorEastAsia" w:hAnsi="Cambria Math"/>
              </w:rPr>
              <m:t>D</m:t>
            </m:r>
          </m:e>
          <m:sub>
            <m:r>
              <w:rPr>
                <w:rFonts w:ascii="Cambria Math" w:eastAsiaTheme="majorEastAsia" w:hAnsi="Cambria Math"/>
              </w:rPr>
              <m:t>mit</m:t>
            </m:r>
          </m:sub>
        </m:sSub>
      </m:oMath>
      <w:r w:rsidRPr="00B542CD">
        <w:rPr>
          <w:iCs/>
        </w:rPr>
        <w:t xml:space="preserve">) is derived from a polynomial relationship with the corresponding price </w:t>
      </w:r>
      <w:r w:rsidRPr="00B542CD">
        <w:t>(</w:t>
      </w:r>
      <m:oMath>
        <m:sSub>
          <m:sSubPr>
            <m:ctrlPr>
              <w:rPr>
                <w:rFonts w:ascii="Cambria Math" w:eastAsiaTheme="majorEastAsia" w:hAnsi="Cambria Math"/>
                <w:i/>
                <w:iCs/>
              </w:rPr>
            </m:ctrlPr>
          </m:sSubPr>
          <m:e>
            <m:r>
              <w:rPr>
                <w:rFonts w:ascii="Cambria Math" w:eastAsiaTheme="majorEastAsia" w:hAnsi="Cambria Math"/>
              </w:rPr>
              <m:t>ps</m:t>
            </m:r>
          </m:e>
          <m:sub>
            <m:r>
              <w:rPr>
                <w:rFonts w:ascii="Cambria Math" w:eastAsiaTheme="majorEastAsia" w:hAnsi="Cambria Math"/>
              </w:rPr>
              <m:t>mit</m:t>
            </m:r>
          </m:sub>
        </m:sSub>
        <m:r>
          <w:rPr>
            <w:rFonts w:ascii="Cambria Math" w:hAnsi="Cambria Math"/>
          </w:rPr>
          <m:t>)</m:t>
        </m:r>
      </m:oMath>
      <w:r w:rsidRPr="00B542CD">
        <w:rPr>
          <w:iCs/>
        </w:rPr>
        <w:t xml:space="preserve">, and </w:t>
      </w:r>
      <m:oMath>
        <m:sSub>
          <m:sSubPr>
            <m:ctrlPr>
              <w:rPr>
                <w:rFonts w:ascii="Cambria Math" w:eastAsiaTheme="majorEastAsia" w:hAnsi="Cambria Math"/>
                <w:i/>
                <w:iCs/>
              </w:rPr>
            </m:ctrlPr>
          </m:sSubPr>
          <m:e>
            <m:r>
              <w:rPr>
                <w:rFonts w:ascii="Cambria Math" w:eastAsiaTheme="majorEastAsia" w:hAnsi="Cambria Math"/>
              </w:rPr>
              <m:t>B</m:t>
            </m:r>
          </m:e>
          <m:sub>
            <m:r>
              <w:rPr>
                <w:rFonts w:ascii="Cambria Math" w:eastAsiaTheme="majorEastAsia" w:hAnsi="Cambria Math"/>
              </w:rPr>
              <m:t>mit  </m:t>
            </m:r>
          </m:sub>
        </m:sSub>
      </m:oMath>
      <w:r w:rsidRPr="00B542CD">
        <w:rPr>
          <w:rFonts w:eastAsiaTheme="minorEastAsia"/>
          <w:iCs/>
        </w:rPr>
        <w:t xml:space="preserve"> establishe</w:t>
      </w:r>
      <w:r w:rsidR="00D20AC2" w:rsidRPr="00B542CD">
        <w:rPr>
          <w:rFonts w:eastAsiaTheme="minorEastAsia"/>
          <w:iCs/>
        </w:rPr>
        <w:t>s</w:t>
      </w:r>
      <w:r w:rsidRPr="00B542CD">
        <w:rPr>
          <w:rFonts w:eastAsiaTheme="minorEastAsia"/>
          <w:iCs/>
        </w:rPr>
        <w:t xml:space="preserve"> the minimal demand threshold for the minimum feasible price </w:t>
      </w:r>
      <w:r w:rsidR="00A65A74" w:rsidRPr="00B542CD">
        <w:rPr>
          <w:rFonts w:eastAsiaTheme="minorEastAsia"/>
          <w:iCs/>
        </w:rPr>
        <w:t>(</w:t>
      </w:r>
      <w:r w:rsidRPr="00B542CD">
        <w:rPr>
          <w:rFonts w:eastAsiaTheme="minorEastAsia"/>
          <w:iCs/>
        </w:rPr>
        <w:t>Eq. (4)</w:t>
      </w:r>
      <w:r w:rsidR="00A65A74" w:rsidRPr="00B542CD">
        <w:rPr>
          <w:rFonts w:eastAsiaTheme="minorEastAsia"/>
          <w:iCs/>
        </w:rPr>
        <w:t>)</w:t>
      </w:r>
      <w:r w:rsidRPr="00B542CD">
        <w:rPr>
          <w:rFonts w:eastAsiaTheme="minorEastAsia"/>
          <w:iCs/>
        </w:rPr>
        <w:t>.</w:t>
      </w:r>
    </w:p>
    <w:p w14:paraId="4EF843E5" w14:textId="54BC3065" w:rsidR="00314241" w:rsidRPr="00B542CD" w:rsidRDefault="00F61F1B" w:rsidP="004616E6">
      <w:pPr>
        <w:spacing w:before="120" w:after="120"/>
        <w:textAlignment w:val="baseline"/>
      </w:pPr>
      <m:oMathPara>
        <m:oMathParaPr>
          <m:jc m:val="left"/>
        </m:oMathParaPr>
        <m:oMath>
          <m:sSup>
            <m:sSupPr>
              <m:ctrlPr>
                <w:rPr>
                  <w:rFonts w:ascii="Cambria Math" w:eastAsia="Calibri" w:hAnsi="Cambria Math"/>
                  <w:i/>
                  <w:iCs/>
                  <w:sz w:val="18"/>
                  <w:szCs w:val="18"/>
                </w:rPr>
              </m:ctrlPr>
            </m:sSupPr>
            <m:e>
              <m:r>
                <w:rPr>
                  <w:rFonts w:ascii="Cambria Math" w:hAnsi="Cambria Math"/>
                  <w:sz w:val="18"/>
                  <w:szCs w:val="18"/>
                </w:rPr>
                <m:t> </m:t>
              </m:r>
              <m:sSub>
                <m:sSubPr>
                  <m:ctrlPr>
                    <w:rPr>
                      <w:rFonts w:ascii="Cambria Math" w:eastAsia="Calibri" w:hAnsi="Cambria Math"/>
                      <w:i/>
                      <w:iCs/>
                      <w:sz w:val="18"/>
                      <w:szCs w:val="18"/>
                    </w:rPr>
                  </m:ctrlPr>
                </m:sSubPr>
                <m:e>
                  <m:r>
                    <w:rPr>
                      <w:rFonts w:ascii="Cambria Math" w:hAnsi="Cambria Math"/>
                      <w:sz w:val="18"/>
                      <w:szCs w:val="18"/>
                    </w:rPr>
                    <m:t>Dm</m:t>
                  </m:r>
                </m:e>
                <m:sub>
                  <m:r>
                    <w:rPr>
                      <w:rFonts w:ascii="Cambria Math" w:hAnsi="Cambria Math"/>
                      <w:sz w:val="18"/>
                      <w:szCs w:val="18"/>
                    </w:rPr>
                    <m:t>mit</m:t>
                  </m:r>
                </m:sub>
              </m:sSub>
              <m:r>
                <w:rPr>
                  <w:rFonts w:ascii="Cambria Math" w:hAnsi="Cambria Math"/>
                  <w:sz w:val="18"/>
                  <w:szCs w:val="18"/>
                </w:rPr>
                <m:t> =  </m:t>
              </m:r>
              <m:sSub>
                <m:sSubPr>
                  <m:ctrlPr>
                    <w:rPr>
                      <w:rFonts w:ascii="Cambria Math" w:eastAsia="Calibri" w:hAnsi="Cambria Math"/>
                      <w:i/>
                      <w:iCs/>
                      <w:sz w:val="18"/>
                      <w:szCs w:val="18"/>
                    </w:rPr>
                  </m:ctrlPr>
                </m:sSubPr>
                <m:e>
                  <m:r>
                    <w:rPr>
                      <w:rFonts w:ascii="Cambria Math" w:hAnsi="Cambria Math"/>
                      <w:sz w:val="18"/>
                      <w:szCs w:val="18"/>
                    </w:rPr>
                    <m:t>β</m:t>
                  </m:r>
                </m:e>
                <m:sub>
                  <m:r>
                    <w:rPr>
                      <w:rFonts w:ascii="Cambria Math" w:hAnsi="Cambria Math"/>
                      <w:sz w:val="18"/>
                      <w:szCs w:val="18"/>
                    </w:rPr>
                    <m:t>mit</m:t>
                  </m:r>
                  <m:r>
                    <w:rPr>
                      <w:rFonts w:ascii="Cambria Math" w:hAnsi="Cambria Math"/>
                      <w:sz w:val="18"/>
                      <w:szCs w:val="18"/>
                    </w:rPr>
                    <m:t>  </m:t>
                  </m:r>
                </m:sub>
              </m:sSub>
              <m:d>
                <m:dPr>
                  <m:ctrlPr>
                    <w:rPr>
                      <w:rFonts w:ascii="Cambria Math" w:eastAsia="Calibri" w:hAnsi="Cambria Math"/>
                      <w:i/>
                      <w:iCs/>
                      <w:sz w:val="18"/>
                      <w:szCs w:val="18"/>
                    </w:rPr>
                  </m:ctrlPr>
                </m:dPr>
                <m:e>
                  <m:sSub>
                    <m:sSubPr>
                      <m:ctrlPr>
                        <w:rPr>
                          <w:rFonts w:ascii="Cambria Math" w:eastAsia="Calibri" w:hAnsi="Cambria Math"/>
                          <w:i/>
                          <w:iCs/>
                          <w:sz w:val="18"/>
                          <w:szCs w:val="18"/>
                        </w:rPr>
                      </m:ctrlPr>
                    </m:sSubPr>
                    <m:e>
                      <m:r>
                        <w:rPr>
                          <w:rFonts w:ascii="Cambria Math" w:hAnsi="Cambria Math"/>
                          <w:sz w:val="18"/>
                          <w:szCs w:val="18"/>
                        </w:rPr>
                        <m:t>pm</m:t>
                      </m:r>
                    </m:e>
                    <m:sub>
                      <m:r>
                        <w:rPr>
                          <w:rFonts w:ascii="Cambria Math" w:hAnsi="Cambria Math"/>
                          <w:sz w:val="18"/>
                          <w:szCs w:val="18"/>
                        </w:rPr>
                        <m:t>mit</m:t>
                      </m:r>
                    </m:sub>
                  </m:sSub>
                </m:e>
              </m:d>
              <m:r>
                <w:rPr>
                  <w:rFonts w:ascii="Cambria Math" w:hAnsi="Cambria Math"/>
                  <w:sz w:val="18"/>
                  <w:szCs w:val="18"/>
                </w:rPr>
                <m:t> </m:t>
              </m:r>
            </m:e>
            <m:sup>
              <m:sSub>
                <m:sSubPr>
                  <m:ctrlPr>
                    <w:rPr>
                      <w:rFonts w:ascii="Cambria Math" w:eastAsia="Calibri" w:hAnsi="Cambria Math"/>
                      <w:i/>
                      <w:iCs/>
                      <w:sz w:val="18"/>
                      <w:szCs w:val="18"/>
                    </w:rPr>
                  </m:ctrlPr>
                </m:sSubPr>
                <m:e>
                  <m:r>
                    <w:rPr>
                      <w:rFonts w:ascii="Cambria Math" w:eastAsia="Cambria Math" w:hAnsi="Cambria Math"/>
                      <w:sz w:val="18"/>
                      <w:szCs w:val="18"/>
                    </w:rPr>
                    <m:t>ϵ</m:t>
                  </m:r>
                </m:e>
                <m:sub>
                  <m:r>
                    <w:rPr>
                      <w:rFonts w:ascii="Cambria Math" w:hAnsi="Cambria Math"/>
                      <w:sz w:val="18"/>
                      <w:szCs w:val="18"/>
                    </w:rPr>
                    <m:t> </m:t>
                  </m:r>
                  <m:r>
                    <w:rPr>
                      <w:rFonts w:ascii="Cambria Math" w:hAnsi="Cambria Math"/>
                      <w:sz w:val="18"/>
                      <w:szCs w:val="18"/>
                    </w:rPr>
                    <m:t>mi</m:t>
                  </m:r>
                </m:sub>
              </m:sSub>
            </m:sup>
          </m:sSup>
          <m:r>
            <w:rPr>
              <w:rFonts w:ascii="Cambria Math" w:hAnsi="Cambria Math"/>
              <w:sz w:val="18"/>
              <w:szCs w:val="18"/>
            </w:rPr>
            <m:t xml:space="preserve">     ↔   </m:t>
          </m:r>
          <m:func>
            <m:funcPr>
              <m:ctrlPr>
                <w:rPr>
                  <w:rFonts w:ascii="Cambria Math" w:eastAsia="Calibri" w:hAnsi="Cambria Math"/>
                  <w:i/>
                  <w:sz w:val="18"/>
                  <w:szCs w:val="18"/>
                </w:rPr>
              </m:ctrlPr>
            </m:funcPr>
            <m:fName>
              <m:r>
                <m:rPr>
                  <m:sty m:val="p"/>
                </m:rPr>
                <w:rPr>
                  <w:rFonts w:ascii="Cambria Math" w:hAnsi="Cambria Math"/>
                  <w:sz w:val="18"/>
                  <w:szCs w:val="18"/>
                </w:rPr>
                <m:t>ln</m:t>
              </m:r>
            </m:fName>
            <m:e>
              <m:d>
                <m:dPr>
                  <m:ctrlPr>
                    <w:rPr>
                      <w:rFonts w:ascii="Cambria Math" w:eastAsia="Calibri" w:hAnsi="Cambria Math"/>
                      <w:i/>
                      <w:sz w:val="18"/>
                      <w:szCs w:val="18"/>
                    </w:rPr>
                  </m:ctrlPr>
                </m:dPr>
                <m:e>
                  <m:r>
                    <w:rPr>
                      <w:rFonts w:ascii="Cambria Math" w:hAnsi="Cambria Math"/>
                      <w:sz w:val="18"/>
                      <w:szCs w:val="18"/>
                    </w:rPr>
                    <m:t xml:space="preserve"> </m:t>
                  </m:r>
                  <m:sSub>
                    <m:sSubPr>
                      <m:ctrlPr>
                        <w:rPr>
                          <w:rFonts w:ascii="Cambria Math" w:eastAsia="Calibri" w:hAnsi="Cambria Math"/>
                          <w:i/>
                          <w:iCs/>
                          <w:sz w:val="18"/>
                          <w:szCs w:val="18"/>
                        </w:rPr>
                      </m:ctrlPr>
                    </m:sSubPr>
                    <m:e>
                      <m:r>
                        <w:rPr>
                          <w:rFonts w:ascii="Cambria Math" w:hAnsi="Cambria Math"/>
                          <w:sz w:val="18"/>
                          <w:szCs w:val="18"/>
                        </w:rPr>
                        <m:t>Dm</m:t>
                      </m:r>
                    </m:e>
                    <m:sub>
                      <m:r>
                        <w:rPr>
                          <w:rFonts w:ascii="Cambria Math" w:hAnsi="Cambria Math"/>
                          <w:sz w:val="18"/>
                          <w:szCs w:val="18"/>
                        </w:rPr>
                        <m:t>mit</m:t>
                      </m:r>
                    </m:sub>
                  </m:sSub>
                </m:e>
              </m:d>
            </m:e>
          </m:func>
          <m:r>
            <w:rPr>
              <w:rFonts w:ascii="Cambria Math" w:hAnsi="Cambria Math"/>
              <w:sz w:val="18"/>
              <w:szCs w:val="18"/>
            </w:rPr>
            <m:t>=</m:t>
          </m:r>
          <m:func>
            <m:funcPr>
              <m:ctrlPr>
                <w:rPr>
                  <w:rFonts w:ascii="Cambria Math" w:eastAsia="Calibri" w:hAnsi="Cambria Math"/>
                  <w:i/>
                  <w:sz w:val="18"/>
                  <w:szCs w:val="18"/>
                </w:rPr>
              </m:ctrlPr>
            </m:funcPr>
            <m:fName>
              <m:r>
                <m:rPr>
                  <m:sty m:val="p"/>
                </m:rPr>
                <w:rPr>
                  <w:rFonts w:ascii="Cambria Math" w:hAnsi="Cambria Math"/>
                  <w:sz w:val="18"/>
                  <w:szCs w:val="18"/>
                </w:rPr>
                <m:t>ln</m:t>
              </m:r>
            </m:fName>
            <m:e>
              <m:d>
                <m:dPr>
                  <m:ctrlPr>
                    <w:rPr>
                      <w:rFonts w:ascii="Cambria Math" w:eastAsia="Calibri" w:hAnsi="Cambria Math"/>
                      <w:i/>
                      <w:sz w:val="18"/>
                      <w:szCs w:val="18"/>
                    </w:rPr>
                  </m:ctrlPr>
                </m:dPr>
                <m:e>
                  <m:sSub>
                    <m:sSubPr>
                      <m:ctrlPr>
                        <w:rPr>
                          <w:rFonts w:ascii="Cambria Math" w:eastAsia="Calibri" w:hAnsi="Cambria Math"/>
                          <w:i/>
                          <w:iCs/>
                          <w:sz w:val="18"/>
                          <w:szCs w:val="18"/>
                        </w:rPr>
                      </m:ctrlPr>
                    </m:sSubPr>
                    <m:e>
                      <m:r>
                        <w:rPr>
                          <w:rFonts w:ascii="Cambria Math" w:hAnsi="Cambria Math"/>
                          <w:sz w:val="18"/>
                          <w:szCs w:val="18"/>
                        </w:rPr>
                        <m:t>β</m:t>
                      </m:r>
                    </m:e>
                    <m:sub>
                      <m:r>
                        <w:rPr>
                          <w:rFonts w:ascii="Cambria Math" w:hAnsi="Cambria Math"/>
                          <w:sz w:val="18"/>
                          <w:szCs w:val="18"/>
                        </w:rPr>
                        <m:t>mit</m:t>
                      </m:r>
                      <m:r>
                        <w:rPr>
                          <w:rFonts w:ascii="Cambria Math" w:hAnsi="Cambria Math"/>
                          <w:sz w:val="18"/>
                          <w:szCs w:val="18"/>
                        </w:rPr>
                        <m:t>  </m:t>
                      </m:r>
                    </m:sub>
                  </m:sSub>
                  <m:ctrlPr>
                    <w:rPr>
                      <w:rFonts w:ascii="Cambria Math" w:eastAsia="Calibri" w:hAnsi="Cambria Math"/>
                      <w:i/>
                      <w:iCs/>
                      <w:sz w:val="18"/>
                      <w:szCs w:val="18"/>
                    </w:rPr>
                  </m:ctrlPr>
                </m:e>
              </m:d>
            </m:e>
          </m:func>
          <m:r>
            <w:rPr>
              <w:rFonts w:ascii="Cambria Math" w:hAnsi="Cambria Math"/>
              <w:sz w:val="18"/>
              <w:szCs w:val="18"/>
            </w:rPr>
            <m:t>+</m:t>
          </m:r>
          <m:sSub>
            <m:sSubPr>
              <m:ctrlPr>
                <w:rPr>
                  <w:rFonts w:ascii="Cambria Math" w:eastAsia="Calibri" w:hAnsi="Cambria Math"/>
                  <w:i/>
                  <w:iCs/>
                  <w:sz w:val="18"/>
                  <w:szCs w:val="18"/>
                </w:rPr>
              </m:ctrlPr>
            </m:sSubPr>
            <m:e>
              <m:r>
                <w:rPr>
                  <w:rFonts w:ascii="Cambria Math" w:eastAsia="Cambria Math" w:hAnsi="Cambria Math"/>
                  <w:sz w:val="18"/>
                  <w:szCs w:val="18"/>
                </w:rPr>
                <m:t>ϵ</m:t>
              </m:r>
            </m:e>
            <m:sub>
              <m:r>
                <w:rPr>
                  <w:rFonts w:ascii="Cambria Math" w:hAnsi="Cambria Math"/>
                  <w:sz w:val="18"/>
                  <w:szCs w:val="18"/>
                </w:rPr>
                <m:t> </m:t>
              </m:r>
              <m:r>
                <w:rPr>
                  <w:rFonts w:ascii="Cambria Math" w:hAnsi="Cambria Math"/>
                  <w:sz w:val="18"/>
                  <w:szCs w:val="18"/>
                </w:rPr>
                <m:t>mi</m:t>
              </m:r>
            </m:sub>
          </m:sSub>
          <m:r>
            <w:rPr>
              <w:rFonts w:ascii="Cambria Math" w:hAnsi="Cambria Math"/>
              <w:sz w:val="18"/>
              <w:szCs w:val="18"/>
            </w:rPr>
            <m:t xml:space="preserve"> </m:t>
          </m:r>
          <m:r>
            <w:rPr>
              <w:rFonts w:ascii="Cambria Math" w:hAnsi="Cambria Math"/>
              <w:sz w:val="18"/>
              <w:szCs w:val="18"/>
            </w:rPr>
            <m:t>ln</m:t>
          </m:r>
          <m:d>
            <m:dPr>
              <m:ctrlPr>
                <w:rPr>
                  <w:rFonts w:ascii="Cambria Math" w:eastAsia="Calibri" w:hAnsi="Cambria Math"/>
                  <w:i/>
                  <w:iCs/>
                  <w:sz w:val="18"/>
                  <w:szCs w:val="18"/>
                </w:rPr>
              </m:ctrlPr>
            </m:dPr>
            <m:e>
              <m:sSub>
                <m:sSubPr>
                  <m:ctrlPr>
                    <w:rPr>
                      <w:rFonts w:ascii="Cambria Math" w:eastAsia="Calibri" w:hAnsi="Cambria Math"/>
                      <w:i/>
                      <w:iCs/>
                      <w:sz w:val="18"/>
                      <w:szCs w:val="18"/>
                    </w:rPr>
                  </m:ctrlPr>
                </m:sSubPr>
                <m:e>
                  <m:r>
                    <w:rPr>
                      <w:rFonts w:ascii="Cambria Math" w:hAnsi="Cambria Math"/>
                      <w:sz w:val="18"/>
                      <w:szCs w:val="18"/>
                    </w:rPr>
                    <m:t>pm</m:t>
                  </m:r>
                </m:e>
                <m:sub>
                  <m:r>
                    <w:rPr>
                      <w:rFonts w:ascii="Cambria Math" w:hAnsi="Cambria Math"/>
                      <w:sz w:val="18"/>
                      <w:szCs w:val="18"/>
                    </w:rPr>
                    <m:t>mit</m:t>
                  </m:r>
                </m:sub>
              </m:sSub>
            </m:e>
          </m:d>
          <m:r>
            <w:rPr>
              <w:rFonts w:ascii="Cambria Math" w:hAnsi="Cambria Math"/>
              <w:sz w:val="18"/>
              <w:szCs w:val="18"/>
            </w:rPr>
            <m:t xml:space="preserve">                   </m:t>
          </m:r>
          <m:d>
            <m:dPr>
              <m:ctrlPr>
                <w:rPr>
                  <w:rFonts w:ascii="Cambria Math" w:eastAsia="Calibri" w:hAnsi="Cambria Math"/>
                  <w:i/>
                  <w:sz w:val="18"/>
                  <w:szCs w:val="18"/>
                </w:rPr>
              </m:ctrlPr>
            </m:dPr>
            <m:e>
              <m:r>
                <w:rPr>
                  <w:rFonts w:ascii="Cambria Math" w:hAnsi="Cambria Math"/>
                  <w:sz w:val="18"/>
                  <w:szCs w:val="18"/>
                </w:rPr>
                <m:t>3</m:t>
              </m:r>
            </m:e>
          </m:d>
        </m:oMath>
      </m:oMathPara>
    </w:p>
    <w:p w14:paraId="255197D6" w14:textId="56420ABA" w:rsidR="00314241" w:rsidRPr="00B542CD" w:rsidRDefault="00314241" w:rsidP="004616E6">
      <w:pPr>
        <w:spacing w:before="120" w:after="120" w:line="276" w:lineRule="auto"/>
        <w:textAlignment w:val="baseline"/>
        <w:rPr>
          <w:b/>
          <w:bCs/>
          <w:i/>
          <w:sz w:val="18"/>
          <w:szCs w:val="18"/>
        </w:rPr>
      </w:pPr>
      <w:r w:rsidRPr="00B542CD">
        <w:rPr>
          <w:sz w:val="18"/>
          <w:szCs w:val="18"/>
        </w:rPr>
        <w:t xml:space="preserve">And </w:t>
      </w:r>
      <w:r w:rsidR="006A45AD" w:rsidRPr="00B542CD">
        <w:rPr>
          <w:sz w:val="18"/>
          <w:szCs w:val="18"/>
        </w:rPr>
        <w:t>considering</w:t>
      </w:r>
      <w:r w:rsidR="00A30667" w:rsidRPr="00B542CD">
        <w:rPr>
          <w:sz w:val="18"/>
          <w:szCs w:val="18"/>
        </w:rPr>
        <w:t xml:space="preserve"> </w:t>
      </w:r>
      <w:r w:rsidR="006A45AD" w:rsidRPr="00B542CD">
        <w:rPr>
          <w:sz w:val="18"/>
          <w:szCs w:val="18"/>
        </w:rPr>
        <w:t xml:space="preserve"> </w:t>
      </w:r>
      <m:oMath>
        <m:sSub>
          <m:sSubPr>
            <m:ctrlPr>
              <w:rPr>
                <w:rFonts w:ascii="Cambria Math" w:eastAsia="Calibri" w:hAnsi="Cambria Math"/>
                <w:sz w:val="18"/>
                <w:szCs w:val="18"/>
              </w:rPr>
            </m:ctrlPr>
          </m:sSubPr>
          <m:e>
            <m:r>
              <w:rPr>
                <w:rFonts w:ascii="Cambria Math" w:hAnsi="Cambria Math"/>
                <w:sz w:val="18"/>
                <w:szCs w:val="18"/>
              </w:rPr>
              <m:t>D</m:t>
            </m:r>
          </m:e>
          <m:sub>
            <m:r>
              <w:rPr>
                <w:rFonts w:ascii="Cambria Math" w:hAnsi="Cambria Math"/>
                <w:sz w:val="18"/>
                <w:szCs w:val="18"/>
              </w:rPr>
              <m:t>mit</m:t>
            </m:r>
          </m:sub>
        </m:sSub>
        <m:r>
          <w:rPr>
            <w:rFonts w:ascii="Cambria Math" w:hAnsi="Cambria Math"/>
            <w:sz w:val="18"/>
            <w:szCs w:val="18"/>
          </w:rPr>
          <m:t>=</m:t>
        </m:r>
        <m:func>
          <m:funcPr>
            <m:ctrlPr>
              <w:rPr>
                <w:rFonts w:ascii="Cambria Math" w:eastAsia="Calibri" w:hAnsi="Cambria Math"/>
                <w:sz w:val="18"/>
                <w:szCs w:val="18"/>
              </w:rPr>
            </m:ctrlPr>
          </m:funcPr>
          <m:fName>
            <m:r>
              <m:rPr>
                <m:sty m:val="p"/>
              </m:rPr>
              <w:rPr>
                <w:rFonts w:ascii="Cambria Math" w:hAnsi="Cambria Math"/>
                <w:sz w:val="18"/>
                <w:szCs w:val="18"/>
              </w:rPr>
              <m:t>ln</m:t>
            </m:r>
          </m:fName>
          <m:e>
            <m:d>
              <m:dPr>
                <m:ctrlPr>
                  <w:rPr>
                    <w:rFonts w:ascii="Cambria Math" w:eastAsia="Calibri" w:hAnsi="Cambria Math"/>
                    <w:sz w:val="18"/>
                    <w:szCs w:val="18"/>
                  </w:rPr>
                </m:ctrlPr>
              </m:dPr>
              <m:e>
                <m:sSub>
                  <m:sSubPr>
                    <m:ctrlPr>
                      <w:rPr>
                        <w:rFonts w:ascii="Cambria Math" w:eastAsia="Calibri" w:hAnsi="Cambria Math"/>
                        <w:sz w:val="18"/>
                        <w:szCs w:val="18"/>
                      </w:rPr>
                    </m:ctrlPr>
                  </m:sSubPr>
                  <m:e>
                    <m:r>
                      <w:rPr>
                        <w:rFonts w:ascii="Cambria Math" w:hAnsi="Cambria Math"/>
                        <w:sz w:val="18"/>
                        <w:szCs w:val="18"/>
                      </w:rPr>
                      <m:t>Dm</m:t>
                    </m:r>
                  </m:e>
                  <m:sub>
                    <m:r>
                      <w:rPr>
                        <w:rFonts w:ascii="Cambria Math" w:hAnsi="Cambria Math"/>
                        <w:sz w:val="18"/>
                        <w:szCs w:val="18"/>
                      </w:rPr>
                      <m:t>mit</m:t>
                    </m:r>
                  </m:sub>
                </m:sSub>
              </m:e>
            </m:d>
            <m:r>
              <w:rPr>
                <w:rFonts w:ascii="Cambria Math" w:eastAsia="Calibri" w:hAnsi="Cambria Math"/>
                <w:sz w:val="18"/>
                <w:szCs w:val="18"/>
              </w:rPr>
              <m:t>;</m:t>
            </m:r>
          </m:e>
        </m:func>
        <m:sSub>
          <m:sSubPr>
            <m:ctrlPr>
              <w:rPr>
                <w:rFonts w:ascii="Cambria Math" w:eastAsia="Calibri" w:hAnsi="Cambria Math"/>
                <w:sz w:val="18"/>
                <w:szCs w:val="18"/>
              </w:rPr>
            </m:ctrlPr>
          </m:sSubPr>
          <m:e>
            <m:r>
              <w:rPr>
                <w:rFonts w:ascii="Cambria Math" w:hAnsi="Cambria Math"/>
                <w:sz w:val="18"/>
                <w:szCs w:val="18"/>
              </w:rPr>
              <m:t>B</m:t>
            </m:r>
          </m:e>
          <m:sub>
            <m:r>
              <w:rPr>
                <w:rFonts w:ascii="Cambria Math" w:hAnsi="Cambria Math"/>
                <w:sz w:val="18"/>
                <w:szCs w:val="18"/>
              </w:rPr>
              <m:t>mit</m:t>
            </m:r>
          </m:sub>
        </m:sSub>
        <m:r>
          <m:rPr>
            <m:sty m:val="p"/>
          </m:rPr>
          <w:rPr>
            <w:rFonts w:ascii="Cambria Math" w:hAnsi="Cambria Math"/>
            <w:sz w:val="18"/>
            <w:szCs w:val="18"/>
          </w:rPr>
          <m:t xml:space="preserve"> =</m:t>
        </m:r>
        <m:func>
          <m:funcPr>
            <m:ctrlPr>
              <w:rPr>
                <w:rFonts w:ascii="Cambria Math" w:eastAsia="Calibri" w:hAnsi="Cambria Math"/>
                <w:sz w:val="18"/>
                <w:szCs w:val="18"/>
              </w:rPr>
            </m:ctrlPr>
          </m:funcPr>
          <m:fName>
            <m:r>
              <m:rPr>
                <m:sty m:val="p"/>
              </m:rPr>
              <w:rPr>
                <w:rFonts w:ascii="Cambria Math" w:hAnsi="Cambria Math"/>
                <w:sz w:val="18"/>
                <w:szCs w:val="18"/>
              </w:rPr>
              <m:t>ln</m:t>
            </m:r>
          </m:fName>
          <m:e>
            <m:d>
              <m:dPr>
                <m:ctrlPr>
                  <w:rPr>
                    <w:rFonts w:ascii="Cambria Math" w:eastAsia="Calibri" w:hAnsi="Cambria Math"/>
                    <w:sz w:val="18"/>
                    <w:szCs w:val="18"/>
                  </w:rPr>
                </m:ctrlPr>
              </m:dPr>
              <m:e>
                <m:sSub>
                  <m:sSubPr>
                    <m:ctrlPr>
                      <w:rPr>
                        <w:rFonts w:ascii="Cambria Math" w:eastAsia="Calibri" w:hAnsi="Cambria Math"/>
                        <w:sz w:val="18"/>
                        <w:szCs w:val="18"/>
                      </w:rPr>
                    </m:ctrlPr>
                  </m:sSubPr>
                  <m:e>
                    <m:r>
                      <w:rPr>
                        <w:rFonts w:ascii="Cambria Math" w:hAnsi="Cambria Math"/>
                        <w:sz w:val="18"/>
                        <w:szCs w:val="18"/>
                      </w:rPr>
                      <m:t>β</m:t>
                    </m:r>
                  </m:e>
                  <m:sub>
                    <m:r>
                      <w:rPr>
                        <w:rFonts w:ascii="Cambria Math" w:hAnsi="Cambria Math"/>
                        <w:sz w:val="18"/>
                        <w:szCs w:val="18"/>
                      </w:rPr>
                      <m:t>mit</m:t>
                    </m:r>
                    <m:r>
                      <m:rPr>
                        <m:sty m:val="p"/>
                      </m:rPr>
                      <w:rPr>
                        <w:rFonts w:ascii="Cambria Math" w:hAnsi="Cambria Math"/>
                        <w:sz w:val="18"/>
                        <w:szCs w:val="18"/>
                      </w:rPr>
                      <m:t>  </m:t>
                    </m:r>
                  </m:sub>
                </m:sSub>
              </m:e>
            </m:d>
          </m:e>
        </m:func>
        <m:r>
          <m:rPr>
            <m:sty m:val="p"/>
          </m:rPr>
          <w:rPr>
            <w:rFonts w:ascii="Cambria Math" w:hAnsi="Cambria Math"/>
            <w:sz w:val="18"/>
            <w:szCs w:val="18"/>
          </w:rPr>
          <m:t xml:space="preserve">  ;</m:t>
        </m:r>
        <m:sSub>
          <m:sSubPr>
            <m:ctrlPr>
              <w:rPr>
                <w:rFonts w:ascii="Cambria Math" w:eastAsia="Calibri" w:hAnsi="Cambria Math"/>
                <w:sz w:val="18"/>
                <w:szCs w:val="18"/>
              </w:rPr>
            </m:ctrlPr>
          </m:sSubPr>
          <m:e>
            <m:r>
              <w:rPr>
                <w:rFonts w:ascii="Cambria Math" w:hAnsi="Cambria Math"/>
                <w:sz w:val="18"/>
                <w:szCs w:val="18"/>
              </w:rPr>
              <m:t>ps</m:t>
            </m:r>
          </m:e>
          <m:sub>
            <m:r>
              <w:rPr>
                <w:rFonts w:ascii="Cambria Math" w:hAnsi="Cambria Math"/>
                <w:sz w:val="18"/>
                <w:szCs w:val="18"/>
              </w:rPr>
              <m:t>mit</m:t>
            </m:r>
          </m:sub>
        </m:sSub>
        <m:r>
          <m:rPr>
            <m:sty m:val="p"/>
          </m:rPr>
          <w:rPr>
            <w:rFonts w:ascii="Cambria Math" w:hAnsi="Cambria Math"/>
            <w:sz w:val="18"/>
            <w:szCs w:val="18"/>
          </w:rPr>
          <m:t>=</m:t>
        </m:r>
        <m:func>
          <m:funcPr>
            <m:ctrlPr>
              <w:rPr>
                <w:rFonts w:ascii="Cambria Math" w:eastAsia="Calibri" w:hAnsi="Cambria Math"/>
                <w:sz w:val="18"/>
                <w:szCs w:val="18"/>
              </w:rPr>
            </m:ctrlPr>
          </m:funcPr>
          <m:fName>
            <m:r>
              <m:rPr>
                <m:sty m:val="p"/>
              </m:rPr>
              <w:rPr>
                <w:rFonts w:ascii="Cambria Math" w:hAnsi="Cambria Math"/>
                <w:sz w:val="18"/>
                <w:szCs w:val="18"/>
              </w:rPr>
              <m:t>ln</m:t>
            </m:r>
          </m:fName>
          <m:e>
            <m:d>
              <m:dPr>
                <m:ctrlPr>
                  <w:rPr>
                    <w:rFonts w:ascii="Cambria Math" w:eastAsia="Calibri" w:hAnsi="Cambria Math"/>
                    <w:sz w:val="18"/>
                    <w:szCs w:val="18"/>
                  </w:rPr>
                </m:ctrlPr>
              </m:dPr>
              <m:e>
                <m:sSub>
                  <m:sSubPr>
                    <m:ctrlPr>
                      <w:rPr>
                        <w:rFonts w:ascii="Cambria Math" w:eastAsia="Calibri" w:hAnsi="Cambria Math"/>
                        <w:sz w:val="18"/>
                        <w:szCs w:val="18"/>
                      </w:rPr>
                    </m:ctrlPr>
                  </m:sSubPr>
                  <m:e>
                    <m:r>
                      <w:rPr>
                        <w:rFonts w:ascii="Cambria Math" w:hAnsi="Cambria Math"/>
                        <w:sz w:val="18"/>
                        <w:szCs w:val="18"/>
                      </w:rPr>
                      <m:t>pm</m:t>
                    </m:r>
                  </m:e>
                  <m:sub>
                    <m:r>
                      <w:rPr>
                        <w:rFonts w:ascii="Cambria Math" w:hAnsi="Cambria Math"/>
                        <w:sz w:val="18"/>
                        <w:szCs w:val="18"/>
                      </w:rPr>
                      <m:t>mit</m:t>
                    </m:r>
                  </m:sub>
                </m:sSub>
              </m:e>
            </m:d>
          </m:e>
        </m:func>
        <m:r>
          <w:rPr>
            <w:rFonts w:ascii="Cambria Math" w:eastAsia="Calibri" w:hAnsi="Cambria Math"/>
            <w:sz w:val="18"/>
            <w:szCs w:val="18"/>
          </w:rPr>
          <m:t xml:space="preserve"> </m:t>
        </m:r>
      </m:oMath>
      <w:r w:rsidRPr="00B542CD">
        <w:rPr>
          <w:sz w:val="18"/>
          <w:szCs w:val="18"/>
        </w:rPr>
        <w:t>a linear relation is achieved</w:t>
      </w:r>
      <w:r w:rsidR="00BD17AF" w:rsidRPr="00B542CD">
        <w:rPr>
          <w:sz w:val="18"/>
          <w:szCs w:val="18"/>
        </w:rPr>
        <w:t xml:space="preserve">: </w:t>
      </w:r>
      <m:oMath>
        <m:sSub>
          <m:sSubPr>
            <m:ctrlPr>
              <w:rPr>
                <w:rFonts w:ascii="Cambria Math" w:eastAsia="Calibri" w:hAnsi="Cambria Math"/>
                <w:i/>
                <w:sz w:val="18"/>
                <w:szCs w:val="18"/>
              </w:rPr>
            </m:ctrlPr>
          </m:sSubPr>
          <m:e>
            <m:r>
              <w:rPr>
                <w:rFonts w:ascii="Cambria Math" w:hAnsi="Cambria Math"/>
                <w:sz w:val="18"/>
                <w:szCs w:val="18"/>
              </w:rPr>
              <m:t>D</m:t>
            </m:r>
          </m:e>
          <m:sub>
            <m:r>
              <w:rPr>
                <w:rFonts w:ascii="Cambria Math" w:hAnsi="Cambria Math"/>
                <w:sz w:val="18"/>
                <w:szCs w:val="18"/>
              </w:rPr>
              <m:t>mit</m:t>
            </m:r>
          </m:sub>
        </m:sSub>
        <m:r>
          <w:rPr>
            <w:rFonts w:ascii="Cambria Math" w:hAnsi="Cambria Math"/>
            <w:sz w:val="18"/>
            <w:szCs w:val="18"/>
          </w:rPr>
          <m:t xml:space="preserve">= </m:t>
        </m:r>
        <m:sSub>
          <m:sSubPr>
            <m:ctrlPr>
              <w:rPr>
                <w:rFonts w:ascii="Cambria Math" w:eastAsia="Calibri" w:hAnsi="Cambria Math"/>
                <w:i/>
                <w:sz w:val="18"/>
                <w:szCs w:val="18"/>
              </w:rPr>
            </m:ctrlPr>
          </m:sSubPr>
          <m:e>
            <m:r>
              <w:rPr>
                <w:rFonts w:ascii="Cambria Math" w:hAnsi="Cambria Math"/>
                <w:sz w:val="18"/>
                <w:szCs w:val="18"/>
              </w:rPr>
              <m:t>B</m:t>
            </m:r>
          </m:e>
          <m:sub>
            <m:r>
              <w:rPr>
                <w:rFonts w:ascii="Cambria Math" w:hAnsi="Cambria Math"/>
                <w:sz w:val="18"/>
                <w:szCs w:val="18"/>
              </w:rPr>
              <m:t>mit</m:t>
            </m:r>
          </m:sub>
        </m:sSub>
        <m:r>
          <w:rPr>
            <w:rFonts w:ascii="Cambria Math" w:hAnsi="Cambria Math"/>
            <w:sz w:val="18"/>
            <w:szCs w:val="18"/>
          </w:rPr>
          <m:t xml:space="preserve">+ </m:t>
        </m:r>
        <m:sSub>
          <m:sSubPr>
            <m:ctrlPr>
              <w:rPr>
                <w:rFonts w:ascii="Cambria Math" w:eastAsia="Calibri" w:hAnsi="Cambria Math"/>
                <w:i/>
                <w:iCs/>
                <w:sz w:val="18"/>
                <w:szCs w:val="18"/>
              </w:rPr>
            </m:ctrlPr>
          </m:sSubPr>
          <m:e>
            <m:r>
              <w:rPr>
                <w:rFonts w:ascii="Cambria Math" w:eastAsia="Cambria Math" w:hAnsi="Cambria Math"/>
                <w:sz w:val="18"/>
                <w:szCs w:val="18"/>
              </w:rPr>
              <m:t>ϵ</m:t>
            </m:r>
          </m:e>
          <m:sub>
            <m:r>
              <w:rPr>
                <w:rFonts w:ascii="Cambria Math" w:hAnsi="Cambria Math"/>
                <w:sz w:val="18"/>
                <w:szCs w:val="18"/>
              </w:rPr>
              <m:t> mi</m:t>
            </m:r>
          </m:sub>
        </m:sSub>
        <m:r>
          <w:rPr>
            <w:rFonts w:ascii="Cambria Math" w:hAnsi="Cambria Math"/>
            <w:sz w:val="18"/>
            <w:szCs w:val="18"/>
          </w:rPr>
          <m:t xml:space="preserve">  </m:t>
        </m:r>
        <m:sSub>
          <m:sSubPr>
            <m:ctrlPr>
              <w:rPr>
                <w:rFonts w:ascii="Cambria Math" w:eastAsia="Calibri" w:hAnsi="Cambria Math"/>
                <w:i/>
                <w:iCs/>
                <w:sz w:val="18"/>
                <w:szCs w:val="18"/>
              </w:rPr>
            </m:ctrlPr>
          </m:sSubPr>
          <m:e>
            <m:r>
              <w:rPr>
                <w:rFonts w:ascii="Cambria Math" w:hAnsi="Cambria Math"/>
                <w:sz w:val="18"/>
                <w:szCs w:val="18"/>
              </w:rPr>
              <m:t>ps</m:t>
            </m:r>
          </m:e>
          <m:sub>
            <m:r>
              <w:rPr>
                <w:rFonts w:ascii="Cambria Math" w:hAnsi="Cambria Math"/>
                <w:sz w:val="18"/>
                <w:szCs w:val="18"/>
              </w:rPr>
              <m:t>mit</m:t>
            </m:r>
          </m:sub>
        </m:sSub>
        <m:r>
          <w:rPr>
            <w:rFonts w:ascii="Cambria Math" w:hAnsi="Cambria Math"/>
            <w:sz w:val="18"/>
            <w:szCs w:val="18"/>
          </w:rPr>
          <m:t xml:space="preserve">                                                                                                   (4)</m:t>
        </m:r>
      </m:oMath>
    </w:p>
    <w:p w14:paraId="463AB8F2" w14:textId="77777777" w:rsidR="00314241" w:rsidRPr="00B542CD" w:rsidRDefault="00314241" w:rsidP="00792EE5">
      <w:pPr>
        <w:pStyle w:val="Els-1storder-head"/>
        <w:spacing w:before="120" w:after="0"/>
        <w:rPr>
          <w:lang w:val="en-GB"/>
        </w:rPr>
      </w:pPr>
      <w:r w:rsidRPr="00B542CD">
        <w:rPr>
          <w:lang w:val="en-GB"/>
        </w:rPr>
        <w:lastRenderedPageBreak/>
        <w:t>Case-study</w:t>
      </w:r>
    </w:p>
    <w:p w14:paraId="192AD919" w14:textId="7284DBB9" w:rsidR="006C5588" w:rsidRPr="00B542CD" w:rsidRDefault="006C5588" w:rsidP="0076136C">
      <w:pPr>
        <w:pStyle w:val="Els-body-text"/>
        <w:spacing w:before="60"/>
        <w:rPr>
          <w:lang w:val="en-GB"/>
        </w:rPr>
      </w:pPr>
      <w:r w:rsidRPr="00B542CD">
        <w:rPr>
          <w:lang w:val="en-GB"/>
        </w:rPr>
        <w:t xml:space="preserve">The pharmaceutical company </w:t>
      </w:r>
      <w:r w:rsidR="007F2ED1" w:rsidRPr="00B542CD">
        <w:rPr>
          <w:lang w:val="en-GB"/>
        </w:rPr>
        <w:t xml:space="preserve">investigated </w:t>
      </w:r>
      <w:r w:rsidRPr="00B542CD">
        <w:rPr>
          <w:lang w:val="en-GB"/>
        </w:rPr>
        <w:t xml:space="preserve">in </w:t>
      </w:r>
      <w:r w:rsidR="007F2ED1" w:rsidRPr="00B542CD">
        <w:rPr>
          <w:lang w:val="en-GB"/>
        </w:rPr>
        <w:t xml:space="preserve">this </w:t>
      </w:r>
      <w:r w:rsidRPr="00B542CD">
        <w:rPr>
          <w:lang w:val="en-GB"/>
        </w:rPr>
        <w:t xml:space="preserve">study manufactures and distributes a meningitis conjugate vaccine. Low- and middle-income countries do not </w:t>
      </w:r>
      <w:r w:rsidR="001B7F1E" w:rsidRPr="00B542CD">
        <w:rPr>
          <w:lang w:val="en-GB"/>
        </w:rPr>
        <w:t>acquire</w:t>
      </w:r>
      <w:r w:rsidRPr="00B542CD">
        <w:rPr>
          <w:lang w:val="en-GB"/>
        </w:rPr>
        <w:t xml:space="preserve"> this vaccine due to its price. Africa and Eastern Mediterranean region countries have expressed the desire to incorporate this vaccine into their standard immunization programme</w:t>
      </w:r>
      <w:r w:rsidR="007F2ED1" w:rsidRPr="00B542CD">
        <w:rPr>
          <w:lang w:val="en-GB"/>
        </w:rPr>
        <w:t>s</w:t>
      </w:r>
      <w:r w:rsidRPr="00B542CD">
        <w:rPr>
          <w:lang w:val="en-GB"/>
        </w:rPr>
        <w:t xml:space="preserve"> but have encountered challenges in obtaining these vaccines because of its high price and limited availability</w:t>
      </w:r>
      <w:r w:rsidR="007942D8" w:rsidRPr="00B542CD">
        <w:rPr>
          <w:lang w:val="en-GB"/>
        </w:rPr>
        <w:t xml:space="preserve"> </w:t>
      </w:r>
      <w:sdt>
        <w:sdtPr>
          <w:rPr>
            <w:color w:val="000000"/>
            <w:lang w:val="en-GB"/>
          </w:rPr>
          <w:tag w:val="MENDELEY_CITATION_v3_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"/>
          <w:id w:val="-1810314568"/>
          <w:placeholder>
            <w:docPart w:val="DefaultPlaceholder_-1854013440"/>
          </w:placeholder>
        </w:sdtPr>
        <w:sdtEndPr/>
        <w:sdtContent>
          <w:r w:rsidR="00143F87" w:rsidRPr="00B542CD">
            <w:rPr>
              <w:color w:val="000000"/>
              <w:lang w:val="en-GB"/>
            </w:rPr>
            <w:t>(World Health Organization, 2019)</w:t>
          </w:r>
        </w:sdtContent>
      </w:sdt>
      <w:r w:rsidR="005A1591" w:rsidRPr="00B542CD">
        <w:rPr>
          <w:lang w:val="en-GB"/>
        </w:rPr>
        <w:t xml:space="preserve">. </w:t>
      </w:r>
      <w:r w:rsidRPr="00B542CD">
        <w:rPr>
          <w:lang w:val="en-GB"/>
        </w:rPr>
        <w:t xml:space="preserve">The considered global pharmaceutical supply chain is composed of </w:t>
      </w:r>
      <w:r w:rsidR="007F2ED1" w:rsidRPr="00B542CD">
        <w:rPr>
          <w:lang w:val="en-GB"/>
        </w:rPr>
        <w:t xml:space="preserve">multiple </w:t>
      </w:r>
      <w:r w:rsidRPr="00B542CD">
        <w:rPr>
          <w:lang w:val="en-GB"/>
        </w:rPr>
        <w:t xml:space="preserve">suppliers, two factories (located in France and </w:t>
      </w:r>
      <w:r w:rsidR="007F2ED1" w:rsidRPr="00B542CD">
        <w:rPr>
          <w:lang w:val="en-GB"/>
        </w:rPr>
        <w:t xml:space="preserve">the </w:t>
      </w:r>
      <w:r w:rsidRPr="00B542CD">
        <w:rPr>
          <w:lang w:val="en-GB"/>
        </w:rPr>
        <w:t>U.S.), airports, seaports, and five markets</w:t>
      </w:r>
      <w:r w:rsidR="007942D8" w:rsidRPr="00B542CD">
        <w:rPr>
          <w:lang w:val="en-GB"/>
        </w:rPr>
        <w:t xml:space="preserve"> - </w:t>
      </w:r>
      <w:r w:rsidRPr="00B542CD">
        <w:rPr>
          <w:lang w:val="en-GB"/>
        </w:rPr>
        <w:t xml:space="preserve">U.S, Australia, </w:t>
      </w:r>
      <w:r w:rsidR="00B0445E" w:rsidRPr="00B542CD">
        <w:rPr>
          <w:lang w:val="en-GB"/>
        </w:rPr>
        <w:t xml:space="preserve">Europe, </w:t>
      </w:r>
      <w:proofErr w:type="gramStart"/>
      <w:r w:rsidRPr="00B542CD">
        <w:rPr>
          <w:lang w:val="en-GB"/>
        </w:rPr>
        <w:t>Africa</w:t>
      </w:r>
      <w:proofErr w:type="gramEnd"/>
      <w:r w:rsidRPr="00B542CD">
        <w:rPr>
          <w:lang w:val="en-GB"/>
        </w:rPr>
        <w:t xml:space="preserve"> and Middle East. A possible </w:t>
      </w:r>
      <w:r w:rsidR="007942D8" w:rsidRPr="00B542CD">
        <w:rPr>
          <w:lang w:val="en-GB"/>
        </w:rPr>
        <w:t xml:space="preserve">new factory </w:t>
      </w:r>
      <w:r w:rsidRPr="00B542CD">
        <w:rPr>
          <w:lang w:val="en-GB"/>
        </w:rPr>
        <w:t xml:space="preserve">location </w:t>
      </w:r>
      <w:r w:rsidR="007942D8" w:rsidRPr="00B542CD">
        <w:rPr>
          <w:lang w:val="en-GB"/>
        </w:rPr>
        <w:t xml:space="preserve">in Africa </w:t>
      </w:r>
      <w:r w:rsidR="00EB7361" w:rsidRPr="00B542CD">
        <w:rPr>
          <w:lang w:val="en-GB"/>
        </w:rPr>
        <w:t>explore</w:t>
      </w:r>
      <w:r w:rsidR="007942D8" w:rsidRPr="00B542CD">
        <w:rPr>
          <w:lang w:val="en-GB"/>
        </w:rPr>
        <w:t>s</w:t>
      </w:r>
      <w:r w:rsidR="00EB7361" w:rsidRPr="00B542CD">
        <w:rPr>
          <w:lang w:val="en-GB"/>
        </w:rPr>
        <w:t xml:space="preserve"> </w:t>
      </w:r>
      <w:r w:rsidRPr="00B542CD">
        <w:rPr>
          <w:lang w:val="en-GB"/>
        </w:rPr>
        <w:t>the possibility of increasing accessibility for this vaccine in this market.</w:t>
      </w:r>
      <w:r w:rsidR="004D5745" w:rsidRPr="00B542CD">
        <w:rPr>
          <w:lang w:val="en-GB"/>
        </w:rPr>
        <w:t xml:space="preserve"> </w:t>
      </w:r>
      <w:r w:rsidRPr="00B542CD">
        <w:rPr>
          <w:lang w:val="en-GB"/>
        </w:rPr>
        <w:t xml:space="preserve">The vaccine under study (final product – </w:t>
      </w:r>
      <w:proofErr w:type="spellStart"/>
      <w:r w:rsidRPr="00B542CD">
        <w:rPr>
          <w:lang w:val="en-GB"/>
        </w:rPr>
        <w:t>Fp</w:t>
      </w:r>
      <w:proofErr w:type="spellEnd"/>
      <w:r w:rsidRPr="00B542CD">
        <w:rPr>
          <w:lang w:val="en-GB"/>
        </w:rPr>
        <w:t>) requires four main raw materials for it to be produced: Active Pharmaceutical Ingredients (Rm1), supporting chemical materials (Rm2), vials (Rm3)</w:t>
      </w:r>
      <w:r w:rsidR="00EB7361" w:rsidRPr="00B542CD">
        <w:rPr>
          <w:lang w:val="en-GB"/>
        </w:rPr>
        <w:t xml:space="preserve"> and </w:t>
      </w:r>
      <w:r w:rsidRPr="00B542CD">
        <w:rPr>
          <w:lang w:val="en-GB"/>
        </w:rPr>
        <w:t xml:space="preserve">card package (Rm4). These raw materials are categorized in terms of supply risk and profit impact </w:t>
      </w:r>
      <w:r w:rsidR="00FD783A" w:rsidRPr="00B542CD">
        <w:rPr>
          <w:lang w:val="en-GB"/>
        </w:rPr>
        <w:t>in</w:t>
      </w:r>
      <w:r w:rsidRPr="00B542CD">
        <w:rPr>
          <w:lang w:val="en-GB"/>
        </w:rPr>
        <w:t xml:space="preserve"> the Kraljic matrix. </w:t>
      </w:r>
      <w:r w:rsidRPr="00B542CD">
        <w:rPr>
          <w:b/>
          <w:bCs/>
          <w:lang w:val="en-GB"/>
        </w:rPr>
        <w:t>Rm1</w:t>
      </w:r>
      <w:r w:rsidRPr="00B542CD">
        <w:rPr>
          <w:lang w:val="en-GB"/>
        </w:rPr>
        <w:t xml:space="preserve"> is a </w:t>
      </w:r>
      <w:r w:rsidRPr="00B542CD">
        <w:rPr>
          <w:b/>
          <w:bCs/>
          <w:lang w:val="en-GB"/>
        </w:rPr>
        <w:t>strategic material</w:t>
      </w:r>
      <w:r w:rsidR="007942D8" w:rsidRPr="00B542CD">
        <w:rPr>
          <w:lang w:val="en-GB"/>
        </w:rPr>
        <w:t xml:space="preserve"> (</w:t>
      </w:r>
      <w:r w:rsidR="00F81C11" w:rsidRPr="00B542CD">
        <w:rPr>
          <w:lang w:val="en-GB"/>
        </w:rPr>
        <w:t>high percentage of the total purchase costs of the company</w:t>
      </w:r>
      <w:r w:rsidRPr="00B542CD">
        <w:rPr>
          <w:lang w:val="en-GB"/>
        </w:rPr>
        <w:t xml:space="preserve"> and high risk of supply </w:t>
      </w:r>
      <w:r w:rsidR="007942D8" w:rsidRPr="00B542CD">
        <w:rPr>
          <w:lang w:val="en-GB"/>
        </w:rPr>
        <w:t>with</w:t>
      </w:r>
      <w:r w:rsidRPr="00B542CD">
        <w:rPr>
          <w:lang w:val="en-GB"/>
        </w:rPr>
        <w:t xml:space="preserve"> only one supplier available, located in UK</w:t>
      </w:r>
      <w:r w:rsidR="007942D8" w:rsidRPr="00B542CD">
        <w:rPr>
          <w:lang w:val="en-GB"/>
        </w:rPr>
        <w:t>)</w:t>
      </w:r>
      <w:r w:rsidRPr="00B542CD">
        <w:rPr>
          <w:lang w:val="en-GB"/>
        </w:rPr>
        <w:t>. Hence, the most efficient procurement strategy is to focus on long-term</w:t>
      </w:r>
      <w:r w:rsidR="00D77851" w:rsidRPr="00B542CD">
        <w:rPr>
          <w:lang w:val="en-GB"/>
        </w:rPr>
        <w:t xml:space="preserve"> contracts</w:t>
      </w:r>
      <w:r w:rsidRPr="00B542CD">
        <w:rPr>
          <w:lang w:val="en-GB"/>
        </w:rPr>
        <w:t xml:space="preserve"> with the supplier</w:t>
      </w:r>
      <w:r w:rsidR="00D77851" w:rsidRPr="00B542CD">
        <w:rPr>
          <w:lang w:val="en-GB"/>
        </w:rPr>
        <w:t xml:space="preserve"> </w:t>
      </w:r>
      <w:r w:rsidRPr="00B542CD">
        <w:rPr>
          <w:lang w:val="en-GB"/>
        </w:rPr>
        <w:t xml:space="preserve">in order to minimize the supply risk. </w:t>
      </w:r>
      <w:r w:rsidRPr="00B542CD">
        <w:rPr>
          <w:b/>
          <w:bCs/>
          <w:lang w:val="en-GB"/>
        </w:rPr>
        <w:t>Rm2</w:t>
      </w:r>
      <w:r w:rsidR="007942D8" w:rsidRPr="00B542CD">
        <w:rPr>
          <w:lang w:val="en-GB"/>
        </w:rPr>
        <w:t xml:space="preserve">, </w:t>
      </w:r>
      <w:r w:rsidR="00D77851" w:rsidRPr="00B542CD">
        <w:rPr>
          <w:lang w:val="en-GB"/>
        </w:rPr>
        <w:t>a</w:t>
      </w:r>
      <w:r w:rsidRPr="00B542CD">
        <w:rPr>
          <w:lang w:val="en-GB"/>
        </w:rPr>
        <w:t xml:space="preserve"> </w:t>
      </w:r>
      <w:r w:rsidRPr="00B542CD">
        <w:rPr>
          <w:b/>
          <w:bCs/>
          <w:lang w:val="en-GB"/>
        </w:rPr>
        <w:t>leverage item</w:t>
      </w:r>
      <w:r w:rsidR="007942D8" w:rsidRPr="00B542CD">
        <w:rPr>
          <w:lang w:val="en-GB"/>
        </w:rPr>
        <w:t>,</w:t>
      </w:r>
      <w:r w:rsidRPr="00B542CD">
        <w:rPr>
          <w:lang w:val="en-GB"/>
        </w:rPr>
        <w:t xml:space="preserve"> </w:t>
      </w:r>
      <w:r w:rsidR="007942D8" w:rsidRPr="00B542CD">
        <w:rPr>
          <w:lang w:val="en-GB"/>
        </w:rPr>
        <w:t>has</w:t>
      </w:r>
      <w:r w:rsidRPr="00B542CD">
        <w:rPr>
          <w:lang w:val="en-GB"/>
        </w:rPr>
        <w:t xml:space="preserve"> a high profit impact but lower supply risk. Exploit</w:t>
      </w:r>
      <w:r w:rsidR="007942D8" w:rsidRPr="00B542CD">
        <w:rPr>
          <w:lang w:val="en-GB"/>
        </w:rPr>
        <w:t>ing</w:t>
      </w:r>
      <w:r w:rsidRPr="00B542CD">
        <w:rPr>
          <w:lang w:val="en-GB"/>
        </w:rPr>
        <w:t xml:space="preserve"> purchasing power and </w:t>
      </w:r>
      <w:r w:rsidR="007942D8" w:rsidRPr="00B542CD">
        <w:rPr>
          <w:lang w:val="en-GB"/>
        </w:rPr>
        <w:t xml:space="preserve">minimizing </w:t>
      </w:r>
      <w:r w:rsidRPr="00B542CD">
        <w:rPr>
          <w:lang w:val="en-GB"/>
        </w:rPr>
        <w:t>costs should be considered as procurement strategies for th</w:t>
      </w:r>
      <w:r w:rsidR="00D97F85" w:rsidRPr="00B542CD">
        <w:rPr>
          <w:lang w:val="en-GB"/>
        </w:rPr>
        <w:t>is</w:t>
      </w:r>
      <w:r w:rsidRPr="00B542CD">
        <w:rPr>
          <w:lang w:val="en-GB"/>
        </w:rPr>
        <w:t xml:space="preserve"> material. Diversifying suppliers is guaranteed by the possibility of supplying this material from two different suppliers, located in Texas and Lyon.</w:t>
      </w:r>
      <w:r w:rsidR="00B0445E" w:rsidRPr="00B542CD">
        <w:rPr>
          <w:lang w:val="en-GB"/>
        </w:rPr>
        <w:t xml:space="preserve"> </w:t>
      </w:r>
      <w:r w:rsidRPr="00B542CD">
        <w:rPr>
          <w:b/>
          <w:bCs/>
          <w:lang w:val="en-GB"/>
        </w:rPr>
        <w:t>Rm3</w:t>
      </w:r>
      <w:r w:rsidRPr="00B542CD">
        <w:rPr>
          <w:lang w:val="en-GB"/>
        </w:rPr>
        <w:t xml:space="preserve"> and </w:t>
      </w:r>
      <w:r w:rsidRPr="00B542CD">
        <w:rPr>
          <w:b/>
          <w:bCs/>
          <w:lang w:val="en-GB"/>
        </w:rPr>
        <w:t>Rm4</w:t>
      </w:r>
      <w:r w:rsidRPr="00B542CD">
        <w:rPr>
          <w:lang w:val="en-GB"/>
        </w:rPr>
        <w:t xml:space="preserve"> are </w:t>
      </w:r>
      <w:r w:rsidRPr="00B542CD">
        <w:rPr>
          <w:b/>
          <w:bCs/>
          <w:lang w:val="en-GB"/>
        </w:rPr>
        <w:t>non-critical items</w:t>
      </w:r>
      <w:r w:rsidRPr="00B542CD">
        <w:rPr>
          <w:lang w:val="en-GB"/>
        </w:rPr>
        <w:t xml:space="preserve">, characterized </w:t>
      </w:r>
      <w:r w:rsidR="005A6840" w:rsidRPr="00B542CD">
        <w:rPr>
          <w:lang w:val="en-GB"/>
        </w:rPr>
        <w:t>by</w:t>
      </w:r>
      <w:r w:rsidRPr="00B542CD">
        <w:rPr>
          <w:lang w:val="en-GB"/>
        </w:rPr>
        <w:t xml:space="preserve"> a lower percentage of the total purchase</w:t>
      </w:r>
      <w:r w:rsidR="00D97F85" w:rsidRPr="00B542CD">
        <w:rPr>
          <w:lang w:val="en-GB"/>
        </w:rPr>
        <w:t xml:space="preserve"> costs</w:t>
      </w:r>
      <w:r w:rsidRPr="00B542CD">
        <w:rPr>
          <w:lang w:val="en-GB"/>
        </w:rPr>
        <w:t xml:space="preserve"> representing a lower impact on profit, and a lower supply risk. Efficient procurement strategies involve simplification and automation of procurement processes, as well as guaranteeing abundant supply to keep supply risk low. Hence material Rm3 has three suppliers available located in Lyon, </w:t>
      </w:r>
      <w:proofErr w:type="spellStart"/>
      <w:r w:rsidRPr="00B542CD">
        <w:rPr>
          <w:lang w:val="en-GB"/>
        </w:rPr>
        <w:t>Kosamba</w:t>
      </w:r>
      <w:proofErr w:type="spellEnd"/>
      <w:r w:rsidRPr="00B542CD">
        <w:rPr>
          <w:lang w:val="en-GB"/>
        </w:rPr>
        <w:t xml:space="preserve">, and Morganton, and material Rm4 has three suppliers available located in Essen, Mumbai, and Chicago. These suppliers differ between them not only </w:t>
      </w:r>
      <w:r w:rsidR="00150A94" w:rsidRPr="00B542CD">
        <w:rPr>
          <w:lang w:val="en-GB"/>
        </w:rPr>
        <w:t>i</w:t>
      </w:r>
      <w:r w:rsidRPr="00B542CD">
        <w:rPr>
          <w:lang w:val="en-GB"/>
        </w:rPr>
        <w:t xml:space="preserve">n their location, but also </w:t>
      </w:r>
      <w:r w:rsidR="00150A94" w:rsidRPr="00B542CD">
        <w:rPr>
          <w:lang w:val="en-GB"/>
        </w:rPr>
        <w:t>i</w:t>
      </w:r>
      <w:r w:rsidRPr="00B542CD">
        <w:rPr>
          <w:lang w:val="en-GB"/>
        </w:rPr>
        <w:t>n the price of the material they supply</w:t>
      </w:r>
      <w:r w:rsidR="00BB2F04" w:rsidRPr="00B542CD">
        <w:rPr>
          <w:lang w:val="en-GB"/>
        </w:rPr>
        <w:t>.</w:t>
      </w:r>
      <w:r w:rsidR="008A6AC1" w:rsidRPr="00B542CD">
        <w:rPr>
          <w:lang w:val="en-GB"/>
        </w:rPr>
        <w:t xml:space="preserve"> </w:t>
      </w:r>
      <w:r w:rsidRPr="00B542CD">
        <w:rPr>
          <w:lang w:val="en-GB"/>
        </w:rPr>
        <w:t xml:space="preserve">As mentioned previously, demand is a </w:t>
      </w:r>
      <w:r w:rsidR="00E211B9" w:rsidRPr="00B542CD">
        <w:rPr>
          <w:lang w:val="en-GB"/>
        </w:rPr>
        <w:t>decision variable a</w:t>
      </w:r>
      <w:r w:rsidRPr="00B542CD">
        <w:rPr>
          <w:lang w:val="en-GB"/>
        </w:rPr>
        <w:t>nd the obtained value is influenced by changes in the price of the product along time and the elasticity coefficient of the corresponding market</w:t>
      </w:r>
      <w:r w:rsidR="00150957" w:rsidRPr="00B542CD">
        <w:rPr>
          <w:lang w:val="en-GB"/>
        </w:rPr>
        <w:t xml:space="preserve"> namely, </w:t>
      </w:r>
      <w:r w:rsidRPr="00B542CD">
        <w:rPr>
          <w:lang w:val="en-GB"/>
        </w:rPr>
        <w:t xml:space="preserve">-4.94, -3.45, -0.69, -0.14, -0.05 for U.S., Australia, Middle East, Europe, and Africa, respectively. </w:t>
      </w:r>
      <w:r w:rsidR="00370EA0" w:rsidRPr="00B542CD">
        <w:rPr>
          <w:lang w:val="en-GB"/>
        </w:rPr>
        <w:t xml:space="preserve">These values were calculated using </w:t>
      </w:r>
      <w:r w:rsidR="00870A30" w:rsidRPr="00B542CD">
        <w:rPr>
          <w:lang w:val="en-GB"/>
        </w:rPr>
        <w:t xml:space="preserve">procurement data </w:t>
      </w:r>
      <w:r w:rsidR="008E2291" w:rsidRPr="00B542CD">
        <w:rPr>
          <w:lang w:val="en-GB"/>
        </w:rPr>
        <w:t xml:space="preserve">from </w:t>
      </w:r>
      <w:r w:rsidR="00927168" w:rsidRPr="00B542CD">
        <w:rPr>
          <w:lang w:val="en-GB"/>
        </w:rPr>
        <w:t>WHO's MI4A/VP3 database (Market Information for Access to Vaccines/Vaccine Product, Price, and Procurement) for the year 2022</w:t>
      </w:r>
      <w:r w:rsidR="00675BD1" w:rsidRPr="00B542CD">
        <w:rPr>
          <w:lang w:val="en-GB"/>
        </w:rPr>
        <w:t xml:space="preserve">. </w:t>
      </w:r>
      <w:r w:rsidRPr="00B542CD">
        <w:rPr>
          <w:lang w:val="en-GB"/>
        </w:rPr>
        <w:t>The first two markets are characterized by a</w:t>
      </w:r>
      <w:r w:rsidR="00923777" w:rsidRPr="00B542CD">
        <w:rPr>
          <w:lang w:val="en-GB"/>
        </w:rPr>
        <w:t xml:space="preserve">n </w:t>
      </w:r>
      <w:r w:rsidRPr="00B542CD">
        <w:rPr>
          <w:lang w:val="en-GB"/>
        </w:rPr>
        <w:t>elastic demand</w:t>
      </w:r>
      <w:r w:rsidR="00923777" w:rsidRPr="00B542CD">
        <w:rPr>
          <w:lang w:val="en-GB"/>
        </w:rPr>
        <w:t xml:space="preserve"> to </w:t>
      </w:r>
      <w:r w:rsidRPr="00B542CD">
        <w:rPr>
          <w:lang w:val="en-GB"/>
        </w:rPr>
        <w:t xml:space="preserve">price, while </w:t>
      </w:r>
      <w:r w:rsidR="00990584" w:rsidRPr="00B542CD">
        <w:rPr>
          <w:lang w:val="en-GB"/>
        </w:rPr>
        <w:t xml:space="preserve">the others are </w:t>
      </w:r>
      <w:r w:rsidRPr="00B542CD">
        <w:rPr>
          <w:lang w:val="en-GB"/>
        </w:rPr>
        <w:t xml:space="preserve">inelastic. </w:t>
      </w:r>
    </w:p>
    <w:p w14:paraId="500AFEE9" w14:textId="77777777" w:rsidR="00A426C5" w:rsidRPr="00B542CD" w:rsidRDefault="00A426C5" w:rsidP="00792EE5">
      <w:pPr>
        <w:pStyle w:val="Els-1storder-head"/>
        <w:spacing w:before="120" w:after="0"/>
        <w:rPr>
          <w:szCs w:val="22"/>
          <w:lang w:eastAsia="en-GB"/>
        </w:rPr>
      </w:pPr>
      <w:r w:rsidRPr="00B542CD">
        <w:rPr>
          <w:szCs w:val="22"/>
          <w:lang w:eastAsia="en-GB"/>
        </w:rPr>
        <w:t>Results and Discussion</w:t>
      </w:r>
    </w:p>
    <w:p w14:paraId="7416C4A3" w14:textId="74161821" w:rsidR="00B477B5" w:rsidRPr="00B542CD" w:rsidRDefault="00DA07DF" w:rsidP="0076136C">
      <w:pPr>
        <w:spacing w:before="60"/>
        <w:jc w:val="both"/>
        <w:rPr>
          <w:lang w:eastAsia="en-GB"/>
        </w:rPr>
      </w:pPr>
      <w:r w:rsidRPr="00B542CD">
        <w:rPr>
          <w:lang w:eastAsia="en-GB"/>
        </w:rPr>
        <w:t xml:space="preserve">The results focus on three scenarios </w:t>
      </w:r>
      <w:r w:rsidR="000C727D" w:rsidRPr="00B542CD">
        <w:rPr>
          <w:lang w:eastAsia="en-GB"/>
        </w:rPr>
        <w:t>(</w:t>
      </w:r>
      <w:r w:rsidRPr="00B542CD">
        <w:rPr>
          <w:lang w:eastAsia="en-GB"/>
        </w:rPr>
        <w:t>1, 2 and 3</w:t>
      </w:r>
      <w:r w:rsidR="000C727D" w:rsidRPr="00B542CD">
        <w:rPr>
          <w:lang w:eastAsia="en-GB"/>
        </w:rPr>
        <w:t xml:space="preserve">) </w:t>
      </w:r>
      <w:r w:rsidRPr="00B542CD">
        <w:rPr>
          <w:lang w:eastAsia="en-GB"/>
        </w:rPr>
        <w:t>over two case</w:t>
      </w:r>
      <w:r w:rsidR="00C574BB" w:rsidRPr="00B542CD">
        <w:rPr>
          <w:lang w:eastAsia="en-GB"/>
        </w:rPr>
        <w:t>s</w:t>
      </w:r>
      <w:r w:rsidRPr="00B542CD">
        <w:rPr>
          <w:lang w:eastAsia="en-GB"/>
        </w:rPr>
        <w:t xml:space="preserve"> (A and B). </w:t>
      </w:r>
    </w:p>
    <w:p w14:paraId="3FB62135" w14:textId="45BBA965" w:rsidR="000C727D" w:rsidRPr="00B542CD" w:rsidRDefault="00150A94" w:rsidP="00B477B5">
      <w:pPr>
        <w:jc w:val="both"/>
        <w:rPr>
          <w:lang w:eastAsia="en-GB"/>
        </w:rPr>
      </w:pPr>
      <w:r w:rsidRPr="00B542CD">
        <w:rPr>
          <w:lang w:eastAsia="en-GB"/>
        </w:rPr>
        <w:t>I</w:t>
      </w:r>
      <w:r w:rsidR="00DA07DF" w:rsidRPr="00B542CD">
        <w:rPr>
          <w:lang w:eastAsia="en-GB"/>
        </w:rPr>
        <w:t xml:space="preserve">n the </w:t>
      </w:r>
      <w:r w:rsidR="00DA07DF" w:rsidRPr="00B542CD">
        <w:rPr>
          <w:b/>
          <w:bCs/>
          <w:lang w:eastAsia="en-GB"/>
        </w:rPr>
        <w:t>first scenario</w:t>
      </w:r>
      <w:r w:rsidR="00742A4D" w:rsidRPr="00B542CD">
        <w:rPr>
          <w:b/>
          <w:bCs/>
          <w:lang w:eastAsia="en-GB"/>
        </w:rPr>
        <w:t xml:space="preserve"> (base scenario)</w:t>
      </w:r>
      <w:r w:rsidR="00DA07DF" w:rsidRPr="00B542CD">
        <w:rPr>
          <w:b/>
          <w:bCs/>
          <w:lang w:eastAsia="en-GB"/>
        </w:rPr>
        <w:t xml:space="preserve"> </w:t>
      </w:r>
      <w:r w:rsidR="00DA07DF" w:rsidRPr="00B542CD">
        <w:rPr>
          <w:lang w:eastAsia="en-GB"/>
        </w:rPr>
        <w:t>two cases are studied where lexicographic optimization was used: Case A corresponds to the optimum economic performance; Case B corresponds to the optimum social performance</w:t>
      </w:r>
      <w:r w:rsidR="00A82DAA" w:rsidRPr="00B542CD">
        <w:rPr>
          <w:lang w:eastAsia="en-GB"/>
        </w:rPr>
        <w:t xml:space="preserve"> of</w:t>
      </w:r>
      <w:r w:rsidRPr="00B542CD">
        <w:rPr>
          <w:lang w:eastAsia="en-GB"/>
        </w:rPr>
        <w:t xml:space="preserve"> the</w:t>
      </w:r>
      <w:r w:rsidR="00A82DAA" w:rsidRPr="00B542CD">
        <w:rPr>
          <w:lang w:eastAsia="en-GB"/>
        </w:rPr>
        <w:t xml:space="preserve"> </w:t>
      </w:r>
      <w:r w:rsidR="00A82DAA" w:rsidRPr="00B542CD">
        <w:rPr>
          <w:i/>
          <w:iCs/>
          <w:lang w:eastAsia="en-GB"/>
        </w:rPr>
        <w:t>Pharma Access</w:t>
      </w:r>
      <w:r w:rsidR="00A82DAA" w:rsidRPr="00B542CD">
        <w:rPr>
          <w:lang w:eastAsia="en-GB"/>
        </w:rPr>
        <w:t xml:space="preserve"> objective</w:t>
      </w:r>
      <w:r w:rsidR="00DA07DF" w:rsidRPr="00B542CD">
        <w:rPr>
          <w:lang w:eastAsia="en-GB"/>
        </w:rPr>
        <w:t>.</w:t>
      </w:r>
      <w:r w:rsidR="0076136C" w:rsidRPr="00B542CD">
        <w:rPr>
          <w:lang w:eastAsia="en-GB"/>
        </w:rPr>
        <w:t xml:space="preserve"> </w:t>
      </w:r>
      <w:r w:rsidR="00B477B5" w:rsidRPr="00B542CD">
        <w:rPr>
          <w:lang w:eastAsia="en-GB"/>
        </w:rPr>
        <w:t>Results for scenario 1 are shown in Table 1. Different supply chain structures are obtained depending on the prioritized sustainability pillar. The social sustainability pillar can be improved from 37.7 (Case A) to its maximum performance of 252.72 (case B)</w:t>
      </w:r>
      <w:r w:rsidR="001614F1" w:rsidRPr="00B542CD">
        <w:rPr>
          <w:lang w:eastAsia="en-GB"/>
        </w:rPr>
        <w:t>. In its optimum performance</w:t>
      </w:r>
      <w:r w:rsidR="001C5718" w:rsidRPr="00B542CD">
        <w:rPr>
          <w:lang w:eastAsia="en-GB"/>
        </w:rPr>
        <w:t>, corresponding to Case B</w:t>
      </w:r>
      <w:r w:rsidR="001614F1" w:rsidRPr="00B542CD">
        <w:rPr>
          <w:lang w:eastAsia="en-GB"/>
        </w:rPr>
        <w:t xml:space="preserve">, </w:t>
      </w:r>
      <w:r w:rsidR="00B477B5" w:rsidRPr="00B542CD">
        <w:rPr>
          <w:lang w:eastAsia="en-GB"/>
        </w:rPr>
        <w:t xml:space="preserve">all factories produce the vaccine at a production capacity at least equal to the local demand with a profit decrease of 1.3% (nearly 22.5M€). This decrease in profit for </w:t>
      </w:r>
      <w:r w:rsidR="001C5718" w:rsidRPr="00B542CD">
        <w:rPr>
          <w:lang w:eastAsia="en-GB"/>
        </w:rPr>
        <w:t>C</w:t>
      </w:r>
      <w:r w:rsidR="00B477B5" w:rsidRPr="00B542CD">
        <w:rPr>
          <w:lang w:eastAsia="en-GB"/>
        </w:rPr>
        <w:t xml:space="preserve">ase B is primarily due to higher </w:t>
      </w:r>
      <w:proofErr w:type="spellStart"/>
      <w:r w:rsidR="00B477B5" w:rsidRPr="00B542CD">
        <w:rPr>
          <w:lang w:eastAsia="en-GB"/>
        </w:rPr>
        <w:t>labor</w:t>
      </w:r>
      <w:proofErr w:type="spellEnd"/>
      <w:r w:rsidR="00B477B5" w:rsidRPr="00B542CD">
        <w:rPr>
          <w:lang w:eastAsia="en-GB"/>
        </w:rPr>
        <w:t xml:space="preserve"> and transportation costs, along with investments in technologies and entities</w:t>
      </w:r>
      <w:r w:rsidR="00B47AED" w:rsidRPr="00B542CD">
        <w:rPr>
          <w:lang w:eastAsia="en-GB"/>
        </w:rPr>
        <w:t xml:space="preserve"> necessary for </w:t>
      </w:r>
      <w:r w:rsidR="00F326E5" w:rsidRPr="00B542CD">
        <w:rPr>
          <w:lang w:eastAsia="en-GB"/>
        </w:rPr>
        <w:t>the installation of the two additional factories</w:t>
      </w:r>
      <w:r w:rsidR="0042399B" w:rsidRPr="00B542CD">
        <w:rPr>
          <w:lang w:eastAsia="en-GB"/>
        </w:rPr>
        <w:t>, in U.S. and Africa</w:t>
      </w:r>
      <w:r w:rsidR="00B477B5" w:rsidRPr="00B542CD">
        <w:rPr>
          <w:lang w:eastAsia="en-GB"/>
        </w:rPr>
        <w:t>.</w:t>
      </w:r>
    </w:p>
    <w:p w14:paraId="4BEA9C51" w14:textId="420D7C4D" w:rsidR="00B477B5" w:rsidRPr="00B542CD" w:rsidRDefault="00B477B5" w:rsidP="00F11876">
      <w:pPr>
        <w:spacing w:after="60"/>
        <w:jc w:val="both"/>
        <w:rPr>
          <w:lang w:eastAsia="en-GB"/>
        </w:rPr>
      </w:pPr>
      <w:r w:rsidRPr="00B542CD">
        <w:rPr>
          <w:lang w:eastAsia="en-GB"/>
        </w:rPr>
        <w:lastRenderedPageBreak/>
        <w:t>Table 1.  Supply chain topology and performance indicators’ results for scenario 1</w:t>
      </w:r>
    </w:p>
    <w:tbl>
      <w:tblPr>
        <w:tblStyle w:val="TableGrid"/>
        <w:tblW w:w="7118" w:type="dxa"/>
        <w:tblLayout w:type="fixed"/>
        <w:tblCellMar>
          <w:left w:w="72" w:type="dxa"/>
          <w:right w:w="72" w:type="dxa"/>
        </w:tblCellMar>
        <w:tblLook w:val="04A0" w:firstRow="1" w:lastRow="0" w:firstColumn="1" w:lastColumn="0" w:noHBand="0" w:noVBand="1"/>
      </w:tblPr>
      <w:tblGrid>
        <w:gridCol w:w="340"/>
        <w:gridCol w:w="1275"/>
        <w:gridCol w:w="2700"/>
        <w:gridCol w:w="2803"/>
      </w:tblGrid>
      <w:tr w:rsidR="00B477B5" w:rsidRPr="00B542CD" w14:paraId="213B27E1" w14:textId="77777777" w:rsidTr="007E5191">
        <w:trPr>
          <w:trHeight w:val="204"/>
        </w:trPr>
        <w:tc>
          <w:tcPr>
            <w:tcW w:w="340" w:type="dxa"/>
            <w:vMerge w:val="restart"/>
            <w:textDirection w:val="btLr"/>
          </w:tcPr>
          <w:p w14:paraId="027BBDA6" w14:textId="77777777" w:rsidR="00B477B5" w:rsidRPr="00B542CD" w:rsidRDefault="00B477B5" w:rsidP="00425F2A">
            <w:pPr>
              <w:jc w:val="center"/>
              <w:rPr>
                <w:rFonts w:ascii="Times New Roman" w:hAnsi="Times New Roman" w:cs="Times New Roman"/>
                <w:b/>
                <w:bCs/>
                <w:sz w:val="16"/>
                <w:szCs w:val="16"/>
                <w:lang w:eastAsia="en-GB"/>
              </w:rPr>
            </w:pPr>
            <w:r w:rsidRPr="00B542CD">
              <w:rPr>
                <w:rFonts w:ascii="Times New Roman" w:hAnsi="Times New Roman" w:cs="Times New Roman"/>
                <w:b/>
                <w:bCs/>
                <w:sz w:val="16"/>
                <w:szCs w:val="16"/>
                <w:lang w:eastAsia="en-GB"/>
              </w:rPr>
              <w:t>Scenario 1</w:t>
            </w:r>
          </w:p>
        </w:tc>
        <w:tc>
          <w:tcPr>
            <w:tcW w:w="1275" w:type="dxa"/>
            <w:tcBorders>
              <w:right w:val="single" w:sz="4" w:space="0" w:color="FFFFFF" w:themeColor="background1"/>
            </w:tcBorders>
          </w:tcPr>
          <w:p w14:paraId="60274432" w14:textId="77777777" w:rsidR="00B477B5" w:rsidRPr="00B542CD" w:rsidRDefault="00B477B5" w:rsidP="00425F2A">
            <w:pPr>
              <w:jc w:val="both"/>
              <w:rPr>
                <w:rFonts w:ascii="Times New Roman" w:hAnsi="Times New Roman" w:cs="Times New Roman"/>
                <w:b/>
                <w:bCs/>
                <w:sz w:val="16"/>
                <w:szCs w:val="16"/>
                <w:lang w:eastAsia="en-GB"/>
              </w:rPr>
            </w:pPr>
          </w:p>
        </w:tc>
        <w:tc>
          <w:tcPr>
            <w:tcW w:w="2700" w:type="dxa"/>
            <w:tcBorders>
              <w:left w:val="single" w:sz="4" w:space="0" w:color="FFFFFF" w:themeColor="background1"/>
              <w:right w:val="single" w:sz="4" w:space="0" w:color="FFFFFF" w:themeColor="background1"/>
            </w:tcBorders>
            <w:vAlign w:val="center"/>
          </w:tcPr>
          <w:p w14:paraId="5D702987" w14:textId="77777777" w:rsidR="00B477B5" w:rsidRPr="00B542CD" w:rsidRDefault="00B477B5" w:rsidP="00425F2A">
            <w:pPr>
              <w:jc w:val="center"/>
              <w:rPr>
                <w:rFonts w:ascii="Times New Roman" w:hAnsi="Times New Roman" w:cs="Times New Roman"/>
                <w:b/>
                <w:bCs/>
                <w:sz w:val="16"/>
                <w:szCs w:val="16"/>
                <w:lang w:eastAsia="en-GB"/>
              </w:rPr>
            </w:pPr>
            <w:r w:rsidRPr="00B542CD">
              <w:rPr>
                <w:rFonts w:ascii="Times New Roman" w:hAnsi="Times New Roman" w:cs="Times New Roman"/>
                <w:b/>
                <w:bCs/>
                <w:sz w:val="16"/>
                <w:szCs w:val="16"/>
                <w:lang w:eastAsia="en-GB"/>
              </w:rPr>
              <w:t>Case A</w:t>
            </w:r>
          </w:p>
        </w:tc>
        <w:tc>
          <w:tcPr>
            <w:tcW w:w="2803" w:type="dxa"/>
            <w:tcBorders>
              <w:left w:val="single" w:sz="4" w:space="0" w:color="FFFFFF" w:themeColor="background1"/>
            </w:tcBorders>
            <w:vAlign w:val="center"/>
          </w:tcPr>
          <w:p w14:paraId="32F5F816" w14:textId="77777777" w:rsidR="00B477B5" w:rsidRPr="00B542CD" w:rsidRDefault="00B477B5" w:rsidP="00425F2A">
            <w:pPr>
              <w:jc w:val="center"/>
              <w:rPr>
                <w:rFonts w:ascii="Times New Roman" w:hAnsi="Times New Roman" w:cs="Times New Roman"/>
                <w:b/>
                <w:bCs/>
                <w:sz w:val="16"/>
                <w:szCs w:val="16"/>
                <w:lang w:eastAsia="en-GB"/>
              </w:rPr>
            </w:pPr>
            <w:r w:rsidRPr="00B542CD">
              <w:rPr>
                <w:rFonts w:ascii="Times New Roman" w:hAnsi="Times New Roman" w:cs="Times New Roman"/>
                <w:b/>
                <w:bCs/>
                <w:sz w:val="16"/>
                <w:szCs w:val="16"/>
                <w:lang w:eastAsia="en-GB"/>
              </w:rPr>
              <w:t>Case B</w:t>
            </w:r>
          </w:p>
        </w:tc>
      </w:tr>
      <w:tr w:rsidR="00B477B5" w:rsidRPr="00B542CD" w14:paraId="61580BC2" w14:textId="77777777" w:rsidTr="007E5191">
        <w:trPr>
          <w:trHeight w:val="52"/>
        </w:trPr>
        <w:tc>
          <w:tcPr>
            <w:tcW w:w="340" w:type="dxa"/>
            <w:vMerge/>
          </w:tcPr>
          <w:p w14:paraId="7575ABF1" w14:textId="77777777" w:rsidR="00B477B5" w:rsidRPr="00B542CD" w:rsidRDefault="00B477B5" w:rsidP="00425F2A">
            <w:pPr>
              <w:jc w:val="both"/>
              <w:rPr>
                <w:rFonts w:ascii="Times New Roman" w:hAnsi="Times New Roman" w:cs="Times New Roman"/>
                <w:sz w:val="16"/>
                <w:szCs w:val="16"/>
                <w:lang w:eastAsia="en-GB"/>
              </w:rPr>
            </w:pPr>
          </w:p>
        </w:tc>
        <w:tc>
          <w:tcPr>
            <w:tcW w:w="1275" w:type="dxa"/>
            <w:tcBorders>
              <w:right w:val="single" w:sz="4" w:space="0" w:color="FFFFFF" w:themeColor="background1"/>
            </w:tcBorders>
            <w:vAlign w:val="center"/>
          </w:tcPr>
          <w:p w14:paraId="3E522826" w14:textId="77777777" w:rsidR="00B477B5" w:rsidRPr="00B542CD" w:rsidRDefault="00B477B5" w:rsidP="00425F2A">
            <w:pPr>
              <w:jc w:val="center"/>
              <w:rPr>
                <w:rFonts w:ascii="Times New Roman" w:hAnsi="Times New Roman" w:cs="Times New Roman"/>
                <w:b/>
                <w:bCs/>
                <w:sz w:val="16"/>
                <w:szCs w:val="16"/>
                <w:lang w:eastAsia="en-GB"/>
              </w:rPr>
            </w:pPr>
            <w:r w:rsidRPr="00B542CD">
              <w:rPr>
                <w:rFonts w:ascii="Times New Roman" w:hAnsi="Times New Roman" w:cs="Times New Roman"/>
                <w:b/>
                <w:bCs/>
                <w:sz w:val="16"/>
                <w:szCs w:val="16"/>
                <w:lang w:eastAsia="en-GB"/>
              </w:rPr>
              <w:t>NPV (€)</w:t>
            </w:r>
          </w:p>
        </w:tc>
        <w:tc>
          <w:tcPr>
            <w:tcW w:w="2700" w:type="dxa"/>
            <w:tcBorders>
              <w:left w:val="single" w:sz="4" w:space="0" w:color="FFFFFF" w:themeColor="background1"/>
              <w:right w:val="single" w:sz="4" w:space="0" w:color="FFFFFF" w:themeColor="background1"/>
            </w:tcBorders>
            <w:vAlign w:val="center"/>
          </w:tcPr>
          <w:p w14:paraId="70DB0D59" w14:textId="77777777" w:rsidR="00B477B5" w:rsidRPr="00B542CD" w:rsidRDefault="00B477B5" w:rsidP="00425F2A">
            <w:pPr>
              <w:jc w:val="center"/>
              <w:rPr>
                <w:rFonts w:ascii="Times New Roman" w:hAnsi="Times New Roman" w:cs="Times New Roman"/>
                <w:sz w:val="16"/>
                <w:szCs w:val="16"/>
                <w:lang w:eastAsia="en-GB"/>
              </w:rPr>
            </w:pPr>
            <w:r w:rsidRPr="00B542CD">
              <w:rPr>
                <w:rFonts w:ascii="Times New Roman" w:hAnsi="Times New Roman" w:cs="Times New Roman"/>
                <w:sz w:val="16"/>
                <w:szCs w:val="16"/>
                <w:lang w:eastAsia="en-GB"/>
              </w:rPr>
              <w:t>1.810E+09</w:t>
            </w:r>
          </w:p>
        </w:tc>
        <w:tc>
          <w:tcPr>
            <w:tcW w:w="2803" w:type="dxa"/>
            <w:tcBorders>
              <w:left w:val="single" w:sz="4" w:space="0" w:color="FFFFFF" w:themeColor="background1"/>
            </w:tcBorders>
            <w:vAlign w:val="center"/>
          </w:tcPr>
          <w:p w14:paraId="1E9BFD7B" w14:textId="77777777" w:rsidR="00B477B5" w:rsidRPr="00B542CD" w:rsidRDefault="00B477B5" w:rsidP="00425F2A">
            <w:pPr>
              <w:jc w:val="center"/>
              <w:rPr>
                <w:rFonts w:ascii="Times New Roman" w:hAnsi="Times New Roman" w:cs="Times New Roman"/>
                <w:sz w:val="16"/>
                <w:szCs w:val="16"/>
                <w:lang w:eastAsia="en-GB"/>
              </w:rPr>
            </w:pPr>
            <w:r w:rsidRPr="00B542CD">
              <w:rPr>
                <w:rFonts w:ascii="Times New Roman" w:hAnsi="Times New Roman" w:cs="Times New Roman"/>
                <w:sz w:val="16"/>
                <w:szCs w:val="16"/>
                <w:lang w:eastAsia="en-GB"/>
              </w:rPr>
              <w:t>1.787E+09</w:t>
            </w:r>
          </w:p>
        </w:tc>
      </w:tr>
      <w:tr w:rsidR="00B477B5" w:rsidRPr="00B542CD" w14:paraId="161D8394" w14:textId="77777777" w:rsidTr="007E5191">
        <w:trPr>
          <w:trHeight w:val="595"/>
        </w:trPr>
        <w:tc>
          <w:tcPr>
            <w:tcW w:w="340" w:type="dxa"/>
            <w:vMerge/>
          </w:tcPr>
          <w:p w14:paraId="09C7F489" w14:textId="77777777" w:rsidR="00B477B5" w:rsidRPr="00B542CD" w:rsidRDefault="00B477B5" w:rsidP="00425F2A">
            <w:pPr>
              <w:jc w:val="both"/>
              <w:rPr>
                <w:rFonts w:ascii="Times New Roman" w:hAnsi="Times New Roman" w:cs="Times New Roman"/>
                <w:sz w:val="16"/>
                <w:szCs w:val="16"/>
                <w:lang w:eastAsia="en-GB"/>
              </w:rPr>
            </w:pPr>
          </w:p>
        </w:tc>
        <w:tc>
          <w:tcPr>
            <w:tcW w:w="1275" w:type="dxa"/>
            <w:tcBorders>
              <w:right w:val="single" w:sz="4" w:space="0" w:color="FFFFFF" w:themeColor="background1"/>
            </w:tcBorders>
            <w:vAlign w:val="center"/>
          </w:tcPr>
          <w:p w14:paraId="56FCE431" w14:textId="77777777" w:rsidR="00B477B5" w:rsidRPr="00B542CD" w:rsidRDefault="00B477B5" w:rsidP="00425F2A">
            <w:pPr>
              <w:jc w:val="center"/>
              <w:rPr>
                <w:rFonts w:ascii="Times New Roman" w:hAnsi="Times New Roman" w:cs="Times New Roman"/>
                <w:b/>
                <w:bCs/>
                <w:sz w:val="16"/>
                <w:szCs w:val="16"/>
                <w:lang w:eastAsia="en-GB"/>
              </w:rPr>
            </w:pPr>
            <w:r w:rsidRPr="00B542CD">
              <w:rPr>
                <w:rFonts w:ascii="Times New Roman" w:hAnsi="Times New Roman" w:cs="Times New Roman"/>
                <w:b/>
                <w:bCs/>
                <w:sz w:val="16"/>
                <w:szCs w:val="16"/>
                <w:lang w:eastAsia="en-GB"/>
              </w:rPr>
              <w:t xml:space="preserve">s- Suppliers </w:t>
            </w:r>
          </w:p>
          <w:p w14:paraId="3ECAFD06" w14:textId="77777777" w:rsidR="00B477B5" w:rsidRPr="00B542CD" w:rsidRDefault="00B477B5" w:rsidP="00425F2A">
            <w:pPr>
              <w:jc w:val="center"/>
              <w:rPr>
                <w:rFonts w:ascii="Times New Roman" w:hAnsi="Times New Roman" w:cs="Times New Roman"/>
                <w:b/>
                <w:bCs/>
                <w:sz w:val="16"/>
                <w:szCs w:val="16"/>
                <w:lang w:eastAsia="en-GB"/>
              </w:rPr>
            </w:pPr>
            <w:r w:rsidRPr="00B542CD">
              <w:rPr>
                <w:rFonts w:ascii="Times New Roman" w:hAnsi="Times New Roman" w:cs="Times New Roman"/>
                <w:b/>
                <w:bCs/>
                <w:sz w:val="16"/>
                <w:szCs w:val="16"/>
                <w:lang w:eastAsia="en-GB"/>
              </w:rPr>
              <w:t xml:space="preserve">and </w:t>
            </w:r>
          </w:p>
          <w:p w14:paraId="0C59A520" w14:textId="77777777" w:rsidR="00B477B5" w:rsidRPr="00B542CD" w:rsidRDefault="00B477B5" w:rsidP="00425F2A">
            <w:pPr>
              <w:jc w:val="center"/>
              <w:rPr>
                <w:rFonts w:ascii="Times New Roman" w:hAnsi="Times New Roman" w:cs="Times New Roman"/>
                <w:b/>
                <w:bCs/>
                <w:sz w:val="16"/>
                <w:szCs w:val="16"/>
                <w:lang w:eastAsia="en-GB"/>
              </w:rPr>
            </w:pPr>
            <w:r w:rsidRPr="00B542CD">
              <w:rPr>
                <w:rFonts w:ascii="Times New Roman" w:hAnsi="Times New Roman" w:cs="Times New Roman"/>
                <w:b/>
                <w:bCs/>
                <w:sz w:val="16"/>
                <w:szCs w:val="16"/>
                <w:lang w:eastAsia="en-GB"/>
              </w:rPr>
              <w:t xml:space="preserve">f- Factories </w:t>
            </w:r>
          </w:p>
        </w:tc>
        <w:tc>
          <w:tcPr>
            <w:tcW w:w="2700" w:type="dxa"/>
            <w:tcBorders>
              <w:left w:val="single" w:sz="4" w:space="0" w:color="FFFFFF" w:themeColor="background1"/>
              <w:right w:val="single" w:sz="4" w:space="0" w:color="FFFFFF" w:themeColor="background1"/>
            </w:tcBorders>
            <w:vAlign w:val="center"/>
          </w:tcPr>
          <w:p w14:paraId="66207D36" w14:textId="77777777" w:rsidR="00B477B5" w:rsidRPr="00B542CD" w:rsidRDefault="00B477B5" w:rsidP="00425F2A">
            <w:pPr>
              <w:jc w:val="center"/>
              <w:rPr>
                <w:rFonts w:ascii="Times New Roman" w:hAnsi="Times New Roman" w:cs="Times New Roman"/>
                <w:sz w:val="16"/>
                <w:szCs w:val="16"/>
                <w:lang w:eastAsia="en-GB"/>
              </w:rPr>
            </w:pPr>
            <w:proofErr w:type="spellStart"/>
            <w:r w:rsidRPr="00B542CD">
              <w:rPr>
                <w:rFonts w:ascii="Times New Roman" w:hAnsi="Times New Roman" w:cs="Times New Roman"/>
                <w:sz w:val="16"/>
                <w:szCs w:val="16"/>
                <w:lang w:eastAsia="en-GB"/>
              </w:rPr>
              <w:t>sUK</w:t>
            </w:r>
            <w:proofErr w:type="spellEnd"/>
            <w:r w:rsidRPr="00B542CD">
              <w:rPr>
                <w:rFonts w:ascii="Times New Roman" w:hAnsi="Times New Roman" w:cs="Times New Roman"/>
                <w:sz w:val="16"/>
                <w:szCs w:val="16"/>
                <w:lang w:eastAsia="en-GB"/>
              </w:rPr>
              <w:t xml:space="preserve"> (Rm1), </w:t>
            </w:r>
            <w:proofErr w:type="spellStart"/>
            <w:r w:rsidRPr="00B542CD">
              <w:rPr>
                <w:rFonts w:ascii="Times New Roman" w:hAnsi="Times New Roman" w:cs="Times New Roman"/>
                <w:sz w:val="16"/>
                <w:szCs w:val="16"/>
                <w:lang w:eastAsia="en-GB"/>
              </w:rPr>
              <w:t>sLyon</w:t>
            </w:r>
            <w:proofErr w:type="spellEnd"/>
            <w:r w:rsidRPr="00B542CD">
              <w:rPr>
                <w:rFonts w:ascii="Times New Roman" w:hAnsi="Times New Roman" w:cs="Times New Roman"/>
                <w:sz w:val="16"/>
                <w:szCs w:val="16"/>
                <w:lang w:eastAsia="en-GB"/>
              </w:rPr>
              <w:t xml:space="preserve"> (Rm2), </w:t>
            </w:r>
            <w:proofErr w:type="spellStart"/>
            <w:r w:rsidRPr="00B542CD">
              <w:rPr>
                <w:rFonts w:ascii="Times New Roman" w:hAnsi="Times New Roman" w:cs="Times New Roman"/>
                <w:sz w:val="16"/>
                <w:szCs w:val="16"/>
                <w:lang w:eastAsia="en-GB"/>
              </w:rPr>
              <w:t>sLyon</w:t>
            </w:r>
            <w:proofErr w:type="spellEnd"/>
            <w:r w:rsidRPr="00B542CD">
              <w:rPr>
                <w:rFonts w:ascii="Times New Roman" w:hAnsi="Times New Roman" w:cs="Times New Roman"/>
                <w:sz w:val="16"/>
                <w:szCs w:val="16"/>
                <w:lang w:eastAsia="en-GB"/>
              </w:rPr>
              <w:t xml:space="preserve"> (Rm3), </w:t>
            </w:r>
            <w:proofErr w:type="spellStart"/>
            <w:r w:rsidRPr="00B542CD">
              <w:rPr>
                <w:rFonts w:ascii="Times New Roman" w:hAnsi="Times New Roman" w:cs="Times New Roman"/>
                <w:sz w:val="16"/>
                <w:szCs w:val="16"/>
                <w:lang w:eastAsia="en-GB"/>
              </w:rPr>
              <w:t>sEssen</w:t>
            </w:r>
            <w:proofErr w:type="spellEnd"/>
            <w:r w:rsidRPr="00B542CD">
              <w:rPr>
                <w:rFonts w:ascii="Times New Roman" w:hAnsi="Times New Roman" w:cs="Times New Roman"/>
                <w:sz w:val="16"/>
                <w:szCs w:val="16"/>
                <w:lang w:eastAsia="en-GB"/>
              </w:rPr>
              <w:t xml:space="preserve"> (Rm4</w:t>
            </w:r>
            <w:proofErr w:type="gramStart"/>
            <w:r w:rsidRPr="00B542CD">
              <w:rPr>
                <w:rFonts w:ascii="Times New Roman" w:hAnsi="Times New Roman" w:cs="Times New Roman"/>
                <w:sz w:val="16"/>
                <w:szCs w:val="16"/>
                <w:lang w:eastAsia="en-GB"/>
              </w:rPr>
              <w:t>);</w:t>
            </w:r>
            <w:proofErr w:type="gramEnd"/>
          </w:p>
          <w:p w14:paraId="0770707D" w14:textId="77777777" w:rsidR="00B477B5" w:rsidRPr="00B542CD" w:rsidRDefault="00B477B5" w:rsidP="00425F2A">
            <w:pPr>
              <w:jc w:val="center"/>
              <w:rPr>
                <w:rFonts w:ascii="Times New Roman" w:hAnsi="Times New Roman" w:cs="Times New Roman"/>
                <w:sz w:val="16"/>
                <w:szCs w:val="16"/>
                <w:lang w:eastAsia="en-GB"/>
              </w:rPr>
            </w:pPr>
            <w:proofErr w:type="spellStart"/>
            <w:r w:rsidRPr="00B542CD">
              <w:rPr>
                <w:rFonts w:ascii="Times New Roman" w:hAnsi="Times New Roman" w:cs="Times New Roman"/>
                <w:sz w:val="16"/>
                <w:szCs w:val="16"/>
                <w:lang w:eastAsia="en-GB"/>
              </w:rPr>
              <w:t>fFrance</w:t>
            </w:r>
            <w:proofErr w:type="spellEnd"/>
          </w:p>
        </w:tc>
        <w:tc>
          <w:tcPr>
            <w:tcW w:w="2803" w:type="dxa"/>
            <w:tcBorders>
              <w:left w:val="single" w:sz="4" w:space="0" w:color="FFFFFF" w:themeColor="background1"/>
            </w:tcBorders>
            <w:vAlign w:val="center"/>
          </w:tcPr>
          <w:p w14:paraId="7F982626" w14:textId="77777777" w:rsidR="00B477B5" w:rsidRPr="00B542CD" w:rsidRDefault="00B477B5" w:rsidP="00425F2A">
            <w:pPr>
              <w:jc w:val="center"/>
              <w:rPr>
                <w:rFonts w:ascii="Times New Roman" w:hAnsi="Times New Roman" w:cs="Times New Roman"/>
                <w:sz w:val="16"/>
                <w:szCs w:val="16"/>
                <w:lang w:eastAsia="en-GB"/>
              </w:rPr>
            </w:pPr>
            <w:proofErr w:type="spellStart"/>
            <w:r w:rsidRPr="00B542CD">
              <w:rPr>
                <w:rFonts w:ascii="Times New Roman" w:hAnsi="Times New Roman" w:cs="Times New Roman"/>
                <w:sz w:val="16"/>
                <w:szCs w:val="16"/>
                <w:lang w:eastAsia="en-GB"/>
              </w:rPr>
              <w:t>sUK</w:t>
            </w:r>
            <w:proofErr w:type="spellEnd"/>
            <w:r w:rsidRPr="00B542CD">
              <w:rPr>
                <w:rFonts w:ascii="Times New Roman" w:hAnsi="Times New Roman" w:cs="Times New Roman"/>
                <w:sz w:val="16"/>
                <w:szCs w:val="16"/>
                <w:lang w:eastAsia="en-GB"/>
              </w:rPr>
              <w:t xml:space="preserve"> (Rm1), </w:t>
            </w:r>
            <w:proofErr w:type="spellStart"/>
            <w:r w:rsidRPr="00B542CD">
              <w:rPr>
                <w:rFonts w:ascii="Times New Roman" w:hAnsi="Times New Roman" w:cs="Times New Roman"/>
                <w:sz w:val="16"/>
                <w:szCs w:val="16"/>
                <w:lang w:eastAsia="en-GB"/>
              </w:rPr>
              <w:t>sLyon</w:t>
            </w:r>
            <w:proofErr w:type="spellEnd"/>
            <w:r w:rsidRPr="00B542CD">
              <w:rPr>
                <w:rFonts w:ascii="Times New Roman" w:hAnsi="Times New Roman" w:cs="Times New Roman"/>
                <w:sz w:val="16"/>
                <w:szCs w:val="16"/>
                <w:lang w:eastAsia="en-GB"/>
              </w:rPr>
              <w:t xml:space="preserve"> and </w:t>
            </w:r>
            <w:proofErr w:type="spellStart"/>
            <w:r w:rsidRPr="00B542CD">
              <w:rPr>
                <w:rFonts w:ascii="Times New Roman" w:hAnsi="Times New Roman" w:cs="Times New Roman"/>
                <w:sz w:val="16"/>
                <w:szCs w:val="16"/>
                <w:lang w:eastAsia="en-GB"/>
              </w:rPr>
              <w:t>sTexas</w:t>
            </w:r>
            <w:proofErr w:type="spellEnd"/>
            <w:r w:rsidRPr="00B542CD">
              <w:rPr>
                <w:rFonts w:ascii="Times New Roman" w:hAnsi="Times New Roman" w:cs="Times New Roman"/>
                <w:sz w:val="16"/>
                <w:szCs w:val="16"/>
                <w:lang w:eastAsia="en-GB"/>
              </w:rPr>
              <w:t xml:space="preserve"> (Rm2), </w:t>
            </w:r>
            <w:proofErr w:type="spellStart"/>
            <w:r w:rsidRPr="00B542CD">
              <w:rPr>
                <w:rFonts w:ascii="Times New Roman" w:hAnsi="Times New Roman" w:cs="Times New Roman"/>
                <w:sz w:val="16"/>
                <w:szCs w:val="16"/>
                <w:lang w:eastAsia="en-GB"/>
              </w:rPr>
              <w:t>sLyon</w:t>
            </w:r>
            <w:proofErr w:type="spellEnd"/>
            <w:r w:rsidRPr="00B542CD">
              <w:rPr>
                <w:rFonts w:ascii="Times New Roman" w:hAnsi="Times New Roman" w:cs="Times New Roman"/>
                <w:sz w:val="16"/>
                <w:szCs w:val="16"/>
                <w:lang w:eastAsia="en-GB"/>
              </w:rPr>
              <w:t xml:space="preserve"> and </w:t>
            </w:r>
            <w:proofErr w:type="spellStart"/>
            <w:r w:rsidRPr="00B542CD">
              <w:rPr>
                <w:rFonts w:ascii="Times New Roman" w:hAnsi="Times New Roman" w:cs="Times New Roman"/>
                <w:sz w:val="16"/>
                <w:szCs w:val="16"/>
                <w:lang w:eastAsia="en-GB"/>
              </w:rPr>
              <w:t>sMorganton</w:t>
            </w:r>
            <w:proofErr w:type="spellEnd"/>
            <w:r w:rsidRPr="00B542CD">
              <w:rPr>
                <w:rFonts w:ascii="Times New Roman" w:hAnsi="Times New Roman" w:cs="Times New Roman"/>
                <w:sz w:val="16"/>
                <w:szCs w:val="16"/>
                <w:lang w:eastAsia="en-GB"/>
              </w:rPr>
              <w:t xml:space="preserve"> (Rm3), </w:t>
            </w:r>
            <w:proofErr w:type="spellStart"/>
            <w:r w:rsidRPr="00B542CD">
              <w:rPr>
                <w:rFonts w:ascii="Times New Roman" w:hAnsi="Times New Roman" w:cs="Times New Roman"/>
                <w:sz w:val="16"/>
                <w:szCs w:val="16"/>
                <w:lang w:eastAsia="en-GB"/>
              </w:rPr>
              <w:t>sEssen</w:t>
            </w:r>
            <w:proofErr w:type="spellEnd"/>
            <w:r w:rsidRPr="00B542CD">
              <w:rPr>
                <w:rFonts w:ascii="Times New Roman" w:hAnsi="Times New Roman" w:cs="Times New Roman"/>
                <w:sz w:val="16"/>
                <w:szCs w:val="16"/>
                <w:lang w:eastAsia="en-GB"/>
              </w:rPr>
              <w:t xml:space="preserve"> and </w:t>
            </w:r>
            <w:proofErr w:type="spellStart"/>
            <w:r w:rsidRPr="00B542CD">
              <w:rPr>
                <w:rFonts w:ascii="Times New Roman" w:hAnsi="Times New Roman" w:cs="Times New Roman"/>
                <w:sz w:val="16"/>
                <w:szCs w:val="16"/>
                <w:lang w:eastAsia="en-GB"/>
              </w:rPr>
              <w:t>sChicago</w:t>
            </w:r>
            <w:proofErr w:type="spellEnd"/>
            <w:r w:rsidRPr="00B542CD">
              <w:rPr>
                <w:rFonts w:ascii="Times New Roman" w:hAnsi="Times New Roman" w:cs="Times New Roman"/>
                <w:sz w:val="16"/>
                <w:szCs w:val="16"/>
                <w:lang w:eastAsia="en-GB"/>
              </w:rPr>
              <w:t xml:space="preserve"> (Rm4</w:t>
            </w:r>
            <w:proofErr w:type="gramStart"/>
            <w:r w:rsidRPr="00B542CD">
              <w:rPr>
                <w:rFonts w:ascii="Times New Roman" w:hAnsi="Times New Roman" w:cs="Times New Roman"/>
                <w:sz w:val="16"/>
                <w:szCs w:val="16"/>
                <w:lang w:eastAsia="en-GB"/>
              </w:rPr>
              <w:t>);</w:t>
            </w:r>
            <w:proofErr w:type="gramEnd"/>
          </w:p>
          <w:p w14:paraId="0AFC8F98" w14:textId="77777777" w:rsidR="00B477B5" w:rsidRPr="00B542CD" w:rsidRDefault="00B477B5" w:rsidP="00425F2A">
            <w:pPr>
              <w:jc w:val="center"/>
              <w:rPr>
                <w:rFonts w:ascii="Times New Roman" w:hAnsi="Times New Roman" w:cs="Times New Roman"/>
                <w:sz w:val="16"/>
                <w:szCs w:val="16"/>
                <w:lang w:eastAsia="en-GB"/>
              </w:rPr>
            </w:pPr>
            <w:proofErr w:type="spellStart"/>
            <w:r w:rsidRPr="00B542CD">
              <w:rPr>
                <w:rFonts w:ascii="Times New Roman" w:hAnsi="Times New Roman" w:cs="Times New Roman"/>
                <w:sz w:val="16"/>
                <w:szCs w:val="16"/>
                <w:lang w:eastAsia="en-GB"/>
              </w:rPr>
              <w:t>fFrance</w:t>
            </w:r>
            <w:proofErr w:type="spellEnd"/>
            <w:r w:rsidRPr="00B542CD">
              <w:rPr>
                <w:rFonts w:ascii="Times New Roman" w:hAnsi="Times New Roman" w:cs="Times New Roman"/>
                <w:sz w:val="16"/>
                <w:szCs w:val="16"/>
                <w:lang w:eastAsia="en-GB"/>
              </w:rPr>
              <w:t xml:space="preserve">, </w:t>
            </w:r>
            <w:proofErr w:type="spellStart"/>
            <w:r w:rsidRPr="00B542CD">
              <w:rPr>
                <w:rFonts w:ascii="Times New Roman" w:hAnsi="Times New Roman" w:cs="Times New Roman"/>
                <w:sz w:val="16"/>
                <w:szCs w:val="16"/>
                <w:lang w:eastAsia="en-GB"/>
              </w:rPr>
              <w:t>fUS</w:t>
            </w:r>
            <w:proofErr w:type="spellEnd"/>
            <w:r w:rsidRPr="00B542CD">
              <w:rPr>
                <w:rFonts w:ascii="Times New Roman" w:hAnsi="Times New Roman" w:cs="Times New Roman"/>
                <w:sz w:val="16"/>
                <w:szCs w:val="16"/>
                <w:lang w:eastAsia="en-GB"/>
              </w:rPr>
              <w:t xml:space="preserve">, </w:t>
            </w:r>
            <w:proofErr w:type="spellStart"/>
            <w:r w:rsidRPr="00B542CD">
              <w:rPr>
                <w:rFonts w:ascii="Times New Roman" w:hAnsi="Times New Roman" w:cs="Times New Roman"/>
                <w:sz w:val="16"/>
                <w:szCs w:val="16"/>
                <w:lang w:eastAsia="en-GB"/>
              </w:rPr>
              <w:t>fAfrica</w:t>
            </w:r>
            <w:proofErr w:type="spellEnd"/>
          </w:p>
        </w:tc>
      </w:tr>
      <w:tr w:rsidR="00B477B5" w:rsidRPr="00B542CD" w14:paraId="48C98B79" w14:textId="77777777" w:rsidTr="007E5191">
        <w:trPr>
          <w:trHeight w:val="458"/>
        </w:trPr>
        <w:tc>
          <w:tcPr>
            <w:tcW w:w="340" w:type="dxa"/>
            <w:vMerge/>
          </w:tcPr>
          <w:p w14:paraId="054D7194" w14:textId="77777777" w:rsidR="00B477B5" w:rsidRPr="00B542CD" w:rsidRDefault="00B477B5" w:rsidP="00425F2A">
            <w:pPr>
              <w:jc w:val="both"/>
              <w:rPr>
                <w:rFonts w:ascii="Times New Roman" w:hAnsi="Times New Roman" w:cs="Times New Roman"/>
                <w:sz w:val="16"/>
                <w:szCs w:val="16"/>
                <w:lang w:eastAsia="en-GB"/>
              </w:rPr>
            </w:pPr>
          </w:p>
        </w:tc>
        <w:tc>
          <w:tcPr>
            <w:tcW w:w="1275" w:type="dxa"/>
            <w:tcBorders>
              <w:right w:val="single" w:sz="4" w:space="0" w:color="FFFFFF" w:themeColor="background1"/>
            </w:tcBorders>
            <w:vAlign w:val="center"/>
          </w:tcPr>
          <w:p w14:paraId="070ADFB6" w14:textId="77777777" w:rsidR="00B477B5" w:rsidRPr="00B542CD" w:rsidRDefault="00B477B5" w:rsidP="00425F2A">
            <w:pPr>
              <w:jc w:val="center"/>
              <w:rPr>
                <w:rFonts w:ascii="Times New Roman" w:hAnsi="Times New Roman" w:cs="Times New Roman"/>
                <w:b/>
                <w:bCs/>
                <w:sz w:val="16"/>
                <w:szCs w:val="16"/>
                <w:lang w:eastAsia="en-GB"/>
              </w:rPr>
            </w:pPr>
            <w:r w:rsidRPr="00B542CD">
              <w:rPr>
                <w:rFonts w:ascii="Times New Roman" w:hAnsi="Times New Roman" w:cs="Times New Roman"/>
                <w:b/>
                <w:bCs/>
                <w:sz w:val="16"/>
                <w:szCs w:val="16"/>
                <w:lang w:eastAsia="en-GB"/>
              </w:rPr>
              <w:t>Transportation network</w:t>
            </w:r>
          </w:p>
        </w:tc>
        <w:tc>
          <w:tcPr>
            <w:tcW w:w="2700" w:type="dxa"/>
            <w:tcBorders>
              <w:left w:val="single" w:sz="4" w:space="0" w:color="FFFFFF" w:themeColor="background1"/>
              <w:right w:val="single" w:sz="4" w:space="0" w:color="FFFFFF" w:themeColor="background1"/>
            </w:tcBorders>
            <w:vAlign w:val="center"/>
          </w:tcPr>
          <w:p w14:paraId="4734EB49" w14:textId="77777777" w:rsidR="00B477B5" w:rsidRPr="00B542CD" w:rsidRDefault="00B477B5" w:rsidP="00425F2A">
            <w:pPr>
              <w:jc w:val="center"/>
              <w:rPr>
                <w:rFonts w:ascii="Times New Roman" w:hAnsi="Times New Roman" w:cs="Times New Roman"/>
                <w:sz w:val="16"/>
                <w:szCs w:val="16"/>
                <w:lang w:eastAsia="en-GB"/>
              </w:rPr>
            </w:pPr>
            <w:r w:rsidRPr="00B542CD">
              <w:rPr>
                <w:rFonts w:ascii="Times New Roman" w:hAnsi="Times New Roman" w:cs="Times New Roman"/>
                <w:sz w:val="16"/>
                <w:szCs w:val="16"/>
                <w:lang w:eastAsia="en-GB"/>
              </w:rPr>
              <w:t>Predominantly high-capacity trucks; Intercontinental transportation by plane (4 airports) and boat (4 seaports)</w:t>
            </w:r>
          </w:p>
        </w:tc>
        <w:tc>
          <w:tcPr>
            <w:tcW w:w="2803" w:type="dxa"/>
            <w:tcBorders>
              <w:left w:val="single" w:sz="4" w:space="0" w:color="FFFFFF" w:themeColor="background1"/>
            </w:tcBorders>
            <w:vAlign w:val="center"/>
          </w:tcPr>
          <w:p w14:paraId="7DC66D3C" w14:textId="77777777" w:rsidR="00035252" w:rsidRPr="00B542CD" w:rsidRDefault="00B477B5" w:rsidP="00425F2A">
            <w:pPr>
              <w:jc w:val="center"/>
              <w:rPr>
                <w:rFonts w:ascii="Times New Roman" w:hAnsi="Times New Roman" w:cs="Times New Roman"/>
                <w:sz w:val="16"/>
                <w:szCs w:val="16"/>
                <w:lang w:eastAsia="en-GB"/>
              </w:rPr>
            </w:pPr>
            <w:r w:rsidRPr="00B542CD">
              <w:rPr>
                <w:rFonts w:ascii="Times New Roman" w:hAnsi="Times New Roman" w:cs="Times New Roman"/>
                <w:sz w:val="16"/>
                <w:szCs w:val="16"/>
                <w:lang w:eastAsia="en-GB"/>
              </w:rPr>
              <w:t>Predominantly high-capacity trucks; Intercontinental transportation by plane</w:t>
            </w:r>
          </w:p>
          <w:p w14:paraId="543322C4" w14:textId="6C0E5B03" w:rsidR="00B477B5" w:rsidRPr="00B542CD" w:rsidRDefault="00B477B5" w:rsidP="00425F2A">
            <w:pPr>
              <w:jc w:val="center"/>
              <w:rPr>
                <w:rFonts w:ascii="Times New Roman" w:hAnsi="Times New Roman" w:cs="Times New Roman"/>
                <w:sz w:val="16"/>
                <w:szCs w:val="16"/>
                <w:lang w:eastAsia="en-GB"/>
              </w:rPr>
            </w:pPr>
            <w:r w:rsidRPr="00B542CD">
              <w:rPr>
                <w:rFonts w:ascii="Times New Roman" w:hAnsi="Times New Roman" w:cs="Times New Roman"/>
                <w:sz w:val="16"/>
                <w:szCs w:val="16"/>
                <w:lang w:eastAsia="en-GB"/>
              </w:rPr>
              <w:t xml:space="preserve"> (3 airports) and boat (4 seaports)</w:t>
            </w:r>
          </w:p>
        </w:tc>
      </w:tr>
    </w:tbl>
    <w:p w14:paraId="0846BA4C" w14:textId="39441215" w:rsidR="000C727D" w:rsidRPr="00B542CD" w:rsidRDefault="00DA07DF" w:rsidP="0076657E">
      <w:pPr>
        <w:spacing w:before="80"/>
        <w:jc w:val="both"/>
        <w:rPr>
          <w:lang w:eastAsia="en-GB"/>
        </w:rPr>
      </w:pPr>
      <w:r w:rsidRPr="00B542CD">
        <w:rPr>
          <w:lang w:eastAsia="en-GB"/>
        </w:rPr>
        <w:t xml:space="preserve">The </w:t>
      </w:r>
      <w:r w:rsidRPr="00B542CD">
        <w:rPr>
          <w:b/>
          <w:bCs/>
          <w:lang w:eastAsia="en-GB"/>
        </w:rPr>
        <w:t>second scenario</w:t>
      </w:r>
      <w:r w:rsidRPr="00B542CD">
        <w:rPr>
          <w:lang w:eastAsia="en-GB"/>
        </w:rPr>
        <w:t xml:space="preserve"> explore</w:t>
      </w:r>
      <w:r w:rsidR="00C574BB" w:rsidRPr="00B542CD">
        <w:rPr>
          <w:lang w:eastAsia="en-GB"/>
        </w:rPr>
        <w:t>s</w:t>
      </w:r>
      <w:r w:rsidRPr="00B542CD">
        <w:rPr>
          <w:lang w:eastAsia="en-GB"/>
        </w:rPr>
        <w:t xml:space="preserve"> the impact of a rise in the </w:t>
      </w:r>
      <w:r w:rsidR="003C5FDB" w:rsidRPr="00B542CD">
        <w:rPr>
          <w:lang w:eastAsia="en-GB"/>
        </w:rPr>
        <w:t>cost</w:t>
      </w:r>
      <w:r w:rsidRPr="00B542CD">
        <w:rPr>
          <w:lang w:eastAsia="en-GB"/>
        </w:rPr>
        <w:t xml:space="preserve"> of raw materials on the design and planning decisions</w:t>
      </w:r>
      <w:r w:rsidR="003C5FDB" w:rsidRPr="00B542CD">
        <w:rPr>
          <w:lang w:eastAsia="en-GB"/>
        </w:rPr>
        <w:t>. O</w:t>
      </w:r>
      <w:r w:rsidRPr="00B542CD">
        <w:rPr>
          <w:lang w:eastAsia="en-GB"/>
        </w:rPr>
        <w:t xml:space="preserve">nly </w:t>
      </w:r>
      <w:r w:rsidR="00895475" w:rsidRPr="00B542CD">
        <w:rPr>
          <w:lang w:eastAsia="en-GB"/>
        </w:rPr>
        <w:t>C</w:t>
      </w:r>
      <w:r w:rsidRPr="00B542CD">
        <w:rPr>
          <w:lang w:eastAsia="en-GB"/>
        </w:rPr>
        <w:t xml:space="preserve">ase A </w:t>
      </w:r>
      <w:r w:rsidR="00C574BB" w:rsidRPr="00B542CD">
        <w:rPr>
          <w:lang w:eastAsia="en-GB"/>
        </w:rPr>
        <w:t>is analysed</w:t>
      </w:r>
      <w:r w:rsidRPr="00B542CD">
        <w:rPr>
          <w:lang w:eastAsia="en-GB"/>
        </w:rPr>
        <w:t xml:space="preserve">. </w:t>
      </w:r>
      <w:r w:rsidR="00C574BB" w:rsidRPr="00B542CD">
        <w:rPr>
          <w:lang w:eastAsia="en-GB"/>
        </w:rPr>
        <w:t>V</w:t>
      </w:r>
      <w:r w:rsidRPr="00B542CD">
        <w:rPr>
          <w:lang w:eastAsia="en-GB"/>
        </w:rPr>
        <w:t xml:space="preserve">ariations on the </w:t>
      </w:r>
      <w:r w:rsidR="00623C8B" w:rsidRPr="00B542CD">
        <w:rPr>
          <w:lang w:eastAsia="en-GB"/>
        </w:rPr>
        <w:t>cost</w:t>
      </w:r>
      <w:r w:rsidRPr="00B542CD">
        <w:rPr>
          <w:lang w:eastAsia="en-GB"/>
        </w:rPr>
        <w:t xml:space="preserve"> of a raw material are introduced on the supplier chosen on the base scenario. These variations</w:t>
      </w:r>
      <w:r w:rsidR="00623C8B" w:rsidRPr="00B542CD">
        <w:rPr>
          <w:lang w:eastAsia="en-GB"/>
        </w:rPr>
        <w:t xml:space="preserve"> (increase of 20%, 60%, and 150%) </w:t>
      </w:r>
      <w:r w:rsidRPr="00B542CD">
        <w:rPr>
          <w:lang w:eastAsia="en-GB"/>
        </w:rPr>
        <w:t>are introduced in the 5</w:t>
      </w:r>
      <w:r w:rsidRPr="00B542CD">
        <w:rPr>
          <w:vertAlign w:val="superscript"/>
          <w:lang w:eastAsia="en-GB"/>
        </w:rPr>
        <w:t>th</w:t>
      </w:r>
      <w:r w:rsidRPr="00B542CD">
        <w:rPr>
          <w:lang w:eastAsia="en-GB"/>
        </w:rPr>
        <w:t xml:space="preserve"> year of a planning period of 10 years</w:t>
      </w:r>
      <w:r w:rsidR="002C36C5" w:rsidRPr="00B542CD">
        <w:rPr>
          <w:lang w:eastAsia="en-GB"/>
        </w:rPr>
        <w:t xml:space="preserve"> and aim to explore disruptive situations that significantly influence supply chain decisions. </w:t>
      </w:r>
      <w:r w:rsidR="000C727D" w:rsidRPr="00B542CD">
        <w:rPr>
          <w:lang w:eastAsia="en-GB"/>
        </w:rPr>
        <w:t>From the obtained results for scenario 2 (Table 2) it is observe</w:t>
      </w:r>
      <w:r w:rsidR="003F5377" w:rsidRPr="00B542CD">
        <w:rPr>
          <w:lang w:eastAsia="en-GB"/>
        </w:rPr>
        <w:t>d</w:t>
      </w:r>
      <w:r w:rsidR="000C727D" w:rsidRPr="00B542CD">
        <w:rPr>
          <w:lang w:eastAsia="en-GB"/>
        </w:rPr>
        <w:t xml:space="preserve"> that an increase of Rm1’s price by </w:t>
      </w:r>
      <w:proofErr w:type="spellStart"/>
      <w:r w:rsidR="000C727D" w:rsidRPr="00B542CD">
        <w:rPr>
          <w:lang w:eastAsia="en-GB"/>
        </w:rPr>
        <w:t>sUK</w:t>
      </w:r>
      <w:proofErr w:type="spellEnd"/>
      <w:r w:rsidR="000C727D" w:rsidRPr="00B542CD">
        <w:rPr>
          <w:lang w:eastAsia="en-GB"/>
        </w:rPr>
        <w:t xml:space="preserve"> will have implications on the profit</w:t>
      </w:r>
      <w:r w:rsidR="004D22E7" w:rsidRPr="00B542CD">
        <w:rPr>
          <w:lang w:eastAsia="en-GB"/>
        </w:rPr>
        <w:t xml:space="preserve"> reached,</w:t>
      </w:r>
      <w:r w:rsidR="008A5FBC" w:rsidRPr="00B542CD">
        <w:rPr>
          <w:lang w:eastAsia="en-GB"/>
        </w:rPr>
        <w:t xml:space="preserve"> </w:t>
      </w:r>
      <w:r w:rsidR="00B030AD" w:rsidRPr="00B542CD">
        <w:rPr>
          <w:lang w:eastAsia="en-GB"/>
        </w:rPr>
        <w:t>while the same</w:t>
      </w:r>
      <w:r w:rsidR="008A5FBC" w:rsidRPr="00B542CD">
        <w:rPr>
          <w:lang w:eastAsia="en-GB"/>
        </w:rPr>
        <w:t xml:space="preserve"> </w:t>
      </w:r>
      <w:r w:rsidR="005C44CE" w:rsidRPr="00B542CD">
        <w:rPr>
          <w:lang w:eastAsia="en-GB"/>
        </w:rPr>
        <w:t xml:space="preserve">supply chain </w:t>
      </w:r>
      <w:r w:rsidR="008A5FBC" w:rsidRPr="00B542CD">
        <w:rPr>
          <w:lang w:eastAsia="en-GB"/>
        </w:rPr>
        <w:t xml:space="preserve">configuration </w:t>
      </w:r>
      <w:r w:rsidR="00B030AD" w:rsidRPr="00B542CD">
        <w:rPr>
          <w:lang w:eastAsia="en-GB"/>
        </w:rPr>
        <w:t xml:space="preserve">is </w:t>
      </w:r>
      <w:r w:rsidR="008A5FBC" w:rsidRPr="00B542CD">
        <w:rPr>
          <w:lang w:eastAsia="en-GB"/>
        </w:rPr>
        <w:t xml:space="preserve">obtained, </w:t>
      </w:r>
      <w:r w:rsidR="000C727D" w:rsidRPr="00B542CD">
        <w:rPr>
          <w:lang w:eastAsia="en-GB"/>
        </w:rPr>
        <w:t xml:space="preserve">since there is no other supplier available. An increase of 60% on the price of Rm2 by </w:t>
      </w:r>
      <w:proofErr w:type="spellStart"/>
      <w:r w:rsidR="000C727D" w:rsidRPr="00B542CD">
        <w:rPr>
          <w:lang w:eastAsia="en-GB"/>
        </w:rPr>
        <w:t>sLyon</w:t>
      </w:r>
      <w:proofErr w:type="spellEnd"/>
      <w:r w:rsidR="000C727D" w:rsidRPr="00B542CD">
        <w:rPr>
          <w:lang w:eastAsia="en-GB"/>
        </w:rPr>
        <w:t xml:space="preserve"> results in a different supply chain structure since a different supplier with a lower price is chosen</w:t>
      </w:r>
      <w:r w:rsidR="002407B4" w:rsidRPr="00B542CD">
        <w:rPr>
          <w:lang w:eastAsia="en-GB"/>
        </w:rPr>
        <w:t xml:space="preserve"> (</w:t>
      </w:r>
      <w:proofErr w:type="spellStart"/>
      <w:r w:rsidR="009806EA" w:rsidRPr="00B542CD">
        <w:rPr>
          <w:lang w:eastAsia="en-GB"/>
        </w:rPr>
        <w:t>sTexas</w:t>
      </w:r>
      <w:proofErr w:type="spellEnd"/>
      <w:r w:rsidR="009806EA" w:rsidRPr="00B542CD">
        <w:rPr>
          <w:lang w:eastAsia="en-GB"/>
        </w:rPr>
        <w:t>)</w:t>
      </w:r>
      <w:r w:rsidR="000C727D" w:rsidRPr="00B542CD">
        <w:rPr>
          <w:lang w:eastAsia="en-GB"/>
        </w:rPr>
        <w:t xml:space="preserve">, </w:t>
      </w:r>
      <w:r w:rsidR="003F5377" w:rsidRPr="00B542CD">
        <w:rPr>
          <w:lang w:eastAsia="en-GB"/>
        </w:rPr>
        <w:t xml:space="preserve">even so, </w:t>
      </w:r>
      <w:r w:rsidR="000C727D" w:rsidRPr="00B542CD">
        <w:rPr>
          <w:lang w:eastAsia="en-GB"/>
        </w:rPr>
        <w:t xml:space="preserve">a global profit decrease of 1.8% is obtained. An increase of 150% leads to the selection of </w:t>
      </w:r>
      <w:proofErr w:type="spellStart"/>
      <w:r w:rsidR="000C727D" w:rsidRPr="00B542CD">
        <w:rPr>
          <w:lang w:eastAsia="en-GB"/>
        </w:rPr>
        <w:t>sMumbai</w:t>
      </w:r>
      <w:proofErr w:type="spellEnd"/>
      <w:r w:rsidR="000C727D" w:rsidRPr="00B542CD">
        <w:rPr>
          <w:lang w:eastAsia="en-GB"/>
        </w:rPr>
        <w:t xml:space="preserve"> to supply Rm4 to the factory </w:t>
      </w:r>
      <w:proofErr w:type="spellStart"/>
      <w:r w:rsidR="000C727D" w:rsidRPr="00B542CD">
        <w:rPr>
          <w:lang w:eastAsia="en-GB"/>
        </w:rPr>
        <w:t>fFrance</w:t>
      </w:r>
      <w:proofErr w:type="spellEnd"/>
      <w:r w:rsidR="000C727D" w:rsidRPr="00B542CD">
        <w:rPr>
          <w:lang w:eastAsia="en-GB"/>
        </w:rPr>
        <w:t xml:space="preserve">, instead of </w:t>
      </w:r>
      <w:proofErr w:type="spellStart"/>
      <w:r w:rsidR="000C727D" w:rsidRPr="00B542CD">
        <w:rPr>
          <w:lang w:eastAsia="en-GB"/>
        </w:rPr>
        <w:t>sEssen</w:t>
      </w:r>
      <w:proofErr w:type="spellEnd"/>
      <w:r w:rsidR="000C727D" w:rsidRPr="00B542CD">
        <w:rPr>
          <w:lang w:eastAsia="en-GB"/>
        </w:rPr>
        <w:t xml:space="preserve"> initially chosen, and a profit decrease of 4%, corresponding to 72 million euros. It is relevant to point out that for the present case-study, considerable percentual increases on the price of the raw materials are necessary to lead to changes in the suppliers’ selection since the factory chosen in scenario 1 </w:t>
      </w:r>
      <w:r w:rsidR="00FE5394" w:rsidRPr="00B542CD">
        <w:rPr>
          <w:lang w:eastAsia="en-GB"/>
        </w:rPr>
        <w:t>–</w:t>
      </w:r>
      <w:r w:rsidR="000C727D" w:rsidRPr="00B542CD">
        <w:rPr>
          <w:lang w:eastAsia="en-GB"/>
        </w:rPr>
        <w:t xml:space="preserve"> </w:t>
      </w:r>
      <w:r w:rsidR="002F6F40" w:rsidRPr="00B542CD">
        <w:rPr>
          <w:lang w:eastAsia="en-GB"/>
        </w:rPr>
        <w:t>C</w:t>
      </w:r>
      <w:r w:rsidR="000C727D" w:rsidRPr="00B542CD">
        <w:rPr>
          <w:lang w:eastAsia="en-GB"/>
        </w:rPr>
        <w:t xml:space="preserve">ase A to produce the final product </w:t>
      </w:r>
      <w:proofErr w:type="gramStart"/>
      <w:r w:rsidR="000C727D" w:rsidRPr="00B542CD">
        <w:rPr>
          <w:lang w:eastAsia="en-GB"/>
        </w:rPr>
        <w:t>is located in</w:t>
      </w:r>
      <w:proofErr w:type="gramEnd"/>
      <w:r w:rsidR="000C727D" w:rsidRPr="00B542CD">
        <w:rPr>
          <w:lang w:eastAsia="en-GB"/>
        </w:rPr>
        <w:t xml:space="preserve"> France and the suppliers selected are the</w:t>
      </w:r>
      <w:r w:rsidR="00FE5394" w:rsidRPr="00B542CD">
        <w:rPr>
          <w:lang w:eastAsia="en-GB"/>
        </w:rPr>
        <w:t>–</w:t>
      </w:r>
      <w:r w:rsidR="000C727D" w:rsidRPr="00B542CD">
        <w:rPr>
          <w:lang w:eastAsia="en-GB"/>
        </w:rPr>
        <w:t xml:space="preserve">ones located closer to this factory. Hence, the choice of other suppliers is associated with an increase of transportation costs, leading to a decrease of the NPV. In scenario 2, the optimum performance obtained for Pharma Access indicator was 37.7 as in scenario 1- </w:t>
      </w:r>
      <w:r w:rsidR="002F6F40" w:rsidRPr="00B542CD">
        <w:rPr>
          <w:lang w:eastAsia="en-GB"/>
        </w:rPr>
        <w:t>C</w:t>
      </w:r>
      <w:r w:rsidR="000C727D" w:rsidRPr="00B542CD">
        <w:rPr>
          <w:lang w:eastAsia="en-GB"/>
        </w:rPr>
        <w:t>ase A.</w:t>
      </w:r>
    </w:p>
    <w:p w14:paraId="1C65AC3C" w14:textId="77777777" w:rsidR="000C727D" w:rsidRPr="00B542CD" w:rsidRDefault="000C727D" w:rsidP="00F11876">
      <w:pPr>
        <w:spacing w:before="60" w:after="60"/>
        <w:rPr>
          <w:lang w:eastAsia="en-GB"/>
        </w:rPr>
      </w:pPr>
      <w:r w:rsidRPr="00B542CD">
        <w:rPr>
          <w:lang w:eastAsia="en-GB"/>
        </w:rPr>
        <w:t>Table 2.  Supply chain topology and performance indicators’ results for scenario 2</w:t>
      </w:r>
    </w:p>
    <w:tbl>
      <w:tblPr>
        <w:tblStyle w:val="TableGrid"/>
        <w:tblW w:w="7061" w:type="dxa"/>
        <w:tblLayout w:type="fixed"/>
        <w:tblCellMar>
          <w:left w:w="72" w:type="dxa"/>
          <w:right w:w="72" w:type="dxa"/>
        </w:tblCellMar>
        <w:tblLook w:val="04A0" w:firstRow="1" w:lastRow="0" w:firstColumn="1" w:lastColumn="0" w:noHBand="0" w:noVBand="1"/>
      </w:tblPr>
      <w:tblGrid>
        <w:gridCol w:w="336"/>
        <w:gridCol w:w="1009"/>
        <w:gridCol w:w="1530"/>
        <w:gridCol w:w="2070"/>
        <w:gridCol w:w="2116"/>
      </w:tblGrid>
      <w:tr w:rsidR="000C727D" w:rsidRPr="00B542CD" w14:paraId="0A7E8929" w14:textId="77777777" w:rsidTr="008701EC">
        <w:trPr>
          <w:trHeight w:val="44"/>
        </w:trPr>
        <w:tc>
          <w:tcPr>
            <w:tcW w:w="336" w:type="dxa"/>
            <w:vMerge w:val="restart"/>
            <w:textDirection w:val="btLr"/>
            <w:vAlign w:val="center"/>
          </w:tcPr>
          <w:p w14:paraId="038D3D3D" w14:textId="77777777" w:rsidR="000C727D" w:rsidRPr="00B542CD" w:rsidRDefault="000C727D" w:rsidP="00425F2A">
            <w:pPr>
              <w:jc w:val="center"/>
              <w:rPr>
                <w:rFonts w:ascii="Times New Roman" w:hAnsi="Times New Roman" w:cs="Times New Roman"/>
                <w:b/>
                <w:bCs/>
                <w:sz w:val="16"/>
                <w:szCs w:val="16"/>
                <w:lang w:eastAsia="en-GB"/>
              </w:rPr>
            </w:pPr>
            <w:r w:rsidRPr="00B542CD">
              <w:rPr>
                <w:rFonts w:ascii="Times New Roman" w:hAnsi="Times New Roman" w:cs="Times New Roman"/>
                <w:b/>
                <w:bCs/>
                <w:sz w:val="16"/>
                <w:szCs w:val="16"/>
                <w:lang w:eastAsia="en-GB"/>
              </w:rPr>
              <w:t xml:space="preserve">Scenario 2 </w:t>
            </w:r>
          </w:p>
        </w:tc>
        <w:tc>
          <w:tcPr>
            <w:tcW w:w="1009" w:type="dxa"/>
            <w:tcBorders>
              <w:right w:val="single" w:sz="4" w:space="0" w:color="FFFFFF" w:themeColor="background1"/>
            </w:tcBorders>
            <w:vAlign w:val="center"/>
          </w:tcPr>
          <w:p w14:paraId="5C72EC8E" w14:textId="77777777" w:rsidR="000C727D" w:rsidRPr="00B542CD" w:rsidRDefault="000C727D" w:rsidP="00425F2A">
            <w:pPr>
              <w:jc w:val="center"/>
              <w:rPr>
                <w:rFonts w:ascii="Times New Roman" w:hAnsi="Times New Roman" w:cs="Times New Roman"/>
                <w:b/>
                <w:bCs/>
                <w:sz w:val="16"/>
                <w:szCs w:val="16"/>
                <w:lang w:eastAsia="en-GB"/>
              </w:rPr>
            </w:pPr>
          </w:p>
        </w:tc>
        <w:tc>
          <w:tcPr>
            <w:tcW w:w="5716" w:type="dxa"/>
            <w:gridSpan w:val="3"/>
            <w:tcBorders>
              <w:left w:val="single" w:sz="4" w:space="0" w:color="FFFFFF" w:themeColor="background1"/>
            </w:tcBorders>
            <w:vAlign w:val="center"/>
          </w:tcPr>
          <w:p w14:paraId="3FE9E18C" w14:textId="77777777" w:rsidR="000C727D" w:rsidRPr="00B542CD" w:rsidRDefault="000C727D" w:rsidP="00425F2A">
            <w:pPr>
              <w:jc w:val="center"/>
              <w:rPr>
                <w:rFonts w:ascii="Times New Roman" w:hAnsi="Times New Roman" w:cs="Times New Roman"/>
                <w:b/>
                <w:bCs/>
                <w:sz w:val="16"/>
                <w:szCs w:val="16"/>
                <w:lang w:eastAsia="en-GB"/>
              </w:rPr>
            </w:pPr>
            <w:r w:rsidRPr="00B542CD">
              <w:rPr>
                <w:rFonts w:ascii="Times New Roman" w:hAnsi="Times New Roman" w:cs="Times New Roman"/>
                <w:b/>
                <w:bCs/>
                <w:sz w:val="16"/>
                <w:szCs w:val="16"/>
                <w:lang w:eastAsia="en-GB"/>
              </w:rPr>
              <w:t>Case A</w:t>
            </w:r>
          </w:p>
        </w:tc>
      </w:tr>
      <w:tr w:rsidR="000C727D" w:rsidRPr="00B542CD" w14:paraId="0F5500FF" w14:textId="77777777" w:rsidTr="008701EC">
        <w:trPr>
          <w:trHeight w:val="188"/>
        </w:trPr>
        <w:tc>
          <w:tcPr>
            <w:tcW w:w="336" w:type="dxa"/>
            <w:vMerge/>
            <w:textDirection w:val="btLr"/>
            <w:vAlign w:val="center"/>
          </w:tcPr>
          <w:p w14:paraId="3360A072" w14:textId="77777777" w:rsidR="000C727D" w:rsidRPr="00B542CD" w:rsidRDefault="000C727D" w:rsidP="00425F2A">
            <w:pPr>
              <w:jc w:val="center"/>
              <w:rPr>
                <w:rFonts w:ascii="Times New Roman" w:hAnsi="Times New Roman" w:cs="Times New Roman"/>
                <w:b/>
                <w:bCs/>
                <w:sz w:val="16"/>
                <w:szCs w:val="16"/>
                <w:lang w:eastAsia="en-GB"/>
              </w:rPr>
            </w:pPr>
          </w:p>
        </w:tc>
        <w:tc>
          <w:tcPr>
            <w:tcW w:w="1009" w:type="dxa"/>
            <w:tcBorders>
              <w:right w:val="single" w:sz="4" w:space="0" w:color="FFFFFF" w:themeColor="background1"/>
            </w:tcBorders>
            <w:vAlign w:val="center"/>
          </w:tcPr>
          <w:p w14:paraId="1CF7F1E2" w14:textId="77777777" w:rsidR="000C727D" w:rsidRPr="00B542CD" w:rsidRDefault="000C727D" w:rsidP="00425F2A">
            <w:pPr>
              <w:jc w:val="center"/>
              <w:rPr>
                <w:rFonts w:ascii="Times New Roman" w:hAnsi="Times New Roman" w:cs="Times New Roman"/>
                <w:b/>
                <w:bCs/>
                <w:sz w:val="16"/>
                <w:szCs w:val="16"/>
                <w:lang w:eastAsia="en-GB"/>
              </w:rPr>
            </w:pPr>
            <w:r w:rsidRPr="00B542CD">
              <w:rPr>
                <w:rFonts w:ascii="Times New Roman" w:hAnsi="Times New Roman" w:cs="Times New Roman"/>
                <w:b/>
                <w:bCs/>
                <w:sz w:val="16"/>
                <w:szCs w:val="16"/>
                <w:lang w:eastAsia="en-GB"/>
              </w:rPr>
              <w:t>Variations*</w:t>
            </w:r>
          </w:p>
        </w:tc>
        <w:tc>
          <w:tcPr>
            <w:tcW w:w="1530" w:type="dxa"/>
            <w:tcBorders>
              <w:left w:val="single" w:sz="4" w:space="0" w:color="FFFFFF" w:themeColor="background1"/>
              <w:right w:val="single" w:sz="4" w:space="0" w:color="FFFFFF"/>
            </w:tcBorders>
            <w:vAlign w:val="center"/>
          </w:tcPr>
          <w:p w14:paraId="6F0734FA" w14:textId="77777777" w:rsidR="000C727D" w:rsidRPr="00B542CD" w:rsidRDefault="000C727D" w:rsidP="00425F2A">
            <w:pPr>
              <w:jc w:val="center"/>
              <w:rPr>
                <w:rFonts w:ascii="Times New Roman" w:hAnsi="Times New Roman" w:cs="Times New Roman"/>
                <w:b/>
                <w:bCs/>
                <w:sz w:val="16"/>
                <w:szCs w:val="16"/>
                <w:lang w:eastAsia="en-GB"/>
              </w:rPr>
            </w:pPr>
            <w:r w:rsidRPr="00B542CD">
              <w:rPr>
                <w:rFonts w:ascii="Times New Roman" w:hAnsi="Times New Roman" w:cs="Times New Roman"/>
                <w:b/>
                <w:bCs/>
                <w:sz w:val="16"/>
                <w:szCs w:val="16"/>
                <w:lang w:eastAsia="en-GB"/>
              </w:rPr>
              <w:t>↑20%</w:t>
            </w:r>
          </w:p>
        </w:tc>
        <w:tc>
          <w:tcPr>
            <w:tcW w:w="2070" w:type="dxa"/>
            <w:tcBorders>
              <w:left w:val="single" w:sz="4" w:space="0" w:color="FFFFFF"/>
              <w:right w:val="single" w:sz="4" w:space="0" w:color="FFFFFF"/>
            </w:tcBorders>
            <w:vAlign w:val="center"/>
          </w:tcPr>
          <w:p w14:paraId="02885EC6" w14:textId="77777777" w:rsidR="000C727D" w:rsidRPr="00B542CD" w:rsidRDefault="000C727D" w:rsidP="00425F2A">
            <w:pPr>
              <w:jc w:val="center"/>
              <w:rPr>
                <w:rFonts w:ascii="Times New Roman" w:hAnsi="Times New Roman" w:cs="Times New Roman"/>
                <w:b/>
                <w:bCs/>
                <w:sz w:val="16"/>
                <w:szCs w:val="16"/>
                <w:lang w:eastAsia="en-GB"/>
              </w:rPr>
            </w:pPr>
            <w:r w:rsidRPr="00B542CD">
              <w:rPr>
                <w:rFonts w:ascii="Times New Roman" w:hAnsi="Times New Roman" w:cs="Times New Roman"/>
                <w:b/>
                <w:bCs/>
                <w:sz w:val="16"/>
                <w:szCs w:val="16"/>
                <w:lang w:eastAsia="en-GB"/>
              </w:rPr>
              <w:t>↑60%</w:t>
            </w:r>
          </w:p>
        </w:tc>
        <w:tc>
          <w:tcPr>
            <w:tcW w:w="2116" w:type="dxa"/>
            <w:tcBorders>
              <w:left w:val="single" w:sz="4" w:space="0" w:color="FFFFFF"/>
            </w:tcBorders>
            <w:vAlign w:val="center"/>
          </w:tcPr>
          <w:p w14:paraId="44A88076" w14:textId="77777777" w:rsidR="000C727D" w:rsidRPr="00B542CD" w:rsidRDefault="000C727D" w:rsidP="00425F2A">
            <w:pPr>
              <w:jc w:val="center"/>
              <w:rPr>
                <w:rFonts w:ascii="Times New Roman" w:hAnsi="Times New Roman" w:cs="Times New Roman"/>
                <w:b/>
                <w:bCs/>
                <w:sz w:val="16"/>
                <w:szCs w:val="16"/>
                <w:lang w:eastAsia="en-GB"/>
              </w:rPr>
            </w:pPr>
            <w:r w:rsidRPr="00B542CD">
              <w:rPr>
                <w:rFonts w:ascii="Times New Roman" w:hAnsi="Times New Roman" w:cs="Times New Roman"/>
                <w:b/>
                <w:bCs/>
                <w:sz w:val="16"/>
                <w:szCs w:val="16"/>
                <w:lang w:eastAsia="en-GB"/>
              </w:rPr>
              <w:t>↑150%</w:t>
            </w:r>
          </w:p>
        </w:tc>
      </w:tr>
      <w:tr w:rsidR="000C727D" w:rsidRPr="00B542CD" w14:paraId="5185DE4A" w14:textId="77777777" w:rsidTr="008701EC">
        <w:trPr>
          <w:trHeight w:val="98"/>
        </w:trPr>
        <w:tc>
          <w:tcPr>
            <w:tcW w:w="336" w:type="dxa"/>
            <w:vMerge/>
            <w:vAlign w:val="center"/>
          </w:tcPr>
          <w:p w14:paraId="4B13DDC0" w14:textId="77777777" w:rsidR="000C727D" w:rsidRPr="00B542CD" w:rsidRDefault="000C727D" w:rsidP="00425F2A">
            <w:pPr>
              <w:jc w:val="center"/>
              <w:rPr>
                <w:rFonts w:ascii="Times New Roman" w:hAnsi="Times New Roman" w:cs="Times New Roman"/>
                <w:sz w:val="16"/>
                <w:szCs w:val="16"/>
                <w:lang w:eastAsia="en-GB"/>
              </w:rPr>
            </w:pPr>
          </w:p>
        </w:tc>
        <w:tc>
          <w:tcPr>
            <w:tcW w:w="1009" w:type="dxa"/>
            <w:tcBorders>
              <w:right w:val="single" w:sz="4" w:space="0" w:color="FFFFFF" w:themeColor="background1"/>
            </w:tcBorders>
            <w:vAlign w:val="center"/>
          </w:tcPr>
          <w:p w14:paraId="542EE18B" w14:textId="77777777" w:rsidR="000C727D" w:rsidRPr="00B542CD" w:rsidRDefault="000C727D" w:rsidP="00425F2A">
            <w:pPr>
              <w:jc w:val="center"/>
              <w:rPr>
                <w:rFonts w:ascii="Times New Roman" w:hAnsi="Times New Roman" w:cs="Times New Roman"/>
                <w:b/>
                <w:bCs/>
                <w:sz w:val="16"/>
                <w:szCs w:val="16"/>
                <w:lang w:eastAsia="en-GB"/>
              </w:rPr>
            </w:pPr>
            <w:r w:rsidRPr="00B542CD">
              <w:rPr>
                <w:rFonts w:ascii="Times New Roman" w:hAnsi="Times New Roman" w:cs="Times New Roman"/>
                <w:b/>
                <w:bCs/>
                <w:sz w:val="16"/>
                <w:szCs w:val="16"/>
                <w:lang w:eastAsia="en-GB"/>
              </w:rPr>
              <w:t>NPV (€)</w:t>
            </w:r>
          </w:p>
        </w:tc>
        <w:tc>
          <w:tcPr>
            <w:tcW w:w="1530" w:type="dxa"/>
            <w:tcBorders>
              <w:left w:val="single" w:sz="4" w:space="0" w:color="FFFFFF" w:themeColor="background1"/>
              <w:right w:val="single" w:sz="4" w:space="0" w:color="FFFFFF"/>
            </w:tcBorders>
            <w:vAlign w:val="center"/>
          </w:tcPr>
          <w:p w14:paraId="258F86B0" w14:textId="77777777" w:rsidR="000C727D" w:rsidRPr="00B542CD" w:rsidRDefault="000C727D" w:rsidP="00425F2A">
            <w:pPr>
              <w:jc w:val="center"/>
              <w:rPr>
                <w:rFonts w:ascii="Times New Roman" w:hAnsi="Times New Roman" w:cs="Times New Roman"/>
                <w:sz w:val="16"/>
                <w:szCs w:val="16"/>
                <w:lang w:eastAsia="en-GB"/>
              </w:rPr>
            </w:pPr>
            <w:r w:rsidRPr="00B542CD">
              <w:rPr>
                <w:rFonts w:ascii="Times New Roman" w:hAnsi="Times New Roman" w:cs="Times New Roman"/>
                <w:sz w:val="16"/>
                <w:szCs w:val="16"/>
                <w:lang w:eastAsia="en-GB"/>
              </w:rPr>
              <w:t xml:space="preserve">1.799E+09 </w:t>
            </w:r>
          </w:p>
        </w:tc>
        <w:tc>
          <w:tcPr>
            <w:tcW w:w="2070" w:type="dxa"/>
            <w:tcBorders>
              <w:left w:val="single" w:sz="4" w:space="0" w:color="FFFFFF"/>
              <w:right w:val="single" w:sz="4" w:space="0" w:color="FFFFFF"/>
            </w:tcBorders>
            <w:vAlign w:val="center"/>
          </w:tcPr>
          <w:p w14:paraId="0E2EC4B7" w14:textId="77777777" w:rsidR="000C727D" w:rsidRPr="00B542CD" w:rsidRDefault="000C727D" w:rsidP="00425F2A">
            <w:pPr>
              <w:jc w:val="center"/>
              <w:rPr>
                <w:rFonts w:ascii="Times New Roman" w:hAnsi="Times New Roman" w:cs="Times New Roman"/>
                <w:sz w:val="16"/>
                <w:szCs w:val="16"/>
                <w:lang w:eastAsia="en-GB"/>
              </w:rPr>
            </w:pPr>
            <w:r w:rsidRPr="00B542CD">
              <w:rPr>
                <w:rFonts w:ascii="Times New Roman" w:hAnsi="Times New Roman" w:cs="Times New Roman"/>
                <w:sz w:val="16"/>
                <w:szCs w:val="16"/>
                <w:lang w:eastAsia="en-GB"/>
              </w:rPr>
              <w:t>1.780E+09</w:t>
            </w:r>
          </w:p>
        </w:tc>
        <w:tc>
          <w:tcPr>
            <w:tcW w:w="2116" w:type="dxa"/>
            <w:tcBorders>
              <w:left w:val="single" w:sz="4" w:space="0" w:color="FFFFFF"/>
            </w:tcBorders>
            <w:vAlign w:val="center"/>
          </w:tcPr>
          <w:p w14:paraId="333D4B7E" w14:textId="77777777" w:rsidR="000C727D" w:rsidRPr="00B542CD" w:rsidRDefault="000C727D" w:rsidP="00425F2A">
            <w:pPr>
              <w:jc w:val="center"/>
              <w:rPr>
                <w:rFonts w:ascii="Times New Roman" w:hAnsi="Times New Roman" w:cs="Times New Roman"/>
                <w:sz w:val="16"/>
                <w:szCs w:val="16"/>
                <w:lang w:eastAsia="en-GB"/>
              </w:rPr>
            </w:pPr>
            <w:r w:rsidRPr="00B542CD">
              <w:rPr>
                <w:rFonts w:ascii="Times New Roman" w:hAnsi="Times New Roman" w:cs="Times New Roman"/>
                <w:sz w:val="16"/>
                <w:szCs w:val="16"/>
                <w:lang w:eastAsia="en-GB"/>
              </w:rPr>
              <w:t>1.737E+09</w:t>
            </w:r>
          </w:p>
        </w:tc>
      </w:tr>
      <w:tr w:rsidR="000C727D" w:rsidRPr="00B542CD" w14:paraId="160A305F" w14:textId="77777777" w:rsidTr="008701EC">
        <w:trPr>
          <w:trHeight w:val="863"/>
        </w:trPr>
        <w:tc>
          <w:tcPr>
            <w:tcW w:w="336" w:type="dxa"/>
            <w:vMerge/>
            <w:vAlign w:val="center"/>
          </w:tcPr>
          <w:p w14:paraId="17AD9B98" w14:textId="77777777" w:rsidR="000C727D" w:rsidRPr="00B542CD" w:rsidRDefault="000C727D" w:rsidP="00425F2A">
            <w:pPr>
              <w:jc w:val="center"/>
              <w:rPr>
                <w:rFonts w:ascii="Times New Roman" w:hAnsi="Times New Roman" w:cs="Times New Roman"/>
                <w:sz w:val="16"/>
                <w:szCs w:val="16"/>
                <w:lang w:eastAsia="en-GB"/>
              </w:rPr>
            </w:pPr>
          </w:p>
        </w:tc>
        <w:tc>
          <w:tcPr>
            <w:tcW w:w="1009" w:type="dxa"/>
            <w:tcBorders>
              <w:right w:val="single" w:sz="4" w:space="0" w:color="FFFFFF"/>
            </w:tcBorders>
            <w:vAlign w:val="center"/>
          </w:tcPr>
          <w:p w14:paraId="7A36E078" w14:textId="77777777" w:rsidR="000C727D" w:rsidRPr="00B542CD" w:rsidRDefault="000C727D" w:rsidP="00425F2A">
            <w:pPr>
              <w:jc w:val="center"/>
              <w:rPr>
                <w:rFonts w:ascii="Times New Roman" w:hAnsi="Times New Roman" w:cs="Times New Roman"/>
                <w:b/>
                <w:bCs/>
                <w:sz w:val="16"/>
                <w:szCs w:val="16"/>
                <w:lang w:eastAsia="en-GB"/>
              </w:rPr>
            </w:pPr>
            <w:r w:rsidRPr="00B542CD">
              <w:rPr>
                <w:rFonts w:ascii="Times New Roman" w:hAnsi="Times New Roman" w:cs="Times New Roman"/>
                <w:b/>
                <w:bCs/>
                <w:sz w:val="16"/>
                <w:szCs w:val="16"/>
                <w:lang w:eastAsia="en-GB"/>
              </w:rPr>
              <w:t>s- Suppliers</w:t>
            </w:r>
          </w:p>
          <w:p w14:paraId="264E5C06" w14:textId="77777777" w:rsidR="000C727D" w:rsidRPr="00B542CD" w:rsidRDefault="000C727D" w:rsidP="00425F2A">
            <w:pPr>
              <w:jc w:val="center"/>
              <w:rPr>
                <w:rFonts w:ascii="Times New Roman" w:hAnsi="Times New Roman" w:cs="Times New Roman"/>
                <w:b/>
                <w:bCs/>
                <w:sz w:val="16"/>
                <w:szCs w:val="16"/>
                <w:lang w:eastAsia="en-GB"/>
              </w:rPr>
            </w:pPr>
            <w:r w:rsidRPr="00B542CD">
              <w:rPr>
                <w:rFonts w:ascii="Times New Roman" w:hAnsi="Times New Roman" w:cs="Times New Roman"/>
                <w:b/>
                <w:bCs/>
                <w:sz w:val="16"/>
                <w:szCs w:val="16"/>
                <w:lang w:eastAsia="en-GB"/>
              </w:rPr>
              <w:t>and</w:t>
            </w:r>
          </w:p>
          <w:p w14:paraId="272D128C" w14:textId="77777777" w:rsidR="000C727D" w:rsidRPr="00B542CD" w:rsidRDefault="000C727D" w:rsidP="00425F2A">
            <w:pPr>
              <w:jc w:val="center"/>
              <w:rPr>
                <w:rFonts w:ascii="Times New Roman" w:hAnsi="Times New Roman" w:cs="Times New Roman"/>
                <w:b/>
                <w:bCs/>
                <w:sz w:val="16"/>
                <w:szCs w:val="16"/>
                <w:lang w:eastAsia="en-GB"/>
              </w:rPr>
            </w:pPr>
            <w:r w:rsidRPr="00B542CD">
              <w:rPr>
                <w:rFonts w:ascii="Times New Roman" w:hAnsi="Times New Roman" w:cs="Times New Roman"/>
                <w:b/>
                <w:bCs/>
                <w:sz w:val="16"/>
                <w:szCs w:val="16"/>
                <w:lang w:eastAsia="en-GB"/>
              </w:rPr>
              <w:t>f- Factories</w:t>
            </w:r>
          </w:p>
        </w:tc>
        <w:tc>
          <w:tcPr>
            <w:tcW w:w="1530" w:type="dxa"/>
            <w:tcBorders>
              <w:left w:val="single" w:sz="4" w:space="0" w:color="FFFFFF"/>
              <w:right w:val="single" w:sz="4" w:space="0" w:color="FFFFFF"/>
            </w:tcBorders>
            <w:vAlign w:val="center"/>
          </w:tcPr>
          <w:p w14:paraId="072D3976" w14:textId="77777777" w:rsidR="000C727D" w:rsidRPr="00B542CD" w:rsidRDefault="000C727D" w:rsidP="00425F2A">
            <w:pPr>
              <w:jc w:val="center"/>
              <w:rPr>
                <w:rFonts w:ascii="Times New Roman" w:hAnsi="Times New Roman" w:cs="Times New Roman"/>
                <w:sz w:val="16"/>
                <w:szCs w:val="16"/>
                <w:lang w:eastAsia="en-GB"/>
              </w:rPr>
            </w:pPr>
            <w:proofErr w:type="spellStart"/>
            <w:r w:rsidRPr="00B542CD">
              <w:rPr>
                <w:rFonts w:ascii="Times New Roman" w:hAnsi="Times New Roman" w:cs="Times New Roman"/>
                <w:sz w:val="16"/>
                <w:szCs w:val="16"/>
                <w:lang w:eastAsia="en-GB"/>
              </w:rPr>
              <w:t>sUK</w:t>
            </w:r>
            <w:proofErr w:type="spellEnd"/>
            <w:r w:rsidRPr="00B542CD">
              <w:rPr>
                <w:rFonts w:ascii="Times New Roman" w:hAnsi="Times New Roman" w:cs="Times New Roman"/>
                <w:sz w:val="16"/>
                <w:szCs w:val="16"/>
                <w:lang w:eastAsia="en-GB"/>
              </w:rPr>
              <w:t xml:space="preserve"> (Rm1), </w:t>
            </w:r>
            <w:proofErr w:type="spellStart"/>
            <w:r w:rsidRPr="00B542CD">
              <w:rPr>
                <w:rFonts w:ascii="Times New Roman" w:hAnsi="Times New Roman" w:cs="Times New Roman"/>
                <w:sz w:val="16"/>
                <w:szCs w:val="16"/>
                <w:lang w:eastAsia="en-GB"/>
              </w:rPr>
              <w:t>sLyon</w:t>
            </w:r>
            <w:proofErr w:type="spellEnd"/>
            <w:r w:rsidRPr="00B542CD">
              <w:rPr>
                <w:rFonts w:ascii="Times New Roman" w:hAnsi="Times New Roman" w:cs="Times New Roman"/>
                <w:sz w:val="16"/>
                <w:szCs w:val="16"/>
                <w:lang w:eastAsia="en-GB"/>
              </w:rPr>
              <w:t xml:space="preserve"> (Rm2), </w:t>
            </w:r>
            <w:proofErr w:type="spellStart"/>
            <w:r w:rsidRPr="00B542CD">
              <w:rPr>
                <w:rFonts w:ascii="Times New Roman" w:hAnsi="Times New Roman" w:cs="Times New Roman"/>
                <w:sz w:val="16"/>
                <w:szCs w:val="16"/>
                <w:lang w:eastAsia="en-GB"/>
              </w:rPr>
              <w:t>sLyon</w:t>
            </w:r>
            <w:proofErr w:type="spellEnd"/>
            <w:r w:rsidRPr="00B542CD">
              <w:rPr>
                <w:rFonts w:ascii="Times New Roman" w:hAnsi="Times New Roman" w:cs="Times New Roman"/>
                <w:sz w:val="16"/>
                <w:szCs w:val="16"/>
                <w:lang w:eastAsia="en-GB"/>
              </w:rPr>
              <w:t xml:space="preserve"> (Rm3), </w:t>
            </w:r>
            <w:proofErr w:type="spellStart"/>
            <w:r w:rsidRPr="00B542CD">
              <w:rPr>
                <w:rFonts w:ascii="Times New Roman" w:hAnsi="Times New Roman" w:cs="Times New Roman"/>
                <w:sz w:val="16"/>
                <w:szCs w:val="16"/>
                <w:lang w:eastAsia="en-GB"/>
              </w:rPr>
              <w:t>sEssen</w:t>
            </w:r>
            <w:proofErr w:type="spellEnd"/>
            <w:r w:rsidRPr="00B542CD">
              <w:rPr>
                <w:rFonts w:ascii="Times New Roman" w:hAnsi="Times New Roman" w:cs="Times New Roman"/>
                <w:sz w:val="16"/>
                <w:szCs w:val="16"/>
                <w:lang w:eastAsia="en-GB"/>
              </w:rPr>
              <w:t xml:space="preserve"> (Rm4</w:t>
            </w:r>
            <w:proofErr w:type="gramStart"/>
            <w:r w:rsidRPr="00B542CD">
              <w:rPr>
                <w:rFonts w:ascii="Times New Roman" w:hAnsi="Times New Roman" w:cs="Times New Roman"/>
                <w:sz w:val="16"/>
                <w:szCs w:val="16"/>
                <w:lang w:eastAsia="en-GB"/>
              </w:rPr>
              <w:t>);</w:t>
            </w:r>
            <w:proofErr w:type="gramEnd"/>
          </w:p>
          <w:p w14:paraId="6D022AF9" w14:textId="77777777" w:rsidR="000C727D" w:rsidRPr="00B542CD" w:rsidRDefault="000C727D" w:rsidP="00425F2A">
            <w:pPr>
              <w:jc w:val="center"/>
              <w:rPr>
                <w:rFonts w:ascii="Times New Roman" w:hAnsi="Times New Roman" w:cs="Times New Roman"/>
                <w:sz w:val="16"/>
                <w:szCs w:val="16"/>
                <w:lang w:eastAsia="en-GB"/>
              </w:rPr>
            </w:pPr>
            <w:proofErr w:type="spellStart"/>
            <w:r w:rsidRPr="00B542CD">
              <w:rPr>
                <w:rFonts w:ascii="Times New Roman" w:hAnsi="Times New Roman" w:cs="Times New Roman"/>
                <w:sz w:val="16"/>
                <w:szCs w:val="16"/>
                <w:lang w:eastAsia="en-GB"/>
              </w:rPr>
              <w:t>fFrance</w:t>
            </w:r>
            <w:proofErr w:type="spellEnd"/>
          </w:p>
        </w:tc>
        <w:tc>
          <w:tcPr>
            <w:tcW w:w="2070" w:type="dxa"/>
            <w:tcBorders>
              <w:left w:val="single" w:sz="4" w:space="0" w:color="FFFFFF"/>
              <w:right w:val="single" w:sz="4" w:space="0" w:color="FFFFFF"/>
            </w:tcBorders>
            <w:vAlign w:val="center"/>
          </w:tcPr>
          <w:p w14:paraId="07377AC3" w14:textId="77777777" w:rsidR="000C727D" w:rsidRPr="00B542CD" w:rsidRDefault="000C727D" w:rsidP="00425F2A">
            <w:pPr>
              <w:jc w:val="center"/>
              <w:rPr>
                <w:rFonts w:ascii="Times New Roman" w:hAnsi="Times New Roman" w:cs="Times New Roman"/>
                <w:sz w:val="16"/>
                <w:szCs w:val="16"/>
                <w:lang w:eastAsia="en-GB"/>
              </w:rPr>
            </w:pPr>
            <w:proofErr w:type="spellStart"/>
            <w:r w:rsidRPr="00B542CD">
              <w:rPr>
                <w:rFonts w:ascii="Times New Roman" w:hAnsi="Times New Roman" w:cs="Times New Roman"/>
                <w:sz w:val="16"/>
                <w:szCs w:val="16"/>
                <w:lang w:eastAsia="en-GB"/>
              </w:rPr>
              <w:t>sUK</w:t>
            </w:r>
            <w:proofErr w:type="spellEnd"/>
            <w:r w:rsidRPr="00B542CD">
              <w:rPr>
                <w:rFonts w:ascii="Times New Roman" w:hAnsi="Times New Roman" w:cs="Times New Roman"/>
                <w:sz w:val="16"/>
                <w:szCs w:val="16"/>
                <w:lang w:eastAsia="en-GB"/>
              </w:rPr>
              <w:t xml:space="preserve"> (Rm1), </w:t>
            </w:r>
            <w:proofErr w:type="spellStart"/>
            <w:r w:rsidRPr="00B542CD">
              <w:rPr>
                <w:rFonts w:ascii="Times New Roman" w:hAnsi="Times New Roman" w:cs="Times New Roman"/>
                <w:sz w:val="16"/>
                <w:szCs w:val="16"/>
                <w:lang w:eastAsia="en-GB"/>
              </w:rPr>
              <w:t>sLyon</w:t>
            </w:r>
            <w:proofErr w:type="spellEnd"/>
            <w:r w:rsidRPr="00B542CD">
              <w:rPr>
                <w:rFonts w:ascii="Times New Roman" w:hAnsi="Times New Roman" w:cs="Times New Roman"/>
                <w:sz w:val="16"/>
                <w:szCs w:val="16"/>
                <w:lang w:eastAsia="en-GB"/>
              </w:rPr>
              <w:t xml:space="preserve"> (Rm2, </w:t>
            </w:r>
            <m:oMath>
              <m:r>
                <w:rPr>
                  <w:rFonts w:ascii="Cambria Math" w:hAnsi="Cambria Math" w:cs="Times New Roman"/>
                  <w:sz w:val="16"/>
                  <w:szCs w:val="16"/>
                  <w:lang w:eastAsia="en-GB"/>
                </w:rPr>
                <m:t>t&lt;5)</m:t>
              </m:r>
            </m:oMath>
            <w:r w:rsidRPr="00B542CD">
              <w:rPr>
                <w:rFonts w:ascii="Times New Roman" w:hAnsi="Times New Roman" w:cs="Times New Roman"/>
                <w:sz w:val="16"/>
                <w:szCs w:val="16"/>
                <w:lang w:eastAsia="en-GB"/>
              </w:rPr>
              <w:t xml:space="preserve">, sTexas (Rm2, </w:t>
            </w:r>
            <m:oMath>
              <m:r>
                <w:rPr>
                  <w:rFonts w:ascii="Cambria Math" w:hAnsi="Cambria Math" w:cs="Times New Roman"/>
                  <w:sz w:val="16"/>
                  <w:szCs w:val="16"/>
                  <w:lang w:eastAsia="en-GB"/>
                </w:rPr>
                <m:t>t≥5</m:t>
              </m:r>
            </m:oMath>
            <w:r w:rsidRPr="00B542CD">
              <w:rPr>
                <w:rFonts w:ascii="Times New Roman" w:eastAsiaTheme="minorEastAsia" w:hAnsi="Times New Roman" w:cs="Times New Roman"/>
                <w:iCs/>
                <w:sz w:val="16"/>
                <w:szCs w:val="16"/>
                <w:lang w:eastAsia="en-GB"/>
              </w:rPr>
              <w:t>)</w:t>
            </w:r>
            <w:r w:rsidRPr="00B542CD">
              <w:rPr>
                <w:rFonts w:ascii="Times New Roman" w:hAnsi="Times New Roman" w:cs="Times New Roman"/>
                <w:sz w:val="16"/>
                <w:szCs w:val="16"/>
                <w:lang w:eastAsia="en-GB"/>
              </w:rPr>
              <w:t xml:space="preserve">, </w:t>
            </w:r>
            <w:proofErr w:type="spellStart"/>
            <w:r w:rsidRPr="00B542CD">
              <w:rPr>
                <w:rFonts w:ascii="Times New Roman" w:hAnsi="Times New Roman" w:cs="Times New Roman"/>
                <w:sz w:val="16"/>
                <w:szCs w:val="16"/>
                <w:lang w:eastAsia="en-GB"/>
              </w:rPr>
              <w:t>sLyon</w:t>
            </w:r>
            <w:proofErr w:type="spellEnd"/>
            <w:r w:rsidRPr="00B542CD">
              <w:rPr>
                <w:rFonts w:ascii="Times New Roman" w:hAnsi="Times New Roman" w:cs="Times New Roman"/>
                <w:sz w:val="16"/>
                <w:szCs w:val="16"/>
                <w:lang w:eastAsia="en-GB"/>
              </w:rPr>
              <w:t xml:space="preserve"> (Rm3), </w:t>
            </w:r>
            <w:proofErr w:type="spellStart"/>
            <w:r w:rsidRPr="00B542CD">
              <w:rPr>
                <w:rFonts w:ascii="Times New Roman" w:hAnsi="Times New Roman" w:cs="Times New Roman"/>
                <w:sz w:val="16"/>
                <w:szCs w:val="16"/>
                <w:lang w:eastAsia="en-GB"/>
              </w:rPr>
              <w:t>sEssen</w:t>
            </w:r>
            <w:proofErr w:type="spellEnd"/>
            <w:r w:rsidRPr="00B542CD">
              <w:rPr>
                <w:rFonts w:ascii="Times New Roman" w:hAnsi="Times New Roman" w:cs="Times New Roman"/>
                <w:sz w:val="16"/>
                <w:szCs w:val="16"/>
                <w:lang w:eastAsia="en-GB"/>
              </w:rPr>
              <w:t xml:space="preserve"> (Rm4</w:t>
            </w:r>
            <w:proofErr w:type="gramStart"/>
            <w:r w:rsidRPr="00B542CD">
              <w:rPr>
                <w:rFonts w:ascii="Times New Roman" w:hAnsi="Times New Roman" w:cs="Times New Roman"/>
                <w:sz w:val="16"/>
                <w:szCs w:val="16"/>
                <w:lang w:eastAsia="en-GB"/>
              </w:rPr>
              <w:t>);</w:t>
            </w:r>
            <w:proofErr w:type="gramEnd"/>
          </w:p>
          <w:p w14:paraId="766D3851" w14:textId="77777777" w:rsidR="000C727D" w:rsidRPr="00B542CD" w:rsidRDefault="000C727D" w:rsidP="00425F2A">
            <w:pPr>
              <w:jc w:val="center"/>
              <w:rPr>
                <w:rFonts w:ascii="Times New Roman" w:hAnsi="Times New Roman" w:cs="Times New Roman"/>
                <w:sz w:val="16"/>
                <w:szCs w:val="16"/>
                <w:lang w:eastAsia="en-GB"/>
              </w:rPr>
            </w:pPr>
            <w:proofErr w:type="spellStart"/>
            <w:r w:rsidRPr="00B542CD">
              <w:rPr>
                <w:rFonts w:ascii="Times New Roman" w:hAnsi="Times New Roman" w:cs="Times New Roman"/>
                <w:sz w:val="16"/>
                <w:szCs w:val="16"/>
                <w:lang w:eastAsia="en-GB"/>
              </w:rPr>
              <w:t>fFrance</w:t>
            </w:r>
            <w:proofErr w:type="spellEnd"/>
          </w:p>
        </w:tc>
        <w:tc>
          <w:tcPr>
            <w:tcW w:w="2116" w:type="dxa"/>
            <w:tcBorders>
              <w:left w:val="single" w:sz="4" w:space="0" w:color="FFFFFF"/>
            </w:tcBorders>
            <w:vAlign w:val="center"/>
          </w:tcPr>
          <w:p w14:paraId="57168571" w14:textId="77777777" w:rsidR="000C727D" w:rsidRPr="00B542CD" w:rsidRDefault="000C727D" w:rsidP="00425F2A">
            <w:pPr>
              <w:jc w:val="center"/>
              <w:rPr>
                <w:rFonts w:ascii="Times New Roman" w:hAnsi="Times New Roman" w:cs="Times New Roman"/>
                <w:sz w:val="16"/>
                <w:szCs w:val="16"/>
                <w:lang w:eastAsia="en-GB"/>
              </w:rPr>
            </w:pPr>
            <w:proofErr w:type="spellStart"/>
            <w:r w:rsidRPr="00B542CD">
              <w:rPr>
                <w:rFonts w:ascii="Times New Roman" w:hAnsi="Times New Roman" w:cs="Times New Roman"/>
                <w:sz w:val="16"/>
                <w:szCs w:val="16"/>
                <w:lang w:eastAsia="en-GB"/>
              </w:rPr>
              <w:t>sUK</w:t>
            </w:r>
            <w:proofErr w:type="spellEnd"/>
            <w:r w:rsidRPr="00B542CD">
              <w:rPr>
                <w:rFonts w:ascii="Times New Roman" w:hAnsi="Times New Roman" w:cs="Times New Roman"/>
                <w:sz w:val="16"/>
                <w:szCs w:val="16"/>
                <w:lang w:eastAsia="en-GB"/>
              </w:rPr>
              <w:t xml:space="preserve"> (Rm1), </w:t>
            </w:r>
            <w:proofErr w:type="spellStart"/>
            <w:r w:rsidRPr="00B542CD">
              <w:rPr>
                <w:rFonts w:ascii="Times New Roman" w:hAnsi="Times New Roman" w:cs="Times New Roman"/>
                <w:sz w:val="16"/>
                <w:szCs w:val="16"/>
                <w:lang w:eastAsia="en-GB"/>
              </w:rPr>
              <w:t>sLyon</w:t>
            </w:r>
            <w:proofErr w:type="spellEnd"/>
            <w:r w:rsidRPr="00B542CD">
              <w:rPr>
                <w:rFonts w:ascii="Times New Roman" w:hAnsi="Times New Roman" w:cs="Times New Roman"/>
                <w:sz w:val="16"/>
                <w:szCs w:val="16"/>
                <w:lang w:eastAsia="en-GB"/>
              </w:rPr>
              <w:t xml:space="preserve"> (Rm2, </w:t>
            </w:r>
            <m:oMath>
              <m:r>
                <w:rPr>
                  <w:rFonts w:ascii="Cambria Math" w:hAnsi="Cambria Math" w:cs="Times New Roman"/>
                  <w:sz w:val="16"/>
                  <w:szCs w:val="16"/>
                  <w:lang w:eastAsia="en-GB"/>
                </w:rPr>
                <m:t>t&lt;5)</m:t>
              </m:r>
            </m:oMath>
            <w:r w:rsidRPr="00B542CD">
              <w:rPr>
                <w:rFonts w:ascii="Times New Roman" w:hAnsi="Times New Roman" w:cs="Times New Roman"/>
                <w:sz w:val="16"/>
                <w:szCs w:val="16"/>
                <w:lang w:eastAsia="en-GB"/>
              </w:rPr>
              <w:t xml:space="preserve">, sTexas (Rm2, </w:t>
            </w:r>
            <m:oMath>
              <m:r>
                <w:rPr>
                  <w:rFonts w:ascii="Cambria Math" w:hAnsi="Cambria Math" w:cs="Times New Roman"/>
                  <w:sz w:val="16"/>
                  <w:szCs w:val="16"/>
                  <w:lang w:eastAsia="en-GB"/>
                </w:rPr>
                <m:t>t≥5</m:t>
              </m:r>
            </m:oMath>
            <w:r w:rsidRPr="00B542CD">
              <w:rPr>
                <w:rFonts w:ascii="Times New Roman" w:eastAsiaTheme="minorEastAsia" w:hAnsi="Times New Roman" w:cs="Times New Roman"/>
                <w:iCs/>
                <w:sz w:val="16"/>
                <w:szCs w:val="16"/>
                <w:lang w:eastAsia="en-GB"/>
              </w:rPr>
              <w:t>)</w:t>
            </w:r>
            <w:r w:rsidRPr="00B542CD">
              <w:rPr>
                <w:rFonts w:ascii="Times New Roman" w:hAnsi="Times New Roman" w:cs="Times New Roman"/>
                <w:sz w:val="16"/>
                <w:szCs w:val="16"/>
                <w:lang w:eastAsia="en-GB"/>
              </w:rPr>
              <w:t xml:space="preserve">, </w:t>
            </w:r>
            <w:proofErr w:type="spellStart"/>
            <w:r w:rsidRPr="00B542CD">
              <w:rPr>
                <w:rFonts w:ascii="Times New Roman" w:hAnsi="Times New Roman" w:cs="Times New Roman"/>
                <w:sz w:val="16"/>
                <w:szCs w:val="16"/>
                <w:lang w:eastAsia="en-GB"/>
              </w:rPr>
              <w:t>sLyon</w:t>
            </w:r>
            <w:proofErr w:type="spellEnd"/>
            <w:r w:rsidRPr="00B542CD">
              <w:rPr>
                <w:rFonts w:ascii="Times New Roman" w:hAnsi="Times New Roman" w:cs="Times New Roman"/>
                <w:sz w:val="16"/>
                <w:szCs w:val="16"/>
                <w:lang w:eastAsia="en-GB"/>
              </w:rPr>
              <w:t xml:space="preserve"> (Rm3), </w:t>
            </w:r>
            <w:proofErr w:type="spellStart"/>
            <w:r w:rsidRPr="00B542CD">
              <w:rPr>
                <w:rFonts w:ascii="Times New Roman" w:hAnsi="Times New Roman" w:cs="Times New Roman"/>
                <w:sz w:val="16"/>
                <w:szCs w:val="16"/>
                <w:lang w:eastAsia="en-GB"/>
              </w:rPr>
              <w:t>sEssen</w:t>
            </w:r>
            <w:proofErr w:type="spellEnd"/>
            <w:r w:rsidRPr="00B542CD">
              <w:rPr>
                <w:rFonts w:ascii="Times New Roman" w:hAnsi="Times New Roman" w:cs="Times New Roman"/>
                <w:sz w:val="16"/>
                <w:szCs w:val="16"/>
                <w:lang w:eastAsia="en-GB"/>
              </w:rPr>
              <w:t xml:space="preserve"> (Rm4, </w:t>
            </w:r>
            <m:oMath>
              <m:r>
                <w:rPr>
                  <w:rFonts w:ascii="Cambria Math" w:hAnsi="Cambria Math" w:cs="Times New Roman"/>
                  <w:sz w:val="16"/>
                  <w:szCs w:val="16"/>
                  <w:lang w:eastAsia="en-GB"/>
                </w:rPr>
                <m:t>t&lt;5</m:t>
              </m:r>
            </m:oMath>
            <w:r w:rsidRPr="00B542CD">
              <w:rPr>
                <w:rFonts w:ascii="Times New Roman" w:hAnsi="Times New Roman" w:cs="Times New Roman"/>
                <w:sz w:val="16"/>
                <w:szCs w:val="16"/>
                <w:lang w:eastAsia="en-GB"/>
              </w:rPr>
              <w:t>), sMumbai (Rm4,</w:t>
            </w:r>
            <w:r w:rsidRPr="00B542CD">
              <w:rPr>
                <w:rFonts w:ascii="Times New Roman" w:hAnsi="Times New Roman" w:cs="Times New Roman"/>
                <w:i/>
                <w:sz w:val="16"/>
                <w:szCs w:val="16"/>
                <w:lang w:eastAsia="en-GB"/>
              </w:rPr>
              <w:t xml:space="preserve"> </w:t>
            </w:r>
            <m:oMath>
              <m:r>
                <w:rPr>
                  <w:rFonts w:ascii="Cambria Math" w:hAnsi="Cambria Math" w:cs="Times New Roman"/>
                  <w:sz w:val="16"/>
                  <w:szCs w:val="16"/>
                  <w:lang w:eastAsia="en-GB"/>
                </w:rPr>
                <m:t>t≥5</m:t>
              </m:r>
            </m:oMath>
            <w:r w:rsidRPr="00B542CD">
              <w:rPr>
                <w:rFonts w:ascii="Times New Roman" w:hAnsi="Times New Roman" w:cs="Times New Roman"/>
                <w:sz w:val="16"/>
                <w:szCs w:val="16"/>
                <w:lang w:eastAsia="en-GB"/>
              </w:rPr>
              <w:t>); fFrance</w:t>
            </w:r>
          </w:p>
        </w:tc>
      </w:tr>
    </w:tbl>
    <w:p w14:paraId="1FEE6AB4" w14:textId="005D36F5" w:rsidR="000C727D" w:rsidRPr="00B542CD" w:rsidRDefault="000C727D" w:rsidP="000C727D">
      <w:pPr>
        <w:jc w:val="both"/>
        <w:rPr>
          <w:sz w:val="16"/>
          <w:szCs w:val="16"/>
          <w:lang w:eastAsia="en-GB"/>
        </w:rPr>
      </w:pPr>
      <w:r w:rsidRPr="00B542CD">
        <w:rPr>
          <w:sz w:val="16"/>
          <w:szCs w:val="16"/>
          <w:lang w:eastAsia="en-GB"/>
        </w:rPr>
        <w:t xml:space="preserve">*Percentual increase on the price of raw materials by suppliers chosen in scenario 1 – </w:t>
      </w:r>
      <w:r w:rsidR="002F6F40" w:rsidRPr="00B542CD">
        <w:rPr>
          <w:sz w:val="16"/>
          <w:szCs w:val="16"/>
          <w:lang w:eastAsia="en-GB"/>
        </w:rPr>
        <w:t>C</w:t>
      </w:r>
      <w:r w:rsidRPr="00B542CD">
        <w:rPr>
          <w:sz w:val="16"/>
          <w:szCs w:val="16"/>
          <w:lang w:eastAsia="en-GB"/>
        </w:rPr>
        <w:t>ase A</w:t>
      </w:r>
      <w:r w:rsidR="00923E81" w:rsidRPr="00B542CD">
        <w:rPr>
          <w:sz w:val="16"/>
          <w:szCs w:val="16"/>
          <w:lang w:eastAsia="en-GB"/>
        </w:rPr>
        <w:t xml:space="preserve">, </w:t>
      </w:r>
      <w:r w:rsidR="00ED4326" w:rsidRPr="00B542CD">
        <w:rPr>
          <w:sz w:val="16"/>
          <w:szCs w:val="16"/>
          <w:lang w:eastAsia="en-GB"/>
        </w:rPr>
        <w:t>introduced in period 5 of a total planning period of 10 years.</w:t>
      </w:r>
    </w:p>
    <w:p w14:paraId="74CC30AC" w14:textId="7859A213" w:rsidR="00AE2B50" w:rsidRPr="00B542CD" w:rsidRDefault="00DA07DF" w:rsidP="009F1A49">
      <w:pPr>
        <w:spacing w:before="120" w:after="60"/>
        <w:jc w:val="both"/>
        <w:rPr>
          <w:lang w:eastAsia="en-GB"/>
        </w:rPr>
      </w:pPr>
      <w:r w:rsidRPr="00B542CD">
        <w:rPr>
          <w:lang w:eastAsia="en-GB"/>
        </w:rPr>
        <w:t xml:space="preserve">An increase in the </w:t>
      </w:r>
      <w:r w:rsidR="00B877B6" w:rsidRPr="00B542CD">
        <w:rPr>
          <w:lang w:eastAsia="en-GB"/>
        </w:rPr>
        <w:t>cost</w:t>
      </w:r>
      <w:r w:rsidRPr="00B542CD">
        <w:rPr>
          <w:lang w:eastAsia="en-GB"/>
        </w:rPr>
        <w:t xml:space="preserve"> of </w:t>
      </w:r>
      <w:r w:rsidR="00B877B6" w:rsidRPr="00B542CD">
        <w:rPr>
          <w:lang w:eastAsia="en-GB"/>
        </w:rPr>
        <w:t xml:space="preserve">purchased </w:t>
      </w:r>
      <w:r w:rsidRPr="00B542CD">
        <w:rPr>
          <w:lang w:eastAsia="en-GB"/>
        </w:rPr>
        <w:t>raw materials may lead to an increase in the price of the final product</w:t>
      </w:r>
      <w:r w:rsidR="003A1EFC" w:rsidRPr="00B542CD">
        <w:rPr>
          <w:lang w:eastAsia="en-GB"/>
        </w:rPr>
        <w:t xml:space="preserve"> </w:t>
      </w:r>
      <w:r w:rsidRPr="00B542CD">
        <w:rPr>
          <w:lang w:eastAsia="en-GB"/>
        </w:rPr>
        <w:t>as a strategy for the company to recover the profit lost.</w:t>
      </w:r>
      <w:r w:rsidR="00864262" w:rsidRPr="00B542CD">
        <w:rPr>
          <w:lang w:eastAsia="en-GB"/>
        </w:rPr>
        <w:t xml:space="preserve"> </w:t>
      </w:r>
      <w:r w:rsidRPr="00B542CD">
        <w:rPr>
          <w:lang w:eastAsia="en-GB"/>
        </w:rPr>
        <w:t xml:space="preserve">This study proposes to account not only for the economic performance of a company, but also to consider social concerns related with availability and affordability of pharmaceutical products. </w:t>
      </w:r>
      <w:r w:rsidR="00D163A1" w:rsidRPr="00B542CD">
        <w:rPr>
          <w:lang w:eastAsia="en-GB"/>
        </w:rPr>
        <w:t>In scenario 2, a 60% increase in the raw material cost provided by the initially selected suppliers in the base scenario was introduced. Building upon this,</w:t>
      </w:r>
      <w:r w:rsidR="00AE2B50" w:rsidRPr="00B542CD">
        <w:rPr>
          <w:lang w:eastAsia="en-GB"/>
        </w:rPr>
        <w:t xml:space="preserve"> </w:t>
      </w:r>
      <w:r w:rsidR="00D163A1" w:rsidRPr="00B542CD">
        <w:rPr>
          <w:b/>
          <w:bCs/>
          <w:lang w:eastAsia="en-GB"/>
        </w:rPr>
        <w:t>scenario 3</w:t>
      </w:r>
      <w:r w:rsidR="00D163A1" w:rsidRPr="00B542CD">
        <w:rPr>
          <w:lang w:eastAsia="en-GB"/>
        </w:rPr>
        <w:t xml:space="preserve"> introduces an additional variation of the price of the final vaccine in each market. </w:t>
      </w:r>
      <w:r w:rsidR="002649F0" w:rsidRPr="00B542CD">
        <w:rPr>
          <w:lang w:eastAsia="en-GB"/>
        </w:rPr>
        <w:t xml:space="preserve">These variations </w:t>
      </w:r>
      <w:r w:rsidR="00461E39" w:rsidRPr="00B542CD">
        <w:rPr>
          <w:lang w:eastAsia="en-GB"/>
        </w:rPr>
        <w:t>include an</w:t>
      </w:r>
      <w:r w:rsidR="00A417C9" w:rsidRPr="00B542CD">
        <w:rPr>
          <w:lang w:eastAsia="en-GB"/>
        </w:rPr>
        <w:t xml:space="preserve"> </w:t>
      </w:r>
      <w:r w:rsidRPr="00B542CD">
        <w:rPr>
          <w:lang w:eastAsia="en-GB"/>
        </w:rPr>
        <w:t>increase of 2% in the price of the vaccine for</w:t>
      </w:r>
      <w:r w:rsidR="003C1876" w:rsidRPr="00B542CD">
        <w:rPr>
          <w:lang w:eastAsia="en-GB"/>
        </w:rPr>
        <w:t xml:space="preserve"> high income markets,</w:t>
      </w:r>
      <w:r w:rsidRPr="00B542CD">
        <w:rPr>
          <w:lang w:eastAsia="en-GB"/>
        </w:rPr>
        <w:t xml:space="preserve"> </w:t>
      </w:r>
      <w:proofErr w:type="gramStart"/>
      <w:r w:rsidRPr="00B542CD">
        <w:rPr>
          <w:lang w:eastAsia="en-GB"/>
        </w:rPr>
        <w:t>U.S.</w:t>
      </w:r>
      <w:proofErr w:type="gramEnd"/>
      <w:r w:rsidRPr="00B542CD">
        <w:rPr>
          <w:lang w:eastAsia="en-GB"/>
        </w:rPr>
        <w:t xml:space="preserve"> and Australia</w:t>
      </w:r>
      <w:r w:rsidR="003C1876" w:rsidRPr="00B542CD">
        <w:rPr>
          <w:lang w:eastAsia="en-GB"/>
        </w:rPr>
        <w:t>,</w:t>
      </w:r>
      <w:r w:rsidRPr="00B542CD">
        <w:rPr>
          <w:lang w:eastAsia="en-GB"/>
        </w:rPr>
        <w:t xml:space="preserve"> whereas </w:t>
      </w:r>
      <w:r w:rsidR="003C1876" w:rsidRPr="00B542CD">
        <w:rPr>
          <w:lang w:eastAsia="en-GB"/>
        </w:rPr>
        <w:t>a decrease of 15% is applied to the remaining markets</w:t>
      </w:r>
      <w:r w:rsidRPr="00B542CD">
        <w:rPr>
          <w:lang w:eastAsia="en-GB"/>
        </w:rPr>
        <w:t>. These price variations are introduced in the 5</w:t>
      </w:r>
      <w:r w:rsidR="003C1876" w:rsidRPr="00B542CD">
        <w:rPr>
          <w:vertAlign w:val="superscript"/>
          <w:lang w:eastAsia="en-GB"/>
        </w:rPr>
        <w:t>th</w:t>
      </w:r>
      <w:r w:rsidR="003C1876" w:rsidRPr="00B542CD">
        <w:rPr>
          <w:lang w:eastAsia="en-GB"/>
        </w:rPr>
        <w:t xml:space="preserve"> year</w:t>
      </w:r>
      <w:r w:rsidRPr="00B542CD">
        <w:rPr>
          <w:lang w:eastAsia="en-GB"/>
        </w:rPr>
        <w:t xml:space="preserve"> of a planning period of 10 years</w:t>
      </w:r>
      <w:r w:rsidR="004536B7" w:rsidRPr="00B542CD">
        <w:rPr>
          <w:lang w:eastAsia="en-GB"/>
        </w:rPr>
        <w:t>.</w:t>
      </w:r>
    </w:p>
    <w:p w14:paraId="309D84D8" w14:textId="363BA2C0" w:rsidR="00DA07DF" w:rsidRPr="00B542CD" w:rsidRDefault="00DA07DF" w:rsidP="009F1A49">
      <w:pPr>
        <w:spacing w:before="120" w:after="60"/>
        <w:jc w:val="both"/>
        <w:rPr>
          <w:lang w:eastAsia="en-GB"/>
        </w:rPr>
      </w:pPr>
      <w:r w:rsidRPr="00B542CD">
        <w:rPr>
          <w:lang w:eastAsia="en-GB"/>
        </w:rPr>
        <w:lastRenderedPageBreak/>
        <w:t>The same supply chain structure was obta</w:t>
      </w:r>
      <w:r w:rsidR="00332265" w:rsidRPr="00B542CD">
        <w:rPr>
          <w:lang w:eastAsia="en-GB"/>
        </w:rPr>
        <w:t>ine</w:t>
      </w:r>
      <w:r w:rsidRPr="00B542CD">
        <w:rPr>
          <w:lang w:eastAsia="en-GB"/>
        </w:rPr>
        <w:t xml:space="preserve">d </w:t>
      </w:r>
      <w:r w:rsidR="000C6537" w:rsidRPr="00B542CD">
        <w:rPr>
          <w:lang w:eastAsia="en-GB"/>
        </w:rPr>
        <w:t xml:space="preserve">but with </w:t>
      </w:r>
      <w:r w:rsidRPr="00B542CD">
        <w:rPr>
          <w:lang w:eastAsia="en-GB"/>
        </w:rPr>
        <w:t>different demand responses</w:t>
      </w:r>
      <w:r w:rsidR="000C6537" w:rsidRPr="00B542CD">
        <w:rPr>
          <w:lang w:eastAsia="en-GB"/>
        </w:rPr>
        <w:t xml:space="preserve">, </w:t>
      </w:r>
      <w:r w:rsidRPr="00B542CD">
        <w:rPr>
          <w:lang w:eastAsia="en-GB"/>
        </w:rPr>
        <w:t>depending on the market and its sensitivity to the introduced price</w:t>
      </w:r>
      <w:r w:rsidR="000C6537" w:rsidRPr="00B542CD">
        <w:rPr>
          <w:lang w:eastAsia="en-GB"/>
        </w:rPr>
        <w:t xml:space="preserve"> variations</w:t>
      </w:r>
      <w:r w:rsidR="004C0C5B" w:rsidRPr="00B542CD">
        <w:rPr>
          <w:lang w:eastAsia="en-GB"/>
        </w:rPr>
        <w:t>.</w:t>
      </w:r>
      <w:r w:rsidRPr="00B542CD">
        <w:rPr>
          <w:lang w:eastAsia="en-GB"/>
        </w:rPr>
        <w:t xml:space="preserve"> In the markets where a price decrease of 15% was introduced, demand </w:t>
      </w:r>
      <w:r w:rsidR="00850545" w:rsidRPr="00B542CD">
        <w:rPr>
          <w:lang w:eastAsia="en-GB"/>
        </w:rPr>
        <w:t xml:space="preserve">rose by </w:t>
      </w:r>
      <w:r w:rsidRPr="00B542CD">
        <w:rPr>
          <w:lang w:eastAsia="en-GB"/>
        </w:rPr>
        <w:t>10.5% in Middle East, 1.96% in Europe and 0.75% in Africa</w:t>
      </w:r>
      <w:r w:rsidR="00FE5394" w:rsidRPr="00B542CD">
        <w:rPr>
          <w:lang w:eastAsia="en-GB"/>
        </w:rPr>
        <w:t>, therefore increasing the affordability of this vaccine to these markets</w:t>
      </w:r>
      <w:r w:rsidR="00850545" w:rsidRPr="00B542CD">
        <w:rPr>
          <w:lang w:eastAsia="en-GB"/>
        </w:rPr>
        <w:t>.</w:t>
      </w:r>
      <w:r w:rsidRPr="00B542CD">
        <w:rPr>
          <w:lang w:eastAsia="en-GB"/>
        </w:rPr>
        <w:t xml:space="preserve"> On the other hand, a demand </w:t>
      </w:r>
      <w:proofErr w:type="gramStart"/>
      <w:r w:rsidR="00425F2A" w:rsidRPr="00B542CD">
        <w:rPr>
          <w:lang w:eastAsia="en-GB"/>
        </w:rPr>
        <w:t>decrease</w:t>
      </w:r>
      <w:proofErr w:type="gramEnd"/>
      <w:r w:rsidRPr="00B542CD">
        <w:rPr>
          <w:lang w:eastAsia="en-GB"/>
        </w:rPr>
        <w:t xml:space="preserve"> of 9% in U.S. and 7% in Australia was obtained due to a price increase of 2%. Although the effect of the same variation results in consistent </w:t>
      </w:r>
      <w:r w:rsidR="00316076" w:rsidRPr="00B542CD">
        <w:rPr>
          <w:lang w:eastAsia="en-GB"/>
        </w:rPr>
        <w:t>behaviour</w:t>
      </w:r>
      <w:r w:rsidRPr="00B542CD">
        <w:rPr>
          <w:lang w:eastAsia="en-GB"/>
        </w:rPr>
        <w:t xml:space="preserve"> among markets, the magnitude of these responses is distinct, depending on the demand-price elasticities experienced by each market. The increase in the price of the vaccine being distributed and sold to the high-income markets of </w:t>
      </w:r>
      <w:r w:rsidR="00654EB0" w:rsidRPr="00B542CD">
        <w:rPr>
          <w:lang w:eastAsia="en-GB"/>
        </w:rPr>
        <w:t xml:space="preserve">the </w:t>
      </w:r>
      <w:r w:rsidRPr="00B542CD">
        <w:rPr>
          <w:lang w:eastAsia="en-GB"/>
        </w:rPr>
        <w:t>U.S. and Australia leads to a decrease in the demand of these markets which can be explained by the existence of substitute vaccines produced by other companies in these two markets. This means that for the vaccine under consideration, the markets with greater purchasing power and higher affordability levels, are also the markets with higher product availability, leading to a higher sensitivity to price variations (higher elasticity coefficients).</w:t>
      </w:r>
      <w:r w:rsidR="00F94F00" w:rsidRPr="00B542CD">
        <w:rPr>
          <w:lang w:eastAsia="en-GB"/>
        </w:rPr>
        <w:t xml:space="preserve"> </w:t>
      </w:r>
      <w:r w:rsidRPr="00B542CD">
        <w:rPr>
          <w:lang w:eastAsia="en-GB"/>
        </w:rPr>
        <w:t xml:space="preserve">Hence, the markets’ response to the variations introduced results in </w:t>
      </w:r>
      <w:r w:rsidR="001720E5" w:rsidRPr="00B542CD">
        <w:rPr>
          <w:lang w:eastAsia="en-GB"/>
        </w:rPr>
        <w:t xml:space="preserve">a </w:t>
      </w:r>
      <w:r w:rsidR="009C4691" w:rsidRPr="00B542CD">
        <w:rPr>
          <w:lang w:eastAsia="en-GB"/>
        </w:rPr>
        <w:t>6</w:t>
      </w:r>
      <w:r w:rsidRPr="00B542CD">
        <w:rPr>
          <w:lang w:eastAsia="en-GB"/>
        </w:rPr>
        <w:t xml:space="preserve">% decrease </w:t>
      </w:r>
      <w:r w:rsidR="002A6A22" w:rsidRPr="00B542CD">
        <w:rPr>
          <w:lang w:eastAsia="en-GB"/>
        </w:rPr>
        <w:t xml:space="preserve">in NPV </w:t>
      </w:r>
      <w:r w:rsidRPr="00B542CD">
        <w:rPr>
          <w:lang w:eastAsia="en-GB"/>
        </w:rPr>
        <w:t xml:space="preserve">compared to </w:t>
      </w:r>
      <w:r w:rsidR="002A6A22" w:rsidRPr="00B542CD">
        <w:rPr>
          <w:lang w:eastAsia="en-GB"/>
        </w:rPr>
        <w:t>the base scenario</w:t>
      </w:r>
      <w:r w:rsidRPr="00B542CD">
        <w:rPr>
          <w:lang w:eastAsia="en-GB"/>
        </w:rPr>
        <w:t xml:space="preserve">. </w:t>
      </w:r>
      <w:r w:rsidR="001720E5" w:rsidRPr="00B542CD">
        <w:rPr>
          <w:lang w:eastAsia="en-GB"/>
        </w:rPr>
        <w:t>In</w:t>
      </w:r>
      <w:r w:rsidRPr="00B542CD">
        <w:rPr>
          <w:lang w:eastAsia="en-GB"/>
        </w:rPr>
        <w:t xml:space="preserve"> conclusion, </w:t>
      </w:r>
      <w:r w:rsidR="001720E5" w:rsidRPr="00B542CD">
        <w:rPr>
          <w:lang w:eastAsia="en-GB"/>
        </w:rPr>
        <w:t xml:space="preserve">to offset the profit loss from increased raw material costs, the </w:t>
      </w:r>
      <w:r w:rsidRPr="00B542CD">
        <w:rPr>
          <w:lang w:eastAsia="en-GB"/>
        </w:rPr>
        <w:t xml:space="preserve">company </w:t>
      </w:r>
      <w:r w:rsidR="001720E5" w:rsidRPr="00B542CD">
        <w:rPr>
          <w:lang w:eastAsia="en-GB"/>
        </w:rPr>
        <w:t xml:space="preserve">should consider more effective strategies other than raising prices in </w:t>
      </w:r>
      <w:r w:rsidRPr="00B542CD">
        <w:rPr>
          <w:lang w:eastAsia="en-GB"/>
        </w:rPr>
        <w:t>higher purchasing power</w:t>
      </w:r>
      <w:r w:rsidR="001720E5" w:rsidRPr="00B542CD">
        <w:rPr>
          <w:lang w:eastAsia="en-GB"/>
        </w:rPr>
        <w:t xml:space="preserve"> markets</w:t>
      </w:r>
      <w:r w:rsidRPr="00B542CD">
        <w:rPr>
          <w:lang w:eastAsia="en-GB"/>
        </w:rPr>
        <w:t>.</w:t>
      </w:r>
      <w:r w:rsidR="001720E5" w:rsidRPr="00B542CD">
        <w:rPr>
          <w:lang w:eastAsia="en-GB"/>
        </w:rPr>
        <w:t xml:space="preserve"> </w:t>
      </w:r>
    </w:p>
    <w:p w14:paraId="513EDFFA" w14:textId="0E174868" w:rsidR="00314241" w:rsidRPr="00B542CD" w:rsidRDefault="00DA07DF" w:rsidP="00923E81">
      <w:pPr>
        <w:pStyle w:val="Els-1storder-head"/>
        <w:spacing w:before="120"/>
        <w:rPr>
          <w:lang w:val="en-GB"/>
        </w:rPr>
      </w:pPr>
      <w:r w:rsidRPr="00B542CD">
        <w:rPr>
          <w:lang w:val="en-GB"/>
        </w:rPr>
        <w:t>Conclusions</w:t>
      </w:r>
    </w:p>
    <w:p w14:paraId="255BC2F2" w14:textId="241787AF" w:rsidR="00F22D73" w:rsidRPr="00B542CD" w:rsidRDefault="00F22D73" w:rsidP="00F22D73">
      <w:pPr>
        <w:autoSpaceDE w:val="0"/>
        <w:autoSpaceDN w:val="0"/>
        <w:adjustRightInd w:val="0"/>
        <w:spacing w:line="259" w:lineRule="auto"/>
        <w:jc w:val="both"/>
        <w:rPr>
          <w:rFonts w:eastAsia="Calibri"/>
          <w:kern w:val="2"/>
          <w:lang w:val="en-US" w:eastAsia="en-GB"/>
          <w14:ligatures w14:val="standardContextual"/>
        </w:rPr>
      </w:pPr>
      <w:r w:rsidRPr="00B542CD">
        <w:rPr>
          <w:rFonts w:eastAsia="Calibri"/>
          <w:kern w:val="2"/>
          <w:lang w:val="en-US" w:eastAsia="en-GB"/>
          <w14:ligatures w14:val="standardContextual"/>
        </w:rPr>
        <w:t>This work proposes an optimization model for the design and planning of economically and socially sustainable supply chains. Different scenarios are proposed which reveal the importance of having efficient procurement strategies that allow a company to reduce the risk associated with raw materials supply, such as increased costs or disruptive situations. Moreover, this study highlights the importance and impact of considering</w:t>
      </w:r>
      <w:r w:rsidR="003E3143" w:rsidRPr="00B542CD">
        <w:rPr>
          <w:rFonts w:eastAsia="Calibri"/>
          <w:kern w:val="2"/>
          <w:lang w:val="en-US" w:eastAsia="en-GB"/>
          <w14:ligatures w14:val="standardContextual"/>
        </w:rPr>
        <w:t xml:space="preserve"> both economic and social concerns </w:t>
      </w:r>
      <w:r w:rsidRPr="00B542CD">
        <w:rPr>
          <w:rFonts w:eastAsia="Calibri"/>
          <w:kern w:val="2"/>
          <w:lang w:val="en-US" w:eastAsia="en-GB"/>
          <w14:ligatures w14:val="standardContextual"/>
        </w:rPr>
        <w:t xml:space="preserve">when designing and planning pharmaceutical supply chains. </w:t>
      </w:r>
    </w:p>
    <w:p w14:paraId="5292B029" w14:textId="77777777" w:rsidR="00786DE3" w:rsidRPr="00B542CD" w:rsidRDefault="00786DE3" w:rsidP="00923E81">
      <w:pPr>
        <w:autoSpaceDE w:val="0"/>
        <w:autoSpaceDN w:val="0"/>
        <w:adjustRightInd w:val="0"/>
        <w:spacing w:before="120" w:after="60"/>
        <w:jc w:val="both"/>
        <w:rPr>
          <w:sz w:val="19"/>
          <w:szCs w:val="19"/>
        </w:rPr>
      </w:pPr>
      <w:r w:rsidRPr="00B542CD">
        <w:rPr>
          <w:b/>
          <w:bCs/>
          <w:lang w:eastAsia="en-GB"/>
        </w:rPr>
        <w:t xml:space="preserve">Acknowledgements:  </w:t>
      </w:r>
      <w:r w:rsidRPr="00B542CD">
        <w:rPr>
          <w:sz w:val="19"/>
          <w:szCs w:val="19"/>
          <w:lang w:eastAsia="en-GB"/>
        </w:rPr>
        <w:t xml:space="preserve">The authors acknowledge the support provided by FCT under the project PTDC/EME-SIS/6019/2020 and </w:t>
      </w:r>
      <w:r w:rsidRPr="00B542CD">
        <w:rPr>
          <w:color w:val="000000"/>
          <w:sz w:val="19"/>
          <w:szCs w:val="19"/>
          <w:shd w:val="clear" w:color="auto" w:fill="FFFFFF"/>
        </w:rPr>
        <w:t>UIDB/00097/2020</w:t>
      </w:r>
      <w:r w:rsidRPr="00B542CD">
        <w:rPr>
          <w:sz w:val="19"/>
          <w:szCs w:val="19"/>
          <w:lang w:eastAsia="en-GB"/>
        </w:rPr>
        <w:t>, and PhD Grant 2022.11365.BD.</w:t>
      </w:r>
    </w:p>
    <w:p w14:paraId="5DB9AF52" w14:textId="77777777" w:rsidR="00314241" w:rsidRPr="00B542CD" w:rsidRDefault="00314241" w:rsidP="00923E81">
      <w:pPr>
        <w:pStyle w:val="Els-reference-head"/>
        <w:spacing w:before="120" w:after="0"/>
        <w:rPr>
          <w:sz w:val="20"/>
          <w:szCs w:val="20"/>
          <w:lang w:val="pt-PT"/>
        </w:rPr>
      </w:pPr>
      <w:r w:rsidRPr="00B542CD">
        <w:rPr>
          <w:sz w:val="20"/>
          <w:szCs w:val="20"/>
          <w:lang w:val="pt-PT"/>
        </w:rPr>
        <w:t>References</w:t>
      </w:r>
    </w:p>
    <w:sdt>
      <w:sdtPr>
        <w:rPr>
          <w:noProof/>
          <w:sz w:val="17"/>
          <w:szCs w:val="17"/>
          <w:lang w:val="en-US"/>
        </w:rPr>
        <w:tag w:val="MENDELEY_BIBLIOGRAPHY"/>
        <w:id w:val="-332297074"/>
        <w:placeholder>
          <w:docPart w:val="DefaultPlaceholder_-1854013440"/>
        </w:placeholder>
      </w:sdtPr>
      <w:sdtEndPr>
        <w:rPr>
          <w:noProof w:val="0"/>
          <w:sz w:val="16"/>
          <w:szCs w:val="16"/>
        </w:rPr>
      </w:sdtEndPr>
      <w:sdtContent>
        <w:p w14:paraId="7BFFBDC4" w14:textId="77777777" w:rsidR="00143F87" w:rsidRPr="00B542CD" w:rsidRDefault="00143F87" w:rsidP="00917FAE">
          <w:pPr>
            <w:autoSpaceDE w:val="0"/>
            <w:autoSpaceDN w:val="0"/>
            <w:ind w:hanging="480"/>
            <w:jc w:val="both"/>
            <w:divId w:val="251280865"/>
            <w:rPr>
              <w:sz w:val="18"/>
              <w:szCs w:val="18"/>
            </w:rPr>
          </w:pPr>
          <w:r w:rsidRPr="00B542CD">
            <w:rPr>
              <w:sz w:val="18"/>
              <w:szCs w:val="18"/>
              <w:lang w:val="pt-PT"/>
            </w:rPr>
            <w:t xml:space="preserve">Barbosa-Póvoa, A. P., da Silva, C., &amp; Carvalho, A. (2018). </w:t>
          </w:r>
          <w:r w:rsidRPr="00B542CD">
            <w:rPr>
              <w:sz w:val="18"/>
              <w:szCs w:val="18"/>
            </w:rPr>
            <w:t xml:space="preserve">Opportunities and challenges in sustainable supply chain: An operations research perspective. </w:t>
          </w:r>
          <w:r w:rsidRPr="00B542CD">
            <w:rPr>
              <w:i/>
              <w:iCs/>
              <w:sz w:val="18"/>
              <w:szCs w:val="18"/>
            </w:rPr>
            <w:t>European Journal of Operational Research</w:t>
          </w:r>
          <w:r w:rsidRPr="00B542CD">
            <w:rPr>
              <w:sz w:val="18"/>
              <w:szCs w:val="18"/>
            </w:rPr>
            <w:t xml:space="preserve">, </w:t>
          </w:r>
          <w:r w:rsidRPr="00B542CD">
            <w:rPr>
              <w:i/>
              <w:iCs/>
              <w:sz w:val="18"/>
              <w:szCs w:val="18"/>
            </w:rPr>
            <w:t>268</w:t>
          </w:r>
          <w:r w:rsidRPr="00B542CD">
            <w:rPr>
              <w:sz w:val="18"/>
              <w:szCs w:val="18"/>
            </w:rPr>
            <w:t>(2), 399–431. https://doi.org/10.1016/j.ejor.2017.10.036</w:t>
          </w:r>
        </w:p>
        <w:p w14:paraId="1D1FF860" w14:textId="77777777" w:rsidR="00143F87" w:rsidRPr="00B542CD" w:rsidRDefault="00143F87" w:rsidP="00917FAE">
          <w:pPr>
            <w:autoSpaceDE w:val="0"/>
            <w:autoSpaceDN w:val="0"/>
            <w:ind w:hanging="480"/>
            <w:jc w:val="both"/>
            <w:divId w:val="188958531"/>
            <w:rPr>
              <w:sz w:val="18"/>
              <w:szCs w:val="18"/>
            </w:rPr>
          </w:pPr>
          <w:r w:rsidRPr="00B542CD">
            <w:rPr>
              <w:sz w:val="18"/>
              <w:szCs w:val="18"/>
              <w:lang w:val="pt-PT"/>
            </w:rPr>
            <w:t xml:space="preserve">Duarte, I., Mota, B., Pinto-Varela, T., Amaro, A., &amp; Barbosa-Povoa, A. P. (2023). </w:t>
          </w:r>
          <w:r w:rsidRPr="00B542CD">
            <w:rPr>
              <w:sz w:val="18"/>
              <w:szCs w:val="18"/>
            </w:rPr>
            <w:t xml:space="preserve">Modelling availability and affordability concerns in the design and planning of pharmaceutical supply chains. </w:t>
          </w:r>
          <w:r w:rsidRPr="00B542CD">
            <w:rPr>
              <w:i/>
              <w:iCs/>
              <w:sz w:val="18"/>
              <w:szCs w:val="18"/>
            </w:rPr>
            <w:t>Computer Aided Chemical Engineering</w:t>
          </w:r>
          <w:r w:rsidRPr="00B542CD">
            <w:rPr>
              <w:sz w:val="18"/>
              <w:szCs w:val="18"/>
            </w:rPr>
            <w:t xml:space="preserve">, </w:t>
          </w:r>
          <w:r w:rsidRPr="00B542CD">
            <w:rPr>
              <w:i/>
              <w:iCs/>
              <w:sz w:val="18"/>
              <w:szCs w:val="18"/>
            </w:rPr>
            <w:t>52</w:t>
          </w:r>
          <w:r w:rsidRPr="00B542CD">
            <w:rPr>
              <w:sz w:val="18"/>
              <w:szCs w:val="18"/>
            </w:rPr>
            <w:t>, 3369–3374. https://doi.org/10.1016/B978-0-443-15274-0.50537-0</w:t>
          </w:r>
        </w:p>
        <w:p w14:paraId="6E882B34" w14:textId="77777777" w:rsidR="00143F87" w:rsidRPr="00B542CD" w:rsidRDefault="00143F87" w:rsidP="00917FAE">
          <w:pPr>
            <w:autoSpaceDE w:val="0"/>
            <w:autoSpaceDN w:val="0"/>
            <w:ind w:hanging="480"/>
            <w:jc w:val="both"/>
            <w:divId w:val="2047440145"/>
            <w:rPr>
              <w:sz w:val="18"/>
              <w:szCs w:val="18"/>
            </w:rPr>
          </w:pPr>
          <w:r w:rsidRPr="00B542CD">
            <w:rPr>
              <w:sz w:val="18"/>
              <w:szCs w:val="18"/>
            </w:rPr>
            <w:t xml:space="preserve">Duarte, I., Mota, B., Pinto-Varela, T., &amp; Barbosa-Póvoa, A. P. (2022). Pharmaceutical industry supply chains: How to sustainably improve access to vaccines? </w:t>
          </w:r>
          <w:r w:rsidRPr="00B542CD">
            <w:rPr>
              <w:i/>
              <w:iCs/>
              <w:sz w:val="18"/>
              <w:szCs w:val="18"/>
            </w:rPr>
            <w:t>Chemical Engineering Research and Design</w:t>
          </w:r>
          <w:r w:rsidRPr="00B542CD">
            <w:rPr>
              <w:sz w:val="18"/>
              <w:szCs w:val="18"/>
            </w:rPr>
            <w:t xml:space="preserve">, </w:t>
          </w:r>
          <w:r w:rsidRPr="00B542CD">
            <w:rPr>
              <w:i/>
              <w:iCs/>
              <w:sz w:val="18"/>
              <w:szCs w:val="18"/>
            </w:rPr>
            <w:t>182</w:t>
          </w:r>
          <w:r w:rsidRPr="00B542CD">
            <w:rPr>
              <w:sz w:val="18"/>
              <w:szCs w:val="18"/>
            </w:rPr>
            <w:t>, 324–341. https://doi.org/10.1016/j.cherd.2022.04.001</w:t>
          </w:r>
        </w:p>
        <w:p w14:paraId="78EE49CC" w14:textId="77777777" w:rsidR="00143F87" w:rsidRPr="00B542CD" w:rsidRDefault="00143F87" w:rsidP="00917FAE">
          <w:pPr>
            <w:autoSpaceDE w:val="0"/>
            <w:autoSpaceDN w:val="0"/>
            <w:ind w:hanging="480"/>
            <w:jc w:val="both"/>
            <w:divId w:val="1094595223"/>
            <w:rPr>
              <w:sz w:val="18"/>
              <w:szCs w:val="18"/>
            </w:rPr>
          </w:pPr>
          <w:r w:rsidRPr="00B542CD">
            <w:rPr>
              <w:sz w:val="18"/>
              <w:szCs w:val="18"/>
            </w:rPr>
            <w:t xml:space="preserve">FDA. (2019). Drug Shortages: Root Causes and Potential Solutions: A Report by the Drug Shortages Task Force. </w:t>
          </w:r>
          <w:r w:rsidRPr="00B542CD">
            <w:rPr>
              <w:i/>
              <w:iCs/>
              <w:sz w:val="18"/>
              <w:szCs w:val="18"/>
            </w:rPr>
            <w:t>U.S. Food and Drug Administration (FDA)</w:t>
          </w:r>
          <w:r w:rsidRPr="00B542CD">
            <w:rPr>
              <w:sz w:val="18"/>
              <w:szCs w:val="18"/>
            </w:rPr>
            <w:t>, 1–6.</w:t>
          </w:r>
        </w:p>
        <w:p w14:paraId="68920421" w14:textId="77777777" w:rsidR="00143F87" w:rsidRPr="00B542CD" w:rsidRDefault="00143F87" w:rsidP="00917FAE">
          <w:pPr>
            <w:autoSpaceDE w:val="0"/>
            <w:autoSpaceDN w:val="0"/>
            <w:ind w:hanging="480"/>
            <w:jc w:val="both"/>
            <w:divId w:val="1342126831"/>
            <w:rPr>
              <w:sz w:val="18"/>
              <w:szCs w:val="18"/>
            </w:rPr>
          </w:pPr>
          <w:proofErr w:type="spellStart"/>
          <w:r w:rsidRPr="00B542CD">
            <w:rPr>
              <w:sz w:val="18"/>
              <w:szCs w:val="18"/>
            </w:rPr>
            <w:t>Jaberidoost</w:t>
          </w:r>
          <w:proofErr w:type="spellEnd"/>
          <w:r w:rsidRPr="00B542CD">
            <w:rPr>
              <w:sz w:val="18"/>
              <w:szCs w:val="18"/>
            </w:rPr>
            <w:t xml:space="preserve">, M., Nikfar, S., </w:t>
          </w:r>
          <w:proofErr w:type="spellStart"/>
          <w:r w:rsidRPr="00B542CD">
            <w:rPr>
              <w:sz w:val="18"/>
              <w:szCs w:val="18"/>
            </w:rPr>
            <w:t>Abdollahiasl</w:t>
          </w:r>
          <w:proofErr w:type="spellEnd"/>
          <w:r w:rsidRPr="00B542CD">
            <w:rPr>
              <w:sz w:val="18"/>
              <w:szCs w:val="18"/>
            </w:rPr>
            <w:t xml:space="preserve">, A., &amp; </w:t>
          </w:r>
          <w:proofErr w:type="spellStart"/>
          <w:r w:rsidRPr="00B542CD">
            <w:rPr>
              <w:sz w:val="18"/>
              <w:szCs w:val="18"/>
            </w:rPr>
            <w:t>Dinarvand</w:t>
          </w:r>
          <w:proofErr w:type="spellEnd"/>
          <w:r w:rsidRPr="00B542CD">
            <w:rPr>
              <w:sz w:val="18"/>
              <w:szCs w:val="18"/>
            </w:rPr>
            <w:t xml:space="preserve">, R. (2013). Pharmaceutical supply chain risks: A systematic review. </w:t>
          </w:r>
          <w:r w:rsidRPr="00B542CD">
            <w:rPr>
              <w:i/>
              <w:iCs/>
              <w:sz w:val="18"/>
              <w:szCs w:val="18"/>
            </w:rPr>
            <w:t>DARU, Journal of Pharmaceutical Sciences</w:t>
          </w:r>
          <w:r w:rsidRPr="00B542CD">
            <w:rPr>
              <w:sz w:val="18"/>
              <w:szCs w:val="18"/>
            </w:rPr>
            <w:t xml:space="preserve">, </w:t>
          </w:r>
          <w:r w:rsidRPr="00B542CD">
            <w:rPr>
              <w:i/>
              <w:iCs/>
              <w:sz w:val="18"/>
              <w:szCs w:val="18"/>
            </w:rPr>
            <w:t>21</w:t>
          </w:r>
          <w:r w:rsidRPr="00B542CD">
            <w:rPr>
              <w:sz w:val="18"/>
              <w:szCs w:val="18"/>
            </w:rPr>
            <w:t>(1), 1–7. https://doi.org/10.1186/2008-2231-21-69</w:t>
          </w:r>
        </w:p>
        <w:p w14:paraId="7A07E68B" w14:textId="77777777" w:rsidR="00143F87" w:rsidRPr="00B542CD" w:rsidRDefault="00143F87" w:rsidP="00917FAE">
          <w:pPr>
            <w:autoSpaceDE w:val="0"/>
            <w:autoSpaceDN w:val="0"/>
            <w:ind w:hanging="480"/>
            <w:jc w:val="both"/>
            <w:divId w:val="1244486574"/>
            <w:rPr>
              <w:sz w:val="18"/>
              <w:szCs w:val="18"/>
            </w:rPr>
          </w:pPr>
          <w:r w:rsidRPr="00B542CD">
            <w:rPr>
              <w:sz w:val="18"/>
              <w:szCs w:val="18"/>
              <w:lang w:val="it-IT"/>
            </w:rPr>
            <w:t xml:space="preserve">Milanesi, M., Runfola, A., &amp; Guercini, S. (2020). </w:t>
          </w:r>
          <w:r w:rsidRPr="00B542CD">
            <w:rPr>
              <w:sz w:val="18"/>
              <w:szCs w:val="18"/>
            </w:rPr>
            <w:t xml:space="preserve">Pharmaceutical industry riding the wave of sustainability: Review and opportunities for future research. </w:t>
          </w:r>
          <w:r w:rsidRPr="00B542CD">
            <w:rPr>
              <w:i/>
              <w:iCs/>
              <w:sz w:val="18"/>
              <w:szCs w:val="18"/>
            </w:rPr>
            <w:t>Journal of Cleaner Production</w:t>
          </w:r>
          <w:r w:rsidRPr="00B542CD">
            <w:rPr>
              <w:sz w:val="18"/>
              <w:szCs w:val="18"/>
            </w:rPr>
            <w:t xml:space="preserve">, </w:t>
          </w:r>
          <w:r w:rsidRPr="00B542CD">
            <w:rPr>
              <w:i/>
              <w:iCs/>
              <w:sz w:val="18"/>
              <w:szCs w:val="18"/>
            </w:rPr>
            <w:t>261</w:t>
          </w:r>
          <w:r w:rsidRPr="00B542CD">
            <w:rPr>
              <w:sz w:val="18"/>
              <w:szCs w:val="18"/>
            </w:rPr>
            <w:t>, 121204. https://doi.org/10.1016/j.jclepro.2020.121204</w:t>
          </w:r>
        </w:p>
        <w:p w14:paraId="1C246626" w14:textId="6E31D7E2" w:rsidR="00143F87" w:rsidRPr="00B542CD" w:rsidRDefault="00143F87" w:rsidP="004E40A1">
          <w:pPr>
            <w:autoSpaceDE w:val="0"/>
            <w:autoSpaceDN w:val="0"/>
            <w:ind w:hanging="475"/>
            <w:jc w:val="both"/>
            <w:divId w:val="1166284091"/>
            <w:rPr>
              <w:sz w:val="18"/>
              <w:szCs w:val="18"/>
            </w:rPr>
          </w:pPr>
          <w:r w:rsidRPr="00B542CD">
            <w:rPr>
              <w:sz w:val="18"/>
              <w:szCs w:val="18"/>
            </w:rPr>
            <w:t>World Health Organization</w:t>
          </w:r>
          <w:r w:rsidR="00BC4BD6" w:rsidRPr="00B542CD">
            <w:rPr>
              <w:sz w:val="18"/>
              <w:szCs w:val="18"/>
            </w:rPr>
            <w:t xml:space="preserve"> </w:t>
          </w:r>
          <w:r w:rsidRPr="00B542CD">
            <w:rPr>
              <w:sz w:val="18"/>
              <w:szCs w:val="18"/>
            </w:rPr>
            <w:t xml:space="preserve">(2019). </w:t>
          </w:r>
          <w:r w:rsidRPr="00B542CD">
            <w:rPr>
              <w:i/>
              <w:iCs/>
              <w:sz w:val="18"/>
              <w:szCs w:val="18"/>
            </w:rPr>
            <w:t>Global Market Study: Meningococcal Meningitis Vaccines</w:t>
          </w:r>
          <w:r w:rsidR="00807AA5" w:rsidRPr="00B542CD">
            <w:rPr>
              <w:sz w:val="18"/>
              <w:szCs w:val="18"/>
            </w:rPr>
            <w:t xml:space="preserve">. </w:t>
          </w:r>
          <w:r w:rsidRPr="00B542CD">
            <w:rPr>
              <w:sz w:val="18"/>
              <w:szCs w:val="18"/>
            </w:rPr>
            <w:t>https://cdn.who.int/media/docs/default-source/immunization/mi4a/who_meningococcal_vaccines_public_summary.pdf</w:t>
          </w:r>
        </w:p>
        <w:p w14:paraId="0F6D1A65" w14:textId="3B6F78D3" w:rsidR="003250D9" w:rsidRPr="00943B12" w:rsidRDefault="00143F87" w:rsidP="00943B12">
          <w:pPr>
            <w:autoSpaceDE w:val="0"/>
            <w:autoSpaceDN w:val="0"/>
            <w:jc w:val="both"/>
            <w:rPr>
              <w:sz w:val="16"/>
              <w:szCs w:val="16"/>
            </w:rPr>
          </w:pPr>
          <w:r w:rsidRPr="00B542CD">
            <w:rPr>
              <w:sz w:val="18"/>
              <w:szCs w:val="18"/>
            </w:rPr>
            <w:t> </w:t>
          </w:r>
        </w:p>
      </w:sdtContent>
    </w:sdt>
    <w:sectPr w:rsidR="003250D9" w:rsidRPr="00943B12" w:rsidSect="00EB3731">
      <w:headerReference w:type="even" r:id="rId8"/>
      <w:headerReference w:type="default" r:id="rId9"/>
      <w:headerReference w:type="first" r:id="rId10"/>
      <w:type w:val="continuous"/>
      <w:pgSz w:w="11906" w:h="16838" w:code="9"/>
      <w:pgMar w:top="2376" w:right="2405" w:bottom="2894" w:left="2405" w:header="1699" w:footer="2894" w:gutter="0"/>
      <w:cols w:space="720" w:equalWidth="0">
        <w:col w:w="7092"/>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9827D" w14:textId="77777777" w:rsidR="00EB3731" w:rsidRDefault="00EB3731">
      <w:r>
        <w:separator/>
      </w:r>
    </w:p>
  </w:endnote>
  <w:endnote w:type="continuationSeparator" w:id="0">
    <w:p w14:paraId="3DCED7FC" w14:textId="77777777" w:rsidR="00EB3731" w:rsidRDefault="00EB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F9E98" w14:textId="77777777" w:rsidR="00EB3731" w:rsidRDefault="00EB3731">
      <w:r>
        <w:separator/>
      </w:r>
    </w:p>
  </w:footnote>
  <w:footnote w:type="continuationSeparator" w:id="0">
    <w:p w14:paraId="106A9093" w14:textId="77777777" w:rsidR="00EB3731" w:rsidRDefault="00EB3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A7FF065" w:rsidR="00425F2A" w:rsidRDefault="00425F2A">
    <w:pPr>
      <w:pStyle w:val="Header"/>
      <w:tabs>
        <w:tab w:val="clear" w:pos="7200"/>
        <w:tab w:val="right" w:pos="7088"/>
      </w:tabs>
    </w:pPr>
    <w:r>
      <w:rPr>
        <w:rStyle w:val="PageNumber"/>
      </w:rPr>
      <w:tab/>
    </w:r>
    <w:r>
      <w:rPr>
        <w:rStyle w:val="PageNumber"/>
        <w:i/>
      </w:rPr>
      <w:tab/>
    </w:r>
    <w:r w:rsidR="00B97F13">
      <w:rPr>
        <w:rStyle w:val="PageNumber"/>
        <w:i/>
      </w:rPr>
      <w:t xml:space="preserve">I. </w:t>
    </w:r>
    <w:r w:rsidR="009877C4">
      <w:rPr>
        <w:rStyle w:val="PageNumber"/>
        <w:i/>
      </w:rPr>
      <w:t xml:space="preserve">Duarte </w:t>
    </w:r>
    <w:r w:rsidR="00CB69B5">
      <w:rPr>
        <w:rStyle w:val="PageNumber"/>
        <w:i/>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C064B7B" w:rsidR="00425F2A" w:rsidRDefault="00425F2A" w:rsidP="00276DE9">
    <w:pPr>
      <w:pStyle w:val="Header"/>
      <w:tabs>
        <w:tab w:val="clear" w:pos="7200"/>
        <w:tab w:val="right" w:pos="7088"/>
      </w:tabs>
      <w:rPr>
        <w:sz w:val="24"/>
      </w:rPr>
    </w:pPr>
    <w:r w:rsidRPr="00276DE9">
      <w:rPr>
        <w:i/>
      </w:rPr>
      <w:t>Design and planning socially responsible pharmaceutical supply chains considering procurement strategies</w:t>
    </w: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425F2A" w:rsidRPr="003B50B5" w:rsidRDefault="00425F2A"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425F2A" w:rsidRDefault="00425F2A"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581762"/>
    <w:multiLevelType w:val="hybridMultilevel"/>
    <w:tmpl w:val="7242A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331492194">
    <w:abstractNumId w:val="12"/>
  </w:num>
  <w:num w:numId="2" w16cid:durableId="1302074689">
    <w:abstractNumId w:val="12"/>
  </w:num>
  <w:num w:numId="3" w16cid:durableId="2146576707">
    <w:abstractNumId w:val="12"/>
  </w:num>
  <w:num w:numId="4" w16cid:durableId="1774667083">
    <w:abstractNumId w:val="12"/>
  </w:num>
  <w:num w:numId="5" w16cid:durableId="1709840147">
    <w:abstractNumId w:val="0"/>
  </w:num>
  <w:num w:numId="6" w16cid:durableId="1210191225">
    <w:abstractNumId w:val="6"/>
  </w:num>
  <w:num w:numId="7" w16cid:durableId="2065520798">
    <w:abstractNumId w:val="13"/>
  </w:num>
  <w:num w:numId="8" w16cid:durableId="606960373">
    <w:abstractNumId w:val="1"/>
  </w:num>
  <w:num w:numId="9" w16cid:durableId="569001517">
    <w:abstractNumId w:val="11"/>
  </w:num>
  <w:num w:numId="10" w16cid:durableId="1263563016">
    <w:abstractNumId w:val="15"/>
  </w:num>
  <w:num w:numId="11" w16cid:durableId="367608151">
    <w:abstractNumId w:val="14"/>
  </w:num>
  <w:num w:numId="12" w16cid:durableId="21787757">
    <w:abstractNumId w:val="5"/>
  </w:num>
  <w:num w:numId="13" w16cid:durableId="1069815474">
    <w:abstractNumId w:val="9"/>
  </w:num>
  <w:num w:numId="14" w16cid:durableId="284654541">
    <w:abstractNumId w:val="2"/>
  </w:num>
  <w:num w:numId="15" w16cid:durableId="1944533668">
    <w:abstractNumId w:val="7"/>
  </w:num>
  <w:num w:numId="16" w16cid:durableId="1324814189">
    <w:abstractNumId w:val="3"/>
  </w:num>
  <w:num w:numId="17" w16cid:durableId="223764047">
    <w:abstractNumId w:val="4"/>
  </w:num>
  <w:num w:numId="18" w16cid:durableId="136264849">
    <w:abstractNumId w:val="10"/>
  </w:num>
  <w:num w:numId="19" w16cid:durableId="15234687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DAE"/>
    <w:rsid w:val="00013645"/>
    <w:rsid w:val="00023BD2"/>
    <w:rsid w:val="000248C8"/>
    <w:rsid w:val="00024EB4"/>
    <w:rsid w:val="00025AE3"/>
    <w:rsid w:val="00027134"/>
    <w:rsid w:val="00027A7C"/>
    <w:rsid w:val="00033581"/>
    <w:rsid w:val="00035252"/>
    <w:rsid w:val="00043211"/>
    <w:rsid w:val="00051390"/>
    <w:rsid w:val="00051FCA"/>
    <w:rsid w:val="00053DD5"/>
    <w:rsid w:val="000548DD"/>
    <w:rsid w:val="000631F4"/>
    <w:rsid w:val="00074D35"/>
    <w:rsid w:val="00085AF7"/>
    <w:rsid w:val="00085FBD"/>
    <w:rsid w:val="00094149"/>
    <w:rsid w:val="000A07C3"/>
    <w:rsid w:val="000A3C60"/>
    <w:rsid w:val="000B3D19"/>
    <w:rsid w:val="000B533B"/>
    <w:rsid w:val="000B57DF"/>
    <w:rsid w:val="000B799C"/>
    <w:rsid w:val="000C6537"/>
    <w:rsid w:val="000C727D"/>
    <w:rsid w:val="000D2696"/>
    <w:rsid w:val="000D3D9B"/>
    <w:rsid w:val="000E1A1C"/>
    <w:rsid w:val="000E237E"/>
    <w:rsid w:val="000E4808"/>
    <w:rsid w:val="000F7773"/>
    <w:rsid w:val="00100D5E"/>
    <w:rsid w:val="001050F9"/>
    <w:rsid w:val="00116B21"/>
    <w:rsid w:val="00125DB9"/>
    <w:rsid w:val="0012683A"/>
    <w:rsid w:val="00127445"/>
    <w:rsid w:val="00131A2D"/>
    <w:rsid w:val="001376D7"/>
    <w:rsid w:val="00142D67"/>
    <w:rsid w:val="001432C9"/>
    <w:rsid w:val="00143F87"/>
    <w:rsid w:val="001452E9"/>
    <w:rsid w:val="0014790A"/>
    <w:rsid w:val="00147911"/>
    <w:rsid w:val="00150957"/>
    <w:rsid w:val="00150A94"/>
    <w:rsid w:val="0016032F"/>
    <w:rsid w:val="001614F1"/>
    <w:rsid w:val="00161FCF"/>
    <w:rsid w:val="0016261C"/>
    <w:rsid w:val="001720E5"/>
    <w:rsid w:val="00172796"/>
    <w:rsid w:val="001729D1"/>
    <w:rsid w:val="001739F7"/>
    <w:rsid w:val="00184359"/>
    <w:rsid w:val="001879F6"/>
    <w:rsid w:val="001B011B"/>
    <w:rsid w:val="001B206B"/>
    <w:rsid w:val="001B7F1E"/>
    <w:rsid w:val="001C0148"/>
    <w:rsid w:val="001C4641"/>
    <w:rsid w:val="001C4E0E"/>
    <w:rsid w:val="001C5718"/>
    <w:rsid w:val="001C73A4"/>
    <w:rsid w:val="001C757E"/>
    <w:rsid w:val="001C7AA5"/>
    <w:rsid w:val="001D08AD"/>
    <w:rsid w:val="001D57C6"/>
    <w:rsid w:val="001E5C7C"/>
    <w:rsid w:val="001E7BC7"/>
    <w:rsid w:val="001F6E6E"/>
    <w:rsid w:val="0020390F"/>
    <w:rsid w:val="00220191"/>
    <w:rsid w:val="0022229D"/>
    <w:rsid w:val="00226CDA"/>
    <w:rsid w:val="002364DE"/>
    <w:rsid w:val="002407B4"/>
    <w:rsid w:val="00246892"/>
    <w:rsid w:val="0025506F"/>
    <w:rsid w:val="00260457"/>
    <w:rsid w:val="00264926"/>
    <w:rsid w:val="002649F0"/>
    <w:rsid w:val="00276DE9"/>
    <w:rsid w:val="00293879"/>
    <w:rsid w:val="00294171"/>
    <w:rsid w:val="00297382"/>
    <w:rsid w:val="002977C8"/>
    <w:rsid w:val="002A0C96"/>
    <w:rsid w:val="002A1BCD"/>
    <w:rsid w:val="002A3B5C"/>
    <w:rsid w:val="002A5CB6"/>
    <w:rsid w:val="002A6A22"/>
    <w:rsid w:val="002B157B"/>
    <w:rsid w:val="002B15AE"/>
    <w:rsid w:val="002B1BEE"/>
    <w:rsid w:val="002B1DED"/>
    <w:rsid w:val="002B6BDF"/>
    <w:rsid w:val="002C36C5"/>
    <w:rsid w:val="002C4C53"/>
    <w:rsid w:val="002E2C5C"/>
    <w:rsid w:val="002E4660"/>
    <w:rsid w:val="002E4787"/>
    <w:rsid w:val="002F0AFF"/>
    <w:rsid w:val="002F2D45"/>
    <w:rsid w:val="002F6F40"/>
    <w:rsid w:val="00304CE0"/>
    <w:rsid w:val="00314241"/>
    <w:rsid w:val="00316076"/>
    <w:rsid w:val="003250D9"/>
    <w:rsid w:val="00332265"/>
    <w:rsid w:val="00337294"/>
    <w:rsid w:val="00347D3B"/>
    <w:rsid w:val="00350D9C"/>
    <w:rsid w:val="00357613"/>
    <w:rsid w:val="00365D36"/>
    <w:rsid w:val="00365E0F"/>
    <w:rsid w:val="00366BB7"/>
    <w:rsid w:val="00370EA0"/>
    <w:rsid w:val="0037367A"/>
    <w:rsid w:val="00380AB5"/>
    <w:rsid w:val="003A1876"/>
    <w:rsid w:val="003A1EFC"/>
    <w:rsid w:val="003B343B"/>
    <w:rsid w:val="003C1876"/>
    <w:rsid w:val="003C57E8"/>
    <w:rsid w:val="003C5FA4"/>
    <w:rsid w:val="003C5FDB"/>
    <w:rsid w:val="003C6012"/>
    <w:rsid w:val="003C6E42"/>
    <w:rsid w:val="003D1582"/>
    <w:rsid w:val="003D67AC"/>
    <w:rsid w:val="003D7E4C"/>
    <w:rsid w:val="003E3143"/>
    <w:rsid w:val="003E41C2"/>
    <w:rsid w:val="003F4D1F"/>
    <w:rsid w:val="003F5377"/>
    <w:rsid w:val="0040254E"/>
    <w:rsid w:val="00411717"/>
    <w:rsid w:val="00414D7F"/>
    <w:rsid w:val="00414E8F"/>
    <w:rsid w:val="00415845"/>
    <w:rsid w:val="0042399B"/>
    <w:rsid w:val="004246EB"/>
    <w:rsid w:val="00424733"/>
    <w:rsid w:val="00425F2A"/>
    <w:rsid w:val="00433F45"/>
    <w:rsid w:val="00441ECB"/>
    <w:rsid w:val="004426B8"/>
    <w:rsid w:val="004536B7"/>
    <w:rsid w:val="00454A40"/>
    <w:rsid w:val="00454D4D"/>
    <w:rsid w:val="004616E6"/>
    <w:rsid w:val="00461D42"/>
    <w:rsid w:val="00461E39"/>
    <w:rsid w:val="00475714"/>
    <w:rsid w:val="0047615C"/>
    <w:rsid w:val="0048150F"/>
    <w:rsid w:val="00481A6C"/>
    <w:rsid w:val="0048377D"/>
    <w:rsid w:val="00485B1C"/>
    <w:rsid w:val="0049772C"/>
    <w:rsid w:val="004A0C76"/>
    <w:rsid w:val="004A5DAE"/>
    <w:rsid w:val="004A7997"/>
    <w:rsid w:val="004C0C5B"/>
    <w:rsid w:val="004C65FC"/>
    <w:rsid w:val="004C6A14"/>
    <w:rsid w:val="004D22E7"/>
    <w:rsid w:val="004D48CA"/>
    <w:rsid w:val="004D5745"/>
    <w:rsid w:val="004D60A3"/>
    <w:rsid w:val="004E40A1"/>
    <w:rsid w:val="004E49B7"/>
    <w:rsid w:val="004E6BD7"/>
    <w:rsid w:val="004F1A77"/>
    <w:rsid w:val="004F5857"/>
    <w:rsid w:val="005102D0"/>
    <w:rsid w:val="00525CB6"/>
    <w:rsid w:val="00532B8C"/>
    <w:rsid w:val="005467C9"/>
    <w:rsid w:val="005472C7"/>
    <w:rsid w:val="00550D86"/>
    <w:rsid w:val="00552EEB"/>
    <w:rsid w:val="005779C7"/>
    <w:rsid w:val="005853FD"/>
    <w:rsid w:val="00590EDF"/>
    <w:rsid w:val="00592074"/>
    <w:rsid w:val="005947B1"/>
    <w:rsid w:val="005A1591"/>
    <w:rsid w:val="005A4B78"/>
    <w:rsid w:val="005A6840"/>
    <w:rsid w:val="005B684B"/>
    <w:rsid w:val="005C44CE"/>
    <w:rsid w:val="005D109D"/>
    <w:rsid w:val="005D1CBD"/>
    <w:rsid w:val="005D549C"/>
    <w:rsid w:val="005D7D3E"/>
    <w:rsid w:val="005E178C"/>
    <w:rsid w:val="005E3CEE"/>
    <w:rsid w:val="005F1D88"/>
    <w:rsid w:val="00603683"/>
    <w:rsid w:val="00604BD3"/>
    <w:rsid w:val="006067C4"/>
    <w:rsid w:val="00610FCE"/>
    <w:rsid w:val="00611BE9"/>
    <w:rsid w:val="00613347"/>
    <w:rsid w:val="0061720F"/>
    <w:rsid w:val="00621B00"/>
    <w:rsid w:val="00621DDA"/>
    <w:rsid w:val="00623C8B"/>
    <w:rsid w:val="00624978"/>
    <w:rsid w:val="00626B05"/>
    <w:rsid w:val="00632F49"/>
    <w:rsid w:val="00654EB0"/>
    <w:rsid w:val="006561CE"/>
    <w:rsid w:val="006602B7"/>
    <w:rsid w:val="006610FA"/>
    <w:rsid w:val="0066553B"/>
    <w:rsid w:val="00672F02"/>
    <w:rsid w:val="00675BD1"/>
    <w:rsid w:val="0069268F"/>
    <w:rsid w:val="006A45AD"/>
    <w:rsid w:val="006A69BF"/>
    <w:rsid w:val="006C1988"/>
    <w:rsid w:val="006C5588"/>
    <w:rsid w:val="006C784F"/>
    <w:rsid w:val="006D0F4B"/>
    <w:rsid w:val="006D697E"/>
    <w:rsid w:val="006D6DCC"/>
    <w:rsid w:val="006F169D"/>
    <w:rsid w:val="006F3337"/>
    <w:rsid w:val="00710442"/>
    <w:rsid w:val="00710DC1"/>
    <w:rsid w:val="00711CDD"/>
    <w:rsid w:val="00711DF4"/>
    <w:rsid w:val="00727DAA"/>
    <w:rsid w:val="0073667E"/>
    <w:rsid w:val="00736A41"/>
    <w:rsid w:val="00741DFD"/>
    <w:rsid w:val="00742A4D"/>
    <w:rsid w:val="007440E4"/>
    <w:rsid w:val="007448F2"/>
    <w:rsid w:val="0074721C"/>
    <w:rsid w:val="00747511"/>
    <w:rsid w:val="00760AD3"/>
    <w:rsid w:val="0076136C"/>
    <w:rsid w:val="0076657E"/>
    <w:rsid w:val="00774401"/>
    <w:rsid w:val="00776F29"/>
    <w:rsid w:val="00781215"/>
    <w:rsid w:val="00781CCD"/>
    <w:rsid w:val="00786DE3"/>
    <w:rsid w:val="00792EE5"/>
    <w:rsid w:val="007942D8"/>
    <w:rsid w:val="007960D6"/>
    <w:rsid w:val="007A012D"/>
    <w:rsid w:val="007A2353"/>
    <w:rsid w:val="007B0EE8"/>
    <w:rsid w:val="007C2942"/>
    <w:rsid w:val="007D069E"/>
    <w:rsid w:val="007D70A1"/>
    <w:rsid w:val="007E09DB"/>
    <w:rsid w:val="007E2CAA"/>
    <w:rsid w:val="007E505B"/>
    <w:rsid w:val="007E5191"/>
    <w:rsid w:val="007F2ED1"/>
    <w:rsid w:val="007F779F"/>
    <w:rsid w:val="007F7E31"/>
    <w:rsid w:val="00802374"/>
    <w:rsid w:val="00806421"/>
    <w:rsid w:val="00807AA5"/>
    <w:rsid w:val="00810F20"/>
    <w:rsid w:val="008132E8"/>
    <w:rsid w:val="00814089"/>
    <w:rsid w:val="00822272"/>
    <w:rsid w:val="00823407"/>
    <w:rsid w:val="00825BE4"/>
    <w:rsid w:val="008339C6"/>
    <w:rsid w:val="0084117D"/>
    <w:rsid w:val="0084134E"/>
    <w:rsid w:val="008415A0"/>
    <w:rsid w:val="00850545"/>
    <w:rsid w:val="00850694"/>
    <w:rsid w:val="00850769"/>
    <w:rsid w:val="00851412"/>
    <w:rsid w:val="00864262"/>
    <w:rsid w:val="00867D88"/>
    <w:rsid w:val="008701EC"/>
    <w:rsid w:val="00870A30"/>
    <w:rsid w:val="0088381F"/>
    <w:rsid w:val="00891B8F"/>
    <w:rsid w:val="00895475"/>
    <w:rsid w:val="008A5FBC"/>
    <w:rsid w:val="008A65F4"/>
    <w:rsid w:val="008A6AC1"/>
    <w:rsid w:val="008B0184"/>
    <w:rsid w:val="008B2B6F"/>
    <w:rsid w:val="008B6065"/>
    <w:rsid w:val="008C1B74"/>
    <w:rsid w:val="008C5D02"/>
    <w:rsid w:val="008D2649"/>
    <w:rsid w:val="008D2814"/>
    <w:rsid w:val="008D3E6D"/>
    <w:rsid w:val="008E2291"/>
    <w:rsid w:val="008E6BD7"/>
    <w:rsid w:val="008E6C79"/>
    <w:rsid w:val="008F5BDE"/>
    <w:rsid w:val="00903073"/>
    <w:rsid w:val="009051DD"/>
    <w:rsid w:val="0090568D"/>
    <w:rsid w:val="00911C3D"/>
    <w:rsid w:val="009125C9"/>
    <w:rsid w:val="00913879"/>
    <w:rsid w:val="0091567C"/>
    <w:rsid w:val="00917661"/>
    <w:rsid w:val="00917FAE"/>
    <w:rsid w:val="00920AFD"/>
    <w:rsid w:val="00923777"/>
    <w:rsid w:val="00923E81"/>
    <w:rsid w:val="00925C2B"/>
    <w:rsid w:val="00927168"/>
    <w:rsid w:val="00931DF3"/>
    <w:rsid w:val="00943B12"/>
    <w:rsid w:val="0095223A"/>
    <w:rsid w:val="009564FC"/>
    <w:rsid w:val="00956785"/>
    <w:rsid w:val="00956AAA"/>
    <w:rsid w:val="009708E0"/>
    <w:rsid w:val="00970E5D"/>
    <w:rsid w:val="009734C4"/>
    <w:rsid w:val="0097373A"/>
    <w:rsid w:val="0097701C"/>
    <w:rsid w:val="009806EA"/>
    <w:rsid w:val="00980A65"/>
    <w:rsid w:val="00980E8E"/>
    <w:rsid w:val="009877C4"/>
    <w:rsid w:val="00990584"/>
    <w:rsid w:val="00990647"/>
    <w:rsid w:val="0099185B"/>
    <w:rsid w:val="00991BFC"/>
    <w:rsid w:val="00996F39"/>
    <w:rsid w:val="009971C0"/>
    <w:rsid w:val="0099746F"/>
    <w:rsid w:val="009B146A"/>
    <w:rsid w:val="009B2835"/>
    <w:rsid w:val="009C10D0"/>
    <w:rsid w:val="009C4691"/>
    <w:rsid w:val="009C78E4"/>
    <w:rsid w:val="009E3032"/>
    <w:rsid w:val="009E6CF0"/>
    <w:rsid w:val="009E7506"/>
    <w:rsid w:val="009F1A49"/>
    <w:rsid w:val="009F1D9F"/>
    <w:rsid w:val="009F474B"/>
    <w:rsid w:val="009F5330"/>
    <w:rsid w:val="009F71A1"/>
    <w:rsid w:val="00A0175B"/>
    <w:rsid w:val="00A14183"/>
    <w:rsid w:val="00A25E70"/>
    <w:rsid w:val="00A27340"/>
    <w:rsid w:val="00A30667"/>
    <w:rsid w:val="00A30AE7"/>
    <w:rsid w:val="00A30B82"/>
    <w:rsid w:val="00A31A56"/>
    <w:rsid w:val="00A33765"/>
    <w:rsid w:val="00A37485"/>
    <w:rsid w:val="00A417C9"/>
    <w:rsid w:val="00A426C5"/>
    <w:rsid w:val="00A45784"/>
    <w:rsid w:val="00A4745C"/>
    <w:rsid w:val="00A63269"/>
    <w:rsid w:val="00A64E59"/>
    <w:rsid w:val="00A65A74"/>
    <w:rsid w:val="00A744BF"/>
    <w:rsid w:val="00A81A16"/>
    <w:rsid w:val="00A82DAA"/>
    <w:rsid w:val="00A8423E"/>
    <w:rsid w:val="00A87966"/>
    <w:rsid w:val="00A92377"/>
    <w:rsid w:val="00A97BDC"/>
    <w:rsid w:val="00AA101A"/>
    <w:rsid w:val="00AA4FB4"/>
    <w:rsid w:val="00AB29ED"/>
    <w:rsid w:val="00AC64F9"/>
    <w:rsid w:val="00AD2754"/>
    <w:rsid w:val="00AE2B50"/>
    <w:rsid w:val="00AE4BD8"/>
    <w:rsid w:val="00AE60E7"/>
    <w:rsid w:val="00B030AD"/>
    <w:rsid w:val="00B039F1"/>
    <w:rsid w:val="00B0445E"/>
    <w:rsid w:val="00B177B2"/>
    <w:rsid w:val="00B22683"/>
    <w:rsid w:val="00B27A55"/>
    <w:rsid w:val="00B312DD"/>
    <w:rsid w:val="00B330BF"/>
    <w:rsid w:val="00B3557A"/>
    <w:rsid w:val="00B367A8"/>
    <w:rsid w:val="00B4388F"/>
    <w:rsid w:val="00B4637F"/>
    <w:rsid w:val="00B477B5"/>
    <w:rsid w:val="00B47AED"/>
    <w:rsid w:val="00B50089"/>
    <w:rsid w:val="00B542CD"/>
    <w:rsid w:val="00B625DB"/>
    <w:rsid w:val="00B63237"/>
    <w:rsid w:val="00B72461"/>
    <w:rsid w:val="00B7613A"/>
    <w:rsid w:val="00B826C5"/>
    <w:rsid w:val="00B877B6"/>
    <w:rsid w:val="00B9011F"/>
    <w:rsid w:val="00B902D8"/>
    <w:rsid w:val="00B926C9"/>
    <w:rsid w:val="00B935EF"/>
    <w:rsid w:val="00B97F13"/>
    <w:rsid w:val="00BB1FF5"/>
    <w:rsid w:val="00BB2F04"/>
    <w:rsid w:val="00BC164A"/>
    <w:rsid w:val="00BC2DF7"/>
    <w:rsid w:val="00BC4BD6"/>
    <w:rsid w:val="00BC511C"/>
    <w:rsid w:val="00BC56B3"/>
    <w:rsid w:val="00BD0AE4"/>
    <w:rsid w:val="00BD17AF"/>
    <w:rsid w:val="00BD1A64"/>
    <w:rsid w:val="00BE3676"/>
    <w:rsid w:val="00BE3B98"/>
    <w:rsid w:val="00BE4AAB"/>
    <w:rsid w:val="00BE7290"/>
    <w:rsid w:val="00BF168F"/>
    <w:rsid w:val="00BF1F32"/>
    <w:rsid w:val="00C0399B"/>
    <w:rsid w:val="00C04AAF"/>
    <w:rsid w:val="00C050DB"/>
    <w:rsid w:val="00C17683"/>
    <w:rsid w:val="00C23076"/>
    <w:rsid w:val="00C230FC"/>
    <w:rsid w:val="00C25FAB"/>
    <w:rsid w:val="00C26162"/>
    <w:rsid w:val="00C3594E"/>
    <w:rsid w:val="00C40C9F"/>
    <w:rsid w:val="00C452D5"/>
    <w:rsid w:val="00C56988"/>
    <w:rsid w:val="00C574BB"/>
    <w:rsid w:val="00C57889"/>
    <w:rsid w:val="00C57AC5"/>
    <w:rsid w:val="00C80F96"/>
    <w:rsid w:val="00C86924"/>
    <w:rsid w:val="00C94D42"/>
    <w:rsid w:val="00C960DC"/>
    <w:rsid w:val="00C97001"/>
    <w:rsid w:val="00CA105B"/>
    <w:rsid w:val="00CA2DB9"/>
    <w:rsid w:val="00CB1E63"/>
    <w:rsid w:val="00CB60D8"/>
    <w:rsid w:val="00CB69B5"/>
    <w:rsid w:val="00CD470B"/>
    <w:rsid w:val="00CD7B8D"/>
    <w:rsid w:val="00CE03BC"/>
    <w:rsid w:val="00CE0F14"/>
    <w:rsid w:val="00CE7421"/>
    <w:rsid w:val="00D00901"/>
    <w:rsid w:val="00D02C75"/>
    <w:rsid w:val="00D10E22"/>
    <w:rsid w:val="00D13D2C"/>
    <w:rsid w:val="00D163A1"/>
    <w:rsid w:val="00D20AC2"/>
    <w:rsid w:val="00D2113F"/>
    <w:rsid w:val="00D2785A"/>
    <w:rsid w:val="00D313D0"/>
    <w:rsid w:val="00D403E9"/>
    <w:rsid w:val="00D428AB"/>
    <w:rsid w:val="00D437F6"/>
    <w:rsid w:val="00D44DC1"/>
    <w:rsid w:val="00D46A5D"/>
    <w:rsid w:val="00D52526"/>
    <w:rsid w:val="00D5518F"/>
    <w:rsid w:val="00D6218C"/>
    <w:rsid w:val="00D64EEE"/>
    <w:rsid w:val="00D77851"/>
    <w:rsid w:val="00D84437"/>
    <w:rsid w:val="00D84970"/>
    <w:rsid w:val="00D85A3E"/>
    <w:rsid w:val="00D939C1"/>
    <w:rsid w:val="00D9756A"/>
    <w:rsid w:val="00D97F85"/>
    <w:rsid w:val="00DA07DF"/>
    <w:rsid w:val="00DA5E34"/>
    <w:rsid w:val="00DB5F0A"/>
    <w:rsid w:val="00DC2F94"/>
    <w:rsid w:val="00DC3F76"/>
    <w:rsid w:val="00DC5B1B"/>
    <w:rsid w:val="00DD3D9E"/>
    <w:rsid w:val="00DD65E9"/>
    <w:rsid w:val="00DD7679"/>
    <w:rsid w:val="00DD7908"/>
    <w:rsid w:val="00DE01A1"/>
    <w:rsid w:val="00DF3349"/>
    <w:rsid w:val="00E051C7"/>
    <w:rsid w:val="00E113BF"/>
    <w:rsid w:val="00E12328"/>
    <w:rsid w:val="00E20FA4"/>
    <w:rsid w:val="00E211B9"/>
    <w:rsid w:val="00E339AF"/>
    <w:rsid w:val="00E40211"/>
    <w:rsid w:val="00E5514A"/>
    <w:rsid w:val="00E64EB5"/>
    <w:rsid w:val="00E6674D"/>
    <w:rsid w:val="00E71F61"/>
    <w:rsid w:val="00E720C0"/>
    <w:rsid w:val="00E77922"/>
    <w:rsid w:val="00E82297"/>
    <w:rsid w:val="00E93A1B"/>
    <w:rsid w:val="00EA1476"/>
    <w:rsid w:val="00EA387A"/>
    <w:rsid w:val="00EB3731"/>
    <w:rsid w:val="00EB392E"/>
    <w:rsid w:val="00EB5937"/>
    <w:rsid w:val="00EB7361"/>
    <w:rsid w:val="00EC0550"/>
    <w:rsid w:val="00EC70FB"/>
    <w:rsid w:val="00ED4326"/>
    <w:rsid w:val="00ED7CD0"/>
    <w:rsid w:val="00EE0FE4"/>
    <w:rsid w:val="00EE506E"/>
    <w:rsid w:val="00EF2643"/>
    <w:rsid w:val="00EF39FD"/>
    <w:rsid w:val="00F06842"/>
    <w:rsid w:val="00F107FD"/>
    <w:rsid w:val="00F11876"/>
    <w:rsid w:val="00F14AE9"/>
    <w:rsid w:val="00F153DE"/>
    <w:rsid w:val="00F17437"/>
    <w:rsid w:val="00F22D73"/>
    <w:rsid w:val="00F24156"/>
    <w:rsid w:val="00F24A03"/>
    <w:rsid w:val="00F25A61"/>
    <w:rsid w:val="00F326E5"/>
    <w:rsid w:val="00F3721E"/>
    <w:rsid w:val="00F40179"/>
    <w:rsid w:val="00F47FDF"/>
    <w:rsid w:val="00F52026"/>
    <w:rsid w:val="00F52C73"/>
    <w:rsid w:val="00F53EAA"/>
    <w:rsid w:val="00F61F1B"/>
    <w:rsid w:val="00F6481D"/>
    <w:rsid w:val="00F81C11"/>
    <w:rsid w:val="00F82C62"/>
    <w:rsid w:val="00F84972"/>
    <w:rsid w:val="00F8519F"/>
    <w:rsid w:val="00F94F00"/>
    <w:rsid w:val="00F97B30"/>
    <w:rsid w:val="00F97F4C"/>
    <w:rsid w:val="00FA09D1"/>
    <w:rsid w:val="00FA2EC4"/>
    <w:rsid w:val="00FB11FA"/>
    <w:rsid w:val="00FB64A8"/>
    <w:rsid w:val="00FC3199"/>
    <w:rsid w:val="00FC514D"/>
    <w:rsid w:val="00FD3406"/>
    <w:rsid w:val="00FD4B65"/>
    <w:rsid w:val="00FD58C9"/>
    <w:rsid w:val="00FD783A"/>
    <w:rsid w:val="00FE123A"/>
    <w:rsid w:val="00FE2B8A"/>
    <w:rsid w:val="00FE5394"/>
    <w:rsid w:val="00FE5DD9"/>
    <w:rsid w:val="00FE5E30"/>
    <w:rsid w:val="00FE7EC8"/>
    <w:rsid w:val="00FF6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uiPriority w:val="99"/>
    <w:semiHidden/>
    <w:rsid w:val="008B0184"/>
    <w:rPr>
      <w:sz w:val="16"/>
      <w:szCs w:val="16"/>
    </w:rPr>
  </w:style>
  <w:style w:type="paragraph" w:styleId="CommentText">
    <w:name w:val="annotation text"/>
    <w:basedOn w:val="Normal"/>
    <w:link w:val="CommentTextChar"/>
    <w:uiPriority w:val="99"/>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220191"/>
    <w:pPr>
      <w:numPr>
        <w:ilvl w:val="0"/>
        <w:numId w:val="0"/>
      </w:numPr>
      <w:spacing w:before="200"/>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NormalWeb">
    <w:name w:val="Normal (Web)"/>
    <w:basedOn w:val="Normal"/>
    <w:unhideWhenUsed/>
    <w:rsid w:val="00C050DB"/>
    <w:rPr>
      <w:sz w:val="24"/>
      <w:szCs w:val="24"/>
    </w:rPr>
  </w:style>
  <w:style w:type="paragraph" w:styleId="ListParagraph">
    <w:name w:val="List Paragraph"/>
    <w:basedOn w:val="Normal"/>
    <w:uiPriority w:val="34"/>
    <w:qFormat/>
    <w:rsid w:val="007F779F"/>
    <w:pPr>
      <w:ind w:left="720"/>
      <w:contextualSpacing/>
    </w:pPr>
  </w:style>
  <w:style w:type="character" w:styleId="PlaceholderText">
    <w:name w:val="Placeholder Text"/>
    <w:basedOn w:val="DefaultParagraphFont"/>
    <w:uiPriority w:val="99"/>
    <w:semiHidden/>
    <w:rsid w:val="00314241"/>
    <w:rPr>
      <w:color w:val="666666"/>
    </w:rPr>
  </w:style>
  <w:style w:type="table" w:styleId="TableGrid">
    <w:name w:val="Table Grid"/>
    <w:basedOn w:val="TableNormal"/>
    <w:uiPriority w:val="39"/>
    <w:rsid w:val="006C5588"/>
    <w:rPr>
      <w:rFonts w:asciiTheme="minorHAnsi" w:eastAsiaTheme="minorHAnsi" w:hAnsiTheme="minorHAnsi" w:cstheme="minorBid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DA07DF"/>
    <w:rPr>
      <w:lang w:eastAsia="en-US"/>
    </w:rPr>
  </w:style>
  <w:style w:type="paragraph" w:styleId="Revision">
    <w:name w:val="Revision"/>
    <w:hidden/>
    <w:uiPriority w:val="99"/>
    <w:semiHidden/>
    <w:rsid w:val="00FE5DD9"/>
    <w:rPr>
      <w:lang w:eastAsia="en-US"/>
    </w:rPr>
  </w:style>
  <w:style w:type="character" w:styleId="UnresolvedMention">
    <w:name w:val="Unresolved Mention"/>
    <w:basedOn w:val="DefaultParagraphFont"/>
    <w:uiPriority w:val="99"/>
    <w:semiHidden/>
    <w:unhideWhenUsed/>
    <w:rsid w:val="000F7773"/>
    <w:rPr>
      <w:color w:val="605E5C"/>
      <w:shd w:val="clear" w:color="auto" w:fill="E1DFDD"/>
    </w:rPr>
  </w:style>
  <w:style w:type="character" w:styleId="FollowedHyperlink">
    <w:name w:val="FollowedHyperlink"/>
    <w:basedOn w:val="DefaultParagraphFont"/>
    <w:semiHidden/>
    <w:unhideWhenUsed/>
    <w:rsid w:val="003250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4986">
      <w:bodyDiv w:val="1"/>
      <w:marLeft w:val="0"/>
      <w:marRight w:val="0"/>
      <w:marTop w:val="0"/>
      <w:marBottom w:val="0"/>
      <w:divBdr>
        <w:top w:val="none" w:sz="0" w:space="0" w:color="auto"/>
        <w:left w:val="none" w:sz="0" w:space="0" w:color="auto"/>
        <w:bottom w:val="none" w:sz="0" w:space="0" w:color="auto"/>
        <w:right w:val="none" w:sz="0" w:space="0" w:color="auto"/>
      </w:divBdr>
      <w:divsChild>
        <w:div w:id="2000694115">
          <w:marLeft w:val="480"/>
          <w:marRight w:val="0"/>
          <w:marTop w:val="0"/>
          <w:marBottom w:val="0"/>
          <w:divBdr>
            <w:top w:val="none" w:sz="0" w:space="0" w:color="auto"/>
            <w:left w:val="none" w:sz="0" w:space="0" w:color="auto"/>
            <w:bottom w:val="none" w:sz="0" w:space="0" w:color="auto"/>
            <w:right w:val="none" w:sz="0" w:space="0" w:color="auto"/>
          </w:divBdr>
        </w:div>
        <w:div w:id="425348430">
          <w:marLeft w:val="480"/>
          <w:marRight w:val="0"/>
          <w:marTop w:val="0"/>
          <w:marBottom w:val="0"/>
          <w:divBdr>
            <w:top w:val="none" w:sz="0" w:space="0" w:color="auto"/>
            <w:left w:val="none" w:sz="0" w:space="0" w:color="auto"/>
            <w:bottom w:val="none" w:sz="0" w:space="0" w:color="auto"/>
            <w:right w:val="none" w:sz="0" w:space="0" w:color="auto"/>
          </w:divBdr>
        </w:div>
        <w:div w:id="1481389763">
          <w:marLeft w:val="480"/>
          <w:marRight w:val="0"/>
          <w:marTop w:val="0"/>
          <w:marBottom w:val="0"/>
          <w:divBdr>
            <w:top w:val="none" w:sz="0" w:space="0" w:color="auto"/>
            <w:left w:val="none" w:sz="0" w:space="0" w:color="auto"/>
            <w:bottom w:val="none" w:sz="0" w:space="0" w:color="auto"/>
            <w:right w:val="none" w:sz="0" w:space="0" w:color="auto"/>
          </w:divBdr>
        </w:div>
        <w:div w:id="1640920409">
          <w:marLeft w:val="480"/>
          <w:marRight w:val="0"/>
          <w:marTop w:val="0"/>
          <w:marBottom w:val="0"/>
          <w:divBdr>
            <w:top w:val="none" w:sz="0" w:space="0" w:color="auto"/>
            <w:left w:val="none" w:sz="0" w:space="0" w:color="auto"/>
            <w:bottom w:val="none" w:sz="0" w:space="0" w:color="auto"/>
            <w:right w:val="none" w:sz="0" w:space="0" w:color="auto"/>
          </w:divBdr>
        </w:div>
        <w:div w:id="62029098">
          <w:marLeft w:val="480"/>
          <w:marRight w:val="0"/>
          <w:marTop w:val="0"/>
          <w:marBottom w:val="0"/>
          <w:divBdr>
            <w:top w:val="none" w:sz="0" w:space="0" w:color="auto"/>
            <w:left w:val="none" w:sz="0" w:space="0" w:color="auto"/>
            <w:bottom w:val="none" w:sz="0" w:space="0" w:color="auto"/>
            <w:right w:val="none" w:sz="0" w:space="0" w:color="auto"/>
          </w:divBdr>
        </w:div>
        <w:div w:id="1576354844">
          <w:marLeft w:val="480"/>
          <w:marRight w:val="0"/>
          <w:marTop w:val="0"/>
          <w:marBottom w:val="0"/>
          <w:divBdr>
            <w:top w:val="none" w:sz="0" w:space="0" w:color="auto"/>
            <w:left w:val="none" w:sz="0" w:space="0" w:color="auto"/>
            <w:bottom w:val="none" w:sz="0" w:space="0" w:color="auto"/>
            <w:right w:val="none" w:sz="0" w:space="0" w:color="auto"/>
          </w:divBdr>
        </w:div>
      </w:divsChild>
    </w:div>
    <w:div w:id="304312697">
      <w:bodyDiv w:val="1"/>
      <w:marLeft w:val="0"/>
      <w:marRight w:val="0"/>
      <w:marTop w:val="0"/>
      <w:marBottom w:val="0"/>
      <w:divBdr>
        <w:top w:val="none" w:sz="0" w:space="0" w:color="auto"/>
        <w:left w:val="none" w:sz="0" w:space="0" w:color="auto"/>
        <w:bottom w:val="none" w:sz="0" w:space="0" w:color="auto"/>
        <w:right w:val="none" w:sz="0" w:space="0" w:color="auto"/>
      </w:divBdr>
      <w:divsChild>
        <w:div w:id="251280865">
          <w:marLeft w:val="480"/>
          <w:marRight w:val="0"/>
          <w:marTop w:val="0"/>
          <w:marBottom w:val="0"/>
          <w:divBdr>
            <w:top w:val="none" w:sz="0" w:space="0" w:color="auto"/>
            <w:left w:val="none" w:sz="0" w:space="0" w:color="auto"/>
            <w:bottom w:val="none" w:sz="0" w:space="0" w:color="auto"/>
            <w:right w:val="none" w:sz="0" w:space="0" w:color="auto"/>
          </w:divBdr>
        </w:div>
        <w:div w:id="188958531">
          <w:marLeft w:val="480"/>
          <w:marRight w:val="0"/>
          <w:marTop w:val="0"/>
          <w:marBottom w:val="0"/>
          <w:divBdr>
            <w:top w:val="none" w:sz="0" w:space="0" w:color="auto"/>
            <w:left w:val="none" w:sz="0" w:space="0" w:color="auto"/>
            <w:bottom w:val="none" w:sz="0" w:space="0" w:color="auto"/>
            <w:right w:val="none" w:sz="0" w:space="0" w:color="auto"/>
          </w:divBdr>
        </w:div>
        <w:div w:id="2047440145">
          <w:marLeft w:val="480"/>
          <w:marRight w:val="0"/>
          <w:marTop w:val="0"/>
          <w:marBottom w:val="0"/>
          <w:divBdr>
            <w:top w:val="none" w:sz="0" w:space="0" w:color="auto"/>
            <w:left w:val="none" w:sz="0" w:space="0" w:color="auto"/>
            <w:bottom w:val="none" w:sz="0" w:space="0" w:color="auto"/>
            <w:right w:val="none" w:sz="0" w:space="0" w:color="auto"/>
          </w:divBdr>
        </w:div>
        <w:div w:id="1094595223">
          <w:marLeft w:val="480"/>
          <w:marRight w:val="0"/>
          <w:marTop w:val="0"/>
          <w:marBottom w:val="0"/>
          <w:divBdr>
            <w:top w:val="none" w:sz="0" w:space="0" w:color="auto"/>
            <w:left w:val="none" w:sz="0" w:space="0" w:color="auto"/>
            <w:bottom w:val="none" w:sz="0" w:space="0" w:color="auto"/>
            <w:right w:val="none" w:sz="0" w:space="0" w:color="auto"/>
          </w:divBdr>
        </w:div>
        <w:div w:id="1342126831">
          <w:marLeft w:val="480"/>
          <w:marRight w:val="0"/>
          <w:marTop w:val="0"/>
          <w:marBottom w:val="0"/>
          <w:divBdr>
            <w:top w:val="none" w:sz="0" w:space="0" w:color="auto"/>
            <w:left w:val="none" w:sz="0" w:space="0" w:color="auto"/>
            <w:bottom w:val="none" w:sz="0" w:space="0" w:color="auto"/>
            <w:right w:val="none" w:sz="0" w:space="0" w:color="auto"/>
          </w:divBdr>
        </w:div>
        <w:div w:id="1889762752">
          <w:marLeft w:val="480"/>
          <w:marRight w:val="0"/>
          <w:marTop w:val="0"/>
          <w:marBottom w:val="0"/>
          <w:divBdr>
            <w:top w:val="none" w:sz="0" w:space="0" w:color="auto"/>
            <w:left w:val="none" w:sz="0" w:space="0" w:color="auto"/>
            <w:bottom w:val="none" w:sz="0" w:space="0" w:color="auto"/>
            <w:right w:val="none" w:sz="0" w:space="0" w:color="auto"/>
          </w:divBdr>
        </w:div>
        <w:div w:id="1244486574">
          <w:marLeft w:val="480"/>
          <w:marRight w:val="0"/>
          <w:marTop w:val="0"/>
          <w:marBottom w:val="0"/>
          <w:divBdr>
            <w:top w:val="none" w:sz="0" w:space="0" w:color="auto"/>
            <w:left w:val="none" w:sz="0" w:space="0" w:color="auto"/>
            <w:bottom w:val="none" w:sz="0" w:space="0" w:color="auto"/>
            <w:right w:val="none" w:sz="0" w:space="0" w:color="auto"/>
          </w:divBdr>
        </w:div>
        <w:div w:id="1166284091">
          <w:marLeft w:val="480"/>
          <w:marRight w:val="0"/>
          <w:marTop w:val="0"/>
          <w:marBottom w:val="0"/>
          <w:divBdr>
            <w:top w:val="none" w:sz="0" w:space="0" w:color="auto"/>
            <w:left w:val="none" w:sz="0" w:space="0" w:color="auto"/>
            <w:bottom w:val="none" w:sz="0" w:space="0" w:color="auto"/>
            <w:right w:val="none" w:sz="0" w:space="0" w:color="auto"/>
          </w:divBdr>
        </w:div>
      </w:divsChild>
    </w:div>
    <w:div w:id="377780275">
      <w:bodyDiv w:val="1"/>
      <w:marLeft w:val="0"/>
      <w:marRight w:val="0"/>
      <w:marTop w:val="0"/>
      <w:marBottom w:val="0"/>
      <w:divBdr>
        <w:top w:val="none" w:sz="0" w:space="0" w:color="auto"/>
        <w:left w:val="none" w:sz="0" w:space="0" w:color="auto"/>
        <w:bottom w:val="none" w:sz="0" w:space="0" w:color="auto"/>
        <w:right w:val="none" w:sz="0" w:space="0" w:color="auto"/>
      </w:divBdr>
      <w:divsChild>
        <w:div w:id="287860787">
          <w:marLeft w:val="480"/>
          <w:marRight w:val="0"/>
          <w:marTop w:val="0"/>
          <w:marBottom w:val="0"/>
          <w:divBdr>
            <w:top w:val="none" w:sz="0" w:space="0" w:color="auto"/>
            <w:left w:val="none" w:sz="0" w:space="0" w:color="auto"/>
            <w:bottom w:val="none" w:sz="0" w:space="0" w:color="auto"/>
            <w:right w:val="none" w:sz="0" w:space="0" w:color="auto"/>
          </w:divBdr>
        </w:div>
        <w:div w:id="334311921">
          <w:marLeft w:val="480"/>
          <w:marRight w:val="0"/>
          <w:marTop w:val="0"/>
          <w:marBottom w:val="0"/>
          <w:divBdr>
            <w:top w:val="none" w:sz="0" w:space="0" w:color="auto"/>
            <w:left w:val="none" w:sz="0" w:space="0" w:color="auto"/>
            <w:bottom w:val="none" w:sz="0" w:space="0" w:color="auto"/>
            <w:right w:val="none" w:sz="0" w:space="0" w:color="auto"/>
          </w:divBdr>
        </w:div>
        <w:div w:id="1852987193">
          <w:marLeft w:val="480"/>
          <w:marRight w:val="0"/>
          <w:marTop w:val="0"/>
          <w:marBottom w:val="0"/>
          <w:divBdr>
            <w:top w:val="none" w:sz="0" w:space="0" w:color="auto"/>
            <w:left w:val="none" w:sz="0" w:space="0" w:color="auto"/>
            <w:bottom w:val="none" w:sz="0" w:space="0" w:color="auto"/>
            <w:right w:val="none" w:sz="0" w:space="0" w:color="auto"/>
          </w:divBdr>
        </w:div>
        <w:div w:id="1404570133">
          <w:marLeft w:val="480"/>
          <w:marRight w:val="0"/>
          <w:marTop w:val="0"/>
          <w:marBottom w:val="0"/>
          <w:divBdr>
            <w:top w:val="none" w:sz="0" w:space="0" w:color="auto"/>
            <w:left w:val="none" w:sz="0" w:space="0" w:color="auto"/>
            <w:bottom w:val="none" w:sz="0" w:space="0" w:color="auto"/>
            <w:right w:val="none" w:sz="0" w:space="0" w:color="auto"/>
          </w:divBdr>
        </w:div>
        <w:div w:id="1165558707">
          <w:marLeft w:val="480"/>
          <w:marRight w:val="0"/>
          <w:marTop w:val="0"/>
          <w:marBottom w:val="0"/>
          <w:divBdr>
            <w:top w:val="none" w:sz="0" w:space="0" w:color="auto"/>
            <w:left w:val="none" w:sz="0" w:space="0" w:color="auto"/>
            <w:bottom w:val="none" w:sz="0" w:space="0" w:color="auto"/>
            <w:right w:val="none" w:sz="0" w:space="0" w:color="auto"/>
          </w:divBdr>
        </w:div>
        <w:div w:id="1726952675">
          <w:marLeft w:val="480"/>
          <w:marRight w:val="0"/>
          <w:marTop w:val="0"/>
          <w:marBottom w:val="0"/>
          <w:divBdr>
            <w:top w:val="none" w:sz="0" w:space="0" w:color="auto"/>
            <w:left w:val="none" w:sz="0" w:space="0" w:color="auto"/>
            <w:bottom w:val="none" w:sz="0" w:space="0" w:color="auto"/>
            <w:right w:val="none" w:sz="0" w:space="0" w:color="auto"/>
          </w:divBdr>
        </w:div>
        <w:div w:id="35661807">
          <w:marLeft w:val="480"/>
          <w:marRight w:val="0"/>
          <w:marTop w:val="0"/>
          <w:marBottom w:val="0"/>
          <w:divBdr>
            <w:top w:val="none" w:sz="0" w:space="0" w:color="auto"/>
            <w:left w:val="none" w:sz="0" w:space="0" w:color="auto"/>
            <w:bottom w:val="none" w:sz="0" w:space="0" w:color="auto"/>
            <w:right w:val="none" w:sz="0" w:space="0" w:color="auto"/>
          </w:divBdr>
        </w:div>
      </w:divsChild>
    </w:div>
    <w:div w:id="905725284">
      <w:bodyDiv w:val="1"/>
      <w:marLeft w:val="0"/>
      <w:marRight w:val="0"/>
      <w:marTop w:val="0"/>
      <w:marBottom w:val="0"/>
      <w:divBdr>
        <w:top w:val="none" w:sz="0" w:space="0" w:color="auto"/>
        <w:left w:val="none" w:sz="0" w:space="0" w:color="auto"/>
        <w:bottom w:val="none" w:sz="0" w:space="0" w:color="auto"/>
        <w:right w:val="none" w:sz="0" w:space="0" w:color="auto"/>
      </w:divBdr>
      <w:divsChild>
        <w:div w:id="813914784">
          <w:marLeft w:val="480"/>
          <w:marRight w:val="0"/>
          <w:marTop w:val="0"/>
          <w:marBottom w:val="0"/>
          <w:divBdr>
            <w:top w:val="none" w:sz="0" w:space="0" w:color="auto"/>
            <w:left w:val="none" w:sz="0" w:space="0" w:color="auto"/>
            <w:bottom w:val="none" w:sz="0" w:space="0" w:color="auto"/>
            <w:right w:val="none" w:sz="0" w:space="0" w:color="auto"/>
          </w:divBdr>
        </w:div>
        <w:div w:id="1379670632">
          <w:marLeft w:val="480"/>
          <w:marRight w:val="0"/>
          <w:marTop w:val="0"/>
          <w:marBottom w:val="0"/>
          <w:divBdr>
            <w:top w:val="none" w:sz="0" w:space="0" w:color="auto"/>
            <w:left w:val="none" w:sz="0" w:space="0" w:color="auto"/>
            <w:bottom w:val="none" w:sz="0" w:space="0" w:color="auto"/>
            <w:right w:val="none" w:sz="0" w:space="0" w:color="auto"/>
          </w:divBdr>
        </w:div>
        <w:div w:id="710154185">
          <w:marLeft w:val="480"/>
          <w:marRight w:val="0"/>
          <w:marTop w:val="0"/>
          <w:marBottom w:val="0"/>
          <w:divBdr>
            <w:top w:val="none" w:sz="0" w:space="0" w:color="auto"/>
            <w:left w:val="none" w:sz="0" w:space="0" w:color="auto"/>
            <w:bottom w:val="none" w:sz="0" w:space="0" w:color="auto"/>
            <w:right w:val="none" w:sz="0" w:space="0" w:color="auto"/>
          </w:divBdr>
        </w:div>
        <w:div w:id="304164038">
          <w:marLeft w:val="480"/>
          <w:marRight w:val="0"/>
          <w:marTop w:val="0"/>
          <w:marBottom w:val="0"/>
          <w:divBdr>
            <w:top w:val="none" w:sz="0" w:space="0" w:color="auto"/>
            <w:left w:val="none" w:sz="0" w:space="0" w:color="auto"/>
            <w:bottom w:val="none" w:sz="0" w:space="0" w:color="auto"/>
            <w:right w:val="none" w:sz="0" w:space="0" w:color="auto"/>
          </w:divBdr>
        </w:div>
        <w:div w:id="1242445567">
          <w:marLeft w:val="480"/>
          <w:marRight w:val="0"/>
          <w:marTop w:val="0"/>
          <w:marBottom w:val="0"/>
          <w:divBdr>
            <w:top w:val="none" w:sz="0" w:space="0" w:color="auto"/>
            <w:left w:val="none" w:sz="0" w:space="0" w:color="auto"/>
            <w:bottom w:val="none" w:sz="0" w:space="0" w:color="auto"/>
            <w:right w:val="none" w:sz="0" w:space="0" w:color="auto"/>
          </w:divBdr>
        </w:div>
        <w:div w:id="1862161412">
          <w:marLeft w:val="480"/>
          <w:marRight w:val="0"/>
          <w:marTop w:val="0"/>
          <w:marBottom w:val="0"/>
          <w:divBdr>
            <w:top w:val="none" w:sz="0" w:space="0" w:color="auto"/>
            <w:left w:val="none" w:sz="0" w:space="0" w:color="auto"/>
            <w:bottom w:val="none" w:sz="0" w:space="0" w:color="auto"/>
            <w:right w:val="none" w:sz="0" w:space="0" w:color="auto"/>
          </w:divBdr>
        </w:div>
      </w:divsChild>
    </w:div>
    <w:div w:id="1014653630">
      <w:bodyDiv w:val="1"/>
      <w:marLeft w:val="0"/>
      <w:marRight w:val="0"/>
      <w:marTop w:val="0"/>
      <w:marBottom w:val="0"/>
      <w:divBdr>
        <w:top w:val="none" w:sz="0" w:space="0" w:color="auto"/>
        <w:left w:val="none" w:sz="0" w:space="0" w:color="auto"/>
        <w:bottom w:val="none" w:sz="0" w:space="0" w:color="auto"/>
        <w:right w:val="none" w:sz="0" w:space="0" w:color="auto"/>
      </w:divBdr>
      <w:divsChild>
        <w:div w:id="1169323133">
          <w:marLeft w:val="480"/>
          <w:marRight w:val="0"/>
          <w:marTop w:val="0"/>
          <w:marBottom w:val="0"/>
          <w:divBdr>
            <w:top w:val="none" w:sz="0" w:space="0" w:color="auto"/>
            <w:left w:val="none" w:sz="0" w:space="0" w:color="auto"/>
            <w:bottom w:val="none" w:sz="0" w:space="0" w:color="auto"/>
            <w:right w:val="none" w:sz="0" w:space="0" w:color="auto"/>
          </w:divBdr>
        </w:div>
        <w:div w:id="2098944357">
          <w:marLeft w:val="480"/>
          <w:marRight w:val="0"/>
          <w:marTop w:val="0"/>
          <w:marBottom w:val="0"/>
          <w:divBdr>
            <w:top w:val="none" w:sz="0" w:space="0" w:color="auto"/>
            <w:left w:val="none" w:sz="0" w:space="0" w:color="auto"/>
            <w:bottom w:val="none" w:sz="0" w:space="0" w:color="auto"/>
            <w:right w:val="none" w:sz="0" w:space="0" w:color="auto"/>
          </w:divBdr>
        </w:div>
        <w:div w:id="752431618">
          <w:marLeft w:val="480"/>
          <w:marRight w:val="0"/>
          <w:marTop w:val="0"/>
          <w:marBottom w:val="0"/>
          <w:divBdr>
            <w:top w:val="none" w:sz="0" w:space="0" w:color="auto"/>
            <w:left w:val="none" w:sz="0" w:space="0" w:color="auto"/>
            <w:bottom w:val="none" w:sz="0" w:space="0" w:color="auto"/>
            <w:right w:val="none" w:sz="0" w:space="0" w:color="auto"/>
          </w:divBdr>
        </w:div>
        <w:div w:id="485325089">
          <w:marLeft w:val="480"/>
          <w:marRight w:val="0"/>
          <w:marTop w:val="0"/>
          <w:marBottom w:val="0"/>
          <w:divBdr>
            <w:top w:val="none" w:sz="0" w:space="0" w:color="auto"/>
            <w:left w:val="none" w:sz="0" w:space="0" w:color="auto"/>
            <w:bottom w:val="none" w:sz="0" w:space="0" w:color="auto"/>
            <w:right w:val="none" w:sz="0" w:space="0" w:color="auto"/>
          </w:divBdr>
        </w:div>
        <w:div w:id="551305911">
          <w:marLeft w:val="480"/>
          <w:marRight w:val="0"/>
          <w:marTop w:val="0"/>
          <w:marBottom w:val="0"/>
          <w:divBdr>
            <w:top w:val="none" w:sz="0" w:space="0" w:color="auto"/>
            <w:left w:val="none" w:sz="0" w:space="0" w:color="auto"/>
            <w:bottom w:val="none" w:sz="0" w:space="0" w:color="auto"/>
            <w:right w:val="none" w:sz="0" w:space="0" w:color="auto"/>
          </w:divBdr>
        </w:div>
        <w:div w:id="2045596959">
          <w:marLeft w:val="480"/>
          <w:marRight w:val="0"/>
          <w:marTop w:val="0"/>
          <w:marBottom w:val="0"/>
          <w:divBdr>
            <w:top w:val="none" w:sz="0" w:space="0" w:color="auto"/>
            <w:left w:val="none" w:sz="0" w:space="0" w:color="auto"/>
            <w:bottom w:val="none" w:sz="0" w:space="0" w:color="auto"/>
            <w:right w:val="none" w:sz="0" w:space="0" w:color="auto"/>
          </w:divBdr>
        </w:div>
        <w:div w:id="769664204">
          <w:marLeft w:val="480"/>
          <w:marRight w:val="0"/>
          <w:marTop w:val="0"/>
          <w:marBottom w:val="0"/>
          <w:divBdr>
            <w:top w:val="none" w:sz="0" w:space="0" w:color="auto"/>
            <w:left w:val="none" w:sz="0" w:space="0" w:color="auto"/>
            <w:bottom w:val="none" w:sz="0" w:space="0" w:color="auto"/>
            <w:right w:val="none" w:sz="0" w:space="0" w:color="auto"/>
          </w:divBdr>
        </w:div>
        <w:div w:id="1190028246">
          <w:marLeft w:val="480"/>
          <w:marRight w:val="0"/>
          <w:marTop w:val="0"/>
          <w:marBottom w:val="0"/>
          <w:divBdr>
            <w:top w:val="none" w:sz="0" w:space="0" w:color="auto"/>
            <w:left w:val="none" w:sz="0" w:space="0" w:color="auto"/>
            <w:bottom w:val="none" w:sz="0" w:space="0" w:color="auto"/>
            <w:right w:val="none" w:sz="0" w:space="0" w:color="auto"/>
          </w:divBdr>
        </w:div>
      </w:divsChild>
    </w:div>
    <w:div w:id="1074082996">
      <w:bodyDiv w:val="1"/>
      <w:marLeft w:val="0"/>
      <w:marRight w:val="0"/>
      <w:marTop w:val="0"/>
      <w:marBottom w:val="0"/>
      <w:divBdr>
        <w:top w:val="none" w:sz="0" w:space="0" w:color="auto"/>
        <w:left w:val="none" w:sz="0" w:space="0" w:color="auto"/>
        <w:bottom w:val="none" w:sz="0" w:space="0" w:color="auto"/>
        <w:right w:val="none" w:sz="0" w:space="0" w:color="auto"/>
      </w:divBdr>
      <w:divsChild>
        <w:div w:id="1838426366">
          <w:marLeft w:val="480"/>
          <w:marRight w:val="0"/>
          <w:marTop w:val="0"/>
          <w:marBottom w:val="0"/>
          <w:divBdr>
            <w:top w:val="none" w:sz="0" w:space="0" w:color="auto"/>
            <w:left w:val="none" w:sz="0" w:space="0" w:color="auto"/>
            <w:bottom w:val="none" w:sz="0" w:space="0" w:color="auto"/>
            <w:right w:val="none" w:sz="0" w:space="0" w:color="auto"/>
          </w:divBdr>
        </w:div>
        <w:div w:id="965895354">
          <w:marLeft w:val="480"/>
          <w:marRight w:val="0"/>
          <w:marTop w:val="0"/>
          <w:marBottom w:val="0"/>
          <w:divBdr>
            <w:top w:val="none" w:sz="0" w:space="0" w:color="auto"/>
            <w:left w:val="none" w:sz="0" w:space="0" w:color="auto"/>
            <w:bottom w:val="none" w:sz="0" w:space="0" w:color="auto"/>
            <w:right w:val="none" w:sz="0" w:space="0" w:color="auto"/>
          </w:divBdr>
        </w:div>
        <w:div w:id="1269580936">
          <w:marLeft w:val="480"/>
          <w:marRight w:val="0"/>
          <w:marTop w:val="0"/>
          <w:marBottom w:val="0"/>
          <w:divBdr>
            <w:top w:val="none" w:sz="0" w:space="0" w:color="auto"/>
            <w:left w:val="none" w:sz="0" w:space="0" w:color="auto"/>
            <w:bottom w:val="none" w:sz="0" w:space="0" w:color="auto"/>
            <w:right w:val="none" w:sz="0" w:space="0" w:color="auto"/>
          </w:divBdr>
        </w:div>
        <w:div w:id="1050956653">
          <w:marLeft w:val="480"/>
          <w:marRight w:val="0"/>
          <w:marTop w:val="0"/>
          <w:marBottom w:val="0"/>
          <w:divBdr>
            <w:top w:val="none" w:sz="0" w:space="0" w:color="auto"/>
            <w:left w:val="none" w:sz="0" w:space="0" w:color="auto"/>
            <w:bottom w:val="none" w:sz="0" w:space="0" w:color="auto"/>
            <w:right w:val="none" w:sz="0" w:space="0" w:color="auto"/>
          </w:divBdr>
        </w:div>
        <w:div w:id="485777757">
          <w:marLeft w:val="480"/>
          <w:marRight w:val="0"/>
          <w:marTop w:val="0"/>
          <w:marBottom w:val="0"/>
          <w:divBdr>
            <w:top w:val="none" w:sz="0" w:space="0" w:color="auto"/>
            <w:left w:val="none" w:sz="0" w:space="0" w:color="auto"/>
            <w:bottom w:val="none" w:sz="0" w:space="0" w:color="auto"/>
            <w:right w:val="none" w:sz="0" w:space="0" w:color="auto"/>
          </w:divBdr>
        </w:div>
        <w:div w:id="1221944143">
          <w:marLeft w:val="480"/>
          <w:marRight w:val="0"/>
          <w:marTop w:val="0"/>
          <w:marBottom w:val="0"/>
          <w:divBdr>
            <w:top w:val="none" w:sz="0" w:space="0" w:color="auto"/>
            <w:left w:val="none" w:sz="0" w:space="0" w:color="auto"/>
            <w:bottom w:val="none" w:sz="0" w:space="0" w:color="auto"/>
            <w:right w:val="none" w:sz="0" w:space="0" w:color="auto"/>
          </w:divBdr>
        </w:div>
        <w:div w:id="2146660617">
          <w:marLeft w:val="480"/>
          <w:marRight w:val="0"/>
          <w:marTop w:val="0"/>
          <w:marBottom w:val="0"/>
          <w:divBdr>
            <w:top w:val="none" w:sz="0" w:space="0" w:color="auto"/>
            <w:left w:val="none" w:sz="0" w:space="0" w:color="auto"/>
            <w:bottom w:val="none" w:sz="0" w:space="0" w:color="auto"/>
            <w:right w:val="none" w:sz="0" w:space="0" w:color="auto"/>
          </w:divBdr>
        </w:div>
        <w:div w:id="2108771218">
          <w:marLeft w:val="480"/>
          <w:marRight w:val="0"/>
          <w:marTop w:val="0"/>
          <w:marBottom w:val="0"/>
          <w:divBdr>
            <w:top w:val="none" w:sz="0" w:space="0" w:color="auto"/>
            <w:left w:val="none" w:sz="0" w:space="0" w:color="auto"/>
            <w:bottom w:val="none" w:sz="0" w:space="0" w:color="auto"/>
            <w:right w:val="none" w:sz="0" w:space="0" w:color="auto"/>
          </w:divBdr>
        </w:div>
      </w:divsChild>
    </w:div>
    <w:div w:id="1439523643">
      <w:bodyDiv w:val="1"/>
      <w:marLeft w:val="0"/>
      <w:marRight w:val="0"/>
      <w:marTop w:val="0"/>
      <w:marBottom w:val="0"/>
      <w:divBdr>
        <w:top w:val="none" w:sz="0" w:space="0" w:color="auto"/>
        <w:left w:val="none" w:sz="0" w:space="0" w:color="auto"/>
        <w:bottom w:val="none" w:sz="0" w:space="0" w:color="auto"/>
        <w:right w:val="none" w:sz="0" w:space="0" w:color="auto"/>
      </w:divBdr>
      <w:divsChild>
        <w:div w:id="1798723117">
          <w:marLeft w:val="480"/>
          <w:marRight w:val="0"/>
          <w:marTop w:val="0"/>
          <w:marBottom w:val="0"/>
          <w:divBdr>
            <w:top w:val="none" w:sz="0" w:space="0" w:color="auto"/>
            <w:left w:val="none" w:sz="0" w:space="0" w:color="auto"/>
            <w:bottom w:val="none" w:sz="0" w:space="0" w:color="auto"/>
            <w:right w:val="none" w:sz="0" w:space="0" w:color="auto"/>
          </w:divBdr>
        </w:div>
        <w:div w:id="232550124">
          <w:marLeft w:val="480"/>
          <w:marRight w:val="0"/>
          <w:marTop w:val="0"/>
          <w:marBottom w:val="0"/>
          <w:divBdr>
            <w:top w:val="none" w:sz="0" w:space="0" w:color="auto"/>
            <w:left w:val="none" w:sz="0" w:space="0" w:color="auto"/>
            <w:bottom w:val="none" w:sz="0" w:space="0" w:color="auto"/>
            <w:right w:val="none" w:sz="0" w:space="0" w:color="auto"/>
          </w:divBdr>
        </w:div>
        <w:div w:id="2129544769">
          <w:marLeft w:val="480"/>
          <w:marRight w:val="0"/>
          <w:marTop w:val="0"/>
          <w:marBottom w:val="0"/>
          <w:divBdr>
            <w:top w:val="none" w:sz="0" w:space="0" w:color="auto"/>
            <w:left w:val="none" w:sz="0" w:space="0" w:color="auto"/>
            <w:bottom w:val="none" w:sz="0" w:space="0" w:color="auto"/>
            <w:right w:val="none" w:sz="0" w:space="0" w:color="auto"/>
          </w:divBdr>
        </w:div>
        <w:div w:id="980622936">
          <w:marLeft w:val="480"/>
          <w:marRight w:val="0"/>
          <w:marTop w:val="0"/>
          <w:marBottom w:val="0"/>
          <w:divBdr>
            <w:top w:val="none" w:sz="0" w:space="0" w:color="auto"/>
            <w:left w:val="none" w:sz="0" w:space="0" w:color="auto"/>
            <w:bottom w:val="none" w:sz="0" w:space="0" w:color="auto"/>
            <w:right w:val="none" w:sz="0" w:space="0" w:color="auto"/>
          </w:divBdr>
        </w:div>
        <w:div w:id="592324495">
          <w:marLeft w:val="480"/>
          <w:marRight w:val="0"/>
          <w:marTop w:val="0"/>
          <w:marBottom w:val="0"/>
          <w:divBdr>
            <w:top w:val="none" w:sz="0" w:space="0" w:color="auto"/>
            <w:left w:val="none" w:sz="0" w:space="0" w:color="auto"/>
            <w:bottom w:val="none" w:sz="0" w:space="0" w:color="auto"/>
            <w:right w:val="none" w:sz="0" w:space="0" w:color="auto"/>
          </w:divBdr>
        </w:div>
        <w:div w:id="814490991">
          <w:marLeft w:val="480"/>
          <w:marRight w:val="0"/>
          <w:marTop w:val="0"/>
          <w:marBottom w:val="0"/>
          <w:divBdr>
            <w:top w:val="none" w:sz="0" w:space="0" w:color="auto"/>
            <w:left w:val="none" w:sz="0" w:space="0" w:color="auto"/>
            <w:bottom w:val="none" w:sz="0" w:space="0" w:color="auto"/>
            <w:right w:val="none" w:sz="0" w:space="0" w:color="auto"/>
          </w:divBdr>
        </w:div>
        <w:div w:id="600722180">
          <w:marLeft w:val="480"/>
          <w:marRight w:val="0"/>
          <w:marTop w:val="0"/>
          <w:marBottom w:val="0"/>
          <w:divBdr>
            <w:top w:val="none" w:sz="0" w:space="0" w:color="auto"/>
            <w:left w:val="none" w:sz="0" w:space="0" w:color="auto"/>
            <w:bottom w:val="none" w:sz="0" w:space="0" w:color="auto"/>
            <w:right w:val="none" w:sz="0" w:space="0" w:color="auto"/>
          </w:divBdr>
        </w:div>
        <w:div w:id="99647252">
          <w:marLeft w:val="480"/>
          <w:marRight w:val="0"/>
          <w:marTop w:val="0"/>
          <w:marBottom w:val="0"/>
          <w:divBdr>
            <w:top w:val="none" w:sz="0" w:space="0" w:color="auto"/>
            <w:left w:val="none" w:sz="0" w:space="0" w:color="auto"/>
            <w:bottom w:val="none" w:sz="0" w:space="0" w:color="auto"/>
            <w:right w:val="none" w:sz="0" w:space="0" w:color="auto"/>
          </w:divBdr>
        </w:div>
      </w:divsChild>
    </w:div>
    <w:div w:id="1466923207">
      <w:bodyDiv w:val="1"/>
      <w:marLeft w:val="0"/>
      <w:marRight w:val="0"/>
      <w:marTop w:val="0"/>
      <w:marBottom w:val="0"/>
      <w:divBdr>
        <w:top w:val="none" w:sz="0" w:space="0" w:color="auto"/>
        <w:left w:val="none" w:sz="0" w:space="0" w:color="auto"/>
        <w:bottom w:val="none" w:sz="0" w:space="0" w:color="auto"/>
        <w:right w:val="none" w:sz="0" w:space="0" w:color="auto"/>
      </w:divBdr>
      <w:divsChild>
        <w:div w:id="1790202937">
          <w:marLeft w:val="480"/>
          <w:marRight w:val="0"/>
          <w:marTop w:val="0"/>
          <w:marBottom w:val="0"/>
          <w:divBdr>
            <w:top w:val="none" w:sz="0" w:space="0" w:color="auto"/>
            <w:left w:val="none" w:sz="0" w:space="0" w:color="auto"/>
            <w:bottom w:val="none" w:sz="0" w:space="0" w:color="auto"/>
            <w:right w:val="none" w:sz="0" w:space="0" w:color="auto"/>
          </w:divBdr>
        </w:div>
        <w:div w:id="1078137055">
          <w:marLeft w:val="480"/>
          <w:marRight w:val="0"/>
          <w:marTop w:val="0"/>
          <w:marBottom w:val="0"/>
          <w:divBdr>
            <w:top w:val="none" w:sz="0" w:space="0" w:color="auto"/>
            <w:left w:val="none" w:sz="0" w:space="0" w:color="auto"/>
            <w:bottom w:val="none" w:sz="0" w:space="0" w:color="auto"/>
            <w:right w:val="none" w:sz="0" w:space="0" w:color="auto"/>
          </w:divBdr>
        </w:div>
        <w:div w:id="927538275">
          <w:marLeft w:val="480"/>
          <w:marRight w:val="0"/>
          <w:marTop w:val="0"/>
          <w:marBottom w:val="0"/>
          <w:divBdr>
            <w:top w:val="none" w:sz="0" w:space="0" w:color="auto"/>
            <w:left w:val="none" w:sz="0" w:space="0" w:color="auto"/>
            <w:bottom w:val="none" w:sz="0" w:space="0" w:color="auto"/>
            <w:right w:val="none" w:sz="0" w:space="0" w:color="auto"/>
          </w:divBdr>
        </w:div>
        <w:div w:id="164051161">
          <w:marLeft w:val="480"/>
          <w:marRight w:val="0"/>
          <w:marTop w:val="0"/>
          <w:marBottom w:val="0"/>
          <w:divBdr>
            <w:top w:val="none" w:sz="0" w:space="0" w:color="auto"/>
            <w:left w:val="none" w:sz="0" w:space="0" w:color="auto"/>
            <w:bottom w:val="none" w:sz="0" w:space="0" w:color="auto"/>
            <w:right w:val="none" w:sz="0" w:space="0" w:color="auto"/>
          </w:divBdr>
        </w:div>
        <w:div w:id="87236162">
          <w:marLeft w:val="480"/>
          <w:marRight w:val="0"/>
          <w:marTop w:val="0"/>
          <w:marBottom w:val="0"/>
          <w:divBdr>
            <w:top w:val="none" w:sz="0" w:space="0" w:color="auto"/>
            <w:left w:val="none" w:sz="0" w:space="0" w:color="auto"/>
            <w:bottom w:val="none" w:sz="0" w:space="0" w:color="auto"/>
            <w:right w:val="none" w:sz="0" w:space="0" w:color="auto"/>
          </w:divBdr>
        </w:div>
        <w:div w:id="1263342189">
          <w:marLeft w:val="480"/>
          <w:marRight w:val="0"/>
          <w:marTop w:val="0"/>
          <w:marBottom w:val="0"/>
          <w:divBdr>
            <w:top w:val="none" w:sz="0" w:space="0" w:color="auto"/>
            <w:left w:val="none" w:sz="0" w:space="0" w:color="auto"/>
            <w:bottom w:val="none" w:sz="0" w:space="0" w:color="auto"/>
            <w:right w:val="none" w:sz="0" w:space="0" w:color="auto"/>
          </w:divBdr>
        </w:div>
        <w:div w:id="2012829397">
          <w:marLeft w:val="480"/>
          <w:marRight w:val="0"/>
          <w:marTop w:val="0"/>
          <w:marBottom w:val="0"/>
          <w:divBdr>
            <w:top w:val="none" w:sz="0" w:space="0" w:color="auto"/>
            <w:left w:val="none" w:sz="0" w:space="0" w:color="auto"/>
            <w:bottom w:val="none" w:sz="0" w:space="0" w:color="auto"/>
            <w:right w:val="none" w:sz="0" w:space="0" w:color="auto"/>
          </w:divBdr>
        </w:div>
      </w:divsChild>
    </w:div>
    <w:div w:id="1713773173">
      <w:bodyDiv w:val="1"/>
      <w:marLeft w:val="0"/>
      <w:marRight w:val="0"/>
      <w:marTop w:val="0"/>
      <w:marBottom w:val="0"/>
      <w:divBdr>
        <w:top w:val="none" w:sz="0" w:space="0" w:color="auto"/>
        <w:left w:val="none" w:sz="0" w:space="0" w:color="auto"/>
        <w:bottom w:val="none" w:sz="0" w:space="0" w:color="auto"/>
        <w:right w:val="none" w:sz="0" w:space="0" w:color="auto"/>
      </w:divBdr>
      <w:divsChild>
        <w:div w:id="1780250006">
          <w:marLeft w:val="480"/>
          <w:marRight w:val="0"/>
          <w:marTop w:val="0"/>
          <w:marBottom w:val="0"/>
          <w:divBdr>
            <w:top w:val="none" w:sz="0" w:space="0" w:color="auto"/>
            <w:left w:val="none" w:sz="0" w:space="0" w:color="auto"/>
            <w:bottom w:val="none" w:sz="0" w:space="0" w:color="auto"/>
            <w:right w:val="none" w:sz="0" w:space="0" w:color="auto"/>
          </w:divBdr>
        </w:div>
        <w:div w:id="604188874">
          <w:marLeft w:val="480"/>
          <w:marRight w:val="0"/>
          <w:marTop w:val="0"/>
          <w:marBottom w:val="0"/>
          <w:divBdr>
            <w:top w:val="none" w:sz="0" w:space="0" w:color="auto"/>
            <w:left w:val="none" w:sz="0" w:space="0" w:color="auto"/>
            <w:bottom w:val="none" w:sz="0" w:space="0" w:color="auto"/>
            <w:right w:val="none" w:sz="0" w:space="0" w:color="auto"/>
          </w:divBdr>
        </w:div>
        <w:div w:id="1492477621">
          <w:marLeft w:val="480"/>
          <w:marRight w:val="0"/>
          <w:marTop w:val="0"/>
          <w:marBottom w:val="0"/>
          <w:divBdr>
            <w:top w:val="none" w:sz="0" w:space="0" w:color="auto"/>
            <w:left w:val="none" w:sz="0" w:space="0" w:color="auto"/>
            <w:bottom w:val="none" w:sz="0" w:space="0" w:color="auto"/>
            <w:right w:val="none" w:sz="0" w:space="0" w:color="auto"/>
          </w:divBdr>
        </w:div>
        <w:div w:id="1110055247">
          <w:marLeft w:val="480"/>
          <w:marRight w:val="0"/>
          <w:marTop w:val="0"/>
          <w:marBottom w:val="0"/>
          <w:divBdr>
            <w:top w:val="none" w:sz="0" w:space="0" w:color="auto"/>
            <w:left w:val="none" w:sz="0" w:space="0" w:color="auto"/>
            <w:bottom w:val="none" w:sz="0" w:space="0" w:color="auto"/>
            <w:right w:val="none" w:sz="0" w:space="0" w:color="auto"/>
          </w:divBdr>
        </w:div>
        <w:div w:id="2013213972">
          <w:marLeft w:val="480"/>
          <w:marRight w:val="0"/>
          <w:marTop w:val="0"/>
          <w:marBottom w:val="0"/>
          <w:divBdr>
            <w:top w:val="none" w:sz="0" w:space="0" w:color="auto"/>
            <w:left w:val="none" w:sz="0" w:space="0" w:color="auto"/>
            <w:bottom w:val="none" w:sz="0" w:space="0" w:color="auto"/>
            <w:right w:val="none" w:sz="0" w:space="0" w:color="auto"/>
          </w:divBdr>
        </w:div>
        <w:div w:id="1535190962">
          <w:marLeft w:val="480"/>
          <w:marRight w:val="0"/>
          <w:marTop w:val="0"/>
          <w:marBottom w:val="0"/>
          <w:divBdr>
            <w:top w:val="none" w:sz="0" w:space="0" w:color="auto"/>
            <w:left w:val="none" w:sz="0" w:space="0" w:color="auto"/>
            <w:bottom w:val="none" w:sz="0" w:space="0" w:color="auto"/>
            <w:right w:val="none" w:sz="0" w:space="0" w:color="auto"/>
          </w:divBdr>
        </w:div>
        <w:div w:id="1718816995">
          <w:marLeft w:val="480"/>
          <w:marRight w:val="0"/>
          <w:marTop w:val="0"/>
          <w:marBottom w:val="0"/>
          <w:divBdr>
            <w:top w:val="none" w:sz="0" w:space="0" w:color="auto"/>
            <w:left w:val="none" w:sz="0" w:space="0" w:color="auto"/>
            <w:bottom w:val="none" w:sz="0" w:space="0" w:color="auto"/>
            <w:right w:val="none" w:sz="0" w:space="0" w:color="auto"/>
          </w:divBdr>
        </w:div>
      </w:divsChild>
    </w:div>
    <w:div w:id="1764492306">
      <w:bodyDiv w:val="1"/>
      <w:marLeft w:val="0"/>
      <w:marRight w:val="0"/>
      <w:marTop w:val="0"/>
      <w:marBottom w:val="0"/>
      <w:divBdr>
        <w:top w:val="none" w:sz="0" w:space="0" w:color="auto"/>
        <w:left w:val="none" w:sz="0" w:space="0" w:color="auto"/>
        <w:bottom w:val="none" w:sz="0" w:space="0" w:color="auto"/>
        <w:right w:val="none" w:sz="0" w:space="0" w:color="auto"/>
      </w:divBdr>
      <w:divsChild>
        <w:div w:id="713970314">
          <w:marLeft w:val="480"/>
          <w:marRight w:val="0"/>
          <w:marTop w:val="0"/>
          <w:marBottom w:val="0"/>
          <w:divBdr>
            <w:top w:val="none" w:sz="0" w:space="0" w:color="auto"/>
            <w:left w:val="none" w:sz="0" w:space="0" w:color="auto"/>
            <w:bottom w:val="none" w:sz="0" w:space="0" w:color="auto"/>
            <w:right w:val="none" w:sz="0" w:space="0" w:color="auto"/>
          </w:divBdr>
        </w:div>
        <w:div w:id="545413987">
          <w:marLeft w:val="480"/>
          <w:marRight w:val="0"/>
          <w:marTop w:val="0"/>
          <w:marBottom w:val="0"/>
          <w:divBdr>
            <w:top w:val="none" w:sz="0" w:space="0" w:color="auto"/>
            <w:left w:val="none" w:sz="0" w:space="0" w:color="auto"/>
            <w:bottom w:val="none" w:sz="0" w:space="0" w:color="auto"/>
            <w:right w:val="none" w:sz="0" w:space="0" w:color="auto"/>
          </w:divBdr>
        </w:div>
        <w:div w:id="2033921529">
          <w:marLeft w:val="480"/>
          <w:marRight w:val="0"/>
          <w:marTop w:val="0"/>
          <w:marBottom w:val="0"/>
          <w:divBdr>
            <w:top w:val="none" w:sz="0" w:space="0" w:color="auto"/>
            <w:left w:val="none" w:sz="0" w:space="0" w:color="auto"/>
            <w:bottom w:val="none" w:sz="0" w:space="0" w:color="auto"/>
            <w:right w:val="none" w:sz="0" w:space="0" w:color="auto"/>
          </w:divBdr>
        </w:div>
        <w:div w:id="824661071">
          <w:marLeft w:val="480"/>
          <w:marRight w:val="0"/>
          <w:marTop w:val="0"/>
          <w:marBottom w:val="0"/>
          <w:divBdr>
            <w:top w:val="none" w:sz="0" w:space="0" w:color="auto"/>
            <w:left w:val="none" w:sz="0" w:space="0" w:color="auto"/>
            <w:bottom w:val="none" w:sz="0" w:space="0" w:color="auto"/>
            <w:right w:val="none" w:sz="0" w:space="0" w:color="auto"/>
          </w:divBdr>
        </w:div>
        <w:div w:id="159934946">
          <w:marLeft w:val="480"/>
          <w:marRight w:val="0"/>
          <w:marTop w:val="0"/>
          <w:marBottom w:val="0"/>
          <w:divBdr>
            <w:top w:val="none" w:sz="0" w:space="0" w:color="auto"/>
            <w:left w:val="none" w:sz="0" w:space="0" w:color="auto"/>
            <w:bottom w:val="none" w:sz="0" w:space="0" w:color="auto"/>
            <w:right w:val="none" w:sz="0" w:space="0" w:color="auto"/>
          </w:divBdr>
        </w:div>
        <w:div w:id="894393787">
          <w:marLeft w:val="480"/>
          <w:marRight w:val="0"/>
          <w:marTop w:val="0"/>
          <w:marBottom w:val="0"/>
          <w:divBdr>
            <w:top w:val="none" w:sz="0" w:space="0" w:color="auto"/>
            <w:left w:val="none" w:sz="0" w:space="0" w:color="auto"/>
            <w:bottom w:val="none" w:sz="0" w:space="0" w:color="auto"/>
            <w:right w:val="none" w:sz="0" w:space="0" w:color="auto"/>
          </w:divBdr>
        </w:div>
      </w:divsChild>
    </w:div>
    <w:div w:id="1938323783">
      <w:bodyDiv w:val="1"/>
      <w:marLeft w:val="0"/>
      <w:marRight w:val="0"/>
      <w:marTop w:val="0"/>
      <w:marBottom w:val="0"/>
      <w:divBdr>
        <w:top w:val="none" w:sz="0" w:space="0" w:color="auto"/>
        <w:left w:val="none" w:sz="0" w:space="0" w:color="auto"/>
        <w:bottom w:val="none" w:sz="0" w:space="0" w:color="auto"/>
        <w:right w:val="none" w:sz="0" w:space="0" w:color="auto"/>
      </w:divBdr>
      <w:divsChild>
        <w:div w:id="56511004">
          <w:marLeft w:val="480"/>
          <w:marRight w:val="0"/>
          <w:marTop w:val="0"/>
          <w:marBottom w:val="0"/>
          <w:divBdr>
            <w:top w:val="none" w:sz="0" w:space="0" w:color="auto"/>
            <w:left w:val="none" w:sz="0" w:space="0" w:color="auto"/>
            <w:bottom w:val="none" w:sz="0" w:space="0" w:color="auto"/>
            <w:right w:val="none" w:sz="0" w:space="0" w:color="auto"/>
          </w:divBdr>
        </w:div>
        <w:div w:id="859315035">
          <w:marLeft w:val="480"/>
          <w:marRight w:val="0"/>
          <w:marTop w:val="0"/>
          <w:marBottom w:val="0"/>
          <w:divBdr>
            <w:top w:val="none" w:sz="0" w:space="0" w:color="auto"/>
            <w:left w:val="none" w:sz="0" w:space="0" w:color="auto"/>
            <w:bottom w:val="none" w:sz="0" w:space="0" w:color="auto"/>
            <w:right w:val="none" w:sz="0" w:space="0" w:color="auto"/>
          </w:divBdr>
        </w:div>
        <w:div w:id="1869678724">
          <w:marLeft w:val="480"/>
          <w:marRight w:val="0"/>
          <w:marTop w:val="0"/>
          <w:marBottom w:val="0"/>
          <w:divBdr>
            <w:top w:val="none" w:sz="0" w:space="0" w:color="auto"/>
            <w:left w:val="none" w:sz="0" w:space="0" w:color="auto"/>
            <w:bottom w:val="none" w:sz="0" w:space="0" w:color="auto"/>
            <w:right w:val="none" w:sz="0" w:space="0" w:color="auto"/>
          </w:divBdr>
        </w:div>
        <w:div w:id="997078294">
          <w:marLeft w:val="480"/>
          <w:marRight w:val="0"/>
          <w:marTop w:val="0"/>
          <w:marBottom w:val="0"/>
          <w:divBdr>
            <w:top w:val="none" w:sz="0" w:space="0" w:color="auto"/>
            <w:left w:val="none" w:sz="0" w:space="0" w:color="auto"/>
            <w:bottom w:val="none" w:sz="0" w:space="0" w:color="auto"/>
            <w:right w:val="none" w:sz="0" w:space="0" w:color="auto"/>
          </w:divBdr>
        </w:div>
        <w:div w:id="374696859">
          <w:marLeft w:val="480"/>
          <w:marRight w:val="0"/>
          <w:marTop w:val="0"/>
          <w:marBottom w:val="0"/>
          <w:divBdr>
            <w:top w:val="none" w:sz="0" w:space="0" w:color="auto"/>
            <w:left w:val="none" w:sz="0" w:space="0" w:color="auto"/>
            <w:bottom w:val="none" w:sz="0" w:space="0" w:color="auto"/>
            <w:right w:val="none" w:sz="0" w:space="0" w:color="auto"/>
          </w:divBdr>
        </w:div>
        <w:div w:id="1232617888">
          <w:marLeft w:val="480"/>
          <w:marRight w:val="0"/>
          <w:marTop w:val="0"/>
          <w:marBottom w:val="0"/>
          <w:divBdr>
            <w:top w:val="none" w:sz="0" w:space="0" w:color="auto"/>
            <w:left w:val="none" w:sz="0" w:space="0" w:color="auto"/>
            <w:bottom w:val="none" w:sz="0" w:space="0" w:color="auto"/>
            <w:right w:val="none" w:sz="0" w:space="0" w:color="auto"/>
          </w:divBdr>
        </w:div>
        <w:div w:id="600917695">
          <w:marLeft w:val="480"/>
          <w:marRight w:val="0"/>
          <w:marTop w:val="0"/>
          <w:marBottom w:val="0"/>
          <w:divBdr>
            <w:top w:val="none" w:sz="0" w:space="0" w:color="auto"/>
            <w:left w:val="none" w:sz="0" w:space="0" w:color="auto"/>
            <w:bottom w:val="none" w:sz="0" w:space="0" w:color="auto"/>
            <w:right w:val="none" w:sz="0" w:space="0" w:color="auto"/>
          </w:divBdr>
        </w:div>
        <w:div w:id="634873472">
          <w:marLeft w:val="480"/>
          <w:marRight w:val="0"/>
          <w:marTop w:val="0"/>
          <w:marBottom w:val="0"/>
          <w:divBdr>
            <w:top w:val="none" w:sz="0" w:space="0" w:color="auto"/>
            <w:left w:val="none" w:sz="0" w:space="0" w:color="auto"/>
            <w:bottom w:val="none" w:sz="0" w:space="0" w:color="auto"/>
            <w:right w:val="none" w:sz="0" w:space="0" w:color="auto"/>
          </w:divBdr>
        </w:div>
      </w:divsChild>
    </w:div>
    <w:div w:id="1944223392">
      <w:bodyDiv w:val="1"/>
      <w:marLeft w:val="0"/>
      <w:marRight w:val="0"/>
      <w:marTop w:val="0"/>
      <w:marBottom w:val="0"/>
      <w:divBdr>
        <w:top w:val="none" w:sz="0" w:space="0" w:color="auto"/>
        <w:left w:val="none" w:sz="0" w:space="0" w:color="auto"/>
        <w:bottom w:val="none" w:sz="0" w:space="0" w:color="auto"/>
        <w:right w:val="none" w:sz="0" w:space="0" w:color="auto"/>
      </w:divBdr>
      <w:divsChild>
        <w:div w:id="904993628">
          <w:marLeft w:val="480"/>
          <w:marRight w:val="0"/>
          <w:marTop w:val="0"/>
          <w:marBottom w:val="0"/>
          <w:divBdr>
            <w:top w:val="none" w:sz="0" w:space="0" w:color="auto"/>
            <w:left w:val="none" w:sz="0" w:space="0" w:color="auto"/>
            <w:bottom w:val="none" w:sz="0" w:space="0" w:color="auto"/>
            <w:right w:val="none" w:sz="0" w:space="0" w:color="auto"/>
          </w:divBdr>
        </w:div>
        <w:div w:id="955142140">
          <w:marLeft w:val="480"/>
          <w:marRight w:val="0"/>
          <w:marTop w:val="0"/>
          <w:marBottom w:val="0"/>
          <w:divBdr>
            <w:top w:val="none" w:sz="0" w:space="0" w:color="auto"/>
            <w:left w:val="none" w:sz="0" w:space="0" w:color="auto"/>
            <w:bottom w:val="none" w:sz="0" w:space="0" w:color="auto"/>
            <w:right w:val="none" w:sz="0" w:space="0" w:color="auto"/>
          </w:divBdr>
        </w:div>
        <w:div w:id="135413118">
          <w:marLeft w:val="480"/>
          <w:marRight w:val="0"/>
          <w:marTop w:val="0"/>
          <w:marBottom w:val="0"/>
          <w:divBdr>
            <w:top w:val="none" w:sz="0" w:space="0" w:color="auto"/>
            <w:left w:val="none" w:sz="0" w:space="0" w:color="auto"/>
            <w:bottom w:val="none" w:sz="0" w:space="0" w:color="auto"/>
            <w:right w:val="none" w:sz="0" w:space="0" w:color="auto"/>
          </w:divBdr>
        </w:div>
        <w:div w:id="850068901">
          <w:marLeft w:val="480"/>
          <w:marRight w:val="0"/>
          <w:marTop w:val="0"/>
          <w:marBottom w:val="0"/>
          <w:divBdr>
            <w:top w:val="none" w:sz="0" w:space="0" w:color="auto"/>
            <w:left w:val="none" w:sz="0" w:space="0" w:color="auto"/>
            <w:bottom w:val="none" w:sz="0" w:space="0" w:color="auto"/>
            <w:right w:val="none" w:sz="0" w:space="0" w:color="auto"/>
          </w:divBdr>
        </w:div>
        <w:div w:id="125323629">
          <w:marLeft w:val="480"/>
          <w:marRight w:val="0"/>
          <w:marTop w:val="0"/>
          <w:marBottom w:val="0"/>
          <w:divBdr>
            <w:top w:val="none" w:sz="0" w:space="0" w:color="auto"/>
            <w:left w:val="none" w:sz="0" w:space="0" w:color="auto"/>
            <w:bottom w:val="none" w:sz="0" w:space="0" w:color="auto"/>
            <w:right w:val="none" w:sz="0" w:space="0" w:color="auto"/>
          </w:divBdr>
        </w:div>
        <w:div w:id="1732733936">
          <w:marLeft w:val="480"/>
          <w:marRight w:val="0"/>
          <w:marTop w:val="0"/>
          <w:marBottom w:val="0"/>
          <w:divBdr>
            <w:top w:val="none" w:sz="0" w:space="0" w:color="auto"/>
            <w:left w:val="none" w:sz="0" w:space="0" w:color="auto"/>
            <w:bottom w:val="none" w:sz="0" w:space="0" w:color="auto"/>
            <w:right w:val="none" w:sz="0" w:space="0" w:color="auto"/>
          </w:divBdr>
        </w:div>
        <w:div w:id="2029134861">
          <w:marLeft w:val="480"/>
          <w:marRight w:val="0"/>
          <w:marTop w:val="0"/>
          <w:marBottom w:val="0"/>
          <w:divBdr>
            <w:top w:val="none" w:sz="0" w:space="0" w:color="auto"/>
            <w:left w:val="none" w:sz="0" w:space="0" w:color="auto"/>
            <w:bottom w:val="none" w:sz="0" w:space="0" w:color="auto"/>
            <w:right w:val="none" w:sz="0" w:space="0" w:color="auto"/>
          </w:divBdr>
        </w:div>
        <w:div w:id="29032661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9C57D774574D62929534285EB2E389"/>
        <w:category>
          <w:name w:val="General"/>
          <w:gallery w:val="placeholder"/>
        </w:category>
        <w:types>
          <w:type w:val="bbPlcHdr"/>
        </w:types>
        <w:behaviors>
          <w:behavior w:val="content"/>
        </w:behaviors>
        <w:guid w:val="{5982A184-D09F-4E4A-9755-B1D6F5F3CF64}"/>
      </w:docPartPr>
      <w:docPartBody>
        <w:p w:rsidR="005E783E" w:rsidRDefault="003F65EA" w:rsidP="003F65EA">
          <w:pPr>
            <w:pStyle w:val="899C57D774574D62929534285EB2E389"/>
          </w:pPr>
          <w:r w:rsidRPr="00B97637">
            <w:rPr>
              <w:rStyle w:val="PlaceholderText"/>
            </w:rPr>
            <w:t>Click or tap here to enter text.</w:t>
          </w:r>
        </w:p>
      </w:docPartBody>
    </w:docPart>
    <w:docPart>
      <w:docPartPr>
        <w:name w:val="9A0B8827F44B404BA7B5BE7AA6164592"/>
        <w:category>
          <w:name w:val="General"/>
          <w:gallery w:val="placeholder"/>
        </w:category>
        <w:types>
          <w:type w:val="bbPlcHdr"/>
        </w:types>
        <w:behaviors>
          <w:behavior w:val="content"/>
        </w:behaviors>
        <w:guid w:val="{623A0C8F-09D9-42F9-9900-8DE02CEA4FA2}"/>
      </w:docPartPr>
      <w:docPartBody>
        <w:p w:rsidR="005E783E" w:rsidRDefault="003F65EA" w:rsidP="003F65EA">
          <w:pPr>
            <w:pStyle w:val="9A0B8827F44B404BA7B5BE7AA6164592"/>
          </w:pPr>
          <w:r w:rsidRPr="00B97637">
            <w:rPr>
              <w:rStyle w:val="PlaceholderText"/>
            </w:rPr>
            <w:t>Click or tap here to enter text.</w:t>
          </w:r>
        </w:p>
      </w:docPartBody>
    </w:docPart>
    <w:docPart>
      <w:docPartPr>
        <w:name w:val="6B6A0B1AE8BE425890F8FC4B3740649A"/>
        <w:category>
          <w:name w:val="General"/>
          <w:gallery w:val="placeholder"/>
        </w:category>
        <w:types>
          <w:type w:val="bbPlcHdr"/>
        </w:types>
        <w:behaviors>
          <w:behavior w:val="content"/>
        </w:behaviors>
        <w:guid w:val="{64202188-C16C-44F8-933C-D35E262AE54C}"/>
      </w:docPartPr>
      <w:docPartBody>
        <w:p w:rsidR="005E783E" w:rsidRDefault="003F65EA" w:rsidP="003F65EA">
          <w:pPr>
            <w:pStyle w:val="6B6A0B1AE8BE425890F8FC4B3740649A"/>
          </w:pPr>
          <w:r w:rsidRPr="00B9763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FB4C271-ADA6-4B43-94CF-C4BD1D1407B6}"/>
      </w:docPartPr>
      <w:docPartBody>
        <w:p w:rsidR="005E783E" w:rsidRDefault="003F65EA">
          <w:r w:rsidRPr="00F76F05">
            <w:rPr>
              <w:rStyle w:val="PlaceholderText"/>
            </w:rPr>
            <w:t>Click or tap here to enter text.</w:t>
          </w:r>
        </w:p>
      </w:docPartBody>
    </w:docPart>
    <w:docPart>
      <w:docPartPr>
        <w:name w:val="8F7C479EDFE648838AF710881E25D3BF"/>
        <w:category>
          <w:name w:val="General"/>
          <w:gallery w:val="placeholder"/>
        </w:category>
        <w:types>
          <w:type w:val="bbPlcHdr"/>
        </w:types>
        <w:behaviors>
          <w:behavior w:val="content"/>
        </w:behaviors>
        <w:guid w:val="{470960C0-174D-4695-9A5E-317A00F92B7B}"/>
      </w:docPartPr>
      <w:docPartBody>
        <w:p w:rsidR="00333BEC" w:rsidRDefault="00D26471" w:rsidP="00D26471">
          <w:pPr>
            <w:pStyle w:val="8F7C479EDFE648838AF710881E25D3BF"/>
          </w:pPr>
          <w:r w:rsidRPr="00B976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EA"/>
    <w:rsid w:val="00021729"/>
    <w:rsid w:val="00260BD1"/>
    <w:rsid w:val="002708BC"/>
    <w:rsid w:val="003111BF"/>
    <w:rsid w:val="00333BEC"/>
    <w:rsid w:val="003E3445"/>
    <w:rsid w:val="003F65EA"/>
    <w:rsid w:val="005E783E"/>
    <w:rsid w:val="006325CB"/>
    <w:rsid w:val="00754F13"/>
    <w:rsid w:val="007D6AD7"/>
    <w:rsid w:val="00885A53"/>
    <w:rsid w:val="008D1351"/>
    <w:rsid w:val="008E123B"/>
    <w:rsid w:val="009D7427"/>
    <w:rsid w:val="00A33A2A"/>
    <w:rsid w:val="00A554B8"/>
    <w:rsid w:val="00B268B2"/>
    <w:rsid w:val="00B91272"/>
    <w:rsid w:val="00C37A55"/>
    <w:rsid w:val="00D26471"/>
    <w:rsid w:val="00D62262"/>
    <w:rsid w:val="00DE109B"/>
    <w:rsid w:val="00F63574"/>
    <w:rsid w:val="00F93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471"/>
    <w:rPr>
      <w:color w:val="666666"/>
    </w:rPr>
  </w:style>
  <w:style w:type="paragraph" w:customStyle="1" w:styleId="899C57D774574D62929534285EB2E389">
    <w:name w:val="899C57D774574D62929534285EB2E389"/>
    <w:rsid w:val="003F65EA"/>
  </w:style>
  <w:style w:type="paragraph" w:customStyle="1" w:styleId="9A0B8827F44B404BA7B5BE7AA6164592">
    <w:name w:val="9A0B8827F44B404BA7B5BE7AA6164592"/>
    <w:rsid w:val="003F65EA"/>
  </w:style>
  <w:style w:type="paragraph" w:customStyle="1" w:styleId="6B6A0B1AE8BE425890F8FC4B3740649A">
    <w:name w:val="6B6A0B1AE8BE425890F8FC4B3740649A"/>
    <w:rsid w:val="003F65EA"/>
  </w:style>
  <w:style w:type="paragraph" w:customStyle="1" w:styleId="8F7C479EDFE648838AF710881E25D3BF">
    <w:name w:val="8F7C479EDFE648838AF710881E25D3BF"/>
    <w:rsid w:val="00D2647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7ADDB-9D59-46BC-BDC0-F1FB24775555}">
  <we:reference id="wa104382081" version="1.55.1.0" store="en-US" storeType="OMEX"/>
  <we:alternateReferences>
    <we:reference id="wa104382081" version="1.55.1.0" store="" storeType="OMEX"/>
  </we:alternateReferences>
  <we:properties>
    <we:property name="MENDELEY_CITATIONS" value="[{&quot;citationID&quot;:&quot;MENDELEY_CITATION_d0f0167b-c6c2-4bcd-9016-7e1e05eef38c&quot;,&quot;properties&quot;:{&quot;noteIndex&quot;:0},&quot;isEdited&quot;:false,&quot;manualOverride&quot;:{&quot;citeprocText&quot;:&quot;(Barbosa-Póvoa et al., 2018)&quot;,&quot;isManuallyOverridden&quot;:false,&quot;manualOverrideText&quot;:&quot;&quot;},&quot;citationItems&quot;:[{&quot;id&quot;:&quot;cf462f81-bed9-5103-944c-2ff108e159cf&quot;,&quot;itemData&quot;:{&quot;DOI&quot;:&quot;10.1016/j.ejor.2017.10.036&quot;,&quot;ISSN&quot;:&quot;03772217&quot;,&quot;abstract&quot;:&quot;Sustainable Supply Chain have become a cornerstone to any company that seeks to achieve sustainable goals. A company's image is no longer related to the old paradigm of being sustainable in its own activities, but instead is associated with a strong collaboration between all supply chain stakeholders, towards a sustainable activity. It is then critical to create new methods and tools to account for the three pillars of sustainability: economic, environmental and social, in a multi-stakeholder chain. In this context, operational research (OR) methods play a key role in supporting sustainable supply chain activities. This paper aims to review the trends and directions of OR methods applications towards the achievement of sustainable supply chain. A set of 220 papers has been reviewed to identify the OR methods being employed, the levels of decision considered and how sustainability practices were treated through OR. We found that optimization models applied to strategic level decisions are the most preponderant studies. Moreover, it was verified that sustainability has been mainly tackled by assessing economic and environmental aspects, leaving behind the social aspects. Additionally, OR-based studies do not yet present a clear definition of sustainability, a fact that is proven by the number of environmental and social methodologies explored. Based on the major trends identified in the literature, a research framework is derived, pointing towards a future research agenda in the area.&quot;,&quot;author&quot;:[{&quot;dropping-particle&quot;:&quot;&quot;,&quot;family&quot;:&quot;Barbosa-Póvoa&quot;,&quot;given&quot;:&quot;Ana Paula&quot;,&quot;non-dropping-particle&quot;:&quot;&quot;,&quot;parse-names&quot;:false,&quot;suffix&quot;:&quot;&quot;},{&quot;dropping-particle&quot;:&quot;&quot;,&quot;family&quot;:&quot;Silva&quot;,&quot;given&quot;:&quot;Cátia&quot;,&quot;non-dropping-particle&quot;:&quot;da&quot;,&quot;parse-names&quot;:false,&quot;suffix&quot;:&quot;&quot;},{&quot;dropping-particle&quot;:&quot;&quot;,&quot;family&quot;:&quot;Carvalho&quot;,&quot;given&quot;:&quot;Ana&quot;,&quot;non-dropping-particle&quot;:&quot;&quot;,&quot;parse-names&quot;:false,&quot;suffix&quot;:&quot;&quot;}],&quot;container-title&quot;:&quot;European Journal of Operational Research&quot;,&quot;id&quot;:&quot;cf462f81-bed9-5103-944c-2ff108e159cf&quot;,&quot;issue&quot;:&quot;2&quot;,&quot;issued&quot;:{&quot;date-parts&quot;:[[&quot;2018&quot;]]},&quot;page&quot;:&quot;399-431&quot;,&quot;title&quot;:&quot;Opportunities and challenges in sustainable supply chain: An operations research perspective&quot;,&quot;type&quot;:&quot;article-journal&quot;,&quot;volume&quot;:&quot;268&quot;,&quot;container-title-short&quot;:&quot;Eur J Oper Res&quot;},&quot;uris&quot;:[&quot;http://www.mendeley.com/documents/?uuid=1606e98e-3b92-4cea-8e4f-bf276359e0af&quot;],&quot;isTemporary&quot;:false,&quot;legacyDesktopId&quot;:&quot;1606e98e-3b92-4cea-8e4f-bf276359e0af&quot;}],&quot;citationTag&quot;:&quot;MENDELEY_CITATION_v3_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&quot;},{&quot;citationID&quot;:&quot;MENDELEY_CITATION_ccdf748b-9ea6-4243-bc20-e968c4dcb988&quot;,&quot;properties&quot;:{&quot;noteIndex&quot;:0},&quot;isEdited&quot;:false,&quot;manualOverride&quot;:{&quot;isManuallyOverridden&quot;:false,&quot;citeprocText&quot;:&quot;(FDA, 2019)&quot;,&quot;manualOverrideText&quot;:&quot;&quot;},&quot;citationItems&quot;:[{&quot;id&quot;:&quot;afa20180-6fa8-3d69-9b49-d1e2344946e9&quot;,&quot;itemData&quot;:{&quot;type&quot;:&quot;article-journal&quot;,&quot;id&quot;:&quot;afa20180-6fa8-3d69-9b49-d1e2344946e9&quot;,&quot;title&quot;:&quot;Drug Shortages: Root Causes and Potential Solutions: A Report by the Drug Shortages Task Force&quot;,&quot;author&quot;:[{&quot;family&quot;:&quot;FDA&quot;,&quot;given&quot;:&quot;&quot;,&quot;parse-names&quot;:false,&quot;dropping-particle&quot;:&quot;&quot;,&quot;non-dropping-particle&quot;:&quot;&quot;}],&quot;container-title&quot;:&quot;U.S. Food and Drug Administration (FDA)&quot;,&quot;issued&quot;:{&quot;date-parts&quot;:[[2019]]},&quot;page&quot;:&quot;1-6&quot;,&quot;container-title-short&quot;:&quot;&quot;},&quot;isTemporary&quot;:false}],&quot;citationTag&quot;:&quot;MENDELEY_CITATION_v3_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&quot;},{&quot;citationID&quot;:&quot;MENDELEY_CITATION_727fe1bd-1158-4f8d-b22c-1a1f30081213&quot;,&quot;properties&quot;:{&quot;noteIndex&quot;:0},&quot;isEdited&quot;:false,&quot;manualOverride&quot;:{&quot;citeprocText&quot;:&quot;(Milanesi et al., 2020)&quot;,&quot;isManuallyOverridden&quot;:false,&quot;manualOverrideText&quot;:&quot;&quot;},&quot;citationItems&quot;:[{&quot;id&quot;:&quot;502cda1d-5409-562e-901f-0d81bbb61a0d&quot;,&quot;itemData&quot;:{&quot;DOI&quot;:&quot;10.1016/j.jclepro.2020.121204&quot;,&quot;ISSN&quot;:&quot;09596526&quot;,&quot;abstract&quot;:&quot;In recent years, the sustainability of the pharmaceutical industry has received growing attention from consumers, policymakers, and organizations. Concerns about the introduction of sustainability practices into the development of new delivery systems, new products that pose a lower environmental risk, waste recycling, the reduction of water usage, greener manufacturing methods, and recyclable packaging have intensified attention on this topic. The sustainability of the pharmaceutical industry has also aroused the interest of scholars from various disciplines, such as chemistry, engineering, and environmental sciences. Even business and management studies are taking this topic into account. A higher degree of management complexity is affecting pharmaceutical companies, in which the need to ensure environmental, economic, and social sustainability, as well as to control expenses, has led to the introduction of an economic logic into the management of sustainability issues. Thus, we review existing business and management studies on sustainability in the pharmaceutical industry with the following aims in mind: to depict the current status of the research, to delineate the main approaches to sustainability, and to identify possible gaps and subject areas to be investigated in future research. The analysis reveals that environmental sustainability has become a central focus of management studies, especially in terms of cleaner production, green supply chain, green materials, and sustainable human resource management. The paper proposes areas that remain unexplored and might represent opportunities for future research, including waste management, the economic impact of new drugs, the contribution of pharmaceutical companies to the economic sustainability of health systems, and the study of emerging vs. mature markets.&quot;,&quot;author&quot;:[{&quot;dropping-particle&quot;:&quot;&quot;,&quot;family&quot;:&quot;Milanesi&quot;,&quot;given&quot;:&quot;Matilde&quot;,&quot;non-dropping-particle&quot;:&quot;&quot;,&quot;parse-names&quot;:false,&quot;suffix&quot;:&quot;&quot;},{&quot;dropping-particle&quot;:&quot;&quot;,&quot;family&quot;:&quot;Runfola&quot;,&quot;given&quot;:&quot;Andrea&quot;,&quot;non-dropping-particle&quot;:&quot;&quot;,&quot;parse-names&quot;:false,&quot;suffix&quot;:&quot;&quot;},{&quot;dropping-particle&quot;:&quot;&quot;,&quot;family&quot;:&quot;Guercini&quot;,&quot;given&quot;:&quot;Simone&quot;,&quot;non-dropping-particle&quot;:&quot;&quot;,&quot;parse-names&quot;:false,&quot;suffix&quot;:&quot;&quot;}],&quot;container-title&quot;:&quot;Journal of Cleaner Production&quot;,&quot;id&quot;:&quot;502cda1d-5409-562e-901f-0d81bbb61a0d&quot;,&quot;issued&quot;:{&quot;date-parts&quot;:[[&quot;2020&quot;]]},&quot;page&quot;:&quot;121204&quot;,&quot;publisher&quot;:&quot;Elsevier Ltd&quot;,&quot;title&quot;:&quot;Pharmaceutical industry riding the wave of sustainability: Review and opportunities for future research&quot;,&quot;type&quot;:&quot;article-journal&quot;,&quot;volume&quot;:&quot;261&quot;,&quot;container-title-short&quot;:&quot;J Clean Prod&quot;},&quot;uris&quot;:[&quot;http://www.mendeley.com/documents/?uuid=75a965de-20a0-4392-a642-9a794190d629&quot;],&quot;isTemporary&quot;:false,&quot;legacyDesktopId&quot;:&quot;75a965de-20a0-4392-a642-9a794190d629&quot;}],&quot;citationTag&quot;:&quot;MENDELEY_CITATION_v3_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&quot;},{&quot;citationID&quot;:&quot;MENDELEY_CITATION_39ecda5d-b3da-4101-bd05-1cde417851f8&quot;,&quot;properties&quot;:{&quot;noteIndex&quot;:0},&quot;isEdited&quot;:false,&quot;manualOverride&quot;:{&quot;citeprocText&quot;:&quot;(Jaberidoost et al., 2013)&quot;,&quot;isManuallyOverridden&quot;:false,&quot;manualOverrideText&quot;:&quot;&quot;},&quot;citationItems&quot;:[{&quot;id&quot;:&quot;d026ffac-6621-543e-b9d8-ec0cf6ecd7df&quot;,&quot;itemData&quot;:{&quot;DOI&quot;:&quot;10.1186/2008-2231-21-69&quot;,&quot;ISSN&quot;:&quot;15608115&quot;,&quot;abstract&quot;:&quot;Introduction. Supply of medicine as a strategic product in any health system is a top priority. Pharmaceutical companies, a major player of the drug supply chain, are subject to many risks. These risks disrupt the supply of medicine in many ways such as their quantity and quality and their delivery to the right place and customers and at the right time. Therefore risk identification in the supply process of pharmaceutical companies and mitigate them is highly recommended. Objective. In this study it is attempted to investigate pharmaceutical supply chain risks with perspective of manufacturing companies. Methods. Scopus, PubMed, Web of Science bibliographic databases and Google scholar scientific search engines were searched for pharmaceutical supply chain risk management studies with 6 different groups of keywords. All results found by keywords were reviewed and none-relevant articles were excluded by outcome of interests and researcher boundaries of study within 4 steps and through a systematic method. Results: Nine articles were included in the systematic review and totally 50 main risks based on study outcome of interest extracted which classified in 7 categories. Most of reported risks were related to supply and supplier issues. Organization and strategy issues, financial, logistic, political, market and regulatory issues were in next level of importance. Conclusion: It was shown that the majority of risks in pharmaceutical supply chain were internal risks due to processes, people and functions mismanagement which could be managed by suitable mitigation strategies. © 2013 Jaberidoost et al.; licensee BioMed Central Ltd.&quot;,&quot;author&quot;:[{&quot;dropping-particle&quot;:&quot;&quot;,&quot;family&quot;:&quot;Jaberidoost&quot;,&quot;given&quot;:&quot;Mona&quot;,&quot;non-dropping-particle&quot;:&quot;&quot;,&quot;parse-names&quot;:false,&quot;suffix&quot;:&quot;&quot;},{&quot;dropping-particle&quot;:&quot;&quot;,&quot;family&quot;:&quot;Nikfar&quot;,&quot;given&quot;:&quot;Shekoufeh&quot;,&quot;non-dropping-particle&quot;:&quot;&quot;,&quot;parse-names&quot;:false,&quot;suffix&quot;:&quot;&quot;},{&quot;dropping-particle&quot;:&quot;&quot;,&quot;family&quot;:&quot;Abdollahiasl&quot;,&quot;given&quot;:&quot;Akbar&quot;,&quot;non-dropping-particle&quot;:&quot;&quot;,&quot;parse-names&quot;:false,&quot;suffix&quot;:&quot;&quot;},{&quot;dropping-particle&quot;:&quot;&quot;,&quot;family&quot;:&quot;Dinarvand&quot;,&quot;given&quot;:&quot;Rassoul&quot;,&quot;non-dropping-particle&quot;:&quot;&quot;,&quot;parse-names&quot;:false,&quot;suffix&quot;:&quot;&quot;}],&quot;container-title&quot;:&quot;DARU, Journal of Pharmaceutical Sciences&quot;,&quot;id&quot;:&quot;d026ffac-6621-543e-b9d8-ec0cf6ecd7df&quot;,&quot;issue&quot;:&quot;1&quot;,&quot;issued&quot;:{&quot;date-parts&quot;:[[&quot;2013&quot;]]},&quot;page&quot;:&quot;1-7&quot;,&quot;title&quot;:&quot;Pharmaceutical supply chain risks: A systematic review&quot;,&quot;type&quot;:&quot;article-journal&quot;,&quot;volume&quot;:&quot;21&quot;,&quot;container-title-short&quot;:&quot;&quot;},&quot;uris&quot;:[&quot;http://www.mendeley.com/documents/?uuid=f1dfc84e-d1b6-4823-8a6d-68ef45f44d5d&quot;],&quot;isTemporary&quot;:false,&quot;legacyDesktopId&quot;:&quot;f1dfc84e-d1b6-4823-8a6d-68ef45f44d5d&quot;}],&quot;citationTag&quot;:&quot;MENDELEY_CITATION_v3_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&quot;},{&quot;citationID&quot;:&quot;MENDELEY_CITATION_94f50670-72d0-4169-80c0-a1d6a6ab298e&quot;,&quot;properties&quot;:{&quot;noteIndex&quot;:0},&quot;isEdited&quot;:false,&quot;manualOverride&quot;:{&quot;isManuallyOverridden&quot;:false,&quot;citeprocText&quot;:&quot;(Duarte et al., 2023)&quot;,&quot;manualOverrideText&quot;:&quot;&quot;},&quot;citationItems&quot;:[{&quot;id&quot;:&quot;c61fd0d1-ed45-3b5f-8a82-8f0beee73c4f&quot;,&quot;itemData&quot;:{&quot;type&quot;:&quot;paper-conference&quot;,&quot;id&quot;:&quot;c61fd0d1-ed45-3b5f-8a82-8f0beee73c4f&quot;,&quot;title&quot;:&quot;Modelling availability and affordability concerns in the design and planning of pharmaceutical supply chains&quot;,&quot;author&quot;:[{&quot;family&quot;:&quot;Duarte&quot;,&quot;given&quot;:&quot;Inês&quot;,&quot;parse-names&quot;:false,&quot;dropping-particle&quot;:&quot;&quot;,&quot;non-dropping-particle&quot;:&quot;&quot;},{&quot;family&quot;:&quot;Mota&quot;,&quot;given&quot;:&quot;Bruna&quot;,&quot;parse-names&quot;:false,&quot;dropping-particle&quot;:&quot;&quot;,&quot;non-dropping-particle&quot;:&quot;&quot;},{&quot;family&quot;:&quot;Pinto-Varela&quot;,&quot;given&quot;:&quot;Tânia&quot;,&quot;parse-names&quot;:false,&quot;dropping-particle&quot;:&quot;&quot;,&quot;non-dropping-particle&quot;:&quot;&quot;},{&quot;family&quot;:&quot;Amaro&quot;,&quot;given&quot;:&quot;Ana&quot;,&quot;parse-names&quot;:false,&quot;dropping-particle&quot;:&quot;&quot;,&quot;non-dropping-particle&quot;:&quot;&quot;},{&quot;family&quot;:&quot;Barbosa-Povoa&quot;,&quot;given&quot;:&quot;Ana Paula&quot;,&quot;parse-names&quot;:false,&quot;dropping-particle&quot;:&quot;&quot;,&quot;non-dropping-particle&quot;:&quot;&quot;}],&quot;container-title&quot;:&quot;Computer Aided Chemical Engineering&quot;,&quot;accessed&quot;:{&quot;date-parts&quot;:[[2023,9,8]]},&quot;DOI&quot;:&quot;10.1016/B978-0-443-15274-0.50537-0&quot;,&quot;ISSN&quot;:&quot;1570-7946&quot;,&quot;issued&quot;:{&quot;date-parts&quot;:[[2023,1,1]]},&quot;page&quot;:&quot;3369-3374&quot;,&quot;abstract&quot;:&quot;Although sustainability principles have been gaining attention when managing supply chains, integrating social objectives remains an essential concern to be explored. In particular, social impact concerns related to equity in access to pharmaceutical products are crucial to be considered. This work addresses this goal and proposes a decision-support tool based on a multi-objective MILP model that integrates strategic-tactical decisions while considering sustainability principles. The social pillar is modelled using two approaches: the location of facilities to maximize access to medicines where the incidence of disease is higher; and a second approach where a metric based on the economic concept of demand-to-price elasticity is used so as to measure how sensitive markets are to medicines’ prices allowing producers to manage the trade-off between prices’ portfolio and markets, enhancing social equity criteria, without profit losing. The economic pillar is addressed through the Net Present Value, and the environmental pillar follows a Life Cycle Analysis methodology. The model is applied to a representative case study and different scenarios are analysed where it is shown how strategic and tactical decisions impact these performance indicators.&quot;,&quot;publisher&quot;:&quot;Elsevier&quot;,&quot;volume&quot;:&quot;52&quot;,&quot;container-title-short&quot;:&quot;&quot;},&quot;isTemporary&quot;:false}],&quot;citationTag&quot;:&quot;MENDELEY_CITATION_v3_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&quot;},{&quot;citationID&quot;:&quot;MENDELEY_CITATION_e8994fd8-d71c-47f1-8d54-a8a61a5cb1a5&quot;,&quot;properties&quot;:{&quot;noteIndex&quot;:0},&quot;isEdited&quot;:false,&quot;manualOverride&quot;:{&quot;isManuallyOverridden&quot;:false,&quot;citeprocText&quot;:&quot;(World Health Organization, 2019)&quot;,&quot;manualOverrideText&quot;:&quot;&quot;},&quot;citationItems&quot;:[{&quot;id&quot;:&quot;6e9320fa-d33c-39ac-a5e1-9b7e5fd2cb69&quot;,&quot;itemData&quot;:{&quot;type&quot;:&quot;report&quot;,&quot;id&quot;:&quot;6e9320fa-d33c-39ac-a5e1-9b7e5fd2cb69&quot;,&quot;title&quot;:&quot;Global Market Study: Meningococcal Meningitis Vaccines&quot;,&quot;author&quot;:[{&quot;family&quot;:&quot;World Health Organization&quot;,&quot;given&quot;:&quot;&quot;,&quot;parse-names&quot;:false,&quot;dropping-particle&quot;:&quot;&quot;,&quot;non-dropping-particle&quot;:&quot;&quot;}],&quot;accessed&quot;:{&quot;date-parts&quot;:[[2023,11,27]]},&quot;URL&quot;:&quot;https://cdn.who.int/media/docs/default-source/immunization/mi4a/who_meningococcal_vaccines_public_summary.pdf&quot;,&quot;issued&quot;:{&quot;date-parts&quot;:[[2019]]},&quot;number-of-pages&quot;:&quot;1-4&quot;,&quot;issue&quot;:&quot;May&quot;},&quot;isTemporary&quot;:false}],&quot;citationTag&quot;:&quot;MENDELEY_CITATION_v3_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1E647-AC88-4180-B15E-58DA8FF0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3334</Words>
  <Characters>19010</Characters>
  <Application>Microsoft Office Word</Application>
  <DocSecurity>0</DocSecurity>
  <Lines>158</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2023-12-19T14:17:00Z</dcterms:created>
  <dcterms:modified xsi:type="dcterms:W3CDTF">2023-12-19T14:17:00Z</dcterms:modified>
</cp:coreProperties>
</file>