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AD04" w14:textId="77777777" w:rsidR="0005520C" w:rsidRPr="00B4388F" w:rsidRDefault="0005520C" w:rsidP="0005520C">
      <w:pPr>
        <w:pStyle w:val="Els-Title"/>
        <w:rPr>
          <w:color w:val="000000" w:themeColor="text1"/>
        </w:rPr>
      </w:pPr>
      <w:r w:rsidRPr="00EE2690">
        <w:rPr>
          <w:color w:val="000000" w:themeColor="text1"/>
        </w:rPr>
        <w:t xml:space="preserve">Adaptive </w:t>
      </w:r>
      <w:proofErr w:type="gramStart"/>
      <w:r w:rsidRPr="00EE2690">
        <w:rPr>
          <w:color w:val="000000" w:themeColor="text1"/>
        </w:rPr>
        <w:t>Soft</w:t>
      </w:r>
      <w:r>
        <w:rPr>
          <w:color w:val="000000" w:themeColor="text1"/>
        </w:rPr>
        <w:t>-s</w:t>
      </w:r>
      <w:r w:rsidRPr="00EE2690">
        <w:rPr>
          <w:color w:val="000000" w:themeColor="text1"/>
        </w:rPr>
        <w:t>ensor</w:t>
      </w:r>
      <w:proofErr w:type="gramEnd"/>
      <w:r w:rsidRPr="00EE2690">
        <w:rPr>
          <w:color w:val="000000" w:themeColor="text1"/>
        </w:rPr>
        <w:t xml:space="preserve"> for Sudden Changes in Process </w:t>
      </w:r>
      <w:r>
        <w:rPr>
          <w:color w:val="000000" w:themeColor="text1"/>
        </w:rPr>
        <w:t>C</w:t>
      </w:r>
      <w:r w:rsidRPr="00EE2690">
        <w:rPr>
          <w:color w:val="000000" w:themeColor="text1"/>
        </w:rPr>
        <w:t xml:space="preserve">haracteristics </w:t>
      </w:r>
      <w:r>
        <w:rPr>
          <w:color w:val="000000" w:themeColor="text1"/>
        </w:rPr>
        <w:t>B</w:t>
      </w:r>
      <w:r w:rsidRPr="00EE2690">
        <w:rPr>
          <w:color w:val="000000" w:themeColor="text1"/>
        </w:rPr>
        <w:t>ased on Transfer Learning</w:t>
      </w:r>
    </w:p>
    <w:p w14:paraId="144DE680" w14:textId="741B0F1D" w:rsidR="00DD3D9E" w:rsidRPr="00DE0673" w:rsidRDefault="00EE2690">
      <w:pPr>
        <w:pStyle w:val="Els-Author"/>
        <w:rPr>
          <w:lang w:eastAsia="ja-JP"/>
        </w:rPr>
      </w:pPr>
      <w:r>
        <w:t>Kaito Katayama,</w:t>
      </w:r>
      <w:r>
        <w:rPr>
          <w:vertAlign w:val="superscript"/>
        </w:rPr>
        <w:t>a</w:t>
      </w:r>
      <w:r>
        <w:t xml:space="preserve"> Kazuki Yamamoto,</w:t>
      </w:r>
      <w:r>
        <w:rPr>
          <w:vertAlign w:val="superscript"/>
        </w:rPr>
        <w:t>b</w:t>
      </w:r>
      <w:r>
        <w:t xml:space="preserve"> Koichi Fujiwara</w:t>
      </w:r>
      <w:r>
        <w:rPr>
          <w:vertAlign w:val="superscript"/>
        </w:rPr>
        <w:t>a</w:t>
      </w:r>
      <w:r w:rsidR="00175821">
        <w:rPr>
          <w:vertAlign w:val="superscript"/>
        </w:rPr>
        <w:t>*</w:t>
      </w:r>
    </w:p>
    <w:p w14:paraId="144DE681" w14:textId="2FC456A4" w:rsidR="00DD3D9E" w:rsidRPr="00EE2690" w:rsidRDefault="00EE2690">
      <w:pPr>
        <w:pStyle w:val="Els-Affiliation"/>
      </w:pPr>
      <w:r>
        <w:rPr>
          <w:vertAlign w:val="superscript"/>
        </w:rPr>
        <w:t>a</w:t>
      </w:r>
      <w:r w:rsidRPr="00EE2690">
        <w:t xml:space="preserve">Department of Materials Process Engineering, Nagoya University, </w:t>
      </w:r>
      <w:r w:rsidR="006B4325">
        <w:rPr>
          <w:lang w:val="en-US"/>
        </w:rPr>
        <w:t xml:space="preserve">Furo-cho, Chikusa-ku, Nagoya, 464-8601, </w:t>
      </w:r>
      <w:r w:rsidRPr="00EE2690">
        <w:t>Japan</w:t>
      </w:r>
    </w:p>
    <w:p w14:paraId="144DE682" w14:textId="2E7E7298" w:rsidR="00DD3D9E" w:rsidRPr="00EE2690" w:rsidRDefault="00EE2690">
      <w:pPr>
        <w:pStyle w:val="Els-Affiliation"/>
      </w:pPr>
      <w:r w:rsidRPr="00EE2690">
        <w:rPr>
          <w:vertAlign w:val="superscript"/>
        </w:rPr>
        <w:t>b</w:t>
      </w:r>
      <w:r>
        <w:t xml:space="preserve">AGC Inc., </w:t>
      </w:r>
      <w:r w:rsidR="006B4325">
        <w:t xml:space="preserve">1-1, Suehiro-cho, Tsurumi-ku, Yokohama, 230-0045, </w:t>
      </w:r>
      <w:r>
        <w:t>Japan</w:t>
      </w:r>
    </w:p>
    <w:p w14:paraId="144DE683" w14:textId="0B85C566" w:rsidR="008D2649" w:rsidRPr="00A94774" w:rsidRDefault="00EE2690" w:rsidP="00EE2690">
      <w:pPr>
        <w:pStyle w:val="Els-Affiliation"/>
        <w:spacing w:after="120"/>
      </w:pPr>
      <w:r w:rsidRPr="00EE2690">
        <w:t>fujiwara.koichi@hps.material.nagoya-u.ac.jp</w:t>
      </w:r>
    </w:p>
    <w:p w14:paraId="144DE684" w14:textId="77777777" w:rsidR="008D2649" w:rsidRDefault="008D2649" w:rsidP="008D2649">
      <w:pPr>
        <w:pStyle w:val="Els-Abstract"/>
      </w:pPr>
      <w:r>
        <w:t>Abstract</w:t>
      </w:r>
    </w:p>
    <w:p w14:paraId="3B1E2BDC" w14:textId="577D2090" w:rsidR="0078682A" w:rsidRPr="0013095A" w:rsidRDefault="0078682A" w:rsidP="0078682A">
      <w:pPr>
        <w:pStyle w:val="Els-body-text"/>
        <w:spacing w:after="120"/>
        <w:rPr>
          <w:lang w:val="en-GB"/>
        </w:rPr>
      </w:pPr>
      <w:proofErr w:type="gramStart"/>
      <w:r>
        <w:t>Soft-sensors</w:t>
      </w:r>
      <w:proofErr w:type="gramEnd"/>
      <w:r>
        <w:t xml:space="preserve"> have been widely utilized in various manufacturing processes for predicting important process variables, such as product quality or variables relating to process safety, from other easily measured variables when important process variables cannot be measured online. Highly adequate soft-sensors are necessary for efficient and safe process operation; however, when process characteristics are altered</w:t>
      </w:r>
      <w:r>
        <w:rPr>
          <w:lang w:eastAsia="ja-JP"/>
        </w:rPr>
        <w:t xml:space="preserve"> </w:t>
      </w:r>
      <w:r w:rsidRPr="0013580D">
        <w:rPr>
          <w:lang w:eastAsia="ja-JP"/>
        </w:rPr>
        <w:t xml:space="preserve">due to a variety of factors, </w:t>
      </w:r>
      <w:r>
        <w:rPr>
          <w:lang w:eastAsia="ja-JP"/>
        </w:rPr>
        <w:t xml:space="preserve">the </w:t>
      </w:r>
      <w:r>
        <w:t>performance of soft-sensors may deteriorate.</w:t>
      </w:r>
      <w:r>
        <w:rPr>
          <w:rFonts w:hint="eastAsia"/>
        </w:rPr>
        <w:t xml:space="preserve"> </w:t>
      </w:r>
      <w:r>
        <w:t xml:space="preserve">Because it is burdensome to update or re-build soft sensors frequently, they should be adapted to such changes automatically. Thus, automatic soft-sensor updating methods for adapting to current process characteristics, such as Just-In-Time (JIT) </w:t>
      </w:r>
      <w:r w:rsidR="009E0B2E">
        <w:t>modelling</w:t>
      </w:r>
      <w:r>
        <w:t xml:space="preserve">, have been </w:t>
      </w:r>
      <w:r>
        <w:rPr>
          <w:lang w:val="en-GB"/>
        </w:rPr>
        <w:t xml:space="preserve">proposed. </w:t>
      </w:r>
      <w:r>
        <w:t xml:space="preserve">Transfer learning (TL) has also been used for updating </w:t>
      </w:r>
      <w:proofErr w:type="gramStart"/>
      <w:r>
        <w:t>soft-sensors</w:t>
      </w:r>
      <w:proofErr w:type="gramEnd"/>
      <w:r>
        <w:t xml:space="preserve">. The </w:t>
      </w:r>
      <w:proofErr w:type="gramStart"/>
      <w:r>
        <w:t>soft-sensors</w:t>
      </w:r>
      <w:proofErr w:type="gramEnd"/>
      <w:r>
        <w:t xml:space="preserve"> updating methods based on TL have been utilized for adapting quickly to changes in process characteristics, in which operation data collected prior to changes in process characteristics are used as the source domain data, and the current process data are regarded as the target domain data. However, previous methods using TL cannot be applied to sudden and unpredictable changes in process characteristics because TL needs information about the exact timings of characteristic changes</w:t>
      </w:r>
      <w:r w:rsidRPr="0013095A">
        <w:rPr>
          <w:lang w:val="en-GB"/>
        </w:rPr>
        <w:t>.</w:t>
      </w:r>
    </w:p>
    <w:p w14:paraId="58813DC5" w14:textId="1BF179D0" w:rsidR="0067247D" w:rsidRDefault="0067247D" w:rsidP="0067247D">
      <w:pPr>
        <w:pStyle w:val="Els-body-text"/>
        <w:spacing w:after="120"/>
        <w:rPr>
          <w:lang w:val="en-GB"/>
        </w:rPr>
      </w:pPr>
      <w:r>
        <w:t>This study proposes a new adaptive soft-sensor updating technique called the latest sample targeting FEDA (LST-FEDA). In the proposed method, a fixed number of samples close to the query in time are defined as the target domain of FEDA</w:t>
      </w:r>
      <w:r>
        <w:rPr>
          <w:lang w:eastAsia="ja-JP"/>
        </w:rPr>
        <w:t xml:space="preserve">, which is </w:t>
      </w:r>
      <w:r>
        <w:rPr>
          <w:rFonts w:eastAsia="PMingLiU"/>
          <w:lang w:eastAsia="zh-TW"/>
        </w:rPr>
        <w:t xml:space="preserve">considered a </w:t>
      </w:r>
      <w:r>
        <w:rPr>
          <w:lang w:eastAsia="ja-JP"/>
        </w:rPr>
        <w:t>TL method,</w:t>
      </w:r>
      <w:r>
        <w:rPr>
          <w:rFonts w:hint="eastAsia"/>
          <w:lang w:eastAsia="ja-JP"/>
        </w:rPr>
        <w:t xml:space="preserve"> </w:t>
      </w:r>
      <w:r>
        <w:t xml:space="preserve">because samples measured at close sampling points may have similar characteristics. Using a JIT </w:t>
      </w:r>
      <w:r w:rsidR="009E0B2E">
        <w:t>modelling</w:t>
      </w:r>
      <w:r>
        <w:t xml:space="preserve"> manner with LST-FEDA, soft-sensors are </w:t>
      </w:r>
      <w:proofErr w:type="gramStart"/>
      <w:r>
        <w:t>constructed</w:t>
      </w:r>
      <w:proofErr w:type="gramEnd"/>
      <w:r>
        <w:t xml:space="preserve"> and target variables are predicted for every sample measurement by focusing on some latest samples that may be similar to the query as the target domain in TL. </w:t>
      </w:r>
      <w:proofErr w:type="gramStart"/>
      <w:r>
        <w:t>Locally-weighted</w:t>
      </w:r>
      <w:proofErr w:type="gramEnd"/>
      <w:r>
        <w:t xml:space="preserve"> partial least squares (LWPLS) can be applied for JIT </w:t>
      </w:r>
      <w:r w:rsidR="009E0B2E">
        <w:t>modelling</w:t>
      </w:r>
      <w:r>
        <w:t>.</w:t>
      </w:r>
      <w:r>
        <w:rPr>
          <w:rFonts w:hint="eastAsia"/>
        </w:rPr>
        <w:t xml:space="preserve"> </w:t>
      </w:r>
      <w:r>
        <w:t xml:space="preserve">The proposed method enables </w:t>
      </w:r>
      <w:proofErr w:type="gramStart"/>
      <w:r>
        <w:t>soft-sensors</w:t>
      </w:r>
      <w:proofErr w:type="gramEnd"/>
      <w:r>
        <w:t xml:space="preserve"> to quickly adapt to sudden changes as well as slow changes in process characteristics</w:t>
      </w:r>
      <w:r w:rsidRPr="0013095A">
        <w:rPr>
          <w:lang w:val="en-GB"/>
        </w:rPr>
        <w:t>.</w:t>
      </w:r>
      <w:r>
        <w:rPr>
          <w:lang w:val="en-GB"/>
        </w:rPr>
        <w:t xml:space="preserve"> The proposed method was applied to the operation data of a </w:t>
      </w:r>
      <w:r>
        <w:rPr>
          <w:lang w:eastAsia="ja-JP"/>
        </w:rPr>
        <w:t>vinyl acetate monomer (VAM) process, which</w:t>
      </w:r>
      <w:r>
        <w:t xml:space="preserve"> showed that the proposed method could maintain its prediction performance even after malfunction occurrence.</w:t>
      </w:r>
      <w:r>
        <w:rPr>
          <w:rFonts w:hint="eastAsia"/>
        </w:rPr>
        <w:t xml:space="preserve"> </w:t>
      </w:r>
      <w:r>
        <w:t>The prediction performance of the proposed method after the malfunction improved the correlation coefficient by 6.1 % and the root means squared errors (RMSE) by 32.9% on average compared with the previous method. In conclusion, the proposed LST-FEDA can potentially contribute to efficient process operation and reduce the maintenance or updating of soft-sensors in the practical stage</w:t>
      </w:r>
      <w:r w:rsidRPr="0013095A">
        <w:rPr>
          <w:lang w:val="en-GB"/>
        </w:rPr>
        <w:t>.</w:t>
      </w:r>
    </w:p>
    <w:p w14:paraId="00067D27" w14:textId="7ACBD7E3" w:rsidR="0095047D" w:rsidRPr="00BB18F6" w:rsidRDefault="0095047D" w:rsidP="003F0D7C">
      <w:pPr>
        <w:pStyle w:val="Els-body-text"/>
        <w:spacing w:after="120"/>
        <w:rPr>
          <w:lang w:val="en-GB"/>
        </w:rPr>
      </w:pPr>
      <w:r>
        <w:rPr>
          <w:b/>
          <w:bCs/>
          <w:lang w:val="en-GB"/>
        </w:rPr>
        <w:t>Keywords</w:t>
      </w:r>
      <w:r>
        <w:rPr>
          <w:lang w:val="en-GB"/>
        </w:rPr>
        <w:t xml:space="preserve">: Soft-sensor, Just-In-Time </w:t>
      </w:r>
      <w:r w:rsidR="009E0B2E">
        <w:rPr>
          <w:lang w:val="en-GB"/>
        </w:rPr>
        <w:t>modelling</w:t>
      </w:r>
      <w:r>
        <w:rPr>
          <w:lang w:val="en-GB"/>
        </w:rPr>
        <w:t xml:space="preserve">, Transfer </w:t>
      </w:r>
      <w:r>
        <w:rPr>
          <w:lang w:eastAsia="ja-JP"/>
        </w:rPr>
        <w:t>l</w:t>
      </w:r>
      <w:r>
        <w:rPr>
          <w:rFonts w:hint="eastAsia"/>
          <w:lang w:val="en-GB" w:eastAsia="ja-JP"/>
        </w:rPr>
        <w:t>e</w:t>
      </w:r>
      <w:r>
        <w:rPr>
          <w:lang w:val="en-GB"/>
        </w:rPr>
        <w:t>arning, VAM process</w:t>
      </w:r>
    </w:p>
    <w:p w14:paraId="144DE689" w14:textId="0F33DE69" w:rsidR="008D2649" w:rsidRDefault="0013095A" w:rsidP="008D2649">
      <w:pPr>
        <w:pStyle w:val="Els-1storder-head"/>
      </w:pPr>
      <w:r>
        <w:lastRenderedPageBreak/>
        <w:t>Introduction</w:t>
      </w:r>
    </w:p>
    <w:p w14:paraId="6BE50A04" w14:textId="359AF687" w:rsidR="000D18B9" w:rsidRPr="0013095A" w:rsidRDefault="000D18B9" w:rsidP="000D18B9">
      <w:pPr>
        <w:pStyle w:val="Els-body-text"/>
        <w:spacing w:after="120"/>
        <w:rPr>
          <w:lang w:val="en-GB"/>
        </w:rPr>
      </w:pPr>
      <w:r>
        <w:t>I</w:t>
      </w:r>
      <w:r w:rsidR="0067247D">
        <w:t xml:space="preserve">n manufacturing processes, various types of hardware sensors have been used to measure process variables; however, product quality or other important variables often </w:t>
      </w:r>
      <w:proofErr w:type="gramStart"/>
      <w:r w:rsidR="0067247D">
        <w:t>have to</w:t>
      </w:r>
      <w:proofErr w:type="gramEnd"/>
      <w:r w:rsidR="0067247D">
        <w:t xml:space="preserve"> be measured with periodic offline analysis because some variables, such as product composition, cannot be measured online. It takes some time to perform offline analysis, resulting in delays in process control</w:t>
      </w:r>
      <w:r w:rsidR="0067247D" w:rsidRPr="0013095A">
        <w:rPr>
          <w:lang w:val="en-GB"/>
        </w:rPr>
        <w:t>.</w:t>
      </w:r>
    </w:p>
    <w:p w14:paraId="74AC278B" w14:textId="77777777" w:rsidR="00E57865" w:rsidRPr="0013095A" w:rsidRDefault="00E57865" w:rsidP="00E57865">
      <w:pPr>
        <w:pStyle w:val="Els-body-text"/>
        <w:spacing w:after="120"/>
        <w:rPr>
          <w:lang w:val="en-GB"/>
        </w:rPr>
      </w:pPr>
      <w:proofErr w:type="gramStart"/>
      <w:r w:rsidRPr="001F14EA">
        <w:t>Soft</w:t>
      </w:r>
      <w:r>
        <w:t>-</w:t>
      </w:r>
      <w:r w:rsidRPr="001F14EA">
        <w:t>sensors</w:t>
      </w:r>
      <w:proofErr w:type="gramEnd"/>
      <w:r w:rsidRPr="001F14EA">
        <w:t xml:space="preserve"> have been widely used in various manufacturing processes to address this issue (Kadlec </w:t>
      </w:r>
      <w:r w:rsidRPr="00816B39">
        <w:rPr>
          <w:i/>
          <w:iCs/>
        </w:rPr>
        <w:t>et al.</w:t>
      </w:r>
      <w:r w:rsidRPr="001F14EA">
        <w:t xml:space="preserve">, 2011). </w:t>
      </w:r>
      <w:r>
        <w:t xml:space="preserve">A general </w:t>
      </w:r>
      <w:r w:rsidRPr="001F14EA">
        <w:t>soft</w:t>
      </w:r>
      <w:r>
        <w:t>-</w:t>
      </w:r>
      <w:r w:rsidRPr="001F14EA">
        <w:t xml:space="preserve">sensor </w:t>
      </w:r>
      <w:r>
        <w:t>uses</w:t>
      </w:r>
      <w:r w:rsidRPr="001F14EA">
        <w:t xml:space="preserve"> a regression model predicting a key variable that is difficult to analyze online with hard-sensors from process variables</w:t>
      </w:r>
      <w:r>
        <w:t xml:space="preserve"> </w:t>
      </w:r>
      <w:r w:rsidRPr="001F14EA">
        <w:t>easy to measure online. By inputting a newly measured sample into the constructed soft</w:t>
      </w:r>
      <w:r>
        <w:t>-</w:t>
      </w:r>
      <w:r w:rsidRPr="001F14EA">
        <w:t xml:space="preserve">sensor, the objective variable is predicted in </w:t>
      </w:r>
      <w:r>
        <w:t>real-time</w:t>
      </w:r>
      <w:r w:rsidRPr="001F14EA">
        <w:t xml:space="preserve">, which </w:t>
      </w:r>
      <w:r>
        <w:t>contributes</w:t>
      </w:r>
      <w:r w:rsidRPr="001F14EA">
        <w:t xml:space="preserve"> to realizing stable and efficient process operation. However, as process characteristics change due to the aging of manufacturing facilities or periodical process </w:t>
      </w:r>
      <w:r>
        <w:t>maintenance</w:t>
      </w:r>
      <w:r w:rsidRPr="001F14EA">
        <w:t xml:space="preserve">, the prediction performance of the </w:t>
      </w:r>
      <w:proofErr w:type="gramStart"/>
      <w:r w:rsidRPr="001F14EA">
        <w:t>soft</w:t>
      </w:r>
      <w:r>
        <w:t>-</w:t>
      </w:r>
      <w:r w:rsidRPr="001F14EA">
        <w:t>sensor</w:t>
      </w:r>
      <w:proofErr w:type="gramEnd"/>
      <w:r w:rsidRPr="001F14EA">
        <w:t xml:space="preserve"> may deteriorate, leading to declining operation efficacy </w:t>
      </w:r>
      <w:r>
        <w:t xml:space="preserve">and safety </w:t>
      </w:r>
      <w:r w:rsidRPr="001F14EA">
        <w:t xml:space="preserve">(Kano and Fujiwara, 2013). It is important </w:t>
      </w:r>
      <w:r>
        <w:t xml:space="preserve">for </w:t>
      </w:r>
      <w:r w:rsidRPr="001F14EA">
        <w:t xml:space="preserve">the </w:t>
      </w:r>
      <w:proofErr w:type="gramStart"/>
      <w:r w:rsidRPr="001F14EA">
        <w:t>soft</w:t>
      </w:r>
      <w:r>
        <w:t>-</w:t>
      </w:r>
      <w:r w:rsidRPr="001F14EA">
        <w:t>sensor</w:t>
      </w:r>
      <w:proofErr w:type="gramEnd"/>
      <w:r w:rsidRPr="001F14EA">
        <w:t xml:space="preserve"> to rapidly adapt to the current process condition for effective and safe process operation</w:t>
      </w:r>
      <w:r w:rsidRPr="0013095A">
        <w:rPr>
          <w:lang w:val="en-GB"/>
        </w:rPr>
        <w:t>.</w:t>
      </w:r>
    </w:p>
    <w:p w14:paraId="1486D3C5" w14:textId="4C064D69" w:rsidR="00E57865" w:rsidRPr="0013095A" w:rsidRDefault="00E57865" w:rsidP="00E57865">
      <w:pPr>
        <w:pStyle w:val="Els-body-text"/>
        <w:spacing w:after="120"/>
        <w:rPr>
          <w:lang w:val="en-GB"/>
        </w:rPr>
      </w:pPr>
      <w:r>
        <w:rPr>
          <w:rFonts w:hint="eastAsia"/>
        </w:rPr>
        <w:t>T</w:t>
      </w:r>
      <w:r>
        <w:t xml:space="preserve">o address this issue, an adaptive </w:t>
      </w:r>
      <w:r w:rsidR="009E0B2E">
        <w:t>modelling</w:t>
      </w:r>
      <w:r>
        <w:t xml:space="preserve"> method, Just-In-Time (JIT) </w:t>
      </w:r>
      <w:r w:rsidR="009E0B2E">
        <w:t>modelling</w:t>
      </w:r>
      <w:r>
        <w:t xml:space="preserve"> was developed (</w:t>
      </w:r>
      <w:proofErr w:type="spellStart"/>
      <w:r>
        <w:t>Atkeson</w:t>
      </w:r>
      <w:proofErr w:type="spellEnd"/>
      <w:r>
        <w:t xml:space="preserve"> </w:t>
      </w:r>
      <w:r w:rsidRPr="00816B39">
        <w:rPr>
          <w:i/>
          <w:iCs/>
        </w:rPr>
        <w:t>et al.</w:t>
      </w:r>
      <w:r>
        <w:t xml:space="preserve">, 1997). JIT </w:t>
      </w:r>
      <w:r w:rsidR="009E0B2E">
        <w:t>modelling</w:t>
      </w:r>
      <w:r>
        <w:t xml:space="preserve"> can handle sudden changes in process characteristics as well as gradual changes by utilizing past process operation information; however, it does not always adapt to abrupt changes when the new process condition is completely unknown, for example, facility malfunction.</w:t>
      </w:r>
    </w:p>
    <w:p w14:paraId="01733593" w14:textId="77777777" w:rsidR="00E57865" w:rsidRPr="0013095A" w:rsidRDefault="00E57865" w:rsidP="00E57865">
      <w:pPr>
        <w:pStyle w:val="Els-body-text"/>
        <w:spacing w:after="120"/>
        <w:rPr>
          <w:lang w:val="en-GB"/>
        </w:rPr>
      </w:pPr>
      <w:r>
        <w:t xml:space="preserve">Recently, the application of transfer learning (TL) to soft-sensor adaption has been proposed. TL is a machine learning method that transfers information from an experienced similar problem (source domain) to a new problem (target domain) to make the problem easier to solve (Pan and Yang, 2010). Yamada </w:t>
      </w:r>
      <w:r w:rsidRPr="00773033">
        <w:rPr>
          <w:i/>
          <w:iCs/>
        </w:rPr>
        <w:t>et al.</w:t>
      </w:r>
      <w:r>
        <w:t xml:space="preserve"> (2022) applied a TL technique called frustratingly easy domain adaptation (FEDA) (</w:t>
      </w:r>
      <w:proofErr w:type="spellStart"/>
      <w:r w:rsidRPr="00F169C9">
        <w:t>Daum</w:t>
      </w:r>
      <w:r>
        <w:rPr>
          <w:rFonts w:ascii="Cambria" w:hAnsi="Cambria" w:cs="Apple Color Emoji"/>
          <w:lang w:eastAsia="ja-JP"/>
        </w:rPr>
        <w:t>é</w:t>
      </w:r>
      <w:proofErr w:type="spellEnd"/>
      <w:r w:rsidRPr="00F169C9">
        <w:rPr>
          <w:rFonts w:hint="eastAsia"/>
          <w:lang w:eastAsia="ja-JP"/>
        </w:rPr>
        <w:t xml:space="preserve"> </w:t>
      </w:r>
      <w:r w:rsidRPr="00F169C9">
        <w:t>III</w:t>
      </w:r>
      <w:r>
        <w:t xml:space="preserve">, 2007) to construct </w:t>
      </w:r>
      <w:proofErr w:type="gramStart"/>
      <w:r>
        <w:t>soft-sensors</w:t>
      </w:r>
      <w:proofErr w:type="gramEnd"/>
      <w:r>
        <w:t xml:space="preserve"> for process manufacturing products with multiple grades. They reported achieving accurate predictions of the quality of the target grade product. However, it is difficult to apply conventional TL-based methods to abrupt changes in process characteristics because the onset of such changes should be identified </w:t>
      </w:r>
      <w:proofErr w:type="gramStart"/>
      <w:r>
        <w:t>in order to</w:t>
      </w:r>
      <w:proofErr w:type="gramEnd"/>
      <w:r>
        <w:t xml:space="preserve"> transfer information appropriately.</w:t>
      </w:r>
    </w:p>
    <w:p w14:paraId="208677A9" w14:textId="21068D4C" w:rsidR="00E57865" w:rsidRPr="000D18B9" w:rsidRDefault="00E57865" w:rsidP="00E57865">
      <w:pPr>
        <w:pStyle w:val="Els-body-text"/>
        <w:spacing w:after="120"/>
        <w:rPr>
          <w:lang w:val="en-GB"/>
        </w:rPr>
      </w:pPr>
      <w:proofErr w:type="gramStart"/>
      <w:r>
        <w:t>In order to</w:t>
      </w:r>
      <w:proofErr w:type="gramEnd"/>
      <w:r>
        <w:t xml:space="preserve"> solve these problems of JIT-based and TL-based methods, this study proposes a new TL method, referred to as latest sample targeting FEDA (LST-FEDA), for JIT </w:t>
      </w:r>
      <w:r w:rsidR="009E0B2E">
        <w:t>modelling</w:t>
      </w:r>
      <w:r>
        <w:t xml:space="preserve">. Because it is expected that samples measured at close measurement time have similar characteristics to each other in manufacturing processes, LST-FEDA designates a fixed number of recent samples as the target domain of TL and other past samples as the source domain, which is expected to select suitable samples for soft-sensor update in JIT </w:t>
      </w:r>
      <w:r w:rsidR="009E0B2E">
        <w:t>modelling</w:t>
      </w:r>
      <w:r>
        <w:t xml:space="preserve">. Whenever new samples are acquired, the data in the target domain are refreshed by LST-FEDA, and the soft-sensor is reconstructed following the JIT </w:t>
      </w:r>
      <w:r w:rsidR="009E0B2E">
        <w:t>modelling</w:t>
      </w:r>
      <w:r>
        <w:t xml:space="preserve"> manner. By applying the proposed LST-FEDA to JIT </w:t>
      </w:r>
      <w:r w:rsidR="009E0B2E">
        <w:t>modelling</w:t>
      </w:r>
      <w:r>
        <w:t xml:space="preserve">, the soft-sensor can cope handle gradual changes in process characteristics over time, as well as abrupt changes even when there is no historical data </w:t>
      </w:r>
      <w:proofErr w:type="gramStart"/>
      <w:r>
        <w:t>similar to</w:t>
      </w:r>
      <w:proofErr w:type="gramEnd"/>
      <w:r>
        <w:t xml:space="preserve"> the current process condition.</w:t>
      </w:r>
    </w:p>
    <w:p w14:paraId="1E914784" w14:textId="467166DF" w:rsidR="00E57865" w:rsidRDefault="008E3660" w:rsidP="00537B05">
      <w:pPr>
        <w:pStyle w:val="Els-body-text"/>
      </w:pPr>
      <w:r>
        <w:t>In this study, the usefulness of the proposed method is demonstrated through its application to simulation data of a vinyl acetate monomer (VAM) production process</w:t>
      </w:r>
      <w:r w:rsidR="00981C4F">
        <w:t xml:space="preserve"> (</w:t>
      </w:r>
      <w:r w:rsidR="00981C4F" w:rsidRPr="00156DB2">
        <w:t>M</w:t>
      </w:r>
      <w:r w:rsidR="00981C4F">
        <w:t xml:space="preserve">achida </w:t>
      </w:r>
      <w:r w:rsidR="00981C4F" w:rsidRPr="00816B39">
        <w:rPr>
          <w:i/>
          <w:iCs/>
        </w:rPr>
        <w:t>et al.</w:t>
      </w:r>
      <w:r w:rsidR="00981C4F">
        <w:t xml:space="preserve">, </w:t>
      </w:r>
      <w:r w:rsidR="00981C4F" w:rsidRPr="00156DB2">
        <w:t>2016</w:t>
      </w:r>
      <w:r w:rsidR="00981C4F">
        <w:t>)</w:t>
      </w:r>
      <w:r>
        <w:t xml:space="preserve"> generated by a process simulator</w:t>
      </w:r>
      <w:r w:rsidR="00156DB2">
        <w:t xml:space="preserve"> provided by </w:t>
      </w:r>
      <w:r w:rsidR="00156DB2" w:rsidRPr="00156DB2">
        <w:t>Omega Simulation Co., Ltd</w:t>
      </w:r>
      <w:r w:rsidR="00666BCD">
        <w:t xml:space="preserve"> (</w:t>
      </w:r>
      <w:r w:rsidR="00F03EF3" w:rsidRPr="00F03EF3">
        <w:t>https://www.omegasim.co.jp/</w:t>
      </w:r>
      <w:r w:rsidR="00F03EF3">
        <w:rPr>
          <w:lang w:eastAsia="ja-JP"/>
        </w:rPr>
        <w:t xml:space="preserve">, </w:t>
      </w:r>
      <w:r w:rsidR="00F03EF3">
        <w:t>accessed 2023/08/05</w:t>
      </w:r>
      <w:r w:rsidR="00666BCD">
        <w:rPr>
          <w:rFonts w:hint="eastAsia"/>
          <w:lang w:eastAsia="ja-JP"/>
        </w:rPr>
        <w:t>)</w:t>
      </w:r>
      <w:r>
        <w:t>.</w:t>
      </w:r>
    </w:p>
    <w:p w14:paraId="2FB9161F" w14:textId="70709BEF" w:rsidR="008C0C7F" w:rsidRDefault="008C0C7F" w:rsidP="008C0C7F">
      <w:pPr>
        <w:pStyle w:val="Els-1storder-head"/>
      </w:pPr>
      <w:r>
        <w:lastRenderedPageBreak/>
        <w:t>Methods</w:t>
      </w:r>
    </w:p>
    <w:p w14:paraId="46D16A85" w14:textId="6CBC026C" w:rsidR="008C0C7F" w:rsidRDefault="008C0C7F" w:rsidP="008C0C7F">
      <w:pPr>
        <w:pStyle w:val="Els-2ndorder-head"/>
        <w:spacing w:after="120"/>
        <w:rPr>
          <w:lang w:val="en-GB"/>
        </w:rPr>
      </w:pPr>
      <w:r>
        <w:t>Frustratingly easy domain adaptation</w:t>
      </w:r>
      <w:r>
        <w:rPr>
          <w:lang w:val="en-GB"/>
        </w:rPr>
        <w:t xml:space="preserve"> (FEDA)</w:t>
      </w:r>
    </w:p>
    <w:p w14:paraId="138D071F" w14:textId="541CCA52" w:rsidR="008C0C7F" w:rsidRDefault="008C0C7F" w:rsidP="008C0C7F">
      <w:pPr>
        <w:pStyle w:val="Els-body-text"/>
        <w:rPr>
          <w:lang w:val="en-GB"/>
        </w:rPr>
      </w:pPr>
      <w:r>
        <w:rPr>
          <w:rFonts w:hint="eastAsia"/>
          <w:lang w:val="en-GB"/>
        </w:rPr>
        <w:t>F</w:t>
      </w:r>
      <w:r>
        <w:rPr>
          <w:lang w:val="en-GB"/>
        </w:rPr>
        <w:t xml:space="preserve">EDA is </w:t>
      </w:r>
      <w:r w:rsidRPr="008C0C7F">
        <w:rPr>
          <w:lang w:val="en-GB"/>
        </w:rPr>
        <w:t>a domain adaptation learning method, which can be described by a simple expansion of an input variable space</w:t>
      </w:r>
      <w:r>
        <w:rPr>
          <w:lang w:val="en-GB"/>
        </w:rPr>
        <w:t xml:space="preserve"> (</w:t>
      </w:r>
      <w:r w:rsidRPr="00F169C9">
        <w:t>Daum</w:t>
      </w:r>
      <w:r>
        <w:rPr>
          <w:rFonts w:ascii="Cambria" w:hAnsi="Cambria" w:cs="Apple Color Emoji"/>
          <w:lang w:eastAsia="ja-JP"/>
        </w:rPr>
        <w:t>é</w:t>
      </w:r>
      <w:r w:rsidRPr="00F169C9">
        <w:rPr>
          <w:rFonts w:hint="eastAsia"/>
          <w:lang w:eastAsia="ja-JP"/>
        </w:rPr>
        <w:t xml:space="preserve"> </w:t>
      </w:r>
      <w:r w:rsidRPr="00F169C9">
        <w:t>III</w:t>
      </w:r>
      <w:r>
        <w:t>, 2007</w:t>
      </w:r>
      <w:r>
        <w:rPr>
          <w:lang w:val="en-GB"/>
        </w:rPr>
        <w:t>)</w:t>
      </w:r>
      <w:r w:rsidRPr="008C0C7F">
        <w:rPr>
          <w:lang w:val="en-GB"/>
        </w:rPr>
        <w:t>.</w:t>
      </w:r>
      <w:r>
        <w:rPr>
          <w:lang w:val="en-GB"/>
        </w:rPr>
        <w:t xml:space="preserve"> In soft</w:t>
      </w:r>
      <w:r w:rsidR="00022D95">
        <w:rPr>
          <w:lang w:val="en-GB"/>
        </w:rPr>
        <w:t>-</w:t>
      </w:r>
      <w:r>
        <w:rPr>
          <w:lang w:val="en-GB"/>
        </w:rPr>
        <w:t>sensor design,</w:t>
      </w:r>
      <w:r w:rsidRPr="008C0C7F">
        <w:rPr>
          <w:lang w:val="en-GB"/>
        </w:rPr>
        <w:t xml:space="preserve"> the source and target domains are operation data before and after the change in process characteristics.</w:t>
      </w:r>
      <w:r>
        <w:rPr>
          <w:lang w:val="en-GB"/>
        </w:rPr>
        <w:t xml:space="preserve"> FEDA extends the </w:t>
      </w:r>
      <w:r w:rsidR="007C4C38">
        <w:rPr>
          <w:lang w:val="en-GB"/>
        </w:rPr>
        <w:t>source</w:t>
      </w:r>
      <w:r w:rsidR="003258BD">
        <w:rPr>
          <w:lang w:val="en-GB"/>
        </w:rPr>
        <w:t xml:space="preserve"> domain data</w:t>
      </w:r>
      <w:r w:rsidR="007C4C38">
        <w:rPr>
          <w:lang w:val="en-GB"/>
        </w:rPr>
        <w:t xml:space="preserve">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r>
          <w:rPr>
            <w:rFonts w:ascii="Cambria Math" w:hAnsi="Cambria Math"/>
            <w:lang w:val="en-GB"/>
          </w:rPr>
          <m:t>∈</m:t>
        </m:r>
        <m:sSup>
          <m:sSupPr>
            <m:ctrlPr>
              <w:rPr>
                <w:rFonts w:ascii="Cambria Math" w:hAnsi="Cambria Math"/>
                <w:i/>
              </w:rPr>
            </m:ctrlPr>
          </m:sSupPr>
          <m:e>
            <m:r>
              <m:rPr>
                <m:scr m:val="double-struck"/>
              </m:rPr>
              <w:rPr>
                <w:rFonts w:ascii="Cambria Math" w:hAnsi="Cambria Math"/>
              </w:rPr>
              <m:t>R</m:t>
            </m:r>
          </m:e>
          <m:sup>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m:t>
            </m:r>
          </m:sup>
        </m:sSup>
      </m:oMath>
      <w:r w:rsidR="003258BD">
        <w:rPr>
          <w:rFonts w:hint="eastAsia"/>
        </w:rPr>
        <w:t xml:space="preserve"> </w:t>
      </w:r>
      <w:r w:rsidR="007C4C38">
        <w:rPr>
          <w:lang w:val="en-GB"/>
        </w:rPr>
        <w:t xml:space="preserve">and target domain data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r>
          <w:rPr>
            <w:rFonts w:ascii="Cambria Math" w:hAnsi="Cambria Math"/>
            <w:lang w:val="en-GB"/>
          </w:rPr>
          <m:t>∈</m:t>
        </m:r>
        <m:sSup>
          <m:sSupPr>
            <m:ctrlPr>
              <w:rPr>
                <w:rFonts w:ascii="Cambria Math" w:hAnsi="Cambria Math"/>
                <w:i/>
              </w:rPr>
            </m:ctrlPr>
          </m:sSupPr>
          <m:e>
            <m:r>
              <m:rPr>
                <m:scr m:val="double-struck"/>
              </m:rPr>
              <w:rPr>
                <w:rFonts w:ascii="Cambria Math" w:hAnsi="Cambria Math"/>
              </w:rPr>
              <m:t>R</m:t>
            </m:r>
          </m:e>
          <m:sup>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m:t>
            </m:r>
          </m:sup>
        </m:sSup>
      </m:oMath>
      <w:r w:rsidR="003258BD">
        <w:rPr>
          <w:rFonts w:hint="eastAsia"/>
        </w:rPr>
        <w:t xml:space="preserve"> </w:t>
      </w:r>
      <w:r>
        <w:rPr>
          <w:lang w:val="en-GB"/>
        </w:rPr>
        <w:t>as follows:</w:t>
      </w:r>
    </w:p>
    <w:tbl>
      <w:tblPr>
        <w:tblW w:w="7087" w:type="dxa"/>
        <w:tblLook w:val="04A0" w:firstRow="1" w:lastRow="0" w:firstColumn="1" w:lastColumn="0" w:noHBand="0" w:noVBand="1"/>
      </w:tblPr>
      <w:tblGrid>
        <w:gridCol w:w="6127"/>
        <w:gridCol w:w="960"/>
      </w:tblGrid>
      <w:tr w:rsidR="008C0C7F" w:rsidRPr="00A94774" w14:paraId="21CED096" w14:textId="77777777" w:rsidTr="008B3D33">
        <w:tc>
          <w:tcPr>
            <w:tcW w:w="6127" w:type="dxa"/>
            <w:shd w:val="clear" w:color="auto" w:fill="auto"/>
            <w:vAlign w:val="center"/>
          </w:tcPr>
          <w:p w14:paraId="376A92BA" w14:textId="4B79F98B" w:rsidR="008C0C7F" w:rsidRPr="00A94774" w:rsidRDefault="008C0C7F" w:rsidP="008B3D33">
            <w:pPr>
              <w:pStyle w:val="Els-body-text"/>
              <w:spacing w:before="120" w:after="120" w:line="264" w:lineRule="auto"/>
              <w:rPr>
                <w:lang w:val="en-GB"/>
              </w:rPr>
            </w:pPr>
            <m:oMathPara>
              <m:oMath>
                <m:r>
                  <m:rPr>
                    <m:sty m:val="p"/>
                  </m:rPr>
                  <w:rPr>
                    <w:rFonts w:ascii="Cambria Math" w:hAnsi="Cambria Math"/>
                    <w:lang w:val="en-GB"/>
                  </w:rPr>
                  <m:t>Φ</m:t>
                </m:r>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e>
                </m:d>
                <m:r>
                  <w:rPr>
                    <w:rFonts w:ascii="Cambria Math" w:hAnsi="Cambria Math"/>
                    <w:lang w:val="en-GB"/>
                  </w:rPr>
                  <m:t>=</m:t>
                </m:r>
                <m:d>
                  <m:dPr>
                    <m:begChr m:val="["/>
                    <m:endChr m:val="]"/>
                    <m:ctrlPr>
                      <w:rPr>
                        <w:rFonts w:ascii="Cambria Math" w:hAnsi="Cambria Math"/>
                        <w:i/>
                        <w:lang w:val="en-GB"/>
                      </w:rPr>
                    </m:ctrlPr>
                  </m:dPr>
                  <m:e>
                    <m:m>
                      <m:mPr>
                        <m:mcs>
                          <m:mc>
                            <m:mcPr>
                              <m:count m:val="3"/>
                              <m:mcJc m:val="center"/>
                            </m:mcPr>
                          </m:mc>
                        </m:mcs>
                        <m:ctrlPr>
                          <w:rPr>
                            <w:rFonts w:ascii="Cambria Math" w:hAnsi="Cambria Math"/>
                            <w:i/>
                            <w:lang w:val="en-GB"/>
                          </w:rPr>
                        </m:ctrlPr>
                      </m:mPr>
                      <m:m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e>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e>
                        <m:e>
                          <m:r>
                            <m:rPr>
                              <m:sty m:val="b"/>
                            </m:rPr>
                            <w:rPr>
                              <w:rFonts w:ascii="Cambria Math" w:hAnsi="Cambria Math"/>
                              <w:lang w:val="en-GB"/>
                            </w:rPr>
                            <m:t>0</m:t>
                          </m:r>
                        </m:e>
                      </m:mr>
                    </m:m>
                  </m:e>
                </m:d>
              </m:oMath>
            </m:oMathPara>
          </w:p>
        </w:tc>
        <w:tc>
          <w:tcPr>
            <w:tcW w:w="960" w:type="dxa"/>
            <w:shd w:val="clear" w:color="auto" w:fill="auto"/>
            <w:vAlign w:val="center"/>
          </w:tcPr>
          <w:p w14:paraId="0E8BBC98" w14:textId="77777777" w:rsidR="008C0C7F" w:rsidRPr="00A94774" w:rsidRDefault="008C0C7F" w:rsidP="008B3D33">
            <w:pPr>
              <w:pStyle w:val="Els-body-text"/>
              <w:spacing w:before="120" w:after="120" w:line="264" w:lineRule="auto"/>
              <w:jc w:val="right"/>
              <w:rPr>
                <w:lang w:val="en-GB"/>
              </w:rPr>
            </w:pPr>
            <w:r w:rsidRPr="00A94774">
              <w:rPr>
                <w:lang w:val="en-GB"/>
              </w:rPr>
              <w:t>(1)</w:t>
            </w:r>
          </w:p>
        </w:tc>
      </w:tr>
      <w:tr w:rsidR="00BC3714" w:rsidRPr="00A94774" w14:paraId="752AF91B" w14:textId="77777777" w:rsidTr="008B3D33">
        <w:tc>
          <w:tcPr>
            <w:tcW w:w="6127" w:type="dxa"/>
            <w:shd w:val="clear" w:color="auto" w:fill="auto"/>
            <w:vAlign w:val="center"/>
          </w:tcPr>
          <w:p w14:paraId="6CF15D6F" w14:textId="6A361F92" w:rsidR="00BC3714" w:rsidRDefault="00BC3714" w:rsidP="008B3D33">
            <w:pPr>
              <w:pStyle w:val="Els-body-text"/>
              <w:spacing w:before="120" w:after="120" w:line="264" w:lineRule="auto"/>
              <w:rPr>
                <w:rFonts w:eastAsia="ＭＳ 明朝"/>
                <w:lang w:val="en-GB"/>
              </w:rPr>
            </w:pPr>
            <m:oMathPara>
              <m:oMath>
                <m:r>
                  <m:rPr>
                    <m:sty m:val="p"/>
                  </m:rPr>
                  <w:rPr>
                    <w:rFonts w:ascii="Cambria Math" w:hAnsi="Cambria Math"/>
                    <w:lang w:val="en-GB"/>
                  </w:rPr>
                  <m:t>Φ</m:t>
                </m:r>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e>
                </m:d>
                <m:r>
                  <w:rPr>
                    <w:rFonts w:ascii="Cambria Math" w:hAnsi="Cambria Math"/>
                    <w:lang w:val="en-GB"/>
                  </w:rPr>
                  <m:t>=</m:t>
                </m:r>
                <m:d>
                  <m:dPr>
                    <m:begChr m:val="["/>
                    <m:endChr m:val="]"/>
                    <m:ctrlPr>
                      <w:rPr>
                        <w:rFonts w:ascii="Cambria Math" w:hAnsi="Cambria Math"/>
                        <w:i/>
                        <w:lang w:val="en-GB"/>
                      </w:rPr>
                    </m:ctrlPr>
                  </m:dPr>
                  <m:e>
                    <m:m>
                      <m:mPr>
                        <m:mcs>
                          <m:mc>
                            <m:mcPr>
                              <m:count m:val="3"/>
                              <m:mcJc m:val="center"/>
                            </m:mcPr>
                          </m:mc>
                        </m:mcs>
                        <m:ctrlPr>
                          <w:rPr>
                            <w:rFonts w:ascii="Cambria Math" w:hAnsi="Cambria Math"/>
                            <w:i/>
                            <w:lang w:val="en-GB"/>
                          </w:rPr>
                        </m:ctrlPr>
                      </m:mPr>
                      <m:m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e>
                        <m:e>
                          <m:r>
                            <m:rPr>
                              <m:sty m:val="b"/>
                            </m:rPr>
                            <w:rPr>
                              <w:rFonts w:ascii="Cambria Math" w:hAnsi="Cambria Math"/>
                              <w:lang w:val="en-GB"/>
                            </w:rPr>
                            <m:t>0</m:t>
                          </m:r>
                        </m:e>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e>
                      </m:mr>
                    </m:m>
                  </m:e>
                </m:d>
              </m:oMath>
            </m:oMathPara>
          </w:p>
        </w:tc>
        <w:tc>
          <w:tcPr>
            <w:tcW w:w="960" w:type="dxa"/>
            <w:shd w:val="clear" w:color="auto" w:fill="auto"/>
            <w:vAlign w:val="center"/>
          </w:tcPr>
          <w:p w14:paraId="029A513B" w14:textId="016DE3F0" w:rsidR="00BC3714" w:rsidRPr="00A94774" w:rsidRDefault="00BC3714" w:rsidP="008B3D33">
            <w:pPr>
              <w:pStyle w:val="Els-body-text"/>
              <w:spacing w:before="120" w:after="120" w:line="264" w:lineRule="auto"/>
              <w:jc w:val="right"/>
              <w:rPr>
                <w:lang w:val="en-GB"/>
              </w:rPr>
            </w:pPr>
            <w:r>
              <w:rPr>
                <w:rFonts w:hint="eastAsia"/>
                <w:lang w:val="en-GB"/>
              </w:rPr>
              <w:t>(</w:t>
            </w:r>
            <w:r>
              <w:rPr>
                <w:lang w:val="en-GB"/>
              </w:rPr>
              <w:t>2)</w:t>
            </w:r>
          </w:p>
        </w:tc>
      </w:tr>
    </w:tbl>
    <w:p w14:paraId="1FC3D90D" w14:textId="45F225AE" w:rsidR="008C0C7F" w:rsidRDefault="00910C21" w:rsidP="00216069">
      <w:pPr>
        <w:pStyle w:val="Els-body-text"/>
        <w:spacing w:after="120"/>
        <w:rPr>
          <w:lang w:val="en-GB"/>
        </w:rPr>
      </w:pPr>
      <w:r w:rsidRPr="00910C21">
        <w:rPr>
          <w:lang w:val="en-GB"/>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Pr="00910C21">
        <w:rPr>
          <w:lang w:val="en-GB"/>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910C21">
        <w:rPr>
          <w:lang w:val="en-GB"/>
        </w:rPr>
        <w:t xml:space="preserve"> are the numbers of source </w:t>
      </w:r>
      <w:r>
        <w:rPr>
          <w:lang w:val="en-GB"/>
        </w:rPr>
        <w:t xml:space="preserve">and </w:t>
      </w:r>
      <w:r w:rsidRPr="00910C21">
        <w:rPr>
          <w:lang w:val="en-GB"/>
        </w:rPr>
        <w:t xml:space="preserve">target domain samples, respectively. </w:t>
      </w:r>
      <m:oMath>
        <m:r>
          <m:rPr>
            <m:sty m:val="b"/>
          </m:rPr>
          <w:rPr>
            <w:rFonts w:ascii="Cambria Math" w:hAnsi="Cambria Math"/>
            <w:lang w:val="en-GB"/>
          </w:rPr>
          <m:t>0</m:t>
        </m:r>
      </m:oMath>
      <w:r w:rsidRPr="00910C21">
        <w:rPr>
          <w:lang w:val="en-GB"/>
        </w:rPr>
        <w:t xml:space="preserve"> </w:t>
      </w:r>
      <w:r w:rsidR="00F03EF3">
        <w:rPr>
          <w:lang w:val="en-GB"/>
        </w:rPr>
        <w:t>denotes</w:t>
      </w:r>
      <w:r w:rsidRPr="00910C21">
        <w:rPr>
          <w:lang w:val="en-GB"/>
        </w:rPr>
        <w:t xml:space="preserve"> a zero matrix whose size is the same as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oMath>
      <w:r w:rsidRPr="00910C21">
        <w:rPr>
          <w:lang w:val="en-GB"/>
        </w:rPr>
        <w:t xml:space="preserve"> </w:t>
      </w:r>
      <w:r w:rsidR="00B8417A">
        <w:rPr>
          <w:lang w:val="en-GB"/>
        </w:rPr>
        <w:t>or</w:t>
      </w:r>
      <w:r w:rsidRPr="00910C21">
        <w:rPr>
          <w:lang w:val="en-GB"/>
        </w:rPr>
        <w:t xml:space="preserve">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oMath>
      <w:r w:rsidRPr="00910C21">
        <w:rPr>
          <w:lang w:val="en-GB"/>
        </w:rPr>
        <w:t xml:space="preserve">. The common input variable space can be trained from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oMath>
      <w:r w:rsidRPr="00910C21">
        <w:rPr>
          <w:lang w:val="en-GB"/>
        </w:rPr>
        <w:t xml:space="preserve"> and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oMath>
      <w:r w:rsidRPr="00910C21">
        <w:rPr>
          <w:lang w:val="en-GB"/>
        </w:rPr>
        <w:t xml:space="preserve"> while spaces specific to the source and target domains be from </w:t>
      </w:r>
      <m:oMath>
        <m:r>
          <m:rPr>
            <m:sty m:val="b"/>
          </m:rPr>
          <w:rPr>
            <w:rFonts w:ascii="Cambria Math" w:hAnsi="Cambria Math"/>
            <w:lang w:val="en-GB"/>
          </w:rPr>
          <m:t>0</m:t>
        </m:r>
      </m:oMath>
      <w:r w:rsidR="00216069" w:rsidRPr="00910C21">
        <w:rPr>
          <w:lang w:val="en-GB"/>
        </w:rPr>
        <w:t xml:space="preserve"> </w:t>
      </w:r>
      <w:r w:rsidR="00216069">
        <w:rPr>
          <w:lang w:val="en-GB"/>
        </w:rPr>
        <w:t xml:space="preserve">and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S</m:t>
            </m:r>
          </m:sub>
        </m:sSub>
      </m:oMath>
      <w:r w:rsidRPr="00910C21">
        <w:rPr>
          <w:lang w:val="en-GB"/>
        </w:rPr>
        <w:t xml:space="preserve"> </w:t>
      </w:r>
      <w:r w:rsidR="00216069">
        <w:rPr>
          <w:lang w:val="en-GB"/>
        </w:rPr>
        <w:t>or</w:t>
      </w:r>
      <w:r w:rsidRPr="00910C21">
        <w:rPr>
          <w:lang w:val="en-GB"/>
        </w:rPr>
        <w:t xml:space="preserve"> </w:t>
      </w:r>
      <m:oMath>
        <m:r>
          <m:rPr>
            <m:sty m:val="b"/>
          </m:rPr>
          <w:rPr>
            <w:rFonts w:ascii="Cambria Math" w:hAnsi="Cambria Math"/>
            <w:lang w:val="en-GB"/>
          </w:rPr>
          <m:t>0</m:t>
        </m:r>
      </m:oMath>
      <w:r w:rsidR="00216069" w:rsidRPr="00910C21">
        <w:rPr>
          <w:lang w:val="en-GB"/>
        </w:rPr>
        <w:t xml:space="preserve"> </w:t>
      </w:r>
      <w:r w:rsidR="00216069">
        <w:rPr>
          <w:lang w:val="en-GB"/>
        </w:rPr>
        <w:t xml:space="preserve">and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T</m:t>
            </m:r>
          </m:sub>
        </m:sSub>
      </m:oMath>
      <w:r w:rsidRPr="00910C21">
        <w:rPr>
          <w:lang w:val="en-GB"/>
        </w:rPr>
        <w:t>, respectively.</w:t>
      </w:r>
    </w:p>
    <w:p w14:paraId="3ADE4F64" w14:textId="57FF1128" w:rsidR="00773033" w:rsidRPr="00B66FE1" w:rsidRDefault="00773033" w:rsidP="00216069">
      <w:pPr>
        <w:pStyle w:val="Els-body-text"/>
        <w:spacing w:after="120"/>
        <w:rPr>
          <w:lang w:val="en-GB"/>
        </w:rPr>
      </w:pPr>
      <w:r>
        <w:t>W</w:t>
      </w:r>
      <w:r w:rsidR="00B66FE1">
        <w:t xml:space="preserve">hile process characteristics gradually change due to aging, JIT </w:t>
      </w:r>
      <w:r w:rsidR="009E0B2E">
        <w:t>modelling</w:t>
      </w:r>
      <w:r w:rsidR="00B66FE1">
        <w:t xml:space="preserve"> is expected to cope with such slow changes. However, process characteristics</w:t>
      </w:r>
      <w:r w:rsidR="00B66FE1" w:rsidDel="0096797D">
        <w:t xml:space="preserve"> </w:t>
      </w:r>
      <w:r w:rsidR="00B66FE1">
        <w:t xml:space="preserve">sometimes suddenly alter by process maintenance or malfunction, with which JIT </w:t>
      </w:r>
      <w:r w:rsidR="009E0B2E">
        <w:t>modelling</w:t>
      </w:r>
      <w:r w:rsidR="00B66FE1">
        <w:t xml:space="preserve"> cannot always cope. Since the former is scheduled, specifying the source and target domains in TL is easy, and FEDA can be used to adapt </w:t>
      </w:r>
      <w:proofErr w:type="gramStart"/>
      <w:r w:rsidR="00B66FE1">
        <w:t>soft-sensors</w:t>
      </w:r>
      <w:proofErr w:type="gramEnd"/>
      <w:r w:rsidR="00B66FE1">
        <w:t xml:space="preserve"> to the process condition after maintenance. On the other hand, the latter situation is usually unpredictable, and identifying its precise onset is not easy. It is difficult to apply FEDA for such cases because appropriate information transferring requires a proper definition of the source and target domains.</w:t>
      </w:r>
      <w:r w:rsidR="00B66FE1" w:rsidRPr="000D18B9">
        <w:t xml:space="preserve"> </w:t>
      </w:r>
    </w:p>
    <w:p w14:paraId="33B0C3BD" w14:textId="572F67A7" w:rsidR="008C0C7F" w:rsidRPr="008C0C7F" w:rsidRDefault="008C0C7F" w:rsidP="008C0C7F">
      <w:pPr>
        <w:pStyle w:val="Els-2ndorder-head"/>
        <w:spacing w:after="120"/>
        <w:rPr>
          <w:lang w:val="en-GB"/>
        </w:rPr>
      </w:pPr>
      <w:r>
        <w:t>Latest Sample Targeting FEDA</w:t>
      </w:r>
      <w:r>
        <w:rPr>
          <w:lang w:val="en-GB"/>
        </w:rPr>
        <w:t xml:space="preserve"> (LST-FEDA)</w:t>
      </w:r>
    </w:p>
    <w:p w14:paraId="111B1D04" w14:textId="5295A207" w:rsidR="008C0C7F" w:rsidRPr="002E3679" w:rsidRDefault="008C0C7F" w:rsidP="008C0C7F">
      <w:pPr>
        <w:pStyle w:val="Els-body-text"/>
        <w:spacing w:after="120"/>
        <w:rPr>
          <w:lang w:val="en-GB"/>
        </w:rPr>
      </w:pPr>
      <w:r>
        <w:t>I</w:t>
      </w:r>
      <w:r w:rsidR="003D4869">
        <w:t xml:space="preserve">t can be assumed that samples close to each other </w:t>
      </w:r>
      <w:r w:rsidR="003D4869" w:rsidRPr="00F27163">
        <w:t>in time</w:t>
      </w:r>
      <w:r w:rsidR="003D4869">
        <w:t xml:space="preserve"> have similar characteristics to each other except for abrupt changes in process characteristics. The latest adjacent samples for model adaptation can be always selected in JIT </w:t>
      </w:r>
      <w:r w:rsidR="009E0B2E">
        <w:t>modelling</w:t>
      </w:r>
      <w:r w:rsidR="003D4869">
        <w:t xml:space="preserve"> while process characteristics gradually change. When abrupt changes in process characteristics occur, historical samples </w:t>
      </w:r>
      <w:proofErr w:type="gramStart"/>
      <w:r w:rsidR="003D4869">
        <w:t>similar to</w:t>
      </w:r>
      <w:proofErr w:type="gramEnd"/>
      <w:r w:rsidR="003D4869">
        <w:t xml:space="preserve"> the current condition should be used for model update.</w:t>
      </w:r>
      <w:r w:rsidRPr="000D18B9">
        <w:t xml:space="preserve"> </w:t>
      </w:r>
    </w:p>
    <w:p w14:paraId="5834E5AA" w14:textId="2F67A9FF" w:rsidR="008C0C7F" w:rsidRDefault="008C0C7F" w:rsidP="008C0C7F">
      <w:pPr>
        <w:pStyle w:val="Els-body-text"/>
      </w:pPr>
      <w:r w:rsidRPr="00494981">
        <w:t xml:space="preserve">According to the above consideration, this study </w:t>
      </w:r>
      <w:r>
        <w:t xml:space="preserve">modifies FEDA for JIT </w:t>
      </w:r>
      <w:r w:rsidR="009E0B2E">
        <w:t>modelling</w:t>
      </w:r>
      <w:r>
        <w:t xml:space="preserve"> and extends the input matrix </w:t>
      </w:r>
      <m:oMath>
        <m:r>
          <m:rPr>
            <m:sty m:val="bi"/>
          </m:rPr>
          <w:rPr>
            <w:rFonts w:ascii="Cambria Math" w:hAnsi="Cambria Math"/>
          </w:rPr>
          <m:t>X</m:t>
        </m:r>
        <m:r>
          <m:rPr>
            <m:sty m:val="p"/>
          </m:rPr>
          <w:rPr>
            <w:rFonts w:ascii="Cambria Math" w:hAnsi="Cambria Math" w:hint="eastAsia"/>
          </w:rPr>
          <m:t>∈</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N×M</m:t>
            </m:r>
          </m:sup>
        </m:sSup>
      </m:oMath>
      <w:r w:rsidRPr="00494981">
        <w:t xml:space="preserve"> as follows:</w:t>
      </w:r>
    </w:p>
    <w:tbl>
      <w:tblPr>
        <w:tblW w:w="7087" w:type="dxa"/>
        <w:tblLook w:val="04A0" w:firstRow="1" w:lastRow="0" w:firstColumn="1" w:lastColumn="0" w:noHBand="0" w:noVBand="1"/>
      </w:tblPr>
      <w:tblGrid>
        <w:gridCol w:w="6127"/>
        <w:gridCol w:w="960"/>
      </w:tblGrid>
      <w:tr w:rsidR="008C0C7F" w:rsidRPr="00A94774" w14:paraId="061B23D6" w14:textId="77777777" w:rsidTr="008B3D33">
        <w:tc>
          <w:tcPr>
            <w:tcW w:w="6127" w:type="dxa"/>
            <w:shd w:val="clear" w:color="auto" w:fill="auto"/>
            <w:vAlign w:val="center"/>
          </w:tcPr>
          <w:p w14:paraId="005B81FB" w14:textId="77777777" w:rsidR="008C0C7F" w:rsidRPr="00A94774" w:rsidRDefault="008C0C7F" w:rsidP="008B3D33">
            <w:pPr>
              <w:pStyle w:val="Els-body-text"/>
              <w:spacing w:before="120" w:after="120" w:line="264" w:lineRule="auto"/>
              <w:rPr>
                <w:lang w:val="en-GB"/>
              </w:rPr>
            </w:pPr>
            <m:oMathPara>
              <m:oMath>
                <m:r>
                  <m:rPr>
                    <m:sty m:val="p"/>
                  </m:rPr>
                  <w:rPr>
                    <w:rFonts w:ascii="Cambria Math" w:hAnsi="Cambria Math"/>
                    <w:lang w:val="en-GB"/>
                  </w:rPr>
                  <m:t>Φ</m:t>
                </m:r>
                <m:d>
                  <m:dPr>
                    <m:ctrlPr>
                      <w:rPr>
                        <w:rFonts w:ascii="Cambria Math" w:hAnsi="Cambria Math"/>
                        <w:i/>
                        <w:lang w:val="en-GB"/>
                      </w:rPr>
                    </m:ctrlPr>
                  </m:dPr>
                  <m:e>
                    <m:r>
                      <m:rPr>
                        <m:sty m:val="bi"/>
                      </m:rPr>
                      <w:rPr>
                        <w:rFonts w:ascii="Cambria Math" w:hAnsi="Cambria Math"/>
                        <w:lang w:val="en-GB"/>
                      </w:rPr>
                      <m:t>X</m:t>
                    </m:r>
                  </m:e>
                </m:d>
                <m:r>
                  <w:rPr>
                    <w:rFonts w:ascii="Cambria Math" w:hAnsi="Cambria Math"/>
                    <w:lang w:val="en-GB"/>
                  </w:rPr>
                  <m:t>=</m:t>
                </m:r>
                <m:d>
                  <m:dPr>
                    <m:begChr m:val="["/>
                    <m:endChr m:val="]"/>
                    <m:ctrlPr>
                      <w:rPr>
                        <w:rFonts w:ascii="Cambria Math" w:hAnsi="Cambria Math"/>
                        <w:i/>
                        <w:lang w:val="en-GB"/>
                      </w:rPr>
                    </m:ctrlPr>
                  </m:dPr>
                  <m:e>
                    <m:m>
                      <m:mPr>
                        <m:mcs>
                          <m:mc>
                            <m:mcPr>
                              <m:count m:val="3"/>
                              <m:mcJc m:val="center"/>
                            </m:mcPr>
                          </m:mc>
                        </m:mcs>
                        <m:ctrlPr>
                          <w:rPr>
                            <w:rFonts w:ascii="Cambria Math" w:hAnsi="Cambria Math"/>
                            <w:i/>
                            <w:lang w:val="en-GB"/>
                          </w:rPr>
                        </m:ctrlPr>
                      </m:mPr>
                      <m:m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past</m:t>
                              </m:r>
                            </m:sub>
                          </m:sSub>
                        </m:e>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past</m:t>
                              </m:r>
                            </m:sub>
                          </m:sSub>
                        </m:e>
                        <m:e>
                          <m:r>
                            <m:rPr>
                              <m:sty m:val="bi"/>
                            </m:rPr>
                            <w:rPr>
                              <w:rFonts w:ascii="Cambria Math" w:hAnsi="Cambria Math"/>
                              <w:lang w:val="en-GB"/>
                            </w:rPr>
                            <m:t>0</m:t>
                          </m:r>
                        </m:e>
                      </m:mr>
                      <m:m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new</m:t>
                              </m:r>
                            </m:sub>
                          </m:sSub>
                        </m:e>
                        <m:e>
                          <m:r>
                            <m:rPr>
                              <m:sty m:val="bi"/>
                            </m:rPr>
                            <w:rPr>
                              <w:rFonts w:ascii="Cambria Math" w:hAnsi="Cambria Math"/>
                              <w:lang w:val="en-GB"/>
                            </w:rPr>
                            <m:t>0</m:t>
                          </m:r>
                        </m:e>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new</m:t>
                              </m:r>
                            </m:sub>
                          </m:sSub>
                        </m:e>
                      </m:mr>
                    </m:m>
                  </m:e>
                </m:d>
              </m:oMath>
            </m:oMathPara>
          </w:p>
        </w:tc>
        <w:tc>
          <w:tcPr>
            <w:tcW w:w="960" w:type="dxa"/>
            <w:shd w:val="clear" w:color="auto" w:fill="auto"/>
            <w:vAlign w:val="center"/>
          </w:tcPr>
          <w:p w14:paraId="519617C8" w14:textId="25F11B20" w:rsidR="008C0C7F" w:rsidRPr="00A94774" w:rsidRDefault="008C0C7F" w:rsidP="008B3D33">
            <w:pPr>
              <w:pStyle w:val="Els-body-text"/>
              <w:spacing w:before="120" w:after="120" w:line="264" w:lineRule="auto"/>
              <w:jc w:val="right"/>
              <w:rPr>
                <w:lang w:val="en-GB"/>
              </w:rPr>
            </w:pPr>
            <w:r w:rsidRPr="00A94774">
              <w:rPr>
                <w:lang w:val="en-GB"/>
              </w:rPr>
              <w:t>(</w:t>
            </w:r>
            <w:r w:rsidR="00887B30">
              <w:rPr>
                <w:lang w:val="en-GB"/>
              </w:rPr>
              <w:t>3</w:t>
            </w:r>
            <w:r w:rsidRPr="00A94774">
              <w:rPr>
                <w:lang w:val="en-GB"/>
              </w:rPr>
              <w:t>)</w:t>
            </w:r>
          </w:p>
        </w:tc>
      </w:tr>
    </w:tbl>
    <w:p w14:paraId="5A3A71E0" w14:textId="6115D843" w:rsidR="008C0C7F" w:rsidRDefault="008C0C7F" w:rsidP="008C0C7F">
      <w:pPr>
        <w:pStyle w:val="Els-body-text"/>
      </w:pPr>
      <w:r>
        <w:t xml:space="preserve">where </w:t>
      </w:r>
      <m:oMath>
        <m:r>
          <w:rPr>
            <w:rFonts w:ascii="Cambria Math" w:hAnsi="Cambria Math"/>
          </w:rPr>
          <m:t>N</m:t>
        </m:r>
      </m:oMath>
      <w:r w:rsidRPr="00B15F25">
        <w:t xml:space="preserve"> and </w:t>
      </w:r>
      <m:oMath>
        <m:r>
          <w:rPr>
            <w:rFonts w:ascii="Cambria Math" w:hAnsi="Cambria Math"/>
          </w:rPr>
          <m:t>M</m:t>
        </m:r>
      </m:oMath>
      <w:r>
        <w:t xml:space="preserve"> </w:t>
      </w:r>
      <w:r w:rsidRPr="00B15F25">
        <w:t>are the numbers of stored samples and measured variables, respectively.</w:t>
      </w:r>
      <w:r>
        <w:rPr>
          <w:rFonts w:hint="eastAsia"/>
        </w:rPr>
        <w:t xml:space="preserve">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new</m:t>
            </m:r>
          </m:sub>
        </m:sSub>
        <m:r>
          <w:rPr>
            <w:rFonts w:ascii="Cambria Math" w:hAnsi="Cambria Math"/>
          </w:rPr>
          <m:t xml:space="preserve"> ∈ </m:t>
        </m:r>
        <m:sSup>
          <m:sSupPr>
            <m:ctrlPr>
              <w:rPr>
                <w:rFonts w:ascii="Cambria Math" w:hAnsi="Cambria Math"/>
                <w:i/>
              </w:rPr>
            </m:ctrlPr>
          </m:sSupPr>
          <m:e>
            <m:r>
              <m:rPr>
                <m:scr m:val="double-struck"/>
              </m:rPr>
              <w:rPr>
                <w:rFonts w:ascii="Cambria Math" w:hAnsi="Cambria Math"/>
              </w:rPr>
              <m:t>R</m:t>
            </m:r>
          </m:e>
          <m:sup>
            <m:r>
              <w:rPr>
                <w:rFonts w:ascii="Cambria Math" w:hAnsi="Cambria Math"/>
              </w:rPr>
              <m:t>k×M</m:t>
            </m:r>
          </m:sup>
        </m:sSup>
      </m:oMath>
      <w:r>
        <w:t xml:space="preserve"> is the latest </w:t>
      </w:r>
      <w:r w:rsidRPr="00CD302B">
        <w:rPr>
          <w:i/>
          <w:iCs/>
        </w:rPr>
        <w:t>k</w:t>
      </w:r>
      <w:r>
        <w:t xml:space="preserve"> samples in </w:t>
      </w:r>
      <m:oMath>
        <m:r>
          <m:rPr>
            <m:sty m:val="bi"/>
          </m:rPr>
          <w:rPr>
            <w:rFonts w:ascii="Cambria Math" w:hAnsi="Cambria Math"/>
            <w:lang w:val="en-GB"/>
          </w:rPr>
          <m:t>X</m:t>
        </m:r>
      </m:oMath>
      <w:r>
        <w:t xml:space="preserve"> as the target domain, and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past</m:t>
            </m:r>
          </m:sub>
        </m:sSub>
        <m:r>
          <w:rPr>
            <w:rFonts w:ascii="Cambria Math" w:hAnsi="Cambria Math"/>
          </w:rPr>
          <m:t xml:space="preserve"> ∈ </m:t>
        </m:r>
        <m:sSup>
          <m:sSupPr>
            <m:ctrlPr>
              <w:rPr>
                <w:rFonts w:ascii="Cambria Math" w:hAnsi="Cambria Math"/>
                <w:i/>
              </w:rPr>
            </m:ctrlPr>
          </m:sSupPr>
          <m:e>
            <m:r>
              <m:rPr>
                <m:scr m:val="double-struck"/>
              </m:rPr>
              <w:rPr>
                <w:rFonts w:ascii="Cambria Math" w:hAnsi="Cambria Math"/>
              </w:rPr>
              <m:t>R</m:t>
            </m:r>
          </m:e>
          <m:sup>
            <m:r>
              <w:rPr>
                <w:rFonts w:ascii="Cambria Math" w:hAnsi="Cambria Math"/>
              </w:rPr>
              <m:t>(N-k)×M</m:t>
            </m:r>
          </m:sup>
        </m:sSup>
      </m:oMath>
      <w:r>
        <w:t xml:space="preserve"> is the set difference of </w:t>
      </w:r>
      <m:oMath>
        <m:r>
          <m:rPr>
            <m:sty m:val="bi"/>
          </m:rPr>
          <w:rPr>
            <w:rFonts w:ascii="Cambria Math" w:hAnsi="Cambria Math"/>
            <w:lang w:val="en-GB"/>
          </w:rPr>
          <m:t>X</m:t>
        </m:r>
      </m:oMath>
      <w:r>
        <w:t xml:space="preserve"> and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new</m:t>
            </m:r>
          </m:sub>
        </m:sSub>
      </m:oMath>
      <w:r>
        <w:t xml:space="preserve">. That is, this modification constraints that the target domain must be the latest </w:t>
      </w:r>
      <m:oMath>
        <m:r>
          <w:rPr>
            <w:rFonts w:ascii="Cambria Math" w:hAnsi="Cambria Math"/>
          </w:rPr>
          <m:t>k</m:t>
        </m:r>
      </m:oMath>
      <w:r>
        <w:t xml:space="preserve"> samples only. Following </w:t>
      </w:r>
      <m:oMath>
        <m:r>
          <m:rPr>
            <m:sty m:val="p"/>
          </m:rPr>
          <w:rPr>
            <w:rFonts w:ascii="Cambria Math" w:hAnsi="Cambria Math"/>
            <w:lang w:val="en-GB"/>
          </w:rPr>
          <m:t>Φ</m:t>
        </m:r>
        <m:d>
          <m:dPr>
            <m:ctrlPr>
              <w:rPr>
                <w:rFonts w:ascii="Cambria Math" w:hAnsi="Cambria Math"/>
                <w:i/>
                <w:lang w:val="en-GB"/>
              </w:rPr>
            </m:ctrlPr>
          </m:dPr>
          <m:e>
            <m:r>
              <m:rPr>
                <m:sty m:val="bi"/>
              </m:rPr>
              <w:rPr>
                <w:rFonts w:ascii="Cambria Math" w:hAnsi="Cambria Math"/>
                <w:lang w:val="en-GB"/>
              </w:rPr>
              <m:t>X</m:t>
            </m:r>
          </m:e>
        </m:d>
      </m:oMath>
      <w:r>
        <w:t>, the query</w:t>
      </w:r>
      <w:r>
        <w:rPr>
          <w:rFonts w:hint="eastAsia"/>
        </w:rPr>
        <w:t xml:space="preserve"> </w:t>
      </w:r>
      <m:oMath>
        <m:r>
          <w:rPr>
            <w:rFonts w:ascii="Cambria Math" w:hAnsi="Cambria Math"/>
          </w:rPr>
          <m:t xml:space="preserve"> </m:t>
        </m:r>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q</m:t>
            </m:r>
          </m:sub>
        </m:sSub>
        <m:r>
          <m:rPr>
            <m:sty m:val="p"/>
          </m:rPr>
          <w:rPr>
            <w:rFonts w:ascii="Cambria Math" w:hAnsi="Cambria Math" w:hint="eastAsia"/>
          </w:rPr>
          <m:t>∈</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M</m:t>
            </m:r>
          </m:sup>
        </m:sSup>
      </m:oMath>
      <w:r>
        <w:t xml:space="preserve"> needs to be also modified as follows:</w:t>
      </w:r>
    </w:p>
    <w:tbl>
      <w:tblPr>
        <w:tblW w:w="7087" w:type="dxa"/>
        <w:tblLook w:val="04A0" w:firstRow="1" w:lastRow="0" w:firstColumn="1" w:lastColumn="0" w:noHBand="0" w:noVBand="1"/>
      </w:tblPr>
      <w:tblGrid>
        <w:gridCol w:w="6127"/>
        <w:gridCol w:w="960"/>
      </w:tblGrid>
      <w:tr w:rsidR="008C0C7F" w:rsidRPr="00A94774" w14:paraId="05622CB7" w14:textId="77777777" w:rsidTr="008B3D33">
        <w:tc>
          <w:tcPr>
            <w:tcW w:w="6127" w:type="dxa"/>
            <w:shd w:val="clear" w:color="auto" w:fill="auto"/>
            <w:vAlign w:val="center"/>
          </w:tcPr>
          <w:p w14:paraId="0F2F93DE" w14:textId="77777777" w:rsidR="008C0C7F" w:rsidRPr="00A94774" w:rsidRDefault="008C0C7F" w:rsidP="008B3D33">
            <w:pPr>
              <w:pStyle w:val="Els-body-text"/>
              <w:spacing w:before="120" w:after="120" w:line="264" w:lineRule="auto"/>
              <w:rPr>
                <w:lang w:val="en-GB"/>
              </w:rPr>
            </w:pPr>
            <m:oMathPara>
              <m:oMath>
                <m:r>
                  <m:rPr>
                    <m:sty m:val="p"/>
                  </m:rPr>
                  <w:rPr>
                    <w:rFonts w:ascii="Cambria Math" w:hAnsi="Cambria Math"/>
                    <w:lang w:val="en-GB"/>
                  </w:rPr>
                  <m:t>Φ</m:t>
                </m:r>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q</m:t>
                        </m:r>
                      </m:sub>
                    </m:sSub>
                  </m:e>
                </m:d>
                <m:r>
                  <w:rPr>
                    <w:rFonts w:ascii="Cambria Math" w:hAns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m>
                          <m:mPr>
                            <m:mcs>
                              <m:mc>
                                <m:mcPr>
                                  <m:count m:val="3"/>
                                  <m:mcJc m:val="center"/>
                                </m:mcPr>
                              </m:mc>
                            </m:mcs>
                            <m:ctrlPr>
                              <w:rPr>
                                <w:rFonts w:ascii="Cambria Math" w:hAnsi="Cambria Math"/>
                                <w:i/>
                                <w:lang w:val="en-GB"/>
                              </w:rPr>
                            </m:ctrlPr>
                          </m:mPr>
                          <m:mr>
                            <m:e>
                              <m:sSubSup>
                                <m:sSubSupPr>
                                  <m:ctrlPr>
                                    <w:rPr>
                                      <w:rFonts w:ascii="Cambria Math" w:hAnsi="Cambria Math"/>
                                      <w:i/>
                                      <w:lang w:val="en-GB"/>
                                    </w:rPr>
                                  </m:ctrlPr>
                                </m:sSubSupPr>
                                <m:e>
                                  <m:r>
                                    <m:rPr>
                                      <m:sty m:val="bi"/>
                                    </m:rPr>
                                    <w:rPr>
                                      <w:rFonts w:ascii="Cambria Math" w:hAnsi="Cambria Math"/>
                                      <w:lang w:val="en-GB"/>
                                    </w:rPr>
                                    <m:t>x</m:t>
                                  </m:r>
                                </m:e>
                                <m:sub>
                                  <m:r>
                                    <w:rPr>
                                      <w:rFonts w:ascii="Cambria Math" w:hAnsi="Cambria Math"/>
                                      <w:lang w:val="en-GB"/>
                                    </w:rPr>
                                    <m:t>q</m:t>
                                  </m:r>
                                </m:sub>
                                <m:sup>
                                  <m:r>
                                    <m:rPr>
                                      <m:sty m:val="p"/>
                                    </m:rPr>
                                    <w:rPr>
                                      <w:rFonts w:ascii="Cambria Math" w:hAnsi="Cambria Math"/>
                                    </w:rPr>
                                    <m:t>⊤</m:t>
                                  </m:r>
                                </m:sup>
                              </m:sSubSup>
                            </m:e>
                            <m:e>
                              <m:sSup>
                                <m:sSupPr>
                                  <m:ctrlPr>
                                    <w:rPr>
                                      <w:rFonts w:ascii="Cambria Math" w:hAnsi="Cambria Math"/>
                                      <w:i/>
                                      <w:lang w:val="en-GB"/>
                                    </w:rPr>
                                  </m:ctrlPr>
                                </m:sSupPr>
                                <m:e>
                                  <m:r>
                                    <m:rPr>
                                      <m:sty m:val="bi"/>
                                    </m:rPr>
                                    <w:rPr>
                                      <w:rFonts w:ascii="Cambria Math" w:hAnsi="Cambria Math"/>
                                      <w:lang w:val="en-GB"/>
                                    </w:rPr>
                                    <m:t>0</m:t>
                                  </m:r>
                                </m:e>
                                <m:sup>
                                  <m:r>
                                    <m:rPr>
                                      <m:sty m:val="p"/>
                                    </m:rPr>
                                    <w:rPr>
                                      <w:rFonts w:ascii="Cambria Math" w:hAnsi="Cambria Math"/>
                                    </w:rPr>
                                    <m:t>⊤</m:t>
                                  </m:r>
                                </m:sup>
                              </m:sSup>
                            </m:e>
                            <m:e>
                              <m:sSubSup>
                                <m:sSubSupPr>
                                  <m:ctrlPr>
                                    <w:rPr>
                                      <w:rFonts w:ascii="Cambria Math" w:hAnsi="Cambria Math"/>
                                      <w:i/>
                                      <w:lang w:val="en-GB"/>
                                    </w:rPr>
                                  </m:ctrlPr>
                                </m:sSubSupPr>
                                <m:e>
                                  <m:r>
                                    <m:rPr>
                                      <m:sty m:val="bi"/>
                                    </m:rPr>
                                    <w:rPr>
                                      <w:rFonts w:ascii="Cambria Math" w:hAnsi="Cambria Math"/>
                                      <w:lang w:val="en-GB"/>
                                    </w:rPr>
                                    <m:t>x</m:t>
                                  </m:r>
                                </m:e>
                                <m:sub>
                                  <m:r>
                                    <w:rPr>
                                      <w:rFonts w:ascii="Cambria Math" w:hAnsi="Cambria Math"/>
                                      <w:lang w:val="en-GB"/>
                                    </w:rPr>
                                    <m:t>q</m:t>
                                  </m:r>
                                </m:sub>
                                <m:sup>
                                  <m:r>
                                    <m:rPr>
                                      <m:sty m:val="p"/>
                                    </m:rPr>
                                    <w:rPr>
                                      <w:rFonts w:ascii="Cambria Math" w:hAnsi="Cambria Math"/>
                                    </w:rPr>
                                    <m:t>⊤</m:t>
                                  </m:r>
                                </m:sup>
                              </m:sSubSup>
                            </m:e>
                          </m:mr>
                        </m:m>
                      </m:e>
                    </m:d>
                  </m:e>
                  <m:sup>
                    <m:r>
                      <m:rPr>
                        <m:sty m:val="p"/>
                      </m:rPr>
                      <w:rPr>
                        <w:rFonts w:ascii="Cambria Math" w:hAnsi="Cambria Math"/>
                      </w:rPr>
                      <m:t>⊤</m:t>
                    </m:r>
                  </m:sup>
                </m:sSup>
              </m:oMath>
            </m:oMathPara>
          </w:p>
        </w:tc>
        <w:tc>
          <w:tcPr>
            <w:tcW w:w="960" w:type="dxa"/>
            <w:shd w:val="clear" w:color="auto" w:fill="auto"/>
            <w:vAlign w:val="center"/>
          </w:tcPr>
          <w:p w14:paraId="2F4857EF" w14:textId="3F62E76A" w:rsidR="008C0C7F" w:rsidRPr="00A94774" w:rsidRDefault="008C0C7F" w:rsidP="008B3D33">
            <w:pPr>
              <w:pStyle w:val="Els-body-text"/>
              <w:spacing w:before="120" w:after="120" w:line="264" w:lineRule="auto"/>
              <w:jc w:val="right"/>
              <w:rPr>
                <w:lang w:val="en-GB"/>
              </w:rPr>
            </w:pPr>
            <w:r w:rsidRPr="00A94774">
              <w:rPr>
                <w:lang w:val="en-GB"/>
              </w:rPr>
              <w:t>(</w:t>
            </w:r>
            <w:r w:rsidR="00887B30">
              <w:rPr>
                <w:lang w:val="en-GB"/>
              </w:rPr>
              <w:t>4</w:t>
            </w:r>
            <w:r w:rsidRPr="00A94774">
              <w:rPr>
                <w:lang w:val="en-GB"/>
              </w:rPr>
              <w:t>)</w:t>
            </w:r>
          </w:p>
        </w:tc>
      </w:tr>
    </w:tbl>
    <w:p w14:paraId="225A277F" w14:textId="6634F203" w:rsidR="008C0C7F" w:rsidRPr="002E3679" w:rsidRDefault="008C0C7F" w:rsidP="008C0C7F">
      <w:pPr>
        <w:pStyle w:val="Els-body-text"/>
        <w:spacing w:after="120"/>
        <w:rPr>
          <w:lang w:val="en-GB"/>
        </w:rPr>
      </w:pPr>
      <w:r>
        <w:t xml:space="preserve">Using </w:t>
      </w:r>
      <m:oMath>
        <m:r>
          <m:rPr>
            <m:sty m:val="p"/>
          </m:rPr>
          <w:rPr>
            <w:rFonts w:ascii="Cambria Math" w:hAnsi="Cambria Math"/>
            <w:lang w:val="en-GB"/>
          </w:rPr>
          <m:t>Φ</m:t>
        </m:r>
        <m:d>
          <m:dPr>
            <m:ctrlPr>
              <w:rPr>
                <w:rFonts w:ascii="Cambria Math" w:hAnsi="Cambria Math"/>
                <w:i/>
                <w:lang w:val="en-GB"/>
              </w:rPr>
            </m:ctrlPr>
          </m:dPr>
          <m:e>
            <m:r>
              <m:rPr>
                <m:sty m:val="bi"/>
              </m:rPr>
              <w:rPr>
                <w:rFonts w:ascii="Cambria Math" w:hAnsi="Cambria Math"/>
                <w:lang w:val="en-GB"/>
              </w:rPr>
              <m:t>X</m:t>
            </m:r>
          </m:e>
        </m:d>
      </m:oMath>
      <w:r>
        <w:t xml:space="preserve"> and </w:t>
      </w:r>
      <m:oMath>
        <m:r>
          <m:rPr>
            <m:sty m:val="p"/>
          </m:rPr>
          <w:rPr>
            <w:rFonts w:ascii="Cambria Math" w:hAnsi="Cambria Math"/>
            <w:lang w:val="en-GB"/>
          </w:rPr>
          <m:t>Φ</m:t>
        </m:r>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q</m:t>
                </m:r>
              </m:sub>
            </m:sSub>
          </m:e>
        </m:d>
      </m:oMath>
      <w:r>
        <w:t xml:space="preserve">, a </w:t>
      </w:r>
      <w:proofErr w:type="gramStart"/>
      <w:r>
        <w:t>soft</w:t>
      </w:r>
      <w:r w:rsidR="00022D95">
        <w:t>-</w:t>
      </w:r>
      <w:r>
        <w:t>sensor</w:t>
      </w:r>
      <w:proofErr w:type="gramEnd"/>
      <w:r>
        <w:t xml:space="preserve"> is updated with JIT </w:t>
      </w:r>
      <w:r w:rsidR="009E0B2E">
        <w:t>modelling</w:t>
      </w:r>
      <w:r>
        <w:t xml:space="preserve"> manner. This formula is referred to as LST-FEDA.</w:t>
      </w:r>
      <w:r w:rsidRPr="000D18B9">
        <w:t xml:space="preserve"> </w:t>
      </w:r>
    </w:p>
    <w:p w14:paraId="144DE6A1" w14:textId="38AFF2D0" w:rsidR="008D2649" w:rsidRDefault="00581EFE" w:rsidP="008D2649">
      <w:pPr>
        <w:pStyle w:val="Els-1storder-head"/>
        <w:spacing w:after="120"/>
        <w:rPr>
          <w:lang w:val="en-GB"/>
        </w:rPr>
      </w:pPr>
      <w:r>
        <w:rPr>
          <w:lang w:val="en-GB"/>
        </w:rPr>
        <w:lastRenderedPageBreak/>
        <w:t>Case study</w:t>
      </w:r>
    </w:p>
    <w:p w14:paraId="0408E938" w14:textId="5DB409FD" w:rsidR="00651DB5" w:rsidRPr="00BF752F" w:rsidRDefault="009E0B2E" w:rsidP="00BF752F">
      <w:pPr>
        <w:pStyle w:val="Els-body-text"/>
        <w:spacing w:after="120"/>
        <w:rPr>
          <w:lang w:eastAsia="ja-JP"/>
        </w:rPr>
      </w:pPr>
      <w:bookmarkStart w:id="0" w:name="OLE_LINK1"/>
      <w:bookmarkStart w:id="1" w:name="OLE_LINK2"/>
      <w:r>
        <w:rPr>
          <w:lang w:val="en-GB"/>
        </w:rPr>
        <w:t xml:space="preserve">To evaluate the performance of the proposed LST-FEDA with JIT modelling, we </w:t>
      </w:r>
      <w:r>
        <w:rPr>
          <w:lang w:eastAsia="ja-JP"/>
        </w:rPr>
        <w:t>used simulation process data generated from a vinyl acetate monomer (VAM) process model. Forty hours of VAM process operation data were generated, which contained a situation in which a sudden malfunction occurred in the process.</w:t>
      </w:r>
      <w:r>
        <w:rPr>
          <w:rFonts w:hint="eastAsia"/>
          <w:lang w:eastAsia="ja-JP"/>
        </w:rPr>
        <w:t xml:space="preserve"> </w:t>
      </w:r>
      <w:r>
        <w:rPr>
          <w:lang w:eastAsia="ja-JP"/>
        </w:rPr>
        <w:t>At the start of the measurement, the process was operating in a steady state, and 33 hours after the start of the measurement, process malfunctions occurred. The first 30 hours of data were used for training and the remaining 10 hours for test.</w:t>
      </w:r>
      <w:r>
        <w:rPr>
          <w:rFonts w:hint="eastAsia"/>
          <w:lang w:eastAsia="ja-JP"/>
        </w:rPr>
        <w:t xml:space="preserve"> </w:t>
      </w:r>
      <w:r>
        <w:rPr>
          <w:lang w:eastAsia="ja-JP"/>
        </w:rPr>
        <w:t xml:space="preserve">To verify the prediction performance of the </w:t>
      </w:r>
      <w:proofErr w:type="gramStart"/>
      <w:r>
        <w:rPr>
          <w:lang w:eastAsia="ja-JP"/>
        </w:rPr>
        <w:t>soft-sensors</w:t>
      </w:r>
      <w:proofErr w:type="gramEnd"/>
      <w:r>
        <w:rPr>
          <w:lang w:eastAsia="ja-JP"/>
        </w:rPr>
        <w:t xml:space="preserve"> for various types of malfunctions, test data containing five different types of malfunctions were prepared. </w:t>
      </w:r>
      <w:r w:rsidRPr="009E5BA5">
        <w:rPr>
          <w:lang w:eastAsia="ja-JP"/>
        </w:rPr>
        <w:t xml:space="preserve">MAL1 and MAL2 are </w:t>
      </w:r>
      <w:r>
        <w:rPr>
          <w:lang w:eastAsia="ja-JP"/>
        </w:rPr>
        <w:t>malfunction</w:t>
      </w:r>
      <w:r w:rsidRPr="009E5BA5">
        <w:rPr>
          <w:lang w:eastAsia="ja-JP"/>
        </w:rPr>
        <w:t xml:space="preserve">s that </w:t>
      </w:r>
      <w:r>
        <w:rPr>
          <w:lang w:eastAsia="ja-JP"/>
        </w:rPr>
        <w:t>reduce</w:t>
      </w:r>
      <w:r w:rsidRPr="009E5BA5">
        <w:rPr>
          <w:lang w:eastAsia="ja-JP"/>
        </w:rPr>
        <w:t xml:space="preserve"> the feed composition of </w:t>
      </w:r>
      <w:r>
        <w:rPr>
          <w:lang w:eastAsia="ja-JP"/>
        </w:rPr>
        <w:t xml:space="preserve">the </w:t>
      </w:r>
      <w:r w:rsidRPr="0075155B">
        <w:rPr>
          <w:lang w:eastAsia="ja-JP"/>
        </w:rPr>
        <w:t>feedstock</w:t>
      </w:r>
      <w:r w:rsidRPr="009E5BA5">
        <w:rPr>
          <w:lang w:eastAsia="ja-JP"/>
        </w:rPr>
        <w:t xml:space="preserve"> </w:t>
      </w:r>
      <w:r>
        <w:rPr>
          <w:lang w:eastAsia="ja-JP"/>
        </w:rPr>
        <w:t>ethylene</w:t>
      </w:r>
      <w:r w:rsidRPr="009E5BA5">
        <w:rPr>
          <w:lang w:eastAsia="ja-JP"/>
        </w:rPr>
        <w:t xml:space="preserve"> and </w:t>
      </w:r>
      <w:r>
        <w:rPr>
          <w:lang w:eastAsia="ja-JP"/>
        </w:rPr>
        <w:t>acetic acid</w:t>
      </w:r>
      <w:r w:rsidRPr="009E5BA5">
        <w:rPr>
          <w:lang w:eastAsia="ja-JP"/>
        </w:rPr>
        <w:t>, respectively</w:t>
      </w:r>
      <w:r>
        <w:rPr>
          <w:lang w:eastAsia="ja-JP"/>
        </w:rPr>
        <w:t>; MAL3 and MAL4 are the malfunction</w:t>
      </w:r>
      <w:r w:rsidRPr="009E5BA5">
        <w:rPr>
          <w:lang w:eastAsia="ja-JP"/>
        </w:rPr>
        <w:t xml:space="preserve">s that </w:t>
      </w:r>
      <w:r>
        <w:rPr>
          <w:lang w:eastAsia="ja-JP"/>
        </w:rPr>
        <w:t>reduce</w:t>
      </w:r>
      <w:r w:rsidRPr="009E5BA5">
        <w:rPr>
          <w:lang w:eastAsia="ja-JP"/>
        </w:rPr>
        <w:t xml:space="preserve"> the feed </w:t>
      </w:r>
      <w:r>
        <w:rPr>
          <w:lang w:eastAsia="ja-JP"/>
        </w:rPr>
        <w:t xml:space="preserve">pressure </w:t>
      </w:r>
      <w:r w:rsidRPr="009E5BA5">
        <w:rPr>
          <w:lang w:eastAsia="ja-JP"/>
        </w:rPr>
        <w:t xml:space="preserve">of </w:t>
      </w:r>
      <w:r>
        <w:rPr>
          <w:lang w:eastAsia="ja-JP"/>
        </w:rPr>
        <w:t xml:space="preserve">the </w:t>
      </w:r>
      <w:r w:rsidRPr="0075155B">
        <w:rPr>
          <w:lang w:eastAsia="ja-JP"/>
        </w:rPr>
        <w:t>feedstock</w:t>
      </w:r>
      <w:r w:rsidRPr="009E5BA5">
        <w:rPr>
          <w:lang w:eastAsia="ja-JP"/>
        </w:rPr>
        <w:t xml:space="preserve"> </w:t>
      </w:r>
      <w:r>
        <w:rPr>
          <w:lang w:eastAsia="ja-JP"/>
        </w:rPr>
        <w:t>Ethylene</w:t>
      </w:r>
      <w:r w:rsidRPr="009E5BA5">
        <w:rPr>
          <w:lang w:eastAsia="ja-JP"/>
        </w:rPr>
        <w:t xml:space="preserve"> and </w:t>
      </w:r>
      <w:r>
        <w:rPr>
          <w:lang w:eastAsia="ja-JP"/>
        </w:rPr>
        <w:t>oxygen</w:t>
      </w:r>
      <w:r w:rsidRPr="009E5BA5">
        <w:rPr>
          <w:lang w:eastAsia="ja-JP"/>
        </w:rPr>
        <w:t>, respectively</w:t>
      </w:r>
      <w:r>
        <w:rPr>
          <w:lang w:eastAsia="ja-JP"/>
        </w:rPr>
        <w:t>; MAL5 is a malfunction that decreases reaction activity of the reacto</w:t>
      </w:r>
      <w:r w:rsidRPr="001A1D4C">
        <w:rPr>
          <w:lang w:eastAsia="ja-JP"/>
        </w:rPr>
        <w:t xml:space="preserve">r </w:t>
      </w:r>
      <w:r w:rsidRPr="001A1D4C">
        <w:rPr>
          <w:sz w:val="21"/>
          <w:szCs w:val="21"/>
          <w:lang w:eastAsia="en-GB"/>
        </w:rPr>
        <w:t>due to degradation and sintering</w:t>
      </w:r>
      <w:r>
        <w:rPr>
          <w:sz w:val="21"/>
          <w:szCs w:val="21"/>
          <w:lang w:eastAsia="en-GB"/>
        </w:rPr>
        <w:t xml:space="preserve"> </w:t>
      </w:r>
      <w:r w:rsidRPr="001A1D4C">
        <w:rPr>
          <w:sz w:val="21"/>
          <w:szCs w:val="21"/>
          <w:lang w:eastAsia="en-GB"/>
        </w:rPr>
        <w:t>of the catalyst bed.</w:t>
      </w:r>
      <w:r>
        <w:rPr>
          <w:sz w:val="21"/>
          <w:szCs w:val="21"/>
          <w:lang w:eastAsia="en-GB"/>
        </w:rPr>
        <w:t xml:space="preserve"> The </w:t>
      </w:r>
      <w:r>
        <w:rPr>
          <w:lang w:eastAsia="ja-JP"/>
        </w:rPr>
        <w:t>65</w:t>
      </w:r>
      <w:r w:rsidRPr="00BC7AA7">
        <w:rPr>
          <w:lang w:eastAsia="ja-JP"/>
        </w:rPr>
        <w:t xml:space="preserve"> process variables of the VAM process</w:t>
      </w:r>
      <w:r>
        <w:rPr>
          <w:lang w:eastAsia="ja-JP"/>
        </w:rPr>
        <w:t xml:space="preserve"> measured every 10 seconds</w:t>
      </w:r>
      <w:r w:rsidRPr="00BC7AA7">
        <w:rPr>
          <w:lang w:eastAsia="ja-JP"/>
        </w:rPr>
        <w:t xml:space="preserve"> were adopted as input variables of a soft</w:t>
      </w:r>
      <w:r>
        <w:rPr>
          <w:lang w:eastAsia="ja-JP"/>
        </w:rPr>
        <w:t>-</w:t>
      </w:r>
      <w:r w:rsidRPr="00BC7AA7">
        <w:rPr>
          <w:lang w:eastAsia="ja-JP"/>
        </w:rPr>
        <w:t>sensor</w:t>
      </w:r>
      <w:r>
        <w:rPr>
          <w:lang w:eastAsia="ja-JP"/>
        </w:rPr>
        <w:t>, and t</w:t>
      </w:r>
      <w:r w:rsidRPr="00E7054A">
        <w:rPr>
          <w:lang w:eastAsia="ja-JP"/>
        </w:rPr>
        <w:t>he output</w:t>
      </w:r>
      <w:r>
        <w:rPr>
          <w:lang w:eastAsia="ja-JP"/>
        </w:rPr>
        <w:t xml:space="preserve"> to be</w:t>
      </w:r>
      <w:r w:rsidRPr="00E7054A">
        <w:rPr>
          <w:lang w:eastAsia="ja-JP"/>
        </w:rPr>
        <w:t xml:space="preserve"> predicted by the soft</w:t>
      </w:r>
      <w:r>
        <w:rPr>
          <w:lang w:eastAsia="ja-JP"/>
        </w:rPr>
        <w:t>-</w:t>
      </w:r>
      <w:r w:rsidRPr="00E7054A">
        <w:rPr>
          <w:lang w:eastAsia="ja-JP"/>
        </w:rPr>
        <w:t xml:space="preserve">sensor was the mass percent concentration of VAM in the product, which is measured </w:t>
      </w:r>
      <w:r>
        <w:rPr>
          <w:lang w:eastAsia="ja-JP"/>
        </w:rPr>
        <w:t>every 30 minutes offline</w:t>
      </w:r>
      <w:r>
        <w:t>.</w:t>
      </w:r>
      <w:r w:rsidRPr="000D18B9">
        <w:t xml:space="preserve"> </w:t>
      </w:r>
    </w:p>
    <w:p w14:paraId="6C3BAA53" w14:textId="1111189A" w:rsidR="00804705" w:rsidRPr="006B7932" w:rsidRDefault="00804705" w:rsidP="00804705">
      <w:pPr>
        <w:pStyle w:val="Els-body-text"/>
        <w:spacing w:after="120"/>
      </w:pPr>
      <w:r>
        <w:rPr>
          <w:lang w:eastAsia="ja-JP"/>
        </w:rPr>
        <w:t xml:space="preserve">We adopted </w:t>
      </w:r>
      <w:proofErr w:type="gramStart"/>
      <w:r>
        <w:t>locally-weighted</w:t>
      </w:r>
      <w:proofErr w:type="gramEnd"/>
      <w:r>
        <w:t xml:space="preserve"> partial least squares (LWPLS) (Kim </w:t>
      </w:r>
      <w:r w:rsidRPr="00816B39">
        <w:rPr>
          <w:i/>
          <w:iCs/>
        </w:rPr>
        <w:t>et al.</w:t>
      </w:r>
      <w:r>
        <w:t>, 2013) as a JIT modeling method, and constructed</w:t>
      </w:r>
      <w:r>
        <w:rPr>
          <w:lang w:eastAsia="ja-JP"/>
        </w:rPr>
        <w:t xml:space="preserve"> soft-sensors with the proposed LST-FEDA. In addition, LWPLS-based soft-sensors with and without the conventional FEDA were constructed for comparison However, it is important to note that it is difficult to use the conventional FEDA in real processes when an unpredicted malfunction occurs. Thus, it was assumed that the occurrence of the unpredicted malfunctions was observed for comparison, and the conventional FEDA was applied only when the malfunctions occurred. On the other hand, new information was always transferred in the proposed LST-FEDA</w:t>
      </w:r>
      <w:r>
        <w:t>.</w:t>
      </w:r>
      <w:r w:rsidRPr="000D18B9">
        <w:t xml:space="preserve"> </w:t>
      </w:r>
      <w:r>
        <w:rPr>
          <w:lang w:eastAsia="ja-JP"/>
        </w:rPr>
        <w:t xml:space="preserve">The number of the target domain samples in the proposed LST-FEDA, the number of latent variables </w:t>
      </w:r>
      <m:oMath>
        <m:r>
          <w:rPr>
            <w:rFonts w:ascii="Cambria Math" w:hAnsi="Cambria Math"/>
            <w:lang w:eastAsia="ja-JP"/>
          </w:rPr>
          <m:t>Z</m:t>
        </m:r>
      </m:oMath>
      <w:r>
        <w:rPr>
          <w:rFonts w:hint="eastAsia"/>
          <w:lang w:eastAsia="ja-JP"/>
        </w:rPr>
        <w:t>,</w:t>
      </w:r>
      <w:r>
        <w:rPr>
          <w:lang w:eastAsia="ja-JP"/>
        </w:rPr>
        <w:t xml:space="preserve"> and the localization parameter </w:t>
      </w:r>
      <m:oMath>
        <m:r>
          <w:rPr>
            <w:rFonts w:ascii="Cambria Math" w:hAnsi="Cambria Math"/>
            <w:lang w:eastAsia="ja-JP"/>
          </w:rPr>
          <m:t>φ</m:t>
        </m:r>
      </m:oMath>
      <w:r>
        <w:rPr>
          <w:lang w:eastAsia="ja-JP"/>
        </w:rPr>
        <w:t xml:space="preserve"> in LWPLS </w:t>
      </w:r>
      <w:proofErr w:type="gramStart"/>
      <w:r>
        <w:rPr>
          <w:lang w:eastAsia="ja-JP"/>
        </w:rPr>
        <w:t>have to</w:t>
      </w:r>
      <w:proofErr w:type="gramEnd"/>
      <w:r>
        <w:rPr>
          <w:lang w:eastAsia="ja-JP"/>
        </w:rPr>
        <w:t xml:space="preserve"> be determined appropriately as hyper-parameters. In this case study, they were tuned through three-fold time-series cross-validation (S. </w:t>
      </w:r>
      <w:proofErr w:type="spellStart"/>
      <w:r>
        <w:rPr>
          <w:lang w:eastAsia="ja-JP"/>
        </w:rPr>
        <w:t>Arlot</w:t>
      </w:r>
      <w:proofErr w:type="spellEnd"/>
      <w:r>
        <w:rPr>
          <w:lang w:eastAsia="ja-JP"/>
        </w:rPr>
        <w:t xml:space="preserve"> and A. </w:t>
      </w:r>
      <w:proofErr w:type="spellStart"/>
      <w:r>
        <w:rPr>
          <w:lang w:eastAsia="ja-JP"/>
        </w:rPr>
        <w:t>Celisse</w:t>
      </w:r>
      <w:proofErr w:type="spellEnd"/>
      <w:r>
        <w:rPr>
          <w:lang w:eastAsia="ja-JP"/>
        </w:rPr>
        <w:t xml:space="preserve">, 2010). In this study, </w:t>
      </w:r>
      <m:oMath>
        <m:r>
          <w:rPr>
            <w:rFonts w:ascii="Cambria Math" w:hAnsi="Cambria Math"/>
            <w:lang w:eastAsia="ja-JP"/>
          </w:rPr>
          <m:t>Z=3</m:t>
        </m:r>
      </m:oMath>
      <w:r>
        <w:rPr>
          <w:lang w:eastAsia="ja-JP"/>
        </w:rPr>
        <w:t xml:space="preserve"> and </w:t>
      </w:r>
      <m:oMath>
        <m:r>
          <w:rPr>
            <w:rFonts w:ascii="Cambria Math" w:hAnsi="Cambria Math"/>
            <w:lang w:eastAsia="ja-JP"/>
          </w:rPr>
          <m:t>φ=2</m:t>
        </m:r>
      </m:oMath>
      <w:r>
        <w:rPr>
          <w:lang w:eastAsia="ja-JP"/>
        </w:rPr>
        <w:t xml:space="preserve"> were selected for LWPLS and LWPLS with FEDA, and </w:t>
      </w:r>
      <m:oMath>
        <m:r>
          <w:rPr>
            <w:rFonts w:ascii="Cambria Math" w:hAnsi="Cambria Math"/>
            <w:lang w:eastAsia="ja-JP"/>
          </w:rPr>
          <m:t>k=15</m:t>
        </m:r>
      </m:oMath>
      <w:r>
        <w:rPr>
          <w:rFonts w:hint="eastAsia"/>
          <w:lang w:eastAsia="ja-JP"/>
        </w:rPr>
        <w:t>,</w:t>
      </w:r>
      <w:r>
        <w:rPr>
          <w:lang w:eastAsia="ja-JP"/>
        </w:rPr>
        <w:t xml:space="preserve"> </w:t>
      </w:r>
      <m:oMath>
        <m:r>
          <w:rPr>
            <w:rFonts w:ascii="Cambria Math" w:hAnsi="Cambria Math"/>
            <w:lang w:eastAsia="ja-JP"/>
          </w:rPr>
          <m:t>Z=35,</m:t>
        </m:r>
      </m:oMath>
      <w:r>
        <w:rPr>
          <w:lang w:eastAsia="ja-JP"/>
        </w:rPr>
        <w:t xml:space="preserve"> and </w:t>
      </w:r>
      <m:oMath>
        <m:r>
          <w:rPr>
            <w:rFonts w:ascii="Cambria Math" w:hAnsi="Cambria Math"/>
            <w:lang w:eastAsia="ja-JP"/>
          </w:rPr>
          <m:t>φ=0.25</m:t>
        </m:r>
      </m:oMath>
      <w:r>
        <w:rPr>
          <w:lang w:eastAsia="ja-JP"/>
        </w:rPr>
        <w:t xml:space="preserve"> for LWPLS with LST-FEDA</w:t>
      </w:r>
      <w:r>
        <w:t>.</w:t>
      </w:r>
      <w:r w:rsidRPr="000D18B9">
        <w:t xml:space="preserve"> </w:t>
      </w:r>
    </w:p>
    <w:p w14:paraId="17A3C5A3" w14:textId="1542C02B" w:rsidR="004E4930" w:rsidRDefault="0045133F" w:rsidP="008A607B">
      <w:pPr>
        <w:pStyle w:val="Els-body-text"/>
        <w:spacing w:after="120"/>
      </w:pPr>
      <w:r>
        <w:rPr>
          <w:lang w:eastAsia="ja-JP"/>
        </w:rPr>
        <w:t>The prediction results for the test datasets of MAL1 and MAL2 are illustrated in Fig</w:t>
      </w:r>
      <w:r w:rsidR="007070DE">
        <w:rPr>
          <w:lang w:eastAsia="ja-JP"/>
        </w:rPr>
        <w:t>ure</w:t>
      </w:r>
      <w:r>
        <w:rPr>
          <w:lang w:eastAsia="ja-JP"/>
        </w:rPr>
        <w:t xml:space="preserve">s </w:t>
      </w:r>
      <w:r w:rsidR="00760076">
        <w:rPr>
          <w:lang w:eastAsia="ja-JP"/>
        </w:rPr>
        <w:t>1</w:t>
      </w:r>
      <w:r>
        <w:rPr>
          <w:lang w:eastAsia="ja-JP"/>
        </w:rPr>
        <w:t xml:space="preserve"> and </w:t>
      </w:r>
      <w:r w:rsidR="00760076">
        <w:rPr>
          <w:lang w:eastAsia="ja-JP"/>
        </w:rPr>
        <w:t>2</w:t>
      </w:r>
      <w:r>
        <w:rPr>
          <w:lang w:eastAsia="ja-JP"/>
        </w:rPr>
        <w:t xml:space="preserve">. The vertical dashed line at 180 min denotes the onset of the malfunction. The prediction by any </w:t>
      </w:r>
      <w:proofErr w:type="gramStart"/>
      <w:r>
        <w:rPr>
          <w:lang w:eastAsia="ja-JP"/>
        </w:rPr>
        <w:t>soft</w:t>
      </w:r>
      <w:r w:rsidR="00022D95">
        <w:rPr>
          <w:lang w:eastAsia="ja-JP"/>
        </w:rPr>
        <w:t>-</w:t>
      </w:r>
      <w:r>
        <w:rPr>
          <w:lang w:eastAsia="ja-JP"/>
        </w:rPr>
        <w:t>sensor</w:t>
      </w:r>
      <w:proofErr w:type="gramEnd"/>
      <w:r>
        <w:rPr>
          <w:lang w:eastAsia="ja-JP"/>
        </w:rPr>
        <w:t xml:space="preserve"> fluctuated significantly shortly after the malfunction occurrence, which lasted for approximately one hour. However, the errors between the</w:t>
      </w:r>
      <w:bookmarkEnd w:id="0"/>
      <w:bookmarkEnd w:id="1"/>
      <w:r>
        <w:rPr>
          <w:lang w:eastAsia="ja-JP"/>
        </w:rPr>
        <w:t xml:space="preserve"> </w:t>
      </w:r>
      <w:r w:rsidR="00693207">
        <w:rPr>
          <w:lang w:eastAsia="ja-JP"/>
        </w:rPr>
        <w:t xml:space="preserve">measurement and the prediction by LST-FEDA </w:t>
      </w:r>
      <w:r w:rsidR="00AA1B24">
        <w:rPr>
          <w:lang w:eastAsia="ja-JP"/>
        </w:rPr>
        <w:t>were</w:t>
      </w:r>
      <w:r w:rsidR="00693207">
        <w:rPr>
          <w:lang w:eastAsia="ja-JP"/>
        </w:rPr>
        <w:t xml:space="preserve"> the smallest of</w:t>
      </w:r>
      <w:r w:rsidR="00AA1B24">
        <w:rPr>
          <w:lang w:eastAsia="ja-JP"/>
        </w:rPr>
        <w:t xml:space="preserve"> the</w:t>
      </w:r>
      <w:r w:rsidR="00693207">
        <w:rPr>
          <w:lang w:eastAsia="ja-JP"/>
        </w:rPr>
        <w:t xml:space="preserve"> three soft-sensors</w:t>
      </w:r>
      <w:r w:rsidR="008A607B">
        <w:t>.</w:t>
      </w:r>
      <w:r w:rsidR="008A607B" w:rsidRPr="000D18B9">
        <w:t xml:space="preserve"> </w:t>
      </w:r>
    </w:p>
    <w:p w14:paraId="5C3AE95A" w14:textId="5FDC2276" w:rsidR="008A607B" w:rsidRDefault="008A607B" w:rsidP="00942E5D">
      <w:pPr>
        <w:pStyle w:val="Els-body-text"/>
        <w:rPr>
          <w:lang w:eastAsia="ja-JP"/>
        </w:rPr>
      </w:pPr>
      <w:r>
        <w:rPr>
          <w:lang w:eastAsia="ja-JP"/>
        </w:rPr>
        <w:t xml:space="preserve">Table 1 summarizes the prediction performance of the constructed </w:t>
      </w:r>
      <w:proofErr w:type="gramStart"/>
      <w:r>
        <w:rPr>
          <w:lang w:eastAsia="ja-JP"/>
        </w:rPr>
        <w:t>soft-sensors</w:t>
      </w:r>
      <w:proofErr w:type="gramEnd"/>
      <w:r>
        <w:rPr>
          <w:lang w:eastAsia="ja-JP"/>
        </w:rPr>
        <w:t xml:space="preserve"> for five test datasets including malfunctions. </w:t>
      </w:r>
      <w:proofErr w:type="gramStart"/>
      <w:r>
        <w:rPr>
          <w:lang w:eastAsia="ja-JP"/>
        </w:rPr>
        <w:t>In order to</w:t>
      </w:r>
      <w:proofErr w:type="gramEnd"/>
      <w:r>
        <w:rPr>
          <w:lang w:eastAsia="ja-JP"/>
        </w:rPr>
        <w:t xml:space="preserve"> account for the differences in behaviors after the malfunction, the prediction performances were evaluated in three periods: 0-600</w:t>
      </w:r>
    </w:p>
    <w:p w14:paraId="055A9757" w14:textId="77777777" w:rsidR="008A607B" w:rsidRDefault="008A607B" w:rsidP="00B514BC">
      <w:pPr>
        <w:pStyle w:val="Els-body-text"/>
        <w:rPr>
          <w:lang w:eastAsia="ja-JP"/>
        </w:rPr>
      </w:pPr>
    </w:p>
    <w:p w14:paraId="5626ED3A" w14:textId="77777777" w:rsidR="00B514BC" w:rsidRDefault="00B514BC" w:rsidP="00B514BC">
      <w:pPr>
        <w:pStyle w:val="Els-body-text"/>
        <w:rPr>
          <w:lang w:eastAsia="ja-JP"/>
        </w:rPr>
      </w:pPr>
      <w:r>
        <w:rPr>
          <w:noProof/>
          <w:lang w:eastAsia="ja-JP"/>
        </w:rPr>
        <w:drawing>
          <wp:inline distT="0" distB="0" distL="0" distR="0" wp14:anchorId="34889E15" wp14:editId="5672AF43">
            <wp:extent cx="4498205" cy="988616"/>
            <wp:effectExtent l="0" t="0" r="0" b="2540"/>
            <wp:docPr id="9399675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67582" name="図 3"/>
                    <pic:cNvPicPr/>
                  </pic:nvPicPr>
                  <pic:blipFill>
                    <a:blip r:embed="rId8"/>
                    <a:stretch>
                      <a:fillRect/>
                    </a:stretch>
                  </pic:blipFill>
                  <pic:spPr>
                    <a:xfrm>
                      <a:off x="0" y="0"/>
                      <a:ext cx="4498205" cy="988616"/>
                    </a:xfrm>
                    <a:prstGeom prst="rect">
                      <a:avLst/>
                    </a:prstGeom>
                  </pic:spPr>
                </pic:pic>
              </a:graphicData>
            </a:graphic>
          </wp:inline>
        </w:drawing>
      </w:r>
    </w:p>
    <w:p w14:paraId="4EFC94B3" w14:textId="4AE17E6E" w:rsidR="004E4930" w:rsidRDefault="00B514BC" w:rsidP="004E4930">
      <w:pPr>
        <w:pStyle w:val="Els-body-text"/>
        <w:jc w:val="center"/>
        <w:rPr>
          <w:lang w:eastAsia="ja-JP"/>
        </w:rPr>
      </w:pPr>
      <w:r>
        <w:rPr>
          <w:rFonts w:hint="eastAsia"/>
          <w:lang w:eastAsia="ja-JP"/>
        </w:rPr>
        <w:t>F</w:t>
      </w:r>
      <w:r>
        <w:rPr>
          <w:lang w:eastAsia="ja-JP"/>
        </w:rPr>
        <w:t>ig</w:t>
      </w:r>
      <w:r w:rsidR="007070DE">
        <w:rPr>
          <w:lang w:eastAsia="ja-JP"/>
        </w:rPr>
        <w:t>ure</w:t>
      </w:r>
      <w:r>
        <w:rPr>
          <w:lang w:eastAsia="ja-JP"/>
        </w:rPr>
        <w:t xml:space="preserve"> </w:t>
      </w:r>
      <w:r w:rsidR="00760076">
        <w:rPr>
          <w:lang w:eastAsia="ja-JP"/>
        </w:rPr>
        <w:t>1</w:t>
      </w:r>
      <w:r>
        <w:rPr>
          <w:lang w:eastAsia="ja-JP"/>
        </w:rPr>
        <w:t xml:space="preserve">: </w:t>
      </w:r>
      <w:r w:rsidRPr="00992DA4">
        <w:rPr>
          <w:lang w:eastAsia="ja-JP"/>
        </w:rPr>
        <w:t xml:space="preserve">Prediction results of the </w:t>
      </w:r>
      <w:proofErr w:type="gramStart"/>
      <w:r w:rsidRPr="00992DA4">
        <w:rPr>
          <w:lang w:eastAsia="ja-JP"/>
        </w:rPr>
        <w:t>soft</w:t>
      </w:r>
      <w:r w:rsidR="00022D95">
        <w:rPr>
          <w:lang w:eastAsia="ja-JP"/>
        </w:rPr>
        <w:t>-</w:t>
      </w:r>
      <w:r w:rsidRPr="00992DA4">
        <w:rPr>
          <w:lang w:eastAsia="ja-JP"/>
        </w:rPr>
        <w:t>sensors</w:t>
      </w:r>
      <w:proofErr w:type="gramEnd"/>
      <w:r w:rsidRPr="00992DA4">
        <w:rPr>
          <w:lang w:eastAsia="ja-JP"/>
        </w:rPr>
        <w:t xml:space="preserve"> in VAM process with MAL1</w:t>
      </w:r>
    </w:p>
    <w:p w14:paraId="5B2FDA7C" w14:textId="77777777" w:rsidR="00B514BC" w:rsidRDefault="00B514BC" w:rsidP="00B514BC">
      <w:pPr>
        <w:pStyle w:val="Els-body-text"/>
        <w:rPr>
          <w:lang w:eastAsia="ja-JP"/>
        </w:rPr>
      </w:pPr>
      <w:r>
        <w:rPr>
          <w:rFonts w:hint="eastAsia"/>
          <w:noProof/>
          <w:lang w:eastAsia="ja-JP"/>
        </w:rPr>
        <w:lastRenderedPageBreak/>
        <w:drawing>
          <wp:inline distT="0" distB="0" distL="0" distR="0" wp14:anchorId="4DBDFDBF" wp14:editId="2D71FA0E">
            <wp:extent cx="4499602" cy="979034"/>
            <wp:effectExtent l="0" t="0" r="0" b="0"/>
            <wp:docPr id="74580018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00188" name="図 4"/>
                    <pic:cNvPicPr/>
                  </pic:nvPicPr>
                  <pic:blipFill>
                    <a:blip r:embed="rId9"/>
                    <a:stretch>
                      <a:fillRect/>
                    </a:stretch>
                  </pic:blipFill>
                  <pic:spPr>
                    <a:xfrm>
                      <a:off x="0" y="0"/>
                      <a:ext cx="4499602" cy="979034"/>
                    </a:xfrm>
                    <a:prstGeom prst="rect">
                      <a:avLst/>
                    </a:prstGeom>
                  </pic:spPr>
                </pic:pic>
              </a:graphicData>
            </a:graphic>
          </wp:inline>
        </w:drawing>
      </w:r>
    </w:p>
    <w:p w14:paraId="3A28D523" w14:textId="3D3E782F" w:rsidR="00385D95" w:rsidRDefault="00B514BC" w:rsidP="00693207">
      <w:pPr>
        <w:pStyle w:val="Els-body-text"/>
        <w:jc w:val="center"/>
        <w:rPr>
          <w:lang w:eastAsia="ja-JP"/>
        </w:rPr>
      </w:pPr>
      <w:r>
        <w:rPr>
          <w:rFonts w:hint="eastAsia"/>
          <w:lang w:eastAsia="ja-JP"/>
        </w:rPr>
        <w:t>F</w:t>
      </w:r>
      <w:r>
        <w:rPr>
          <w:lang w:eastAsia="ja-JP"/>
        </w:rPr>
        <w:t>ig</w:t>
      </w:r>
      <w:r w:rsidR="007070DE">
        <w:rPr>
          <w:lang w:eastAsia="ja-JP"/>
        </w:rPr>
        <w:t>ure</w:t>
      </w:r>
      <w:r>
        <w:rPr>
          <w:lang w:eastAsia="ja-JP"/>
        </w:rPr>
        <w:t xml:space="preserve"> </w:t>
      </w:r>
      <w:r w:rsidR="00760076">
        <w:rPr>
          <w:lang w:eastAsia="ja-JP"/>
        </w:rPr>
        <w:t>2</w:t>
      </w:r>
      <w:r>
        <w:rPr>
          <w:lang w:eastAsia="ja-JP"/>
        </w:rPr>
        <w:t xml:space="preserve">: </w:t>
      </w:r>
      <w:r w:rsidRPr="00992DA4">
        <w:rPr>
          <w:lang w:eastAsia="ja-JP"/>
        </w:rPr>
        <w:t xml:space="preserve">Prediction results of the </w:t>
      </w:r>
      <w:proofErr w:type="gramStart"/>
      <w:r w:rsidRPr="00992DA4">
        <w:rPr>
          <w:lang w:eastAsia="ja-JP"/>
        </w:rPr>
        <w:t>soft</w:t>
      </w:r>
      <w:r w:rsidR="00022D95">
        <w:rPr>
          <w:lang w:eastAsia="ja-JP"/>
        </w:rPr>
        <w:t>-</w:t>
      </w:r>
      <w:r w:rsidRPr="00992DA4">
        <w:rPr>
          <w:lang w:eastAsia="ja-JP"/>
        </w:rPr>
        <w:t>sensors</w:t>
      </w:r>
      <w:proofErr w:type="gramEnd"/>
      <w:r w:rsidRPr="00992DA4">
        <w:rPr>
          <w:lang w:eastAsia="ja-JP"/>
        </w:rPr>
        <w:t xml:space="preserve"> in VAM process with MAL</w:t>
      </w:r>
      <w:r>
        <w:rPr>
          <w:lang w:eastAsia="ja-JP"/>
        </w:rPr>
        <w:t>2</w:t>
      </w:r>
    </w:p>
    <w:p w14:paraId="315513B6" w14:textId="77777777" w:rsidR="001A1D4C" w:rsidRPr="00642045" w:rsidRDefault="001A1D4C" w:rsidP="00693207">
      <w:pPr>
        <w:pStyle w:val="Els-body-text"/>
        <w:jc w:val="center"/>
        <w:rPr>
          <w:lang w:eastAsia="ja-JP"/>
        </w:rPr>
      </w:pPr>
    </w:p>
    <w:p w14:paraId="600DEAB3" w14:textId="4854E24F" w:rsidR="00942E5D" w:rsidRDefault="00942E5D" w:rsidP="007070DE">
      <w:pPr>
        <w:pStyle w:val="Els-body-text"/>
        <w:jc w:val="left"/>
        <w:rPr>
          <w:lang w:eastAsia="ja-JP"/>
        </w:rPr>
      </w:pPr>
      <w:r>
        <w:rPr>
          <w:rFonts w:hint="eastAsia"/>
          <w:lang w:eastAsia="ja-JP"/>
        </w:rPr>
        <w:t>T</w:t>
      </w:r>
      <w:r>
        <w:rPr>
          <w:lang w:eastAsia="ja-JP"/>
        </w:rPr>
        <w:t xml:space="preserve">able 1: </w:t>
      </w:r>
      <w:r w:rsidRPr="00651DB5">
        <w:rPr>
          <w:lang w:eastAsia="ja-JP"/>
        </w:rPr>
        <w:t>Prediction performances in VAM process</w:t>
      </w:r>
    </w:p>
    <w:tbl>
      <w:tblPr>
        <w:tblStyle w:val="af0"/>
        <w:tblW w:w="7230" w:type="dxa"/>
        <w:jc w:val="center"/>
        <w:tblLook w:val="04A0" w:firstRow="1" w:lastRow="0" w:firstColumn="1" w:lastColumn="0" w:noHBand="0" w:noVBand="1"/>
      </w:tblPr>
      <w:tblGrid>
        <w:gridCol w:w="1205"/>
        <w:gridCol w:w="1347"/>
        <w:gridCol w:w="566"/>
        <w:gridCol w:w="950"/>
        <w:gridCol w:w="675"/>
        <w:gridCol w:w="950"/>
        <w:gridCol w:w="566"/>
        <w:gridCol w:w="971"/>
      </w:tblGrid>
      <w:tr w:rsidR="004B2604" w14:paraId="780B8AC7" w14:textId="77777777" w:rsidTr="00AC073C">
        <w:trPr>
          <w:trHeight w:val="235"/>
          <w:jc w:val="center"/>
        </w:trPr>
        <w:tc>
          <w:tcPr>
            <w:tcW w:w="1205" w:type="dxa"/>
            <w:vMerge w:val="restart"/>
            <w:tcBorders>
              <w:left w:val="nil"/>
              <w:right w:val="nil"/>
            </w:tcBorders>
            <w:vAlign w:val="center"/>
          </w:tcPr>
          <w:p w14:paraId="60E8A75E" w14:textId="7A0538C2" w:rsidR="004B2604" w:rsidRDefault="004B2604" w:rsidP="00BB18F6">
            <w:pPr>
              <w:pStyle w:val="Els-body-text"/>
              <w:jc w:val="center"/>
              <w:rPr>
                <w:lang w:eastAsia="ja-JP"/>
              </w:rPr>
            </w:pPr>
            <w:r>
              <w:rPr>
                <w:rFonts w:hint="eastAsia"/>
                <w:lang w:eastAsia="ja-JP"/>
              </w:rPr>
              <w:t>M</w:t>
            </w:r>
            <w:r>
              <w:rPr>
                <w:lang w:eastAsia="ja-JP"/>
              </w:rPr>
              <w:t>alfunction</w:t>
            </w:r>
          </w:p>
        </w:tc>
        <w:tc>
          <w:tcPr>
            <w:tcW w:w="1347" w:type="dxa"/>
            <w:vMerge w:val="restart"/>
            <w:tcBorders>
              <w:left w:val="nil"/>
              <w:right w:val="nil"/>
            </w:tcBorders>
            <w:vAlign w:val="center"/>
          </w:tcPr>
          <w:p w14:paraId="5869BCDB" w14:textId="46F55072" w:rsidR="004B2604" w:rsidRDefault="004B2604" w:rsidP="00BB18F6">
            <w:pPr>
              <w:pStyle w:val="Els-body-text"/>
              <w:jc w:val="center"/>
              <w:rPr>
                <w:lang w:eastAsia="ja-JP"/>
              </w:rPr>
            </w:pPr>
            <w:r>
              <w:rPr>
                <w:rFonts w:hint="eastAsia"/>
                <w:lang w:eastAsia="ja-JP"/>
              </w:rPr>
              <w:t>M</w:t>
            </w:r>
            <w:r>
              <w:rPr>
                <w:lang w:eastAsia="ja-JP"/>
              </w:rPr>
              <w:t>odel</w:t>
            </w:r>
          </w:p>
        </w:tc>
        <w:tc>
          <w:tcPr>
            <w:tcW w:w="1516" w:type="dxa"/>
            <w:gridSpan w:val="2"/>
            <w:tcBorders>
              <w:left w:val="nil"/>
              <w:bottom w:val="single" w:sz="4" w:space="0" w:color="auto"/>
              <w:right w:val="nil"/>
            </w:tcBorders>
            <w:vAlign w:val="center"/>
          </w:tcPr>
          <w:p w14:paraId="6DE06C3A" w14:textId="77777777" w:rsidR="004B2604" w:rsidRDefault="004B2604" w:rsidP="00BB18F6">
            <w:pPr>
              <w:pStyle w:val="Els-body-text"/>
              <w:jc w:val="center"/>
              <w:rPr>
                <w:lang w:eastAsia="ja-JP"/>
              </w:rPr>
            </w:pPr>
            <w:r>
              <w:rPr>
                <w:rFonts w:hint="eastAsia"/>
                <w:lang w:eastAsia="ja-JP"/>
              </w:rPr>
              <w:t>0</w:t>
            </w:r>
            <w:r>
              <w:rPr>
                <w:lang w:eastAsia="ja-JP"/>
              </w:rPr>
              <w:t>-600min</w:t>
            </w:r>
          </w:p>
          <w:p w14:paraId="0041FD1A" w14:textId="55A4D033" w:rsidR="004E4930" w:rsidRDefault="004E4930" w:rsidP="00BB18F6">
            <w:pPr>
              <w:pStyle w:val="Els-body-text"/>
              <w:jc w:val="center"/>
              <w:rPr>
                <w:lang w:eastAsia="ja-JP"/>
              </w:rPr>
            </w:pPr>
            <w:r>
              <w:rPr>
                <w:rFonts w:hint="eastAsia"/>
                <w:lang w:eastAsia="ja-JP"/>
              </w:rPr>
              <w:t>(</w:t>
            </w:r>
            <w:r>
              <w:rPr>
                <w:lang w:eastAsia="ja-JP"/>
              </w:rPr>
              <w:t>the whole period)</w:t>
            </w:r>
          </w:p>
        </w:tc>
        <w:tc>
          <w:tcPr>
            <w:tcW w:w="1625" w:type="dxa"/>
            <w:gridSpan w:val="2"/>
            <w:tcBorders>
              <w:left w:val="nil"/>
              <w:bottom w:val="single" w:sz="4" w:space="0" w:color="auto"/>
              <w:right w:val="nil"/>
            </w:tcBorders>
            <w:vAlign w:val="center"/>
          </w:tcPr>
          <w:p w14:paraId="6CA13955" w14:textId="77777777" w:rsidR="004B2604" w:rsidRDefault="004B2604" w:rsidP="00BB18F6">
            <w:pPr>
              <w:pStyle w:val="Els-body-text"/>
              <w:jc w:val="center"/>
              <w:rPr>
                <w:lang w:eastAsia="ja-JP"/>
              </w:rPr>
            </w:pPr>
            <w:r>
              <w:rPr>
                <w:rFonts w:hint="eastAsia"/>
                <w:lang w:eastAsia="ja-JP"/>
              </w:rPr>
              <w:t>1</w:t>
            </w:r>
            <w:r>
              <w:rPr>
                <w:lang w:eastAsia="ja-JP"/>
              </w:rPr>
              <w:t>80-240min</w:t>
            </w:r>
          </w:p>
          <w:p w14:paraId="1606C4E9" w14:textId="38DD13D1" w:rsidR="004E4930" w:rsidRDefault="004E4930" w:rsidP="00BB18F6">
            <w:pPr>
              <w:pStyle w:val="Els-body-text"/>
              <w:jc w:val="center"/>
              <w:rPr>
                <w:lang w:eastAsia="ja-JP"/>
              </w:rPr>
            </w:pPr>
            <w:r>
              <w:rPr>
                <w:rFonts w:hint="eastAsia"/>
                <w:lang w:eastAsia="ja-JP"/>
              </w:rPr>
              <w:t>(</w:t>
            </w:r>
            <w:r>
              <w:rPr>
                <w:lang w:eastAsia="ja-JP"/>
              </w:rPr>
              <w:t>shortly after malfunction)</w:t>
            </w:r>
          </w:p>
        </w:tc>
        <w:tc>
          <w:tcPr>
            <w:tcW w:w="1537" w:type="dxa"/>
            <w:gridSpan w:val="2"/>
            <w:tcBorders>
              <w:left w:val="nil"/>
              <w:bottom w:val="single" w:sz="4" w:space="0" w:color="auto"/>
              <w:right w:val="nil"/>
            </w:tcBorders>
            <w:vAlign w:val="center"/>
          </w:tcPr>
          <w:p w14:paraId="7EA9D0A0" w14:textId="77777777" w:rsidR="004B2604" w:rsidRDefault="004B2604" w:rsidP="00BB18F6">
            <w:pPr>
              <w:pStyle w:val="Els-body-text"/>
              <w:jc w:val="center"/>
              <w:rPr>
                <w:lang w:eastAsia="ja-JP"/>
              </w:rPr>
            </w:pPr>
            <w:r>
              <w:rPr>
                <w:rFonts w:hint="eastAsia"/>
                <w:lang w:eastAsia="ja-JP"/>
              </w:rPr>
              <w:t>2</w:t>
            </w:r>
            <w:r>
              <w:rPr>
                <w:lang w:eastAsia="ja-JP"/>
              </w:rPr>
              <w:t>40-600min</w:t>
            </w:r>
          </w:p>
          <w:p w14:paraId="13993824" w14:textId="4DDC72AE" w:rsidR="004E4930" w:rsidRDefault="004E4930" w:rsidP="00BB18F6">
            <w:pPr>
              <w:pStyle w:val="Els-body-text"/>
              <w:jc w:val="center"/>
              <w:rPr>
                <w:lang w:eastAsia="ja-JP"/>
              </w:rPr>
            </w:pPr>
            <w:r>
              <w:rPr>
                <w:rFonts w:hint="eastAsia"/>
                <w:lang w:eastAsia="ja-JP"/>
              </w:rPr>
              <w:t>(</w:t>
            </w:r>
            <w:r>
              <w:rPr>
                <w:lang w:eastAsia="ja-JP"/>
              </w:rPr>
              <w:t>after malfunction)</w:t>
            </w:r>
          </w:p>
        </w:tc>
      </w:tr>
      <w:tr w:rsidR="004B2604" w14:paraId="02755B98" w14:textId="356DA262" w:rsidTr="00AC073C">
        <w:trPr>
          <w:trHeight w:val="235"/>
          <w:jc w:val="center"/>
        </w:trPr>
        <w:tc>
          <w:tcPr>
            <w:tcW w:w="1205" w:type="dxa"/>
            <w:vMerge/>
            <w:tcBorders>
              <w:left w:val="nil"/>
              <w:bottom w:val="double" w:sz="4" w:space="0" w:color="auto"/>
              <w:right w:val="nil"/>
            </w:tcBorders>
            <w:vAlign w:val="center"/>
          </w:tcPr>
          <w:p w14:paraId="2DB58AC4" w14:textId="6D4137C4" w:rsidR="004B2604" w:rsidRDefault="004B2604" w:rsidP="00BB18F6">
            <w:pPr>
              <w:pStyle w:val="Els-body-text"/>
              <w:jc w:val="center"/>
              <w:rPr>
                <w:lang w:eastAsia="ja-JP"/>
              </w:rPr>
            </w:pPr>
          </w:p>
        </w:tc>
        <w:tc>
          <w:tcPr>
            <w:tcW w:w="1347" w:type="dxa"/>
            <w:vMerge/>
            <w:tcBorders>
              <w:left w:val="nil"/>
              <w:bottom w:val="double" w:sz="4" w:space="0" w:color="auto"/>
              <w:right w:val="nil"/>
            </w:tcBorders>
            <w:vAlign w:val="center"/>
          </w:tcPr>
          <w:p w14:paraId="28994F81" w14:textId="20A722F8" w:rsidR="004B2604" w:rsidRDefault="004B2604" w:rsidP="00BB18F6">
            <w:pPr>
              <w:pStyle w:val="Els-body-text"/>
              <w:jc w:val="center"/>
              <w:rPr>
                <w:lang w:eastAsia="ja-JP"/>
              </w:rPr>
            </w:pPr>
          </w:p>
        </w:tc>
        <w:tc>
          <w:tcPr>
            <w:tcW w:w="566" w:type="dxa"/>
            <w:tcBorders>
              <w:left w:val="nil"/>
              <w:bottom w:val="double" w:sz="4" w:space="0" w:color="auto"/>
              <w:right w:val="nil"/>
            </w:tcBorders>
            <w:vAlign w:val="center"/>
          </w:tcPr>
          <w:p w14:paraId="1C8BDA96" w14:textId="77777777" w:rsidR="004B2604" w:rsidRPr="00C53699" w:rsidRDefault="004B2604" w:rsidP="00BB18F6">
            <w:pPr>
              <w:pStyle w:val="Els-body-text"/>
              <w:jc w:val="center"/>
              <w:rPr>
                <w:i/>
                <w:lang w:eastAsia="ja-JP"/>
              </w:rPr>
            </w:pPr>
            <m:oMathPara>
              <m:oMath>
                <m:r>
                  <w:rPr>
                    <w:rFonts w:ascii="Cambria Math" w:hAnsi="Cambria Math"/>
                    <w:lang w:eastAsia="ja-JP"/>
                  </w:rPr>
                  <m:t>R</m:t>
                </m:r>
              </m:oMath>
            </m:oMathPara>
          </w:p>
        </w:tc>
        <w:tc>
          <w:tcPr>
            <w:tcW w:w="950" w:type="dxa"/>
            <w:tcBorders>
              <w:left w:val="nil"/>
              <w:bottom w:val="double" w:sz="4" w:space="0" w:color="auto"/>
              <w:right w:val="nil"/>
            </w:tcBorders>
            <w:vAlign w:val="center"/>
          </w:tcPr>
          <w:p w14:paraId="67146659" w14:textId="6B7A8B43" w:rsidR="004B2604" w:rsidRDefault="004B2604" w:rsidP="00BB18F6">
            <w:pPr>
              <w:pStyle w:val="Els-body-text"/>
              <w:jc w:val="center"/>
              <w:rPr>
                <w:lang w:eastAsia="ja-JP"/>
              </w:rPr>
            </w:pPr>
            <w:r>
              <w:rPr>
                <w:rFonts w:hint="eastAsia"/>
                <w:lang w:eastAsia="ja-JP"/>
              </w:rPr>
              <w:t>R</w:t>
            </w:r>
            <w:r>
              <w:rPr>
                <w:lang w:eastAsia="ja-JP"/>
              </w:rPr>
              <w:t>MSE</w:t>
            </w:r>
          </w:p>
          <w:p w14:paraId="3C4D7459" w14:textId="48405547" w:rsidR="004B2604" w:rsidRDefault="004B2604" w:rsidP="00BB18F6">
            <w:pPr>
              <w:pStyle w:val="Els-body-text"/>
              <w:jc w:val="center"/>
              <w:rPr>
                <w:lang w:eastAsia="ja-JP"/>
              </w:rPr>
            </w:pPr>
            <w:r>
              <w:rPr>
                <w:lang w:eastAsia="ja-JP"/>
              </w:rPr>
              <w:t>(</w:t>
            </w:r>
            <m:oMath>
              <m:r>
                <w:rPr>
                  <w:rFonts w:ascii="Cambria Math" w:hAnsi="Cambria Math"/>
                  <w:lang w:eastAsia="ja-JP"/>
                </w:rPr>
                <m:t>×</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-4</m:t>
                  </m:r>
                </m:sup>
              </m:sSup>
            </m:oMath>
            <w:r>
              <w:rPr>
                <w:lang w:eastAsia="ja-JP"/>
              </w:rPr>
              <w:t>)</w:t>
            </w:r>
          </w:p>
        </w:tc>
        <w:tc>
          <w:tcPr>
            <w:tcW w:w="675" w:type="dxa"/>
            <w:tcBorders>
              <w:left w:val="nil"/>
              <w:bottom w:val="double" w:sz="4" w:space="0" w:color="auto"/>
              <w:right w:val="nil"/>
            </w:tcBorders>
            <w:vAlign w:val="center"/>
          </w:tcPr>
          <w:p w14:paraId="3287AD44" w14:textId="46D269BD" w:rsidR="004B2604" w:rsidRDefault="004B2604" w:rsidP="00BB18F6">
            <w:pPr>
              <w:pStyle w:val="Els-body-text"/>
              <w:jc w:val="center"/>
              <w:rPr>
                <w:lang w:eastAsia="ja-JP"/>
              </w:rPr>
            </w:pPr>
            <m:oMathPara>
              <m:oMath>
                <m:r>
                  <w:rPr>
                    <w:rFonts w:ascii="Cambria Math" w:hAnsi="Cambria Math"/>
                    <w:lang w:eastAsia="ja-JP"/>
                  </w:rPr>
                  <m:t>R</m:t>
                </m:r>
              </m:oMath>
            </m:oMathPara>
          </w:p>
        </w:tc>
        <w:tc>
          <w:tcPr>
            <w:tcW w:w="950" w:type="dxa"/>
            <w:tcBorders>
              <w:left w:val="nil"/>
              <w:bottom w:val="double" w:sz="4" w:space="0" w:color="auto"/>
              <w:right w:val="nil"/>
            </w:tcBorders>
            <w:vAlign w:val="center"/>
          </w:tcPr>
          <w:p w14:paraId="71E30ECE" w14:textId="77777777" w:rsidR="004B2604" w:rsidRDefault="004B2604" w:rsidP="00BB18F6">
            <w:pPr>
              <w:pStyle w:val="Els-body-text"/>
              <w:jc w:val="center"/>
              <w:rPr>
                <w:lang w:eastAsia="ja-JP"/>
              </w:rPr>
            </w:pPr>
            <w:r>
              <w:rPr>
                <w:rFonts w:hint="eastAsia"/>
                <w:lang w:eastAsia="ja-JP"/>
              </w:rPr>
              <w:t>R</w:t>
            </w:r>
            <w:r>
              <w:rPr>
                <w:lang w:eastAsia="ja-JP"/>
              </w:rPr>
              <w:t>MSE</w:t>
            </w:r>
          </w:p>
          <w:p w14:paraId="1A0ED05D" w14:textId="573D84BF" w:rsidR="004B2604" w:rsidRDefault="004B2604" w:rsidP="00BB18F6">
            <w:pPr>
              <w:pStyle w:val="Els-body-text"/>
              <w:jc w:val="center"/>
              <w:rPr>
                <w:lang w:eastAsia="ja-JP"/>
              </w:rPr>
            </w:pPr>
            <w:r>
              <w:rPr>
                <w:lang w:eastAsia="ja-JP"/>
              </w:rPr>
              <w:t>(</w:t>
            </w:r>
            <m:oMath>
              <m:r>
                <w:rPr>
                  <w:rFonts w:ascii="Cambria Math" w:hAnsi="Cambria Math"/>
                  <w:lang w:eastAsia="ja-JP"/>
                </w:rPr>
                <m:t>×</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-4</m:t>
                  </m:r>
                </m:sup>
              </m:sSup>
            </m:oMath>
            <w:r>
              <w:rPr>
                <w:lang w:eastAsia="ja-JP"/>
              </w:rPr>
              <w:t>)</w:t>
            </w:r>
          </w:p>
        </w:tc>
        <w:tc>
          <w:tcPr>
            <w:tcW w:w="566" w:type="dxa"/>
            <w:tcBorders>
              <w:left w:val="nil"/>
              <w:bottom w:val="double" w:sz="4" w:space="0" w:color="auto"/>
              <w:right w:val="nil"/>
            </w:tcBorders>
            <w:vAlign w:val="center"/>
          </w:tcPr>
          <w:p w14:paraId="49FB5966" w14:textId="39F9A871" w:rsidR="004B2604" w:rsidRDefault="004B2604" w:rsidP="00BB18F6">
            <w:pPr>
              <w:pStyle w:val="Els-body-text"/>
              <w:jc w:val="center"/>
              <w:rPr>
                <w:lang w:eastAsia="ja-JP"/>
              </w:rPr>
            </w:pPr>
            <m:oMathPara>
              <m:oMath>
                <m:r>
                  <w:rPr>
                    <w:rFonts w:ascii="Cambria Math" w:hAnsi="Cambria Math"/>
                    <w:lang w:eastAsia="ja-JP"/>
                  </w:rPr>
                  <m:t>R</m:t>
                </m:r>
              </m:oMath>
            </m:oMathPara>
          </w:p>
        </w:tc>
        <w:tc>
          <w:tcPr>
            <w:tcW w:w="971" w:type="dxa"/>
            <w:tcBorders>
              <w:left w:val="nil"/>
              <w:bottom w:val="double" w:sz="4" w:space="0" w:color="auto"/>
              <w:right w:val="nil"/>
            </w:tcBorders>
            <w:vAlign w:val="center"/>
          </w:tcPr>
          <w:p w14:paraId="79FF6609" w14:textId="77777777" w:rsidR="004B2604" w:rsidRDefault="004B2604" w:rsidP="00BB18F6">
            <w:pPr>
              <w:pStyle w:val="Els-body-text"/>
              <w:jc w:val="center"/>
              <w:rPr>
                <w:lang w:eastAsia="ja-JP"/>
              </w:rPr>
            </w:pPr>
            <w:r>
              <w:rPr>
                <w:rFonts w:hint="eastAsia"/>
                <w:lang w:eastAsia="ja-JP"/>
              </w:rPr>
              <w:t>R</w:t>
            </w:r>
            <w:r>
              <w:rPr>
                <w:lang w:eastAsia="ja-JP"/>
              </w:rPr>
              <w:t>MSE</w:t>
            </w:r>
          </w:p>
          <w:p w14:paraId="4AA1890D" w14:textId="6E1A7384" w:rsidR="004B2604" w:rsidRDefault="004B2604" w:rsidP="00BB18F6">
            <w:pPr>
              <w:pStyle w:val="Els-body-text"/>
              <w:jc w:val="center"/>
              <w:rPr>
                <w:lang w:eastAsia="ja-JP"/>
              </w:rPr>
            </w:pPr>
            <w:r>
              <w:rPr>
                <w:lang w:eastAsia="ja-JP"/>
              </w:rPr>
              <w:t>(</w:t>
            </w:r>
            <m:oMath>
              <m:r>
                <w:rPr>
                  <w:rFonts w:ascii="Cambria Math" w:hAnsi="Cambria Math"/>
                  <w:lang w:eastAsia="ja-JP"/>
                </w:rPr>
                <m:t>×</m:t>
              </m:r>
              <m:sSup>
                <m:sSupPr>
                  <m:ctrlPr>
                    <w:rPr>
                      <w:rFonts w:ascii="Cambria Math" w:hAnsi="Cambria Math"/>
                      <w:i/>
                      <w:lang w:eastAsia="ja-JP"/>
                    </w:rPr>
                  </m:ctrlPr>
                </m:sSupPr>
                <m:e>
                  <m:r>
                    <w:rPr>
                      <w:rFonts w:ascii="Cambria Math" w:hAnsi="Cambria Math"/>
                      <w:lang w:eastAsia="ja-JP"/>
                    </w:rPr>
                    <m:t>10</m:t>
                  </m:r>
                </m:e>
                <m:sup>
                  <m:r>
                    <w:rPr>
                      <w:rFonts w:ascii="Cambria Math" w:hAnsi="Cambria Math"/>
                      <w:lang w:eastAsia="ja-JP"/>
                    </w:rPr>
                    <m:t>-4</m:t>
                  </m:r>
                </m:sup>
              </m:sSup>
            </m:oMath>
            <w:r>
              <w:rPr>
                <w:lang w:eastAsia="ja-JP"/>
              </w:rPr>
              <w:t>)</w:t>
            </w:r>
          </w:p>
        </w:tc>
      </w:tr>
      <w:tr w:rsidR="007070DE" w14:paraId="7F69A404" w14:textId="3213A040" w:rsidTr="00AC073C">
        <w:trPr>
          <w:trHeight w:val="235"/>
          <w:jc w:val="center"/>
        </w:trPr>
        <w:tc>
          <w:tcPr>
            <w:tcW w:w="1205" w:type="dxa"/>
            <w:vMerge w:val="restart"/>
            <w:tcBorders>
              <w:top w:val="double" w:sz="4" w:space="0" w:color="auto"/>
              <w:left w:val="nil"/>
              <w:right w:val="nil"/>
            </w:tcBorders>
            <w:vAlign w:val="center"/>
          </w:tcPr>
          <w:p w14:paraId="6B4780DA" w14:textId="77777777" w:rsidR="004B2604" w:rsidRDefault="004B2604" w:rsidP="00BB18F6">
            <w:pPr>
              <w:pStyle w:val="Els-body-text"/>
              <w:jc w:val="center"/>
              <w:rPr>
                <w:lang w:eastAsia="ja-JP"/>
              </w:rPr>
            </w:pPr>
            <w:r>
              <w:rPr>
                <w:lang w:eastAsia="ja-JP"/>
              </w:rPr>
              <w:t>MAL1</w:t>
            </w:r>
          </w:p>
        </w:tc>
        <w:tc>
          <w:tcPr>
            <w:tcW w:w="1347" w:type="dxa"/>
            <w:tcBorders>
              <w:top w:val="single" w:sz="4" w:space="0" w:color="auto"/>
              <w:left w:val="nil"/>
              <w:bottom w:val="nil"/>
              <w:right w:val="nil"/>
            </w:tcBorders>
            <w:vAlign w:val="center"/>
          </w:tcPr>
          <w:p w14:paraId="3127129A" w14:textId="77777777" w:rsidR="004B2604" w:rsidRDefault="004B2604" w:rsidP="00BB18F6">
            <w:pPr>
              <w:pStyle w:val="Els-body-text"/>
              <w:jc w:val="center"/>
              <w:rPr>
                <w:lang w:eastAsia="ja-JP"/>
              </w:rPr>
            </w:pPr>
            <w:r>
              <w:rPr>
                <w:rFonts w:hint="eastAsia"/>
                <w:lang w:eastAsia="ja-JP"/>
              </w:rPr>
              <w:t>-</w:t>
            </w:r>
          </w:p>
        </w:tc>
        <w:tc>
          <w:tcPr>
            <w:tcW w:w="566" w:type="dxa"/>
            <w:tcBorders>
              <w:top w:val="single" w:sz="4" w:space="0" w:color="auto"/>
              <w:left w:val="nil"/>
              <w:bottom w:val="nil"/>
              <w:right w:val="nil"/>
            </w:tcBorders>
            <w:vAlign w:val="center"/>
          </w:tcPr>
          <w:p w14:paraId="43015B76" w14:textId="77777777" w:rsidR="004B2604" w:rsidRDefault="004B2604" w:rsidP="00BB18F6">
            <w:pPr>
              <w:pStyle w:val="Els-body-text"/>
              <w:jc w:val="center"/>
              <w:rPr>
                <w:lang w:eastAsia="ja-JP"/>
              </w:rPr>
            </w:pPr>
            <w:r>
              <w:rPr>
                <w:rFonts w:hint="eastAsia"/>
                <w:lang w:eastAsia="ja-JP"/>
              </w:rPr>
              <w:t>0</w:t>
            </w:r>
            <w:r>
              <w:rPr>
                <w:lang w:eastAsia="ja-JP"/>
              </w:rPr>
              <w:t>.49</w:t>
            </w:r>
          </w:p>
        </w:tc>
        <w:tc>
          <w:tcPr>
            <w:tcW w:w="950" w:type="dxa"/>
            <w:tcBorders>
              <w:top w:val="double" w:sz="4" w:space="0" w:color="auto"/>
              <w:left w:val="nil"/>
              <w:bottom w:val="nil"/>
              <w:right w:val="nil"/>
            </w:tcBorders>
            <w:vAlign w:val="center"/>
          </w:tcPr>
          <w:p w14:paraId="261E9C94" w14:textId="77777777" w:rsidR="004B2604" w:rsidRDefault="004B2604" w:rsidP="00BB18F6">
            <w:pPr>
              <w:pStyle w:val="Els-body-text"/>
              <w:jc w:val="center"/>
              <w:rPr>
                <w:lang w:eastAsia="ja-JP"/>
              </w:rPr>
            </w:pPr>
            <w:r>
              <w:rPr>
                <w:rFonts w:hint="eastAsia"/>
                <w:lang w:eastAsia="ja-JP"/>
              </w:rPr>
              <w:t>2</w:t>
            </w:r>
            <w:r>
              <w:rPr>
                <w:lang w:eastAsia="ja-JP"/>
              </w:rPr>
              <w:t>3.6</w:t>
            </w:r>
          </w:p>
        </w:tc>
        <w:tc>
          <w:tcPr>
            <w:tcW w:w="675" w:type="dxa"/>
            <w:tcBorders>
              <w:top w:val="double" w:sz="4" w:space="0" w:color="auto"/>
              <w:left w:val="nil"/>
              <w:bottom w:val="nil"/>
              <w:right w:val="nil"/>
            </w:tcBorders>
            <w:vAlign w:val="center"/>
          </w:tcPr>
          <w:p w14:paraId="7ECDEFFF" w14:textId="09030308" w:rsidR="004B2604" w:rsidRDefault="004B2604" w:rsidP="00BB18F6">
            <w:pPr>
              <w:pStyle w:val="Els-body-text"/>
              <w:jc w:val="center"/>
              <w:rPr>
                <w:lang w:eastAsia="ja-JP"/>
              </w:rPr>
            </w:pPr>
            <w:r w:rsidRPr="00313550">
              <w:rPr>
                <w:rFonts w:hint="eastAsia"/>
                <w:lang w:eastAsia="ja-JP"/>
              </w:rPr>
              <w:t>0</w:t>
            </w:r>
            <w:r w:rsidRPr="00313550">
              <w:rPr>
                <w:lang w:eastAsia="ja-JP"/>
              </w:rPr>
              <w:t>.</w:t>
            </w:r>
            <w:r>
              <w:rPr>
                <w:lang w:eastAsia="ja-JP"/>
              </w:rPr>
              <w:t>67</w:t>
            </w:r>
          </w:p>
        </w:tc>
        <w:tc>
          <w:tcPr>
            <w:tcW w:w="950" w:type="dxa"/>
            <w:tcBorders>
              <w:top w:val="single" w:sz="4" w:space="0" w:color="auto"/>
              <w:left w:val="nil"/>
              <w:bottom w:val="nil"/>
              <w:right w:val="nil"/>
            </w:tcBorders>
            <w:vAlign w:val="center"/>
          </w:tcPr>
          <w:p w14:paraId="3D7D1168" w14:textId="458AC8F6" w:rsidR="004B2604" w:rsidRDefault="004B2604" w:rsidP="00BB18F6">
            <w:pPr>
              <w:pStyle w:val="Els-body-text"/>
              <w:jc w:val="center"/>
              <w:rPr>
                <w:lang w:eastAsia="ja-JP"/>
              </w:rPr>
            </w:pPr>
            <w:r>
              <w:rPr>
                <w:lang w:eastAsia="ja-JP"/>
              </w:rPr>
              <w:t>74.6</w:t>
            </w:r>
          </w:p>
        </w:tc>
        <w:tc>
          <w:tcPr>
            <w:tcW w:w="566" w:type="dxa"/>
            <w:tcBorders>
              <w:top w:val="double" w:sz="4" w:space="0" w:color="auto"/>
              <w:bottom w:val="nil"/>
              <w:right w:val="nil"/>
            </w:tcBorders>
            <w:vAlign w:val="center"/>
          </w:tcPr>
          <w:p w14:paraId="35F779A3" w14:textId="35738CB0" w:rsidR="004B2604" w:rsidRDefault="004B2604" w:rsidP="00BB18F6">
            <w:pPr>
              <w:pStyle w:val="Els-body-text"/>
              <w:jc w:val="center"/>
              <w:rPr>
                <w:lang w:eastAsia="ja-JP"/>
              </w:rPr>
            </w:pPr>
            <w:r>
              <w:rPr>
                <w:lang w:eastAsia="ja-JP"/>
              </w:rPr>
              <w:t>1</w:t>
            </w:r>
            <w:r w:rsidRPr="00505FDE">
              <w:rPr>
                <w:lang w:eastAsia="ja-JP"/>
              </w:rPr>
              <w:t>.</w:t>
            </w:r>
            <w:r>
              <w:rPr>
                <w:lang w:eastAsia="ja-JP"/>
              </w:rPr>
              <w:t>00</w:t>
            </w:r>
          </w:p>
        </w:tc>
        <w:tc>
          <w:tcPr>
            <w:tcW w:w="971" w:type="dxa"/>
            <w:tcBorders>
              <w:top w:val="single" w:sz="4" w:space="0" w:color="auto"/>
              <w:left w:val="nil"/>
              <w:bottom w:val="nil"/>
              <w:right w:val="nil"/>
            </w:tcBorders>
            <w:vAlign w:val="center"/>
          </w:tcPr>
          <w:p w14:paraId="72023981" w14:textId="1CC77C5B" w:rsidR="004B2604" w:rsidRDefault="004B2604" w:rsidP="00BB18F6">
            <w:pPr>
              <w:pStyle w:val="Els-body-text"/>
              <w:jc w:val="center"/>
              <w:rPr>
                <w:lang w:eastAsia="ja-JP"/>
              </w:rPr>
            </w:pPr>
            <w:r>
              <w:rPr>
                <w:lang w:eastAsia="ja-JP"/>
              </w:rPr>
              <w:t>0.74</w:t>
            </w:r>
          </w:p>
        </w:tc>
      </w:tr>
      <w:tr w:rsidR="007070DE" w14:paraId="0D60B2F7" w14:textId="5A64FB27" w:rsidTr="00AC073C">
        <w:trPr>
          <w:trHeight w:val="235"/>
          <w:jc w:val="center"/>
        </w:trPr>
        <w:tc>
          <w:tcPr>
            <w:tcW w:w="1205" w:type="dxa"/>
            <w:vMerge/>
            <w:tcBorders>
              <w:left w:val="nil"/>
              <w:right w:val="nil"/>
            </w:tcBorders>
            <w:vAlign w:val="center"/>
          </w:tcPr>
          <w:p w14:paraId="12C62DE2" w14:textId="77777777" w:rsidR="004B2604" w:rsidRDefault="004B2604" w:rsidP="00BB18F6">
            <w:pPr>
              <w:pStyle w:val="Els-body-text"/>
              <w:jc w:val="center"/>
              <w:rPr>
                <w:lang w:eastAsia="ja-JP"/>
              </w:rPr>
            </w:pPr>
          </w:p>
        </w:tc>
        <w:tc>
          <w:tcPr>
            <w:tcW w:w="1347" w:type="dxa"/>
            <w:tcBorders>
              <w:top w:val="nil"/>
              <w:left w:val="nil"/>
              <w:bottom w:val="nil"/>
              <w:right w:val="nil"/>
            </w:tcBorders>
            <w:vAlign w:val="center"/>
          </w:tcPr>
          <w:p w14:paraId="57DAF750" w14:textId="77777777" w:rsidR="004B2604" w:rsidRDefault="004B2604" w:rsidP="00BB18F6">
            <w:pPr>
              <w:pStyle w:val="Els-body-text"/>
              <w:jc w:val="center"/>
              <w:rPr>
                <w:lang w:eastAsia="ja-JP"/>
              </w:rPr>
            </w:pPr>
            <w:r>
              <w:rPr>
                <w:rFonts w:hint="eastAsia"/>
                <w:lang w:eastAsia="ja-JP"/>
              </w:rPr>
              <w:t>F</w:t>
            </w:r>
            <w:r>
              <w:rPr>
                <w:lang w:eastAsia="ja-JP"/>
              </w:rPr>
              <w:t>EDA</w:t>
            </w:r>
          </w:p>
        </w:tc>
        <w:tc>
          <w:tcPr>
            <w:tcW w:w="566" w:type="dxa"/>
            <w:tcBorders>
              <w:top w:val="nil"/>
              <w:left w:val="nil"/>
              <w:bottom w:val="nil"/>
              <w:right w:val="nil"/>
            </w:tcBorders>
            <w:vAlign w:val="center"/>
          </w:tcPr>
          <w:p w14:paraId="064EAB75" w14:textId="77777777" w:rsidR="004B2604" w:rsidRDefault="004B2604" w:rsidP="00BB18F6">
            <w:pPr>
              <w:pStyle w:val="Els-body-text"/>
              <w:jc w:val="center"/>
              <w:rPr>
                <w:lang w:eastAsia="ja-JP"/>
              </w:rPr>
            </w:pPr>
            <w:r>
              <w:rPr>
                <w:rFonts w:hint="eastAsia"/>
                <w:lang w:eastAsia="ja-JP"/>
              </w:rPr>
              <w:t>0</w:t>
            </w:r>
            <w:r>
              <w:rPr>
                <w:lang w:eastAsia="ja-JP"/>
              </w:rPr>
              <w:t>.75</w:t>
            </w:r>
          </w:p>
        </w:tc>
        <w:tc>
          <w:tcPr>
            <w:tcW w:w="950" w:type="dxa"/>
            <w:tcBorders>
              <w:top w:val="nil"/>
              <w:left w:val="nil"/>
              <w:bottom w:val="nil"/>
              <w:right w:val="nil"/>
            </w:tcBorders>
            <w:vAlign w:val="center"/>
          </w:tcPr>
          <w:p w14:paraId="1314507E" w14:textId="77777777" w:rsidR="004B2604" w:rsidRDefault="004B2604" w:rsidP="00BB18F6">
            <w:pPr>
              <w:pStyle w:val="Els-body-text"/>
              <w:jc w:val="center"/>
              <w:rPr>
                <w:lang w:eastAsia="ja-JP"/>
              </w:rPr>
            </w:pPr>
            <w:r>
              <w:rPr>
                <w:rFonts w:hint="eastAsia"/>
                <w:lang w:eastAsia="ja-JP"/>
              </w:rPr>
              <w:t>8</w:t>
            </w:r>
            <w:r>
              <w:rPr>
                <w:lang w:eastAsia="ja-JP"/>
              </w:rPr>
              <w:t>.90</w:t>
            </w:r>
          </w:p>
        </w:tc>
        <w:tc>
          <w:tcPr>
            <w:tcW w:w="675" w:type="dxa"/>
            <w:tcBorders>
              <w:top w:val="nil"/>
              <w:left w:val="nil"/>
              <w:bottom w:val="nil"/>
              <w:right w:val="nil"/>
            </w:tcBorders>
            <w:vAlign w:val="center"/>
          </w:tcPr>
          <w:p w14:paraId="7975C8A3" w14:textId="0792F947" w:rsidR="004B2604" w:rsidRDefault="004B2604" w:rsidP="00BB18F6">
            <w:pPr>
              <w:pStyle w:val="Els-body-text"/>
              <w:jc w:val="center"/>
              <w:rPr>
                <w:lang w:eastAsia="ja-JP"/>
              </w:rPr>
            </w:pPr>
            <w:r w:rsidRPr="00313550">
              <w:rPr>
                <w:rFonts w:hint="eastAsia"/>
                <w:lang w:eastAsia="ja-JP"/>
              </w:rPr>
              <w:t>0</w:t>
            </w:r>
            <w:r w:rsidRPr="00313550">
              <w:rPr>
                <w:lang w:eastAsia="ja-JP"/>
              </w:rPr>
              <w:t>.</w:t>
            </w:r>
            <w:r>
              <w:rPr>
                <w:lang w:eastAsia="ja-JP"/>
              </w:rPr>
              <w:t>56</w:t>
            </w:r>
          </w:p>
        </w:tc>
        <w:tc>
          <w:tcPr>
            <w:tcW w:w="950" w:type="dxa"/>
            <w:tcBorders>
              <w:top w:val="nil"/>
              <w:left w:val="nil"/>
              <w:bottom w:val="nil"/>
              <w:right w:val="nil"/>
            </w:tcBorders>
            <w:vAlign w:val="center"/>
          </w:tcPr>
          <w:p w14:paraId="369F0948" w14:textId="24C23EDF" w:rsidR="004B2604" w:rsidRDefault="004B2604" w:rsidP="00BB18F6">
            <w:pPr>
              <w:pStyle w:val="Els-body-text"/>
              <w:jc w:val="center"/>
              <w:rPr>
                <w:lang w:eastAsia="ja-JP"/>
              </w:rPr>
            </w:pPr>
            <w:r>
              <w:rPr>
                <w:lang w:eastAsia="ja-JP"/>
              </w:rPr>
              <w:t>2</w:t>
            </w:r>
            <w:r>
              <w:rPr>
                <w:rFonts w:hint="eastAsia"/>
                <w:lang w:eastAsia="ja-JP"/>
              </w:rPr>
              <w:t>8</w:t>
            </w:r>
            <w:r>
              <w:rPr>
                <w:lang w:eastAsia="ja-JP"/>
              </w:rPr>
              <w:t>.0</w:t>
            </w:r>
          </w:p>
        </w:tc>
        <w:tc>
          <w:tcPr>
            <w:tcW w:w="566" w:type="dxa"/>
            <w:tcBorders>
              <w:top w:val="nil"/>
              <w:left w:val="nil"/>
              <w:bottom w:val="nil"/>
              <w:right w:val="nil"/>
            </w:tcBorders>
            <w:vAlign w:val="center"/>
          </w:tcPr>
          <w:p w14:paraId="6F03F995" w14:textId="03F2909C"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99</w:t>
            </w:r>
          </w:p>
        </w:tc>
        <w:tc>
          <w:tcPr>
            <w:tcW w:w="971" w:type="dxa"/>
            <w:tcBorders>
              <w:top w:val="nil"/>
              <w:left w:val="nil"/>
              <w:bottom w:val="nil"/>
              <w:right w:val="nil"/>
            </w:tcBorders>
            <w:vAlign w:val="center"/>
          </w:tcPr>
          <w:p w14:paraId="068AB0FC" w14:textId="61C365D7" w:rsidR="004B2604" w:rsidRDefault="004B2604" w:rsidP="00BB18F6">
            <w:pPr>
              <w:pStyle w:val="Els-body-text"/>
              <w:jc w:val="center"/>
              <w:rPr>
                <w:lang w:eastAsia="ja-JP"/>
              </w:rPr>
            </w:pPr>
            <w:r>
              <w:rPr>
                <w:lang w:eastAsia="ja-JP"/>
              </w:rPr>
              <w:t>0.96</w:t>
            </w:r>
          </w:p>
        </w:tc>
      </w:tr>
      <w:tr w:rsidR="007070DE" w14:paraId="0BC9C523" w14:textId="11B45D96" w:rsidTr="00AC073C">
        <w:trPr>
          <w:trHeight w:val="235"/>
          <w:jc w:val="center"/>
        </w:trPr>
        <w:tc>
          <w:tcPr>
            <w:tcW w:w="1205" w:type="dxa"/>
            <w:vMerge/>
            <w:tcBorders>
              <w:left w:val="nil"/>
              <w:right w:val="nil"/>
            </w:tcBorders>
            <w:vAlign w:val="center"/>
          </w:tcPr>
          <w:p w14:paraId="51BE6241" w14:textId="77777777" w:rsidR="004B2604" w:rsidRDefault="004B2604" w:rsidP="00BB18F6">
            <w:pPr>
              <w:pStyle w:val="Els-body-text"/>
              <w:jc w:val="center"/>
              <w:rPr>
                <w:lang w:eastAsia="ja-JP"/>
              </w:rPr>
            </w:pPr>
          </w:p>
        </w:tc>
        <w:tc>
          <w:tcPr>
            <w:tcW w:w="1347" w:type="dxa"/>
            <w:tcBorders>
              <w:top w:val="nil"/>
              <w:left w:val="nil"/>
              <w:bottom w:val="single" w:sz="4" w:space="0" w:color="auto"/>
              <w:right w:val="nil"/>
            </w:tcBorders>
            <w:vAlign w:val="center"/>
          </w:tcPr>
          <w:p w14:paraId="0FCC3E1E" w14:textId="77777777" w:rsidR="004B2604" w:rsidRDefault="004B2604" w:rsidP="00BB18F6">
            <w:pPr>
              <w:pStyle w:val="Els-body-text"/>
              <w:jc w:val="center"/>
              <w:rPr>
                <w:lang w:eastAsia="ja-JP"/>
              </w:rPr>
            </w:pPr>
            <w:r>
              <w:rPr>
                <w:rFonts w:hint="eastAsia"/>
                <w:lang w:eastAsia="ja-JP"/>
              </w:rPr>
              <w:t>L</w:t>
            </w:r>
            <w:r>
              <w:rPr>
                <w:lang w:eastAsia="ja-JP"/>
              </w:rPr>
              <w:t>ST-FEDA</w:t>
            </w:r>
          </w:p>
        </w:tc>
        <w:tc>
          <w:tcPr>
            <w:tcW w:w="566" w:type="dxa"/>
            <w:tcBorders>
              <w:top w:val="nil"/>
              <w:left w:val="nil"/>
              <w:bottom w:val="single" w:sz="4" w:space="0" w:color="auto"/>
              <w:right w:val="nil"/>
            </w:tcBorders>
            <w:vAlign w:val="center"/>
          </w:tcPr>
          <w:p w14:paraId="2977CAF5" w14:textId="77777777"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.99</w:t>
            </w:r>
          </w:p>
        </w:tc>
        <w:tc>
          <w:tcPr>
            <w:tcW w:w="950" w:type="dxa"/>
            <w:tcBorders>
              <w:top w:val="nil"/>
              <w:left w:val="nil"/>
              <w:bottom w:val="single" w:sz="4" w:space="0" w:color="auto"/>
              <w:right w:val="nil"/>
            </w:tcBorders>
            <w:vAlign w:val="center"/>
          </w:tcPr>
          <w:p w14:paraId="73B1EC79" w14:textId="77777777" w:rsidR="004B2604" w:rsidRPr="009C7A7E" w:rsidRDefault="004B2604" w:rsidP="00BB18F6">
            <w:pPr>
              <w:pStyle w:val="Els-body-text"/>
              <w:jc w:val="center"/>
              <w:rPr>
                <w:b/>
                <w:bCs/>
                <w:lang w:eastAsia="ja-JP"/>
              </w:rPr>
            </w:pPr>
            <w:r w:rsidRPr="009C7A7E">
              <w:rPr>
                <w:rFonts w:hint="eastAsia"/>
                <w:b/>
                <w:bCs/>
                <w:lang w:eastAsia="ja-JP"/>
              </w:rPr>
              <w:t>1</w:t>
            </w:r>
            <w:r w:rsidRPr="009C7A7E">
              <w:rPr>
                <w:b/>
                <w:bCs/>
                <w:lang w:eastAsia="ja-JP"/>
              </w:rPr>
              <w:t>.22</w:t>
            </w:r>
          </w:p>
        </w:tc>
        <w:tc>
          <w:tcPr>
            <w:tcW w:w="675" w:type="dxa"/>
            <w:tcBorders>
              <w:top w:val="nil"/>
              <w:left w:val="nil"/>
              <w:bottom w:val="single" w:sz="4" w:space="0" w:color="auto"/>
              <w:right w:val="nil"/>
            </w:tcBorders>
            <w:vAlign w:val="center"/>
          </w:tcPr>
          <w:p w14:paraId="7844D2E4" w14:textId="274B66FF"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.91</w:t>
            </w:r>
          </w:p>
        </w:tc>
        <w:tc>
          <w:tcPr>
            <w:tcW w:w="950" w:type="dxa"/>
            <w:tcBorders>
              <w:top w:val="nil"/>
              <w:left w:val="nil"/>
              <w:bottom w:val="single" w:sz="4" w:space="0" w:color="auto"/>
              <w:right w:val="nil"/>
            </w:tcBorders>
            <w:vAlign w:val="center"/>
          </w:tcPr>
          <w:p w14:paraId="035B7A48" w14:textId="150CA554" w:rsidR="004B2604" w:rsidRPr="009C7A7E" w:rsidRDefault="004B2604" w:rsidP="00BB18F6">
            <w:pPr>
              <w:pStyle w:val="Els-body-text"/>
              <w:jc w:val="center"/>
              <w:rPr>
                <w:b/>
                <w:bCs/>
                <w:lang w:eastAsia="ja-JP"/>
              </w:rPr>
            </w:pPr>
            <w:r w:rsidRPr="009C7A7E">
              <w:rPr>
                <w:b/>
                <w:bCs/>
                <w:lang w:eastAsia="ja-JP"/>
              </w:rPr>
              <w:t>3.49</w:t>
            </w:r>
          </w:p>
        </w:tc>
        <w:tc>
          <w:tcPr>
            <w:tcW w:w="566" w:type="dxa"/>
            <w:tcBorders>
              <w:top w:val="nil"/>
              <w:left w:val="nil"/>
              <w:bottom w:val="single" w:sz="4" w:space="0" w:color="auto"/>
              <w:right w:val="nil"/>
            </w:tcBorders>
            <w:vAlign w:val="center"/>
          </w:tcPr>
          <w:p w14:paraId="4F76F325" w14:textId="7D71BCBA" w:rsidR="004B2604" w:rsidRPr="009C7A7E" w:rsidRDefault="004B2604" w:rsidP="00BB18F6">
            <w:pPr>
              <w:pStyle w:val="Els-body-text"/>
              <w:jc w:val="center"/>
              <w:rPr>
                <w:b/>
                <w:bCs/>
                <w:lang w:eastAsia="ja-JP"/>
              </w:rPr>
            </w:pPr>
            <w:r w:rsidRPr="009C7A7E">
              <w:rPr>
                <w:b/>
                <w:bCs/>
                <w:lang w:eastAsia="ja-JP"/>
              </w:rPr>
              <w:t>1.00</w:t>
            </w:r>
          </w:p>
        </w:tc>
        <w:tc>
          <w:tcPr>
            <w:tcW w:w="971" w:type="dxa"/>
            <w:tcBorders>
              <w:top w:val="nil"/>
              <w:left w:val="nil"/>
              <w:bottom w:val="single" w:sz="4" w:space="0" w:color="auto"/>
              <w:right w:val="nil"/>
            </w:tcBorders>
            <w:vAlign w:val="center"/>
          </w:tcPr>
          <w:p w14:paraId="215AC05D" w14:textId="11D7DA32" w:rsidR="004B2604" w:rsidRPr="009C7A7E" w:rsidRDefault="004B2604" w:rsidP="00BB18F6">
            <w:pPr>
              <w:pStyle w:val="Els-body-text"/>
              <w:jc w:val="center"/>
              <w:rPr>
                <w:b/>
                <w:bCs/>
                <w:lang w:eastAsia="ja-JP"/>
              </w:rPr>
            </w:pPr>
            <w:r w:rsidRPr="009C7A7E">
              <w:rPr>
                <w:b/>
                <w:bCs/>
                <w:lang w:eastAsia="ja-JP"/>
              </w:rPr>
              <w:t>0.44</w:t>
            </w:r>
          </w:p>
        </w:tc>
      </w:tr>
      <w:tr w:rsidR="007070DE" w14:paraId="00784995" w14:textId="3192752C" w:rsidTr="00AC073C">
        <w:trPr>
          <w:trHeight w:val="235"/>
          <w:jc w:val="center"/>
        </w:trPr>
        <w:tc>
          <w:tcPr>
            <w:tcW w:w="1205" w:type="dxa"/>
            <w:vMerge w:val="restart"/>
            <w:tcBorders>
              <w:left w:val="nil"/>
              <w:right w:val="nil"/>
            </w:tcBorders>
            <w:vAlign w:val="center"/>
          </w:tcPr>
          <w:p w14:paraId="569C87D6" w14:textId="77777777" w:rsidR="004B2604" w:rsidRDefault="004B2604" w:rsidP="00BB18F6">
            <w:pPr>
              <w:pStyle w:val="Els-body-text"/>
              <w:jc w:val="center"/>
              <w:rPr>
                <w:lang w:eastAsia="ja-JP"/>
              </w:rPr>
            </w:pPr>
            <w:r>
              <w:rPr>
                <w:rFonts w:hint="eastAsia"/>
                <w:lang w:eastAsia="ja-JP"/>
              </w:rPr>
              <w:t>M</w:t>
            </w:r>
            <w:r>
              <w:rPr>
                <w:lang w:eastAsia="ja-JP"/>
              </w:rPr>
              <w:t>AL2</w:t>
            </w:r>
          </w:p>
        </w:tc>
        <w:tc>
          <w:tcPr>
            <w:tcW w:w="1347" w:type="dxa"/>
            <w:tcBorders>
              <w:left w:val="nil"/>
              <w:bottom w:val="nil"/>
              <w:right w:val="nil"/>
            </w:tcBorders>
            <w:vAlign w:val="center"/>
          </w:tcPr>
          <w:p w14:paraId="4E13F874" w14:textId="77777777" w:rsidR="004B2604" w:rsidRDefault="004B2604" w:rsidP="00BB18F6">
            <w:pPr>
              <w:pStyle w:val="Els-body-text"/>
              <w:jc w:val="center"/>
              <w:rPr>
                <w:lang w:eastAsia="ja-JP"/>
              </w:rPr>
            </w:pPr>
            <w:r>
              <w:rPr>
                <w:rFonts w:hint="eastAsia"/>
                <w:lang w:eastAsia="ja-JP"/>
              </w:rPr>
              <w:t>-</w:t>
            </w:r>
          </w:p>
        </w:tc>
        <w:tc>
          <w:tcPr>
            <w:tcW w:w="566" w:type="dxa"/>
            <w:tcBorders>
              <w:left w:val="nil"/>
              <w:bottom w:val="nil"/>
              <w:right w:val="nil"/>
            </w:tcBorders>
            <w:vAlign w:val="center"/>
          </w:tcPr>
          <w:p w14:paraId="6F2F6091"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59</w:t>
            </w:r>
          </w:p>
        </w:tc>
        <w:tc>
          <w:tcPr>
            <w:tcW w:w="950" w:type="dxa"/>
            <w:tcBorders>
              <w:left w:val="nil"/>
              <w:bottom w:val="nil"/>
              <w:right w:val="nil"/>
            </w:tcBorders>
            <w:vAlign w:val="center"/>
          </w:tcPr>
          <w:p w14:paraId="07988022" w14:textId="77777777" w:rsidR="004B2604" w:rsidRDefault="004B2604" w:rsidP="00BB18F6">
            <w:pPr>
              <w:pStyle w:val="Els-body-text"/>
              <w:jc w:val="center"/>
              <w:rPr>
                <w:lang w:eastAsia="ja-JP"/>
              </w:rPr>
            </w:pPr>
            <w:r>
              <w:rPr>
                <w:rFonts w:hint="eastAsia"/>
                <w:lang w:eastAsia="ja-JP"/>
              </w:rPr>
              <w:t>3</w:t>
            </w:r>
            <w:r>
              <w:rPr>
                <w:lang w:eastAsia="ja-JP"/>
              </w:rPr>
              <w:t>.27</w:t>
            </w:r>
          </w:p>
        </w:tc>
        <w:tc>
          <w:tcPr>
            <w:tcW w:w="675" w:type="dxa"/>
            <w:tcBorders>
              <w:left w:val="nil"/>
              <w:bottom w:val="nil"/>
              <w:right w:val="nil"/>
            </w:tcBorders>
            <w:vAlign w:val="center"/>
          </w:tcPr>
          <w:p w14:paraId="1E462C60" w14:textId="2965AE83" w:rsidR="004B2604" w:rsidRDefault="004B2604" w:rsidP="00BB18F6">
            <w:pPr>
              <w:pStyle w:val="Els-body-text"/>
              <w:jc w:val="center"/>
              <w:rPr>
                <w:lang w:eastAsia="ja-JP"/>
              </w:rPr>
            </w:pPr>
            <w:r>
              <w:rPr>
                <w:lang w:eastAsia="ja-JP"/>
              </w:rPr>
              <w:t>-</w:t>
            </w:r>
            <w:r w:rsidRPr="00313550">
              <w:rPr>
                <w:rFonts w:hint="eastAsia"/>
                <w:lang w:eastAsia="ja-JP"/>
              </w:rPr>
              <w:t>0</w:t>
            </w:r>
            <w:r w:rsidRPr="00313550">
              <w:rPr>
                <w:lang w:eastAsia="ja-JP"/>
              </w:rPr>
              <w:t>.</w:t>
            </w:r>
            <w:r>
              <w:rPr>
                <w:lang w:eastAsia="ja-JP"/>
              </w:rPr>
              <w:t>51</w:t>
            </w:r>
          </w:p>
        </w:tc>
        <w:tc>
          <w:tcPr>
            <w:tcW w:w="950" w:type="dxa"/>
            <w:tcBorders>
              <w:left w:val="nil"/>
              <w:bottom w:val="nil"/>
              <w:right w:val="nil"/>
            </w:tcBorders>
            <w:vAlign w:val="center"/>
          </w:tcPr>
          <w:p w14:paraId="05211CD8" w14:textId="2A146E24" w:rsidR="004B2604" w:rsidRDefault="004B2604" w:rsidP="00BB18F6">
            <w:pPr>
              <w:pStyle w:val="Els-body-text"/>
              <w:jc w:val="center"/>
              <w:rPr>
                <w:lang w:eastAsia="ja-JP"/>
              </w:rPr>
            </w:pPr>
            <w:r>
              <w:rPr>
                <w:lang w:eastAsia="ja-JP"/>
              </w:rPr>
              <w:t>9.87</w:t>
            </w:r>
          </w:p>
        </w:tc>
        <w:tc>
          <w:tcPr>
            <w:tcW w:w="566" w:type="dxa"/>
            <w:tcBorders>
              <w:left w:val="nil"/>
              <w:bottom w:val="nil"/>
              <w:right w:val="nil"/>
            </w:tcBorders>
            <w:vAlign w:val="center"/>
          </w:tcPr>
          <w:p w14:paraId="5AA5D41A" w14:textId="440B1578"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90</w:t>
            </w:r>
          </w:p>
        </w:tc>
        <w:tc>
          <w:tcPr>
            <w:tcW w:w="971" w:type="dxa"/>
            <w:tcBorders>
              <w:left w:val="nil"/>
              <w:bottom w:val="nil"/>
              <w:right w:val="nil"/>
            </w:tcBorders>
            <w:vAlign w:val="center"/>
          </w:tcPr>
          <w:p w14:paraId="26C6CF5A" w14:textId="244E3B87" w:rsidR="004B2604" w:rsidRDefault="004B2604" w:rsidP="00BB18F6">
            <w:pPr>
              <w:pStyle w:val="Els-body-text"/>
              <w:jc w:val="center"/>
              <w:rPr>
                <w:lang w:eastAsia="ja-JP"/>
              </w:rPr>
            </w:pPr>
            <w:r>
              <w:rPr>
                <w:lang w:eastAsia="ja-JP"/>
              </w:rPr>
              <w:t>1.19</w:t>
            </w:r>
          </w:p>
        </w:tc>
      </w:tr>
      <w:tr w:rsidR="007070DE" w14:paraId="25BFEF3B" w14:textId="340D645F" w:rsidTr="00AC073C">
        <w:trPr>
          <w:trHeight w:val="235"/>
          <w:jc w:val="center"/>
        </w:trPr>
        <w:tc>
          <w:tcPr>
            <w:tcW w:w="1205" w:type="dxa"/>
            <w:vMerge/>
            <w:tcBorders>
              <w:left w:val="nil"/>
              <w:right w:val="nil"/>
            </w:tcBorders>
            <w:vAlign w:val="center"/>
          </w:tcPr>
          <w:p w14:paraId="21AB9992" w14:textId="77777777" w:rsidR="004B2604" w:rsidRDefault="004B2604" w:rsidP="00BB18F6">
            <w:pPr>
              <w:pStyle w:val="Els-body-text"/>
              <w:jc w:val="center"/>
              <w:rPr>
                <w:lang w:eastAsia="ja-JP"/>
              </w:rPr>
            </w:pPr>
          </w:p>
        </w:tc>
        <w:tc>
          <w:tcPr>
            <w:tcW w:w="1347" w:type="dxa"/>
            <w:tcBorders>
              <w:top w:val="nil"/>
              <w:left w:val="nil"/>
              <w:bottom w:val="nil"/>
              <w:right w:val="nil"/>
            </w:tcBorders>
            <w:vAlign w:val="center"/>
          </w:tcPr>
          <w:p w14:paraId="4F2F319C" w14:textId="77777777" w:rsidR="004B2604" w:rsidRDefault="004B2604" w:rsidP="00BB18F6">
            <w:pPr>
              <w:pStyle w:val="Els-body-text"/>
              <w:jc w:val="center"/>
              <w:rPr>
                <w:lang w:eastAsia="ja-JP"/>
              </w:rPr>
            </w:pPr>
            <w:r>
              <w:rPr>
                <w:rFonts w:hint="eastAsia"/>
                <w:lang w:eastAsia="ja-JP"/>
              </w:rPr>
              <w:t>F</w:t>
            </w:r>
            <w:r>
              <w:rPr>
                <w:lang w:eastAsia="ja-JP"/>
              </w:rPr>
              <w:t>EDA</w:t>
            </w:r>
          </w:p>
        </w:tc>
        <w:tc>
          <w:tcPr>
            <w:tcW w:w="566" w:type="dxa"/>
            <w:tcBorders>
              <w:top w:val="nil"/>
              <w:left w:val="nil"/>
              <w:bottom w:val="nil"/>
              <w:right w:val="nil"/>
            </w:tcBorders>
            <w:vAlign w:val="center"/>
          </w:tcPr>
          <w:p w14:paraId="608EFC28" w14:textId="77777777"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.76</w:t>
            </w:r>
          </w:p>
        </w:tc>
        <w:tc>
          <w:tcPr>
            <w:tcW w:w="950" w:type="dxa"/>
            <w:tcBorders>
              <w:top w:val="nil"/>
              <w:left w:val="nil"/>
              <w:bottom w:val="nil"/>
              <w:right w:val="nil"/>
            </w:tcBorders>
            <w:vAlign w:val="center"/>
          </w:tcPr>
          <w:p w14:paraId="686C81E4" w14:textId="77777777" w:rsidR="004B2604" w:rsidRPr="009C7A7E" w:rsidRDefault="004B2604" w:rsidP="00BB18F6">
            <w:pPr>
              <w:pStyle w:val="Els-body-text"/>
              <w:jc w:val="center"/>
              <w:rPr>
                <w:b/>
                <w:bCs/>
                <w:lang w:eastAsia="ja-JP"/>
              </w:rPr>
            </w:pPr>
            <w:r w:rsidRPr="009C7A7E">
              <w:rPr>
                <w:rFonts w:hint="eastAsia"/>
                <w:b/>
                <w:bCs/>
                <w:lang w:eastAsia="ja-JP"/>
              </w:rPr>
              <w:t>2</w:t>
            </w:r>
            <w:r w:rsidRPr="009C7A7E">
              <w:rPr>
                <w:b/>
                <w:bCs/>
                <w:lang w:eastAsia="ja-JP"/>
              </w:rPr>
              <w:t>.06</w:t>
            </w:r>
          </w:p>
        </w:tc>
        <w:tc>
          <w:tcPr>
            <w:tcW w:w="675" w:type="dxa"/>
            <w:tcBorders>
              <w:top w:val="nil"/>
              <w:left w:val="nil"/>
              <w:bottom w:val="nil"/>
              <w:right w:val="nil"/>
            </w:tcBorders>
            <w:vAlign w:val="center"/>
          </w:tcPr>
          <w:p w14:paraId="0900503C" w14:textId="2F4C6441" w:rsidR="004B2604" w:rsidRDefault="004B2604" w:rsidP="00BB18F6">
            <w:pPr>
              <w:pStyle w:val="Els-body-text"/>
              <w:jc w:val="center"/>
              <w:rPr>
                <w:lang w:eastAsia="ja-JP"/>
              </w:rPr>
            </w:pPr>
            <w:r>
              <w:rPr>
                <w:rFonts w:hint="eastAsia"/>
                <w:lang w:eastAsia="ja-JP"/>
              </w:rPr>
              <w:t>-</w:t>
            </w:r>
            <w:r>
              <w:rPr>
                <w:lang w:eastAsia="ja-JP"/>
              </w:rPr>
              <w:t>0.45</w:t>
            </w:r>
          </w:p>
        </w:tc>
        <w:tc>
          <w:tcPr>
            <w:tcW w:w="950" w:type="dxa"/>
            <w:tcBorders>
              <w:top w:val="nil"/>
              <w:left w:val="nil"/>
              <w:bottom w:val="nil"/>
              <w:right w:val="nil"/>
            </w:tcBorders>
            <w:vAlign w:val="center"/>
          </w:tcPr>
          <w:p w14:paraId="6C12C3BE" w14:textId="335843C9" w:rsidR="004B2604" w:rsidRPr="009C7A7E" w:rsidRDefault="004B2604" w:rsidP="00BB18F6">
            <w:pPr>
              <w:pStyle w:val="Els-body-text"/>
              <w:jc w:val="center"/>
              <w:rPr>
                <w:b/>
                <w:bCs/>
                <w:lang w:eastAsia="ja-JP"/>
              </w:rPr>
            </w:pPr>
            <w:r w:rsidRPr="009C7A7E">
              <w:rPr>
                <w:b/>
                <w:bCs/>
                <w:lang w:eastAsia="ja-JP"/>
              </w:rPr>
              <w:t>5.86</w:t>
            </w:r>
          </w:p>
        </w:tc>
        <w:tc>
          <w:tcPr>
            <w:tcW w:w="566" w:type="dxa"/>
            <w:tcBorders>
              <w:top w:val="nil"/>
              <w:left w:val="nil"/>
              <w:bottom w:val="nil"/>
              <w:right w:val="nil"/>
            </w:tcBorders>
            <w:vAlign w:val="center"/>
          </w:tcPr>
          <w:p w14:paraId="00D05E97" w14:textId="502EA5F8"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95</w:t>
            </w:r>
          </w:p>
        </w:tc>
        <w:tc>
          <w:tcPr>
            <w:tcW w:w="971" w:type="dxa"/>
            <w:tcBorders>
              <w:top w:val="nil"/>
              <w:left w:val="nil"/>
              <w:bottom w:val="nil"/>
              <w:right w:val="nil"/>
            </w:tcBorders>
            <w:vAlign w:val="center"/>
          </w:tcPr>
          <w:p w14:paraId="54C984AC" w14:textId="18F1FCB1" w:rsidR="004B2604" w:rsidRDefault="004B2604" w:rsidP="00BB18F6">
            <w:pPr>
              <w:pStyle w:val="Els-body-text"/>
              <w:jc w:val="center"/>
              <w:rPr>
                <w:lang w:eastAsia="ja-JP"/>
              </w:rPr>
            </w:pPr>
            <w:r>
              <w:rPr>
                <w:lang w:eastAsia="ja-JP"/>
              </w:rPr>
              <w:t>1.07</w:t>
            </w:r>
          </w:p>
        </w:tc>
      </w:tr>
      <w:tr w:rsidR="007070DE" w14:paraId="3740C261" w14:textId="51F38EB4" w:rsidTr="00AC073C">
        <w:trPr>
          <w:trHeight w:val="235"/>
          <w:jc w:val="center"/>
        </w:trPr>
        <w:tc>
          <w:tcPr>
            <w:tcW w:w="1205" w:type="dxa"/>
            <w:vMerge/>
            <w:tcBorders>
              <w:left w:val="nil"/>
              <w:right w:val="nil"/>
            </w:tcBorders>
            <w:vAlign w:val="center"/>
          </w:tcPr>
          <w:p w14:paraId="4F497762" w14:textId="77777777" w:rsidR="004B2604" w:rsidRDefault="004B2604" w:rsidP="00BB18F6">
            <w:pPr>
              <w:pStyle w:val="Els-body-text"/>
              <w:jc w:val="center"/>
              <w:rPr>
                <w:lang w:eastAsia="ja-JP"/>
              </w:rPr>
            </w:pPr>
          </w:p>
        </w:tc>
        <w:tc>
          <w:tcPr>
            <w:tcW w:w="1347" w:type="dxa"/>
            <w:tcBorders>
              <w:top w:val="nil"/>
              <w:left w:val="nil"/>
              <w:bottom w:val="single" w:sz="4" w:space="0" w:color="auto"/>
              <w:right w:val="nil"/>
            </w:tcBorders>
            <w:vAlign w:val="center"/>
          </w:tcPr>
          <w:p w14:paraId="5075D958" w14:textId="77777777" w:rsidR="004B2604" w:rsidRDefault="004B2604" w:rsidP="00BB18F6">
            <w:pPr>
              <w:pStyle w:val="Els-body-text"/>
              <w:jc w:val="center"/>
              <w:rPr>
                <w:lang w:eastAsia="ja-JP"/>
              </w:rPr>
            </w:pPr>
            <w:r>
              <w:rPr>
                <w:rFonts w:hint="eastAsia"/>
                <w:lang w:eastAsia="ja-JP"/>
              </w:rPr>
              <w:t>L</w:t>
            </w:r>
            <w:r>
              <w:rPr>
                <w:lang w:eastAsia="ja-JP"/>
              </w:rPr>
              <w:t>ST-FEDA</w:t>
            </w:r>
          </w:p>
        </w:tc>
        <w:tc>
          <w:tcPr>
            <w:tcW w:w="566" w:type="dxa"/>
            <w:tcBorders>
              <w:top w:val="nil"/>
              <w:left w:val="nil"/>
              <w:bottom w:val="single" w:sz="4" w:space="0" w:color="auto"/>
              <w:right w:val="nil"/>
            </w:tcBorders>
            <w:vAlign w:val="center"/>
          </w:tcPr>
          <w:p w14:paraId="541FF0A4"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73</w:t>
            </w:r>
          </w:p>
        </w:tc>
        <w:tc>
          <w:tcPr>
            <w:tcW w:w="950" w:type="dxa"/>
            <w:tcBorders>
              <w:top w:val="nil"/>
              <w:left w:val="nil"/>
              <w:bottom w:val="single" w:sz="4" w:space="0" w:color="auto"/>
              <w:right w:val="nil"/>
            </w:tcBorders>
            <w:vAlign w:val="center"/>
          </w:tcPr>
          <w:p w14:paraId="685F9E17" w14:textId="77777777" w:rsidR="004B2604" w:rsidRDefault="004B2604" w:rsidP="00BB18F6">
            <w:pPr>
              <w:pStyle w:val="Els-body-text"/>
              <w:jc w:val="center"/>
              <w:rPr>
                <w:lang w:eastAsia="ja-JP"/>
              </w:rPr>
            </w:pPr>
            <w:r>
              <w:rPr>
                <w:rFonts w:hint="eastAsia"/>
                <w:lang w:eastAsia="ja-JP"/>
              </w:rPr>
              <w:t>2</w:t>
            </w:r>
            <w:r>
              <w:rPr>
                <w:lang w:eastAsia="ja-JP"/>
              </w:rPr>
              <w:t>.28</w:t>
            </w:r>
          </w:p>
        </w:tc>
        <w:tc>
          <w:tcPr>
            <w:tcW w:w="675" w:type="dxa"/>
            <w:tcBorders>
              <w:top w:val="nil"/>
              <w:left w:val="nil"/>
              <w:bottom w:val="single" w:sz="4" w:space="0" w:color="auto"/>
              <w:right w:val="nil"/>
            </w:tcBorders>
            <w:vAlign w:val="center"/>
          </w:tcPr>
          <w:p w14:paraId="518CA14D" w14:textId="7CE5939B" w:rsidR="004B2604" w:rsidRPr="009C7A7E" w:rsidRDefault="004B2604" w:rsidP="00BB18F6">
            <w:pPr>
              <w:pStyle w:val="Els-body-text"/>
              <w:jc w:val="center"/>
              <w:rPr>
                <w:b/>
                <w:bCs/>
                <w:lang w:eastAsia="ja-JP"/>
              </w:rPr>
            </w:pPr>
            <w:r w:rsidRPr="009C7A7E">
              <w:rPr>
                <w:b/>
                <w:bCs/>
                <w:lang w:eastAsia="ja-JP"/>
              </w:rPr>
              <w:t>-</w:t>
            </w:r>
            <w:r w:rsidRPr="009C7A7E">
              <w:rPr>
                <w:rFonts w:hint="eastAsia"/>
                <w:b/>
                <w:bCs/>
                <w:lang w:eastAsia="ja-JP"/>
              </w:rPr>
              <w:t>0</w:t>
            </w:r>
            <w:r w:rsidRPr="009C7A7E">
              <w:rPr>
                <w:b/>
                <w:bCs/>
                <w:lang w:eastAsia="ja-JP"/>
              </w:rPr>
              <w:t>.45</w:t>
            </w:r>
          </w:p>
        </w:tc>
        <w:tc>
          <w:tcPr>
            <w:tcW w:w="950" w:type="dxa"/>
            <w:tcBorders>
              <w:top w:val="nil"/>
              <w:left w:val="nil"/>
              <w:bottom w:val="single" w:sz="4" w:space="0" w:color="auto"/>
              <w:right w:val="nil"/>
            </w:tcBorders>
            <w:vAlign w:val="center"/>
          </w:tcPr>
          <w:p w14:paraId="1B14E888" w14:textId="67508735" w:rsidR="004B2604" w:rsidRDefault="004B2604" w:rsidP="00BB18F6">
            <w:pPr>
              <w:pStyle w:val="Els-body-text"/>
              <w:jc w:val="center"/>
              <w:rPr>
                <w:lang w:eastAsia="ja-JP"/>
              </w:rPr>
            </w:pPr>
            <w:r>
              <w:rPr>
                <w:lang w:eastAsia="ja-JP"/>
              </w:rPr>
              <w:t>6.86</w:t>
            </w:r>
          </w:p>
        </w:tc>
        <w:tc>
          <w:tcPr>
            <w:tcW w:w="566" w:type="dxa"/>
            <w:tcBorders>
              <w:top w:val="nil"/>
              <w:left w:val="nil"/>
              <w:bottom w:val="single" w:sz="4" w:space="0" w:color="auto"/>
              <w:right w:val="nil"/>
            </w:tcBorders>
            <w:vAlign w:val="center"/>
          </w:tcPr>
          <w:p w14:paraId="07B67AFE" w14:textId="683E467E"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.96</w:t>
            </w:r>
          </w:p>
        </w:tc>
        <w:tc>
          <w:tcPr>
            <w:tcW w:w="971" w:type="dxa"/>
            <w:tcBorders>
              <w:top w:val="nil"/>
              <w:left w:val="nil"/>
              <w:bottom w:val="single" w:sz="4" w:space="0" w:color="auto"/>
              <w:right w:val="nil"/>
            </w:tcBorders>
            <w:vAlign w:val="center"/>
          </w:tcPr>
          <w:p w14:paraId="7E990F74" w14:textId="35CE3E12" w:rsidR="004B2604" w:rsidRPr="009C7A7E" w:rsidRDefault="004B2604" w:rsidP="00BB18F6">
            <w:pPr>
              <w:pStyle w:val="Els-body-text"/>
              <w:jc w:val="center"/>
              <w:rPr>
                <w:b/>
                <w:bCs/>
                <w:lang w:eastAsia="ja-JP"/>
              </w:rPr>
            </w:pPr>
            <w:r w:rsidRPr="009C7A7E">
              <w:rPr>
                <w:b/>
                <w:bCs/>
                <w:lang w:eastAsia="ja-JP"/>
              </w:rPr>
              <w:t>0.72</w:t>
            </w:r>
          </w:p>
        </w:tc>
      </w:tr>
      <w:tr w:rsidR="007070DE" w14:paraId="6D621928" w14:textId="50F2C349" w:rsidTr="00AC073C">
        <w:trPr>
          <w:trHeight w:val="235"/>
          <w:jc w:val="center"/>
        </w:trPr>
        <w:tc>
          <w:tcPr>
            <w:tcW w:w="1205" w:type="dxa"/>
            <w:vMerge w:val="restart"/>
            <w:tcBorders>
              <w:left w:val="nil"/>
              <w:right w:val="nil"/>
            </w:tcBorders>
            <w:vAlign w:val="center"/>
          </w:tcPr>
          <w:p w14:paraId="4A6DDDE7" w14:textId="77777777" w:rsidR="004B2604" w:rsidRDefault="004B2604" w:rsidP="00BB18F6">
            <w:pPr>
              <w:pStyle w:val="Els-body-text"/>
              <w:jc w:val="center"/>
              <w:rPr>
                <w:lang w:eastAsia="ja-JP"/>
              </w:rPr>
            </w:pPr>
            <w:r>
              <w:rPr>
                <w:rFonts w:hint="eastAsia"/>
                <w:lang w:eastAsia="ja-JP"/>
              </w:rPr>
              <w:t>M</w:t>
            </w:r>
            <w:r>
              <w:rPr>
                <w:lang w:eastAsia="ja-JP"/>
              </w:rPr>
              <w:t>AL3</w:t>
            </w:r>
          </w:p>
        </w:tc>
        <w:tc>
          <w:tcPr>
            <w:tcW w:w="1347" w:type="dxa"/>
            <w:tcBorders>
              <w:left w:val="nil"/>
              <w:bottom w:val="nil"/>
              <w:right w:val="nil"/>
            </w:tcBorders>
            <w:vAlign w:val="center"/>
          </w:tcPr>
          <w:p w14:paraId="73E6B883" w14:textId="77777777" w:rsidR="004B2604" w:rsidRDefault="004B2604" w:rsidP="00BB18F6">
            <w:pPr>
              <w:pStyle w:val="Els-body-text"/>
              <w:jc w:val="center"/>
              <w:rPr>
                <w:lang w:eastAsia="ja-JP"/>
              </w:rPr>
            </w:pPr>
            <w:r>
              <w:rPr>
                <w:rFonts w:hint="eastAsia"/>
                <w:lang w:eastAsia="ja-JP"/>
              </w:rPr>
              <w:t>-</w:t>
            </w:r>
          </w:p>
        </w:tc>
        <w:tc>
          <w:tcPr>
            <w:tcW w:w="566" w:type="dxa"/>
            <w:tcBorders>
              <w:left w:val="nil"/>
              <w:bottom w:val="nil"/>
              <w:right w:val="nil"/>
            </w:tcBorders>
            <w:vAlign w:val="center"/>
          </w:tcPr>
          <w:p w14:paraId="7541725F"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14</w:t>
            </w:r>
          </w:p>
        </w:tc>
        <w:tc>
          <w:tcPr>
            <w:tcW w:w="950" w:type="dxa"/>
            <w:tcBorders>
              <w:left w:val="nil"/>
              <w:bottom w:val="nil"/>
              <w:right w:val="nil"/>
            </w:tcBorders>
            <w:vAlign w:val="center"/>
          </w:tcPr>
          <w:p w14:paraId="6ACD9F38" w14:textId="77777777" w:rsidR="004B2604" w:rsidRDefault="004B2604" w:rsidP="00BB18F6">
            <w:pPr>
              <w:pStyle w:val="Els-body-text"/>
              <w:jc w:val="center"/>
              <w:rPr>
                <w:lang w:eastAsia="ja-JP"/>
              </w:rPr>
            </w:pPr>
            <w:r>
              <w:rPr>
                <w:rFonts w:hint="eastAsia"/>
                <w:lang w:eastAsia="ja-JP"/>
              </w:rPr>
              <w:t>8</w:t>
            </w:r>
            <w:r>
              <w:rPr>
                <w:lang w:eastAsia="ja-JP"/>
              </w:rPr>
              <w:t>.18</w:t>
            </w:r>
          </w:p>
        </w:tc>
        <w:tc>
          <w:tcPr>
            <w:tcW w:w="675" w:type="dxa"/>
            <w:tcBorders>
              <w:left w:val="nil"/>
              <w:bottom w:val="nil"/>
              <w:right w:val="nil"/>
            </w:tcBorders>
            <w:vAlign w:val="center"/>
          </w:tcPr>
          <w:p w14:paraId="2CB73AED" w14:textId="4CF0D7B8" w:rsidR="004B2604" w:rsidRDefault="004B2604" w:rsidP="00BB18F6">
            <w:pPr>
              <w:pStyle w:val="Els-body-text"/>
              <w:jc w:val="center"/>
              <w:rPr>
                <w:lang w:eastAsia="ja-JP"/>
              </w:rPr>
            </w:pPr>
            <w:r>
              <w:rPr>
                <w:lang w:eastAsia="ja-JP"/>
              </w:rPr>
              <w:t>-</w:t>
            </w:r>
            <w:r w:rsidRPr="00313550">
              <w:rPr>
                <w:rFonts w:hint="eastAsia"/>
                <w:lang w:eastAsia="ja-JP"/>
              </w:rPr>
              <w:t>0</w:t>
            </w:r>
            <w:r w:rsidRPr="00313550">
              <w:rPr>
                <w:lang w:eastAsia="ja-JP"/>
              </w:rPr>
              <w:t>.</w:t>
            </w:r>
            <w:r>
              <w:rPr>
                <w:lang w:eastAsia="ja-JP"/>
              </w:rPr>
              <w:t>55</w:t>
            </w:r>
          </w:p>
        </w:tc>
        <w:tc>
          <w:tcPr>
            <w:tcW w:w="950" w:type="dxa"/>
            <w:tcBorders>
              <w:left w:val="nil"/>
              <w:bottom w:val="nil"/>
              <w:right w:val="nil"/>
            </w:tcBorders>
            <w:vAlign w:val="center"/>
          </w:tcPr>
          <w:p w14:paraId="0C5C648D" w14:textId="7485BBFC" w:rsidR="004B2604" w:rsidRDefault="004B2604" w:rsidP="00BB18F6">
            <w:pPr>
              <w:pStyle w:val="Els-body-text"/>
              <w:jc w:val="center"/>
              <w:rPr>
                <w:lang w:eastAsia="ja-JP"/>
              </w:rPr>
            </w:pPr>
            <w:r>
              <w:rPr>
                <w:lang w:eastAsia="ja-JP"/>
              </w:rPr>
              <w:t>25.8</w:t>
            </w:r>
          </w:p>
        </w:tc>
        <w:tc>
          <w:tcPr>
            <w:tcW w:w="566" w:type="dxa"/>
            <w:tcBorders>
              <w:left w:val="nil"/>
              <w:bottom w:val="nil"/>
              <w:right w:val="nil"/>
            </w:tcBorders>
            <w:vAlign w:val="center"/>
          </w:tcPr>
          <w:p w14:paraId="0C3AA1D0" w14:textId="3DAEBC45"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80</w:t>
            </w:r>
          </w:p>
        </w:tc>
        <w:tc>
          <w:tcPr>
            <w:tcW w:w="971" w:type="dxa"/>
            <w:tcBorders>
              <w:left w:val="nil"/>
              <w:bottom w:val="nil"/>
              <w:right w:val="nil"/>
            </w:tcBorders>
            <w:vAlign w:val="center"/>
          </w:tcPr>
          <w:p w14:paraId="405E5751" w14:textId="6B979828" w:rsidR="004B2604" w:rsidRDefault="004B2604" w:rsidP="00BB18F6">
            <w:pPr>
              <w:pStyle w:val="Els-body-text"/>
              <w:jc w:val="center"/>
              <w:rPr>
                <w:lang w:eastAsia="ja-JP"/>
              </w:rPr>
            </w:pPr>
            <w:r>
              <w:rPr>
                <w:lang w:eastAsia="ja-JP"/>
              </w:rPr>
              <w:t>0.81</w:t>
            </w:r>
          </w:p>
        </w:tc>
      </w:tr>
      <w:tr w:rsidR="007070DE" w14:paraId="60A85B26" w14:textId="7E48A573" w:rsidTr="00AC073C">
        <w:trPr>
          <w:trHeight w:val="235"/>
          <w:jc w:val="center"/>
        </w:trPr>
        <w:tc>
          <w:tcPr>
            <w:tcW w:w="1205" w:type="dxa"/>
            <w:vMerge/>
            <w:tcBorders>
              <w:left w:val="nil"/>
              <w:right w:val="nil"/>
            </w:tcBorders>
            <w:vAlign w:val="center"/>
          </w:tcPr>
          <w:p w14:paraId="676C106F" w14:textId="77777777" w:rsidR="004B2604" w:rsidRDefault="004B2604" w:rsidP="00BB18F6">
            <w:pPr>
              <w:pStyle w:val="Els-body-text"/>
              <w:jc w:val="center"/>
              <w:rPr>
                <w:lang w:eastAsia="ja-JP"/>
              </w:rPr>
            </w:pPr>
          </w:p>
        </w:tc>
        <w:tc>
          <w:tcPr>
            <w:tcW w:w="1347" w:type="dxa"/>
            <w:tcBorders>
              <w:top w:val="nil"/>
              <w:left w:val="nil"/>
              <w:bottom w:val="nil"/>
              <w:right w:val="nil"/>
            </w:tcBorders>
            <w:vAlign w:val="center"/>
          </w:tcPr>
          <w:p w14:paraId="37BF6ABC" w14:textId="77777777" w:rsidR="004B2604" w:rsidRDefault="004B2604" w:rsidP="00BB18F6">
            <w:pPr>
              <w:pStyle w:val="Els-body-text"/>
              <w:jc w:val="center"/>
              <w:rPr>
                <w:lang w:eastAsia="ja-JP"/>
              </w:rPr>
            </w:pPr>
            <w:r>
              <w:rPr>
                <w:rFonts w:hint="eastAsia"/>
                <w:lang w:eastAsia="ja-JP"/>
              </w:rPr>
              <w:t>F</w:t>
            </w:r>
            <w:r>
              <w:rPr>
                <w:lang w:eastAsia="ja-JP"/>
              </w:rPr>
              <w:t>EDA</w:t>
            </w:r>
          </w:p>
        </w:tc>
        <w:tc>
          <w:tcPr>
            <w:tcW w:w="566" w:type="dxa"/>
            <w:tcBorders>
              <w:top w:val="nil"/>
              <w:left w:val="nil"/>
              <w:bottom w:val="nil"/>
              <w:right w:val="nil"/>
            </w:tcBorders>
            <w:vAlign w:val="center"/>
          </w:tcPr>
          <w:p w14:paraId="456E842A"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33</w:t>
            </w:r>
          </w:p>
        </w:tc>
        <w:tc>
          <w:tcPr>
            <w:tcW w:w="950" w:type="dxa"/>
            <w:tcBorders>
              <w:top w:val="nil"/>
              <w:left w:val="nil"/>
              <w:bottom w:val="nil"/>
              <w:right w:val="nil"/>
            </w:tcBorders>
            <w:vAlign w:val="center"/>
          </w:tcPr>
          <w:p w14:paraId="3BD11F3E" w14:textId="77777777" w:rsidR="004B2604" w:rsidRDefault="004B2604" w:rsidP="00BB18F6">
            <w:pPr>
              <w:pStyle w:val="Els-body-text"/>
              <w:jc w:val="center"/>
              <w:rPr>
                <w:lang w:eastAsia="ja-JP"/>
              </w:rPr>
            </w:pPr>
            <w:r>
              <w:rPr>
                <w:rFonts w:hint="eastAsia"/>
                <w:lang w:eastAsia="ja-JP"/>
              </w:rPr>
              <w:t>4</w:t>
            </w:r>
            <w:r>
              <w:rPr>
                <w:lang w:eastAsia="ja-JP"/>
              </w:rPr>
              <w:t>.11</w:t>
            </w:r>
          </w:p>
        </w:tc>
        <w:tc>
          <w:tcPr>
            <w:tcW w:w="675" w:type="dxa"/>
            <w:tcBorders>
              <w:top w:val="nil"/>
              <w:left w:val="nil"/>
              <w:bottom w:val="nil"/>
              <w:right w:val="nil"/>
            </w:tcBorders>
            <w:vAlign w:val="center"/>
          </w:tcPr>
          <w:p w14:paraId="034DC0EF" w14:textId="5CD63C5E" w:rsidR="004B2604" w:rsidRDefault="004B2604" w:rsidP="00BB18F6">
            <w:pPr>
              <w:pStyle w:val="Els-body-text"/>
              <w:jc w:val="center"/>
              <w:rPr>
                <w:lang w:eastAsia="ja-JP"/>
              </w:rPr>
            </w:pPr>
            <w:r>
              <w:rPr>
                <w:lang w:eastAsia="ja-JP"/>
              </w:rPr>
              <w:t>-</w:t>
            </w:r>
            <w:r w:rsidRPr="00313550">
              <w:rPr>
                <w:rFonts w:hint="eastAsia"/>
                <w:lang w:eastAsia="ja-JP"/>
              </w:rPr>
              <w:t>0</w:t>
            </w:r>
            <w:r w:rsidR="009C7A7E">
              <w:rPr>
                <w:lang w:eastAsia="ja-JP"/>
              </w:rPr>
              <w:t>.</w:t>
            </w:r>
            <w:r>
              <w:rPr>
                <w:lang w:eastAsia="ja-JP"/>
              </w:rPr>
              <w:t>53</w:t>
            </w:r>
          </w:p>
        </w:tc>
        <w:tc>
          <w:tcPr>
            <w:tcW w:w="950" w:type="dxa"/>
            <w:tcBorders>
              <w:top w:val="nil"/>
              <w:left w:val="nil"/>
              <w:bottom w:val="nil"/>
              <w:right w:val="nil"/>
            </w:tcBorders>
            <w:vAlign w:val="center"/>
          </w:tcPr>
          <w:p w14:paraId="58EF4C77" w14:textId="398FA5D5" w:rsidR="004B2604" w:rsidRDefault="004B2604" w:rsidP="00BB18F6">
            <w:pPr>
              <w:pStyle w:val="Els-body-text"/>
              <w:jc w:val="center"/>
              <w:rPr>
                <w:lang w:eastAsia="ja-JP"/>
              </w:rPr>
            </w:pPr>
            <w:r>
              <w:rPr>
                <w:lang w:eastAsia="ja-JP"/>
              </w:rPr>
              <w:t>12.7</w:t>
            </w:r>
          </w:p>
        </w:tc>
        <w:tc>
          <w:tcPr>
            <w:tcW w:w="566" w:type="dxa"/>
            <w:tcBorders>
              <w:top w:val="nil"/>
              <w:left w:val="nil"/>
              <w:bottom w:val="nil"/>
              <w:right w:val="nil"/>
            </w:tcBorders>
            <w:vAlign w:val="center"/>
          </w:tcPr>
          <w:p w14:paraId="4400239D" w14:textId="149D3A45"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74</w:t>
            </w:r>
          </w:p>
        </w:tc>
        <w:tc>
          <w:tcPr>
            <w:tcW w:w="971" w:type="dxa"/>
            <w:tcBorders>
              <w:top w:val="nil"/>
              <w:left w:val="nil"/>
              <w:bottom w:val="nil"/>
              <w:right w:val="nil"/>
            </w:tcBorders>
            <w:vAlign w:val="center"/>
          </w:tcPr>
          <w:p w14:paraId="54631B05" w14:textId="48F8EE7F" w:rsidR="004B2604" w:rsidRDefault="004B2604" w:rsidP="00BB18F6">
            <w:pPr>
              <w:pStyle w:val="Els-body-text"/>
              <w:jc w:val="center"/>
              <w:rPr>
                <w:lang w:eastAsia="ja-JP"/>
              </w:rPr>
            </w:pPr>
            <w:r>
              <w:rPr>
                <w:lang w:eastAsia="ja-JP"/>
              </w:rPr>
              <w:t>0.96</w:t>
            </w:r>
          </w:p>
        </w:tc>
      </w:tr>
      <w:tr w:rsidR="007070DE" w14:paraId="4A45585A" w14:textId="7910789D" w:rsidTr="00AC073C">
        <w:trPr>
          <w:trHeight w:val="235"/>
          <w:jc w:val="center"/>
        </w:trPr>
        <w:tc>
          <w:tcPr>
            <w:tcW w:w="1205" w:type="dxa"/>
            <w:vMerge/>
            <w:tcBorders>
              <w:left w:val="nil"/>
              <w:right w:val="nil"/>
            </w:tcBorders>
            <w:vAlign w:val="center"/>
          </w:tcPr>
          <w:p w14:paraId="35BDA18A" w14:textId="77777777" w:rsidR="004B2604" w:rsidRDefault="004B2604" w:rsidP="00BB18F6">
            <w:pPr>
              <w:pStyle w:val="Els-body-text"/>
              <w:jc w:val="center"/>
              <w:rPr>
                <w:lang w:eastAsia="ja-JP"/>
              </w:rPr>
            </w:pPr>
          </w:p>
        </w:tc>
        <w:tc>
          <w:tcPr>
            <w:tcW w:w="1347" w:type="dxa"/>
            <w:tcBorders>
              <w:top w:val="nil"/>
              <w:left w:val="nil"/>
              <w:bottom w:val="single" w:sz="4" w:space="0" w:color="auto"/>
              <w:right w:val="nil"/>
            </w:tcBorders>
            <w:vAlign w:val="center"/>
          </w:tcPr>
          <w:p w14:paraId="46EAF1B7" w14:textId="77777777" w:rsidR="004B2604" w:rsidRDefault="004B2604" w:rsidP="00BB18F6">
            <w:pPr>
              <w:pStyle w:val="Els-body-text"/>
              <w:jc w:val="center"/>
              <w:rPr>
                <w:lang w:eastAsia="ja-JP"/>
              </w:rPr>
            </w:pPr>
            <w:r>
              <w:rPr>
                <w:rFonts w:hint="eastAsia"/>
                <w:lang w:eastAsia="ja-JP"/>
              </w:rPr>
              <w:t>L</w:t>
            </w:r>
            <w:r>
              <w:rPr>
                <w:lang w:eastAsia="ja-JP"/>
              </w:rPr>
              <w:t>ST-FEDA</w:t>
            </w:r>
          </w:p>
        </w:tc>
        <w:tc>
          <w:tcPr>
            <w:tcW w:w="566" w:type="dxa"/>
            <w:tcBorders>
              <w:top w:val="nil"/>
              <w:left w:val="nil"/>
              <w:bottom w:val="single" w:sz="4" w:space="0" w:color="auto"/>
              <w:right w:val="nil"/>
            </w:tcBorders>
            <w:vAlign w:val="center"/>
          </w:tcPr>
          <w:p w14:paraId="3E47D75E" w14:textId="77777777"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.60</w:t>
            </w:r>
          </w:p>
        </w:tc>
        <w:tc>
          <w:tcPr>
            <w:tcW w:w="950" w:type="dxa"/>
            <w:tcBorders>
              <w:top w:val="nil"/>
              <w:left w:val="nil"/>
              <w:bottom w:val="single" w:sz="4" w:space="0" w:color="auto"/>
              <w:right w:val="nil"/>
            </w:tcBorders>
            <w:vAlign w:val="center"/>
          </w:tcPr>
          <w:p w14:paraId="651DFB7A" w14:textId="77777777" w:rsidR="004B2604" w:rsidRPr="009C7A7E" w:rsidRDefault="004B2604" w:rsidP="00BB18F6">
            <w:pPr>
              <w:pStyle w:val="Els-body-text"/>
              <w:jc w:val="center"/>
              <w:rPr>
                <w:b/>
                <w:bCs/>
                <w:lang w:eastAsia="ja-JP"/>
              </w:rPr>
            </w:pPr>
            <w:r w:rsidRPr="009C7A7E">
              <w:rPr>
                <w:rFonts w:hint="eastAsia"/>
                <w:b/>
                <w:bCs/>
                <w:lang w:eastAsia="ja-JP"/>
              </w:rPr>
              <w:t>2</w:t>
            </w:r>
            <w:r w:rsidRPr="009C7A7E">
              <w:rPr>
                <w:b/>
                <w:bCs/>
                <w:lang w:eastAsia="ja-JP"/>
              </w:rPr>
              <w:t>.13</w:t>
            </w:r>
          </w:p>
        </w:tc>
        <w:tc>
          <w:tcPr>
            <w:tcW w:w="675" w:type="dxa"/>
            <w:tcBorders>
              <w:top w:val="nil"/>
              <w:left w:val="nil"/>
              <w:bottom w:val="single" w:sz="4" w:space="0" w:color="auto"/>
              <w:right w:val="nil"/>
            </w:tcBorders>
            <w:vAlign w:val="center"/>
          </w:tcPr>
          <w:p w14:paraId="398C336B" w14:textId="6A686202" w:rsidR="004B2604" w:rsidRPr="009C7A7E" w:rsidRDefault="004B2604" w:rsidP="00BB18F6">
            <w:pPr>
              <w:pStyle w:val="Els-body-text"/>
              <w:jc w:val="center"/>
              <w:rPr>
                <w:b/>
                <w:bCs/>
                <w:lang w:eastAsia="ja-JP"/>
              </w:rPr>
            </w:pPr>
            <w:r w:rsidRPr="009C7A7E">
              <w:rPr>
                <w:b/>
                <w:bCs/>
                <w:lang w:eastAsia="ja-JP"/>
              </w:rPr>
              <w:t>-</w:t>
            </w:r>
            <w:r w:rsidRPr="009C7A7E">
              <w:rPr>
                <w:rFonts w:hint="eastAsia"/>
                <w:b/>
                <w:bCs/>
                <w:lang w:eastAsia="ja-JP"/>
              </w:rPr>
              <w:t>0</w:t>
            </w:r>
            <w:r w:rsidRPr="009C7A7E">
              <w:rPr>
                <w:b/>
                <w:bCs/>
                <w:lang w:eastAsia="ja-JP"/>
              </w:rPr>
              <w:t>.35</w:t>
            </w:r>
          </w:p>
        </w:tc>
        <w:tc>
          <w:tcPr>
            <w:tcW w:w="950" w:type="dxa"/>
            <w:tcBorders>
              <w:top w:val="nil"/>
              <w:left w:val="nil"/>
              <w:bottom w:val="single" w:sz="4" w:space="0" w:color="auto"/>
              <w:right w:val="nil"/>
            </w:tcBorders>
            <w:vAlign w:val="center"/>
          </w:tcPr>
          <w:p w14:paraId="529D5794" w14:textId="05647073" w:rsidR="004B2604" w:rsidRPr="009C7A7E" w:rsidRDefault="004B2604" w:rsidP="00BB18F6">
            <w:pPr>
              <w:pStyle w:val="Els-body-text"/>
              <w:jc w:val="center"/>
              <w:rPr>
                <w:b/>
                <w:bCs/>
                <w:lang w:eastAsia="ja-JP"/>
              </w:rPr>
            </w:pPr>
            <w:r w:rsidRPr="009C7A7E">
              <w:rPr>
                <w:b/>
                <w:bCs/>
                <w:lang w:eastAsia="ja-JP"/>
              </w:rPr>
              <w:t>6.48</w:t>
            </w:r>
          </w:p>
        </w:tc>
        <w:tc>
          <w:tcPr>
            <w:tcW w:w="566" w:type="dxa"/>
            <w:tcBorders>
              <w:top w:val="nil"/>
              <w:left w:val="nil"/>
              <w:bottom w:val="single" w:sz="4" w:space="0" w:color="auto"/>
              <w:right w:val="nil"/>
            </w:tcBorders>
            <w:vAlign w:val="center"/>
          </w:tcPr>
          <w:p w14:paraId="07F00B29" w14:textId="684F0602"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.92</w:t>
            </w:r>
          </w:p>
        </w:tc>
        <w:tc>
          <w:tcPr>
            <w:tcW w:w="971" w:type="dxa"/>
            <w:tcBorders>
              <w:top w:val="nil"/>
              <w:left w:val="nil"/>
              <w:bottom w:val="single" w:sz="4" w:space="0" w:color="auto"/>
              <w:right w:val="nil"/>
            </w:tcBorders>
            <w:vAlign w:val="center"/>
          </w:tcPr>
          <w:p w14:paraId="1EE8DB92" w14:textId="78CDB7AE" w:rsidR="004B2604" w:rsidRPr="009C7A7E" w:rsidRDefault="004B2604" w:rsidP="00BB18F6">
            <w:pPr>
              <w:pStyle w:val="Els-body-text"/>
              <w:jc w:val="center"/>
              <w:rPr>
                <w:b/>
                <w:bCs/>
                <w:lang w:eastAsia="ja-JP"/>
              </w:rPr>
            </w:pPr>
            <w:r w:rsidRPr="009C7A7E">
              <w:rPr>
                <w:b/>
                <w:bCs/>
                <w:lang w:eastAsia="ja-JP"/>
              </w:rPr>
              <w:t>0.54</w:t>
            </w:r>
          </w:p>
        </w:tc>
      </w:tr>
      <w:tr w:rsidR="007070DE" w14:paraId="40594B0E" w14:textId="663C21F0" w:rsidTr="00AC073C">
        <w:trPr>
          <w:trHeight w:val="235"/>
          <w:jc w:val="center"/>
        </w:trPr>
        <w:tc>
          <w:tcPr>
            <w:tcW w:w="1205" w:type="dxa"/>
            <w:vMerge w:val="restart"/>
            <w:tcBorders>
              <w:left w:val="nil"/>
              <w:right w:val="nil"/>
            </w:tcBorders>
            <w:vAlign w:val="center"/>
          </w:tcPr>
          <w:p w14:paraId="615B5726" w14:textId="77777777" w:rsidR="004B2604" w:rsidRDefault="004B2604" w:rsidP="00BB18F6">
            <w:pPr>
              <w:pStyle w:val="Els-body-text"/>
              <w:jc w:val="center"/>
              <w:rPr>
                <w:lang w:eastAsia="ja-JP"/>
              </w:rPr>
            </w:pPr>
            <w:r>
              <w:rPr>
                <w:rFonts w:hint="eastAsia"/>
                <w:lang w:eastAsia="ja-JP"/>
              </w:rPr>
              <w:t>M</w:t>
            </w:r>
            <w:r>
              <w:rPr>
                <w:lang w:eastAsia="ja-JP"/>
              </w:rPr>
              <w:t>AL4</w:t>
            </w:r>
          </w:p>
        </w:tc>
        <w:tc>
          <w:tcPr>
            <w:tcW w:w="1347" w:type="dxa"/>
            <w:tcBorders>
              <w:left w:val="nil"/>
              <w:bottom w:val="nil"/>
              <w:right w:val="nil"/>
            </w:tcBorders>
            <w:vAlign w:val="center"/>
          </w:tcPr>
          <w:p w14:paraId="082B4093" w14:textId="77777777" w:rsidR="004B2604" w:rsidRDefault="004B2604" w:rsidP="00BB18F6">
            <w:pPr>
              <w:pStyle w:val="Els-body-text"/>
              <w:jc w:val="center"/>
              <w:rPr>
                <w:lang w:eastAsia="ja-JP"/>
              </w:rPr>
            </w:pPr>
            <w:r>
              <w:rPr>
                <w:rFonts w:hint="eastAsia"/>
                <w:lang w:eastAsia="ja-JP"/>
              </w:rPr>
              <w:t>-</w:t>
            </w:r>
          </w:p>
        </w:tc>
        <w:tc>
          <w:tcPr>
            <w:tcW w:w="566" w:type="dxa"/>
            <w:tcBorders>
              <w:left w:val="nil"/>
              <w:bottom w:val="nil"/>
              <w:right w:val="nil"/>
            </w:tcBorders>
            <w:vAlign w:val="center"/>
          </w:tcPr>
          <w:p w14:paraId="7E58ECDD"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95</w:t>
            </w:r>
          </w:p>
        </w:tc>
        <w:tc>
          <w:tcPr>
            <w:tcW w:w="950" w:type="dxa"/>
            <w:tcBorders>
              <w:left w:val="nil"/>
              <w:bottom w:val="nil"/>
              <w:right w:val="nil"/>
            </w:tcBorders>
            <w:vAlign w:val="center"/>
          </w:tcPr>
          <w:p w14:paraId="3483D398" w14:textId="77777777" w:rsidR="004B2604" w:rsidRDefault="004B2604" w:rsidP="00BB18F6">
            <w:pPr>
              <w:pStyle w:val="Els-body-text"/>
              <w:jc w:val="center"/>
              <w:rPr>
                <w:lang w:eastAsia="ja-JP"/>
              </w:rPr>
            </w:pPr>
            <w:r>
              <w:rPr>
                <w:rFonts w:hint="eastAsia"/>
                <w:lang w:eastAsia="ja-JP"/>
              </w:rPr>
              <w:t>0</w:t>
            </w:r>
            <w:r>
              <w:rPr>
                <w:lang w:eastAsia="ja-JP"/>
              </w:rPr>
              <w:t>.84</w:t>
            </w:r>
          </w:p>
        </w:tc>
        <w:tc>
          <w:tcPr>
            <w:tcW w:w="675" w:type="dxa"/>
            <w:tcBorders>
              <w:left w:val="nil"/>
              <w:bottom w:val="nil"/>
              <w:right w:val="nil"/>
            </w:tcBorders>
            <w:vAlign w:val="center"/>
          </w:tcPr>
          <w:p w14:paraId="18B1D13C" w14:textId="1DF31FCE" w:rsidR="004B2604" w:rsidRDefault="004B2604" w:rsidP="00BB18F6">
            <w:pPr>
              <w:pStyle w:val="Els-body-text"/>
              <w:jc w:val="center"/>
              <w:rPr>
                <w:lang w:eastAsia="ja-JP"/>
              </w:rPr>
            </w:pPr>
            <w:r w:rsidRPr="00313550">
              <w:rPr>
                <w:rFonts w:hint="eastAsia"/>
                <w:lang w:eastAsia="ja-JP"/>
              </w:rPr>
              <w:t>0</w:t>
            </w:r>
            <w:r w:rsidRPr="00313550">
              <w:rPr>
                <w:lang w:eastAsia="ja-JP"/>
              </w:rPr>
              <w:t>.</w:t>
            </w:r>
            <w:r>
              <w:rPr>
                <w:lang w:eastAsia="ja-JP"/>
              </w:rPr>
              <w:t>92</w:t>
            </w:r>
          </w:p>
        </w:tc>
        <w:tc>
          <w:tcPr>
            <w:tcW w:w="950" w:type="dxa"/>
            <w:tcBorders>
              <w:left w:val="nil"/>
              <w:bottom w:val="nil"/>
              <w:right w:val="nil"/>
            </w:tcBorders>
            <w:vAlign w:val="center"/>
          </w:tcPr>
          <w:p w14:paraId="78B4AB28" w14:textId="4C6672FF" w:rsidR="004B2604" w:rsidRDefault="004B2604" w:rsidP="00BB18F6">
            <w:pPr>
              <w:pStyle w:val="Els-body-text"/>
              <w:jc w:val="center"/>
              <w:rPr>
                <w:lang w:eastAsia="ja-JP"/>
              </w:rPr>
            </w:pPr>
            <w:r>
              <w:rPr>
                <w:lang w:eastAsia="ja-JP"/>
              </w:rPr>
              <w:t>1.67</w:t>
            </w:r>
          </w:p>
        </w:tc>
        <w:tc>
          <w:tcPr>
            <w:tcW w:w="566" w:type="dxa"/>
            <w:tcBorders>
              <w:left w:val="nil"/>
              <w:bottom w:val="nil"/>
              <w:right w:val="nil"/>
            </w:tcBorders>
            <w:vAlign w:val="center"/>
          </w:tcPr>
          <w:p w14:paraId="2BEEF358" w14:textId="1F25D561"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96</w:t>
            </w:r>
          </w:p>
        </w:tc>
        <w:tc>
          <w:tcPr>
            <w:tcW w:w="971" w:type="dxa"/>
            <w:tcBorders>
              <w:left w:val="nil"/>
              <w:bottom w:val="nil"/>
              <w:right w:val="nil"/>
            </w:tcBorders>
            <w:vAlign w:val="center"/>
          </w:tcPr>
          <w:p w14:paraId="08FA33D0" w14:textId="36A22576" w:rsidR="004B2604" w:rsidRDefault="004B2604" w:rsidP="00BB18F6">
            <w:pPr>
              <w:pStyle w:val="Els-body-text"/>
              <w:jc w:val="center"/>
              <w:rPr>
                <w:lang w:eastAsia="ja-JP"/>
              </w:rPr>
            </w:pPr>
            <w:r>
              <w:rPr>
                <w:rFonts w:hint="eastAsia"/>
                <w:lang w:eastAsia="ja-JP"/>
              </w:rPr>
              <w:t>0</w:t>
            </w:r>
            <w:r>
              <w:rPr>
                <w:lang w:eastAsia="ja-JP"/>
              </w:rPr>
              <w:t>.68</w:t>
            </w:r>
          </w:p>
        </w:tc>
      </w:tr>
      <w:tr w:rsidR="007070DE" w14:paraId="1A1B233A" w14:textId="01A278ED" w:rsidTr="00AC073C">
        <w:trPr>
          <w:trHeight w:val="235"/>
          <w:jc w:val="center"/>
        </w:trPr>
        <w:tc>
          <w:tcPr>
            <w:tcW w:w="1205" w:type="dxa"/>
            <w:vMerge/>
            <w:tcBorders>
              <w:left w:val="nil"/>
              <w:right w:val="nil"/>
            </w:tcBorders>
            <w:vAlign w:val="center"/>
          </w:tcPr>
          <w:p w14:paraId="3CA133F3" w14:textId="77777777" w:rsidR="004B2604" w:rsidRDefault="004B2604" w:rsidP="00BB18F6">
            <w:pPr>
              <w:pStyle w:val="Els-body-text"/>
              <w:jc w:val="center"/>
              <w:rPr>
                <w:lang w:eastAsia="ja-JP"/>
              </w:rPr>
            </w:pPr>
          </w:p>
        </w:tc>
        <w:tc>
          <w:tcPr>
            <w:tcW w:w="1347" w:type="dxa"/>
            <w:tcBorders>
              <w:top w:val="nil"/>
              <w:left w:val="nil"/>
              <w:bottom w:val="nil"/>
              <w:right w:val="nil"/>
            </w:tcBorders>
            <w:vAlign w:val="center"/>
          </w:tcPr>
          <w:p w14:paraId="0F52BF48" w14:textId="77777777" w:rsidR="004B2604" w:rsidRDefault="004B2604" w:rsidP="00BB18F6">
            <w:pPr>
              <w:pStyle w:val="Els-body-text"/>
              <w:jc w:val="center"/>
              <w:rPr>
                <w:lang w:eastAsia="ja-JP"/>
              </w:rPr>
            </w:pPr>
            <w:r>
              <w:rPr>
                <w:rFonts w:hint="eastAsia"/>
                <w:lang w:eastAsia="ja-JP"/>
              </w:rPr>
              <w:t>F</w:t>
            </w:r>
            <w:r>
              <w:rPr>
                <w:lang w:eastAsia="ja-JP"/>
              </w:rPr>
              <w:t>EDA</w:t>
            </w:r>
          </w:p>
        </w:tc>
        <w:tc>
          <w:tcPr>
            <w:tcW w:w="566" w:type="dxa"/>
            <w:tcBorders>
              <w:top w:val="nil"/>
              <w:left w:val="nil"/>
              <w:bottom w:val="nil"/>
              <w:right w:val="nil"/>
            </w:tcBorders>
            <w:vAlign w:val="center"/>
          </w:tcPr>
          <w:p w14:paraId="7480E400"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94</w:t>
            </w:r>
          </w:p>
        </w:tc>
        <w:tc>
          <w:tcPr>
            <w:tcW w:w="950" w:type="dxa"/>
            <w:tcBorders>
              <w:top w:val="nil"/>
              <w:left w:val="nil"/>
              <w:bottom w:val="nil"/>
              <w:right w:val="nil"/>
            </w:tcBorders>
            <w:vAlign w:val="center"/>
          </w:tcPr>
          <w:p w14:paraId="0FB7D2B5" w14:textId="77777777" w:rsidR="004B2604" w:rsidRDefault="004B2604" w:rsidP="00BB18F6">
            <w:pPr>
              <w:pStyle w:val="Els-body-text"/>
              <w:jc w:val="center"/>
              <w:rPr>
                <w:lang w:eastAsia="ja-JP"/>
              </w:rPr>
            </w:pPr>
            <w:r>
              <w:rPr>
                <w:rFonts w:hint="eastAsia"/>
                <w:lang w:eastAsia="ja-JP"/>
              </w:rPr>
              <w:t>0</w:t>
            </w:r>
            <w:r>
              <w:rPr>
                <w:lang w:eastAsia="ja-JP"/>
              </w:rPr>
              <w:t>.79</w:t>
            </w:r>
          </w:p>
        </w:tc>
        <w:tc>
          <w:tcPr>
            <w:tcW w:w="675" w:type="dxa"/>
            <w:tcBorders>
              <w:top w:val="nil"/>
              <w:left w:val="nil"/>
              <w:bottom w:val="nil"/>
              <w:right w:val="nil"/>
            </w:tcBorders>
            <w:vAlign w:val="center"/>
          </w:tcPr>
          <w:p w14:paraId="0007A508" w14:textId="17A3AA1A"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.97</w:t>
            </w:r>
          </w:p>
        </w:tc>
        <w:tc>
          <w:tcPr>
            <w:tcW w:w="950" w:type="dxa"/>
            <w:tcBorders>
              <w:top w:val="nil"/>
              <w:left w:val="nil"/>
              <w:bottom w:val="nil"/>
              <w:right w:val="nil"/>
            </w:tcBorders>
            <w:vAlign w:val="center"/>
          </w:tcPr>
          <w:p w14:paraId="4052E5D8" w14:textId="4735051C"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.36</w:t>
            </w:r>
          </w:p>
        </w:tc>
        <w:tc>
          <w:tcPr>
            <w:tcW w:w="566" w:type="dxa"/>
            <w:tcBorders>
              <w:top w:val="nil"/>
              <w:left w:val="nil"/>
              <w:bottom w:val="nil"/>
              <w:right w:val="nil"/>
            </w:tcBorders>
            <w:vAlign w:val="center"/>
          </w:tcPr>
          <w:p w14:paraId="5105BEB7" w14:textId="4CF006E5"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93</w:t>
            </w:r>
          </w:p>
        </w:tc>
        <w:tc>
          <w:tcPr>
            <w:tcW w:w="971" w:type="dxa"/>
            <w:tcBorders>
              <w:top w:val="nil"/>
              <w:left w:val="nil"/>
              <w:bottom w:val="nil"/>
              <w:right w:val="nil"/>
            </w:tcBorders>
            <w:vAlign w:val="center"/>
          </w:tcPr>
          <w:p w14:paraId="6472492C" w14:textId="4CCAEC8F" w:rsidR="004B2604" w:rsidRDefault="004B2604" w:rsidP="00BB18F6">
            <w:pPr>
              <w:pStyle w:val="Els-body-text"/>
              <w:jc w:val="center"/>
              <w:rPr>
                <w:lang w:eastAsia="ja-JP"/>
              </w:rPr>
            </w:pPr>
            <w:r>
              <w:rPr>
                <w:rFonts w:hint="eastAsia"/>
                <w:lang w:eastAsia="ja-JP"/>
              </w:rPr>
              <w:t>0</w:t>
            </w:r>
            <w:r>
              <w:rPr>
                <w:lang w:eastAsia="ja-JP"/>
              </w:rPr>
              <w:t>.88</w:t>
            </w:r>
          </w:p>
        </w:tc>
      </w:tr>
      <w:tr w:rsidR="007070DE" w14:paraId="6AFC4137" w14:textId="0F6E085C" w:rsidTr="00AC073C">
        <w:trPr>
          <w:trHeight w:val="235"/>
          <w:jc w:val="center"/>
        </w:trPr>
        <w:tc>
          <w:tcPr>
            <w:tcW w:w="1205" w:type="dxa"/>
            <w:vMerge/>
            <w:tcBorders>
              <w:left w:val="nil"/>
              <w:right w:val="nil"/>
            </w:tcBorders>
            <w:vAlign w:val="center"/>
          </w:tcPr>
          <w:p w14:paraId="1E2327C3" w14:textId="77777777" w:rsidR="004B2604" w:rsidRDefault="004B2604" w:rsidP="00BB18F6">
            <w:pPr>
              <w:pStyle w:val="Els-body-text"/>
              <w:jc w:val="center"/>
              <w:rPr>
                <w:lang w:eastAsia="ja-JP"/>
              </w:rPr>
            </w:pPr>
          </w:p>
        </w:tc>
        <w:tc>
          <w:tcPr>
            <w:tcW w:w="1347" w:type="dxa"/>
            <w:tcBorders>
              <w:top w:val="nil"/>
              <w:left w:val="nil"/>
              <w:bottom w:val="single" w:sz="4" w:space="0" w:color="auto"/>
              <w:right w:val="nil"/>
            </w:tcBorders>
            <w:vAlign w:val="center"/>
          </w:tcPr>
          <w:p w14:paraId="45B92673" w14:textId="77777777" w:rsidR="004B2604" w:rsidRDefault="004B2604" w:rsidP="00BB18F6">
            <w:pPr>
              <w:pStyle w:val="Els-body-text"/>
              <w:jc w:val="center"/>
              <w:rPr>
                <w:lang w:eastAsia="ja-JP"/>
              </w:rPr>
            </w:pPr>
            <w:r>
              <w:rPr>
                <w:rFonts w:hint="eastAsia"/>
                <w:lang w:eastAsia="ja-JP"/>
              </w:rPr>
              <w:t>L</w:t>
            </w:r>
            <w:r>
              <w:rPr>
                <w:lang w:eastAsia="ja-JP"/>
              </w:rPr>
              <w:t>ST-FEDA</w:t>
            </w:r>
          </w:p>
        </w:tc>
        <w:tc>
          <w:tcPr>
            <w:tcW w:w="566" w:type="dxa"/>
            <w:tcBorders>
              <w:top w:val="nil"/>
              <w:left w:val="nil"/>
              <w:bottom w:val="single" w:sz="4" w:space="0" w:color="auto"/>
              <w:right w:val="nil"/>
            </w:tcBorders>
            <w:vAlign w:val="center"/>
          </w:tcPr>
          <w:p w14:paraId="6B04F5F9" w14:textId="77777777"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.96</w:t>
            </w:r>
          </w:p>
        </w:tc>
        <w:tc>
          <w:tcPr>
            <w:tcW w:w="950" w:type="dxa"/>
            <w:tcBorders>
              <w:top w:val="nil"/>
              <w:left w:val="nil"/>
              <w:bottom w:val="single" w:sz="4" w:space="0" w:color="auto"/>
              <w:right w:val="nil"/>
            </w:tcBorders>
            <w:vAlign w:val="center"/>
          </w:tcPr>
          <w:p w14:paraId="385D3663" w14:textId="77777777"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.66</w:t>
            </w:r>
          </w:p>
        </w:tc>
        <w:tc>
          <w:tcPr>
            <w:tcW w:w="675" w:type="dxa"/>
            <w:tcBorders>
              <w:top w:val="nil"/>
              <w:left w:val="nil"/>
              <w:bottom w:val="single" w:sz="4" w:space="0" w:color="auto"/>
              <w:right w:val="nil"/>
            </w:tcBorders>
            <w:vAlign w:val="center"/>
          </w:tcPr>
          <w:p w14:paraId="3F16E55B" w14:textId="24FA112B" w:rsidR="004B2604" w:rsidRDefault="004B2604" w:rsidP="00BB18F6">
            <w:pPr>
              <w:pStyle w:val="Els-body-text"/>
              <w:jc w:val="center"/>
              <w:rPr>
                <w:lang w:eastAsia="ja-JP"/>
              </w:rPr>
            </w:pPr>
            <w:r w:rsidRPr="00313550">
              <w:rPr>
                <w:rFonts w:hint="eastAsia"/>
                <w:lang w:eastAsia="ja-JP"/>
              </w:rPr>
              <w:t>0</w:t>
            </w:r>
            <w:r w:rsidRPr="00313550">
              <w:rPr>
                <w:lang w:eastAsia="ja-JP"/>
              </w:rPr>
              <w:t>.</w:t>
            </w:r>
            <w:r>
              <w:rPr>
                <w:lang w:eastAsia="ja-JP"/>
              </w:rPr>
              <w:t>93</w:t>
            </w:r>
          </w:p>
        </w:tc>
        <w:tc>
          <w:tcPr>
            <w:tcW w:w="950" w:type="dxa"/>
            <w:tcBorders>
              <w:top w:val="nil"/>
              <w:left w:val="nil"/>
              <w:bottom w:val="single" w:sz="4" w:space="0" w:color="auto"/>
              <w:right w:val="nil"/>
            </w:tcBorders>
            <w:vAlign w:val="center"/>
          </w:tcPr>
          <w:p w14:paraId="6C69A01C" w14:textId="0EDED945" w:rsidR="004B2604" w:rsidRDefault="004B2604" w:rsidP="00BB18F6">
            <w:pPr>
              <w:pStyle w:val="Els-body-text"/>
              <w:jc w:val="center"/>
              <w:rPr>
                <w:lang w:eastAsia="ja-JP"/>
              </w:rPr>
            </w:pPr>
            <w:r>
              <w:rPr>
                <w:rFonts w:hint="eastAsia"/>
                <w:lang w:eastAsia="ja-JP"/>
              </w:rPr>
              <w:t>0</w:t>
            </w:r>
            <w:r>
              <w:rPr>
                <w:lang w:eastAsia="ja-JP"/>
              </w:rPr>
              <w:t>.48</w:t>
            </w:r>
          </w:p>
        </w:tc>
        <w:tc>
          <w:tcPr>
            <w:tcW w:w="566" w:type="dxa"/>
            <w:tcBorders>
              <w:top w:val="nil"/>
              <w:left w:val="nil"/>
              <w:bottom w:val="single" w:sz="4" w:space="0" w:color="auto"/>
              <w:right w:val="nil"/>
            </w:tcBorders>
            <w:vAlign w:val="center"/>
          </w:tcPr>
          <w:p w14:paraId="0B437011" w14:textId="1127E895"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.96</w:t>
            </w:r>
          </w:p>
        </w:tc>
        <w:tc>
          <w:tcPr>
            <w:tcW w:w="971" w:type="dxa"/>
            <w:tcBorders>
              <w:top w:val="nil"/>
              <w:left w:val="nil"/>
              <w:bottom w:val="single" w:sz="4" w:space="0" w:color="auto"/>
              <w:right w:val="nil"/>
            </w:tcBorders>
            <w:vAlign w:val="center"/>
          </w:tcPr>
          <w:p w14:paraId="352EE9F5" w14:textId="5EDE073E"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.66</w:t>
            </w:r>
          </w:p>
        </w:tc>
      </w:tr>
      <w:tr w:rsidR="007070DE" w14:paraId="5EFB5C6F" w14:textId="63D2352B" w:rsidTr="00AC073C">
        <w:trPr>
          <w:trHeight w:val="235"/>
          <w:jc w:val="center"/>
        </w:trPr>
        <w:tc>
          <w:tcPr>
            <w:tcW w:w="1205" w:type="dxa"/>
            <w:vMerge w:val="restart"/>
            <w:tcBorders>
              <w:left w:val="nil"/>
              <w:right w:val="nil"/>
            </w:tcBorders>
            <w:vAlign w:val="center"/>
          </w:tcPr>
          <w:p w14:paraId="6A5EBF3B" w14:textId="77777777" w:rsidR="004B2604" w:rsidRDefault="004B2604" w:rsidP="00BB18F6">
            <w:pPr>
              <w:pStyle w:val="Els-body-text"/>
              <w:jc w:val="center"/>
              <w:rPr>
                <w:lang w:eastAsia="ja-JP"/>
              </w:rPr>
            </w:pPr>
            <w:r>
              <w:rPr>
                <w:rFonts w:hint="eastAsia"/>
                <w:lang w:eastAsia="ja-JP"/>
              </w:rPr>
              <w:t>M</w:t>
            </w:r>
            <w:r>
              <w:rPr>
                <w:lang w:eastAsia="ja-JP"/>
              </w:rPr>
              <w:t>AL5</w:t>
            </w:r>
          </w:p>
        </w:tc>
        <w:tc>
          <w:tcPr>
            <w:tcW w:w="1347" w:type="dxa"/>
            <w:tcBorders>
              <w:left w:val="nil"/>
              <w:bottom w:val="nil"/>
              <w:right w:val="nil"/>
            </w:tcBorders>
            <w:vAlign w:val="center"/>
          </w:tcPr>
          <w:p w14:paraId="4FDB3BFC" w14:textId="77777777" w:rsidR="004B2604" w:rsidRDefault="004B2604" w:rsidP="00BB18F6">
            <w:pPr>
              <w:pStyle w:val="Els-body-text"/>
              <w:jc w:val="center"/>
              <w:rPr>
                <w:lang w:eastAsia="ja-JP"/>
              </w:rPr>
            </w:pPr>
            <w:r>
              <w:rPr>
                <w:rFonts w:hint="eastAsia"/>
                <w:lang w:eastAsia="ja-JP"/>
              </w:rPr>
              <w:t>-</w:t>
            </w:r>
          </w:p>
        </w:tc>
        <w:tc>
          <w:tcPr>
            <w:tcW w:w="566" w:type="dxa"/>
            <w:tcBorders>
              <w:left w:val="nil"/>
              <w:bottom w:val="nil"/>
              <w:right w:val="nil"/>
            </w:tcBorders>
            <w:vAlign w:val="center"/>
          </w:tcPr>
          <w:p w14:paraId="28990E90"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92</w:t>
            </w:r>
          </w:p>
        </w:tc>
        <w:tc>
          <w:tcPr>
            <w:tcW w:w="950" w:type="dxa"/>
            <w:tcBorders>
              <w:left w:val="nil"/>
              <w:bottom w:val="nil"/>
              <w:right w:val="nil"/>
            </w:tcBorders>
            <w:vAlign w:val="center"/>
          </w:tcPr>
          <w:p w14:paraId="12D05FE4" w14:textId="77777777" w:rsidR="004B2604" w:rsidRDefault="004B2604" w:rsidP="00BB18F6">
            <w:pPr>
              <w:pStyle w:val="Els-body-text"/>
              <w:jc w:val="center"/>
              <w:rPr>
                <w:lang w:eastAsia="ja-JP"/>
              </w:rPr>
            </w:pPr>
            <w:r>
              <w:rPr>
                <w:rFonts w:hint="eastAsia"/>
                <w:lang w:eastAsia="ja-JP"/>
              </w:rPr>
              <w:t>1</w:t>
            </w:r>
            <w:r>
              <w:rPr>
                <w:lang w:eastAsia="ja-JP"/>
              </w:rPr>
              <w:t>7.5</w:t>
            </w:r>
          </w:p>
        </w:tc>
        <w:tc>
          <w:tcPr>
            <w:tcW w:w="675" w:type="dxa"/>
            <w:tcBorders>
              <w:left w:val="nil"/>
              <w:bottom w:val="nil"/>
              <w:right w:val="nil"/>
            </w:tcBorders>
            <w:vAlign w:val="center"/>
          </w:tcPr>
          <w:p w14:paraId="742EC893" w14:textId="4FE4B3E5" w:rsidR="004B2604" w:rsidRDefault="004B2604" w:rsidP="00BB18F6">
            <w:pPr>
              <w:pStyle w:val="Els-body-text"/>
              <w:jc w:val="center"/>
              <w:rPr>
                <w:lang w:eastAsia="ja-JP"/>
              </w:rPr>
            </w:pPr>
            <w:r>
              <w:rPr>
                <w:lang w:eastAsia="ja-JP"/>
              </w:rPr>
              <w:t>-</w:t>
            </w:r>
            <w:r w:rsidRPr="00313550">
              <w:rPr>
                <w:rFonts w:hint="eastAsia"/>
                <w:lang w:eastAsia="ja-JP"/>
              </w:rPr>
              <w:t>0</w:t>
            </w:r>
            <w:r w:rsidRPr="00313550">
              <w:rPr>
                <w:lang w:eastAsia="ja-JP"/>
              </w:rPr>
              <w:t>.</w:t>
            </w:r>
            <w:r>
              <w:rPr>
                <w:lang w:eastAsia="ja-JP"/>
              </w:rPr>
              <w:t>27</w:t>
            </w:r>
          </w:p>
        </w:tc>
        <w:tc>
          <w:tcPr>
            <w:tcW w:w="950" w:type="dxa"/>
            <w:tcBorders>
              <w:left w:val="nil"/>
              <w:bottom w:val="nil"/>
              <w:right w:val="nil"/>
            </w:tcBorders>
            <w:vAlign w:val="center"/>
          </w:tcPr>
          <w:p w14:paraId="41D1ABC9" w14:textId="2AFB834C" w:rsidR="004B2604" w:rsidRDefault="004B2604" w:rsidP="00BB18F6">
            <w:pPr>
              <w:pStyle w:val="Els-body-text"/>
              <w:jc w:val="center"/>
              <w:rPr>
                <w:lang w:eastAsia="ja-JP"/>
              </w:rPr>
            </w:pPr>
            <w:r>
              <w:rPr>
                <w:lang w:eastAsia="ja-JP"/>
              </w:rPr>
              <w:t>11.7</w:t>
            </w:r>
          </w:p>
        </w:tc>
        <w:tc>
          <w:tcPr>
            <w:tcW w:w="566" w:type="dxa"/>
            <w:tcBorders>
              <w:left w:val="nil"/>
              <w:bottom w:val="nil"/>
              <w:right w:val="nil"/>
            </w:tcBorders>
            <w:vAlign w:val="center"/>
          </w:tcPr>
          <w:p w14:paraId="124E924F" w14:textId="3319E13D"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92</w:t>
            </w:r>
          </w:p>
        </w:tc>
        <w:tc>
          <w:tcPr>
            <w:tcW w:w="971" w:type="dxa"/>
            <w:tcBorders>
              <w:left w:val="nil"/>
              <w:bottom w:val="nil"/>
              <w:right w:val="nil"/>
            </w:tcBorders>
            <w:vAlign w:val="center"/>
          </w:tcPr>
          <w:p w14:paraId="6B4F9273" w14:textId="1944C63D" w:rsidR="004B2604" w:rsidRDefault="004B2604" w:rsidP="00BB18F6">
            <w:pPr>
              <w:pStyle w:val="Els-body-text"/>
              <w:jc w:val="center"/>
              <w:rPr>
                <w:lang w:eastAsia="ja-JP"/>
              </w:rPr>
            </w:pPr>
            <w:r>
              <w:rPr>
                <w:lang w:eastAsia="ja-JP"/>
              </w:rPr>
              <w:t>22.1</w:t>
            </w:r>
          </w:p>
        </w:tc>
      </w:tr>
      <w:tr w:rsidR="007070DE" w14:paraId="7697554B" w14:textId="66B236FE" w:rsidTr="00AC073C">
        <w:trPr>
          <w:trHeight w:val="235"/>
          <w:jc w:val="center"/>
        </w:trPr>
        <w:tc>
          <w:tcPr>
            <w:tcW w:w="1205" w:type="dxa"/>
            <w:vMerge/>
            <w:tcBorders>
              <w:left w:val="nil"/>
              <w:right w:val="nil"/>
            </w:tcBorders>
            <w:vAlign w:val="center"/>
          </w:tcPr>
          <w:p w14:paraId="6C15E769" w14:textId="77777777" w:rsidR="004B2604" w:rsidRDefault="004B2604" w:rsidP="00BB18F6">
            <w:pPr>
              <w:pStyle w:val="Els-body-text"/>
              <w:jc w:val="center"/>
              <w:rPr>
                <w:lang w:eastAsia="ja-JP"/>
              </w:rPr>
            </w:pPr>
          </w:p>
        </w:tc>
        <w:tc>
          <w:tcPr>
            <w:tcW w:w="1347" w:type="dxa"/>
            <w:tcBorders>
              <w:top w:val="nil"/>
              <w:left w:val="nil"/>
              <w:bottom w:val="nil"/>
              <w:right w:val="nil"/>
            </w:tcBorders>
            <w:vAlign w:val="center"/>
          </w:tcPr>
          <w:p w14:paraId="1F5BA63A" w14:textId="77777777" w:rsidR="004B2604" w:rsidRDefault="004B2604" w:rsidP="00BB18F6">
            <w:pPr>
              <w:pStyle w:val="Els-body-text"/>
              <w:jc w:val="center"/>
              <w:rPr>
                <w:lang w:eastAsia="ja-JP"/>
              </w:rPr>
            </w:pPr>
            <w:r>
              <w:rPr>
                <w:rFonts w:hint="eastAsia"/>
                <w:lang w:eastAsia="ja-JP"/>
              </w:rPr>
              <w:t>F</w:t>
            </w:r>
            <w:r>
              <w:rPr>
                <w:lang w:eastAsia="ja-JP"/>
              </w:rPr>
              <w:t>EDA</w:t>
            </w:r>
          </w:p>
        </w:tc>
        <w:tc>
          <w:tcPr>
            <w:tcW w:w="566" w:type="dxa"/>
            <w:tcBorders>
              <w:top w:val="nil"/>
              <w:left w:val="nil"/>
              <w:bottom w:val="nil"/>
              <w:right w:val="nil"/>
            </w:tcBorders>
            <w:vAlign w:val="center"/>
          </w:tcPr>
          <w:p w14:paraId="1A04B4F2" w14:textId="77777777" w:rsidR="004B2604" w:rsidRDefault="004B2604" w:rsidP="00BB18F6">
            <w:pPr>
              <w:pStyle w:val="Els-body-text"/>
              <w:jc w:val="center"/>
              <w:rPr>
                <w:lang w:eastAsia="ja-JP"/>
              </w:rPr>
            </w:pPr>
            <w:r w:rsidRPr="000516D1">
              <w:rPr>
                <w:rFonts w:hint="eastAsia"/>
                <w:lang w:eastAsia="ja-JP"/>
              </w:rPr>
              <w:t>0</w:t>
            </w:r>
            <w:r w:rsidRPr="000516D1">
              <w:rPr>
                <w:lang w:eastAsia="ja-JP"/>
              </w:rPr>
              <w:t>.</w:t>
            </w:r>
            <w:r>
              <w:rPr>
                <w:lang w:eastAsia="ja-JP"/>
              </w:rPr>
              <w:t>93</w:t>
            </w:r>
          </w:p>
        </w:tc>
        <w:tc>
          <w:tcPr>
            <w:tcW w:w="950" w:type="dxa"/>
            <w:tcBorders>
              <w:top w:val="nil"/>
              <w:left w:val="nil"/>
              <w:bottom w:val="nil"/>
              <w:right w:val="nil"/>
            </w:tcBorders>
            <w:vAlign w:val="center"/>
          </w:tcPr>
          <w:p w14:paraId="419E7265" w14:textId="77777777" w:rsidR="004B2604" w:rsidRDefault="004B2604" w:rsidP="00BB18F6">
            <w:pPr>
              <w:pStyle w:val="Els-body-text"/>
              <w:jc w:val="center"/>
              <w:rPr>
                <w:lang w:eastAsia="ja-JP"/>
              </w:rPr>
            </w:pPr>
            <w:r>
              <w:rPr>
                <w:rFonts w:hint="eastAsia"/>
                <w:lang w:eastAsia="ja-JP"/>
              </w:rPr>
              <w:t>1</w:t>
            </w:r>
            <w:r>
              <w:rPr>
                <w:lang w:eastAsia="ja-JP"/>
              </w:rPr>
              <w:t>7.3</w:t>
            </w:r>
          </w:p>
        </w:tc>
        <w:tc>
          <w:tcPr>
            <w:tcW w:w="675" w:type="dxa"/>
            <w:tcBorders>
              <w:top w:val="nil"/>
              <w:left w:val="nil"/>
              <w:bottom w:val="nil"/>
              <w:right w:val="nil"/>
            </w:tcBorders>
            <w:vAlign w:val="center"/>
          </w:tcPr>
          <w:p w14:paraId="65BAC426" w14:textId="2918ADFE" w:rsidR="004B2604" w:rsidRDefault="004B2604" w:rsidP="00BB18F6">
            <w:pPr>
              <w:pStyle w:val="Els-body-text"/>
              <w:jc w:val="center"/>
              <w:rPr>
                <w:lang w:eastAsia="ja-JP"/>
              </w:rPr>
            </w:pPr>
            <w:r>
              <w:rPr>
                <w:lang w:eastAsia="ja-JP"/>
              </w:rPr>
              <w:t>-</w:t>
            </w:r>
            <w:r w:rsidRPr="00313550">
              <w:rPr>
                <w:rFonts w:hint="eastAsia"/>
                <w:lang w:eastAsia="ja-JP"/>
              </w:rPr>
              <w:t>0</w:t>
            </w:r>
            <w:r w:rsidRPr="00313550">
              <w:rPr>
                <w:lang w:eastAsia="ja-JP"/>
              </w:rPr>
              <w:t>.</w:t>
            </w:r>
            <w:r>
              <w:rPr>
                <w:lang w:eastAsia="ja-JP"/>
              </w:rPr>
              <w:t>57</w:t>
            </w:r>
          </w:p>
        </w:tc>
        <w:tc>
          <w:tcPr>
            <w:tcW w:w="950" w:type="dxa"/>
            <w:tcBorders>
              <w:top w:val="nil"/>
              <w:left w:val="nil"/>
              <w:bottom w:val="nil"/>
              <w:right w:val="nil"/>
            </w:tcBorders>
            <w:vAlign w:val="center"/>
          </w:tcPr>
          <w:p w14:paraId="4903C749" w14:textId="3E3C2F36" w:rsidR="004B2604" w:rsidRDefault="004B2604" w:rsidP="00BB18F6">
            <w:pPr>
              <w:pStyle w:val="Els-body-text"/>
              <w:jc w:val="center"/>
              <w:rPr>
                <w:lang w:eastAsia="ja-JP"/>
              </w:rPr>
            </w:pPr>
            <w:r>
              <w:rPr>
                <w:lang w:eastAsia="ja-JP"/>
              </w:rPr>
              <w:t>9.83</w:t>
            </w:r>
          </w:p>
        </w:tc>
        <w:tc>
          <w:tcPr>
            <w:tcW w:w="566" w:type="dxa"/>
            <w:tcBorders>
              <w:top w:val="nil"/>
              <w:left w:val="nil"/>
              <w:bottom w:val="nil"/>
              <w:right w:val="nil"/>
            </w:tcBorders>
            <w:vAlign w:val="center"/>
          </w:tcPr>
          <w:p w14:paraId="5DF499CB" w14:textId="4B0AF043" w:rsidR="004B2604" w:rsidRDefault="004B2604" w:rsidP="00BB18F6">
            <w:pPr>
              <w:pStyle w:val="Els-body-text"/>
              <w:jc w:val="center"/>
              <w:rPr>
                <w:lang w:eastAsia="ja-JP"/>
              </w:rPr>
            </w:pPr>
            <w:r w:rsidRPr="00505FDE">
              <w:rPr>
                <w:rFonts w:hint="eastAsia"/>
                <w:lang w:eastAsia="ja-JP"/>
              </w:rPr>
              <w:t>0</w:t>
            </w:r>
            <w:r w:rsidRPr="00505FDE">
              <w:rPr>
                <w:lang w:eastAsia="ja-JP"/>
              </w:rPr>
              <w:t>.</w:t>
            </w:r>
            <w:r>
              <w:rPr>
                <w:lang w:eastAsia="ja-JP"/>
              </w:rPr>
              <w:t>92</w:t>
            </w:r>
          </w:p>
        </w:tc>
        <w:tc>
          <w:tcPr>
            <w:tcW w:w="971" w:type="dxa"/>
            <w:tcBorders>
              <w:top w:val="nil"/>
              <w:left w:val="nil"/>
              <w:bottom w:val="nil"/>
              <w:right w:val="nil"/>
            </w:tcBorders>
            <w:vAlign w:val="center"/>
          </w:tcPr>
          <w:p w14:paraId="0BBCF3B1" w14:textId="4762D6C7" w:rsidR="004B2604" w:rsidRDefault="004B2604" w:rsidP="00BB18F6">
            <w:pPr>
              <w:pStyle w:val="Els-body-text"/>
              <w:jc w:val="center"/>
              <w:rPr>
                <w:lang w:eastAsia="ja-JP"/>
              </w:rPr>
            </w:pPr>
            <w:r>
              <w:rPr>
                <w:lang w:eastAsia="ja-JP"/>
              </w:rPr>
              <w:t>22.0</w:t>
            </w:r>
          </w:p>
        </w:tc>
      </w:tr>
      <w:tr w:rsidR="007070DE" w14:paraId="0361A46F" w14:textId="6ADD72D6" w:rsidTr="00AC073C">
        <w:trPr>
          <w:trHeight w:val="235"/>
          <w:jc w:val="center"/>
        </w:trPr>
        <w:tc>
          <w:tcPr>
            <w:tcW w:w="1205" w:type="dxa"/>
            <w:vMerge/>
            <w:tcBorders>
              <w:left w:val="nil"/>
              <w:right w:val="nil"/>
            </w:tcBorders>
            <w:vAlign w:val="center"/>
          </w:tcPr>
          <w:p w14:paraId="26B01ED3" w14:textId="77777777" w:rsidR="004B2604" w:rsidRDefault="004B2604" w:rsidP="00BB18F6">
            <w:pPr>
              <w:pStyle w:val="Els-body-text"/>
              <w:jc w:val="center"/>
              <w:rPr>
                <w:lang w:eastAsia="ja-JP"/>
              </w:rPr>
            </w:pPr>
          </w:p>
        </w:tc>
        <w:tc>
          <w:tcPr>
            <w:tcW w:w="1347" w:type="dxa"/>
            <w:tcBorders>
              <w:top w:val="nil"/>
              <w:left w:val="nil"/>
              <w:bottom w:val="single" w:sz="4" w:space="0" w:color="auto"/>
              <w:right w:val="nil"/>
            </w:tcBorders>
            <w:vAlign w:val="center"/>
          </w:tcPr>
          <w:p w14:paraId="4D9B52CD" w14:textId="77777777" w:rsidR="004B2604" w:rsidRDefault="004B2604" w:rsidP="00BB18F6">
            <w:pPr>
              <w:pStyle w:val="Els-body-text"/>
              <w:jc w:val="center"/>
              <w:rPr>
                <w:lang w:eastAsia="ja-JP"/>
              </w:rPr>
            </w:pPr>
            <w:r>
              <w:rPr>
                <w:rFonts w:hint="eastAsia"/>
                <w:lang w:eastAsia="ja-JP"/>
              </w:rPr>
              <w:t>L</w:t>
            </w:r>
            <w:r>
              <w:rPr>
                <w:lang w:eastAsia="ja-JP"/>
              </w:rPr>
              <w:t>ST-FEDA</w:t>
            </w:r>
          </w:p>
        </w:tc>
        <w:tc>
          <w:tcPr>
            <w:tcW w:w="566" w:type="dxa"/>
            <w:tcBorders>
              <w:top w:val="nil"/>
              <w:left w:val="nil"/>
              <w:bottom w:val="single" w:sz="4" w:space="0" w:color="auto"/>
              <w:right w:val="nil"/>
            </w:tcBorders>
            <w:vAlign w:val="center"/>
          </w:tcPr>
          <w:p w14:paraId="5AC46D9E" w14:textId="77777777"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.93</w:t>
            </w:r>
          </w:p>
        </w:tc>
        <w:tc>
          <w:tcPr>
            <w:tcW w:w="950" w:type="dxa"/>
            <w:tcBorders>
              <w:top w:val="nil"/>
              <w:left w:val="nil"/>
              <w:bottom w:val="single" w:sz="4" w:space="0" w:color="auto"/>
              <w:right w:val="nil"/>
            </w:tcBorders>
            <w:vAlign w:val="center"/>
          </w:tcPr>
          <w:p w14:paraId="3CAE3CDC" w14:textId="77777777" w:rsidR="004B2604" w:rsidRPr="009C7A7E" w:rsidRDefault="004B2604" w:rsidP="00BB18F6">
            <w:pPr>
              <w:pStyle w:val="Els-body-text"/>
              <w:jc w:val="center"/>
              <w:rPr>
                <w:b/>
                <w:bCs/>
                <w:lang w:eastAsia="ja-JP"/>
              </w:rPr>
            </w:pPr>
            <w:r w:rsidRPr="009C7A7E">
              <w:rPr>
                <w:rFonts w:hint="eastAsia"/>
                <w:b/>
                <w:bCs/>
                <w:lang w:eastAsia="ja-JP"/>
              </w:rPr>
              <w:t>1</w:t>
            </w:r>
            <w:r w:rsidRPr="009C7A7E">
              <w:rPr>
                <w:b/>
                <w:bCs/>
                <w:lang w:eastAsia="ja-JP"/>
              </w:rPr>
              <w:t>5.8</w:t>
            </w:r>
          </w:p>
        </w:tc>
        <w:tc>
          <w:tcPr>
            <w:tcW w:w="675" w:type="dxa"/>
            <w:tcBorders>
              <w:top w:val="nil"/>
              <w:left w:val="nil"/>
              <w:bottom w:val="single" w:sz="4" w:space="0" w:color="auto"/>
              <w:right w:val="nil"/>
            </w:tcBorders>
            <w:vAlign w:val="center"/>
          </w:tcPr>
          <w:p w14:paraId="136C0746" w14:textId="15F8742A"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.19</w:t>
            </w:r>
          </w:p>
        </w:tc>
        <w:tc>
          <w:tcPr>
            <w:tcW w:w="950" w:type="dxa"/>
            <w:tcBorders>
              <w:top w:val="nil"/>
              <w:left w:val="nil"/>
              <w:bottom w:val="single" w:sz="4" w:space="0" w:color="auto"/>
              <w:right w:val="nil"/>
            </w:tcBorders>
            <w:vAlign w:val="center"/>
          </w:tcPr>
          <w:p w14:paraId="325FD682" w14:textId="6BBA2736" w:rsidR="004B2604" w:rsidRPr="009C7A7E" w:rsidRDefault="004B2604" w:rsidP="00BB18F6">
            <w:pPr>
              <w:pStyle w:val="Els-body-text"/>
              <w:jc w:val="center"/>
              <w:rPr>
                <w:b/>
                <w:bCs/>
                <w:lang w:eastAsia="ja-JP"/>
              </w:rPr>
            </w:pPr>
            <w:r w:rsidRPr="009C7A7E">
              <w:rPr>
                <w:b/>
                <w:bCs/>
                <w:lang w:eastAsia="ja-JP"/>
              </w:rPr>
              <w:t>9.08</w:t>
            </w:r>
          </w:p>
        </w:tc>
        <w:tc>
          <w:tcPr>
            <w:tcW w:w="566" w:type="dxa"/>
            <w:tcBorders>
              <w:top w:val="nil"/>
              <w:left w:val="nil"/>
              <w:bottom w:val="single" w:sz="4" w:space="0" w:color="auto"/>
              <w:right w:val="nil"/>
            </w:tcBorders>
            <w:vAlign w:val="center"/>
          </w:tcPr>
          <w:p w14:paraId="4C8B7C05" w14:textId="69FFAEFC" w:rsidR="004B2604" w:rsidRPr="009C7A7E" w:rsidRDefault="004B2604" w:rsidP="00BB18F6">
            <w:pPr>
              <w:pStyle w:val="Els-body-text"/>
              <w:jc w:val="center"/>
              <w:rPr>
                <w:b/>
                <w:bCs/>
                <w:lang w:eastAsia="ja-JP"/>
              </w:rPr>
            </w:pPr>
            <w:r w:rsidRPr="009C7A7E">
              <w:rPr>
                <w:rFonts w:hint="eastAsia"/>
                <w:b/>
                <w:bCs/>
                <w:lang w:eastAsia="ja-JP"/>
              </w:rPr>
              <w:t>0</w:t>
            </w:r>
            <w:r w:rsidRPr="009C7A7E">
              <w:rPr>
                <w:b/>
                <w:bCs/>
                <w:lang w:eastAsia="ja-JP"/>
              </w:rPr>
              <w:t>.93</w:t>
            </w:r>
          </w:p>
        </w:tc>
        <w:tc>
          <w:tcPr>
            <w:tcW w:w="971" w:type="dxa"/>
            <w:tcBorders>
              <w:top w:val="nil"/>
              <w:left w:val="nil"/>
              <w:bottom w:val="single" w:sz="4" w:space="0" w:color="auto"/>
              <w:right w:val="nil"/>
            </w:tcBorders>
            <w:vAlign w:val="center"/>
          </w:tcPr>
          <w:p w14:paraId="1E21A475" w14:textId="449EDE5C" w:rsidR="004B2604" w:rsidRPr="009C7A7E" w:rsidRDefault="004B2604" w:rsidP="00BB18F6">
            <w:pPr>
              <w:pStyle w:val="Els-body-text"/>
              <w:jc w:val="center"/>
              <w:rPr>
                <w:b/>
                <w:bCs/>
                <w:lang w:eastAsia="ja-JP"/>
              </w:rPr>
            </w:pPr>
            <w:r w:rsidRPr="009C7A7E">
              <w:rPr>
                <w:b/>
                <w:bCs/>
                <w:lang w:eastAsia="ja-JP"/>
              </w:rPr>
              <w:t>20.1</w:t>
            </w:r>
          </w:p>
        </w:tc>
      </w:tr>
    </w:tbl>
    <w:p w14:paraId="0F48B3B1" w14:textId="3F7261E9" w:rsidR="0045133F" w:rsidRPr="001F6944" w:rsidRDefault="0045133F" w:rsidP="001F6944">
      <w:pPr>
        <w:pStyle w:val="Els-body-text"/>
        <w:spacing w:after="120"/>
        <w:rPr>
          <w:lang w:val="en-GB"/>
        </w:rPr>
      </w:pPr>
      <w:bookmarkStart w:id="2" w:name="OLE_LINK3"/>
      <w:bookmarkStart w:id="3" w:name="OLE_LINK4"/>
    </w:p>
    <w:p w14:paraId="3CEE18D8" w14:textId="02A8FF9A" w:rsidR="00804705" w:rsidRPr="00514BCD" w:rsidRDefault="00804705" w:rsidP="00804705">
      <w:pPr>
        <w:pStyle w:val="Els-body-text"/>
        <w:spacing w:after="120"/>
        <w:rPr>
          <w:lang w:val="en-GB"/>
        </w:rPr>
      </w:pPr>
      <w:bookmarkStart w:id="4" w:name="OLE_LINK5"/>
      <w:bookmarkStart w:id="5" w:name="OLE_LINK6"/>
      <w:bookmarkEnd w:id="2"/>
      <w:bookmarkEnd w:id="3"/>
      <w:r>
        <w:rPr>
          <w:lang w:eastAsia="ja-JP"/>
        </w:rPr>
        <w:t>min (whole period), 180-240 min (shortly after the malfunction), and 240-600 min (after the malfunction). In this study, the correlation coefficient (</w:t>
      </w:r>
      <m:oMath>
        <m:r>
          <w:rPr>
            <w:rFonts w:ascii="Cambria Math" w:hAnsi="Cambria Math"/>
            <w:lang w:eastAsia="ja-JP"/>
          </w:rPr>
          <m:t>R</m:t>
        </m:r>
      </m:oMath>
      <w:r>
        <w:rPr>
          <w:lang w:eastAsia="ja-JP"/>
        </w:rPr>
        <w:t>) and the root mean squared error (RMSE) were adopted as evaluation metrics. The best values in each test data are highlighted in bold in Table 1</w:t>
      </w:r>
      <w:r>
        <w:t>.</w:t>
      </w:r>
      <w:r w:rsidRPr="000D18B9">
        <w:t xml:space="preserve"> </w:t>
      </w:r>
    </w:p>
    <w:p w14:paraId="5DE843EB" w14:textId="328286C8" w:rsidR="00AC073C" w:rsidRPr="00AC073C" w:rsidRDefault="00804705" w:rsidP="00804705">
      <w:pPr>
        <w:pStyle w:val="Els-body-text"/>
        <w:spacing w:after="120"/>
      </w:pPr>
      <w:r>
        <w:rPr>
          <w:lang w:eastAsia="ja-JP"/>
        </w:rPr>
        <w:t>The proposed LST-FEDA achieved the best performance in almost all malfunction scenarios except for the whole period in MAL2. According to Figure 1, LST-FEDA successfully suppressed significant fluctuation of the prediction shortly after the malfunction in comparison with other two methods. Moreover, LST-FEDA could appropriately follow the measurement one hour after the malfunction occurrence</w:t>
      </w:r>
      <w:r>
        <w:t>.</w:t>
      </w:r>
      <w:r w:rsidRPr="000D18B9">
        <w:t xml:space="preserve"> </w:t>
      </w:r>
    </w:p>
    <w:p w14:paraId="1517A9C5" w14:textId="77777777" w:rsidR="00804705" w:rsidRPr="00FE72DC" w:rsidRDefault="00804705" w:rsidP="00804705">
      <w:pPr>
        <w:pStyle w:val="Els-body-text"/>
        <w:spacing w:after="120"/>
        <w:rPr>
          <w:lang w:val="en-GB"/>
        </w:rPr>
      </w:pPr>
      <w:r>
        <w:rPr>
          <w:lang w:eastAsia="ja-JP"/>
        </w:rPr>
        <w:t>In MAL2, RMSE of LST-FEDA for the whole period was slightly worse than the conventional FEDA. According to Figure 2, LST-FEDA was not able to avoid incorrect prediction deterioration shortly after MAL2 occurred; however, the conventional FEDA also did not make accurate predictions during this period, which suggests that it is impossible for any method to appropriately cope with MAL2 shortly after its occurrence</w:t>
      </w:r>
      <w:r>
        <w:t>.</w:t>
      </w:r>
      <w:r w:rsidRPr="000D18B9">
        <w:t xml:space="preserve"> </w:t>
      </w:r>
      <w:bookmarkEnd w:id="4"/>
      <w:bookmarkEnd w:id="5"/>
      <w:proofErr w:type="gramStart"/>
      <w:r>
        <w:rPr>
          <w:lang w:eastAsia="ja-JP"/>
        </w:rPr>
        <w:t>In regard to</w:t>
      </w:r>
      <w:proofErr w:type="gramEnd"/>
      <w:r>
        <w:rPr>
          <w:lang w:eastAsia="ja-JP"/>
        </w:rPr>
        <w:t xml:space="preserve"> the prediction performance after the malfunction, the soft-sensors with the proposed LST-FEDA achieved the highest performance in all malfunction cases</w:t>
      </w:r>
      <w:r>
        <w:t>.</w:t>
      </w:r>
      <w:r w:rsidRPr="000D18B9">
        <w:t xml:space="preserve"> </w:t>
      </w:r>
    </w:p>
    <w:p w14:paraId="47D8A1F0" w14:textId="77777777" w:rsidR="00804705" w:rsidRPr="00125261" w:rsidRDefault="00804705" w:rsidP="00804705">
      <w:pPr>
        <w:pStyle w:val="Els-body-text"/>
        <w:spacing w:after="120"/>
        <w:rPr>
          <w:lang w:val="en-GB"/>
        </w:rPr>
      </w:pPr>
      <w:r>
        <w:rPr>
          <w:lang w:eastAsia="ja-JP"/>
        </w:rPr>
        <w:lastRenderedPageBreak/>
        <w:t xml:space="preserve">In summary, the proposed LST-FEDA improved </w:t>
      </w:r>
      <m:oMath>
        <m:r>
          <w:rPr>
            <w:rFonts w:ascii="Cambria Math" w:hAnsi="Cambria Math"/>
            <w:lang w:eastAsia="ja-JP"/>
          </w:rPr>
          <m:t>R</m:t>
        </m:r>
      </m:oMath>
      <w:r>
        <w:rPr>
          <w:lang w:eastAsia="ja-JP"/>
        </w:rPr>
        <w:t xml:space="preserve"> by 22.4 % and RMSE by 29.8 % on average for the whole period, and </w:t>
      </w:r>
      <m:oMath>
        <m:r>
          <w:rPr>
            <w:rFonts w:ascii="Cambria Math" w:hAnsi="Cambria Math"/>
            <w:lang w:eastAsia="ja-JP"/>
          </w:rPr>
          <m:t>R</m:t>
        </m:r>
      </m:oMath>
      <w:r>
        <w:rPr>
          <w:lang w:eastAsia="ja-JP"/>
        </w:rPr>
        <w:t xml:space="preserve"> by 6.1 % and RMSE by 32.9 % on average for the </w:t>
      </w:r>
      <w:proofErr w:type="gramStart"/>
      <w:r>
        <w:rPr>
          <w:lang w:eastAsia="ja-JP"/>
        </w:rPr>
        <w:t>after malfunction</w:t>
      </w:r>
      <w:proofErr w:type="gramEnd"/>
      <w:r>
        <w:rPr>
          <w:lang w:eastAsia="ja-JP"/>
        </w:rPr>
        <w:t xml:space="preserve"> period in comparison with the conventional FEDA. These results confirm that the proposed LST-FEDA can adapt soft-sensors more quickly and accurately to changes in process characteristics due to various process malfunctions suddenly occurring.</w:t>
      </w:r>
    </w:p>
    <w:p w14:paraId="283F4B5F" w14:textId="77777777" w:rsidR="004E4930" w:rsidRPr="00A94774" w:rsidRDefault="004E4930" w:rsidP="004E4930">
      <w:pPr>
        <w:pStyle w:val="Els-1storder-head"/>
        <w:spacing w:after="120"/>
        <w:rPr>
          <w:lang w:val="en-GB"/>
        </w:rPr>
      </w:pPr>
      <w:bookmarkStart w:id="6" w:name="OLE_LINK7"/>
      <w:bookmarkStart w:id="7" w:name="OLE_LINK8"/>
      <w:r>
        <w:rPr>
          <w:lang w:val="en-GB"/>
        </w:rPr>
        <w:t>Conclusion</w:t>
      </w:r>
    </w:p>
    <w:p w14:paraId="52576228" w14:textId="4B574476" w:rsidR="00804705" w:rsidRDefault="00746D30" w:rsidP="00804705">
      <w:pPr>
        <w:pStyle w:val="Els-body-text"/>
        <w:spacing w:after="120"/>
        <w:rPr>
          <w:lang w:eastAsia="ja-JP"/>
        </w:rPr>
      </w:pPr>
      <w:r>
        <w:rPr>
          <w:lang w:eastAsia="ja-JP"/>
        </w:rPr>
        <w:t>I</w:t>
      </w:r>
      <w:r w:rsidR="00804705">
        <w:rPr>
          <w:lang w:eastAsia="ja-JP"/>
        </w:rPr>
        <w:t>n this study, we propose a new TL method for JIT modeling, referred to as LST-FEDA. The proposed LST-FEDA is an extension of FEDA defining a fixed number of recent samples close to a query in time as the target domain data and other data as the source domain data.</w:t>
      </w:r>
      <w:r w:rsidR="00804705">
        <w:rPr>
          <w:rFonts w:hint="eastAsia"/>
          <w:lang w:eastAsia="ja-JP"/>
        </w:rPr>
        <w:t xml:space="preserve"> </w:t>
      </w:r>
      <w:r w:rsidR="00804705">
        <w:rPr>
          <w:lang w:eastAsia="ja-JP"/>
        </w:rPr>
        <w:t xml:space="preserve">By updating the target domain data for </w:t>
      </w:r>
      <w:r w:rsidR="00804705">
        <w:rPr>
          <w:rFonts w:hint="eastAsia"/>
          <w:lang w:eastAsia="ja-JP"/>
        </w:rPr>
        <w:t>every</w:t>
      </w:r>
      <w:r w:rsidR="00804705">
        <w:rPr>
          <w:lang w:eastAsia="ja-JP"/>
        </w:rPr>
        <w:t xml:space="preserve"> new sample collection, it is possible to construct </w:t>
      </w:r>
      <w:proofErr w:type="gramStart"/>
      <w:r w:rsidR="00804705">
        <w:rPr>
          <w:lang w:eastAsia="ja-JP"/>
        </w:rPr>
        <w:t>soft-sensors</w:t>
      </w:r>
      <w:proofErr w:type="gramEnd"/>
      <w:r w:rsidR="00804705">
        <w:rPr>
          <w:lang w:eastAsia="ja-JP"/>
        </w:rPr>
        <w:t xml:space="preserve"> emphasizing characteristics of recent data more than past data.</w:t>
      </w:r>
      <w:r w:rsidR="00804705">
        <w:rPr>
          <w:rFonts w:hint="eastAsia"/>
          <w:lang w:eastAsia="ja-JP"/>
        </w:rPr>
        <w:t xml:space="preserve"> </w:t>
      </w:r>
      <w:r w:rsidR="00804705">
        <w:rPr>
          <w:lang w:eastAsia="ja-JP"/>
        </w:rPr>
        <w:t>Thus, soft-sensors constructed with LST-FEDA quickly adapted to sudden changes in process characteristics that cannot be addressed by conventional TL methods.</w:t>
      </w:r>
    </w:p>
    <w:p w14:paraId="7D5D83E6" w14:textId="77777777" w:rsidR="00804705" w:rsidRDefault="00804705" w:rsidP="00804705">
      <w:pPr>
        <w:pStyle w:val="Els-body-text"/>
        <w:spacing w:after="120"/>
        <w:rPr>
          <w:lang w:eastAsia="ja-JP"/>
        </w:rPr>
      </w:pPr>
      <w:r>
        <w:rPr>
          <w:lang w:eastAsia="ja-JP"/>
        </w:rPr>
        <w:t>To verify the performance of LST-FEDA, the proposed LST-FEDA was applied to the operation data of the VAM process. This result clearly showed that LST-FEDA achieved the best prediction performance in almost all malfunction cases in comparison with the conventional methods. The proposed method will contribute to efficient and safe process operation in the future.</w:t>
      </w:r>
    </w:p>
    <w:p w14:paraId="003F1A03" w14:textId="36248888" w:rsidR="00581EFE" w:rsidRPr="00804705" w:rsidRDefault="00804705" w:rsidP="00804705">
      <w:pPr>
        <w:pStyle w:val="Els-body-text"/>
        <w:spacing w:after="120"/>
        <w:rPr>
          <w:lang w:eastAsia="ja-JP"/>
        </w:rPr>
      </w:pPr>
      <w:r>
        <w:rPr>
          <w:lang w:eastAsia="ja-JP"/>
        </w:rPr>
        <w:t>In future works, we plan to apply LST-FEDA to real process data and assess its performance comprehensively. Additionally, we aim to refine LST-FEDA further by allowing for more flexible determination of the number of target domain samples.</w:t>
      </w:r>
    </w:p>
    <w:bookmarkEnd w:id="6"/>
    <w:bookmarkEnd w:id="7"/>
    <w:p w14:paraId="144DE6BF" w14:textId="608D0AD6" w:rsidR="008D2649" w:rsidRDefault="008D2649" w:rsidP="008D2649">
      <w:pPr>
        <w:pStyle w:val="Els-reference-head"/>
      </w:pPr>
      <w:r>
        <w:t>References</w:t>
      </w:r>
    </w:p>
    <w:p w14:paraId="144DE6C0" w14:textId="60F82047" w:rsidR="008D2649" w:rsidRDefault="00963DF6" w:rsidP="008D2649">
      <w:pPr>
        <w:pStyle w:val="Els-referenceno-number"/>
        <w:rPr>
          <w:lang w:val="en-US"/>
        </w:rPr>
      </w:pPr>
      <w:r w:rsidRPr="00963DF6">
        <w:rPr>
          <w:lang w:val="en-US"/>
        </w:rPr>
        <w:t>P</w:t>
      </w:r>
      <w:r>
        <w:rPr>
          <w:lang w:val="en-US"/>
        </w:rPr>
        <w:t>.</w:t>
      </w:r>
      <w:r w:rsidRPr="00963DF6">
        <w:rPr>
          <w:lang w:val="en-US"/>
        </w:rPr>
        <w:t xml:space="preserve"> Kadlec</w:t>
      </w:r>
      <w:r w:rsidR="00CF2BF8">
        <w:rPr>
          <w:lang w:val="en-US"/>
        </w:rPr>
        <w:t>,</w:t>
      </w:r>
      <w:r w:rsidRPr="00963DF6">
        <w:rPr>
          <w:lang w:val="en-US"/>
        </w:rPr>
        <w:t xml:space="preserve"> R</w:t>
      </w:r>
      <w:r>
        <w:rPr>
          <w:lang w:val="en-US"/>
        </w:rPr>
        <w:t>.</w:t>
      </w:r>
      <w:r w:rsidRPr="00963DF6">
        <w:rPr>
          <w:lang w:val="en-US"/>
        </w:rPr>
        <w:t xml:space="preserve"> Grbić</w:t>
      </w:r>
      <w:r w:rsidR="00CF2BF8">
        <w:rPr>
          <w:lang w:val="en-US"/>
        </w:rPr>
        <w:t>,</w:t>
      </w:r>
      <w:r w:rsidRPr="00963DF6">
        <w:rPr>
          <w:lang w:val="en-US"/>
        </w:rPr>
        <w:t xml:space="preserve"> and B</w:t>
      </w:r>
      <w:r>
        <w:rPr>
          <w:lang w:val="en-US"/>
        </w:rPr>
        <w:t>.</w:t>
      </w:r>
      <w:r w:rsidRPr="00963DF6">
        <w:rPr>
          <w:lang w:val="en-US"/>
        </w:rPr>
        <w:t xml:space="preserve"> Gabrys</w:t>
      </w:r>
      <w:r w:rsidR="008D2649">
        <w:rPr>
          <w:lang w:val="en-US"/>
        </w:rPr>
        <w:t xml:space="preserve">, </w:t>
      </w:r>
      <w:r>
        <w:rPr>
          <w:lang w:val="en-US"/>
        </w:rPr>
        <w:t>2011</w:t>
      </w:r>
      <w:r w:rsidR="008D2649">
        <w:rPr>
          <w:lang w:val="en-US"/>
        </w:rPr>
        <w:t xml:space="preserve">, </w:t>
      </w:r>
      <w:r w:rsidRPr="00963DF6">
        <w:rPr>
          <w:lang w:val="en-US"/>
        </w:rPr>
        <w:t>Review of adaptation mechanisms for data-driven soft sensors</w:t>
      </w:r>
      <w:r w:rsidR="008D2649">
        <w:rPr>
          <w:lang w:val="en-US"/>
        </w:rPr>
        <w:t xml:space="preserve">, </w:t>
      </w:r>
      <w:r w:rsidRPr="00963DF6">
        <w:rPr>
          <w:lang w:val="en-US"/>
        </w:rPr>
        <w:t>Computers &amp; Chemical Engineering</w:t>
      </w:r>
      <w:r w:rsidR="008D2649">
        <w:rPr>
          <w:lang w:val="en-US"/>
        </w:rPr>
        <w:t xml:space="preserve">, </w:t>
      </w:r>
      <w:r>
        <w:rPr>
          <w:lang w:val="en-US"/>
        </w:rPr>
        <w:t>35</w:t>
      </w:r>
      <w:r w:rsidR="008D2649">
        <w:rPr>
          <w:lang w:val="en-US"/>
        </w:rPr>
        <w:t xml:space="preserve">, </w:t>
      </w:r>
      <w:r>
        <w:rPr>
          <w:lang w:val="en-US"/>
        </w:rPr>
        <w:t>1</w:t>
      </w:r>
      <w:r w:rsidR="008D2649">
        <w:rPr>
          <w:lang w:val="en-US"/>
        </w:rPr>
        <w:t xml:space="preserve">, </w:t>
      </w:r>
      <w:r w:rsidR="00ED78E3">
        <w:rPr>
          <w:lang w:val="en-US"/>
        </w:rPr>
        <w:t>pp.</w:t>
      </w:r>
      <w:r>
        <w:rPr>
          <w:lang w:val="en-US"/>
        </w:rPr>
        <w:t>1-24</w:t>
      </w:r>
    </w:p>
    <w:p w14:paraId="144DE6C3" w14:textId="7735772B" w:rsidR="008D2649" w:rsidRDefault="007C403C" w:rsidP="008D2649">
      <w:pPr>
        <w:pStyle w:val="Els-referenceno-number"/>
        <w:rPr>
          <w:lang w:val="en-US" w:eastAsia="ja-JP"/>
        </w:rPr>
      </w:pPr>
      <w:r>
        <w:rPr>
          <w:lang w:val="en-US"/>
        </w:rPr>
        <w:t xml:space="preserve">M. </w:t>
      </w:r>
      <w:r w:rsidRPr="007C403C">
        <w:rPr>
          <w:lang w:val="en-US"/>
        </w:rPr>
        <w:t xml:space="preserve">Kano and </w:t>
      </w:r>
      <w:r>
        <w:rPr>
          <w:lang w:val="en-US"/>
        </w:rPr>
        <w:t xml:space="preserve">K. </w:t>
      </w:r>
      <w:r w:rsidRPr="007C403C">
        <w:rPr>
          <w:lang w:val="en-US"/>
        </w:rPr>
        <w:t>Fujiwara</w:t>
      </w:r>
      <w:r>
        <w:rPr>
          <w:lang w:val="en-US"/>
        </w:rPr>
        <w:t xml:space="preserve">, </w:t>
      </w:r>
      <w:r w:rsidR="00ED78E3">
        <w:rPr>
          <w:lang w:val="en-US"/>
        </w:rPr>
        <w:t xml:space="preserve">2013, </w:t>
      </w:r>
      <w:r w:rsidR="00ED78E3" w:rsidRPr="00ED78E3">
        <w:rPr>
          <w:lang w:val="en-US"/>
        </w:rPr>
        <w:t>Virtual sensing technology in process industries: trends and challenges revealed by recent industrial applications</w:t>
      </w:r>
      <w:r w:rsidR="00ED78E3">
        <w:rPr>
          <w:lang w:val="en-US"/>
        </w:rPr>
        <w:t xml:space="preserve">, </w:t>
      </w:r>
      <w:r w:rsidR="00ED78E3" w:rsidRPr="00ED78E3">
        <w:rPr>
          <w:lang w:val="en-US"/>
        </w:rPr>
        <w:t>Journal of chemical engineering of Japan</w:t>
      </w:r>
      <w:r w:rsidR="00ED78E3">
        <w:rPr>
          <w:lang w:val="en-US"/>
        </w:rPr>
        <w:t xml:space="preserve">, </w:t>
      </w:r>
      <w:r w:rsidR="00ED78E3" w:rsidRPr="00ED78E3">
        <w:rPr>
          <w:lang w:val="en-US"/>
        </w:rPr>
        <w:t>46</w:t>
      </w:r>
      <w:r w:rsidR="00ED78E3">
        <w:rPr>
          <w:lang w:val="en-US"/>
        </w:rPr>
        <w:t xml:space="preserve">, </w:t>
      </w:r>
      <w:r w:rsidR="00ED78E3" w:rsidRPr="00ED78E3">
        <w:rPr>
          <w:lang w:val="en-US"/>
        </w:rPr>
        <w:t>1</w:t>
      </w:r>
      <w:r w:rsidR="00ED78E3">
        <w:rPr>
          <w:lang w:val="en-US"/>
        </w:rPr>
        <w:t>, pp.1-17</w:t>
      </w:r>
    </w:p>
    <w:p w14:paraId="2F54228F" w14:textId="14E63DDF" w:rsidR="00581EFE" w:rsidRDefault="00ED78E3" w:rsidP="008D2649">
      <w:pPr>
        <w:pStyle w:val="Els-referenceno-number"/>
        <w:rPr>
          <w:lang w:val="en-US"/>
        </w:rPr>
      </w:pPr>
      <w:r>
        <w:rPr>
          <w:rFonts w:hint="eastAsia"/>
          <w:lang w:val="en-US"/>
        </w:rPr>
        <w:t>C</w:t>
      </w:r>
      <w:r>
        <w:rPr>
          <w:lang w:val="en-US"/>
        </w:rPr>
        <w:t>. G. Atkeson</w:t>
      </w:r>
      <w:r w:rsidR="00CF2BF8">
        <w:rPr>
          <w:lang w:val="en-US"/>
        </w:rPr>
        <w:t>,</w:t>
      </w:r>
      <w:r>
        <w:rPr>
          <w:lang w:val="en-US"/>
        </w:rPr>
        <w:t xml:space="preserve"> A. W. Moore</w:t>
      </w:r>
      <w:r w:rsidR="00CF2BF8">
        <w:rPr>
          <w:lang w:val="en-US"/>
        </w:rPr>
        <w:t>,</w:t>
      </w:r>
      <w:r>
        <w:rPr>
          <w:lang w:val="en-US"/>
        </w:rPr>
        <w:t xml:space="preserve"> and S. Schaal, 1997, </w:t>
      </w:r>
      <w:r w:rsidRPr="00ED78E3">
        <w:rPr>
          <w:lang w:val="en-US"/>
        </w:rPr>
        <w:t>Locally Weighted Learning</w:t>
      </w:r>
      <w:r>
        <w:rPr>
          <w:lang w:val="en-US"/>
        </w:rPr>
        <w:t xml:space="preserve">, </w:t>
      </w:r>
      <w:r w:rsidRPr="00ED78E3">
        <w:rPr>
          <w:lang w:val="en-US"/>
        </w:rPr>
        <w:t>Springer Netherlands</w:t>
      </w:r>
      <w:r>
        <w:rPr>
          <w:lang w:val="en-US"/>
        </w:rPr>
        <w:t xml:space="preserve">, </w:t>
      </w:r>
      <w:r w:rsidRPr="00ED78E3">
        <w:rPr>
          <w:lang w:val="en-US"/>
        </w:rPr>
        <w:t>Lazy Learning</w:t>
      </w:r>
      <w:r>
        <w:rPr>
          <w:lang w:val="en-US"/>
        </w:rPr>
        <w:t>, pp</w:t>
      </w:r>
      <w:r>
        <w:rPr>
          <w:lang w:val="en-US" w:eastAsia="ja-JP"/>
        </w:rPr>
        <w:t>.</w:t>
      </w:r>
      <w:r w:rsidRPr="00ED78E3">
        <w:rPr>
          <w:lang w:val="en-US"/>
        </w:rPr>
        <w:t>11-73</w:t>
      </w:r>
    </w:p>
    <w:p w14:paraId="7EA1F5F4" w14:textId="785B44BE" w:rsidR="00ED78E3" w:rsidRDefault="00ED78E3" w:rsidP="008D2649">
      <w:pPr>
        <w:pStyle w:val="Els-referenceno-number"/>
        <w:rPr>
          <w:lang w:val="en-US"/>
        </w:rPr>
      </w:pPr>
      <w:r>
        <w:t xml:space="preserve">S. J. Pan and Q. Yang, 2010, </w:t>
      </w:r>
      <w:r w:rsidRPr="00ED78E3">
        <w:t>A survey on transfer learning</w:t>
      </w:r>
      <w:r>
        <w:t xml:space="preserve">, </w:t>
      </w:r>
      <w:r w:rsidRPr="00ED78E3">
        <w:t>IEEE Transactions on knowledge and data engineering</w:t>
      </w:r>
      <w:r>
        <w:t>, 22, 10, pp.</w:t>
      </w:r>
      <w:r w:rsidRPr="00ED78E3">
        <w:t>1345-1359</w:t>
      </w:r>
    </w:p>
    <w:p w14:paraId="21737ED3" w14:textId="3A5C2B84" w:rsidR="00ED78E3" w:rsidRDefault="00ED78E3" w:rsidP="008D2649">
      <w:pPr>
        <w:pStyle w:val="Els-referenceno-number"/>
        <w:rPr>
          <w:lang w:val="en-US"/>
        </w:rPr>
      </w:pPr>
      <w:r>
        <w:rPr>
          <w:lang w:val="en-US"/>
        </w:rPr>
        <w:t xml:space="preserve">N. </w:t>
      </w:r>
      <w:r w:rsidRPr="00ED78E3">
        <w:rPr>
          <w:lang w:val="en-US"/>
        </w:rPr>
        <w:t xml:space="preserve">Yamada and </w:t>
      </w:r>
      <w:r>
        <w:rPr>
          <w:lang w:val="en-US"/>
        </w:rPr>
        <w:t xml:space="preserve">H. </w:t>
      </w:r>
      <w:r w:rsidRPr="00ED78E3">
        <w:rPr>
          <w:lang w:val="en-US"/>
        </w:rPr>
        <w:t>Kaneko</w:t>
      </w:r>
      <w:r>
        <w:rPr>
          <w:lang w:val="en-US"/>
        </w:rPr>
        <w:t xml:space="preserve">, 2022, </w:t>
      </w:r>
      <w:r w:rsidRPr="00ED78E3">
        <w:rPr>
          <w:lang w:val="en-US"/>
        </w:rPr>
        <w:t>Adaptive soft sensor based on transfer learning and ensemble learning for multiple process states</w:t>
      </w:r>
      <w:r>
        <w:rPr>
          <w:lang w:val="en-US"/>
        </w:rPr>
        <w:t xml:space="preserve">, </w:t>
      </w:r>
      <w:r w:rsidRPr="00ED78E3">
        <w:rPr>
          <w:lang w:val="en-US"/>
        </w:rPr>
        <w:t>Analytical Science Advances</w:t>
      </w:r>
      <w:r>
        <w:rPr>
          <w:lang w:val="en-US"/>
        </w:rPr>
        <w:t>, 3, 5-6, pp.205-211</w:t>
      </w:r>
    </w:p>
    <w:p w14:paraId="1A41C230" w14:textId="5E141157" w:rsidR="00ED78E3" w:rsidRPr="00E249B1" w:rsidRDefault="00E249B1" w:rsidP="008D2649">
      <w:pPr>
        <w:pStyle w:val="Els-referenceno-number"/>
        <w:rPr>
          <w:lang w:val="en-US" w:eastAsia="ja-JP"/>
        </w:rPr>
      </w:pPr>
      <w:r>
        <w:t xml:space="preserve">H. </w:t>
      </w:r>
      <w:r w:rsidRPr="00F169C9">
        <w:t>Daum</w:t>
      </w:r>
      <w:r>
        <w:rPr>
          <w:rFonts w:ascii="Cambria" w:hAnsi="Cambria" w:cs="Apple Color Emoji"/>
          <w:lang w:eastAsia="ja-JP"/>
        </w:rPr>
        <w:t>é</w:t>
      </w:r>
      <w:r w:rsidRPr="00F169C9">
        <w:rPr>
          <w:rFonts w:hint="eastAsia"/>
          <w:lang w:eastAsia="ja-JP"/>
        </w:rPr>
        <w:t xml:space="preserve"> </w:t>
      </w:r>
      <w:r w:rsidRPr="00F169C9">
        <w:t>III</w:t>
      </w:r>
      <w:r>
        <w:t xml:space="preserve">, 2007, </w:t>
      </w:r>
      <w:r w:rsidR="00666BCD">
        <w:t xml:space="preserve">Frustratingly Easy Domain Adaptation, </w:t>
      </w:r>
      <w:r>
        <w:t>ACL Anthology, pp.256-263</w:t>
      </w:r>
    </w:p>
    <w:p w14:paraId="4C1D3430" w14:textId="51A150E7" w:rsidR="00ED78E3" w:rsidRDefault="00156DB2" w:rsidP="008D2649">
      <w:pPr>
        <w:pStyle w:val="Els-referenceno-number"/>
        <w:rPr>
          <w:lang w:val="en-US"/>
        </w:rPr>
      </w:pPr>
      <w:r w:rsidRPr="00156DB2">
        <w:rPr>
          <w:lang w:val="en-US"/>
        </w:rPr>
        <w:t>Y</w:t>
      </w:r>
      <w:r>
        <w:rPr>
          <w:lang w:val="en-US"/>
        </w:rPr>
        <w:t>.</w:t>
      </w:r>
      <w:r w:rsidRPr="00156DB2">
        <w:rPr>
          <w:lang w:val="en-US"/>
        </w:rPr>
        <w:t xml:space="preserve"> Machida</w:t>
      </w:r>
      <w:r w:rsidR="00CF2BF8">
        <w:rPr>
          <w:lang w:val="en-US"/>
        </w:rPr>
        <w:t>,</w:t>
      </w:r>
      <w:r w:rsidRPr="00156DB2">
        <w:rPr>
          <w:lang w:val="en-US"/>
        </w:rPr>
        <w:t xml:space="preserve"> S</w:t>
      </w:r>
      <w:r>
        <w:rPr>
          <w:lang w:val="en-US"/>
        </w:rPr>
        <w:t>.</w:t>
      </w:r>
      <w:r w:rsidRPr="00156DB2">
        <w:rPr>
          <w:lang w:val="en-US"/>
        </w:rPr>
        <w:t xml:space="preserve"> Ootakara</w:t>
      </w:r>
      <w:r w:rsidR="00CF2BF8">
        <w:rPr>
          <w:lang w:val="en-US"/>
        </w:rPr>
        <w:t>,</w:t>
      </w:r>
      <w:r w:rsidRPr="00156DB2">
        <w:rPr>
          <w:lang w:val="en-US"/>
        </w:rPr>
        <w:t xml:space="preserve"> H</w:t>
      </w:r>
      <w:r>
        <w:rPr>
          <w:lang w:val="en-US"/>
        </w:rPr>
        <w:t>.</w:t>
      </w:r>
      <w:r w:rsidRPr="00156DB2">
        <w:rPr>
          <w:lang w:val="en-US"/>
        </w:rPr>
        <w:t xml:space="preserve"> Seki</w:t>
      </w:r>
      <w:r w:rsidR="00CF2BF8">
        <w:rPr>
          <w:lang w:val="en-US"/>
        </w:rPr>
        <w:t>,</w:t>
      </w:r>
      <w:r w:rsidRPr="00156DB2">
        <w:rPr>
          <w:lang w:val="en-US"/>
        </w:rPr>
        <w:t xml:space="preserve"> Y</w:t>
      </w:r>
      <w:r>
        <w:rPr>
          <w:lang w:val="en-US"/>
        </w:rPr>
        <w:t>.</w:t>
      </w:r>
      <w:r w:rsidRPr="00156DB2">
        <w:rPr>
          <w:lang w:val="en-US"/>
        </w:rPr>
        <w:t xml:space="preserve"> Hashimoto</w:t>
      </w:r>
      <w:r w:rsidR="00CF2BF8">
        <w:rPr>
          <w:lang w:val="en-US"/>
        </w:rPr>
        <w:t>,</w:t>
      </w:r>
      <w:r w:rsidRPr="00156DB2">
        <w:rPr>
          <w:lang w:val="en-US"/>
        </w:rPr>
        <w:t xml:space="preserve"> M</w:t>
      </w:r>
      <w:r>
        <w:rPr>
          <w:lang w:val="en-US"/>
        </w:rPr>
        <w:t>.</w:t>
      </w:r>
      <w:r w:rsidRPr="00156DB2">
        <w:rPr>
          <w:lang w:val="en-US"/>
        </w:rPr>
        <w:t xml:space="preserve"> Kano</w:t>
      </w:r>
      <w:r w:rsidR="00CF2BF8">
        <w:rPr>
          <w:lang w:val="en-US"/>
        </w:rPr>
        <w:t>,</w:t>
      </w:r>
      <w:r w:rsidRPr="00156DB2">
        <w:rPr>
          <w:lang w:val="en-US"/>
        </w:rPr>
        <w:t xml:space="preserve"> Y</w:t>
      </w:r>
      <w:r>
        <w:rPr>
          <w:lang w:val="en-US"/>
        </w:rPr>
        <w:t>.</w:t>
      </w:r>
      <w:r w:rsidRPr="00156DB2">
        <w:rPr>
          <w:lang w:val="en-US"/>
        </w:rPr>
        <w:t xml:space="preserve"> Miyake</w:t>
      </w:r>
      <w:r w:rsidR="00CF2BF8">
        <w:rPr>
          <w:lang w:val="en-US"/>
        </w:rPr>
        <w:t>,</w:t>
      </w:r>
      <w:r w:rsidRPr="00156DB2">
        <w:rPr>
          <w:lang w:val="en-US"/>
        </w:rPr>
        <w:t xml:space="preserve"> N</w:t>
      </w:r>
      <w:r>
        <w:rPr>
          <w:lang w:val="en-US"/>
        </w:rPr>
        <w:t>.</w:t>
      </w:r>
      <w:r w:rsidRPr="00156DB2">
        <w:rPr>
          <w:lang w:val="en-US"/>
        </w:rPr>
        <w:t xml:space="preserve"> Anzai</w:t>
      </w:r>
      <w:r w:rsidR="00CF2BF8">
        <w:rPr>
          <w:lang w:val="en-US"/>
        </w:rPr>
        <w:t>,</w:t>
      </w:r>
      <w:r w:rsidRPr="00156DB2">
        <w:rPr>
          <w:lang w:val="en-US"/>
        </w:rPr>
        <w:t xml:space="preserve"> M</w:t>
      </w:r>
      <w:r>
        <w:rPr>
          <w:lang w:val="en-US"/>
        </w:rPr>
        <w:t>.</w:t>
      </w:r>
      <w:r w:rsidRPr="00156DB2">
        <w:rPr>
          <w:lang w:val="en-US"/>
        </w:rPr>
        <w:t xml:space="preserve"> Sawai</w:t>
      </w:r>
      <w:r w:rsidR="00CF2BF8">
        <w:rPr>
          <w:lang w:val="en-US"/>
        </w:rPr>
        <w:t>,</w:t>
      </w:r>
      <w:r w:rsidRPr="00156DB2">
        <w:rPr>
          <w:lang w:val="en-US"/>
        </w:rPr>
        <w:t xml:space="preserve"> T</w:t>
      </w:r>
      <w:r>
        <w:rPr>
          <w:lang w:val="en-US"/>
        </w:rPr>
        <w:t>.</w:t>
      </w:r>
      <w:r w:rsidRPr="00156DB2">
        <w:rPr>
          <w:lang w:val="en-US"/>
        </w:rPr>
        <w:t xml:space="preserve"> Katsuno</w:t>
      </w:r>
      <w:r w:rsidR="00CF2BF8">
        <w:rPr>
          <w:lang w:val="en-US"/>
        </w:rPr>
        <w:t>,</w:t>
      </w:r>
      <w:r w:rsidRPr="00156DB2">
        <w:rPr>
          <w:lang w:val="en-US"/>
        </w:rPr>
        <w:t xml:space="preserve"> and T</w:t>
      </w:r>
      <w:r w:rsidR="00CF2BF8">
        <w:rPr>
          <w:lang w:val="en-US"/>
        </w:rPr>
        <w:t>.</w:t>
      </w:r>
      <w:r w:rsidRPr="00156DB2">
        <w:rPr>
          <w:lang w:val="en-US"/>
        </w:rPr>
        <w:t xml:space="preserve"> Omata</w:t>
      </w:r>
      <w:r>
        <w:rPr>
          <w:lang w:val="en-US"/>
        </w:rPr>
        <w:t xml:space="preserve">, 2016, </w:t>
      </w:r>
      <w:r w:rsidRPr="00156DB2">
        <w:rPr>
          <w:lang w:val="en-US"/>
        </w:rPr>
        <w:t>Vinyl Acetate Monomer (VAM) Plant Model: A New Benchmark Problem for Control and Operation Study</w:t>
      </w:r>
      <w:r>
        <w:rPr>
          <w:lang w:val="en-US"/>
        </w:rPr>
        <w:t xml:space="preserve">, </w:t>
      </w:r>
      <w:r w:rsidRPr="00156DB2">
        <w:rPr>
          <w:lang w:val="en-US"/>
        </w:rPr>
        <w:t>IFAC-PapersOnLine</w:t>
      </w:r>
      <w:r>
        <w:rPr>
          <w:lang w:val="en-US"/>
        </w:rPr>
        <w:t>, 49, 7, pp.533-538</w:t>
      </w:r>
    </w:p>
    <w:p w14:paraId="1B5DDFC9" w14:textId="5DFE4752" w:rsidR="00E010B0" w:rsidRDefault="00E010B0" w:rsidP="008D2649">
      <w:pPr>
        <w:pStyle w:val="Els-referenceno-number"/>
        <w:rPr>
          <w:lang w:val="en-US"/>
        </w:rPr>
      </w:pPr>
      <w:r>
        <w:rPr>
          <w:lang w:val="en-US"/>
        </w:rPr>
        <w:t xml:space="preserve">Omega Simulation Co. Lid., </w:t>
      </w:r>
      <w:r w:rsidRPr="007A5E0A">
        <w:rPr>
          <w:lang w:val="en-US"/>
        </w:rPr>
        <w:t>https://www.omegasim.co.jp</w:t>
      </w:r>
      <w:r>
        <w:rPr>
          <w:lang w:val="en-US"/>
        </w:rPr>
        <w:t>, (accessed 2023/08/05)</w:t>
      </w:r>
    </w:p>
    <w:p w14:paraId="5EE73BE9" w14:textId="3A720512" w:rsidR="00B67644" w:rsidRDefault="00B67644" w:rsidP="008D2649">
      <w:pPr>
        <w:pStyle w:val="Els-referenceno-number"/>
        <w:rPr>
          <w:lang w:val="en-US"/>
        </w:rPr>
      </w:pPr>
      <w:r w:rsidRPr="00B67644">
        <w:rPr>
          <w:lang w:val="en-US"/>
        </w:rPr>
        <w:t>S</w:t>
      </w:r>
      <w:r>
        <w:rPr>
          <w:lang w:val="en-US"/>
        </w:rPr>
        <w:t>.</w:t>
      </w:r>
      <w:r w:rsidRPr="00B67644">
        <w:rPr>
          <w:lang w:val="en-US"/>
        </w:rPr>
        <w:t xml:space="preserve"> Kim and R</w:t>
      </w:r>
      <w:r>
        <w:rPr>
          <w:lang w:val="en-US"/>
        </w:rPr>
        <w:t>.</w:t>
      </w:r>
      <w:r w:rsidRPr="00B67644">
        <w:rPr>
          <w:lang w:val="en-US"/>
        </w:rPr>
        <w:t xml:space="preserve"> Okajima and M</w:t>
      </w:r>
      <w:r>
        <w:rPr>
          <w:lang w:val="en-US"/>
        </w:rPr>
        <w:t>.</w:t>
      </w:r>
      <w:r w:rsidRPr="00B67644">
        <w:rPr>
          <w:lang w:val="en-US"/>
        </w:rPr>
        <w:t xml:space="preserve"> Kano and S</w:t>
      </w:r>
      <w:r>
        <w:rPr>
          <w:lang w:val="en-US"/>
        </w:rPr>
        <w:t>.</w:t>
      </w:r>
      <w:r w:rsidRPr="00B67644">
        <w:rPr>
          <w:lang w:val="en-US"/>
        </w:rPr>
        <w:t xml:space="preserve"> Hasebe</w:t>
      </w:r>
      <w:r>
        <w:rPr>
          <w:lang w:val="en-US"/>
        </w:rPr>
        <w:t xml:space="preserve">, 2013, </w:t>
      </w:r>
      <w:r w:rsidRPr="00B67644">
        <w:rPr>
          <w:lang w:val="en-US"/>
        </w:rPr>
        <w:t>Development of soft-sensor using locally weighted PLS with adaptive similarity measure</w:t>
      </w:r>
      <w:r>
        <w:rPr>
          <w:lang w:val="en-US"/>
        </w:rPr>
        <w:t xml:space="preserve">, </w:t>
      </w:r>
      <w:r w:rsidRPr="00B67644">
        <w:rPr>
          <w:lang w:val="en-US"/>
        </w:rPr>
        <w:t>Chemometrics and Intelligent Laboratory Systems</w:t>
      </w:r>
      <w:r>
        <w:rPr>
          <w:lang w:val="en-US"/>
        </w:rPr>
        <w:t>, 124, pp.43-49</w:t>
      </w:r>
    </w:p>
    <w:p w14:paraId="417F2B74" w14:textId="59D9C351" w:rsidR="00712A15" w:rsidRDefault="00D826BC" w:rsidP="00F00DE9">
      <w:pPr>
        <w:pStyle w:val="Els-referenceno-number"/>
        <w:rPr>
          <w:lang w:val="en-US"/>
        </w:rPr>
      </w:pPr>
      <w:r>
        <w:rPr>
          <w:rFonts w:hint="eastAsia"/>
          <w:lang w:val="en-US"/>
        </w:rPr>
        <w:t>S</w:t>
      </w:r>
      <w:r>
        <w:rPr>
          <w:lang w:val="en-US"/>
        </w:rPr>
        <w:t xml:space="preserve">. Arlot and A. Celisse, 2010, A survey of cross-validation procedures for model selection, </w:t>
      </w:r>
      <w:r w:rsidR="00A622BA">
        <w:rPr>
          <w:lang w:val="en-US"/>
        </w:rPr>
        <w:t>Statistics Surveys, 4, pp.40-79</w:t>
      </w:r>
    </w:p>
    <w:sectPr w:rsidR="00712A15"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BC11" w14:textId="77777777" w:rsidR="009A51F7" w:rsidRDefault="009A51F7">
      <w:r>
        <w:separator/>
      </w:r>
    </w:p>
  </w:endnote>
  <w:endnote w:type="continuationSeparator" w:id="0">
    <w:p w14:paraId="0211140A" w14:textId="77777777" w:rsidR="009A51F7" w:rsidRDefault="009A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536E" w14:textId="77777777" w:rsidR="009A51F7" w:rsidRDefault="009A51F7">
      <w:r>
        <w:separator/>
      </w:r>
    </w:p>
  </w:footnote>
  <w:footnote w:type="continuationSeparator" w:id="0">
    <w:p w14:paraId="2B9A0F5D" w14:textId="77777777" w:rsidR="009A51F7" w:rsidRDefault="009A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B35A8DA" w:rsidR="00DD3D9E" w:rsidRDefault="00DD3D9E">
    <w:pPr>
      <w:pStyle w:val="a5"/>
      <w:tabs>
        <w:tab w:val="clear" w:pos="7200"/>
        <w:tab w:val="right" w:pos="7088"/>
      </w:tabs>
    </w:pPr>
    <w:r>
      <w:rPr>
        <w:rStyle w:val="aa"/>
      </w:rPr>
      <w:tab/>
    </w:r>
    <w:r>
      <w:rPr>
        <w:rStyle w:val="aa"/>
        <w:i/>
      </w:rPr>
      <w:tab/>
    </w:r>
    <w:r w:rsidR="00FE2E33">
      <w:rPr>
        <w:i/>
      </w:rPr>
      <w:t>K. Katayama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A051846" w:rsidR="00DD3D9E" w:rsidRDefault="0005520C">
    <w:pPr>
      <w:pStyle w:val="a5"/>
      <w:tabs>
        <w:tab w:val="clear" w:pos="7200"/>
        <w:tab w:val="right" w:pos="7088"/>
      </w:tabs>
      <w:jc w:val="right"/>
      <w:rPr>
        <w:sz w:val="24"/>
      </w:rPr>
    </w:pPr>
    <w:r>
      <w:rPr>
        <w:i/>
      </w:rPr>
      <w:t>Adaptive</w:t>
    </w:r>
    <w:r w:rsidR="00FE2E33">
      <w:rPr>
        <w:i/>
      </w:rPr>
      <w:t xml:space="preserve"> Soft</w:t>
    </w:r>
    <w:r w:rsidR="006F025A">
      <w:rPr>
        <w:i/>
      </w:rPr>
      <w:t>-s</w:t>
    </w:r>
    <w:r w:rsidR="00FE2E33">
      <w:rPr>
        <w:i/>
      </w:rPr>
      <w:t>ensor for Sudden Changes in Process Characteristics</w:t>
    </w:r>
    <w:r w:rsidR="00DE0673">
      <w:rPr>
        <w:i/>
      </w:rPr>
      <w:t xml:space="preserve"> </w:t>
    </w:r>
    <w:r w:rsidR="00FE2E33">
      <w:rPr>
        <w:i/>
      </w:rPr>
      <w:t>Based on Transfer Learning</w:t>
    </w:r>
    <w:r>
      <w:rPr>
        <w:i/>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7CC"/>
    <w:multiLevelType w:val="multilevel"/>
    <w:tmpl w:val="5D1214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1"/>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31360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2D95"/>
    <w:rsid w:val="0005520C"/>
    <w:rsid w:val="000807C6"/>
    <w:rsid w:val="000C409D"/>
    <w:rsid w:val="000D18B9"/>
    <w:rsid w:val="000D3D9B"/>
    <w:rsid w:val="000E3674"/>
    <w:rsid w:val="000F105A"/>
    <w:rsid w:val="00111C28"/>
    <w:rsid w:val="001130EE"/>
    <w:rsid w:val="0011487C"/>
    <w:rsid w:val="00125261"/>
    <w:rsid w:val="0013095A"/>
    <w:rsid w:val="0013744D"/>
    <w:rsid w:val="001468B6"/>
    <w:rsid w:val="00156DB2"/>
    <w:rsid w:val="0016032F"/>
    <w:rsid w:val="00173060"/>
    <w:rsid w:val="00175821"/>
    <w:rsid w:val="001879F6"/>
    <w:rsid w:val="001A1D4C"/>
    <w:rsid w:val="001B57FF"/>
    <w:rsid w:val="001C0148"/>
    <w:rsid w:val="001C4304"/>
    <w:rsid w:val="001C757E"/>
    <w:rsid w:val="001F14EA"/>
    <w:rsid w:val="001F6944"/>
    <w:rsid w:val="0020390F"/>
    <w:rsid w:val="00210238"/>
    <w:rsid w:val="00216069"/>
    <w:rsid w:val="00236B96"/>
    <w:rsid w:val="00241751"/>
    <w:rsid w:val="00243FA8"/>
    <w:rsid w:val="00264926"/>
    <w:rsid w:val="00273ACD"/>
    <w:rsid w:val="00290656"/>
    <w:rsid w:val="002B6EB0"/>
    <w:rsid w:val="002C4D21"/>
    <w:rsid w:val="002E3679"/>
    <w:rsid w:val="003258BD"/>
    <w:rsid w:val="003503FF"/>
    <w:rsid w:val="00371E28"/>
    <w:rsid w:val="00385D95"/>
    <w:rsid w:val="003A748B"/>
    <w:rsid w:val="003B3448"/>
    <w:rsid w:val="003D1582"/>
    <w:rsid w:val="003D4869"/>
    <w:rsid w:val="003D7E4C"/>
    <w:rsid w:val="003E0D64"/>
    <w:rsid w:val="003E41C2"/>
    <w:rsid w:val="003F0D7C"/>
    <w:rsid w:val="004335A2"/>
    <w:rsid w:val="00433D37"/>
    <w:rsid w:val="0044513D"/>
    <w:rsid w:val="0045133F"/>
    <w:rsid w:val="00485880"/>
    <w:rsid w:val="00494981"/>
    <w:rsid w:val="004961E6"/>
    <w:rsid w:val="0049772C"/>
    <w:rsid w:val="004A02FF"/>
    <w:rsid w:val="004B2604"/>
    <w:rsid w:val="004C683C"/>
    <w:rsid w:val="004E4930"/>
    <w:rsid w:val="004E6A07"/>
    <w:rsid w:val="004F7166"/>
    <w:rsid w:val="00514BCD"/>
    <w:rsid w:val="0052008E"/>
    <w:rsid w:val="00537B05"/>
    <w:rsid w:val="00543393"/>
    <w:rsid w:val="00552EEB"/>
    <w:rsid w:val="00563E05"/>
    <w:rsid w:val="00581EFE"/>
    <w:rsid w:val="005D05BA"/>
    <w:rsid w:val="0061715C"/>
    <w:rsid w:val="00642045"/>
    <w:rsid w:val="00651DB5"/>
    <w:rsid w:val="00666BCD"/>
    <w:rsid w:val="0067247D"/>
    <w:rsid w:val="00693207"/>
    <w:rsid w:val="006A172B"/>
    <w:rsid w:val="006A69BF"/>
    <w:rsid w:val="006B1D25"/>
    <w:rsid w:val="006B2D21"/>
    <w:rsid w:val="006B4325"/>
    <w:rsid w:val="006B65F4"/>
    <w:rsid w:val="006B7932"/>
    <w:rsid w:val="006E0927"/>
    <w:rsid w:val="006F025A"/>
    <w:rsid w:val="007070DE"/>
    <w:rsid w:val="00711DF4"/>
    <w:rsid w:val="00712A15"/>
    <w:rsid w:val="007232BB"/>
    <w:rsid w:val="00732579"/>
    <w:rsid w:val="00746D30"/>
    <w:rsid w:val="0075155B"/>
    <w:rsid w:val="00760076"/>
    <w:rsid w:val="00771052"/>
    <w:rsid w:val="00773033"/>
    <w:rsid w:val="00776D9B"/>
    <w:rsid w:val="0078682A"/>
    <w:rsid w:val="00795E81"/>
    <w:rsid w:val="007A3184"/>
    <w:rsid w:val="007A5E0A"/>
    <w:rsid w:val="007C403C"/>
    <w:rsid w:val="007C4C38"/>
    <w:rsid w:val="007D70A1"/>
    <w:rsid w:val="00804705"/>
    <w:rsid w:val="008132E8"/>
    <w:rsid w:val="00816B39"/>
    <w:rsid w:val="00823407"/>
    <w:rsid w:val="00873E5F"/>
    <w:rsid w:val="008777CC"/>
    <w:rsid w:val="00887B30"/>
    <w:rsid w:val="0089553B"/>
    <w:rsid w:val="008A607B"/>
    <w:rsid w:val="008B0184"/>
    <w:rsid w:val="008C0C7F"/>
    <w:rsid w:val="008C5D02"/>
    <w:rsid w:val="008C6E59"/>
    <w:rsid w:val="008D2649"/>
    <w:rsid w:val="008E3660"/>
    <w:rsid w:val="008E5D8A"/>
    <w:rsid w:val="008F6E36"/>
    <w:rsid w:val="0090568D"/>
    <w:rsid w:val="00910C21"/>
    <w:rsid w:val="009125C9"/>
    <w:rsid w:val="00913879"/>
    <w:rsid w:val="00917661"/>
    <w:rsid w:val="00932A7C"/>
    <w:rsid w:val="00942E5D"/>
    <w:rsid w:val="0095047D"/>
    <w:rsid w:val="00961404"/>
    <w:rsid w:val="00963503"/>
    <w:rsid w:val="009636C0"/>
    <w:rsid w:val="00963DF6"/>
    <w:rsid w:val="00970E5D"/>
    <w:rsid w:val="00971EC4"/>
    <w:rsid w:val="0097701C"/>
    <w:rsid w:val="00980A65"/>
    <w:rsid w:val="00981C4F"/>
    <w:rsid w:val="00992DA4"/>
    <w:rsid w:val="009A51F7"/>
    <w:rsid w:val="009C7A7E"/>
    <w:rsid w:val="009E0B2E"/>
    <w:rsid w:val="009E5BA5"/>
    <w:rsid w:val="00A05169"/>
    <w:rsid w:val="00A25E70"/>
    <w:rsid w:val="00A33765"/>
    <w:rsid w:val="00A4764C"/>
    <w:rsid w:val="00A5610C"/>
    <w:rsid w:val="00A622BA"/>
    <w:rsid w:val="00A63269"/>
    <w:rsid w:val="00A6392E"/>
    <w:rsid w:val="00A75377"/>
    <w:rsid w:val="00A8382D"/>
    <w:rsid w:val="00A92377"/>
    <w:rsid w:val="00AA1B24"/>
    <w:rsid w:val="00AB29ED"/>
    <w:rsid w:val="00AB432A"/>
    <w:rsid w:val="00AC073C"/>
    <w:rsid w:val="00AC34B8"/>
    <w:rsid w:val="00AE4BD8"/>
    <w:rsid w:val="00AF3292"/>
    <w:rsid w:val="00AF5D80"/>
    <w:rsid w:val="00B15F25"/>
    <w:rsid w:val="00B353C9"/>
    <w:rsid w:val="00B4388F"/>
    <w:rsid w:val="00B514BC"/>
    <w:rsid w:val="00B556D8"/>
    <w:rsid w:val="00B63237"/>
    <w:rsid w:val="00B66FE1"/>
    <w:rsid w:val="00B67644"/>
    <w:rsid w:val="00B760B3"/>
    <w:rsid w:val="00B8417A"/>
    <w:rsid w:val="00BA53A6"/>
    <w:rsid w:val="00BB18F6"/>
    <w:rsid w:val="00BB4DB2"/>
    <w:rsid w:val="00BB53D7"/>
    <w:rsid w:val="00BC3714"/>
    <w:rsid w:val="00BC7AA7"/>
    <w:rsid w:val="00BF752F"/>
    <w:rsid w:val="00C146B5"/>
    <w:rsid w:val="00C53699"/>
    <w:rsid w:val="00C57AF9"/>
    <w:rsid w:val="00C84AC2"/>
    <w:rsid w:val="00C960DC"/>
    <w:rsid w:val="00CA71B3"/>
    <w:rsid w:val="00CC0568"/>
    <w:rsid w:val="00CD302B"/>
    <w:rsid w:val="00CD727A"/>
    <w:rsid w:val="00CE3422"/>
    <w:rsid w:val="00CF2BF8"/>
    <w:rsid w:val="00CF5AA7"/>
    <w:rsid w:val="00CF7B50"/>
    <w:rsid w:val="00D015E0"/>
    <w:rsid w:val="00D02C75"/>
    <w:rsid w:val="00D10E22"/>
    <w:rsid w:val="00D10F79"/>
    <w:rsid w:val="00D13D2C"/>
    <w:rsid w:val="00D1457C"/>
    <w:rsid w:val="00D307E5"/>
    <w:rsid w:val="00D77A86"/>
    <w:rsid w:val="00D826BC"/>
    <w:rsid w:val="00D87244"/>
    <w:rsid w:val="00DC2F94"/>
    <w:rsid w:val="00DC563F"/>
    <w:rsid w:val="00DD26CF"/>
    <w:rsid w:val="00DD3D9E"/>
    <w:rsid w:val="00DD7908"/>
    <w:rsid w:val="00DE0673"/>
    <w:rsid w:val="00E010B0"/>
    <w:rsid w:val="00E249B1"/>
    <w:rsid w:val="00E51906"/>
    <w:rsid w:val="00E57865"/>
    <w:rsid w:val="00E62551"/>
    <w:rsid w:val="00E63756"/>
    <w:rsid w:val="00E7054A"/>
    <w:rsid w:val="00E74142"/>
    <w:rsid w:val="00E82297"/>
    <w:rsid w:val="00E97017"/>
    <w:rsid w:val="00EA1137"/>
    <w:rsid w:val="00EA71BB"/>
    <w:rsid w:val="00ED78E3"/>
    <w:rsid w:val="00EE2690"/>
    <w:rsid w:val="00EE4896"/>
    <w:rsid w:val="00EF39FD"/>
    <w:rsid w:val="00EF4741"/>
    <w:rsid w:val="00F00899"/>
    <w:rsid w:val="00F00DE9"/>
    <w:rsid w:val="00F03EF3"/>
    <w:rsid w:val="00F06842"/>
    <w:rsid w:val="00F107FD"/>
    <w:rsid w:val="00F169C9"/>
    <w:rsid w:val="00F20C16"/>
    <w:rsid w:val="00F27163"/>
    <w:rsid w:val="00F73E27"/>
    <w:rsid w:val="00F83717"/>
    <w:rsid w:val="00F939A7"/>
    <w:rsid w:val="00FA5728"/>
    <w:rsid w:val="00FB64A8"/>
    <w:rsid w:val="00FB7B73"/>
    <w:rsid w:val="00FC4B47"/>
    <w:rsid w:val="00FE2E33"/>
    <w:rsid w:val="00FE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DE67F"/>
  <w14:defaultImageDpi w14:val="32767"/>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494981"/>
    <w:rPr>
      <w:color w:val="666666"/>
    </w:rPr>
  </w:style>
  <w:style w:type="table" w:styleId="af0">
    <w:name w:val="Table Grid"/>
    <w:basedOn w:val="a1"/>
    <w:rsid w:val="00C5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010B0"/>
    <w:rPr>
      <w:color w:val="605E5C"/>
      <w:shd w:val="clear" w:color="auto" w:fill="E1DFDD"/>
    </w:rPr>
  </w:style>
  <w:style w:type="paragraph" w:styleId="Web">
    <w:name w:val="Normal (Web)"/>
    <w:basedOn w:val="a"/>
    <w:uiPriority w:val="99"/>
    <w:semiHidden/>
    <w:unhideWhenUsed/>
    <w:rsid w:val="00B67644"/>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548">
      <w:bodyDiv w:val="1"/>
      <w:marLeft w:val="0"/>
      <w:marRight w:val="0"/>
      <w:marTop w:val="0"/>
      <w:marBottom w:val="0"/>
      <w:divBdr>
        <w:top w:val="none" w:sz="0" w:space="0" w:color="auto"/>
        <w:left w:val="none" w:sz="0" w:space="0" w:color="auto"/>
        <w:bottom w:val="none" w:sz="0" w:space="0" w:color="auto"/>
        <w:right w:val="none" w:sz="0" w:space="0" w:color="auto"/>
      </w:divBdr>
      <w:divsChild>
        <w:div w:id="1771928731">
          <w:marLeft w:val="0"/>
          <w:marRight w:val="0"/>
          <w:marTop w:val="0"/>
          <w:marBottom w:val="0"/>
          <w:divBdr>
            <w:top w:val="none" w:sz="0" w:space="0" w:color="auto"/>
            <w:left w:val="none" w:sz="0" w:space="0" w:color="auto"/>
            <w:bottom w:val="none" w:sz="0" w:space="0" w:color="auto"/>
            <w:right w:val="none" w:sz="0" w:space="0" w:color="auto"/>
          </w:divBdr>
          <w:divsChild>
            <w:div w:id="685593198">
              <w:marLeft w:val="0"/>
              <w:marRight w:val="0"/>
              <w:marTop w:val="0"/>
              <w:marBottom w:val="0"/>
              <w:divBdr>
                <w:top w:val="none" w:sz="0" w:space="0" w:color="auto"/>
                <w:left w:val="none" w:sz="0" w:space="0" w:color="auto"/>
                <w:bottom w:val="none" w:sz="0" w:space="0" w:color="auto"/>
                <w:right w:val="none" w:sz="0" w:space="0" w:color="auto"/>
              </w:divBdr>
              <w:divsChild>
                <w:div w:id="5350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1059">
      <w:bodyDiv w:val="1"/>
      <w:marLeft w:val="0"/>
      <w:marRight w:val="0"/>
      <w:marTop w:val="0"/>
      <w:marBottom w:val="0"/>
      <w:divBdr>
        <w:top w:val="none" w:sz="0" w:space="0" w:color="auto"/>
        <w:left w:val="none" w:sz="0" w:space="0" w:color="auto"/>
        <w:bottom w:val="none" w:sz="0" w:space="0" w:color="auto"/>
        <w:right w:val="none" w:sz="0" w:space="0" w:color="auto"/>
      </w:divBdr>
      <w:divsChild>
        <w:div w:id="1265110925">
          <w:marLeft w:val="0"/>
          <w:marRight w:val="0"/>
          <w:marTop w:val="0"/>
          <w:marBottom w:val="0"/>
          <w:divBdr>
            <w:top w:val="none" w:sz="0" w:space="0" w:color="auto"/>
            <w:left w:val="none" w:sz="0" w:space="0" w:color="auto"/>
            <w:bottom w:val="none" w:sz="0" w:space="0" w:color="auto"/>
            <w:right w:val="none" w:sz="0" w:space="0" w:color="auto"/>
          </w:divBdr>
          <w:divsChild>
            <w:div w:id="610282464">
              <w:marLeft w:val="0"/>
              <w:marRight w:val="0"/>
              <w:marTop w:val="0"/>
              <w:marBottom w:val="0"/>
              <w:divBdr>
                <w:top w:val="none" w:sz="0" w:space="0" w:color="auto"/>
                <w:left w:val="none" w:sz="0" w:space="0" w:color="auto"/>
                <w:bottom w:val="none" w:sz="0" w:space="0" w:color="auto"/>
                <w:right w:val="none" w:sz="0" w:space="0" w:color="auto"/>
              </w:divBdr>
              <w:divsChild>
                <w:div w:id="6899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2264">
      <w:bodyDiv w:val="1"/>
      <w:marLeft w:val="0"/>
      <w:marRight w:val="0"/>
      <w:marTop w:val="0"/>
      <w:marBottom w:val="0"/>
      <w:divBdr>
        <w:top w:val="none" w:sz="0" w:space="0" w:color="auto"/>
        <w:left w:val="none" w:sz="0" w:space="0" w:color="auto"/>
        <w:bottom w:val="none" w:sz="0" w:space="0" w:color="auto"/>
        <w:right w:val="none" w:sz="0" w:space="0" w:color="auto"/>
      </w:divBdr>
      <w:divsChild>
        <w:div w:id="367990964">
          <w:marLeft w:val="0"/>
          <w:marRight w:val="0"/>
          <w:marTop w:val="0"/>
          <w:marBottom w:val="0"/>
          <w:divBdr>
            <w:top w:val="none" w:sz="0" w:space="0" w:color="auto"/>
            <w:left w:val="none" w:sz="0" w:space="0" w:color="auto"/>
            <w:bottom w:val="none" w:sz="0" w:space="0" w:color="auto"/>
            <w:right w:val="none" w:sz="0" w:space="0" w:color="auto"/>
          </w:divBdr>
          <w:divsChild>
            <w:div w:id="315688230">
              <w:marLeft w:val="0"/>
              <w:marRight w:val="0"/>
              <w:marTop w:val="0"/>
              <w:marBottom w:val="0"/>
              <w:divBdr>
                <w:top w:val="none" w:sz="0" w:space="0" w:color="auto"/>
                <w:left w:val="none" w:sz="0" w:space="0" w:color="auto"/>
                <w:bottom w:val="none" w:sz="0" w:space="0" w:color="auto"/>
                <w:right w:val="none" w:sz="0" w:space="0" w:color="auto"/>
              </w:divBdr>
              <w:divsChild>
                <w:div w:id="8453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354485">
          <w:marLeft w:val="0"/>
          <w:marRight w:val="0"/>
          <w:marTop w:val="0"/>
          <w:marBottom w:val="0"/>
          <w:divBdr>
            <w:top w:val="none" w:sz="0" w:space="0" w:color="auto"/>
            <w:left w:val="none" w:sz="0" w:space="0" w:color="auto"/>
            <w:bottom w:val="none" w:sz="0" w:space="0" w:color="auto"/>
            <w:right w:val="none" w:sz="0" w:space="0" w:color="auto"/>
          </w:divBdr>
          <w:divsChild>
            <w:div w:id="966155609">
              <w:marLeft w:val="0"/>
              <w:marRight w:val="0"/>
              <w:marTop w:val="0"/>
              <w:marBottom w:val="0"/>
              <w:divBdr>
                <w:top w:val="none" w:sz="0" w:space="0" w:color="auto"/>
                <w:left w:val="none" w:sz="0" w:space="0" w:color="auto"/>
                <w:bottom w:val="none" w:sz="0" w:space="0" w:color="auto"/>
                <w:right w:val="none" w:sz="0" w:space="0" w:color="auto"/>
              </w:divBdr>
              <w:divsChild>
                <w:div w:id="10990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227">
      <w:bodyDiv w:val="1"/>
      <w:marLeft w:val="0"/>
      <w:marRight w:val="0"/>
      <w:marTop w:val="0"/>
      <w:marBottom w:val="0"/>
      <w:divBdr>
        <w:top w:val="none" w:sz="0" w:space="0" w:color="auto"/>
        <w:left w:val="none" w:sz="0" w:space="0" w:color="auto"/>
        <w:bottom w:val="none" w:sz="0" w:space="0" w:color="auto"/>
        <w:right w:val="none" w:sz="0" w:space="0" w:color="auto"/>
      </w:divBdr>
      <w:divsChild>
        <w:div w:id="1330863376">
          <w:marLeft w:val="0"/>
          <w:marRight w:val="0"/>
          <w:marTop w:val="0"/>
          <w:marBottom w:val="0"/>
          <w:divBdr>
            <w:top w:val="none" w:sz="0" w:space="0" w:color="auto"/>
            <w:left w:val="none" w:sz="0" w:space="0" w:color="auto"/>
            <w:bottom w:val="none" w:sz="0" w:space="0" w:color="auto"/>
            <w:right w:val="none" w:sz="0" w:space="0" w:color="auto"/>
          </w:divBdr>
          <w:divsChild>
            <w:div w:id="6368508">
              <w:marLeft w:val="0"/>
              <w:marRight w:val="0"/>
              <w:marTop w:val="0"/>
              <w:marBottom w:val="0"/>
              <w:divBdr>
                <w:top w:val="none" w:sz="0" w:space="0" w:color="auto"/>
                <w:left w:val="none" w:sz="0" w:space="0" w:color="auto"/>
                <w:bottom w:val="none" w:sz="0" w:space="0" w:color="auto"/>
                <w:right w:val="none" w:sz="0" w:space="0" w:color="auto"/>
              </w:divBdr>
              <w:divsChild>
                <w:div w:id="144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28944">
      <w:bodyDiv w:val="1"/>
      <w:marLeft w:val="0"/>
      <w:marRight w:val="0"/>
      <w:marTop w:val="0"/>
      <w:marBottom w:val="0"/>
      <w:divBdr>
        <w:top w:val="none" w:sz="0" w:space="0" w:color="auto"/>
        <w:left w:val="none" w:sz="0" w:space="0" w:color="auto"/>
        <w:bottom w:val="none" w:sz="0" w:space="0" w:color="auto"/>
        <w:right w:val="none" w:sz="0" w:space="0" w:color="auto"/>
      </w:divBdr>
      <w:divsChild>
        <w:div w:id="439027734">
          <w:marLeft w:val="0"/>
          <w:marRight w:val="0"/>
          <w:marTop w:val="0"/>
          <w:marBottom w:val="0"/>
          <w:divBdr>
            <w:top w:val="none" w:sz="0" w:space="0" w:color="auto"/>
            <w:left w:val="none" w:sz="0" w:space="0" w:color="auto"/>
            <w:bottom w:val="none" w:sz="0" w:space="0" w:color="auto"/>
            <w:right w:val="none" w:sz="0" w:space="0" w:color="auto"/>
          </w:divBdr>
          <w:divsChild>
            <w:div w:id="250504463">
              <w:marLeft w:val="0"/>
              <w:marRight w:val="0"/>
              <w:marTop w:val="0"/>
              <w:marBottom w:val="0"/>
              <w:divBdr>
                <w:top w:val="none" w:sz="0" w:space="0" w:color="auto"/>
                <w:left w:val="none" w:sz="0" w:space="0" w:color="auto"/>
                <w:bottom w:val="none" w:sz="0" w:space="0" w:color="auto"/>
                <w:right w:val="none" w:sz="0" w:space="0" w:color="auto"/>
              </w:divBdr>
              <w:divsChild>
                <w:div w:id="7168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6171">
      <w:bodyDiv w:val="1"/>
      <w:marLeft w:val="0"/>
      <w:marRight w:val="0"/>
      <w:marTop w:val="0"/>
      <w:marBottom w:val="0"/>
      <w:divBdr>
        <w:top w:val="none" w:sz="0" w:space="0" w:color="auto"/>
        <w:left w:val="none" w:sz="0" w:space="0" w:color="auto"/>
        <w:bottom w:val="none" w:sz="0" w:space="0" w:color="auto"/>
        <w:right w:val="none" w:sz="0" w:space="0" w:color="auto"/>
      </w:divBdr>
      <w:divsChild>
        <w:div w:id="621544674">
          <w:marLeft w:val="0"/>
          <w:marRight w:val="0"/>
          <w:marTop w:val="0"/>
          <w:marBottom w:val="0"/>
          <w:divBdr>
            <w:top w:val="none" w:sz="0" w:space="0" w:color="auto"/>
            <w:left w:val="none" w:sz="0" w:space="0" w:color="auto"/>
            <w:bottom w:val="none" w:sz="0" w:space="0" w:color="auto"/>
            <w:right w:val="none" w:sz="0" w:space="0" w:color="auto"/>
          </w:divBdr>
          <w:divsChild>
            <w:div w:id="1325932150">
              <w:marLeft w:val="0"/>
              <w:marRight w:val="0"/>
              <w:marTop w:val="0"/>
              <w:marBottom w:val="0"/>
              <w:divBdr>
                <w:top w:val="none" w:sz="0" w:space="0" w:color="auto"/>
                <w:left w:val="none" w:sz="0" w:space="0" w:color="auto"/>
                <w:bottom w:val="none" w:sz="0" w:space="0" w:color="auto"/>
                <w:right w:val="none" w:sz="0" w:space="0" w:color="auto"/>
              </w:divBdr>
              <w:divsChild>
                <w:div w:id="10666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0780">
      <w:bodyDiv w:val="1"/>
      <w:marLeft w:val="0"/>
      <w:marRight w:val="0"/>
      <w:marTop w:val="0"/>
      <w:marBottom w:val="0"/>
      <w:divBdr>
        <w:top w:val="none" w:sz="0" w:space="0" w:color="auto"/>
        <w:left w:val="none" w:sz="0" w:space="0" w:color="auto"/>
        <w:bottom w:val="none" w:sz="0" w:space="0" w:color="auto"/>
        <w:right w:val="none" w:sz="0" w:space="0" w:color="auto"/>
      </w:divBdr>
      <w:divsChild>
        <w:div w:id="1385251023">
          <w:marLeft w:val="0"/>
          <w:marRight w:val="0"/>
          <w:marTop w:val="0"/>
          <w:marBottom w:val="0"/>
          <w:divBdr>
            <w:top w:val="none" w:sz="0" w:space="0" w:color="auto"/>
            <w:left w:val="none" w:sz="0" w:space="0" w:color="auto"/>
            <w:bottom w:val="none" w:sz="0" w:space="0" w:color="auto"/>
            <w:right w:val="none" w:sz="0" w:space="0" w:color="auto"/>
          </w:divBdr>
          <w:divsChild>
            <w:div w:id="991983243">
              <w:marLeft w:val="0"/>
              <w:marRight w:val="0"/>
              <w:marTop w:val="0"/>
              <w:marBottom w:val="0"/>
              <w:divBdr>
                <w:top w:val="none" w:sz="0" w:space="0" w:color="auto"/>
                <w:left w:val="none" w:sz="0" w:space="0" w:color="auto"/>
                <w:bottom w:val="none" w:sz="0" w:space="0" w:color="auto"/>
                <w:right w:val="none" w:sz="0" w:space="0" w:color="auto"/>
              </w:divBdr>
              <w:divsChild>
                <w:div w:id="3149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5009">
      <w:bodyDiv w:val="1"/>
      <w:marLeft w:val="0"/>
      <w:marRight w:val="0"/>
      <w:marTop w:val="0"/>
      <w:marBottom w:val="0"/>
      <w:divBdr>
        <w:top w:val="none" w:sz="0" w:space="0" w:color="auto"/>
        <w:left w:val="none" w:sz="0" w:space="0" w:color="auto"/>
        <w:bottom w:val="none" w:sz="0" w:space="0" w:color="auto"/>
        <w:right w:val="none" w:sz="0" w:space="0" w:color="auto"/>
      </w:divBdr>
      <w:divsChild>
        <w:div w:id="1595239694">
          <w:marLeft w:val="0"/>
          <w:marRight w:val="0"/>
          <w:marTop w:val="0"/>
          <w:marBottom w:val="0"/>
          <w:divBdr>
            <w:top w:val="none" w:sz="0" w:space="0" w:color="auto"/>
            <w:left w:val="none" w:sz="0" w:space="0" w:color="auto"/>
            <w:bottom w:val="none" w:sz="0" w:space="0" w:color="auto"/>
            <w:right w:val="none" w:sz="0" w:space="0" w:color="auto"/>
          </w:divBdr>
          <w:divsChild>
            <w:div w:id="999965783">
              <w:marLeft w:val="0"/>
              <w:marRight w:val="0"/>
              <w:marTop w:val="0"/>
              <w:marBottom w:val="0"/>
              <w:divBdr>
                <w:top w:val="none" w:sz="0" w:space="0" w:color="auto"/>
                <w:left w:val="none" w:sz="0" w:space="0" w:color="auto"/>
                <w:bottom w:val="none" w:sz="0" w:space="0" w:color="auto"/>
                <w:right w:val="none" w:sz="0" w:space="0" w:color="auto"/>
              </w:divBdr>
              <w:divsChild>
                <w:div w:id="20807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5556">
      <w:bodyDiv w:val="1"/>
      <w:marLeft w:val="0"/>
      <w:marRight w:val="0"/>
      <w:marTop w:val="0"/>
      <w:marBottom w:val="0"/>
      <w:divBdr>
        <w:top w:val="none" w:sz="0" w:space="0" w:color="auto"/>
        <w:left w:val="none" w:sz="0" w:space="0" w:color="auto"/>
        <w:bottom w:val="none" w:sz="0" w:space="0" w:color="auto"/>
        <w:right w:val="none" w:sz="0" w:space="0" w:color="auto"/>
      </w:divBdr>
      <w:divsChild>
        <w:div w:id="1330795308">
          <w:marLeft w:val="0"/>
          <w:marRight w:val="0"/>
          <w:marTop w:val="0"/>
          <w:marBottom w:val="0"/>
          <w:divBdr>
            <w:top w:val="none" w:sz="0" w:space="0" w:color="auto"/>
            <w:left w:val="none" w:sz="0" w:space="0" w:color="auto"/>
            <w:bottom w:val="none" w:sz="0" w:space="0" w:color="auto"/>
            <w:right w:val="none" w:sz="0" w:space="0" w:color="auto"/>
          </w:divBdr>
          <w:divsChild>
            <w:div w:id="1759709804">
              <w:marLeft w:val="0"/>
              <w:marRight w:val="0"/>
              <w:marTop w:val="0"/>
              <w:marBottom w:val="0"/>
              <w:divBdr>
                <w:top w:val="none" w:sz="0" w:space="0" w:color="auto"/>
                <w:left w:val="none" w:sz="0" w:space="0" w:color="auto"/>
                <w:bottom w:val="none" w:sz="0" w:space="0" w:color="auto"/>
                <w:right w:val="none" w:sz="0" w:space="0" w:color="auto"/>
              </w:divBdr>
              <w:divsChild>
                <w:div w:id="8762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212</TotalTime>
  <Pages>6</Pages>
  <Words>2741</Words>
  <Characters>15629</Characters>
  <Application>Microsoft Office Word</Application>
  <DocSecurity>0</DocSecurity>
  <Lines>130</Lines>
  <Paragraphs>36</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Kaito KATAYAMA</cp:lastModifiedBy>
  <cp:revision>51</cp:revision>
  <cp:lastPrinted>2023-11-23T06:59:00Z</cp:lastPrinted>
  <dcterms:created xsi:type="dcterms:W3CDTF">2023-11-23T07:08:00Z</dcterms:created>
  <dcterms:modified xsi:type="dcterms:W3CDTF">2023-11-27T12:27:00Z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