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30C7AFEE" w:rsidR="00DD3D9E" w:rsidRPr="00CE200B" w:rsidRDefault="00CE200B" w:rsidP="00CE200B">
      <w:pPr>
        <w:pStyle w:val="Els-Title"/>
        <w:rPr>
          <w:color w:val="000000" w:themeColor="text1"/>
          <w:lang w:val="en-GB"/>
        </w:rPr>
      </w:pPr>
      <w:r w:rsidRPr="00CE200B">
        <w:rPr>
          <w:color w:val="000000" w:themeColor="text1"/>
          <w:lang w:val="en-GB"/>
        </w:rPr>
        <w:t>The assessment of LNG export scenarios for Qatar in the European Gas Market</w:t>
      </w:r>
    </w:p>
    <w:p w14:paraId="65463F99" w14:textId="77777777" w:rsidR="00CE200B" w:rsidRPr="00EB2A9A" w:rsidRDefault="00CE200B" w:rsidP="00CE200B">
      <w:pPr>
        <w:pStyle w:val="Els-Affiliation"/>
        <w:rPr>
          <w:i w:val="0"/>
          <w:sz w:val="22"/>
        </w:rPr>
      </w:pPr>
      <w:r w:rsidRPr="00EB2A9A">
        <w:rPr>
          <w:i w:val="0"/>
          <w:sz w:val="22"/>
        </w:rPr>
        <w:t xml:space="preserve">Majed M. </w:t>
      </w:r>
      <w:r>
        <w:rPr>
          <w:i w:val="0"/>
          <w:sz w:val="22"/>
        </w:rPr>
        <w:t>A. Munasser</w:t>
      </w:r>
      <w:r w:rsidRPr="00EB2A9A">
        <w:rPr>
          <w:i w:val="0"/>
          <w:sz w:val="22"/>
          <w:vertAlign w:val="superscript"/>
        </w:rPr>
        <w:t>a</w:t>
      </w:r>
      <w:r>
        <w:rPr>
          <w:i w:val="0"/>
          <w:sz w:val="22"/>
        </w:rPr>
        <w:t>, Sabla Y. Alnouri</w:t>
      </w:r>
      <w:r w:rsidRPr="00EB2A9A">
        <w:rPr>
          <w:i w:val="0"/>
          <w:sz w:val="22"/>
          <w:vertAlign w:val="superscript"/>
        </w:rPr>
        <w:t>a</w:t>
      </w:r>
      <w:r w:rsidRPr="00EB2A9A">
        <w:rPr>
          <w:i w:val="0"/>
          <w:sz w:val="22"/>
        </w:rPr>
        <w:t xml:space="preserve"> and Abdelbaki Benamor </w:t>
      </w:r>
      <w:r w:rsidRPr="00EB2A9A">
        <w:rPr>
          <w:i w:val="0"/>
          <w:sz w:val="22"/>
          <w:vertAlign w:val="superscript"/>
        </w:rPr>
        <w:t>a,b</w:t>
      </w:r>
    </w:p>
    <w:p w14:paraId="5302AF11" w14:textId="77777777" w:rsidR="00CE200B" w:rsidRDefault="00CE200B" w:rsidP="00CE200B">
      <w:pPr>
        <w:pStyle w:val="Els-Affiliation"/>
      </w:pPr>
      <w:r>
        <w:rPr>
          <w:vertAlign w:val="superscript"/>
        </w:rPr>
        <w:t>a</w:t>
      </w:r>
      <w:r>
        <w:t>Gas Processing Center, College of Engineering, Qatar University, Doha, Qatar</w:t>
      </w:r>
    </w:p>
    <w:p w14:paraId="2902FAE4" w14:textId="77777777" w:rsidR="00CE200B" w:rsidRDefault="00CE200B" w:rsidP="00CE200B">
      <w:pPr>
        <w:pStyle w:val="Els-Affiliation"/>
      </w:pPr>
      <w:r>
        <w:rPr>
          <w:vertAlign w:val="superscript"/>
        </w:rPr>
        <w:t>b</w:t>
      </w:r>
      <w:r w:rsidRPr="00EB2A9A">
        <w:rPr>
          <w:lang w:val="en-US"/>
        </w:rPr>
        <w:t>Department of Chemical Engineering, College of Engineering, Qatar University, P.O. Box 2713, Doha, Qatar</w:t>
      </w:r>
    </w:p>
    <w:p w14:paraId="725FBCE4" w14:textId="77777777" w:rsidR="00CE200B" w:rsidRDefault="00CE200B" w:rsidP="00CE200B">
      <w:pPr>
        <w:pStyle w:val="Els-Affiliation"/>
      </w:pPr>
      <w:r>
        <w:t>sabla@qu.edu.qa</w:t>
      </w:r>
    </w:p>
    <w:p w14:paraId="5DDE5C48" w14:textId="77777777" w:rsidR="00CE200B" w:rsidRDefault="00CE200B" w:rsidP="00CE200B">
      <w:pPr>
        <w:pStyle w:val="Els-Abstract"/>
      </w:pPr>
      <w:r>
        <w:t>Abstract</w:t>
      </w:r>
    </w:p>
    <w:p w14:paraId="36870DE6" w14:textId="4CB454DA" w:rsidR="00CE200B" w:rsidRPr="00EB2A9A" w:rsidRDefault="00CE200B" w:rsidP="00F60162">
      <w:pPr>
        <w:pStyle w:val="Els-referenceno-number"/>
        <w:ind w:left="0" w:firstLine="0"/>
        <w:jc w:val="both"/>
        <w:rPr>
          <w:sz w:val="20"/>
        </w:rPr>
      </w:pPr>
      <w:r w:rsidRPr="00EB2A9A">
        <w:rPr>
          <w:sz w:val="20"/>
        </w:rPr>
        <w:t>The growing energy demand in Europe, combined with strained political relations with Russia due to the ongoing Ukrainian conflict, has prompted the European continent to seek alternative energy sources and reduce its dependence on Russian natural gas imports in the coming years. This need for diversification has become even more critical following disruptions to the pair of offshore pipelines, Nord Streams 1 and 2, which traverse the Baltic Sea and connect Russia to Germany. Therefore, it is imperative to conduct an in-depth analysis of the current situation in the EU to identify viable future strategies for diversifying its gas imports.</w:t>
      </w:r>
      <w:r>
        <w:rPr>
          <w:sz w:val="20"/>
        </w:rPr>
        <w:t xml:space="preserve"> </w:t>
      </w:r>
      <w:r w:rsidRPr="00EB2A9A">
        <w:rPr>
          <w:sz w:val="20"/>
        </w:rPr>
        <w:t xml:space="preserve">This paper </w:t>
      </w:r>
      <w:r>
        <w:rPr>
          <w:sz w:val="20"/>
        </w:rPr>
        <w:t>examines</w:t>
      </w:r>
      <w:r w:rsidRPr="00EB2A9A">
        <w:rPr>
          <w:sz w:val="20"/>
        </w:rPr>
        <w:t xml:space="preserve"> the current state of the LNG market in Europe and identifies the primary gas suppliers and importers in the European gas market. </w:t>
      </w:r>
      <w:r>
        <w:rPr>
          <w:sz w:val="20"/>
        </w:rPr>
        <w:t>Based on this</w:t>
      </w:r>
      <w:r w:rsidRPr="00EB2A9A">
        <w:rPr>
          <w:sz w:val="20"/>
        </w:rPr>
        <w:t xml:space="preserve">, </w:t>
      </w:r>
      <w:r>
        <w:rPr>
          <w:sz w:val="20"/>
        </w:rPr>
        <w:t>a diversification plan</w:t>
      </w:r>
      <w:r w:rsidRPr="00EB2A9A">
        <w:rPr>
          <w:sz w:val="20"/>
        </w:rPr>
        <w:t xml:space="preserve"> which entails the EU establishing competitive, long-term gas import opportunities with Qatar</w:t>
      </w:r>
      <w:r>
        <w:rPr>
          <w:sz w:val="20"/>
        </w:rPr>
        <w:t xml:space="preserve"> is presented</w:t>
      </w:r>
      <w:r w:rsidRPr="00EB2A9A">
        <w:rPr>
          <w:sz w:val="20"/>
        </w:rPr>
        <w:t>. There are multiple avenues through which Qatar can expand its LNG trade contracts with the EU, involving various routes. To determine the most optimal routes for natural gas exports, a Linear Program (LP) mathematical model</w:t>
      </w:r>
      <w:r>
        <w:rPr>
          <w:sz w:val="20"/>
        </w:rPr>
        <w:t xml:space="preserve"> was utilized</w:t>
      </w:r>
      <w:r w:rsidRPr="00EB2A9A">
        <w:rPr>
          <w:sz w:val="20"/>
        </w:rPr>
        <w:t xml:space="preserve">. This model assists in </w:t>
      </w:r>
      <w:r>
        <w:rPr>
          <w:sz w:val="20"/>
        </w:rPr>
        <w:t xml:space="preserve">choosing </w:t>
      </w:r>
      <w:r w:rsidRPr="00EB2A9A">
        <w:rPr>
          <w:sz w:val="20"/>
        </w:rPr>
        <w:t>the best LNG export scenarios from Qatar to Europe, taking into account factors such as shipping logistics, European regasification terminals, and the existing network of pipelines for gas distribution throughout the European continent. The primary pipelines considered in this study for distribution are assumed to be under the operation of the European Network of Transmission System Operators for Gas (ENSTOG).</w:t>
      </w:r>
      <w:r>
        <w:rPr>
          <w:sz w:val="20"/>
        </w:rPr>
        <w:t xml:space="preserve"> Hence, </w:t>
      </w:r>
      <w:r w:rsidRPr="00EB2A9A">
        <w:rPr>
          <w:sz w:val="20"/>
        </w:rPr>
        <w:t xml:space="preserve">multiple LNG shipping routes from Qatar to Europe in conjunction with major European regasification facilities </w:t>
      </w:r>
      <w:r>
        <w:rPr>
          <w:sz w:val="20"/>
        </w:rPr>
        <w:t>were explored</w:t>
      </w:r>
      <w:r w:rsidRPr="00EB2A9A">
        <w:rPr>
          <w:sz w:val="20"/>
        </w:rPr>
        <w:t xml:space="preserve">, followed by a distribution plan utilizing ENSTOG's pipeline infrastructure. </w:t>
      </w:r>
      <w:r>
        <w:rPr>
          <w:sz w:val="20"/>
        </w:rPr>
        <w:t>Th</w:t>
      </w:r>
      <w:r w:rsidRPr="00EB2A9A">
        <w:rPr>
          <w:sz w:val="20"/>
        </w:rPr>
        <w:t xml:space="preserve">e economic viability of the proposed export scenarios </w:t>
      </w:r>
      <w:r>
        <w:rPr>
          <w:sz w:val="20"/>
        </w:rPr>
        <w:t xml:space="preserve">was assessed </w:t>
      </w:r>
      <w:r w:rsidRPr="00EB2A9A">
        <w:rPr>
          <w:sz w:val="20"/>
        </w:rPr>
        <w:t xml:space="preserve">by incorporating several economic factors into the model's objective function. </w:t>
      </w:r>
      <w:r>
        <w:rPr>
          <w:sz w:val="20"/>
        </w:rPr>
        <w:t>As such, several case studies for</w:t>
      </w:r>
      <w:r w:rsidRPr="00EB2A9A">
        <w:rPr>
          <w:sz w:val="20"/>
        </w:rPr>
        <w:t xml:space="preserve"> LNG export from Qatar to Europe</w:t>
      </w:r>
      <w:r w:rsidR="009150D0">
        <w:rPr>
          <w:sz w:val="20"/>
        </w:rPr>
        <w:t xml:space="preserve"> </w:t>
      </w:r>
      <w:r>
        <w:rPr>
          <w:sz w:val="20"/>
        </w:rPr>
        <w:t>were studied</w:t>
      </w:r>
      <w:r w:rsidRPr="00EB2A9A">
        <w:rPr>
          <w:sz w:val="20"/>
        </w:rPr>
        <w:t xml:space="preserve">, </w:t>
      </w:r>
      <w:r>
        <w:rPr>
          <w:sz w:val="20"/>
        </w:rPr>
        <w:t xml:space="preserve">by identifying </w:t>
      </w:r>
      <w:r w:rsidRPr="00EB2A9A">
        <w:rPr>
          <w:sz w:val="20"/>
        </w:rPr>
        <w:t>the most efficient routes for shipping, regasification, and distribution using Europe's existing pipeline infrastructure.</w:t>
      </w:r>
      <w:r>
        <w:rPr>
          <w:sz w:val="20"/>
        </w:rPr>
        <w:t xml:space="preserve"> </w:t>
      </w:r>
      <w:r w:rsidRPr="00EB2A9A">
        <w:rPr>
          <w:sz w:val="20"/>
        </w:rPr>
        <w:t>Additionally, introducing regasification routes through intermediary countries, such as Turkey</w:t>
      </w:r>
      <w:r>
        <w:rPr>
          <w:sz w:val="20"/>
        </w:rPr>
        <w:t>, was also studied</w:t>
      </w:r>
      <w:r w:rsidRPr="00EB2A9A">
        <w:rPr>
          <w:sz w:val="20"/>
        </w:rPr>
        <w:t>.</w:t>
      </w:r>
      <w:r w:rsidR="00F60162" w:rsidRPr="00F60162">
        <w:rPr>
          <w:noProof w:val="0"/>
          <w:sz w:val="20"/>
        </w:rPr>
        <w:t xml:space="preserve"> </w:t>
      </w:r>
      <w:r w:rsidR="00F60162" w:rsidRPr="00F60162">
        <w:rPr>
          <w:sz w:val="20"/>
        </w:rPr>
        <w:br/>
      </w:r>
      <w:r w:rsidR="00F60162">
        <w:rPr>
          <w:sz w:val="20"/>
        </w:rPr>
        <w:t xml:space="preserve">The results </w:t>
      </w:r>
      <w:r w:rsidR="00F60162" w:rsidRPr="00F60162">
        <w:rPr>
          <w:sz w:val="20"/>
        </w:rPr>
        <w:t>suggest that Qatar has the capacity to meet up to a 50% disruption in Russian gas supplies to the European Union</w:t>
      </w:r>
      <w:r w:rsidRPr="00EB2A9A">
        <w:rPr>
          <w:sz w:val="20"/>
        </w:rPr>
        <w:t xml:space="preserve"> </w:t>
      </w:r>
    </w:p>
    <w:p w14:paraId="762CFEED" w14:textId="77777777" w:rsidR="00CE200B" w:rsidRPr="00EB2A9A" w:rsidRDefault="00CE200B" w:rsidP="00CE200B">
      <w:pPr>
        <w:pStyle w:val="Els-referenceno-number"/>
      </w:pPr>
    </w:p>
    <w:p w14:paraId="373CCA27" w14:textId="77777777" w:rsidR="00CE200B" w:rsidRDefault="00CE200B" w:rsidP="00CE200B">
      <w:pPr>
        <w:pStyle w:val="Els-referenceno-number"/>
        <w:ind w:left="0" w:firstLine="0"/>
        <w:rPr>
          <w:sz w:val="20"/>
          <w:szCs w:val="22"/>
          <w:lang w:val="en-US"/>
        </w:rPr>
      </w:pPr>
      <w:r w:rsidRPr="00ED512A">
        <w:rPr>
          <w:b/>
          <w:bCs/>
          <w:sz w:val="20"/>
          <w:szCs w:val="22"/>
          <w:lang w:val="en-US"/>
        </w:rPr>
        <w:t>Keywords:</w:t>
      </w:r>
      <w:r w:rsidRPr="004A2F9E">
        <w:rPr>
          <w:sz w:val="20"/>
          <w:szCs w:val="22"/>
          <w:lang w:val="en-US"/>
        </w:rPr>
        <w:t xml:space="preserve"> </w:t>
      </w:r>
      <w:r>
        <w:rPr>
          <w:sz w:val="20"/>
          <w:szCs w:val="22"/>
          <w:lang w:val="en-US"/>
        </w:rPr>
        <w:t>LNG; Europe; Qatar; Regsification; Pipeline</w:t>
      </w:r>
    </w:p>
    <w:p w14:paraId="3223FDFB" w14:textId="77777777" w:rsidR="00CE200B" w:rsidRPr="00F4005A" w:rsidRDefault="00CE200B" w:rsidP="00CE200B">
      <w:pPr>
        <w:pStyle w:val="Els-referenceno-number"/>
        <w:spacing w:before="240" w:after="240"/>
        <w:ind w:left="0" w:firstLine="0"/>
        <w:rPr>
          <w:b/>
          <w:bCs/>
          <w:sz w:val="20"/>
          <w:szCs w:val="22"/>
          <w:lang w:val="en-US"/>
        </w:rPr>
      </w:pPr>
      <w:r>
        <w:rPr>
          <w:b/>
          <w:bCs/>
          <w:sz w:val="22"/>
          <w:szCs w:val="24"/>
          <w:lang w:val="en-US"/>
        </w:rPr>
        <w:t xml:space="preserve">1. </w:t>
      </w:r>
      <w:r w:rsidRPr="008F10CB">
        <w:rPr>
          <w:b/>
          <w:bCs/>
          <w:sz w:val="22"/>
          <w:szCs w:val="24"/>
          <w:lang w:val="en-US"/>
        </w:rPr>
        <w:t>Introduction</w:t>
      </w:r>
    </w:p>
    <w:p w14:paraId="29D3486C" w14:textId="11862E35" w:rsidR="00CE200B" w:rsidRDefault="00CE200B" w:rsidP="00DF21CA">
      <w:pPr>
        <w:pStyle w:val="Els-referenceno-number"/>
        <w:spacing w:before="240" w:after="240"/>
        <w:ind w:left="0" w:firstLine="0"/>
        <w:jc w:val="both"/>
        <w:rPr>
          <w:sz w:val="20"/>
          <w:szCs w:val="22"/>
          <w:lang w:val="en-US"/>
        </w:rPr>
      </w:pPr>
      <w:r w:rsidRPr="007B1A1E">
        <w:rPr>
          <w:sz w:val="20"/>
          <w:szCs w:val="22"/>
          <w:lang w:val="en-US"/>
        </w:rPr>
        <w:t xml:space="preserve">As the global energy landscape undergoes a transformation, securing a consistent supply of natural gas has become increasingly vital. According to estimates from the International Energy Agency (IEA), natural gas currently contributes to 25% of the </w:t>
      </w:r>
      <w:r w:rsidRPr="007B1A1E">
        <w:rPr>
          <w:sz w:val="20"/>
          <w:szCs w:val="22"/>
          <w:lang w:val="en-US"/>
        </w:rPr>
        <w:lastRenderedPageBreak/>
        <w:t>world's electricity generation and accounts for 22% of global energy consumption</w:t>
      </w:r>
      <w:r w:rsidR="00C95518">
        <w:rPr>
          <w:sz w:val="20"/>
          <w:szCs w:val="22"/>
          <w:lang w:val="en-US"/>
        </w:rPr>
        <w:t xml:space="preserve"> (</w:t>
      </w:r>
      <w:r w:rsidR="00647058">
        <w:rPr>
          <w:sz w:val="20"/>
          <w:szCs w:val="22"/>
        </w:rPr>
        <w:t>IEA, 2022</w:t>
      </w:r>
      <w:r w:rsidR="00C95518">
        <w:rPr>
          <w:sz w:val="20"/>
          <w:szCs w:val="22"/>
        </w:rPr>
        <w:t>)</w:t>
      </w:r>
      <w:r w:rsidRPr="007B1A1E">
        <w:rPr>
          <w:sz w:val="20"/>
          <w:szCs w:val="22"/>
          <w:lang w:val="en-US"/>
        </w:rPr>
        <w:t>.</w:t>
      </w:r>
      <w:r>
        <w:rPr>
          <w:sz w:val="20"/>
          <w:szCs w:val="22"/>
          <w:lang w:val="en-US"/>
        </w:rPr>
        <w:t xml:space="preserve"> Europe’s </w:t>
      </w:r>
      <w:r w:rsidRPr="007B1A1E">
        <w:rPr>
          <w:sz w:val="20"/>
          <w:szCs w:val="22"/>
          <w:lang w:val="en-US"/>
        </w:rPr>
        <w:t>natural gas and liquefied natural gas (LNG) consumptio</w:t>
      </w:r>
      <w:r>
        <w:rPr>
          <w:sz w:val="20"/>
          <w:szCs w:val="22"/>
          <w:lang w:val="en-US"/>
        </w:rPr>
        <w:t xml:space="preserve">n has reached </w:t>
      </w:r>
      <w:r w:rsidRPr="007B1A1E">
        <w:rPr>
          <w:sz w:val="20"/>
          <w:szCs w:val="22"/>
          <w:lang w:val="en-US"/>
        </w:rPr>
        <w:t xml:space="preserve">550 billion cubic meters </w:t>
      </w:r>
      <w:r>
        <w:rPr>
          <w:sz w:val="20"/>
          <w:szCs w:val="22"/>
          <w:lang w:val="en-US"/>
        </w:rPr>
        <w:t>per annum. In order to</w:t>
      </w:r>
      <w:r w:rsidRPr="007B1A1E">
        <w:rPr>
          <w:sz w:val="20"/>
          <w:szCs w:val="22"/>
          <w:lang w:val="en-US"/>
        </w:rPr>
        <w:t xml:space="preserve"> guarantee a continuous supply of gas resources and meet </w:t>
      </w:r>
      <w:r w:rsidR="004031B4">
        <w:rPr>
          <w:sz w:val="20"/>
          <w:szCs w:val="22"/>
          <w:lang w:val="en-US"/>
        </w:rPr>
        <w:t>Europe’s</w:t>
      </w:r>
      <w:r w:rsidRPr="007B1A1E">
        <w:rPr>
          <w:sz w:val="20"/>
          <w:szCs w:val="22"/>
          <w:lang w:val="en-US"/>
        </w:rPr>
        <w:t xml:space="preserve"> natural gas needs, strategic </w:t>
      </w:r>
      <w:r>
        <w:rPr>
          <w:sz w:val="20"/>
          <w:szCs w:val="22"/>
          <w:lang w:val="en-US"/>
        </w:rPr>
        <w:t xml:space="preserve">LNG </w:t>
      </w:r>
      <w:r w:rsidRPr="007B1A1E">
        <w:rPr>
          <w:sz w:val="20"/>
          <w:szCs w:val="22"/>
          <w:lang w:val="en-US"/>
        </w:rPr>
        <w:t xml:space="preserve">suppliers must be </w:t>
      </w:r>
      <w:r>
        <w:rPr>
          <w:sz w:val="20"/>
          <w:szCs w:val="22"/>
          <w:lang w:val="en-US"/>
        </w:rPr>
        <w:t>chosen</w:t>
      </w:r>
      <w:r w:rsidRPr="007B1A1E">
        <w:rPr>
          <w:sz w:val="20"/>
          <w:szCs w:val="22"/>
          <w:lang w:val="en-US"/>
        </w:rPr>
        <w:t xml:space="preserve">. Qatar plays a pivotal role in the </w:t>
      </w:r>
      <w:r>
        <w:rPr>
          <w:sz w:val="20"/>
          <w:szCs w:val="22"/>
          <w:lang w:val="en-US"/>
        </w:rPr>
        <w:t xml:space="preserve">golabl </w:t>
      </w:r>
      <w:r w:rsidRPr="007B1A1E">
        <w:rPr>
          <w:sz w:val="20"/>
          <w:szCs w:val="22"/>
          <w:lang w:val="en-US"/>
        </w:rPr>
        <w:t xml:space="preserve">LNG export market, commanding nearly 35% of the global market share. Over the past decade, the balance of power between Russia and Qatar has been a significant factor in the global energy landscape, as noted </w:t>
      </w:r>
      <w:r w:rsidR="001470F2">
        <w:rPr>
          <w:sz w:val="20"/>
          <w:szCs w:val="22"/>
          <w:lang w:val="en-US"/>
        </w:rPr>
        <w:t xml:space="preserve">Eser </w:t>
      </w:r>
      <w:r w:rsidR="00DF21CA">
        <w:rPr>
          <w:sz w:val="20"/>
          <w:szCs w:val="22"/>
          <w:lang w:val="en-US"/>
        </w:rPr>
        <w:t>et</w:t>
      </w:r>
      <w:r w:rsidR="001470F2">
        <w:rPr>
          <w:sz w:val="20"/>
          <w:szCs w:val="22"/>
          <w:lang w:val="en-US"/>
        </w:rPr>
        <w:t xml:space="preserve"> al</w:t>
      </w:r>
      <w:r w:rsidR="00DF21CA">
        <w:rPr>
          <w:sz w:val="20"/>
          <w:szCs w:val="22"/>
          <w:lang w:val="en-US"/>
        </w:rPr>
        <w:t>.</w:t>
      </w:r>
      <w:r w:rsidR="001470F2">
        <w:rPr>
          <w:sz w:val="20"/>
          <w:szCs w:val="22"/>
          <w:lang w:val="en-US"/>
        </w:rPr>
        <w:t xml:space="preserve"> (2019)</w:t>
      </w:r>
      <w:r w:rsidR="00DF21CA">
        <w:rPr>
          <w:b/>
          <w:bCs/>
          <w:sz w:val="20"/>
          <w:szCs w:val="22"/>
          <w:lang w:val="en-US"/>
        </w:rPr>
        <w:t xml:space="preserve">. </w:t>
      </w:r>
      <w:r w:rsidR="00DF21CA">
        <w:rPr>
          <w:sz w:val="20"/>
          <w:szCs w:val="22"/>
          <w:lang w:val="en-US"/>
        </w:rPr>
        <w:t>T</w:t>
      </w:r>
      <w:r w:rsidR="00DF21CA" w:rsidRPr="00DF21CA">
        <w:rPr>
          <w:sz w:val="20"/>
          <w:szCs w:val="22"/>
          <w:lang w:val="en-US"/>
        </w:rPr>
        <w:t xml:space="preserve">he LNG sector has seen remarkable growth due to a shift toward cleaner energy, particularly natural gas. This trend is driven by increased energy demand and a reduced interest in carbon-intensive fuels. </w:t>
      </w:r>
      <w:r w:rsidRPr="007B1A1E">
        <w:rPr>
          <w:sz w:val="20"/>
          <w:szCs w:val="22"/>
          <w:lang w:val="en-US"/>
        </w:rPr>
        <w:t>LNG's versatility has made natural gas more attractive on the international stage, enab</w:t>
      </w:r>
      <w:r>
        <w:rPr>
          <w:sz w:val="20"/>
          <w:szCs w:val="22"/>
          <w:lang w:val="en-US"/>
        </w:rPr>
        <w:t>ling it to reach more locations, whereby unused</w:t>
      </w:r>
      <w:r w:rsidRPr="007B1A1E">
        <w:rPr>
          <w:sz w:val="20"/>
          <w:szCs w:val="22"/>
          <w:lang w:val="en-US"/>
        </w:rPr>
        <w:t xml:space="preserve"> gas reserves</w:t>
      </w:r>
      <w:r>
        <w:rPr>
          <w:sz w:val="20"/>
          <w:szCs w:val="22"/>
          <w:lang w:val="en-US"/>
        </w:rPr>
        <w:t xml:space="preserve"> are being explored</w:t>
      </w:r>
      <w:r w:rsidRPr="007B1A1E">
        <w:rPr>
          <w:sz w:val="20"/>
          <w:szCs w:val="22"/>
          <w:lang w:val="en-US"/>
        </w:rPr>
        <w:t xml:space="preserve"> </w:t>
      </w:r>
      <w:r w:rsidRPr="00DE7CAA">
        <w:rPr>
          <w:sz w:val="20"/>
          <w:szCs w:val="22"/>
          <w:lang w:val="en-US"/>
        </w:rPr>
        <w:t xml:space="preserve">(Meza </w:t>
      </w:r>
      <w:r w:rsidR="00647058">
        <w:rPr>
          <w:sz w:val="20"/>
          <w:szCs w:val="22"/>
          <w:lang w:val="en-US"/>
        </w:rPr>
        <w:t>and Koc</w:t>
      </w:r>
      <w:r w:rsidRPr="00DE7CAA">
        <w:rPr>
          <w:sz w:val="20"/>
          <w:szCs w:val="22"/>
          <w:lang w:val="en-US"/>
        </w:rPr>
        <w:t>, 2021).</w:t>
      </w:r>
      <w:r w:rsidRPr="007B1A1E">
        <w:rPr>
          <w:sz w:val="20"/>
          <w:szCs w:val="22"/>
          <w:lang w:val="en-US"/>
        </w:rPr>
        <w:t xml:space="preserve"> In 2021-2022, global LNG imports reached 372.3 million tons, marking a 16.2 million-ton increase from the previous year</w:t>
      </w:r>
      <w:r w:rsidR="00AE40FC">
        <w:rPr>
          <w:sz w:val="20"/>
          <w:szCs w:val="22"/>
          <w:lang w:val="en-US"/>
        </w:rPr>
        <w:t xml:space="preserve"> (</w:t>
      </w:r>
      <w:r w:rsidR="00AE40FC">
        <w:rPr>
          <w:sz w:val="20"/>
          <w:szCs w:val="22"/>
        </w:rPr>
        <w:t>IEA, 2022)</w:t>
      </w:r>
      <w:r w:rsidRPr="007B1A1E">
        <w:rPr>
          <w:sz w:val="20"/>
          <w:szCs w:val="22"/>
          <w:lang w:val="en-US"/>
        </w:rPr>
        <w:t>. The annual growth rate of LNG imports has been steadily climbing at 4.5%, driven by economic recovery and the growing demand for cleaner, lower CO</w:t>
      </w:r>
      <w:r w:rsidRPr="001470F2">
        <w:rPr>
          <w:sz w:val="20"/>
          <w:szCs w:val="22"/>
          <w:vertAlign w:val="subscript"/>
          <w:lang w:val="en-US"/>
        </w:rPr>
        <w:t>2</w:t>
      </w:r>
      <w:r w:rsidRPr="007B1A1E">
        <w:rPr>
          <w:sz w:val="20"/>
          <w:szCs w:val="22"/>
          <w:lang w:val="en-US"/>
        </w:rPr>
        <w:t>-emitting energy sources</w:t>
      </w:r>
      <w:r w:rsidR="00AE40FC">
        <w:rPr>
          <w:sz w:val="20"/>
          <w:szCs w:val="22"/>
          <w:lang w:val="en-US"/>
        </w:rPr>
        <w:t xml:space="preserve"> (</w:t>
      </w:r>
      <w:r w:rsidR="00AE40FC">
        <w:rPr>
          <w:sz w:val="20"/>
          <w:szCs w:val="22"/>
        </w:rPr>
        <w:t>IEA, 2022)</w:t>
      </w:r>
      <w:r w:rsidRPr="007B1A1E">
        <w:rPr>
          <w:sz w:val="20"/>
          <w:szCs w:val="22"/>
          <w:lang w:val="en-US"/>
        </w:rPr>
        <w:t>. LNG imports have the advantage of being less susceptible to political issues and control compared to traditional pipeline systems. However, effecti</w:t>
      </w:r>
      <w:r w:rsidR="004031B4">
        <w:rPr>
          <w:sz w:val="20"/>
          <w:szCs w:val="22"/>
          <w:lang w:val="en-US"/>
        </w:rPr>
        <w:t>ve utilization of LNG requires</w:t>
      </w:r>
      <w:r w:rsidRPr="007B1A1E">
        <w:rPr>
          <w:sz w:val="20"/>
          <w:szCs w:val="22"/>
          <w:lang w:val="en-US"/>
        </w:rPr>
        <w:t xml:space="preserve"> well-established infrastructure, including LNG terminals, regasification units, and pipeline networks for integrating regasified gas into exis</w:t>
      </w:r>
      <w:r w:rsidR="004031B4">
        <w:rPr>
          <w:sz w:val="20"/>
          <w:szCs w:val="22"/>
          <w:lang w:val="en-US"/>
        </w:rPr>
        <w:t>ting transmission networks. Europe has</w:t>
      </w:r>
      <w:r w:rsidRPr="007B1A1E">
        <w:rPr>
          <w:sz w:val="20"/>
          <w:szCs w:val="22"/>
          <w:lang w:val="en-US"/>
        </w:rPr>
        <w:t xml:space="preserve"> a substantial reliance on external natural gas supplies. Recent challenges have emerged in Europe after 2020 and the beginning of 2021, fueled by increased European demand following the COVID-19 pandemic and the </w:t>
      </w:r>
      <w:r>
        <w:rPr>
          <w:sz w:val="20"/>
          <w:szCs w:val="22"/>
          <w:lang w:val="en-US"/>
        </w:rPr>
        <w:t>Russian-Ukrainian</w:t>
      </w:r>
      <w:r w:rsidRPr="007B1A1E">
        <w:rPr>
          <w:sz w:val="20"/>
          <w:szCs w:val="22"/>
          <w:lang w:val="en-US"/>
        </w:rPr>
        <w:t xml:space="preserve"> crisis. The political tensions stemming from the</w:t>
      </w:r>
      <w:r w:rsidR="004031B4">
        <w:rPr>
          <w:sz w:val="20"/>
          <w:szCs w:val="22"/>
          <w:lang w:val="en-US"/>
        </w:rPr>
        <w:t xml:space="preserve"> conflict have added pressure</w:t>
      </w:r>
      <w:r w:rsidRPr="007B1A1E">
        <w:rPr>
          <w:sz w:val="20"/>
          <w:szCs w:val="22"/>
          <w:lang w:val="en-US"/>
        </w:rPr>
        <w:t>, particularly concerning the threat of disruption to pipeline supplies. In 2021-2022, European demand reached between 530 to 560 BCM, with a significant portion supplied by Russia, approximately 230 BCM (a combination of LNG and pipeline sources)</w:t>
      </w:r>
      <w:r w:rsidR="00C95518">
        <w:rPr>
          <w:sz w:val="20"/>
          <w:szCs w:val="22"/>
          <w:lang w:val="en-US"/>
        </w:rPr>
        <w:t xml:space="preserve"> </w:t>
      </w:r>
      <w:r w:rsidR="00C95518" w:rsidRPr="00DE7CAA">
        <w:rPr>
          <w:sz w:val="20"/>
          <w:szCs w:val="22"/>
          <w:lang w:val="en-US"/>
        </w:rPr>
        <w:t>(Meza et al., 2021)</w:t>
      </w:r>
      <w:r w:rsidRPr="007B1A1E">
        <w:rPr>
          <w:sz w:val="20"/>
          <w:szCs w:val="22"/>
          <w:lang w:val="en-US"/>
        </w:rPr>
        <w:t xml:space="preserve">. Pipelines accounted for around 155 BCM, passing through Poland, Nord Stream 1 in Ukraine, and the Turkish Stream. The majority of </w:t>
      </w:r>
      <w:r w:rsidR="004031B4">
        <w:rPr>
          <w:sz w:val="20"/>
          <w:szCs w:val="22"/>
          <w:lang w:val="en-US"/>
        </w:rPr>
        <w:t xml:space="preserve">European </w:t>
      </w:r>
      <w:r w:rsidRPr="007B1A1E">
        <w:rPr>
          <w:sz w:val="20"/>
          <w:szCs w:val="22"/>
          <w:lang w:val="en-US"/>
        </w:rPr>
        <w:t>gas is produced in Norway and distributed across Europe through an extensive network, covering approximately 22-24% of European dema</w:t>
      </w:r>
      <w:r w:rsidR="004031B4">
        <w:rPr>
          <w:sz w:val="20"/>
          <w:szCs w:val="22"/>
          <w:lang w:val="en-US"/>
        </w:rPr>
        <w:t>nd. Regarding LNG supply to Europe</w:t>
      </w:r>
      <w:r w:rsidRPr="007B1A1E">
        <w:rPr>
          <w:sz w:val="20"/>
          <w:szCs w:val="22"/>
          <w:lang w:val="en-US"/>
        </w:rPr>
        <w:t>, Qatar and the USA have emerged as primary suppliers, each contributing between 25-30 BCM of LNG. Russia, the US, Algeria, and Nigeria follow closely, supplying 17.8, 13.9, and 14 BCM, res</w:t>
      </w:r>
      <w:r>
        <w:rPr>
          <w:sz w:val="20"/>
          <w:szCs w:val="22"/>
          <w:lang w:val="en-US"/>
        </w:rPr>
        <w:t>pectively. T</w:t>
      </w:r>
      <w:r w:rsidRPr="007B1A1E">
        <w:rPr>
          <w:sz w:val="20"/>
          <w:szCs w:val="22"/>
          <w:lang w:val="en-US"/>
        </w:rPr>
        <w:t>he USA is currently the leading supplier of LNG with 24.1 million metric tons per annum (MTPA), followed by Qatar with 15.9 MTP</w:t>
      </w:r>
      <w:r w:rsidR="00C95518">
        <w:rPr>
          <w:sz w:val="20"/>
          <w:szCs w:val="22"/>
          <w:lang w:val="en-US"/>
        </w:rPr>
        <w:t>A (</w:t>
      </w:r>
      <w:r w:rsidR="00C95518" w:rsidRPr="00C95518">
        <w:rPr>
          <w:sz w:val="20"/>
          <w:szCs w:val="22"/>
          <w:lang w:val="en-US"/>
        </w:rPr>
        <w:t xml:space="preserve">Ashkanani, </w:t>
      </w:r>
      <w:r w:rsidR="00C95518">
        <w:rPr>
          <w:sz w:val="20"/>
          <w:szCs w:val="22"/>
          <w:lang w:val="en-US"/>
        </w:rPr>
        <w:t xml:space="preserve">and </w:t>
      </w:r>
      <w:r w:rsidR="00C95518" w:rsidRPr="00C95518">
        <w:rPr>
          <w:sz w:val="20"/>
          <w:szCs w:val="22"/>
          <w:lang w:val="en-US"/>
        </w:rPr>
        <w:t xml:space="preserve"> Kerbache,</w:t>
      </w:r>
      <w:r w:rsidR="00C95518">
        <w:rPr>
          <w:sz w:val="20"/>
          <w:szCs w:val="22"/>
          <w:lang w:val="en-US"/>
        </w:rPr>
        <w:t xml:space="preserve"> 2023)</w:t>
      </w:r>
      <w:r w:rsidRPr="007B1A1E">
        <w:rPr>
          <w:sz w:val="20"/>
          <w:szCs w:val="22"/>
          <w:lang w:val="en-US"/>
        </w:rPr>
        <w:t>. Replacing Russian natural gas is more challenging than substituting oil or coal due to differences in infrastructure, transportation, and storage</w:t>
      </w:r>
      <w:r w:rsidR="00AE40FC">
        <w:rPr>
          <w:sz w:val="20"/>
          <w:szCs w:val="22"/>
          <w:lang w:val="en-US"/>
        </w:rPr>
        <w:t xml:space="preserve">. Moreover, </w:t>
      </w:r>
      <w:r w:rsidR="004031B4">
        <w:rPr>
          <w:sz w:val="20"/>
          <w:szCs w:val="22"/>
          <w:lang w:val="en-US"/>
        </w:rPr>
        <w:t>Europe</w:t>
      </w:r>
      <w:r w:rsidRPr="007B1A1E">
        <w:rPr>
          <w:sz w:val="20"/>
          <w:szCs w:val="22"/>
          <w:lang w:val="en-US"/>
        </w:rPr>
        <w:t xml:space="preserve"> will continue to require significant natural gas imports, especially as most of Europe's pipeline infrastructure is designed for Russian gas imports</w:t>
      </w:r>
      <w:r w:rsidR="00C95518">
        <w:rPr>
          <w:sz w:val="20"/>
          <w:szCs w:val="22"/>
          <w:lang w:val="en-US"/>
        </w:rPr>
        <w:t xml:space="preserve"> (</w:t>
      </w:r>
      <w:r w:rsidR="00C95518" w:rsidRPr="00C95518">
        <w:rPr>
          <w:sz w:val="20"/>
          <w:szCs w:val="22"/>
        </w:rPr>
        <w:t>Dorigoni, and Portatadino</w:t>
      </w:r>
      <w:r w:rsidR="00C95518">
        <w:rPr>
          <w:sz w:val="20"/>
          <w:szCs w:val="22"/>
        </w:rPr>
        <w:t>, 2008)</w:t>
      </w:r>
      <w:r w:rsidRPr="007B1A1E">
        <w:rPr>
          <w:sz w:val="20"/>
          <w:szCs w:val="22"/>
          <w:lang w:val="en-US"/>
        </w:rPr>
        <w:t>. These alternative supplies will primarily need to arrive as</w:t>
      </w:r>
      <w:r w:rsidR="004031B4">
        <w:rPr>
          <w:sz w:val="20"/>
          <w:szCs w:val="22"/>
          <w:lang w:val="en-US"/>
        </w:rPr>
        <w:t xml:space="preserve"> LNG </w:t>
      </w:r>
      <w:r w:rsidRPr="007B1A1E">
        <w:rPr>
          <w:sz w:val="20"/>
          <w:szCs w:val="22"/>
          <w:lang w:val="en-US"/>
        </w:rPr>
        <w:t xml:space="preserve"> by sea. Ensuring supply security also necessitates maintaining suffic</w:t>
      </w:r>
      <w:r>
        <w:rPr>
          <w:sz w:val="20"/>
          <w:szCs w:val="22"/>
          <w:lang w:val="en-US"/>
        </w:rPr>
        <w:t xml:space="preserve">ient gas storage levels so that European countries </w:t>
      </w:r>
      <w:r w:rsidRPr="007B1A1E">
        <w:rPr>
          <w:sz w:val="20"/>
          <w:szCs w:val="22"/>
          <w:lang w:val="en-US"/>
        </w:rPr>
        <w:t xml:space="preserve">can withstand sudden interruptions in gas deliveries. In response to the </w:t>
      </w:r>
      <w:r>
        <w:rPr>
          <w:sz w:val="20"/>
          <w:szCs w:val="22"/>
          <w:lang w:val="en-US"/>
        </w:rPr>
        <w:t>Russian-Ukrainian</w:t>
      </w:r>
      <w:r w:rsidRPr="007B1A1E">
        <w:rPr>
          <w:sz w:val="20"/>
          <w:szCs w:val="22"/>
          <w:lang w:val="en-US"/>
        </w:rPr>
        <w:t xml:space="preserve"> conflict, the EU's strategy aims to diversify its natural gas sources by 2030, with a focus on importing more LNG. This presents an opportunity for Qatar, to enter the European</w:t>
      </w:r>
      <w:r w:rsidR="004031B4">
        <w:rPr>
          <w:sz w:val="20"/>
          <w:szCs w:val="22"/>
          <w:lang w:val="en-US"/>
        </w:rPr>
        <w:t xml:space="preserve"> market</w:t>
      </w:r>
      <w:r w:rsidRPr="007B1A1E">
        <w:rPr>
          <w:sz w:val="20"/>
          <w:szCs w:val="22"/>
          <w:lang w:val="en-US"/>
        </w:rPr>
        <w:t xml:space="preserve">. </w:t>
      </w:r>
    </w:p>
    <w:p w14:paraId="298E2097" w14:textId="77777777" w:rsidR="00CE200B" w:rsidRPr="007B1A1E" w:rsidRDefault="00CE200B" w:rsidP="00CE200B">
      <w:pPr>
        <w:pStyle w:val="Els-referenceno-number"/>
        <w:spacing w:before="240" w:after="240"/>
        <w:ind w:left="0" w:firstLine="0"/>
        <w:jc w:val="both"/>
        <w:rPr>
          <w:b/>
          <w:bCs/>
          <w:sz w:val="22"/>
          <w:szCs w:val="24"/>
          <w:lang w:val="en-US"/>
        </w:rPr>
      </w:pPr>
      <w:r w:rsidRPr="00F4005A">
        <w:rPr>
          <w:b/>
          <w:bCs/>
          <w:sz w:val="22"/>
          <w:szCs w:val="24"/>
          <w:lang w:val="en-US"/>
        </w:rPr>
        <w:t xml:space="preserve">2. Methodology   </w:t>
      </w:r>
    </w:p>
    <w:p w14:paraId="285E1BD9" w14:textId="204516F0" w:rsidR="00CE200B" w:rsidRDefault="00CE200B" w:rsidP="00060250">
      <w:pPr>
        <w:pStyle w:val="Els-referenceno-number"/>
        <w:ind w:left="0" w:firstLine="0"/>
        <w:jc w:val="both"/>
        <w:rPr>
          <w:sz w:val="20"/>
          <w:szCs w:val="22"/>
          <w:lang w:val="en-US"/>
        </w:rPr>
      </w:pPr>
      <w:r w:rsidRPr="007B1A1E">
        <w:rPr>
          <w:sz w:val="20"/>
          <w:szCs w:val="22"/>
          <w:lang w:val="en-US"/>
        </w:rPr>
        <w:t xml:space="preserve">This paper studies the current situation of the LNG market in Europe, and identifies the main gas suppliers and gas importers in the </w:t>
      </w:r>
      <w:r w:rsidR="00060250">
        <w:rPr>
          <w:sz w:val="20"/>
          <w:szCs w:val="22"/>
          <w:lang w:val="en-US"/>
        </w:rPr>
        <w:t>European gas market. Moreover, a</w:t>
      </w:r>
      <w:r w:rsidRPr="007B1A1E">
        <w:rPr>
          <w:sz w:val="20"/>
          <w:szCs w:val="22"/>
          <w:lang w:val="en-US"/>
        </w:rPr>
        <w:t xml:space="preserve"> diversification plan that involves Qatar taking this opportunity to present itself as a </w:t>
      </w:r>
      <w:r w:rsidRPr="007B1A1E">
        <w:rPr>
          <w:sz w:val="20"/>
          <w:szCs w:val="22"/>
          <w:lang w:val="en-US"/>
        </w:rPr>
        <w:lastRenderedPageBreak/>
        <w:t>reliable gas supplier to Europe. There exist multiple prospects for Qatar to expand its LNG trade contracts with the EU, via different routes. In order to identify the best possible routes, a Linear Program (LP) mathematical model has been developed to help identify optimal LNG exporting scenarios from Qatar to Europe. The model accounts for shipping, regasification terminals in Europe, and existing network pipe structures that can be used for gas distribution within the European continent operated by the European Network of Transmission System Operators for Gas (ENSTOG,</w:t>
      </w:r>
      <w:r w:rsidR="0001643C">
        <w:rPr>
          <w:sz w:val="20"/>
          <w:szCs w:val="22"/>
          <w:lang w:val="en-US"/>
        </w:rPr>
        <w:t xml:space="preserve"> 2023)</w:t>
      </w:r>
      <w:r w:rsidRPr="007B1A1E">
        <w:rPr>
          <w:sz w:val="20"/>
          <w:szCs w:val="22"/>
          <w:lang w:val="en-US"/>
        </w:rPr>
        <w:t xml:space="preserve"> illustrated in Figure </w:t>
      </w:r>
      <w:r>
        <w:rPr>
          <w:sz w:val="20"/>
          <w:szCs w:val="22"/>
          <w:lang w:val="en-US"/>
        </w:rPr>
        <w:t>1</w:t>
      </w:r>
      <w:r w:rsidRPr="007B1A1E">
        <w:rPr>
          <w:sz w:val="20"/>
          <w:szCs w:val="22"/>
          <w:lang w:val="en-US"/>
        </w:rPr>
        <w:t xml:space="preserve">. </w:t>
      </w:r>
      <w:r w:rsidR="0001643C">
        <w:rPr>
          <w:sz w:val="20"/>
          <w:szCs w:val="22"/>
          <w:lang w:val="en-US"/>
        </w:rPr>
        <w:t>S</w:t>
      </w:r>
      <w:r w:rsidRPr="007B1A1E">
        <w:rPr>
          <w:sz w:val="20"/>
          <w:szCs w:val="22"/>
          <w:lang w:val="en-US"/>
        </w:rPr>
        <w:t>everal LNG shipping routes from Qatar to Europe coupled with major</w:t>
      </w:r>
      <w:r w:rsidR="0001643C">
        <w:rPr>
          <w:sz w:val="20"/>
          <w:szCs w:val="22"/>
          <w:lang w:val="en-US"/>
        </w:rPr>
        <w:t xml:space="preserve"> European regasification units and the</w:t>
      </w:r>
      <w:r w:rsidRPr="007B1A1E">
        <w:rPr>
          <w:sz w:val="20"/>
          <w:szCs w:val="22"/>
          <w:lang w:val="en-US"/>
        </w:rPr>
        <w:t xml:space="preserve"> pipeline infrastructure </w:t>
      </w:r>
      <w:r w:rsidR="0001643C">
        <w:rPr>
          <w:sz w:val="20"/>
          <w:szCs w:val="22"/>
          <w:lang w:val="en-US"/>
        </w:rPr>
        <w:t>via</w:t>
      </w:r>
      <w:r w:rsidRPr="007B1A1E">
        <w:rPr>
          <w:sz w:val="20"/>
          <w:szCs w:val="22"/>
          <w:lang w:val="en-US"/>
        </w:rPr>
        <w:t xml:space="preserve"> ENSTOG</w:t>
      </w:r>
      <w:r w:rsidR="0001643C">
        <w:rPr>
          <w:sz w:val="20"/>
          <w:szCs w:val="22"/>
          <w:lang w:val="en-US"/>
        </w:rPr>
        <w:t xml:space="preserve"> were utilized.</w:t>
      </w:r>
    </w:p>
    <w:p w14:paraId="158DC524" w14:textId="77777777" w:rsidR="00060250" w:rsidRPr="00F60162" w:rsidRDefault="00060250" w:rsidP="00060250">
      <w:pPr>
        <w:pStyle w:val="Els-referenceno-number"/>
        <w:ind w:left="0" w:firstLine="0"/>
        <w:jc w:val="both"/>
        <w:rPr>
          <w:sz w:val="20"/>
          <w:szCs w:val="22"/>
          <w:lang w:val="en-US"/>
        </w:rPr>
      </w:pPr>
    </w:p>
    <w:p w14:paraId="27F7AF84" w14:textId="1BC82ABB" w:rsidR="00F60162" w:rsidRPr="00F60162" w:rsidRDefault="00F60162" w:rsidP="00F60162">
      <w:pPr>
        <w:pStyle w:val="Els-referenceno-number"/>
        <w:ind w:left="0" w:firstLine="0"/>
        <w:jc w:val="center"/>
        <w:rPr>
          <w:b/>
          <w:bCs/>
          <w:sz w:val="20"/>
          <w:szCs w:val="22"/>
          <w:lang w:val="en-US"/>
        </w:rPr>
      </w:pPr>
      <w:r>
        <w:rPr>
          <w:lang w:val="en-US"/>
        </w:rPr>
        <w:drawing>
          <wp:inline distT="0" distB="0" distL="0" distR="0" wp14:anchorId="1B65C9AC" wp14:editId="2E023F06">
            <wp:extent cx="4151630" cy="2918460"/>
            <wp:effectExtent l="0" t="0" r="1270" b="0"/>
            <wp:docPr id="1" name="Picture 1" descr="https://energypost.eu/wp-content/uploads/2014/01/Europes-gas-pipeline-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ergypost.eu/wp-content/uploads/2014/01/Europes-gas-pipeline-network.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3800" t="5346" r="2058" b="15891"/>
                    <a:stretch/>
                  </pic:blipFill>
                  <pic:spPr bwMode="auto">
                    <a:xfrm>
                      <a:off x="0" y="0"/>
                      <a:ext cx="4163886" cy="2927076"/>
                    </a:xfrm>
                    <a:prstGeom prst="rect">
                      <a:avLst/>
                    </a:prstGeom>
                    <a:noFill/>
                    <a:ln>
                      <a:noFill/>
                    </a:ln>
                    <a:extLst>
                      <a:ext uri="{53640926-AAD7-44D8-BBD7-CCE9431645EC}">
                        <a14:shadowObscured xmlns:a14="http://schemas.microsoft.com/office/drawing/2010/main"/>
                      </a:ext>
                    </a:extLst>
                  </pic:spPr>
                </pic:pic>
              </a:graphicData>
            </a:graphic>
          </wp:inline>
        </w:drawing>
      </w:r>
    </w:p>
    <w:p w14:paraId="0708237D" w14:textId="77777777" w:rsidR="00F60162" w:rsidRDefault="00F60162" w:rsidP="00CE200B">
      <w:pPr>
        <w:pStyle w:val="Els-referenceno-number"/>
        <w:ind w:left="0" w:firstLine="0"/>
        <w:jc w:val="center"/>
        <w:rPr>
          <w:szCs w:val="18"/>
          <w:lang w:val="en-US"/>
        </w:rPr>
      </w:pPr>
    </w:p>
    <w:p w14:paraId="3811D82E" w14:textId="5E36E501" w:rsidR="00CE200B" w:rsidRDefault="00CE200B" w:rsidP="00B22631">
      <w:pPr>
        <w:pStyle w:val="Els-referenceno-number"/>
        <w:ind w:left="0" w:firstLine="0"/>
        <w:jc w:val="center"/>
        <w:rPr>
          <w:szCs w:val="18"/>
          <w:lang w:val="en-US"/>
        </w:rPr>
      </w:pPr>
      <w:r w:rsidRPr="007552B5">
        <w:rPr>
          <w:szCs w:val="18"/>
          <w:lang w:val="en-US"/>
        </w:rPr>
        <w:t xml:space="preserve">Figure 1: </w:t>
      </w:r>
      <w:r>
        <w:rPr>
          <w:szCs w:val="18"/>
          <w:lang w:val="en-US"/>
        </w:rPr>
        <w:t>ENSTOG pipeline network</w:t>
      </w:r>
      <w:r w:rsidR="00DE7CAA">
        <w:rPr>
          <w:szCs w:val="18"/>
          <w:lang w:val="en-US"/>
        </w:rPr>
        <w:t xml:space="preserve"> </w:t>
      </w:r>
      <w:r w:rsidR="00B22631">
        <w:rPr>
          <w:szCs w:val="18"/>
          <w:lang w:val="en-US"/>
        </w:rPr>
        <w:t xml:space="preserve">via </w:t>
      </w:r>
      <w:r w:rsidR="00B22631" w:rsidRPr="00B22631">
        <w:rPr>
          <w:szCs w:val="18"/>
          <w:lang w:val="en-US"/>
        </w:rPr>
        <w:t>energypost</w:t>
      </w:r>
      <w:r w:rsidR="00B22631">
        <w:rPr>
          <w:szCs w:val="18"/>
          <w:lang w:val="en-US"/>
        </w:rPr>
        <w:t>.eu</w:t>
      </w:r>
      <w:r w:rsidR="00B22631" w:rsidRPr="00B22631">
        <w:rPr>
          <w:szCs w:val="18"/>
          <w:lang w:val="en-US"/>
        </w:rPr>
        <w:t xml:space="preserve"> </w:t>
      </w:r>
      <w:r w:rsidR="00DE7CAA">
        <w:rPr>
          <w:szCs w:val="18"/>
          <w:lang w:val="en-US"/>
        </w:rPr>
        <w:t>(ENSTOG, 2023)</w:t>
      </w:r>
    </w:p>
    <w:p w14:paraId="4512989E" w14:textId="7575BFE9" w:rsidR="005E2648" w:rsidRPr="005E2648" w:rsidRDefault="005E2648" w:rsidP="005E2648">
      <w:pPr>
        <w:pStyle w:val="Els-referenceno-number"/>
        <w:ind w:left="0" w:firstLine="0"/>
        <w:rPr>
          <w:sz w:val="20"/>
          <w:lang w:val="en-US"/>
        </w:rPr>
      </w:pPr>
    </w:p>
    <w:p w14:paraId="770A3059" w14:textId="4BD7ADE7" w:rsidR="00DF21CA" w:rsidRDefault="00060250" w:rsidP="00625E97">
      <w:pPr>
        <w:pStyle w:val="Els-referenceno-number"/>
        <w:ind w:left="0" w:firstLine="0"/>
        <w:jc w:val="both"/>
        <w:rPr>
          <w:sz w:val="20"/>
        </w:rPr>
      </w:pPr>
      <w:r>
        <w:rPr>
          <w:sz w:val="20"/>
          <w:lang w:val="en-US"/>
        </w:rPr>
        <w:t>A</w:t>
      </w:r>
      <w:r w:rsidR="005E2648" w:rsidRPr="005E2648">
        <w:rPr>
          <w:sz w:val="20"/>
          <w:lang w:val="en-US"/>
        </w:rPr>
        <w:t xml:space="preserve"> linear programming model </w:t>
      </w:r>
      <w:r w:rsidR="005E2648">
        <w:rPr>
          <w:sz w:val="20"/>
          <w:lang w:val="en-US"/>
        </w:rPr>
        <w:t xml:space="preserve">was utlized in this work. It </w:t>
      </w:r>
      <w:r w:rsidR="005E2648" w:rsidRPr="005E2648">
        <w:rPr>
          <w:sz w:val="20"/>
          <w:lang w:val="en-US"/>
        </w:rPr>
        <w:t xml:space="preserve">stands as one of the prevalent deterministic models employed for managing LNG supply and demand. </w:t>
      </w:r>
      <w:r w:rsidR="00DF21CA" w:rsidRPr="00DF21CA">
        <w:rPr>
          <w:sz w:val="20"/>
        </w:rPr>
        <w:t xml:space="preserve">The rationale for selecting </w:t>
      </w:r>
      <w:r w:rsidR="00625E97">
        <w:rPr>
          <w:sz w:val="20"/>
        </w:rPr>
        <w:t xml:space="preserve">this method </w:t>
      </w:r>
      <w:r w:rsidR="00DF21CA" w:rsidRPr="00DF21CA">
        <w:rPr>
          <w:sz w:val="20"/>
        </w:rPr>
        <w:t xml:space="preserve">for optimizing the LNG supply and demand problem </w:t>
      </w:r>
      <w:r w:rsidR="00625E97">
        <w:rPr>
          <w:sz w:val="20"/>
        </w:rPr>
        <w:t xml:space="preserve">is due to the </w:t>
      </w:r>
      <w:r w:rsidR="00DF21CA" w:rsidRPr="00DF21CA">
        <w:rPr>
          <w:sz w:val="20"/>
        </w:rPr>
        <w:t>simplicity and transparency</w:t>
      </w:r>
      <w:r w:rsidR="00625E97">
        <w:rPr>
          <w:sz w:val="20"/>
        </w:rPr>
        <w:t xml:space="preserve"> that linear programming tools offer (Liberti </w:t>
      </w:r>
      <w:r w:rsidR="00625E97" w:rsidRPr="00625E97">
        <w:rPr>
          <w:sz w:val="20"/>
        </w:rPr>
        <w:t>and Kucherenko, 2005</w:t>
      </w:r>
      <w:r w:rsidR="00625E97">
        <w:rPr>
          <w:sz w:val="20"/>
        </w:rPr>
        <w:t xml:space="preserve">). Moreover, their </w:t>
      </w:r>
      <w:r w:rsidR="00DF21CA" w:rsidRPr="00DF21CA">
        <w:rPr>
          <w:sz w:val="20"/>
        </w:rPr>
        <w:t>computational efficiency is crucial for</w:t>
      </w:r>
      <w:r w:rsidR="00625E97">
        <w:rPr>
          <w:sz w:val="20"/>
        </w:rPr>
        <w:t xml:space="preserve"> handling large-scale problems (Liberti </w:t>
      </w:r>
      <w:r w:rsidR="00625E97" w:rsidRPr="00625E97">
        <w:rPr>
          <w:sz w:val="20"/>
        </w:rPr>
        <w:t>and Kucherenko, 2005</w:t>
      </w:r>
      <w:r w:rsidR="00625E97">
        <w:rPr>
          <w:sz w:val="20"/>
        </w:rPr>
        <w:t xml:space="preserve">). </w:t>
      </w:r>
      <w:r w:rsidR="00DF21CA" w:rsidRPr="00DF21CA">
        <w:rPr>
          <w:sz w:val="20"/>
        </w:rPr>
        <w:t>The model is particularly suited for resource allocation and cost minimization objectives, representing various components of the</w:t>
      </w:r>
      <w:r w:rsidR="00625E97">
        <w:rPr>
          <w:sz w:val="20"/>
        </w:rPr>
        <w:t xml:space="preserve"> LNG supply chain effectively. The a</w:t>
      </w:r>
      <w:r w:rsidR="00DF21CA" w:rsidRPr="00DF21CA">
        <w:rPr>
          <w:sz w:val="20"/>
        </w:rPr>
        <w:t xml:space="preserve">vailability of efficient solver tools, </w:t>
      </w:r>
      <w:r w:rsidR="00625E97">
        <w:rPr>
          <w:sz w:val="20"/>
        </w:rPr>
        <w:t xml:space="preserve">and </w:t>
      </w:r>
      <w:r w:rsidR="00DF21CA" w:rsidRPr="00DF21CA">
        <w:rPr>
          <w:sz w:val="20"/>
        </w:rPr>
        <w:t>the balanced trade-off between accuracy and complexity further support its adoption for optimizing LNG distribution networks</w:t>
      </w:r>
      <w:r w:rsidR="00625E97">
        <w:rPr>
          <w:sz w:val="20"/>
        </w:rPr>
        <w:t xml:space="preserve"> (Liberti </w:t>
      </w:r>
      <w:r w:rsidR="00625E97" w:rsidRPr="00625E97">
        <w:rPr>
          <w:sz w:val="20"/>
        </w:rPr>
        <w:t>and Kucherenko, 2005</w:t>
      </w:r>
      <w:r w:rsidR="00625E97">
        <w:rPr>
          <w:sz w:val="20"/>
        </w:rPr>
        <w:t>)</w:t>
      </w:r>
      <w:r w:rsidR="00DF21CA" w:rsidRPr="00DF21CA">
        <w:rPr>
          <w:sz w:val="20"/>
        </w:rPr>
        <w:t xml:space="preserve">. However, </w:t>
      </w:r>
      <w:r w:rsidR="00625E97">
        <w:rPr>
          <w:sz w:val="20"/>
        </w:rPr>
        <w:t>it should be noted that</w:t>
      </w:r>
      <w:r w:rsidR="00DF21CA" w:rsidRPr="00DF21CA">
        <w:rPr>
          <w:sz w:val="20"/>
        </w:rPr>
        <w:t xml:space="preserve"> that linear programming may not capture all nuanc</w:t>
      </w:r>
      <w:r w:rsidR="00DF21CA">
        <w:rPr>
          <w:sz w:val="20"/>
        </w:rPr>
        <w:t>es of the real-world LNG market.</w:t>
      </w:r>
    </w:p>
    <w:p w14:paraId="7F1CA7A3" w14:textId="77777777" w:rsidR="00DF21CA" w:rsidRDefault="00DF21CA" w:rsidP="00DF21CA">
      <w:pPr>
        <w:pStyle w:val="Els-referenceno-number"/>
        <w:ind w:left="0" w:firstLine="0"/>
        <w:jc w:val="both"/>
        <w:rPr>
          <w:sz w:val="20"/>
          <w:lang w:val="en-US"/>
        </w:rPr>
      </w:pPr>
    </w:p>
    <w:p w14:paraId="2D8B5627" w14:textId="2C2637F8" w:rsidR="005E2648" w:rsidRPr="005E2648" w:rsidRDefault="005E2648" w:rsidP="00D34318">
      <w:pPr>
        <w:pStyle w:val="Els-referenceno-number"/>
        <w:ind w:left="0" w:firstLine="0"/>
        <w:jc w:val="both"/>
        <w:rPr>
          <w:sz w:val="20"/>
          <w:lang w:val="en-US"/>
        </w:rPr>
      </w:pPr>
      <w:r w:rsidRPr="005E2648">
        <w:rPr>
          <w:sz w:val="20"/>
          <w:lang w:val="en-US"/>
        </w:rPr>
        <w:t xml:space="preserve">Within this model, the intricate interplay of LNG supply and demand is distilled into linear equations. The primary goal </w:t>
      </w:r>
      <w:r>
        <w:rPr>
          <w:sz w:val="20"/>
          <w:lang w:val="en-US"/>
        </w:rPr>
        <w:t>was</w:t>
      </w:r>
      <w:r w:rsidRPr="005E2648">
        <w:rPr>
          <w:sz w:val="20"/>
          <w:lang w:val="en-US"/>
        </w:rPr>
        <w:t xml:space="preserve"> to optimize the allocation of resources, specifically minimizing the overall cost while </w:t>
      </w:r>
      <w:r>
        <w:rPr>
          <w:sz w:val="20"/>
          <w:lang w:val="en-US"/>
        </w:rPr>
        <w:t>meeting</w:t>
      </w:r>
      <w:r w:rsidRPr="005E2648">
        <w:rPr>
          <w:sz w:val="20"/>
          <w:lang w:val="en-US"/>
        </w:rPr>
        <w:t xml:space="preserve"> specified demand constraints. This optimization </w:t>
      </w:r>
      <w:r>
        <w:rPr>
          <w:sz w:val="20"/>
          <w:lang w:val="en-US"/>
        </w:rPr>
        <w:t>model</w:t>
      </w:r>
      <w:r w:rsidRPr="005E2648">
        <w:rPr>
          <w:sz w:val="20"/>
          <w:lang w:val="en-US"/>
        </w:rPr>
        <w:t xml:space="preserve"> incorporates </w:t>
      </w:r>
      <w:r>
        <w:rPr>
          <w:sz w:val="20"/>
          <w:lang w:val="en-US"/>
        </w:rPr>
        <w:t xml:space="preserve">many factors, inclusing </w:t>
      </w:r>
      <w:r w:rsidRPr="005E2648">
        <w:rPr>
          <w:sz w:val="20"/>
          <w:lang w:val="en-US"/>
        </w:rPr>
        <w:t xml:space="preserve">shipping expenses,infrastructure </w:t>
      </w:r>
      <w:r>
        <w:rPr>
          <w:sz w:val="20"/>
          <w:lang w:val="en-US"/>
        </w:rPr>
        <w:t>costs</w:t>
      </w:r>
      <w:r w:rsidRPr="005E2648">
        <w:rPr>
          <w:sz w:val="20"/>
          <w:lang w:val="en-US"/>
        </w:rPr>
        <w:t>, and production outlays.</w:t>
      </w:r>
      <w:r>
        <w:rPr>
          <w:sz w:val="20"/>
          <w:lang w:val="en-US"/>
        </w:rPr>
        <w:t xml:space="preserve"> As such, the model was formulated according to E</w:t>
      </w:r>
      <w:r w:rsidR="00D34318">
        <w:rPr>
          <w:sz w:val="20"/>
          <w:lang w:val="en-US"/>
        </w:rPr>
        <w:t>q. (1-</w:t>
      </w:r>
      <w:r w:rsidR="00332AC9">
        <w:rPr>
          <w:sz w:val="20"/>
          <w:lang w:val="en-US"/>
        </w:rPr>
        <w:t>4</w:t>
      </w:r>
      <w:r>
        <w:rPr>
          <w:sz w:val="20"/>
          <w:lang w:val="en-US"/>
        </w:rPr>
        <w:t>).</w:t>
      </w:r>
    </w:p>
    <w:p w14:paraId="415037AB" w14:textId="20C24708" w:rsidR="005E2648" w:rsidRPr="005E2648" w:rsidRDefault="005E2648" w:rsidP="005E2648">
      <w:pPr>
        <w:pStyle w:val="Els-referenceno-number"/>
        <w:ind w:left="0" w:firstLine="0"/>
        <w:jc w:val="right"/>
        <w:rPr>
          <w:sz w:val="20"/>
          <w:lang w:val="en-US"/>
        </w:rPr>
      </w:pPr>
      <m:oMath>
        <m:r>
          <w:rPr>
            <w:rFonts w:ascii="Cambria Math" w:hAnsi="Cambria Math"/>
            <w:sz w:val="20"/>
            <w:lang w:val="en-US"/>
          </w:rPr>
          <w:lastRenderedPageBreak/>
          <m:t xml:space="preserve">Min. </m:t>
        </m:r>
        <m:sSup>
          <m:sSupPr>
            <m:ctrlPr>
              <w:rPr>
                <w:rFonts w:ascii="Cambria Math" w:hAnsi="Cambria Math"/>
                <w:i/>
                <w:sz w:val="20"/>
                <w:lang w:val="en-US"/>
              </w:rPr>
            </m:ctrlPr>
          </m:sSupPr>
          <m:e>
            <m:r>
              <w:rPr>
                <w:rFonts w:ascii="Cambria Math" w:hAnsi="Cambria Math"/>
                <w:sz w:val="20"/>
                <w:lang w:val="en-US"/>
              </w:rPr>
              <m:t>C</m:t>
            </m:r>
          </m:e>
          <m:sup>
            <m:r>
              <w:rPr>
                <w:rFonts w:ascii="Cambria Math" w:hAnsi="Cambria Math"/>
                <w:sz w:val="20"/>
                <w:lang w:val="en-US"/>
              </w:rPr>
              <m:t>T</m:t>
            </m:r>
          </m:sup>
        </m:sSup>
        <m:r>
          <w:rPr>
            <w:rFonts w:ascii="Cambria Math" w:hAnsi="Cambria Math"/>
            <w:sz w:val="20"/>
            <w:lang w:val="en-US"/>
          </w:rPr>
          <m:t>x</m:t>
        </m:r>
      </m:oMath>
      <w:r>
        <w:rPr>
          <w:sz w:val="20"/>
          <w:lang w:val="en-US"/>
        </w:rPr>
        <w:t xml:space="preserve"> </w:t>
      </w:r>
      <w:r>
        <w:rPr>
          <w:sz w:val="20"/>
          <w:lang w:val="en-US"/>
        </w:rPr>
        <w:tab/>
      </w:r>
      <w:r>
        <w:rPr>
          <w:sz w:val="20"/>
          <w:lang w:val="en-US"/>
        </w:rPr>
        <w:tab/>
      </w:r>
      <w:r>
        <w:rPr>
          <w:sz w:val="20"/>
          <w:lang w:val="en-US"/>
        </w:rPr>
        <w:tab/>
      </w:r>
      <w:r>
        <w:rPr>
          <w:sz w:val="20"/>
          <w:lang w:val="en-US"/>
        </w:rPr>
        <w:tab/>
        <w:t>(1)</w:t>
      </w:r>
    </w:p>
    <w:p w14:paraId="53A17871" w14:textId="03D5373D" w:rsidR="005E2648" w:rsidRDefault="005E2648" w:rsidP="005E2648">
      <w:pPr>
        <w:pStyle w:val="Els-referenceno-number"/>
        <w:ind w:left="0" w:firstLine="0"/>
        <w:jc w:val="right"/>
        <w:rPr>
          <w:sz w:val="20"/>
          <w:lang w:val="en-US"/>
        </w:rPr>
      </w:pPr>
      <m:oMath>
        <m:r>
          <w:rPr>
            <w:rFonts w:ascii="Cambria Math" w:hAnsi="Cambria Math"/>
            <w:sz w:val="20"/>
            <w:lang w:val="en-US"/>
          </w:rPr>
          <m:t>st. Ax=b</m:t>
        </m:r>
      </m:oMath>
      <w:r>
        <w:rPr>
          <w:sz w:val="20"/>
          <w:lang w:val="en-US"/>
        </w:rPr>
        <w:t xml:space="preserve"> </w:t>
      </w:r>
      <w:r>
        <w:rPr>
          <w:sz w:val="20"/>
          <w:lang w:val="en-US"/>
        </w:rPr>
        <w:tab/>
      </w:r>
      <w:r>
        <w:rPr>
          <w:sz w:val="20"/>
          <w:lang w:val="en-US"/>
        </w:rPr>
        <w:tab/>
      </w:r>
      <w:r>
        <w:rPr>
          <w:sz w:val="20"/>
          <w:lang w:val="en-US"/>
        </w:rPr>
        <w:tab/>
      </w:r>
      <w:r>
        <w:rPr>
          <w:sz w:val="20"/>
          <w:lang w:val="en-US"/>
        </w:rPr>
        <w:tab/>
        <w:t>(2)</w:t>
      </w:r>
    </w:p>
    <w:p w14:paraId="25B4DF73" w14:textId="5B5C7CA8" w:rsidR="008311F6" w:rsidRPr="005E2648" w:rsidRDefault="008311F6" w:rsidP="008311F6">
      <w:pPr>
        <w:pStyle w:val="Els-referenceno-number"/>
        <w:ind w:left="0" w:firstLine="0"/>
        <w:jc w:val="right"/>
        <w:rPr>
          <w:sz w:val="20"/>
          <w:lang w:val="en-US"/>
        </w:rPr>
      </w:pPr>
      <m:oMath>
        <m:r>
          <w:rPr>
            <w:rFonts w:ascii="Cambria Math" w:hAnsi="Cambria Math"/>
            <w:sz w:val="20"/>
            <w:lang w:val="en-US"/>
          </w:rPr>
          <m:t>st. Cx≥d</m:t>
        </m:r>
      </m:oMath>
      <w:r>
        <w:rPr>
          <w:sz w:val="20"/>
          <w:lang w:val="en-US"/>
        </w:rPr>
        <w:t xml:space="preserve"> </w:t>
      </w:r>
      <w:r>
        <w:rPr>
          <w:sz w:val="20"/>
          <w:lang w:val="en-US"/>
        </w:rPr>
        <w:tab/>
      </w:r>
      <w:r>
        <w:rPr>
          <w:sz w:val="20"/>
          <w:lang w:val="en-US"/>
        </w:rPr>
        <w:tab/>
      </w:r>
      <w:r>
        <w:rPr>
          <w:sz w:val="20"/>
          <w:lang w:val="en-US"/>
        </w:rPr>
        <w:tab/>
      </w:r>
      <w:r>
        <w:rPr>
          <w:sz w:val="20"/>
          <w:lang w:val="en-US"/>
        </w:rPr>
        <w:tab/>
        <w:t>(2)</w:t>
      </w:r>
    </w:p>
    <w:p w14:paraId="201E577C" w14:textId="2BA37DB7" w:rsidR="005E2648" w:rsidRDefault="005E2648" w:rsidP="005E2648">
      <w:pPr>
        <w:pStyle w:val="Els-referenceno-number"/>
        <w:ind w:left="0" w:firstLine="0"/>
        <w:jc w:val="right"/>
        <w:rPr>
          <w:sz w:val="20"/>
          <w:lang w:val="en-US"/>
        </w:rPr>
      </w:pPr>
      <m:oMath>
        <m:r>
          <w:rPr>
            <w:rFonts w:ascii="Cambria Math" w:hAnsi="Cambria Math"/>
            <w:sz w:val="20"/>
            <w:lang w:val="en-US"/>
          </w:rPr>
          <m:t>x≥0</m:t>
        </m:r>
      </m:oMath>
      <w:r>
        <w:rPr>
          <w:sz w:val="20"/>
          <w:lang w:val="en-US"/>
        </w:rPr>
        <w:t xml:space="preserve"> </w:t>
      </w:r>
      <w:r>
        <w:rPr>
          <w:sz w:val="20"/>
          <w:lang w:val="en-US"/>
        </w:rPr>
        <w:tab/>
      </w:r>
      <w:r>
        <w:rPr>
          <w:sz w:val="20"/>
          <w:lang w:val="en-US"/>
        </w:rPr>
        <w:tab/>
      </w:r>
      <w:r>
        <w:rPr>
          <w:sz w:val="20"/>
          <w:lang w:val="en-US"/>
        </w:rPr>
        <w:tab/>
      </w:r>
      <w:r>
        <w:rPr>
          <w:sz w:val="20"/>
          <w:lang w:val="en-US"/>
        </w:rPr>
        <w:tab/>
      </w:r>
      <w:r>
        <w:rPr>
          <w:sz w:val="20"/>
          <w:lang w:val="en-US"/>
        </w:rPr>
        <w:tab/>
        <w:t>(3)</w:t>
      </w:r>
    </w:p>
    <w:p w14:paraId="22384CC9" w14:textId="77777777" w:rsidR="00625E97" w:rsidRDefault="00625E97" w:rsidP="00DF21CA">
      <w:pPr>
        <w:pStyle w:val="Els-referenceno-number"/>
        <w:ind w:left="0" w:firstLine="0"/>
        <w:jc w:val="both"/>
        <w:rPr>
          <w:sz w:val="20"/>
          <w:szCs w:val="22"/>
        </w:rPr>
      </w:pPr>
    </w:p>
    <w:p w14:paraId="1A818666" w14:textId="719C72A8" w:rsidR="005E2648" w:rsidRPr="005E2648" w:rsidRDefault="005E2648" w:rsidP="00076F04">
      <w:pPr>
        <w:pStyle w:val="Els-referenceno-number"/>
        <w:ind w:left="0" w:firstLine="0"/>
        <w:jc w:val="both"/>
        <w:rPr>
          <w:sz w:val="20"/>
          <w:szCs w:val="22"/>
        </w:rPr>
      </w:pPr>
      <w:r>
        <w:rPr>
          <w:sz w:val="20"/>
          <w:szCs w:val="22"/>
        </w:rPr>
        <w:t>Where</w:t>
      </w:r>
      <w:r w:rsidRPr="0008249F">
        <w:rPr>
          <w:i/>
          <w:iCs/>
          <w:sz w:val="20"/>
          <w:szCs w:val="22"/>
        </w:rPr>
        <w:t xml:space="preserve"> x</w:t>
      </w:r>
      <w:r>
        <w:rPr>
          <w:sz w:val="20"/>
          <w:szCs w:val="22"/>
        </w:rPr>
        <w:t xml:space="preserve"> represents the LNG allocations from Qatar to Europe, </w:t>
      </w:r>
      <w:r w:rsidR="008311F6">
        <w:rPr>
          <w:sz w:val="20"/>
          <w:szCs w:val="22"/>
        </w:rPr>
        <w:t>as well as the pipeline allocations from regasification terminals across Europe to various destinations,</w:t>
      </w:r>
      <w:r>
        <w:rPr>
          <w:sz w:val="20"/>
          <w:szCs w:val="22"/>
        </w:rPr>
        <w:t xml:space="preserve"> </w:t>
      </w:r>
      <m:oMath>
        <m:sSup>
          <m:sSupPr>
            <m:ctrlPr>
              <w:rPr>
                <w:rFonts w:ascii="Cambria Math" w:hAnsi="Cambria Math"/>
                <w:i/>
                <w:sz w:val="20"/>
                <w:lang w:val="en-US"/>
              </w:rPr>
            </m:ctrlPr>
          </m:sSupPr>
          <m:e>
            <m:r>
              <w:rPr>
                <w:rFonts w:ascii="Cambria Math" w:hAnsi="Cambria Math"/>
                <w:sz w:val="20"/>
                <w:lang w:val="en-US"/>
              </w:rPr>
              <m:t>C</m:t>
            </m:r>
          </m:e>
          <m:sup>
            <m:r>
              <w:rPr>
                <w:rFonts w:ascii="Cambria Math" w:hAnsi="Cambria Math"/>
                <w:sz w:val="20"/>
                <w:lang w:val="en-US"/>
              </w:rPr>
              <m:t>T</m:t>
            </m:r>
          </m:sup>
        </m:sSup>
      </m:oMath>
      <w:r>
        <w:rPr>
          <w:sz w:val="20"/>
          <w:lang w:val="en-US"/>
        </w:rPr>
        <w:t xml:space="preserve"> represents the various cost parameters (including shipping, regasification, regasification expansi</w:t>
      </w:r>
      <w:r w:rsidR="008311F6">
        <w:rPr>
          <w:sz w:val="20"/>
          <w:lang w:val="en-US"/>
        </w:rPr>
        <w:t xml:space="preserve">on, liquefaction, and storage). </w:t>
      </w:r>
      <w:r w:rsidR="008311F6" w:rsidRPr="008311F6">
        <w:rPr>
          <w:i/>
          <w:iCs/>
          <w:sz w:val="20"/>
          <w:lang w:val="en-US"/>
        </w:rPr>
        <w:t>A</w:t>
      </w:r>
      <w:r w:rsidR="008311F6">
        <w:rPr>
          <w:sz w:val="20"/>
          <w:lang w:val="en-US"/>
        </w:rPr>
        <w:t xml:space="preserve"> and </w:t>
      </w:r>
      <w:r w:rsidR="008311F6" w:rsidRPr="008311F6">
        <w:rPr>
          <w:i/>
          <w:iCs/>
          <w:sz w:val="20"/>
          <w:lang w:val="en-US"/>
        </w:rPr>
        <w:t>b</w:t>
      </w:r>
      <w:r w:rsidR="008311F6">
        <w:rPr>
          <w:sz w:val="20"/>
          <w:lang w:val="en-US"/>
        </w:rPr>
        <w:t xml:space="preserve"> were used to represent the demand for natural gas in key European countries, while </w:t>
      </w:r>
      <w:r w:rsidR="008311F6">
        <w:rPr>
          <w:i/>
          <w:iCs/>
          <w:sz w:val="20"/>
          <w:lang w:val="en-US"/>
        </w:rPr>
        <w:t>C</w:t>
      </w:r>
      <w:r w:rsidR="008311F6">
        <w:rPr>
          <w:sz w:val="20"/>
          <w:lang w:val="en-US"/>
        </w:rPr>
        <w:t xml:space="preserve"> and </w:t>
      </w:r>
      <w:r w:rsidR="008311F6">
        <w:rPr>
          <w:i/>
          <w:iCs/>
          <w:sz w:val="20"/>
          <w:lang w:val="en-US"/>
        </w:rPr>
        <w:t>d</w:t>
      </w:r>
      <w:r w:rsidR="008311F6">
        <w:rPr>
          <w:sz w:val="20"/>
          <w:lang w:val="en-US"/>
        </w:rPr>
        <w:t xml:space="preserve"> were used to represent the constrains on the regasification terminals and pipelines across Europe, as well as any constraints on the LNG supply from Qatar. The objective function involves the minimization of the total cost of the gas distribution network from Qatar to Europe. </w:t>
      </w:r>
      <w:r w:rsidRPr="005E2648">
        <w:rPr>
          <w:sz w:val="20"/>
          <w:szCs w:val="22"/>
        </w:rPr>
        <w:t xml:space="preserve">The Linear Program (LP) presented above was implemented using the “Solver” option in MS-Excel 2021 on a Windows laptop with the following specifications: Intel(R) Core i7-7820HQ CPU @ 2.90GHz 2.90 </w:t>
      </w:r>
      <w:bookmarkStart w:id="0" w:name="_GoBack"/>
      <w:bookmarkEnd w:id="0"/>
      <w:r w:rsidRPr="005E2648">
        <w:rPr>
          <w:sz w:val="20"/>
          <w:szCs w:val="22"/>
        </w:rPr>
        <w:t>GHz, installed RAM 16.0 GB, and a 64-bit operating System.</w:t>
      </w:r>
      <w:r w:rsidR="00060250">
        <w:rPr>
          <w:sz w:val="20"/>
          <w:szCs w:val="22"/>
        </w:rPr>
        <w:t xml:space="preserve"> </w:t>
      </w:r>
      <w:r w:rsidR="00076F04">
        <w:rPr>
          <w:sz w:val="20"/>
          <w:szCs w:val="22"/>
        </w:rPr>
        <w:t>T</w:t>
      </w:r>
      <w:r w:rsidR="00076F04" w:rsidRPr="00076F04">
        <w:rPr>
          <w:sz w:val="20"/>
          <w:szCs w:val="22"/>
        </w:rPr>
        <w:t xml:space="preserve">he code </w:t>
      </w:r>
      <w:r w:rsidR="00076F04">
        <w:rPr>
          <w:sz w:val="20"/>
          <w:szCs w:val="22"/>
        </w:rPr>
        <w:t>will be</w:t>
      </w:r>
      <w:r w:rsidR="00076F04" w:rsidRPr="00076F04">
        <w:rPr>
          <w:sz w:val="20"/>
          <w:szCs w:val="22"/>
        </w:rPr>
        <w:t xml:space="preserve"> available for public access</w:t>
      </w:r>
      <w:r w:rsidR="00076F04">
        <w:rPr>
          <w:sz w:val="20"/>
          <w:szCs w:val="22"/>
        </w:rPr>
        <w:t xml:space="preserve"> in an extended version of this publication.</w:t>
      </w:r>
    </w:p>
    <w:p w14:paraId="1F9F211F" w14:textId="13F63BE7" w:rsidR="00CE200B" w:rsidRPr="00975069" w:rsidRDefault="004D5826" w:rsidP="00CE200B">
      <w:pPr>
        <w:pStyle w:val="Els-body-text"/>
        <w:spacing w:before="240" w:after="240"/>
        <w:jc w:val="left"/>
        <w:rPr>
          <w:b/>
          <w:bCs/>
          <w:sz w:val="22"/>
          <w:szCs w:val="22"/>
        </w:rPr>
      </w:pPr>
      <w:r>
        <w:rPr>
          <w:b/>
          <w:bCs/>
          <w:sz w:val="22"/>
          <w:szCs w:val="22"/>
        </w:rPr>
        <w:t>3</w:t>
      </w:r>
      <w:r w:rsidR="00CE200B">
        <w:rPr>
          <w:b/>
          <w:bCs/>
          <w:sz w:val="22"/>
          <w:szCs w:val="22"/>
        </w:rPr>
        <w:t>. Case Studies</w:t>
      </w:r>
    </w:p>
    <w:p w14:paraId="53E5C15C" w14:textId="5EAD4258" w:rsidR="0016584A" w:rsidRPr="00DF21CA" w:rsidRDefault="0001643C" w:rsidP="00DF21CA">
      <w:pPr>
        <w:pStyle w:val="Els-body-text"/>
        <w:rPr>
          <w:lang w:val="en-GB"/>
        </w:rPr>
      </w:pPr>
      <w:r>
        <w:t>Four</w:t>
      </w:r>
      <w:r w:rsidR="00577B25">
        <w:t xml:space="preserve"> different</w:t>
      </w:r>
      <w:r w:rsidR="00213292">
        <w:t xml:space="preserve"> scenarios were assessed</w:t>
      </w:r>
      <w:r w:rsidR="00CE200B">
        <w:t xml:space="preserve">. </w:t>
      </w:r>
      <w:r w:rsidR="00213292">
        <w:t>First, e</w:t>
      </w:r>
      <w:r w:rsidR="00CE200B">
        <w:t xml:space="preserve">mploying the Southern corridor, which connects Turkey, Italy, Greece, and Croatia, as the primary route for delivering natural gas to Europe from intermediary nations receiving LNG from Qatar. </w:t>
      </w:r>
      <w:r w:rsidR="00213292">
        <w:t>Second, u</w:t>
      </w:r>
      <w:r w:rsidR="00CE200B">
        <w:t xml:space="preserve">tilizing the newly established pipelines extending from Spain to Europe, such as the Midi Catalonia pipeline, for transporting natural gas to Europe from intermediary nations that receive LNG from Qatar. </w:t>
      </w:r>
      <w:r w:rsidR="00213292">
        <w:t>Third, using the</w:t>
      </w:r>
      <w:r w:rsidR="00CE200B">
        <w:t xml:space="preserve"> Northern corridor, spanning from the UK through Belgium to the Netherlands, as the principal route for the distribution of natural gas to Europe from intermediary nations that acquire LNG from Qatar. </w:t>
      </w:r>
      <w:r w:rsidR="00213292">
        <w:t>Finally, o</w:t>
      </w:r>
      <w:r w:rsidR="00CE200B">
        <w:t>pting for the Baltic Sea corridor, which links Germany, Lithuania, and Poland, as the primary pathway for delivering natural gas to Europe from intermediary countries that source LNG from Qatar.</w:t>
      </w:r>
      <w:r w:rsidR="0016584A" w:rsidRPr="0016584A">
        <w:rPr>
          <w:rFonts w:ascii="Segoe UI" w:hAnsi="Segoe UI" w:cs="Segoe UI"/>
          <w:color w:val="374151"/>
          <w:shd w:val="clear" w:color="auto" w:fill="F7F7F8"/>
          <w:lang w:val="en-GB"/>
        </w:rPr>
        <w:t xml:space="preserve"> </w:t>
      </w:r>
      <w:r w:rsidR="0016584A">
        <w:rPr>
          <w:lang w:val="en-GB"/>
        </w:rPr>
        <w:t xml:space="preserve">Each of the </w:t>
      </w:r>
      <w:r w:rsidR="0016584A" w:rsidRPr="0016584A">
        <w:rPr>
          <w:lang w:val="en-GB"/>
        </w:rPr>
        <w:t>scenario</w:t>
      </w:r>
      <w:r w:rsidR="0016584A">
        <w:rPr>
          <w:lang w:val="en-GB"/>
        </w:rPr>
        <w:t>s described above were conducted by</w:t>
      </w:r>
      <w:r w:rsidR="0016584A" w:rsidRPr="0016584A">
        <w:rPr>
          <w:lang w:val="en-GB"/>
        </w:rPr>
        <w:t xml:space="preserve"> introducing </w:t>
      </w:r>
      <w:r w:rsidR="0016584A">
        <w:rPr>
          <w:lang w:val="en-GB"/>
        </w:rPr>
        <w:t>a Russian gas supply disruptions of 50%, and the respective allocations were then attained to</w:t>
      </w:r>
      <w:r w:rsidR="0016584A" w:rsidRPr="0016584A">
        <w:rPr>
          <w:lang w:val="en-GB"/>
        </w:rPr>
        <w:t xml:space="preserve"> meet the European demand</w:t>
      </w:r>
      <w:r w:rsidR="0016584A">
        <w:rPr>
          <w:lang w:val="en-GB"/>
        </w:rPr>
        <w:t xml:space="preserve"> based on the gas shortage identified</w:t>
      </w:r>
      <w:r w:rsidR="0016584A" w:rsidRPr="0016584A">
        <w:rPr>
          <w:lang w:val="en-GB"/>
        </w:rPr>
        <w:t>. The capacities of the pipeline network</w:t>
      </w:r>
      <w:r w:rsidR="0016584A">
        <w:rPr>
          <w:lang w:val="en-GB"/>
        </w:rPr>
        <w:t>s</w:t>
      </w:r>
      <w:r w:rsidR="0016584A" w:rsidRPr="0016584A">
        <w:rPr>
          <w:lang w:val="en-GB"/>
        </w:rPr>
        <w:t xml:space="preserve"> were acquired from ENTSOG, with a specific emphasis on countries located at cross-border points.</w:t>
      </w:r>
      <w:r w:rsidR="0016584A">
        <w:rPr>
          <w:lang w:val="en-GB"/>
        </w:rPr>
        <w:t xml:space="preserve"> Figure 2 below </w:t>
      </w:r>
      <w:r w:rsidR="0016584A">
        <w:rPr>
          <w:szCs w:val="18"/>
        </w:rPr>
        <w:t>provides a v</w:t>
      </w:r>
      <w:r w:rsidR="003C28EB">
        <w:rPr>
          <w:szCs w:val="18"/>
        </w:rPr>
        <w:t xml:space="preserve">isual representation. </w:t>
      </w:r>
      <w:r w:rsidR="00DA5756" w:rsidRPr="00DA5756">
        <w:t>Moreover, the regasification capacities of the different countries involved in each scenario were used in the model, as summarized in Table 1.</w:t>
      </w:r>
    </w:p>
    <w:p w14:paraId="086761EE" w14:textId="77777777" w:rsidR="003C28EB" w:rsidRPr="006953A6" w:rsidRDefault="003C28EB" w:rsidP="006953A6">
      <w:pPr>
        <w:pStyle w:val="Els-referenceno-number"/>
        <w:ind w:left="0" w:firstLine="0"/>
        <w:rPr>
          <w:szCs w:val="18"/>
          <w:lang w:val="en-US"/>
        </w:rPr>
      </w:pPr>
    </w:p>
    <w:p w14:paraId="6FD85CE3" w14:textId="50A02731" w:rsidR="0014512A" w:rsidRPr="0014512A" w:rsidRDefault="0016584A" w:rsidP="0014512A">
      <w:pPr>
        <w:pStyle w:val="Caption"/>
        <w:keepNext/>
        <w:spacing w:before="0"/>
        <w:rPr>
          <w:sz w:val="20"/>
        </w:rPr>
      </w:pPr>
      <w:r>
        <w:t xml:space="preserve">Table </w:t>
      </w:r>
      <w:r w:rsidR="0014512A">
        <w:t xml:space="preserve">1: </w:t>
      </w:r>
      <w:r>
        <w:t xml:space="preserve">Summary of maximum regasification capacities used for </w:t>
      </w:r>
      <w:r w:rsidR="00332AC9">
        <w:t>Scenarios</w:t>
      </w:r>
      <w:r>
        <w:t xml:space="preserve"> 1-4</w:t>
      </w:r>
      <w:r w:rsidR="00DE7CAA">
        <w:t xml:space="preserve"> (BP, 2022) &amp; (IGU 2023)</w:t>
      </w:r>
      <w:r w:rsidR="0014512A" w:rsidRPr="000406A5">
        <w:rPr>
          <w:sz w:val="20"/>
        </w:rPr>
        <w:t xml:space="preserve"> </w:t>
      </w:r>
    </w:p>
    <w:tbl>
      <w:tblPr>
        <w:tblW w:w="7052" w:type="dxa"/>
        <w:tblBorders>
          <w:top w:val="single" w:sz="4" w:space="0" w:color="auto"/>
          <w:bottom w:val="single" w:sz="4" w:space="0" w:color="auto"/>
        </w:tblBorders>
        <w:tblLook w:val="04A0" w:firstRow="1" w:lastRow="0" w:firstColumn="1" w:lastColumn="0" w:noHBand="0" w:noVBand="1"/>
      </w:tblPr>
      <w:tblGrid>
        <w:gridCol w:w="2174"/>
        <w:gridCol w:w="1626"/>
        <w:gridCol w:w="1626"/>
        <w:gridCol w:w="1626"/>
      </w:tblGrid>
      <w:tr w:rsidR="0014512A" w:rsidRPr="0014512A" w14:paraId="09876AF5" w14:textId="77777777" w:rsidTr="0014512A">
        <w:trPr>
          <w:trHeight w:val="265"/>
        </w:trPr>
        <w:tc>
          <w:tcPr>
            <w:tcW w:w="2174" w:type="dxa"/>
            <w:tcBorders>
              <w:top w:val="single" w:sz="4" w:space="0" w:color="auto"/>
              <w:bottom w:val="single" w:sz="4" w:space="0" w:color="auto"/>
            </w:tcBorders>
            <w:shd w:val="clear" w:color="auto" w:fill="auto"/>
            <w:noWrap/>
            <w:vAlign w:val="bottom"/>
            <w:hideMark/>
          </w:tcPr>
          <w:p w14:paraId="1EC6EEEA"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Country</w:t>
            </w:r>
          </w:p>
        </w:tc>
        <w:tc>
          <w:tcPr>
            <w:tcW w:w="1626" w:type="dxa"/>
            <w:tcBorders>
              <w:top w:val="single" w:sz="4" w:space="0" w:color="auto"/>
              <w:bottom w:val="single" w:sz="4" w:space="0" w:color="auto"/>
            </w:tcBorders>
            <w:shd w:val="clear" w:color="auto" w:fill="auto"/>
            <w:noWrap/>
            <w:vAlign w:val="bottom"/>
            <w:hideMark/>
          </w:tcPr>
          <w:p w14:paraId="50C8389C"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MTPA</w:t>
            </w:r>
          </w:p>
        </w:tc>
        <w:tc>
          <w:tcPr>
            <w:tcW w:w="1626" w:type="dxa"/>
            <w:tcBorders>
              <w:top w:val="single" w:sz="4" w:space="0" w:color="auto"/>
              <w:bottom w:val="single" w:sz="4" w:space="0" w:color="auto"/>
            </w:tcBorders>
            <w:shd w:val="clear" w:color="auto" w:fill="auto"/>
            <w:noWrap/>
            <w:vAlign w:val="bottom"/>
            <w:hideMark/>
          </w:tcPr>
          <w:p w14:paraId="2C309BF4"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Country</w:t>
            </w:r>
          </w:p>
        </w:tc>
        <w:tc>
          <w:tcPr>
            <w:tcW w:w="1626" w:type="dxa"/>
            <w:tcBorders>
              <w:top w:val="single" w:sz="4" w:space="0" w:color="auto"/>
              <w:bottom w:val="single" w:sz="4" w:space="0" w:color="auto"/>
            </w:tcBorders>
            <w:shd w:val="clear" w:color="auto" w:fill="auto"/>
            <w:noWrap/>
            <w:vAlign w:val="bottom"/>
            <w:hideMark/>
          </w:tcPr>
          <w:p w14:paraId="5FDBACF7"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MTPA</w:t>
            </w:r>
          </w:p>
        </w:tc>
      </w:tr>
      <w:tr w:rsidR="0014512A" w:rsidRPr="0014512A" w14:paraId="2559BB8A" w14:textId="77777777" w:rsidTr="0014512A">
        <w:trPr>
          <w:trHeight w:val="265"/>
        </w:trPr>
        <w:tc>
          <w:tcPr>
            <w:tcW w:w="2174" w:type="dxa"/>
            <w:tcBorders>
              <w:top w:val="single" w:sz="4" w:space="0" w:color="auto"/>
            </w:tcBorders>
            <w:shd w:val="clear" w:color="auto" w:fill="auto"/>
            <w:noWrap/>
            <w:vAlign w:val="bottom"/>
            <w:hideMark/>
          </w:tcPr>
          <w:p w14:paraId="2B1EE9B5"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Turkey</w:t>
            </w:r>
          </w:p>
        </w:tc>
        <w:tc>
          <w:tcPr>
            <w:tcW w:w="1626" w:type="dxa"/>
            <w:tcBorders>
              <w:top w:val="single" w:sz="4" w:space="0" w:color="auto"/>
            </w:tcBorders>
            <w:shd w:val="clear" w:color="auto" w:fill="auto"/>
            <w:noWrap/>
            <w:vAlign w:val="bottom"/>
            <w:hideMark/>
          </w:tcPr>
          <w:p w14:paraId="5BF8A124"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838</w:t>
            </w:r>
          </w:p>
        </w:tc>
        <w:tc>
          <w:tcPr>
            <w:tcW w:w="1626" w:type="dxa"/>
            <w:tcBorders>
              <w:top w:val="single" w:sz="4" w:space="0" w:color="auto"/>
            </w:tcBorders>
            <w:shd w:val="clear" w:color="auto" w:fill="auto"/>
            <w:noWrap/>
            <w:vAlign w:val="bottom"/>
            <w:hideMark/>
          </w:tcPr>
          <w:p w14:paraId="6C4ABA7E"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France</w:t>
            </w:r>
          </w:p>
        </w:tc>
        <w:tc>
          <w:tcPr>
            <w:tcW w:w="1626" w:type="dxa"/>
            <w:tcBorders>
              <w:top w:val="single" w:sz="4" w:space="0" w:color="auto"/>
            </w:tcBorders>
            <w:shd w:val="clear" w:color="auto" w:fill="auto"/>
            <w:noWrap/>
            <w:vAlign w:val="bottom"/>
            <w:hideMark/>
          </w:tcPr>
          <w:p w14:paraId="09E15A81"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650</w:t>
            </w:r>
          </w:p>
        </w:tc>
      </w:tr>
      <w:tr w:rsidR="0014512A" w:rsidRPr="0014512A" w14:paraId="0911F3F2" w14:textId="77777777" w:rsidTr="0014512A">
        <w:trPr>
          <w:trHeight w:val="265"/>
        </w:trPr>
        <w:tc>
          <w:tcPr>
            <w:tcW w:w="2174" w:type="dxa"/>
            <w:shd w:val="clear" w:color="auto" w:fill="auto"/>
            <w:noWrap/>
            <w:vAlign w:val="bottom"/>
            <w:hideMark/>
          </w:tcPr>
          <w:p w14:paraId="7E7C6B34"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Italy &amp; Greece</w:t>
            </w:r>
          </w:p>
        </w:tc>
        <w:tc>
          <w:tcPr>
            <w:tcW w:w="1626" w:type="dxa"/>
            <w:shd w:val="clear" w:color="auto" w:fill="auto"/>
            <w:noWrap/>
            <w:vAlign w:val="bottom"/>
            <w:hideMark/>
          </w:tcPr>
          <w:p w14:paraId="0629B470"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161</w:t>
            </w:r>
          </w:p>
        </w:tc>
        <w:tc>
          <w:tcPr>
            <w:tcW w:w="1626" w:type="dxa"/>
            <w:shd w:val="clear" w:color="auto" w:fill="auto"/>
            <w:noWrap/>
            <w:vAlign w:val="bottom"/>
            <w:hideMark/>
          </w:tcPr>
          <w:p w14:paraId="08FBDA9F"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Belgium</w:t>
            </w:r>
          </w:p>
        </w:tc>
        <w:tc>
          <w:tcPr>
            <w:tcW w:w="1626" w:type="dxa"/>
            <w:shd w:val="clear" w:color="auto" w:fill="auto"/>
            <w:noWrap/>
            <w:vAlign w:val="bottom"/>
            <w:hideMark/>
          </w:tcPr>
          <w:p w14:paraId="40FEC680"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161</w:t>
            </w:r>
          </w:p>
        </w:tc>
      </w:tr>
      <w:tr w:rsidR="0014512A" w:rsidRPr="0014512A" w14:paraId="6D3E8A8A" w14:textId="77777777" w:rsidTr="0014512A">
        <w:trPr>
          <w:trHeight w:val="265"/>
        </w:trPr>
        <w:tc>
          <w:tcPr>
            <w:tcW w:w="2174" w:type="dxa"/>
            <w:shd w:val="clear" w:color="auto" w:fill="auto"/>
            <w:noWrap/>
            <w:vAlign w:val="bottom"/>
            <w:hideMark/>
          </w:tcPr>
          <w:p w14:paraId="10C83D6B"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Croatia</w:t>
            </w:r>
          </w:p>
        </w:tc>
        <w:tc>
          <w:tcPr>
            <w:tcW w:w="1626" w:type="dxa"/>
            <w:shd w:val="clear" w:color="auto" w:fill="auto"/>
            <w:noWrap/>
            <w:vAlign w:val="bottom"/>
            <w:hideMark/>
          </w:tcPr>
          <w:p w14:paraId="6CE8F5AE"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212</w:t>
            </w:r>
          </w:p>
        </w:tc>
        <w:tc>
          <w:tcPr>
            <w:tcW w:w="1626" w:type="dxa"/>
            <w:shd w:val="clear" w:color="auto" w:fill="auto"/>
            <w:noWrap/>
            <w:vAlign w:val="bottom"/>
            <w:hideMark/>
          </w:tcPr>
          <w:p w14:paraId="4025FCD0"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Germany</w:t>
            </w:r>
          </w:p>
        </w:tc>
        <w:tc>
          <w:tcPr>
            <w:tcW w:w="1626" w:type="dxa"/>
            <w:shd w:val="clear" w:color="auto" w:fill="auto"/>
            <w:noWrap/>
            <w:vAlign w:val="bottom"/>
            <w:hideMark/>
          </w:tcPr>
          <w:p w14:paraId="0C6080EC"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490</w:t>
            </w:r>
          </w:p>
        </w:tc>
      </w:tr>
      <w:tr w:rsidR="0014512A" w:rsidRPr="0014512A" w14:paraId="335F199A" w14:textId="77777777" w:rsidTr="0014512A">
        <w:trPr>
          <w:trHeight w:val="265"/>
        </w:trPr>
        <w:tc>
          <w:tcPr>
            <w:tcW w:w="2174" w:type="dxa"/>
            <w:shd w:val="clear" w:color="auto" w:fill="auto"/>
            <w:noWrap/>
            <w:vAlign w:val="bottom"/>
            <w:hideMark/>
          </w:tcPr>
          <w:p w14:paraId="1355C1CD"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Spain</w:t>
            </w:r>
          </w:p>
        </w:tc>
        <w:tc>
          <w:tcPr>
            <w:tcW w:w="1626" w:type="dxa"/>
            <w:shd w:val="clear" w:color="auto" w:fill="auto"/>
            <w:noWrap/>
            <w:vAlign w:val="bottom"/>
            <w:hideMark/>
          </w:tcPr>
          <w:p w14:paraId="5BF89E14"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965</w:t>
            </w:r>
          </w:p>
        </w:tc>
        <w:tc>
          <w:tcPr>
            <w:tcW w:w="1626" w:type="dxa"/>
            <w:shd w:val="clear" w:color="auto" w:fill="auto"/>
            <w:noWrap/>
            <w:vAlign w:val="bottom"/>
            <w:hideMark/>
          </w:tcPr>
          <w:p w14:paraId="6BD53F7A"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Poland</w:t>
            </w:r>
          </w:p>
        </w:tc>
        <w:tc>
          <w:tcPr>
            <w:tcW w:w="1626" w:type="dxa"/>
            <w:shd w:val="clear" w:color="auto" w:fill="auto"/>
            <w:noWrap/>
            <w:vAlign w:val="bottom"/>
            <w:hideMark/>
          </w:tcPr>
          <w:p w14:paraId="6EF11FD5"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43</w:t>
            </w:r>
          </w:p>
        </w:tc>
      </w:tr>
      <w:tr w:rsidR="0014512A" w:rsidRPr="0014512A" w14:paraId="27C00A62" w14:textId="77777777" w:rsidTr="0014512A">
        <w:trPr>
          <w:trHeight w:val="265"/>
        </w:trPr>
        <w:tc>
          <w:tcPr>
            <w:tcW w:w="2174" w:type="dxa"/>
            <w:shd w:val="clear" w:color="auto" w:fill="auto"/>
            <w:noWrap/>
            <w:vAlign w:val="bottom"/>
            <w:hideMark/>
          </w:tcPr>
          <w:p w14:paraId="62660016"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UK</w:t>
            </w:r>
          </w:p>
        </w:tc>
        <w:tc>
          <w:tcPr>
            <w:tcW w:w="1626" w:type="dxa"/>
            <w:shd w:val="clear" w:color="auto" w:fill="auto"/>
            <w:noWrap/>
            <w:vAlign w:val="bottom"/>
            <w:hideMark/>
          </w:tcPr>
          <w:p w14:paraId="7E1E2F58"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219</w:t>
            </w:r>
          </w:p>
        </w:tc>
        <w:tc>
          <w:tcPr>
            <w:tcW w:w="1626" w:type="dxa"/>
            <w:shd w:val="clear" w:color="auto" w:fill="auto"/>
            <w:noWrap/>
            <w:vAlign w:val="bottom"/>
            <w:hideMark/>
          </w:tcPr>
          <w:p w14:paraId="670B3DA0"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Lithuania</w:t>
            </w:r>
          </w:p>
        </w:tc>
        <w:tc>
          <w:tcPr>
            <w:tcW w:w="1626" w:type="dxa"/>
            <w:shd w:val="clear" w:color="auto" w:fill="auto"/>
            <w:noWrap/>
            <w:vAlign w:val="bottom"/>
            <w:hideMark/>
          </w:tcPr>
          <w:p w14:paraId="35480A4D"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88</w:t>
            </w:r>
          </w:p>
        </w:tc>
      </w:tr>
      <w:tr w:rsidR="0014512A" w:rsidRPr="0014512A" w14:paraId="3226E7CF" w14:textId="77777777" w:rsidTr="0014512A">
        <w:trPr>
          <w:trHeight w:val="265"/>
        </w:trPr>
        <w:tc>
          <w:tcPr>
            <w:tcW w:w="2174" w:type="dxa"/>
            <w:shd w:val="clear" w:color="auto" w:fill="auto"/>
            <w:noWrap/>
            <w:vAlign w:val="bottom"/>
            <w:hideMark/>
          </w:tcPr>
          <w:p w14:paraId="0D5B2659" w14:textId="77777777" w:rsidR="0014512A" w:rsidRPr="0014512A" w:rsidRDefault="0014512A" w:rsidP="0014512A">
            <w:pPr>
              <w:rPr>
                <w:rFonts w:asciiTheme="majorBidi" w:hAnsiTheme="majorBidi" w:cstheme="majorBidi"/>
                <w:color w:val="000000"/>
                <w:lang w:val="en-US"/>
              </w:rPr>
            </w:pPr>
            <w:r w:rsidRPr="0014512A">
              <w:rPr>
                <w:rFonts w:asciiTheme="majorBidi" w:hAnsiTheme="majorBidi" w:cstheme="majorBidi"/>
                <w:color w:val="000000"/>
                <w:lang w:val="en-US"/>
              </w:rPr>
              <w:t>Netherlands</w:t>
            </w:r>
          </w:p>
        </w:tc>
        <w:tc>
          <w:tcPr>
            <w:tcW w:w="1626" w:type="dxa"/>
            <w:shd w:val="clear" w:color="auto" w:fill="auto"/>
            <w:noWrap/>
            <w:vAlign w:val="bottom"/>
            <w:hideMark/>
          </w:tcPr>
          <w:p w14:paraId="7CDAE883" w14:textId="77777777" w:rsidR="0014512A" w:rsidRPr="0014512A" w:rsidRDefault="0014512A" w:rsidP="0014512A">
            <w:pPr>
              <w:jc w:val="center"/>
              <w:rPr>
                <w:rFonts w:asciiTheme="majorBidi" w:hAnsiTheme="majorBidi" w:cstheme="majorBidi"/>
                <w:color w:val="000000"/>
                <w:lang w:val="en-US"/>
              </w:rPr>
            </w:pPr>
            <w:r w:rsidRPr="0014512A">
              <w:rPr>
                <w:rFonts w:asciiTheme="majorBidi" w:hAnsiTheme="majorBidi" w:cstheme="majorBidi"/>
                <w:color w:val="000000"/>
                <w:lang w:val="en-US"/>
              </w:rPr>
              <w:t>159</w:t>
            </w:r>
          </w:p>
        </w:tc>
        <w:tc>
          <w:tcPr>
            <w:tcW w:w="1626" w:type="dxa"/>
            <w:shd w:val="clear" w:color="auto" w:fill="auto"/>
            <w:noWrap/>
            <w:vAlign w:val="bottom"/>
            <w:hideMark/>
          </w:tcPr>
          <w:p w14:paraId="7516F507" w14:textId="77777777" w:rsidR="0014512A" w:rsidRPr="0014512A" w:rsidRDefault="0014512A" w:rsidP="0014512A">
            <w:pPr>
              <w:jc w:val="right"/>
              <w:rPr>
                <w:rFonts w:asciiTheme="majorBidi" w:hAnsiTheme="majorBidi" w:cstheme="majorBidi"/>
                <w:color w:val="000000"/>
                <w:lang w:val="en-US"/>
              </w:rPr>
            </w:pPr>
          </w:p>
        </w:tc>
        <w:tc>
          <w:tcPr>
            <w:tcW w:w="1626" w:type="dxa"/>
            <w:shd w:val="clear" w:color="auto" w:fill="auto"/>
            <w:noWrap/>
            <w:vAlign w:val="bottom"/>
            <w:hideMark/>
          </w:tcPr>
          <w:p w14:paraId="0CC30F19" w14:textId="77777777" w:rsidR="0014512A" w:rsidRPr="0014512A" w:rsidRDefault="0014512A" w:rsidP="0014512A">
            <w:pPr>
              <w:jc w:val="center"/>
              <w:rPr>
                <w:rFonts w:asciiTheme="majorBidi" w:hAnsiTheme="majorBidi" w:cstheme="majorBidi"/>
                <w:lang w:val="en-US"/>
              </w:rPr>
            </w:pPr>
          </w:p>
        </w:tc>
      </w:tr>
    </w:tbl>
    <w:p w14:paraId="37D70382" w14:textId="342380BB" w:rsidR="00DF21CA" w:rsidRDefault="00DF21CA" w:rsidP="00DF21CA">
      <w:pPr>
        <w:pStyle w:val="Els-body-text"/>
        <w:jc w:val="center"/>
      </w:pPr>
      <w:r>
        <w:rPr>
          <w:noProof/>
        </w:rPr>
        <w:lastRenderedPageBreak/>
        <w:drawing>
          <wp:inline distT="0" distB="0" distL="0" distR="0" wp14:anchorId="14CDB5D7" wp14:editId="60F03088">
            <wp:extent cx="4267200" cy="24411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764" cy="2468928"/>
                    </a:xfrm>
                    <a:prstGeom prst="rect">
                      <a:avLst/>
                    </a:prstGeom>
                    <a:noFill/>
                  </pic:spPr>
                </pic:pic>
              </a:graphicData>
            </a:graphic>
          </wp:inline>
        </w:drawing>
      </w:r>
    </w:p>
    <w:p w14:paraId="510E446D" w14:textId="77777777" w:rsidR="00DF21CA" w:rsidRPr="002231C1" w:rsidRDefault="00DF21CA" w:rsidP="00DF21CA">
      <w:pPr>
        <w:pStyle w:val="Els-body-text"/>
        <w:jc w:val="center"/>
      </w:pPr>
    </w:p>
    <w:p w14:paraId="4EAE6E63" w14:textId="77777777" w:rsidR="00DF21CA" w:rsidRDefault="00DF21CA" w:rsidP="00DF21CA">
      <w:pPr>
        <w:pStyle w:val="Els-referenceno-number"/>
        <w:ind w:left="0" w:firstLine="0"/>
        <w:rPr>
          <w:szCs w:val="18"/>
          <w:lang w:val="en-US"/>
        </w:rPr>
      </w:pPr>
      <w:r w:rsidRPr="00954941">
        <w:rPr>
          <w:szCs w:val="18"/>
          <w:lang w:val="en-US"/>
        </w:rPr>
        <w:t xml:space="preserve">Figure 2: </w:t>
      </w:r>
      <w:r w:rsidRPr="00904A5A">
        <w:rPr>
          <w:szCs w:val="18"/>
          <w:lang w:val="en-US"/>
        </w:rPr>
        <w:t>Visual representations of pipe corridors for Scenarios 1-4 including (a) Southern Corridor (b) Northern Corridor (c) Spain Corridor and (d) Baltic Sea Corridor</w:t>
      </w:r>
    </w:p>
    <w:p w14:paraId="6A06A39B" w14:textId="186B6616" w:rsidR="00A90272" w:rsidRPr="001F0E23" w:rsidRDefault="00CE200B" w:rsidP="00625E97">
      <w:pPr>
        <w:pStyle w:val="Els-referenceno-number"/>
        <w:spacing w:before="240" w:after="240"/>
        <w:ind w:left="0" w:firstLine="0"/>
        <w:jc w:val="both"/>
        <w:rPr>
          <w:sz w:val="20"/>
          <w:lang w:val="en-US"/>
        </w:rPr>
      </w:pPr>
      <w:r w:rsidRPr="000406A5">
        <w:rPr>
          <w:sz w:val="20"/>
          <w:lang w:val="en-US"/>
        </w:rPr>
        <w:t xml:space="preserve">The model results have yielded preliminary LNG export strategies for Qatar. It has been determined that Qatar has the capacity to meet up to a 50% disruption in Russian gas supplies to the European Union. </w:t>
      </w:r>
      <w:r w:rsidR="0008249F">
        <w:rPr>
          <w:sz w:val="20"/>
        </w:rPr>
        <w:t xml:space="preserve">Figure 3 illustrates </w:t>
      </w:r>
      <w:r w:rsidR="0008249F" w:rsidRPr="00A90272">
        <w:rPr>
          <w:sz w:val="20"/>
        </w:rPr>
        <w:t xml:space="preserve">the </w:t>
      </w:r>
      <w:r w:rsidR="0008249F" w:rsidRPr="00A90272">
        <w:rPr>
          <w:sz w:val="20"/>
          <w:lang w:val="en-US"/>
        </w:rPr>
        <w:t xml:space="preserve">Optimal percentage of LNG allocated per country with respect to the total LNG export preditions from Qatar to Europe for </w:t>
      </w:r>
      <w:r w:rsidR="0008249F">
        <w:rPr>
          <w:sz w:val="20"/>
          <w:lang w:val="en-US"/>
        </w:rPr>
        <w:t xml:space="preserve">the different scenarios that were investigated. </w:t>
      </w:r>
    </w:p>
    <w:p w14:paraId="7C6F05BE" w14:textId="22DCF9B2" w:rsidR="00353A24" w:rsidRDefault="00DF21CA" w:rsidP="00DF21CA">
      <w:pPr>
        <w:pStyle w:val="Els-referenceno-number"/>
        <w:spacing w:before="240" w:after="240"/>
        <w:ind w:left="0" w:firstLine="0"/>
        <w:jc w:val="center"/>
        <w:rPr>
          <w:sz w:val="20"/>
          <w:lang w:val="en-US"/>
        </w:rPr>
      </w:pPr>
      <w:r>
        <w:rPr>
          <w:sz w:val="20"/>
          <w:lang w:val="en-US"/>
        </w:rPr>
        <w:drawing>
          <wp:inline distT="0" distB="0" distL="0" distR="0" wp14:anchorId="7A011A49" wp14:editId="027EC76D">
            <wp:extent cx="4168140" cy="225649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1" r="887" b="4972"/>
                    <a:stretch/>
                  </pic:blipFill>
                  <pic:spPr bwMode="auto">
                    <a:xfrm>
                      <a:off x="0" y="0"/>
                      <a:ext cx="4201307" cy="2274450"/>
                    </a:xfrm>
                    <a:prstGeom prst="rect">
                      <a:avLst/>
                    </a:prstGeom>
                    <a:noFill/>
                    <a:ln>
                      <a:noFill/>
                    </a:ln>
                    <a:extLst>
                      <a:ext uri="{53640926-AAD7-44D8-BBD7-CCE9431645EC}">
                        <a14:shadowObscured xmlns:a14="http://schemas.microsoft.com/office/drawing/2010/main"/>
                      </a:ext>
                    </a:extLst>
                  </pic:spPr>
                </pic:pic>
              </a:graphicData>
            </a:graphic>
          </wp:inline>
        </w:drawing>
      </w:r>
    </w:p>
    <w:p w14:paraId="52F9307C" w14:textId="77777777" w:rsidR="00DF21CA" w:rsidRDefault="00353A24" w:rsidP="00DF21CA">
      <w:pPr>
        <w:pStyle w:val="Els-referenceno-number"/>
        <w:spacing w:before="240" w:after="240"/>
        <w:ind w:left="0" w:firstLine="0"/>
        <w:jc w:val="both"/>
        <w:rPr>
          <w:szCs w:val="18"/>
          <w:lang w:val="en-US"/>
        </w:rPr>
      </w:pPr>
      <w:r w:rsidRPr="00954941">
        <w:rPr>
          <w:szCs w:val="18"/>
          <w:lang w:val="en-US"/>
        </w:rPr>
        <w:t xml:space="preserve">Figure </w:t>
      </w:r>
      <w:r>
        <w:rPr>
          <w:szCs w:val="18"/>
          <w:lang w:val="en-US"/>
        </w:rPr>
        <w:t>3</w:t>
      </w:r>
      <w:r w:rsidRPr="00954941">
        <w:rPr>
          <w:szCs w:val="18"/>
          <w:lang w:val="en-US"/>
        </w:rPr>
        <w:t xml:space="preserve">: </w:t>
      </w:r>
      <w:r w:rsidRPr="00353A24">
        <w:rPr>
          <w:szCs w:val="18"/>
          <w:lang w:val="en-US"/>
        </w:rPr>
        <w:t>Optimal percentage of LNG allocated per country with respect to the total LNG export preditions from Qatar to Europe for all scenarios combined</w:t>
      </w:r>
    </w:p>
    <w:p w14:paraId="1ED1C0E0" w14:textId="7AE94238" w:rsidR="0008249F" w:rsidRPr="00DF21CA" w:rsidRDefault="00625E97" w:rsidP="00436AB9">
      <w:pPr>
        <w:pStyle w:val="Els-referenceno-number"/>
        <w:spacing w:before="240" w:after="240"/>
        <w:ind w:left="0" w:firstLine="0"/>
        <w:jc w:val="both"/>
        <w:rPr>
          <w:szCs w:val="18"/>
          <w:lang w:val="en-US"/>
        </w:rPr>
      </w:pPr>
      <w:r w:rsidRPr="000406A5">
        <w:rPr>
          <w:sz w:val="20"/>
          <w:lang w:val="en-US"/>
        </w:rPr>
        <w:t xml:space="preserve">To accommodate higher demand, Qatar would need to reconsider its existing contracts in Asian markets. Notably, </w:t>
      </w:r>
      <w:r w:rsidR="00436AB9">
        <w:rPr>
          <w:sz w:val="20"/>
          <w:lang w:val="en-US"/>
        </w:rPr>
        <w:t>Case (a)</w:t>
      </w:r>
      <w:r w:rsidRPr="000406A5">
        <w:rPr>
          <w:sz w:val="20"/>
          <w:lang w:val="en-US"/>
        </w:rPr>
        <w:t xml:space="preserve"> </w:t>
      </w:r>
      <w:r w:rsidR="00436AB9">
        <w:rPr>
          <w:sz w:val="20"/>
          <w:lang w:val="en-US"/>
        </w:rPr>
        <w:t xml:space="preserve">and </w:t>
      </w:r>
      <w:r w:rsidRPr="000406A5">
        <w:rPr>
          <w:sz w:val="20"/>
          <w:lang w:val="en-US"/>
        </w:rPr>
        <w:t xml:space="preserve">(Case </w:t>
      </w:r>
      <w:r w:rsidR="00436AB9">
        <w:rPr>
          <w:sz w:val="20"/>
          <w:lang w:val="en-US"/>
        </w:rPr>
        <w:t>d</w:t>
      </w:r>
      <w:r w:rsidRPr="000406A5">
        <w:rPr>
          <w:sz w:val="20"/>
          <w:lang w:val="en-US"/>
        </w:rPr>
        <w:t>) emerged as more cost-effective options when compared to the other scenarios</w:t>
      </w:r>
      <w:r w:rsidRPr="008F2321">
        <w:rPr>
          <w:sz w:val="20"/>
          <w:lang w:val="en-US"/>
        </w:rPr>
        <w:t xml:space="preserve"> </w:t>
      </w:r>
      <w:r w:rsidRPr="000406A5">
        <w:rPr>
          <w:sz w:val="20"/>
          <w:lang w:val="en-US"/>
        </w:rPr>
        <w:t>studied.</w:t>
      </w:r>
      <w:r>
        <w:rPr>
          <w:sz w:val="20"/>
          <w:lang w:val="en-US"/>
        </w:rPr>
        <w:t xml:space="preserve"> </w:t>
      </w:r>
      <w:r w:rsidR="00DF21CA">
        <w:rPr>
          <w:sz w:val="20"/>
          <w:lang w:val="en-US"/>
        </w:rPr>
        <w:t xml:space="preserve">Despite this, </w:t>
      </w:r>
      <w:r w:rsidR="00DF21CA" w:rsidRPr="000406A5">
        <w:rPr>
          <w:sz w:val="20"/>
          <w:lang w:val="en-US"/>
        </w:rPr>
        <w:t xml:space="preserve">Qatar can </w:t>
      </w:r>
      <w:r w:rsidR="00DF21CA">
        <w:rPr>
          <w:sz w:val="20"/>
          <w:lang w:val="en-US"/>
        </w:rPr>
        <w:t xml:space="preserve">still </w:t>
      </w:r>
      <w:r w:rsidR="00DF21CA" w:rsidRPr="000406A5">
        <w:rPr>
          <w:sz w:val="20"/>
          <w:lang w:val="en-US"/>
        </w:rPr>
        <w:t xml:space="preserve">utilize the Northern corridor to serve regions with increased demand, including the UK, France, </w:t>
      </w:r>
      <w:r w:rsidR="00DF21CA" w:rsidRPr="000406A5">
        <w:rPr>
          <w:sz w:val="20"/>
          <w:lang w:val="en-US"/>
        </w:rPr>
        <w:lastRenderedPageBreak/>
        <w:t>Belgium, and the Netherlands, leveraging the existing</w:t>
      </w:r>
      <w:r w:rsidR="00DF21CA">
        <w:rPr>
          <w:sz w:val="20"/>
          <w:lang w:val="en-US"/>
        </w:rPr>
        <w:t xml:space="preserve"> </w:t>
      </w:r>
      <w:r w:rsidR="00DF21CA" w:rsidRPr="00A90272">
        <w:rPr>
          <w:sz w:val="20"/>
          <w:lang w:val="en-US"/>
        </w:rPr>
        <w:t xml:space="preserve">ENSTOG pipeline infrastructure. Qatar can </w:t>
      </w:r>
      <w:r>
        <w:rPr>
          <w:sz w:val="20"/>
          <w:lang w:val="en-US"/>
        </w:rPr>
        <w:t xml:space="preserve">also </w:t>
      </w:r>
      <w:r w:rsidR="00DF21CA" w:rsidRPr="00A90272">
        <w:rPr>
          <w:sz w:val="20"/>
          <w:lang w:val="en-US"/>
        </w:rPr>
        <w:t>supply LNG to Germany, which, in turn, can distribute it to Baltic Sea countries such as Poland and Lithuania</w:t>
      </w:r>
      <w:r>
        <w:rPr>
          <w:sz w:val="20"/>
          <w:lang w:val="en-US"/>
        </w:rPr>
        <w:t xml:space="preserve">. </w:t>
      </w:r>
      <w:r w:rsidR="00436AB9">
        <w:rPr>
          <w:sz w:val="20"/>
          <w:lang w:val="en-US"/>
        </w:rPr>
        <w:t>Case (a)</w:t>
      </w:r>
      <w:r w:rsidR="0008249F" w:rsidRPr="008F2321">
        <w:rPr>
          <w:sz w:val="20"/>
        </w:rPr>
        <w:t xml:space="preserve"> outlines strategic pathways for Qatar to facilitate LNG</w:t>
      </w:r>
      <w:r>
        <w:rPr>
          <w:sz w:val="20"/>
        </w:rPr>
        <w:t xml:space="preserve"> supply to Europe via</w:t>
      </w:r>
      <w:r w:rsidR="0008249F" w:rsidRPr="008F2321">
        <w:rPr>
          <w:sz w:val="20"/>
        </w:rPr>
        <w:t xml:space="preserve"> nations like Turkey, Italy, Greece, and Croatia. These countries </w:t>
      </w:r>
      <w:r w:rsidR="008A775D">
        <w:rPr>
          <w:sz w:val="20"/>
        </w:rPr>
        <w:t xml:space="preserve">possess </w:t>
      </w:r>
      <w:r w:rsidR="0008249F" w:rsidRPr="008F2321">
        <w:rPr>
          <w:sz w:val="20"/>
        </w:rPr>
        <w:t xml:space="preserve">substantial gas and LNG infrastructure, linking to major pipelines and intermediate countries in Europe. Furthermore, the southern corridor establishes cross-border connections that interconnect Turkey, Italy, Greece, and Croatia, with extensions reaching Hungary, Austria, Slovenia, and the Swiss border. This region exhibits a promising demand outlook for both natural gas and LNG, with potential for proposed pipeline projects to even reach Germany in the future. On the other hand, the optimum allocations that were attained for </w:t>
      </w:r>
      <w:r w:rsidR="00436AB9">
        <w:rPr>
          <w:sz w:val="20"/>
        </w:rPr>
        <w:t>Case (b)</w:t>
      </w:r>
      <w:r w:rsidR="0008249F" w:rsidRPr="008F2321">
        <w:rPr>
          <w:sz w:val="20"/>
        </w:rPr>
        <w:t xml:space="preserve"> involve LNG distribution from Qatar to the Northern Corridor nations, encompassing the UK, Belgium, the Netherlands, and France. </w:t>
      </w:r>
      <w:r w:rsidR="00436AB9">
        <w:rPr>
          <w:sz w:val="20"/>
        </w:rPr>
        <w:t xml:space="preserve">The </w:t>
      </w:r>
      <w:r w:rsidR="0008249F" w:rsidRPr="008F2321">
        <w:rPr>
          <w:sz w:val="20"/>
        </w:rPr>
        <w:t>largest portion of Qatar's LNG allo</w:t>
      </w:r>
      <w:r w:rsidR="00436AB9">
        <w:rPr>
          <w:sz w:val="20"/>
        </w:rPr>
        <w:t>cation was designated for Spain in Case (c).</w:t>
      </w:r>
      <w:r w:rsidR="0008249F" w:rsidRPr="008F2321">
        <w:rPr>
          <w:sz w:val="20"/>
        </w:rPr>
        <w:t xml:space="preserve"> Finally</w:t>
      </w:r>
      <w:r w:rsidR="00436AB9">
        <w:rPr>
          <w:sz w:val="20"/>
        </w:rPr>
        <w:t>, Case (d)</w:t>
      </w:r>
      <w:r w:rsidR="0008249F" w:rsidRPr="008F2321">
        <w:rPr>
          <w:sz w:val="20"/>
        </w:rPr>
        <w:t xml:space="preserve"> allocations entailed LNG being sent from Qatar to the Baltic Sea area </w:t>
      </w:r>
      <w:r w:rsidR="00647058">
        <w:rPr>
          <w:sz w:val="20"/>
        </w:rPr>
        <w:t xml:space="preserve">mainly </w:t>
      </w:r>
      <w:r w:rsidR="0008249F" w:rsidRPr="008F2321">
        <w:rPr>
          <w:sz w:val="20"/>
        </w:rPr>
        <w:t xml:space="preserve">via Germany and Poland. </w:t>
      </w:r>
    </w:p>
    <w:p w14:paraId="64B62C30" w14:textId="7DD3A1BD" w:rsidR="00CE200B" w:rsidRPr="00E961C1" w:rsidRDefault="004D5826" w:rsidP="00DF21CA">
      <w:pPr>
        <w:pStyle w:val="Els-referenceno-number"/>
        <w:spacing w:before="240"/>
        <w:ind w:left="0" w:firstLine="0"/>
        <w:jc w:val="both"/>
        <w:rPr>
          <w:b/>
          <w:bCs/>
          <w:sz w:val="22"/>
          <w:szCs w:val="22"/>
          <w:lang w:val="en-US"/>
        </w:rPr>
      </w:pPr>
      <w:r>
        <w:rPr>
          <w:b/>
          <w:bCs/>
          <w:sz w:val="22"/>
          <w:szCs w:val="22"/>
          <w:lang w:val="en-US"/>
        </w:rPr>
        <w:t>4</w:t>
      </w:r>
      <w:r w:rsidR="00CE200B" w:rsidRPr="00E961C1">
        <w:rPr>
          <w:b/>
          <w:bCs/>
          <w:sz w:val="22"/>
          <w:szCs w:val="22"/>
          <w:lang w:val="en-US"/>
        </w:rPr>
        <w:t>. Conclusion</w:t>
      </w:r>
    </w:p>
    <w:p w14:paraId="6AAE546B" w14:textId="77777777" w:rsidR="00DF21CA" w:rsidRDefault="00DF21CA" w:rsidP="00DF21CA">
      <w:pPr>
        <w:pStyle w:val="Els-referenceno-number"/>
        <w:ind w:left="0" w:firstLine="0"/>
        <w:jc w:val="both"/>
        <w:rPr>
          <w:sz w:val="20"/>
          <w:lang w:val="en-US"/>
        </w:rPr>
      </w:pPr>
    </w:p>
    <w:p w14:paraId="6858B7F8" w14:textId="2D8EC234" w:rsidR="008A775D" w:rsidRPr="00436AB9" w:rsidRDefault="00647058" w:rsidP="00436AB9">
      <w:pPr>
        <w:pStyle w:val="Els-referenceno-number"/>
        <w:ind w:left="0" w:firstLine="0"/>
        <w:jc w:val="both"/>
        <w:rPr>
          <w:sz w:val="20"/>
          <w:lang w:val="en-US"/>
        </w:rPr>
      </w:pPr>
      <w:r>
        <w:rPr>
          <w:sz w:val="20"/>
          <w:lang w:val="en-US"/>
        </w:rPr>
        <w:t>A</w:t>
      </w:r>
      <w:r w:rsidR="00CE200B" w:rsidRPr="007B1A1E">
        <w:rPr>
          <w:sz w:val="20"/>
          <w:lang w:val="en-US"/>
        </w:rPr>
        <w:t xml:space="preserve"> comprehensive mathematical model designed to optimize Qatar's natural gas exports to Europe</w:t>
      </w:r>
      <w:r>
        <w:rPr>
          <w:sz w:val="20"/>
          <w:lang w:val="en-US"/>
        </w:rPr>
        <w:t xml:space="preserve">. The model </w:t>
      </w:r>
      <w:r w:rsidR="00CE200B" w:rsidRPr="007B1A1E">
        <w:rPr>
          <w:sz w:val="20"/>
          <w:lang w:val="en-US"/>
        </w:rPr>
        <w:t xml:space="preserve">takes into account various critical factors including demand, supply, pricing, and transportation. It successfully integrates both economic and technical aspects of the natural gas industry, offering a holistic solution that </w:t>
      </w:r>
      <w:r>
        <w:rPr>
          <w:sz w:val="20"/>
          <w:lang w:val="en-US"/>
        </w:rPr>
        <w:t xml:space="preserve">minimizes the costs associated with meeting the European market </w:t>
      </w:r>
      <w:r w:rsidR="00CE200B" w:rsidRPr="007B1A1E">
        <w:rPr>
          <w:sz w:val="20"/>
          <w:lang w:val="en-US"/>
        </w:rPr>
        <w:t xml:space="preserve">demands. </w:t>
      </w:r>
      <w:r>
        <w:rPr>
          <w:sz w:val="20"/>
          <w:lang w:val="en-US"/>
        </w:rPr>
        <w:t>F</w:t>
      </w:r>
      <w:r w:rsidR="00DE7CAA">
        <w:rPr>
          <w:sz w:val="20"/>
          <w:lang w:val="en-US"/>
        </w:rPr>
        <w:t>our</w:t>
      </w:r>
      <w:r w:rsidR="00CE200B" w:rsidRPr="007B1A1E">
        <w:rPr>
          <w:sz w:val="20"/>
          <w:lang w:val="en-US"/>
        </w:rPr>
        <w:t xml:space="preserve"> distinct case study scenarios for transporting natural gas from Qatar to Europe</w:t>
      </w:r>
      <w:r>
        <w:rPr>
          <w:sz w:val="20"/>
          <w:lang w:val="en-US"/>
        </w:rPr>
        <w:t xml:space="preserve"> were explored</w:t>
      </w:r>
      <w:r w:rsidR="00436AB9">
        <w:rPr>
          <w:sz w:val="20"/>
          <w:lang w:val="en-US"/>
        </w:rPr>
        <w:t xml:space="preserve">, and </w:t>
      </w:r>
      <w:r w:rsidR="00CE200B" w:rsidRPr="007B1A1E">
        <w:rPr>
          <w:sz w:val="20"/>
          <w:lang w:val="en-US"/>
        </w:rPr>
        <w:t>significant implications f</w:t>
      </w:r>
      <w:r w:rsidR="00625E97">
        <w:rPr>
          <w:sz w:val="20"/>
          <w:lang w:val="en-US"/>
        </w:rPr>
        <w:t>or Qatar's natural gas industry</w:t>
      </w:r>
      <w:r w:rsidR="00436AB9">
        <w:rPr>
          <w:sz w:val="20"/>
          <w:lang w:val="en-US"/>
        </w:rPr>
        <w:t xml:space="preserve"> were discussed</w:t>
      </w:r>
      <w:r w:rsidR="00625E97">
        <w:rPr>
          <w:sz w:val="20"/>
          <w:lang w:val="en-US"/>
        </w:rPr>
        <w:t>.</w:t>
      </w:r>
      <w:r w:rsidR="00436AB9">
        <w:rPr>
          <w:sz w:val="20"/>
          <w:lang w:val="en-US"/>
        </w:rPr>
        <w:br/>
      </w:r>
      <w:r w:rsidR="00625E97">
        <w:rPr>
          <w:b/>
          <w:bCs/>
          <w:sz w:val="22"/>
          <w:szCs w:val="22"/>
          <w:lang w:val="en-US"/>
        </w:rPr>
        <w:br/>
      </w:r>
      <w:r w:rsidR="008A775D" w:rsidRPr="00DF21CA">
        <w:rPr>
          <w:b/>
          <w:bCs/>
          <w:sz w:val="22"/>
          <w:szCs w:val="22"/>
          <w:lang w:val="en-US"/>
        </w:rPr>
        <w:t>Aknowlegement</w:t>
      </w:r>
      <w:r w:rsidR="00625E97">
        <w:rPr>
          <w:b/>
          <w:bCs/>
          <w:sz w:val="22"/>
          <w:szCs w:val="22"/>
          <w:lang w:val="en-US"/>
        </w:rPr>
        <w:br/>
      </w:r>
      <w:r w:rsidR="00DF21CA">
        <w:rPr>
          <w:b/>
          <w:bCs/>
          <w:sz w:val="20"/>
          <w:lang w:val="en-US"/>
        </w:rPr>
        <w:br/>
      </w:r>
      <w:r w:rsidR="008A775D" w:rsidRPr="00625E97">
        <w:rPr>
          <w:sz w:val="20"/>
          <w:lang w:val="en-US"/>
        </w:rPr>
        <w:t>This paper was supported by Qatar university Project No. QUST-2-CENG-2023-1535. The findings achieved herein are solely the responsibility of the authors.</w:t>
      </w:r>
      <w:r w:rsidR="00436AB9">
        <w:rPr>
          <w:sz w:val="20"/>
          <w:lang w:val="en-US"/>
        </w:rPr>
        <w:br/>
      </w:r>
    </w:p>
    <w:p w14:paraId="52324D32" w14:textId="2B790B0B" w:rsidR="00CE200B" w:rsidRPr="00DF21CA" w:rsidRDefault="00CE200B" w:rsidP="00CE200B">
      <w:pPr>
        <w:pStyle w:val="Els-referenceno-number"/>
        <w:spacing w:after="240"/>
        <w:ind w:left="0" w:firstLine="0"/>
        <w:jc w:val="both"/>
        <w:rPr>
          <w:b/>
          <w:bCs/>
          <w:sz w:val="20"/>
          <w:lang w:val="en-US"/>
        </w:rPr>
      </w:pPr>
      <w:r w:rsidRPr="00DF21CA">
        <w:rPr>
          <w:b/>
          <w:bCs/>
          <w:sz w:val="22"/>
          <w:szCs w:val="22"/>
          <w:lang w:val="en-US"/>
        </w:rPr>
        <w:t>References</w:t>
      </w:r>
    </w:p>
    <w:p w14:paraId="5C583F98" w14:textId="77777777" w:rsidR="00647058" w:rsidRPr="006A1AB5" w:rsidRDefault="00647058" w:rsidP="00647058">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 xml:space="preserve">A. </w:t>
      </w:r>
      <w:r w:rsidRPr="00DE7CAA">
        <w:rPr>
          <w:rFonts w:asciiTheme="majorBidi" w:hAnsiTheme="majorBidi" w:cstheme="majorBidi"/>
          <w:color w:val="222222"/>
          <w:szCs w:val="18"/>
          <w:shd w:val="clear" w:color="auto" w:fill="FFFFFF"/>
        </w:rPr>
        <w:t xml:space="preserve">Meza, </w:t>
      </w:r>
      <w:r>
        <w:rPr>
          <w:rFonts w:asciiTheme="majorBidi" w:hAnsiTheme="majorBidi" w:cstheme="majorBidi"/>
          <w:color w:val="222222"/>
          <w:szCs w:val="18"/>
          <w:shd w:val="clear" w:color="auto" w:fill="FFFFFF"/>
        </w:rPr>
        <w:t xml:space="preserve">and </w:t>
      </w:r>
      <w:r w:rsidRPr="00DE7CAA">
        <w:rPr>
          <w:rFonts w:asciiTheme="majorBidi" w:hAnsiTheme="majorBidi" w:cstheme="majorBidi"/>
          <w:color w:val="222222"/>
          <w:szCs w:val="18"/>
          <w:shd w:val="clear" w:color="auto" w:fill="FFFFFF"/>
        </w:rPr>
        <w:t xml:space="preserve">M. Koç, </w:t>
      </w:r>
      <w:r>
        <w:rPr>
          <w:rFonts w:asciiTheme="majorBidi" w:hAnsiTheme="majorBidi" w:cstheme="majorBidi"/>
          <w:color w:val="222222"/>
          <w:szCs w:val="18"/>
          <w:shd w:val="clear" w:color="auto" w:fill="FFFFFF"/>
        </w:rPr>
        <w:t xml:space="preserve">2021, </w:t>
      </w:r>
      <w:r w:rsidRPr="00DE7CAA">
        <w:rPr>
          <w:rFonts w:asciiTheme="majorBidi" w:hAnsiTheme="majorBidi" w:cstheme="majorBidi"/>
          <w:color w:val="222222"/>
          <w:szCs w:val="18"/>
          <w:shd w:val="clear" w:color="auto" w:fill="FFFFFF"/>
        </w:rPr>
        <w:t xml:space="preserve">The LNG trade between Qatar and East Asia: Potential impacts of unconventional energy resources on the LNG sector and Qatar's economic development goals. </w:t>
      </w:r>
      <w:r>
        <w:rPr>
          <w:rFonts w:asciiTheme="majorBidi" w:hAnsiTheme="majorBidi" w:cstheme="majorBidi"/>
          <w:color w:val="222222"/>
          <w:szCs w:val="18"/>
          <w:shd w:val="clear" w:color="auto" w:fill="FFFFFF"/>
        </w:rPr>
        <w:t>Resources Policy, 2021, 70, 101886</w:t>
      </w:r>
    </w:p>
    <w:p w14:paraId="3B9005CB" w14:textId="54D93FC1" w:rsidR="000C2AE2" w:rsidRPr="00577B25" w:rsidRDefault="000C2AE2" w:rsidP="000C2AE2">
      <w:pPr>
        <w:pStyle w:val="Els-referenceno-number"/>
        <w:rPr>
          <w:rFonts w:asciiTheme="majorBidi" w:hAnsiTheme="majorBidi" w:cstheme="majorBidi"/>
          <w:color w:val="222222"/>
          <w:szCs w:val="18"/>
          <w:shd w:val="clear" w:color="auto" w:fill="FFFFFF"/>
        </w:rPr>
      </w:pPr>
      <w:r w:rsidRPr="00577B25">
        <w:rPr>
          <w:rFonts w:asciiTheme="majorBidi" w:hAnsiTheme="majorBidi" w:cstheme="majorBidi"/>
          <w:color w:val="222222"/>
          <w:szCs w:val="18"/>
          <w:shd w:val="clear" w:color="auto" w:fill="FFFFFF"/>
        </w:rPr>
        <w:t xml:space="preserve">BP, </w:t>
      </w:r>
      <w:r w:rsidR="00DE7CAA">
        <w:rPr>
          <w:rFonts w:asciiTheme="majorBidi" w:hAnsiTheme="majorBidi" w:cstheme="majorBidi"/>
          <w:color w:val="222222"/>
          <w:szCs w:val="18"/>
          <w:shd w:val="clear" w:color="auto" w:fill="FFFFFF"/>
        </w:rPr>
        <w:t xml:space="preserve">2022, </w:t>
      </w:r>
      <w:r w:rsidRPr="00577B25">
        <w:rPr>
          <w:rFonts w:asciiTheme="majorBidi" w:hAnsiTheme="majorBidi" w:cstheme="majorBidi"/>
          <w:color w:val="222222"/>
          <w:szCs w:val="18"/>
          <w:shd w:val="clear" w:color="auto" w:fill="FFFFFF"/>
        </w:rPr>
        <w:t>Statistic</w:t>
      </w:r>
      <w:r w:rsidR="00DE7CAA">
        <w:rPr>
          <w:rFonts w:asciiTheme="majorBidi" w:hAnsiTheme="majorBidi" w:cstheme="majorBidi"/>
          <w:color w:val="222222"/>
          <w:szCs w:val="18"/>
          <w:shd w:val="clear" w:color="auto" w:fill="FFFFFF"/>
        </w:rPr>
        <w:t>al Review of World Energy</w:t>
      </w:r>
    </w:p>
    <w:p w14:paraId="70CE7607" w14:textId="313B3899" w:rsidR="00DA5756" w:rsidRDefault="0008249F" w:rsidP="0008249F">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D.A. Wood,</w:t>
      </w:r>
      <w:r w:rsidRPr="006A1AB5">
        <w:rPr>
          <w:rFonts w:asciiTheme="majorBidi" w:hAnsiTheme="majorBidi" w:cstheme="majorBidi"/>
          <w:color w:val="222222"/>
          <w:szCs w:val="18"/>
          <w:shd w:val="clear" w:color="auto" w:fill="FFFFFF"/>
        </w:rPr>
        <w:t xml:space="preserve"> </w:t>
      </w:r>
      <w:r>
        <w:rPr>
          <w:rFonts w:asciiTheme="majorBidi" w:hAnsiTheme="majorBidi" w:cstheme="majorBidi"/>
          <w:color w:val="222222"/>
          <w:szCs w:val="18"/>
          <w:shd w:val="clear" w:color="auto" w:fill="FFFFFF"/>
        </w:rPr>
        <w:t xml:space="preserve">2016, </w:t>
      </w:r>
      <w:r w:rsidRPr="006A1AB5">
        <w:rPr>
          <w:rFonts w:asciiTheme="majorBidi" w:hAnsiTheme="majorBidi" w:cstheme="majorBidi"/>
          <w:color w:val="222222"/>
          <w:szCs w:val="18"/>
          <w:shd w:val="clear" w:color="auto" w:fill="FFFFFF"/>
        </w:rPr>
        <w:t>Natural gas imports to Europe: The frontline of competition between LNG and pipeline supplies. Journal of Natural Gas</w:t>
      </w:r>
      <w:r>
        <w:rPr>
          <w:rFonts w:asciiTheme="majorBidi" w:hAnsiTheme="majorBidi" w:cstheme="majorBidi"/>
          <w:color w:val="222222"/>
          <w:szCs w:val="18"/>
          <w:shd w:val="clear" w:color="auto" w:fill="FFFFFF"/>
        </w:rPr>
        <w:t xml:space="preserve"> Science and Engineering, 36, </w:t>
      </w:r>
      <w:r w:rsidR="00C95518">
        <w:rPr>
          <w:rFonts w:asciiTheme="majorBidi" w:hAnsiTheme="majorBidi" w:cstheme="majorBidi"/>
          <w:color w:val="222222"/>
          <w:szCs w:val="18"/>
          <w:shd w:val="clear" w:color="auto" w:fill="FFFFFF"/>
        </w:rPr>
        <w:t>A1-A4</w:t>
      </w:r>
    </w:p>
    <w:p w14:paraId="455A081D" w14:textId="77777777" w:rsidR="000C2AE2" w:rsidRDefault="000C2AE2" w:rsidP="000C2AE2">
      <w:pPr>
        <w:pStyle w:val="Els-referenceno-number"/>
        <w:rPr>
          <w:rFonts w:asciiTheme="majorBidi" w:hAnsiTheme="majorBidi" w:cstheme="majorBidi"/>
          <w:color w:val="222222"/>
          <w:szCs w:val="18"/>
          <w:shd w:val="clear" w:color="auto" w:fill="FFFFFF"/>
          <w:lang w:val="en-US"/>
        </w:rPr>
      </w:pPr>
      <w:r w:rsidRPr="0008249F">
        <w:rPr>
          <w:rFonts w:asciiTheme="majorBidi" w:hAnsiTheme="majorBidi" w:cstheme="majorBidi"/>
          <w:color w:val="222222"/>
          <w:szCs w:val="18"/>
          <w:shd w:val="clear" w:color="auto" w:fill="FFFFFF"/>
          <w:lang w:val="en-US"/>
        </w:rPr>
        <w:t xml:space="preserve">ENSTOG. </w:t>
      </w:r>
      <w:r>
        <w:rPr>
          <w:rFonts w:asciiTheme="majorBidi" w:hAnsiTheme="majorBidi" w:cstheme="majorBidi"/>
          <w:color w:val="222222"/>
          <w:szCs w:val="18"/>
          <w:shd w:val="clear" w:color="auto" w:fill="FFFFFF"/>
          <w:lang w:val="en-US"/>
        </w:rPr>
        <w:t xml:space="preserve">2023, </w:t>
      </w:r>
      <w:r w:rsidRPr="0008249F">
        <w:rPr>
          <w:rFonts w:asciiTheme="majorBidi" w:hAnsiTheme="majorBidi" w:cstheme="majorBidi"/>
          <w:color w:val="222222"/>
          <w:szCs w:val="18"/>
          <w:shd w:val="clear" w:color="auto" w:fill="FFFFFF"/>
          <w:lang w:val="en-US"/>
        </w:rPr>
        <w:t>European network of transmission system operators for gas</w:t>
      </w:r>
      <w:r>
        <w:rPr>
          <w:rFonts w:asciiTheme="majorBidi" w:hAnsiTheme="majorBidi" w:cstheme="majorBidi"/>
          <w:color w:val="222222"/>
          <w:szCs w:val="18"/>
          <w:shd w:val="clear" w:color="auto" w:fill="FFFFFF"/>
          <w:lang w:val="en-US"/>
        </w:rPr>
        <w:t xml:space="preserve">. </w:t>
      </w:r>
      <w:r w:rsidRPr="0008249F">
        <w:rPr>
          <w:rFonts w:asciiTheme="majorBidi" w:hAnsiTheme="majorBidi" w:cstheme="majorBidi"/>
          <w:color w:val="222222"/>
          <w:szCs w:val="18"/>
          <w:shd w:val="clear" w:color="auto" w:fill="FFFFFF"/>
          <w:lang w:val="en-US"/>
        </w:rPr>
        <w:t>Availab</w:t>
      </w:r>
      <w:r>
        <w:rPr>
          <w:rFonts w:asciiTheme="majorBidi" w:hAnsiTheme="majorBidi" w:cstheme="majorBidi"/>
          <w:color w:val="222222"/>
          <w:szCs w:val="18"/>
          <w:shd w:val="clear" w:color="auto" w:fill="FFFFFF"/>
          <w:lang w:val="en-US"/>
        </w:rPr>
        <w:t xml:space="preserve">le from: </w:t>
      </w:r>
      <w:r w:rsidRPr="0008249F">
        <w:rPr>
          <w:rFonts w:asciiTheme="majorBidi" w:hAnsiTheme="majorBidi" w:cstheme="majorBidi"/>
          <w:color w:val="222222"/>
          <w:szCs w:val="18"/>
          <w:shd w:val="clear" w:color="auto" w:fill="FFFFFF"/>
          <w:lang w:val="en-US"/>
        </w:rPr>
        <w:t>https://www.entsog.eu/</w:t>
      </w:r>
    </w:p>
    <w:p w14:paraId="51D38338" w14:textId="72E61B33" w:rsidR="00577B25" w:rsidRDefault="00577B25" w:rsidP="00577B25">
      <w:pPr>
        <w:pStyle w:val="Els-referenceno-number"/>
        <w:rPr>
          <w:rFonts w:asciiTheme="majorBidi" w:hAnsiTheme="majorBidi" w:cstheme="majorBidi"/>
          <w:color w:val="222222"/>
          <w:szCs w:val="18"/>
          <w:shd w:val="clear" w:color="auto" w:fill="FFFFFF"/>
        </w:rPr>
      </w:pPr>
      <w:r w:rsidRPr="00577B25">
        <w:rPr>
          <w:rFonts w:asciiTheme="majorBidi" w:hAnsiTheme="majorBidi" w:cstheme="majorBidi"/>
          <w:color w:val="222222"/>
          <w:szCs w:val="18"/>
          <w:shd w:val="clear" w:color="auto" w:fill="FFFFFF"/>
        </w:rPr>
        <w:t>IGU,</w:t>
      </w:r>
      <w:r w:rsidR="00DE7CAA">
        <w:rPr>
          <w:rFonts w:asciiTheme="majorBidi" w:hAnsiTheme="majorBidi" w:cstheme="majorBidi"/>
          <w:color w:val="222222"/>
          <w:szCs w:val="18"/>
          <w:shd w:val="clear" w:color="auto" w:fill="FFFFFF"/>
        </w:rPr>
        <w:t xml:space="preserve"> 2023, World LNG Report 2022.</w:t>
      </w:r>
      <w:r w:rsidRPr="00577B25">
        <w:rPr>
          <w:rFonts w:asciiTheme="majorBidi" w:hAnsiTheme="majorBidi" w:cstheme="majorBidi"/>
          <w:color w:val="222222"/>
          <w:szCs w:val="18"/>
          <w:shd w:val="clear" w:color="auto" w:fill="FFFFFF"/>
        </w:rPr>
        <w:t xml:space="preserve"> International Gas Union</w:t>
      </w:r>
    </w:p>
    <w:p w14:paraId="00AE795B" w14:textId="0224AE6C" w:rsidR="00C95518" w:rsidRPr="006A1AB5" w:rsidRDefault="00C95518" w:rsidP="00C95518">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 xml:space="preserve">IEA, 2022, </w:t>
      </w:r>
      <w:r w:rsidRPr="00C95518">
        <w:rPr>
          <w:rFonts w:asciiTheme="majorBidi" w:hAnsiTheme="majorBidi" w:cstheme="majorBidi"/>
          <w:color w:val="222222"/>
          <w:szCs w:val="18"/>
          <w:shd w:val="clear" w:color="auto" w:fill="FFFFFF"/>
        </w:rPr>
        <w:t>Inte</w:t>
      </w:r>
      <w:r>
        <w:rPr>
          <w:rFonts w:asciiTheme="majorBidi" w:hAnsiTheme="majorBidi" w:cstheme="majorBidi"/>
          <w:color w:val="222222"/>
          <w:szCs w:val="18"/>
          <w:shd w:val="clear" w:color="auto" w:fill="FFFFFF"/>
        </w:rPr>
        <w:t xml:space="preserve">rnational Energy Agency, </w:t>
      </w:r>
      <w:r w:rsidRPr="00C95518">
        <w:rPr>
          <w:rFonts w:asciiTheme="majorBidi" w:hAnsiTheme="majorBidi" w:cstheme="majorBidi"/>
          <w:color w:val="222222"/>
          <w:szCs w:val="18"/>
          <w:shd w:val="clear" w:color="auto" w:fill="FFFFFF"/>
        </w:rPr>
        <w:t xml:space="preserve">World Energy Outlook </w:t>
      </w:r>
    </w:p>
    <w:p w14:paraId="4D7435A6" w14:textId="77777777" w:rsidR="00647058" w:rsidRDefault="00647058" w:rsidP="00647058">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L. Liberti,</w:t>
      </w:r>
      <w:r w:rsidRPr="00647058">
        <w:rPr>
          <w:rFonts w:asciiTheme="majorBidi" w:hAnsiTheme="majorBidi" w:cstheme="majorBidi"/>
          <w:color w:val="222222"/>
          <w:szCs w:val="18"/>
          <w:shd w:val="clear" w:color="auto" w:fill="FFFFFF"/>
        </w:rPr>
        <w:t xml:space="preserve"> and S. Kucherenko, </w:t>
      </w:r>
      <w:r>
        <w:rPr>
          <w:rFonts w:asciiTheme="majorBidi" w:hAnsiTheme="majorBidi" w:cstheme="majorBidi"/>
          <w:color w:val="222222"/>
          <w:szCs w:val="18"/>
          <w:shd w:val="clear" w:color="auto" w:fill="FFFFFF"/>
        </w:rPr>
        <w:t xml:space="preserve">2005, </w:t>
      </w:r>
      <w:r w:rsidRPr="00647058">
        <w:rPr>
          <w:rFonts w:asciiTheme="majorBidi" w:hAnsiTheme="majorBidi" w:cstheme="majorBidi"/>
          <w:color w:val="222222"/>
          <w:szCs w:val="18"/>
          <w:shd w:val="clear" w:color="auto" w:fill="FFFFFF"/>
        </w:rPr>
        <w:t>Comparison of deterministic and stochastic app</w:t>
      </w:r>
      <w:r>
        <w:rPr>
          <w:rFonts w:asciiTheme="majorBidi" w:hAnsiTheme="majorBidi" w:cstheme="majorBidi"/>
          <w:color w:val="222222"/>
          <w:szCs w:val="18"/>
          <w:shd w:val="clear" w:color="auto" w:fill="FFFFFF"/>
        </w:rPr>
        <w:t>roaches to global optimization, 12, 3, 263-285</w:t>
      </w:r>
    </w:p>
    <w:p w14:paraId="2B6E3F44" w14:textId="429FE009" w:rsidR="0008249F" w:rsidRPr="006A1AB5" w:rsidRDefault="0008249F" w:rsidP="0008249F">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 xml:space="preserve">P. Eser, N. </w:t>
      </w:r>
      <w:r w:rsidRPr="006A1AB5">
        <w:rPr>
          <w:rFonts w:asciiTheme="majorBidi" w:hAnsiTheme="majorBidi" w:cstheme="majorBidi"/>
          <w:color w:val="222222"/>
          <w:szCs w:val="18"/>
          <w:shd w:val="clear" w:color="auto" w:fill="FFFFFF"/>
        </w:rPr>
        <w:t xml:space="preserve">Chokani, and R. Abhari, </w:t>
      </w:r>
      <w:r>
        <w:rPr>
          <w:rFonts w:asciiTheme="majorBidi" w:hAnsiTheme="majorBidi" w:cstheme="majorBidi"/>
          <w:color w:val="222222"/>
          <w:szCs w:val="18"/>
          <w:shd w:val="clear" w:color="auto" w:fill="FFFFFF"/>
        </w:rPr>
        <w:t xml:space="preserve">2019, </w:t>
      </w:r>
      <w:r w:rsidRPr="006A1AB5">
        <w:rPr>
          <w:rFonts w:asciiTheme="majorBidi" w:hAnsiTheme="majorBidi" w:cstheme="majorBidi"/>
          <w:color w:val="222222"/>
          <w:szCs w:val="18"/>
          <w:shd w:val="clear" w:color="auto" w:fill="FFFFFF"/>
        </w:rPr>
        <w:t>Impact of Nord Stream 2 and LNG on gas trade and security of supply in the European gas networ</w:t>
      </w:r>
      <w:r>
        <w:rPr>
          <w:rFonts w:asciiTheme="majorBidi" w:hAnsiTheme="majorBidi" w:cstheme="majorBidi"/>
          <w:color w:val="222222"/>
          <w:szCs w:val="18"/>
          <w:shd w:val="clear" w:color="auto" w:fill="FFFFFF"/>
        </w:rPr>
        <w:t xml:space="preserve">k of 2030. Applied Energy, 238, </w:t>
      </w:r>
      <w:r w:rsidR="00C95518">
        <w:rPr>
          <w:rFonts w:asciiTheme="majorBidi" w:hAnsiTheme="majorBidi" w:cstheme="majorBidi"/>
          <w:color w:val="222222"/>
          <w:szCs w:val="18"/>
          <w:shd w:val="clear" w:color="auto" w:fill="FFFFFF"/>
        </w:rPr>
        <w:t>816-830</w:t>
      </w:r>
    </w:p>
    <w:p w14:paraId="63AD1754" w14:textId="76605D13" w:rsidR="00CE200B" w:rsidRPr="0008249F" w:rsidRDefault="0008249F" w:rsidP="0008249F">
      <w:pPr>
        <w:pStyle w:val="Els-referenceno-number"/>
        <w:rPr>
          <w:rFonts w:asciiTheme="majorBidi" w:hAnsiTheme="majorBidi" w:cstheme="majorBidi"/>
          <w:color w:val="222222"/>
          <w:szCs w:val="18"/>
          <w:shd w:val="clear" w:color="auto" w:fill="FFFFFF"/>
          <w:lang w:val="en-US"/>
        </w:rPr>
      </w:pPr>
      <w:r>
        <w:rPr>
          <w:rFonts w:asciiTheme="majorBidi" w:hAnsiTheme="majorBidi" w:cstheme="majorBidi"/>
          <w:color w:val="222222"/>
          <w:szCs w:val="18"/>
          <w:shd w:val="clear" w:color="auto" w:fill="FFFFFF"/>
          <w:lang w:val="en-US"/>
        </w:rPr>
        <w:t>S. H. Ashkanani, and</w:t>
      </w:r>
      <w:r w:rsidRPr="0008249F">
        <w:rPr>
          <w:rFonts w:asciiTheme="majorBidi" w:hAnsiTheme="majorBidi" w:cstheme="majorBidi"/>
          <w:color w:val="222222"/>
          <w:szCs w:val="18"/>
          <w:shd w:val="clear" w:color="auto" w:fill="FFFFFF"/>
          <w:lang w:val="en-US"/>
        </w:rPr>
        <w:t xml:space="preserve"> L. Kerbache, </w:t>
      </w:r>
      <w:r>
        <w:rPr>
          <w:rFonts w:asciiTheme="majorBidi" w:hAnsiTheme="majorBidi" w:cstheme="majorBidi"/>
          <w:color w:val="222222"/>
          <w:szCs w:val="18"/>
          <w:shd w:val="clear" w:color="auto" w:fill="FFFFFF"/>
          <w:lang w:val="en-US"/>
        </w:rPr>
        <w:t xml:space="preserve">2023, </w:t>
      </w:r>
      <w:r w:rsidRPr="0008249F">
        <w:rPr>
          <w:rFonts w:asciiTheme="majorBidi" w:hAnsiTheme="majorBidi" w:cstheme="majorBidi"/>
          <w:color w:val="222222"/>
          <w:szCs w:val="18"/>
          <w:shd w:val="clear" w:color="auto" w:fill="FFFFFF"/>
          <w:lang w:val="en-US"/>
        </w:rPr>
        <w:t xml:space="preserve">Enhanced megaproject management systems in the LNG industry: A case study from Qatar. Energy Reports, </w:t>
      </w:r>
      <w:r>
        <w:rPr>
          <w:rFonts w:asciiTheme="majorBidi" w:hAnsiTheme="majorBidi" w:cstheme="majorBidi"/>
          <w:color w:val="222222"/>
          <w:szCs w:val="18"/>
          <w:shd w:val="clear" w:color="auto" w:fill="FFFFFF"/>
          <w:lang w:val="en-US"/>
        </w:rPr>
        <w:t>9,</w:t>
      </w:r>
      <w:r w:rsidR="00C95518">
        <w:rPr>
          <w:rFonts w:asciiTheme="majorBidi" w:hAnsiTheme="majorBidi" w:cstheme="majorBidi"/>
          <w:color w:val="222222"/>
          <w:szCs w:val="18"/>
          <w:shd w:val="clear" w:color="auto" w:fill="FFFFFF"/>
          <w:lang w:val="en-US"/>
        </w:rPr>
        <w:t xml:space="preserve"> 1062-1076</w:t>
      </w:r>
    </w:p>
    <w:p w14:paraId="31B60C1D" w14:textId="405847B1" w:rsidR="00761B48" w:rsidRPr="0095020B" w:rsidRDefault="0008249F" w:rsidP="0095020B">
      <w:pPr>
        <w:pStyle w:val="Els-referenceno-number"/>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 xml:space="preserve">S. Dorigoni, </w:t>
      </w:r>
      <w:r w:rsidRPr="006A1AB5">
        <w:rPr>
          <w:rFonts w:asciiTheme="majorBidi" w:hAnsiTheme="majorBidi" w:cstheme="majorBidi"/>
          <w:color w:val="222222"/>
          <w:szCs w:val="18"/>
          <w:shd w:val="clear" w:color="auto" w:fill="FFFFFF"/>
        </w:rPr>
        <w:t xml:space="preserve">and S. Portatadino, </w:t>
      </w:r>
      <w:r>
        <w:rPr>
          <w:rFonts w:asciiTheme="majorBidi" w:hAnsiTheme="majorBidi" w:cstheme="majorBidi"/>
          <w:color w:val="222222"/>
          <w:szCs w:val="18"/>
          <w:shd w:val="clear" w:color="auto" w:fill="FFFFFF"/>
        </w:rPr>
        <w:t xml:space="preserve">2008, </w:t>
      </w:r>
      <w:r w:rsidRPr="006A1AB5">
        <w:rPr>
          <w:rFonts w:asciiTheme="majorBidi" w:hAnsiTheme="majorBidi" w:cstheme="majorBidi"/>
          <w:color w:val="222222"/>
          <w:szCs w:val="18"/>
          <w:shd w:val="clear" w:color="auto" w:fill="FFFFFF"/>
        </w:rPr>
        <w:t>LNG development across Europe: Infrastructural and regulator</w:t>
      </w:r>
      <w:r>
        <w:rPr>
          <w:rFonts w:asciiTheme="majorBidi" w:hAnsiTheme="majorBidi" w:cstheme="majorBidi"/>
          <w:color w:val="222222"/>
          <w:szCs w:val="18"/>
          <w:shd w:val="clear" w:color="auto" w:fill="FFFFFF"/>
        </w:rPr>
        <w:t xml:space="preserve">y analysis. Energy Policy, 36, 9, </w:t>
      </w:r>
      <w:r w:rsidR="00C95518">
        <w:rPr>
          <w:rFonts w:asciiTheme="majorBidi" w:hAnsiTheme="majorBidi" w:cstheme="majorBidi"/>
          <w:color w:val="222222"/>
          <w:szCs w:val="18"/>
          <w:shd w:val="clear" w:color="auto" w:fill="FFFFFF"/>
        </w:rPr>
        <w:t>3366-3373</w:t>
      </w:r>
    </w:p>
    <w:sectPr w:rsidR="00761B48" w:rsidRPr="0095020B"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49D9" w14:textId="77777777" w:rsidR="00085AED" w:rsidRDefault="00085AED">
      <w:r>
        <w:separator/>
      </w:r>
    </w:p>
  </w:endnote>
  <w:endnote w:type="continuationSeparator" w:id="0">
    <w:p w14:paraId="77576303" w14:textId="77777777" w:rsidR="00085AED" w:rsidRDefault="0008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521CE" w14:textId="77777777" w:rsidR="00085AED" w:rsidRDefault="00085AED">
      <w:r>
        <w:separator/>
      </w:r>
    </w:p>
  </w:footnote>
  <w:footnote w:type="continuationSeparator" w:id="0">
    <w:p w14:paraId="713BFD23" w14:textId="77777777" w:rsidR="00085AED" w:rsidRDefault="0008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6350657" w:rsidR="00DD3D9E" w:rsidRDefault="00DD3D9E" w:rsidP="00CE200B">
    <w:pPr>
      <w:pStyle w:val="Header"/>
      <w:tabs>
        <w:tab w:val="clear" w:pos="7200"/>
        <w:tab w:val="right" w:pos="7088"/>
      </w:tabs>
    </w:pPr>
    <w:r>
      <w:rPr>
        <w:rStyle w:val="PageNumber"/>
      </w:rPr>
      <w:tab/>
    </w:r>
    <w:r>
      <w:rPr>
        <w:rStyle w:val="PageNumber"/>
        <w:i/>
      </w:rPr>
      <w:tab/>
    </w:r>
    <w:r w:rsidR="00CE200B">
      <w:rPr>
        <w:i/>
      </w:rPr>
      <w:t>M. Munasser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33676AEF" w:rsidR="00DD3D9E" w:rsidRDefault="00CE200B" w:rsidP="00CE200B">
    <w:pPr>
      <w:pStyle w:val="Header"/>
      <w:tabs>
        <w:tab w:val="clear" w:pos="7200"/>
        <w:tab w:val="right" w:pos="7088"/>
      </w:tabs>
      <w:rPr>
        <w:sz w:val="24"/>
      </w:rPr>
    </w:pPr>
    <w:r w:rsidRPr="00CE200B">
      <w:rPr>
        <w:i/>
      </w:rPr>
      <w:t>The assessment of LNG export scenario</w:t>
    </w:r>
    <w:r>
      <w:rPr>
        <w:i/>
      </w:rPr>
      <w:t xml:space="preserve">s for Qatar in the European Gas </w:t>
    </w:r>
    <w:r w:rsidRPr="00CE200B">
      <w:rPr>
        <w:i/>
      </w:rPr>
      <w:t>Market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1643C"/>
    <w:rsid w:val="00060250"/>
    <w:rsid w:val="00076F04"/>
    <w:rsid w:val="0008249F"/>
    <w:rsid w:val="00085AED"/>
    <w:rsid w:val="000B363C"/>
    <w:rsid w:val="000C2AE2"/>
    <w:rsid w:val="000D3D9B"/>
    <w:rsid w:val="0014512A"/>
    <w:rsid w:val="001470F2"/>
    <w:rsid w:val="0016032F"/>
    <w:rsid w:val="001612C7"/>
    <w:rsid w:val="0016584A"/>
    <w:rsid w:val="001860B3"/>
    <w:rsid w:val="001879F6"/>
    <w:rsid w:val="001C0148"/>
    <w:rsid w:val="001C757E"/>
    <w:rsid w:val="0020390F"/>
    <w:rsid w:val="00213292"/>
    <w:rsid w:val="00215010"/>
    <w:rsid w:val="00264926"/>
    <w:rsid w:val="0032305F"/>
    <w:rsid w:val="00332AC9"/>
    <w:rsid w:val="00353A24"/>
    <w:rsid w:val="003C1913"/>
    <w:rsid w:val="003C28EB"/>
    <w:rsid w:val="003D1582"/>
    <w:rsid w:val="003D7E4C"/>
    <w:rsid w:val="003E41C2"/>
    <w:rsid w:val="004031B4"/>
    <w:rsid w:val="00436AB9"/>
    <w:rsid w:val="0049772C"/>
    <w:rsid w:val="004A4D90"/>
    <w:rsid w:val="004D5826"/>
    <w:rsid w:val="005301E1"/>
    <w:rsid w:val="00552EEB"/>
    <w:rsid w:val="00577B25"/>
    <w:rsid w:val="005E2648"/>
    <w:rsid w:val="00625E97"/>
    <w:rsid w:val="0062632B"/>
    <w:rsid w:val="00647058"/>
    <w:rsid w:val="006953A6"/>
    <w:rsid w:val="006A69BF"/>
    <w:rsid w:val="00711DF4"/>
    <w:rsid w:val="00761B48"/>
    <w:rsid w:val="007D70A1"/>
    <w:rsid w:val="008132E8"/>
    <w:rsid w:val="00823407"/>
    <w:rsid w:val="008311F6"/>
    <w:rsid w:val="0084751E"/>
    <w:rsid w:val="00881EF1"/>
    <w:rsid w:val="008A775D"/>
    <w:rsid w:val="008B0184"/>
    <w:rsid w:val="008C27D3"/>
    <w:rsid w:val="008C5D02"/>
    <w:rsid w:val="008D2649"/>
    <w:rsid w:val="008F2321"/>
    <w:rsid w:val="0090568D"/>
    <w:rsid w:val="009125C9"/>
    <w:rsid w:val="00913879"/>
    <w:rsid w:val="009150D0"/>
    <w:rsid w:val="00917661"/>
    <w:rsid w:val="0095020B"/>
    <w:rsid w:val="00970E5D"/>
    <w:rsid w:val="0097701C"/>
    <w:rsid w:val="00980A65"/>
    <w:rsid w:val="00A25E70"/>
    <w:rsid w:val="00A33765"/>
    <w:rsid w:val="00A63269"/>
    <w:rsid w:val="00A90272"/>
    <w:rsid w:val="00A92377"/>
    <w:rsid w:val="00AB29ED"/>
    <w:rsid w:val="00AE40FC"/>
    <w:rsid w:val="00AE4BD8"/>
    <w:rsid w:val="00B154C4"/>
    <w:rsid w:val="00B22631"/>
    <w:rsid w:val="00B4388F"/>
    <w:rsid w:val="00B47E0C"/>
    <w:rsid w:val="00B63237"/>
    <w:rsid w:val="00B97D40"/>
    <w:rsid w:val="00BC47BC"/>
    <w:rsid w:val="00C52994"/>
    <w:rsid w:val="00C95518"/>
    <w:rsid w:val="00C960DC"/>
    <w:rsid w:val="00CB4C15"/>
    <w:rsid w:val="00CE200B"/>
    <w:rsid w:val="00D02C75"/>
    <w:rsid w:val="00D10E22"/>
    <w:rsid w:val="00D13D2C"/>
    <w:rsid w:val="00D34318"/>
    <w:rsid w:val="00DA5756"/>
    <w:rsid w:val="00DC2F94"/>
    <w:rsid w:val="00DD3D9E"/>
    <w:rsid w:val="00DD7908"/>
    <w:rsid w:val="00DE5EE0"/>
    <w:rsid w:val="00DE7CAA"/>
    <w:rsid w:val="00DF21CA"/>
    <w:rsid w:val="00E44217"/>
    <w:rsid w:val="00E82297"/>
    <w:rsid w:val="00EF39FD"/>
    <w:rsid w:val="00F06842"/>
    <w:rsid w:val="00F107FD"/>
    <w:rsid w:val="00F60162"/>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Els-body-textChar">
    <w:name w:val="Els-body-text Char"/>
    <w:link w:val="Els-body-text"/>
    <w:rsid w:val="00CE200B"/>
    <w:rPr>
      <w:lang w:val="en-US" w:eastAsia="en-US"/>
    </w:rPr>
  </w:style>
  <w:style w:type="table" w:styleId="TableGrid">
    <w:name w:val="Table Grid"/>
    <w:basedOn w:val="TableNormal"/>
    <w:rsid w:val="00CE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41398">
      <w:bodyDiv w:val="1"/>
      <w:marLeft w:val="0"/>
      <w:marRight w:val="0"/>
      <w:marTop w:val="0"/>
      <w:marBottom w:val="0"/>
      <w:divBdr>
        <w:top w:val="none" w:sz="0" w:space="0" w:color="auto"/>
        <w:left w:val="none" w:sz="0" w:space="0" w:color="auto"/>
        <w:bottom w:val="none" w:sz="0" w:space="0" w:color="auto"/>
        <w:right w:val="none" w:sz="0" w:space="0" w:color="auto"/>
      </w:divBdr>
    </w:div>
    <w:div w:id="412047971">
      <w:bodyDiv w:val="1"/>
      <w:marLeft w:val="0"/>
      <w:marRight w:val="0"/>
      <w:marTop w:val="0"/>
      <w:marBottom w:val="0"/>
      <w:divBdr>
        <w:top w:val="none" w:sz="0" w:space="0" w:color="auto"/>
        <w:left w:val="none" w:sz="0" w:space="0" w:color="auto"/>
        <w:bottom w:val="none" w:sz="0" w:space="0" w:color="auto"/>
        <w:right w:val="none" w:sz="0" w:space="0" w:color="auto"/>
      </w:divBdr>
    </w:div>
    <w:div w:id="1150900547">
      <w:bodyDiv w:val="1"/>
      <w:marLeft w:val="0"/>
      <w:marRight w:val="0"/>
      <w:marTop w:val="0"/>
      <w:marBottom w:val="0"/>
      <w:divBdr>
        <w:top w:val="none" w:sz="0" w:space="0" w:color="auto"/>
        <w:left w:val="none" w:sz="0" w:space="0" w:color="auto"/>
        <w:bottom w:val="none" w:sz="0" w:space="0" w:color="auto"/>
        <w:right w:val="none" w:sz="0" w:space="0" w:color="auto"/>
      </w:divBdr>
    </w:div>
    <w:div w:id="1254122084">
      <w:bodyDiv w:val="1"/>
      <w:marLeft w:val="0"/>
      <w:marRight w:val="0"/>
      <w:marTop w:val="0"/>
      <w:marBottom w:val="0"/>
      <w:divBdr>
        <w:top w:val="none" w:sz="0" w:space="0" w:color="auto"/>
        <w:left w:val="none" w:sz="0" w:space="0" w:color="auto"/>
        <w:bottom w:val="none" w:sz="0" w:space="0" w:color="auto"/>
        <w:right w:val="none" w:sz="0" w:space="0" w:color="auto"/>
      </w:divBdr>
    </w:div>
    <w:div w:id="1307052147">
      <w:bodyDiv w:val="1"/>
      <w:marLeft w:val="0"/>
      <w:marRight w:val="0"/>
      <w:marTop w:val="0"/>
      <w:marBottom w:val="0"/>
      <w:divBdr>
        <w:top w:val="none" w:sz="0" w:space="0" w:color="auto"/>
        <w:left w:val="none" w:sz="0" w:space="0" w:color="auto"/>
        <w:bottom w:val="none" w:sz="0" w:space="0" w:color="auto"/>
        <w:right w:val="none" w:sz="0" w:space="0" w:color="auto"/>
      </w:divBdr>
    </w:div>
    <w:div w:id="15509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20DB-31AD-470D-B0F7-DF3659AA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69</TotalTime>
  <Pages>6</Pages>
  <Words>2467</Words>
  <Characters>14066</Characters>
  <Application>Microsoft Office Word</Application>
  <DocSecurity>0</DocSecurity>
  <Lines>117</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Sabla Yehya Ali Alnouri</cp:lastModifiedBy>
  <cp:revision>10</cp:revision>
  <cp:lastPrinted>2004-12-17T09:20:00Z</cp:lastPrinted>
  <dcterms:created xsi:type="dcterms:W3CDTF">2023-11-02T13:22:00Z</dcterms:created>
  <dcterms:modified xsi:type="dcterms:W3CDTF">2023-12-19T12:06:00Z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