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A9F02" w14:textId="0838E765" w:rsidR="00747AE6" w:rsidRPr="00B4388F" w:rsidRDefault="00747AE6" w:rsidP="00747AE6">
      <w:pPr>
        <w:pStyle w:val="Els-Title"/>
        <w:jc w:val="both"/>
        <w:rPr>
          <w:color w:val="000000" w:themeColor="text1"/>
        </w:rPr>
      </w:pPr>
      <w:r w:rsidRPr="009D0099">
        <w:rPr>
          <w:color w:val="000000" w:themeColor="text1"/>
        </w:rPr>
        <w:t xml:space="preserve">Integrated </w:t>
      </w:r>
      <w:r>
        <w:rPr>
          <w:color w:val="000000" w:themeColor="text1"/>
        </w:rPr>
        <w:t>m</w:t>
      </w:r>
      <w:r w:rsidRPr="009D0099">
        <w:rPr>
          <w:color w:val="000000" w:themeColor="text1"/>
        </w:rPr>
        <w:t xml:space="preserve">odelling </w:t>
      </w:r>
      <w:r>
        <w:rPr>
          <w:color w:val="000000" w:themeColor="text1"/>
        </w:rPr>
        <w:t>o</w:t>
      </w:r>
      <w:r w:rsidRPr="009D0099">
        <w:rPr>
          <w:color w:val="000000" w:themeColor="text1"/>
        </w:rPr>
        <w:t xml:space="preserve">f Concentrated Solar Power </w:t>
      </w:r>
      <w:r>
        <w:rPr>
          <w:color w:val="000000" w:themeColor="text1"/>
        </w:rPr>
        <w:t>p</w:t>
      </w:r>
      <w:r w:rsidRPr="009D0099">
        <w:rPr>
          <w:color w:val="000000" w:themeColor="text1"/>
        </w:rPr>
        <w:t xml:space="preserve">lants </w:t>
      </w:r>
      <w:r>
        <w:rPr>
          <w:color w:val="000000" w:themeColor="text1"/>
        </w:rPr>
        <w:t>n</w:t>
      </w:r>
      <w:r w:rsidRPr="009D0099">
        <w:rPr>
          <w:color w:val="000000" w:themeColor="text1"/>
        </w:rPr>
        <w:t xml:space="preserve">etworks: Electricity </w:t>
      </w:r>
      <w:r>
        <w:rPr>
          <w:color w:val="000000" w:themeColor="text1"/>
        </w:rPr>
        <w:t>p</w:t>
      </w:r>
      <w:r w:rsidRPr="009D0099">
        <w:rPr>
          <w:color w:val="000000" w:themeColor="text1"/>
        </w:rPr>
        <w:t xml:space="preserve">roduction, </w:t>
      </w:r>
      <w:r>
        <w:rPr>
          <w:color w:val="000000" w:themeColor="text1"/>
        </w:rPr>
        <w:t>s</w:t>
      </w:r>
      <w:r w:rsidRPr="009D0099">
        <w:rPr>
          <w:color w:val="000000" w:themeColor="text1"/>
        </w:rPr>
        <w:t>torage</w:t>
      </w:r>
      <w:r w:rsidR="009F5DAD">
        <w:rPr>
          <w:color w:val="000000" w:themeColor="text1"/>
        </w:rPr>
        <w:t xml:space="preserve">, </w:t>
      </w:r>
      <w:r w:rsidR="00412E08">
        <w:rPr>
          <w:color w:val="000000" w:themeColor="text1"/>
        </w:rPr>
        <w:t>conversion</w:t>
      </w:r>
      <w:r w:rsidRPr="009D0099">
        <w:rPr>
          <w:color w:val="000000" w:themeColor="text1"/>
        </w:rPr>
        <w:t xml:space="preserve"> </w:t>
      </w:r>
      <w:r>
        <w:rPr>
          <w:color w:val="000000" w:themeColor="text1"/>
        </w:rPr>
        <w:t>a</w:t>
      </w:r>
      <w:r w:rsidRPr="009D0099">
        <w:rPr>
          <w:color w:val="000000" w:themeColor="text1"/>
        </w:rPr>
        <w:t xml:space="preserve">nd </w:t>
      </w:r>
      <w:r>
        <w:rPr>
          <w:color w:val="000000" w:themeColor="text1"/>
        </w:rPr>
        <w:t>d</w:t>
      </w:r>
      <w:r w:rsidRPr="009D0099">
        <w:rPr>
          <w:color w:val="000000" w:themeColor="text1"/>
        </w:rPr>
        <w:t xml:space="preserve">istribution </w:t>
      </w:r>
      <w:r>
        <w:rPr>
          <w:color w:val="000000" w:themeColor="text1"/>
        </w:rPr>
        <w:t>i</w:t>
      </w:r>
      <w:r w:rsidRPr="009D0099">
        <w:rPr>
          <w:color w:val="000000" w:themeColor="text1"/>
        </w:rPr>
        <w:t>n Spain</w:t>
      </w:r>
    </w:p>
    <w:p w14:paraId="1612DDBB" w14:textId="77777777" w:rsidR="00747AE6" w:rsidRPr="009D0099" w:rsidRDefault="00747AE6" w:rsidP="00747AE6">
      <w:pPr>
        <w:pStyle w:val="Els-Author"/>
        <w:rPr>
          <w:lang w:val="es-ES"/>
        </w:rPr>
      </w:pPr>
      <w:r w:rsidRPr="009D0099">
        <w:rPr>
          <w:lang w:val="es-ES"/>
        </w:rPr>
        <w:t>José A. Luceño</w:t>
      </w:r>
      <w:r>
        <w:rPr>
          <w:lang w:val="es-ES"/>
        </w:rPr>
        <w:t xml:space="preserve"> </w:t>
      </w:r>
      <w:r w:rsidRPr="009D0099">
        <w:rPr>
          <w:lang w:val="es-ES"/>
        </w:rPr>
        <w:t>Sánchez,</w:t>
      </w:r>
      <w:r w:rsidRPr="009D0099">
        <w:rPr>
          <w:vertAlign w:val="superscript"/>
          <w:lang w:val="es-ES"/>
        </w:rPr>
        <w:t>a</w:t>
      </w:r>
      <w:r>
        <w:rPr>
          <w:vertAlign w:val="superscript"/>
          <w:lang w:val="es-ES"/>
        </w:rPr>
        <w:t>*</w:t>
      </w:r>
      <w:r w:rsidRPr="009D0099">
        <w:rPr>
          <w:lang w:val="es-ES"/>
        </w:rPr>
        <w:t xml:space="preserve"> Mariano Martín,</w:t>
      </w:r>
      <w:r w:rsidRPr="009D0099">
        <w:rPr>
          <w:vertAlign w:val="superscript"/>
          <w:lang w:val="es-ES"/>
        </w:rPr>
        <w:t>b</w:t>
      </w:r>
      <w:r w:rsidRPr="009D0099">
        <w:rPr>
          <w:lang w:val="es-ES"/>
        </w:rPr>
        <w:t xml:space="preserve"> Sandro Macchietto</w:t>
      </w:r>
      <w:r w:rsidRPr="009D0099">
        <w:rPr>
          <w:vertAlign w:val="superscript"/>
          <w:lang w:val="es-ES"/>
        </w:rPr>
        <w:t>a</w:t>
      </w:r>
    </w:p>
    <w:p w14:paraId="6CD105C7" w14:textId="77777777" w:rsidR="00747AE6" w:rsidRPr="009D0099" w:rsidRDefault="00747AE6" w:rsidP="00747AE6">
      <w:pPr>
        <w:pStyle w:val="Els-Affiliation"/>
        <w:rPr>
          <w:lang w:val="en-US"/>
        </w:rPr>
      </w:pPr>
      <w:r w:rsidRPr="009D0099">
        <w:rPr>
          <w:vertAlign w:val="superscript"/>
          <w:lang w:val="en-US"/>
        </w:rPr>
        <w:t>a</w:t>
      </w:r>
      <w:r w:rsidRPr="009D0099">
        <w:t>Department of Chemical Engineering, Imperial College London</w:t>
      </w:r>
      <w:r>
        <w:t>,</w:t>
      </w:r>
      <w:r w:rsidRPr="009D0099">
        <w:t xml:space="preserve"> South Kensington Campus, London SW7 2AZ, U</w:t>
      </w:r>
      <w:r>
        <w:t>nited Kingdom</w:t>
      </w:r>
    </w:p>
    <w:p w14:paraId="29D7A200" w14:textId="77777777" w:rsidR="00747AE6" w:rsidRPr="00BD7A88" w:rsidRDefault="00747AE6" w:rsidP="00747AE6">
      <w:pPr>
        <w:pStyle w:val="Els-Affiliation"/>
      </w:pPr>
      <w:r w:rsidRPr="009D0099">
        <w:rPr>
          <w:vertAlign w:val="superscript"/>
          <w:lang w:val="es-ES"/>
        </w:rPr>
        <w:t>b</w:t>
      </w:r>
      <w:r w:rsidRPr="009D0099">
        <w:rPr>
          <w:lang w:val="es-ES"/>
        </w:rPr>
        <w:t>Departamento de Ingeniería Química y Textil</w:t>
      </w:r>
      <w:r>
        <w:rPr>
          <w:lang w:val="es-ES"/>
        </w:rPr>
        <w:t>,</w:t>
      </w:r>
      <w:r w:rsidRPr="009D0099">
        <w:rPr>
          <w:lang w:val="es-ES"/>
        </w:rPr>
        <w:t xml:space="preserve"> Universidad de Salamanca</w:t>
      </w:r>
      <w:r>
        <w:rPr>
          <w:lang w:val="es-ES"/>
        </w:rPr>
        <w:t>,</w:t>
      </w:r>
      <w:r w:rsidRPr="009D0099">
        <w:rPr>
          <w:lang w:val="es-ES"/>
        </w:rPr>
        <w:t xml:space="preserve"> Pza. </w:t>
      </w:r>
      <w:r w:rsidRPr="00BD7A88">
        <w:t>Caídos 1-5, 37008 Salamanca, Spain</w:t>
      </w:r>
    </w:p>
    <w:p w14:paraId="506E9378" w14:textId="77777777" w:rsidR="00747AE6" w:rsidRPr="00BD7A88" w:rsidRDefault="00747AE6" w:rsidP="00747AE6">
      <w:pPr>
        <w:pStyle w:val="Els-Affiliation"/>
        <w:spacing w:after="120"/>
      </w:pPr>
      <w:r w:rsidRPr="00BD7A88">
        <w:t>j.luceno-sanchez@imperial.ac.uk</w:t>
      </w:r>
    </w:p>
    <w:p w14:paraId="144DE684" w14:textId="77777777" w:rsidR="008D2649" w:rsidRPr="00BD7A88" w:rsidRDefault="008D2649" w:rsidP="008D2649">
      <w:pPr>
        <w:pStyle w:val="Els-Abstract"/>
        <w:rPr>
          <w:lang w:val="en-GB"/>
        </w:rPr>
      </w:pPr>
      <w:r w:rsidRPr="00BD7A88">
        <w:rPr>
          <w:lang w:val="en-GB"/>
        </w:rPr>
        <w:t>Abstract</w:t>
      </w:r>
    </w:p>
    <w:p w14:paraId="5A9EF087" w14:textId="0A11CA89" w:rsidR="00747AE6" w:rsidRPr="00256B91" w:rsidRDefault="00256B91" w:rsidP="00A90BFF">
      <w:pPr>
        <w:pStyle w:val="Els-body-text"/>
      </w:pPr>
      <w:r w:rsidRPr="00256B91">
        <w:t>A</w:t>
      </w:r>
      <w:r>
        <w:t xml:space="preserve"> </w:t>
      </w:r>
      <w:r w:rsidR="007821D8">
        <w:t>multiperiod MILP model</w:t>
      </w:r>
      <w:r>
        <w:t xml:space="preserve"> is proposed for the </w:t>
      </w:r>
      <w:r w:rsidR="008B0EB2">
        <w:t>optimal location</w:t>
      </w:r>
      <w:r w:rsidR="00F76AC0">
        <w:t xml:space="preserve">, </w:t>
      </w:r>
      <w:r w:rsidR="00B8123B">
        <w:t xml:space="preserve">sizing </w:t>
      </w:r>
      <w:r w:rsidR="00F76AC0">
        <w:t xml:space="preserve">and operation of a sustainable energy production network </w:t>
      </w:r>
      <w:r w:rsidR="00351EC5">
        <w:t>based on</w:t>
      </w:r>
      <w:r>
        <w:t xml:space="preserve"> Concentrated Solar Power </w:t>
      </w:r>
      <w:r w:rsidR="007E6423">
        <w:t xml:space="preserve">(CSP) </w:t>
      </w:r>
      <w:r>
        <w:t>plants</w:t>
      </w:r>
      <w:r w:rsidR="00953DEB">
        <w:t>, energy storage</w:t>
      </w:r>
      <w:r w:rsidR="004B6BA4">
        <w:t xml:space="preserve"> and transmission</w:t>
      </w:r>
      <w:r w:rsidR="0097560E">
        <w:t>, and use of H</w:t>
      </w:r>
      <w:r w:rsidR="0097560E" w:rsidRPr="00995E31">
        <w:rPr>
          <w:vertAlign w:val="subscript"/>
        </w:rPr>
        <w:t>2</w:t>
      </w:r>
      <w:r w:rsidR="0097560E">
        <w:t xml:space="preserve"> as an energy vector</w:t>
      </w:r>
      <w:r w:rsidR="00802EAF">
        <w:t>.</w:t>
      </w:r>
      <w:r>
        <w:t xml:space="preserve"> The model takes into account </w:t>
      </w:r>
      <w:r w:rsidR="00333748">
        <w:t>time and</w:t>
      </w:r>
      <w:r>
        <w:t xml:space="preserve"> region-dependent variables (e.g., direct normal irradiance,</w:t>
      </w:r>
      <w:r w:rsidR="00A90BFF">
        <w:t xml:space="preserve"> </w:t>
      </w:r>
      <w:r>
        <w:t>land</w:t>
      </w:r>
      <w:r w:rsidR="00A90BFF">
        <w:t xml:space="preserve">, regional </w:t>
      </w:r>
      <w:r w:rsidR="006F5724">
        <w:t xml:space="preserve">electricity </w:t>
      </w:r>
      <w:r w:rsidR="00A90BFF">
        <w:t>demand</w:t>
      </w:r>
      <w:r>
        <w:t xml:space="preserve">), technical and economic variables of the facilities (e.g., </w:t>
      </w:r>
      <w:r w:rsidR="00A90BFF">
        <w:t>production capacity, investment</w:t>
      </w:r>
      <w:r>
        <w:t>)</w:t>
      </w:r>
      <w:r w:rsidR="00A90BFF">
        <w:t>,</w:t>
      </w:r>
      <w:r w:rsidR="00080CC0">
        <w:t xml:space="preserve"> energy storage (CAES or </w:t>
      </w:r>
      <w:r w:rsidR="00260CF2">
        <w:t>H</w:t>
      </w:r>
      <w:r w:rsidR="00260CF2" w:rsidRPr="00C27826">
        <w:rPr>
          <w:vertAlign w:val="subscript"/>
        </w:rPr>
        <w:t>2</w:t>
      </w:r>
      <w:r w:rsidR="00080CC0">
        <w:t>),</w:t>
      </w:r>
      <w:r w:rsidR="00A90BFF">
        <w:t xml:space="preserve"> the potential social impact</w:t>
      </w:r>
      <w:r w:rsidR="00080CC0">
        <w:t xml:space="preserve"> </w:t>
      </w:r>
      <w:r w:rsidR="00A90BFF">
        <w:t xml:space="preserve">(e.g., economic development, population ratios, and unemployment). </w:t>
      </w:r>
      <w:r w:rsidR="0058614E">
        <w:t>A case study is presented</w:t>
      </w:r>
      <w:r w:rsidR="00653562">
        <w:t xml:space="preserve"> where</w:t>
      </w:r>
      <w:r w:rsidR="00A90BFF">
        <w:t xml:space="preserve"> 5 potential Spanish location</w:t>
      </w:r>
      <w:r w:rsidR="007E6423">
        <w:t>s</w:t>
      </w:r>
      <w:r w:rsidR="00A90BFF">
        <w:t xml:space="preserve"> are evaluated over a year of operation. Results highlight the importance of locat</w:t>
      </w:r>
      <w:r w:rsidR="007E6423">
        <w:t>ing</w:t>
      </w:r>
      <w:r w:rsidR="00A90BFF">
        <w:t xml:space="preserve"> CSP plants considering </w:t>
      </w:r>
      <w:r w:rsidR="00526024">
        <w:t>technical, economic</w:t>
      </w:r>
      <w:r w:rsidR="00A90BFF">
        <w:t xml:space="preserve"> and social </w:t>
      </w:r>
      <w:r w:rsidR="008F45C0">
        <w:t>aspects</w:t>
      </w:r>
      <w:r w:rsidR="004323DA">
        <w:t xml:space="preserve">. The impact of prices </w:t>
      </w:r>
      <w:r w:rsidR="00A45606">
        <w:t>on</w:t>
      </w:r>
      <w:r w:rsidR="004323DA">
        <w:t xml:space="preserve"> policies related to energy </w:t>
      </w:r>
      <w:r w:rsidR="004323DA" w:rsidRPr="00A90BFF">
        <w:t>self-sufficiency</w:t>
      </w:r>
      <w:r w:rsidR="004323DA">
        <w:t xml:space="preserve"> indicat</w:t>
      </w:r>
      <w:r w:rsidR="00FF4393">
        <w:t>e</w:t>
      </w:r>
      <w:r w:rsidR="008F1B54">
        <w:t>s</w:t>
      </w:r>
      <w:r w:rsidR="00A90BFF">
        <w:t xml:space="preserve"> that incentive</w:t>
      </w:r>
      <w:r w:rsidR="00484100">
        <w:t>s</w:t>
      </w:r>
      <w:r w:rsidR="00A90BFF">
        <w:t xml:space="preserve"> </w:t>
      </w:r>
      <w:r w:rsidR="00FF4393">
        <w:t xml:space="preserve">are required for </w:t>
      </w:r>
      <w:r w:rsidR="00A90BFF">
        <w:t>the development of cheaper storage solutions</w:t>
      </w:r>
      <w:r w:rsidR="00080CC0">
        <w:t>.</w:t>
      </w:r>
    </w:p>
    <w:p w14:paraId="0407A545" w14:textId="77777777" w:rsidR="00747AE6" w:rsidRPr="000436CF" w:rsidRDefault="00747AE6" w:rsidP="00747AE6">
      <w:pPr>
        <w:pStyle w:val="Els-body-text"/>
        <w:rPr>
          <w:sz w:val="10"/>
          <w:szCs w:val="10"/>
          <w:highlight w:val="yellow"/>
        </w:rPr>
      </w:pPr>
    </w:p>
    <w:p w14:paraId="345C0103" w14:textId="78A2E47A" w:rsidR="00747AE6" w:rsidRDefault="00747AE6" w:rsidP="00747AE6">
      <w:pPr>
        <w:pStyle w:val="Els-body-text"/>
        <w:spacing w:after="120"/>
        <w:rPr>
          <w:lang w:val="en-GB"/>
        </w:rPr>
      </w:pPr>
      <w:r>
        <w:rPr>
          <w:b/>
          <w:bCs/>
          <w:lang w:val="en-GB"/>
        </w:rPr>
        <w:t>Keywords</w:t>
      </w:r>
      <w:r>
        <w:rPr>
          <w:lang w:val="en-GB"/>
        </w:rPr>
        <w:t xml:space="preserve">: </w:t>
      </w:r>
      <w:r w:rsidRPr="00C91429">
        <w:rPr>
          <w:lang w:val="en-GB"/>
        </w:rPr>
        <w:t>C</w:t>
      </w:r>
      <w:r w:rsidR="00217956">
        <w:rPr>
          <w:lang w:val="en-GB"/>
        </w:rPr>
        <w:t xml:space="preserve">oncentrated </w:t>
      </w:r>
      <w:r w:rsidRPr="00C91429">
        <w:rPr>
          <w:lang w:val="en-GB"/>
        </w:rPr>
        <w:t>S</w:t>
      </w:r>
      <w:r w:rsidR="00217956">
        <w:rPr>
          <w:lang w:val="en-GB"/>
        </w:rPr>
        <w:t xml:space="preserve">olar </w:t>
      </w:r>
      <w:r w:rsidRPr="00C91429">
        <w:rPr>
          <w:lang w:val="en-GB"/>
        </w:rPr>
        <w:t>P</w:t>
      </w:r>
      <w:r w:rsidR="00217956">
        <w:rPr>
          <w:lang w:val="en-GB"/>
        </w:rPr>
        <w:t>lant</w:t>
      </w:r>
      <w:r>
        <w:rPr>
          <w:lang w:val="en-GB"/>
        </w:rPr>
        <w:t>,</w:t>
      </w:r>
      <w:r w:rsidRPr="00C91429">
        <w:rPr>
          <w:lang w:val="en-GB"/>
        </w:rPr>
        <w:t xml:space="preserve"> </w:t>
      </w:r>
      <w:r w:rsidR="002549FD">
        <w:rPr>
          <w:lang w:val="en-GB"/>
        </w:rPr>
        <w:t xml:space="preserve">optimal </w:t>
      </w:r>
      <w:r w:rsidRPr="00C91429">
        <w:rPr>
          <w:lang w:val="en-GB"/>
        </w:rPr>
        <w:t>location</w:t>
      </w:r>
      <w:r>
        <w:rPr>
          <w:lang w:val="en-GB"/>
        </w:rPr>
        <w:t>,</w:t>
      </w:r>
      <w:r w:rsidRPr="00C91429">
        <w:rPr>
          <w:lang w:val="en-GB"/>
        </w:rPr>
        <w:t xml:space="preserve"> </w:t>
      </w:r>
      <w:r w:rsidR="002205EC">
        <w:rPr>
          <w:lang w:val="en-GB"/>
        </w:rPr>
        <w:t>social impact</w:t>
      </w:r>
      <w:r w:rsidR="00EE5083">
        <w:rPr>
          <w:lang w:val="en-GB"/>
        </w:rPr>
        <w:t xml:space="preserve">, </w:t>
      </w:r>
      <w:r w:rsidRPr="00C91429">
        <w:rPr>
          <w:lang w:val="en-GB"/>
        </w:rPr>
        <w:t>energy distribution</w:t>
      </w:r>
      <w:r w:rsidR="00144762">
        <w:rPr>
          <w:lang w:val="en-GB"/>
        </w:rPr>
        <w:t xml:space="preserve"> and storage</w:t>
      </w:r>
      <w:r w:rsidR="002549FD">
        <w:rPr>
          <w:lang w:val="en-GB"/>
        </w:rPr>
        <w:t>, energy network</w:t>
      </w:r>
      <w:r>
        <w:rPr>
          <w:lang w:val="en-GB"/>
        </w:rPr>
        <w:t>.</w:t>
      </w:r>
    </w:p>
    <w:p w14:paraId="144DE689" w14:textId="5E745861" w:rsidR="008D2649" w:rsidRDefault="00C91429" w:rsidP="008D2649">
      <w:pPr>
        <w:pStyle w:val="Els-1storder-head"/>
      </w:pPr>
      <w:r>
        <w:t>Introduction</w:t>
      </w:r>
    </w:p>
    <w:p w14:paraId="2B076D2F" w14:textId="7DAF68B9" w:rsidR="00BD7A88" w:rsidRDefault="00747AE6" w:rsidP="008D2649">
      <w:pPr>
        <w:pStyle w:val="Els-body-text"/>
      </w:pPr>
      <w:r w:rsidRPr="00256B91">
        <w:t>Green energy transition is one of the most ambitious key tasks for countries to achieve the Net-zero policies goals. Concentrated Solar Power (CSP) plants</w:t>
      </w:r>
      <w:r w:rsidR="009B145A">
        <w:t xml:space="preserve"> </w:t>
      </w:r>
      <w:r w:rsidRPr="00256B91">
        <w:t xml:space="preserve">employ solar radiation to produce electricity in a </w:t>
      </w:r>
      <w:r w:rsidR="00A81898" w:rsidRPr="00256B91">
        <w:t>renewable</w:t>
      </w:r>
      <w:r w:rsidR="00864930">
        <w:t xml:space="preserve">, </w:t>
      </w:r>
      <w:r w:rsidRPr="00256B91">
        <w:t xml:space="preserve">sustainable way, </w:t>
      </w:r>
      <w:r w:rsidR="00864930">
        <w:t xml:space="preserve">and </w:t>
      </w:r>
      <w:r w:rsidRPr="00256B91">
        <w:t>have a leading role in the selection of national energy mixes (Shi</w:t>
      </w:r>
      <w:r w:rsidR="0047279A">
        <w:t>,</w:t>
      </w:r>
      <w:r w:rsidRPr="00256B91">
        <w:t xml:space="preserve"> 2016; Ainou et al.</w:t>
      </w:r>
      <w:r w:rsidR="0047279A">
        <w:t>,</w:t>
      </w:r>
      <w:r w:rsidRPr="00256B91">
        <w:t xml:space="preserve"> 2023). </w:t>
      </w:r>
      <w:r w:rsidR="0047279A">
        <w:t>The construction of these plants is influenced by the location</w:t>
      </w:r>
      <w:r w:rsidR="008052E0">
        <w:t xml:space="preserve">, as </w:t>
      </w:r>
      <w:r w:rsidR="00C47879">
        <w:t xml:space="preserve">the achievable production capacities </w:t>
      </w:r>
      <w:r w:rsidR="008052E0">
        <w:t xml:space="preserve">is </w:t>
      </w:r>
      <w:r w:rsidR="00C47879">
        <w:t xml:space="preserve">affected by </w:t>
      </w:r>
      <w:r w:rsidRPr="00256B91">
        <w:t>factors</w:t>
      </w:r>
      <w:r w:rsidR="00C47879">
        <w:t xml:space="preserve"> </w:t>
      </w:r>
      <w:r w:rsidR="00E67657">
        <w:t xml:space="preserve">such as </w:t>
      </w:r>
      <w:r w:rsidRPr="00256B91">
        <w:t>distribution of solar radiation</w:t>
      </w:r>
      <w:r w:rsidR="00846A21">
        <w:t>, and</w:t>
      </w:r>
      <w:r w:rsidRPr="00256B91">
        <w:t xml:space="preserve"> water </w:t>
      </w:r>
      <w:r w:rsidR="00846A21">
        <w:t xml:space="preserve">and land </w:t>
      </w:r>
      <w:r w:rsidRPr="00256B91">
        <w:t>availability</w:t>
      </w:r>
      <w:r w:rsidR="0047279A">
        <w:t>,</w:t>
      </w:r>
      <w:r w:rsidR="00C47879">
        <w:t xml:space="preserve"> energy distribution</w:t>
      </w:r>
      <w:r w:rsidR="0062087B">
        <w:t xml:space="preserve"> infrastructure</w:t>
      </w:r>
      <w:r w:rsidR="00C47879">
        <w:t>,</w:t>
      </w:r>
      <w:r w:rsidR="0047279A">
        <w:t xml:space="preserve"> and </w:t>
      </w:r>
      <w:r w:rsidR="00C47879">
        <w:t xml:space="preserve">the </w:t>
      </w:r>
      <w:r w:rsidRPr="00256B91">
        <w:t xml:space="preserve">social impact of the facility, in terms of economic development or jobs creation (Heras and Martín, 2020). Previous work </w:t>
      </w:r>
      <w:r w:rsidR="00AA4A38" w:rsidRPr="00256B91">
        <w:t>(Luceño Sánchez et al., 2023)</w:t>
      </w:r>
      <w:r w:rsidR="00AA4A38">
        <w:t xml:space="preserve"> </w:t>
      </w:r>
      <w:r w:rsidR="00603138">
        <w:t xml:space="preserve">optimized the </w:t>
      </w:r>
      <w:r w:rsidR="00413580">
        <w:t>location and</w:t>
      </w:r>
      <w:r w:rsidR="00E65AE2">
        <w:t xml:space="preserve"> capacity of CSP plants </w:t>
      </w:r>
      <w:r w:rsidR="00E65AE2" w:rsidRPr="00256B91">
        <w:t>at national scale</w:t>
      </w:r>
      <w:r w:rsidR="00E65AE2">
        <w:t xml:space="preserve"> </w:t>
      </w:r>
      <w:r w:rsidR="00603138">
        <w:t xml:space="preserve">based on </w:t>
      </w:r>
      <w:r w:rsidRPr="00256B91">
        <w:t xml:space="preserve">techno-economic and socio-environmental </w:t>
      </w:r>
      <w:r w:rsidR="000A1046">
        <w:t>models</w:t>
      </w:r>
      <w:r w:rsidRPr="00256B91">
        <w:t xml:space="preserve">, but </w:t>
      </w:r>
      <w:r w:rsidR="000A1046">
        <w:t xml:space="preserve">did not consider </w:t>
      </w:r>
      <w:r w:rsidRPr="00256B91">
        <w:t xml:space="preserve">the distribution of </w:t>
      </w:r>
      <w:r w:rsidR="00787E30">
        <w:t>electricity</w:t>
      </w:r>
      <w:r w:rsidR="00980B1F">
        <w:t>,</w:t>
      </w:r>
      <w:r w:rsidR="008D4DC4">
        <w:t xml:space="preserve"> </w:t>
      </w:r>
      <w:r w:rsidR="00980B1F">
        <w:t xml:space="preserve">the possibility of </w:t>
      </w:r>
      <w:r w:rsidR="00DA115E">
        <w:t xml:space="preserve">storing </w:t>
      </w:r>
      <w:r w:rsidR="007972CB">
        <w:t>energy</w:t>
      </w:r>
      <w:r w:rsidR="00C47879">
        <w:t xml:space="preserve"> surplus</w:t>
      </w:r>
      <w:r w:rsidR="007972CB">
        <w:t xml:space="preserve"> </w:t>
      </w:r>
      <w:r w:rsidR="00DA115E">
        <w:t>or</w:t>
      </w:r>
      <w:r w:rsidR="008D4DC4">
        <w:t xml:space="preserve"> converting it to other</w:t>
      </w:r>
      <w:r w:rsidR="00C72CEB">
        <w:t xml:space="preserve"> energy vectors</w:t>
      </w:r>
      <w:r w:rsidR="007972CB">
        <w:t>,</w:t>
      </w:r>
      <w:r w:rsidR="00D57E54">
        <w:t xml:space="preserve"> which could also be transported to other regions.</w:t>
      </w:r>
      <w:r w:rsidR="00C47879">
        <w:t xml:space="preserve"> </w:t>
      </w:r>
      <w:r w:rsidRPr="00256B91">
        <w:t xml:space="preserve">In this work, a new mathematical model is proposed to address simultaneously the location of CSP facilities, the distribution of energy to satisfy the regional demand, the possible strategies that should be followed for energy </w:t>
      </w:r>
      <w:r w:rsidR="0047279A">
        <w:t>storing</w:t>
      </w:r>
      <w:r w:rsidR="0047279A" w:rsidRPr="00256B91">
        <w:t xml:space="preserve"> </w:t>
      </w:r>
      <w:r w:rsidRPr="00256B91">
        <w:t xml:space="preserve">in case of </w:t>
      </w:r>
      <w:r w:rsidR="00094BAB">
        <w:t>electricity</w:t>
      </w:r>
      <w:r w:rsidR="00094BAB" w:rsidRPr="00256B91">
        <w:t xml:space="preserve"> </w:t>
      </w:r>
      <w:r w:rsidRPr="00256B91">
        <w:t>surplus, and the techno-socio-economic evaluation related to these aspects.</w:t>
      </w:r>
      <w:r w:rsidR="00C47879">
        <w:t xml:space="preserve"> </w:t>
      </w:r>
      <w:r w:rsidRPr="00256B91">
        <w:t xml:space="preserve">Potential locations and distribution strategies are evaluated, </w:t>
      </w:r>
      <w:r w:rsidR="00C400A1">
        <w:t>together with</w:t>
      </w:r>
      <w:r w:rsidRPr="00256B91">
        <w:t xml:space="preserve"> the possibility to use compressed air storage as energy storage system (ESS) </w:t>
      </w:r>
      <w:r w:rsidR="00E56771">
        <w:t>and</w:t>
      </w:r>
      <w:r w:rsidRPr="00256B91">
        <w:t xml:space="preserve"> the production of green </w:t>
      </w:r>
      <w:r w:rsidR="0047279A">
        <w:t>H</w:t>
      </w:r>
      <w:r w:rsidR="0047279A" w:rsidRPr="00C27826">
        <w:rPr>
          <w:vertAlign w:val="subscript"/>
        </w:rPr>
        <w:t>2</w:t>
      </w:r>
      <w:r w:rsidR="0047279A" w:rsidRPr="00256B91">
        <w:t xml:space="preserve"> </w:t>
      </w:r>
      <w:r w:rsidRPr="00256B91">
        <w:t>for fuel-cell applications.</w:t>
      </w:r>
    </w:p>
    <w:p w14:paraId="3113F727" w14:textId="0F268D19" w:rsidR="00271367" w:rsidRDefault="00AE1B3D" w:rsidP="00271367">
      <w:pPr>
        <w:pStyle w:val="Els-body-text"/>
      </w:pPr>
      <w:r>
        <w:rPr>
          <w:noProof/>
        </w:rPr>
        <w:lastRenderedPageBreak/>
        <w:drawing>
          <wp:inline distT="0" distB="0" distL="0" distR="0" wp14:anchorId="0AEB33D4" wp14:editId="3D08E83C">
            <wp:extent cx="4495800" cy="1432560"/>
            <wp:effectExtent l="0" t="0" r="0" b="0"/>
            <wp:docPr id="9493350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4495800" cy="1432560"/>
                    </a:xfrm>
                    <a:prstGeom prst="rect">
                      <a:avLst/>
                    </a:prstGeom>
                    <a:noFill/>
                    <a:ln>
                      <a:noFill/>
                    </a:ln>
                  </pic:spPr>
                </pic:pic>
              </a:graphicData>
            </a:graphic>
          </wp:inline>
        </w:drawing>
      </w:r>
    </w:p>
    <w:p w14:paraId="35F25CA9" w14:textId="3EF1EC73" w:rsidR="00271367" w:rsidRDefault="00271367" w:rsidP="00C27826">
      <w:pPr>
        <w:pStyle w:val="Els-body-text"/>
        <w:jc w:val="center"/>
      </w:pPr>
      <w:r w:rsidRPr="00C90671">
        <w:rPr>
          <w:b/>
          <w:bCs/>
        </w:rPr>
        <w:t>Figure 1</w:t>
      </w:r>
      <w:r>
        <w:t xml:space="preserve">: </w:t>
      </w:r>
      <w:r w:rsidR="00AE1B3D">
        <w:t>a</w:t>
      </w:r>
      <w:r>
        <w:t xml:space="preserve">) Node representation; </w:t>
      </w:r>
      <w:r w:rsidR="00AE1B3D">
        <w:t>b</w:t>
      </w:r>
      <w:r>
        <w:t>) Five nodes network.</w:t>
      </w:r>
    </w:p>
    <w:p w14:paraId="4129579B" w14:textId="241952C3" w:rsidR="00747AE6" w:rsidRDefault="00747AE6" w:rsidP="00747AE6">
      <w:pPr>
        <w:pStyle w:val="Els-1storder-head"/>
      </w:pPr>
      <w:r>
        <w:t>Problem formulation</w:t>
      </w:r>
    </w:p>
    <w:p w14:paraId="0A9A1B4D" w14:textId="48563800" w:rsidR="00747AE6" w:rsidRDefault="009428C5" w:rsidP="00747AE6">
      <w:pPr>
        <w:pStyle w:val="Els-body-text"/>
      </w:pPr>
      <w:r>
        <w:t>A territory is subdivided in regions, each represented</w:t>
      </w:r>
      <w:r w:rsidR="007413A7">
        <w:t xml:space="preserve"> by a node as depicted in </w:t>
      </w:r>
      <w:r w:rsidR="00FB216E">
        <w:t>F</w:t>
      </w:r>
      <w:r w:rsidR="007413A7">
        <w:t xml:space="preserve">igure </w:t>
      </w:r>
      <w:r w:rsidR="00AE1B3D">
        <w:t>1a</w:t>
      </w:r>
      <w:r w:rsidR="00B55F24">
        <w:t xml:space="preserve">, </w:t>
      </w:r>
      <w:r w:rsidR="00D26D09">
        <w:t xml:space="preserve">which </w:t>
      </w:r>
      <w:r w:rsidR="002B28C2">
        <w:t xml:space="preserve">is connected to all </w:t>
      </w:r>
      <w:r w:rsidR="002C267F">
        <w:t>other nodes</w:t>
      </w:r>
      <w:r w:rsidR="003F4881">
        <w:t xml:space="preserve"> </w:t>
      </w:r>
      <w:r w:rsidR="00D26D09">
        <w:t xml:space="preserve">in a network superstructure </w:t>
      </w:r>
      <w:r w:rsidR="003F4881">
        <w:t>(</w:t>
      </w:r>
      <w:r w:rsidR="00B2056D">
        <w:t xml:space="preserve">see </w:t>
      </w:r>
      <w:r w:rsidR="002C267F">
        <w:t xml:space="preserve">Figure </w:t>
      </w:r>
      <w:r w:rsidR="00AE1B3D">
        <w:t xml:space="preserve">1b </w:t>
      </w:r>
      <w:r w:rsidR="003F4881">
        <w:t xml:space="preserve">for the </w:t>
      </w:r>
      <w:r w:rsidR="002B28C2">
        <w:t xml:space="preserve">5-node </w:t>
      </w:r>
      <w:r w:rsidR="003F4881">
        <w:t>case study used later)</w:t>
      </w:r>
      <w:r w:rsidR="00260CF2">
        <w:t>.</w:t>
      </w:r>
      <w:r w:rsidR="003F4881">
        <w:t xml:space="preserve"> </w:t>
      </w:r>
      <w:r w:rsidR="00406BA9">
        <w:t>E</w:t>
      </w:r>
      <w:r w:rsidR="003A47F0">
        <w:t>ach n</w:t>
      </w:r>
      <w:r w:rsidR="00406BA9">
        <w:t xml:space="preserve">ode (region) is </w:t>
      </w:r>
      <w:r w:rsidR="006F40DF">
        <w:t>characterized</w:t>
      </w:r>
      <w:r w:rsidR="00406BA9">
        <w:t xml:space="preserve"> by a CSP plant</w:t>
      </w:r>
      <w:r w:rsidR="00065A22">
        <w:t xml:space="preserve"> for electricity production</w:t>
      </w:r>
      <w:r w:rsidR="007B4884">
        <w:t xml:space="preserve"> and</w:t>
      </w:r>
      <w:r w:rsidR="00065A22">
        <w:t xml:space="preserve"> </w:t>
      </w:r>
      <w:r w:rsidR="005A6623">
        <w:t xml:space="preserve">the </w:t>
      </w:r>
      <w:r w:rsidR="008A2696">
        <w:t xml:space="preserve">electricity </w:t>
      </w:r>
      <w:r w:rsidR="001C4997">
        <w:t xml:space="preserve">demand </w:t>
      </w:r>
      <w:r w:rsidR="008A2696">
        <w:t>(consumption)</w:t>
      </w:r>
      <w:r w:rsidR="007B4884">
        <w:t>.</w:t>
      </w:r>
      <w:r w:rsidR="001C4997">
        <w:t xml:space="preserve"> </w:t>
      </w:r>
      <w:r w:rsidR="004612C1">
        <w:t>E</w:t>
      </w:r>
      <w:r w:rsidR="001C4997">
        <w:t xml:space="preserve">nergy </w:t>
      </w:r>
      <w:r w:rsidR="004612C1">
        <w:t xml:space="preserve">may be </w:t>
      </w:r>
      <w:r w:rsidR="001C4997">
        <w:t>stor</w:t>
      </w:r>
      <w:r w:rsidR="004612C1">
        <w:t>ed</w:t>
      </w:r>
      <w:r w:rsidR="001C4997">
        <w:t xml:space="preserve"> in the form of </w:t>
      </w:r>
      <w:r w:rsidR="00445356">
        <w:t>compressed air (CAES)</w:t>
      </w:r>
      <w:r w:rsidR="002B5B39">
        <w:t xml:space="preserve"> and </w:t>
      </w:r>
      <w:r w:rsidR="006C7851">
        <w:t>H</w:t>
      </w:r>
      <w:r w:rsidR="006C7851" w:rsidRPr="00C27826">
        <w:rPr>
          <w:vertAlign w:val="subscript"/>
        </w:rPr>
        <w:t>2</w:t>
      </w:r>
      <w:r w:rsidR="003F3FB8">
        <w:t xml:space="preserve"> </w:t>
      </w:r>
      <w:r w:rsidR="005D029E">
        <w:t>and returned back to the node as electricity</w:t>
      </w:r>
      <w:r w:rsidR="006C7851">
        <w:t xml:space="preserve">. </w:t>
      </w:r>
      <w:r w:rsidR="000E64CF">
        <w:t xml:space="preserve">Excess </w:t>
      </w:r>
      <w:r w:rsidR="00876AB8">
        <w:t xml:space="preserve">unused </w:t>
      </w:r>
      <w:r w:rsidR="000E64CF">
        <w:t>electricity</w:t>
      </w:r>
      <w:r w:rsidR="00D73B4D">
        <w:t>,</w:t>
      </w:r>
      <w:r w:rsidR="00410202">
        <w:t xml:space="preserve"> labelled “surplus”</w:t>
      </w:r>
      <w:r w:rsidR="00D73B4D">
        <w:t>,</w:t>
      </w:r>
      <w:r w:rsidR="007A632A">
        <w:t xml:space="preserve"> ma</w:t>
      </w:r>
      <w:r w:rsidR="006E0136">
        <w:t>y be transmitted to other nodes</w:t>
      </w:r>
      <w:r w:rsidR="000E64CF">
        <w:t xml:space="preserve"> </w:t>
      </w:r>
      <w:r w:rsidR="00B859B4">
        <w:t xml:space="preserve">or otherwise </w:t>
      </w:r>
      <w:r w:rsidR="004430D5">
        <w:t xml:space="preserve">must be </w:t>
      </w:r>
      <w:r w:rsidR="008F6019">
        <w:t>disposed of.</w:t>
      </w:r>
      <w:r w:rsidR="00B859B4">
        <w:t xml:space="preserve"> Additional electricity requirem</w:t>
      </w:r>
      <w:r w:rsidR="00D06B2C">
        <w:t>ents may be met by transmission from other nodes or import from external sources</w:t>
      </w:r>
      <w:r w:rsidR="00201CF7">
        <w:t>.</w:t>
      </w:r>
      <w:r w:rsidR="00F22DA8">
        <w:t xml:space="preserve"> </w:t>
      </w:r>
      <w:r w:rsidR="00386B5B">
        <w:t>D</w:t>
      </w:r>
      <w:r w:rsidR="00F22DA8">
        <w:t>emands</w:t>
      </w:r>
      <w:r w:rsidR="00386B5B">
        <w:t xml:space="preserve"> </w:t>
      </w:r>
      <w:r w:rsidR="00A333C6">
        <w:t>and factors such</w:t>
      </w:r>
      <w:r w:rsidR="00C74D8A">
        <w:t xml:space="preserve"> </w:t>
      </w:r>
      <w:r w:rsidR="00A333C6">
        <w:t>as irrad</w:t>
      </w:r>
      <w:r w:rsidR="00C74D8A">
        <w:t>iation and water availability vary both over time and location</w:t>
      </w:r>
      <w:r w:rsidR="00A11ED5">
        <w:t xml:space="preserve">. </w:t>
      </w:r>
      <w:r w:rsidR="00F22DA8">
        <w:t xml:space="preserve">We wish to </w:t>
      </w:r>
      <w:r w:rsidR="001E2861">
        <w:t>calculate the location</w:t>
      </w:r>
      <w:r w:rsidR="00475FFD">
        <w:t xml:space="preserve"> and capacity</w:t>
      </w:r>
      <w:r w:rsidR="001E2861">
        <w:t xml:space="preserve"> </w:t>
      </w:r>
      <w:r w:rsidR="00475FFD">
        <w:t xml:space="preserve">of CSP plants, as well as </w:t>
      </w:r>
      <w:r w:rsidR="006341B7">
        <w:t xml:space="preserve">the type and size of storage at each node and the </w:t>
      </w:r>
      <w:r w:rsidR="005A27B8">
        <w:t xml:space="preserve">energy </w:t>
      </w:r>
      <w:r w:rsidR="00A463B0">
        <w:t xml:space="preserve">transmitted </w:t>
      </w:r>
      <w:r w:rsidR="005A27B8">
        <w:t>between nodes in the form of either electricity or H</w:t>
      </w:r>
      <w:r w:rsidR="005A27B8" w:rsidRPr="00C27826">
        <w:rPr>
          <w:vertAlign w:val="subscript"/>
        </w:rPr>
        <w:t>2</w:t>
      </w:r>
      <w:r w:rsidR="00D735AF">
        <w:t xml:space="preserve">, that optimize </w:t>
      </w:r>
      <w:r w:rsidR="00330EB4">
        <w:t xml:space="preserve">overall </w:t>
      </w:r>
      <w:r w:rsidR="00E71B12">
        <w:t>economic</w:t>
      </w:r>
      <w:r w:rsidR="003759AC">
        <w:t>,</w:t>
      </w:r>
      <w:r w:rsidR="00E71B12">
        <w:t xml:space="preserve"> social and environmental impacts</w:t>
      </w:r>
      <w:r w:rsidR="005A27B8">
        <w:t>.</w:t>
      </w:r>
      <w:r w:rsidR="00747AE6">
        <w:t xml:space="preserve"> </w:t>
      </w:r>
      <w:r w:rsidR="00AD35D4">
        <w:t>T</w:t>
      </w:r>
      <w:r w:rsidR="00307391">
        <w:t xml:space="preserve">he existence of each </w:t>
      </w:r>
      <w:r w:rsidR="000D2298">
        <w:t>facility</w:t>
      </w:r>
      <w:r w:rsidR="007841A1">
        <w:t xml:space="preserve"> </w:t>
      </w:r>
      <w:r w:rsidR="000D2298">
        <w:t xml:space="preserve">is represented by </w:t>
      </w:r>
      <w:r w:rsidR="005A6623">
        <w:t>binary</w:t>
      </w:r>
      <w:r w:rsidR="000D2298">
        <w:t xml:space="preserve"> variables, and their capacity or utilization by continuous variables.</w:t>
      </w:r>
      <w:r w:rsidR="00FC2DA9">
        <w:t xml:space="preserve"> </w:t>
      </w:r>
      <w:r w:rsidR="00EF23B4">
        <w:t xml:space="preserve">The model </w:t>
      </w:r>
      <w:r w:rsidR="00B35559">
        <w:t>is</w:t>
      </w:r>
      <w:r w:rsidR="00EF23B4">
        <w:t xml:space="preserve"> divided into four sections:</w:t>
      </w:r>
    </w:p>
    <w:p w14:paraId="7AB83C73" w14:textId="0DAC900D" w:rsidR="00747AE6" w:rsidRDefault="00747AE6" w:rsidP="00747AE6">
      <w:pPr>
        <w:pStyle w:val="Els-body-text"/>
      </w:pPr>
      <w:r>
        <w:t>-</w:t>
      </w:r>
      <w:r w:rsidR="00C018FC" w:rsidRPr="00123C7C">
        <w:rPr>
          <w:b/>
          <w:bCs/>
        </w:rPr>
        <w:t>N</w:t>
      </w:r>
      <w:r w:rsidR="00C018FC">
        <w:rPr>
          <w:b/>
          <w:bCs/>
        </w:rPr>
        <w:t>ode</w:t>
      </w:r>
      <w:r w:rsidR="00DC49DA">
        <w:rPr>
          <w:b/>
          <w:bCs/>
        </w:rPr>
        <w:t xml:space="preserve"> </w:t>
      </w:r>
      <w:r w:rsidRPr="00123C7C">
        <w:rPr>
          <w:b/>
          <w:bCs/>
        </w:rPr>
        <w:t>energy balances</w:t>
      </w:r>
      <w:r>
        <w:t xml:space="preserve">: each region is presented as a node of a network, </w:t>
      </w:r>
      <w:r w:rsidR="00185C84">
        <w:t xml:space="preserve">with </w:t>
      </w:r>
      <w:r w:rsidR="00DC0CF3">
        <w:t xml:space="preserve">the energy balance for </w:t>
      </w:r>
      <w:r w:rsidR="00185C84">
        <w:t xml:space="preserve">node l </w:t>
      </w:r>
      <w:r w:rsidR="00D42473">
        <w:t>given</w:t>
      </w:r>
      <w:r>
        <w:t xml:space="preserve"> in eq. </w:t>
      </w:r>
      <w:r w:rsidR="007841A1">
        <w:t>1.</w:t>
      </w:r>
      <w:r>
        <w:t xml:space="preserve"> Each node </w:t>
      </w:r>
      <w:r w:rsidR="007E6423">
        <w:t>include</w:t>
      </w:r>
      <w:r w:rsidR="00893D4D">
        <w:t>s</w:t>
      </w:r>
      <w:r w:rsidR="007E6423">
        <w:t xml:space="preserve"> </w:t>
      </w:r>
      <w:r>
        <w:t xml:space="preserve">the </w:t>
      </w:r>
      <w:r w:rsidR="008E0855">
        <w:t xml:space="preserve">electricity </w:t>
      </w:r>
      <w:r>
        <w:t>production (</w:t>
      </w:r>
      <m:oMath>
        <m:sSub>
          <m:sSubPr>
            <m:ctrlPr>
              <w:rPr>
                <w:rFonts w:ascii="Cambria Math" w:hAnsi="Cambria Math"/>
              </w:rPr>
            </m:ctrlPr>
          </m:sSubPr>
          <m:e>
            <m:r>
              <w:rPr>
                <w:rFonts w:ascii="Cambria Math" w:hAnsi="Cambria Math"/>
              </w:rPr>
              <m:t>EnPr</m:t>
            </m:r>
          </m:e>
          <m:sub>
            <m:r>
              <w:rPr>
                <w:rFonts w:ascii="Cambria Math" w:hAnsi="Cambria Math"/>
              </w:rPr>
              <m:t>t,l</m:t>
            </m:r>
          </m:sub>
        </m:sSub>
      </m:oMath>
      <w:r>
        <w:t xml:space="preserve"> [GWh]), the charge (</w:t>
      </w:r>
      <m:oMath>
        <m:sSub>
          <m:sSubPr>
            <m:ctrlPr>
              <w:rPr>
                <w:rFonts w:ascii="Cambria Math" w:hAnsi="Cambria Math"/>
              </w:rPr>
            </m:ctrlPr>
          </m:sSubPr>
          <m:e>
            <m:r>
              <w:rPr>
                <w:rFonts w:ascii="Cambria Math" w:hAnsi="Cambria Math"/>
              </w:rPr>
              <m:t>EnSto</m:t>
            </m:r>
          </m:e>
          <m:sub>
            <m:r>
              <w:rPr>
                <w:rFonts w:ascii="Cambria Math" w:hAnsi="Cambria Math"/>
              </w:rPr>
              <m:t>t,l</m:t>
            </m:r>
          </m:sub>
        </m:sSub>
      </m:oMath>
      <w:r>
        <w:t xml:space="preserve"> [GWh]) and discharge from storage (</w:t>
      </w:r>
      <m:oMath>
        <m:sSub>
          <m:sSubPr>
            <m:ctrlPr>
              <w:rPr>
                <w:rFonts w:ascii="Cambria Math" w:hAnsi="Cambria Math"/>
              </w:rPr>
            </m:ctrlPr>
          </m:sSubPr>
          <m:e>
            <m:r>
              <w:rPr>
                <w:rFonts w:ascii="Cambria Math" w:hAnsi="Cambria Math"/>
              </w:rPr>
              <m:t>EnDch</m:t>
            </m:r>
          </m:e>
          <m:sub>
            <m:r>
              <w:rPr>
                <w:rFonts w:ascii="Cambria Math" w:hAnsi="Cambria Math"/>
              </w:rPr>
              <m:t>t,l</m:t>
            </m:r>
          </m:sub>
        </m:sSub>
      </m:oMath>
      <w:r>
        <w:t xml:space="preserve"> [GWh]), the </w:t>
      </w:r>
      <w:r w:rsidR="00741653">
        <w:t xml:space="preserve">electricity </w:t>
      </w:r>
      <w:r w:rsidR="001A2FF4">
        <w:t>imported or exported</w:t>
      </w:r>
      <w:r w:rsidR="00B862A7">
        <w:t xml:space="preserve"> fr</w:t>
      </w:r>
      <w:r w:rsidR="0079205C">
        <w:t>o</w:t>
      </w:r>
      <w:r w:rsidR="00B862A7">
        <w:t>m node l</w:t>
      </w:r>
      <w:r w:rsidR="001A2FF4">
        <w:t xml:space="preserve"> to other </w:t>
      </w:r>
      <w:r w:rsidR="00B862A7">
        <w:t xml:space="preserve">nodes </w:t>
      </w:r>
      <w:r w:rsidR="003116AF">
        <w:t>n in</w:t>
      </w:r>
      <w:r>
        <w:t xml:space="preserve"> the network</w:t>
      </w:r>
      <w:r w:rsidR="003116AF">
        <w:t xml:space="preserve"> </w:t>
      </w:r>
      <w:r>
        <w:t xml:space="preserve"> (</w:t>
      </w:r>
      <m:oMath>
        <m:sSub>
          <m:sSubPr>
            <m:ctrlPr>
              <w:rPr>
                <w:rFonts w:ascii="Cambria Math" w:hAnsi="Cambria Math"/>
              </w:rPr>
            </m:ctrlPr>
          </m:sSubPr>
          <m:e>
            <m:r>
              <w:rPr>
                <w:rFonts w:ascii="Cambria Math" w:hAnsi="Cambria Math"/>
              </w:rPr>
              <m:t>EnDis</m:t>
            </m:r>
          </m:e>
          <m:sub>
            <m:r>
              <w:rPr>
                <w:rFonts w:ascii="Cambria Math" w:hAnsi="Cambria Math"/>
              </w:rPr>
              <m:t>t,n,l</m:t>
            </m:r>
          </m:sub>
        </m:sSub>
      </m:oMath>
      <w:r>
        <w:t xml:space="preserve"> [GWh]), consum</w:t>
      </w:r>
      <w:r w:rsidR="00DF7062">
        <w:t>ed</w:t>
      </w:r>
      <w:r>
        <w:t xml:space="preserve"> (</w:t>
      </w:r>
      <m:oMath>
        <m:sSub>
          <m:sSubPr>
            <m:ctrlPr>
              <w:rPr>
                <w:rFonts w:ascii="Cambria Math" w:hAnsi="Cambria Math"/>
              </w:rPr>
            </m:ctrlPr>
          </m:sSubPr>
          <m:e>
            <m:r>
              <w:rPr>
                <w:rFonts w:ascii="Cambria Math" w:hAnsi="Cambria Math"/>
              </w:rPr>
              <m:t>EnCon</m:t>
            </m:r>
          </m:e>
          <m:sub>
            <m:r>
              <w:rPr>
                <w:rFonts w:ascii="Cambria Math" w:hAnsi="Cambria Math"/>
              </w:rPr>
              <m:t>t,l</m:t>
            </m:r>
          </m:sub>
        </m:sSub>
      </m:oMath>
      <w:r>
        <w:t xml:space="preserve"> [GWh]), unused (</w:t>
      </w:r>
      <m:oMath>
        <m:sSub>
          <m:sSubPr>
            <m:ctrlPr>
              <w:rPr>
                <w:rFonts w:ascii="Cambria Math" w:hAnsi="Cambria Math"/>
              </w:rPr>
            </m:ctrlPr>
          </m:sSubPr>
          <m:e>
            <m:r>
              <w:rPr>
                <w:rFonts w:ascii="Cambria Math" w:hAnsi="Cambria Math"/>
              </w:rPr>
              <m:t>EnSurplus</m:t>
            </m:r>
          </m:e>
          <m:sub>
            <m:r>
              <w:rPr>
                <w:rFonts w:ascii="Cambria Math" w:hAnsi="Cambria Math"/>
              </w:rPr>
              <m:t>t,l</m:t>
            </m:r>
          </m:sub>
        </m:sSub>
      </m:oMath>
      <w:r>
        <w:t xml:space="preserve"> [GWh]), and that </w:t>
      </w:r>
      <w:r w:rsidR="00DF7062">
        <w:t xml:space="preserve">which </w:t>
      </w:r>
      <w:r>
        <w:t>must be bought from other sources (</w:t>
      </w:r>
      <m:oMath>
        <m:sSub>
          <m:sSubPr>
            <m:ctrlPr>
              <w:rPr>
                <w:rFonts w:ascii="Cambria Math" w:hAnsi="Cambria Math"/>
              </w:rPr>
            </m:ctrlPr>
          </m:sSubPr>
          <m:e>
            <m:r>
              <w:rPr>
                <w:rFonts w:ascii="Cambria Math" w:hAnsi="Cambria Math"/>
              </w:rPr>
              <m:t>EnImport</m:t>
            </m:r>
          </m:e>
          <m:sub>
            <m:r>
              <w:rPr>
                <w:rFonts w:ascii="Cambria Math" w:hAnsi="Cambria Math"/>
              </w:rPr>
              <m:t>t,l</m:t>
            </m:r>
          </m:sub>
        </m:sSub>
      </m:oMath>
      <w:r>
        <w:t xml:space="preserve"> [GWh]). This formulation enables to calculate all energy transmission between nodes </w:t>
      </w:r>
      <w:r w:rsidR="00611EC5">
        <w:t xml:space="preserve">at </w:t>
      </w:r>
      <w:r>
        <w:t>each time-step, and the energy to be stored and to be discharged in each node.</w:t>
      </w:r>
    </w:p>
    <w:p w14:paraId="08F40BF4" w14:textId="77777777" w:rsidR="00747AE6" w:rsidRPr="004D6DF5" w:rsidRDefault="00747AE6" w:rsidP="00747AE6">
      <w:pPr>
        <w:pStyle w:val="Els-body-text"/>
        <w:rPr>
          <w:sz w:val="12"/>
          <w:szCs w:val="12"/>
        </w:rPr>
      </w:pPr>
    </w:p>
    <w:tbl>
      <w:tblPr>
        <w:tblStyle w:val="Tablaconcuadrcula"/>
        <w:tblW w:w="7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3"/>
        <w:gridCol w:w="964"/>
      </w:tblGrid>
      <w:tr w:rsidR="00747AE6" w:rsidRPr="00A94774" w14:paraId="2FDB1640" w14:textId="77777777" w:rsidTr="00E635B3">
        <w:tc>
          <w:tcPr>
            <w:tcW w:w="6113" w:type="dxa"/>
          </w:tcPr>
          <w:p w14:paraId="157B5301" w14:textId="00C9EE1F" w:rsidR="00747AE6" w:rsidRPr="004D6DF5" w:rsidRDefault="00000000" w:rsidP="00E635B3">
            <w:pPr>
              <w:pStyle w:val="Els-body-text"/>
              <w:spacing w:before="120" w:after="120" w:line="264" w:lineRule="auto"/>
              <w:jc w:val="left"/>
              <w:rPr>
                <w:lang w:val="en-GB"/>
              </w:rPr>
            </w:pPr>
            <m:oMathPara>
              <m:oMathParaPr>
                <m:jc m:val="left"/>
              </m:oMathParaPr>
              <m:oMath>
                <m:sSub>
                  <m:sSubPr>
                    <m:ctrlPr>
                      <w:rPr>
                        <w:rFonts w:ascii="Cambria Math" w:hAnsi="Cambria Math"/>
                        <w:sz w:val="18"/>
                        <w:szCs w:val="18"/>
                      </w:rPr>
                    </m:ctrlPr>
                  </m:sSubPr>
                  <m:e>
                    <m:r>
                      <w:rPr>
                        <w:rFonts w:ascii="Cambria Math" w:hAnsi="Cambria Math"/>
                        <w:sz w:val="18"/>
                        <w:szCs w:val="18"/>
                      </w:rPr>
                      <m:t>EnPr</m:t>
                    </m:r>
                  </m:e>
                  <m:sub>
                    <m:r>
                      <w:rPr>
                        <w:rFonts w:ascii="Cambria Math" w:hAnsi="Cambria Math"/>
                        <w:sz w:val="18"/>
                        <w:szCs w:val="18"/>
                      </w:rPr>
                      <m:t>t,l</m:t>
                    </m:r>
                  </m:sub>
                </m:sSub>
                <m: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EnDch</m:t>
                    </m:r>
                  </m:e>
                  <m:sub>
                    <m:r>
                      <w:rPr>
                        <w:rFonts w:ascii="Cambria Math" w:hAnsi="Cambria Math"/>
                        <w:sz w:val="18"/>
                        <w:szCs w:val="18"/>
                      </w:rPr>
                      <m:t>t,l</m:t>
                    </m:r>
                  </m:sub>
                </m:sSub>
                <m:r>
                  <w:rPr>
                    <w:rFonts w:ascii="Cambria Math" w:hAnsi="Cambria Math"/>
                    <w:sz w:val="18"/>
                    <w:szCs w:val="18"/>
                  </w:rPr>
                  <m:t>+</m:t>
                </m:r>
                <m:nary>
                  <m:naryPr>
                    <m:chr m:val="∑"/>
                    <m:limLoc m:val="subSup"/>
                    <m:ctrlPr>
                      <w:rPr>
                        <w:rFonts w:ascii="Cambria Math" w:hAnsi="Cambria Math"/>
                        <w:sz w:val="18"/>
                        <w:szCs w:val="18"/>
                      </w:rPr>
                    </m:ctrlPr>
                  </m:naryPr>
                  <m:sub>
                    <m:r>
                      <w:rPr>
                        <w:rFonts w:ascii="Cambria Math" w:hAnsi="Cambria Math"/>
                        <w:sz w:val="18"/>
                        <w:szCs w:val="18"/>
                      </w:rPr>
                      <m:t>n=1</m:t>
                    </m:r>
                  </m:sub>
                  <m:sup>
                    <m:r>
                      <w:rPr>
                        <w:rFonts w:ascii="Cambria Math" w:hAnsi="Cambria Math"/>
                        <w:sz w:val="18"/>
                        <w:szCs w:val="18"/>
                      </w:rPr>
                      <m:t>Nod</m:t>
                    </m:r>
                  </m:sup>
                  <m:e>
                    <m:sSub>
                      <m:sSubPr>
                        <m:ctrlPr>
                          <w:rPr>
                            <w:rFonts w:ascii="Cambria Math" w:hAnsi="Cambria Math"/>
                            <w:sz w:val="18"/>
                            <w:szCs w:val="18"/>
                          </w:rPr>
                        </m:ctrlPr>
                      </m:sSubPr>
                      <m:e>
                        <m:r>
                          <w:rPr>
                            <w:rFonts w:ascii="Cambria Math" w:hAnsi="Cambria Math"/>
                            <w:sz w:val="18"/>
                            <w:szCs w:val="18"/>
                          </w:rPr>
                          <m:t>EnDis</m:t>
                        </m:r>
                      </m:e>
                      <m:sub>
                        <m:r>
                          <w:rPr>
                            <w:rFonts w:ascii="Cambria Math" w:hAnsi="Cambria Math"/>
                            <w:sz w:val="18"/>
                            <w:szCs w:val="18"/>
                          </w:rPr>
                          <m:t>t,n,l</m:t>
                        </m:r>
                      </m:sub>
                    </m:sSub>
                  </m:e>
                </m:nary>
                <m: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EnImport</m:t>
                    </m:r>
                  </m:e>
                  <m:sub>
                    <m:r>
                      <w:rPr>
                        <w:rFonts w:ascii="Cambria Math" w:hAnsi="Cambria Math"/>
                        <w:sz w:val="18"/>
                        <w:szCs w:val="18"/>
                      </w:rPr>
                      <m:t>t,l</m:t>
                    </m:r>
                  </m:sub>
                </m:sSub>
                <m: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EnCon</m:t>
                    </m:r>
                  </m:e>
                  <m:sub>
                    <m:r>
                      <w:rPr>
                        <w:rFonts w:ascii="Cambria Math" w:hAnsi="Cambria Math"/>
                        <w:sz w:val="18"/>
                        <w:szCs w:val="18"/>
                      </w:rPr>
                      <m:t>t,l</m:t>
                    </m:r>
                  </m:sub>
                </m:sSub>
                <m:r>
                  <w:rPr>
                    <w:rFonts w:ascii="Cambria Math" w:hAnsi="Cambria Math"/>
                    <w:sz w:val="18"/>
                    <w:szCs w:val="18"/>
                  </w:rPr>
                  <m:t>+</m:t>
                </m:r>
                <m:nary>
                  <m:naryPr>
                    <m:chr m:val="∑"/>
                    <m:limLoc m:val="subSup"/>
                    <m:ctrlPr>
                      <w:rPr>
                        <w:rFonts w:ascii="Cambria Math" w:hAnsi="Cambria Math"/>
                        <w:sz w:val="18"/>
                        <w:szCs w:val="18"/>
                      </w:rPr>
                    </m:ctrlPr>
                  </m:naryPr>
                  <m:sub>
                    <m:r>
                      <w:rPr>
                        <w:rFonts w:ascii="Cambria Math" w:hAnsi="Cambria Math"/>
                        <w:sz w:val="18"/>
                        <w:szCs w:val="18"/>
                      </w:rPr>
                      <m:t>n=1</m:t>
                    </m:r>
                  </m:sub>
                  <m:sup>
                    <m:r>
                      <w:rPr>
                        <w:rFonts w:ascii="Cambria Math" w:hAnsi="Cambria Math"/>
                        <w:sz w:val="18"/>
                        <w:szCs w:val="18"/>
                      </w:rPr>
                      <m:t>Nod</m:t>
                    </m:r>
                  </m:sup>
                  <m:e>
                    <m:sSub>
                      <m:sSubPr>
                        <m:ctrlPr>
                          <w:rPr>
                            <w:rFonts w:ascii="Cambria Math" w:hAnsi="Cambria Math"/>
                            <w:sz w:val="18"/>
                            <w:szCs w:val="18"/>
                          </w:rPr>
                        </m:ctrlPr>
                      </m:sSubPr>
                      <m:e>
                        <m:r>
                          <w:rPr>
                            <w:rFonts w:ascii="Cambria Math" w:hAnsi="Cambria Math"/>
                            <w:sz w:val="18"/>
                            <w:szCs w:val="18"/>
                          </w:rPr>
                          <m:t>EnDis</m:t>
                        </m:r>
                      </m:e>
                      <m:sub>
                        <m:r>
                          <w:rPr>
                            <w:rFonts w:ascii="Cambria Math" w:hAnsi="Cambria Math"/>
                            <w:sz w:val="18"/>
                            <w:szCs w:val="18"/>
                          </w:rPr>
                          <m:t>t,l,n</m:t>
                        </m:r>
                      </m:sub>
                    </m:sSub>
                  </m:e>
                </m:nary>
                <m: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EnSto</m:t>
                    </m:r>
                  </m:e>
                  <m:sub>
                    <m:r>
                      <w:rPr>
                        <w:rFonts w:ascii="Cambria Math" w:hAnsi="Cambria Math"/>
                        <w:sz w:val="18"/>
                        <w:szCs w:val="18"/>
                      </w:rPr>
                      <m:t>t,l</m:t>
                    </m:r>
                  </m:sub>
                </m:sSub>
                <m: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EnSurplus</m:t>
                    </m:r>
                  </m:e>
                  <m:sub>
                    <m:r>
                      <w:rPr>
                        <w:rFonts w:ascii="Cambria Math" w:hAnsi="Cambria Math"/>
                        <w:sz w:val="18"/>
                        <w:szCs w:val="18"/>
                      </w:rPr>
                      <m:t>t,l</m:t>
                    </m:r>
                  </m:sub>
                </m:sSub>
              </m:oMath>
            </m:oMathPara>
          </w:p>
        </w:tc>
        <w:tc>
          <w:tcPr>
            <w:tcW w:w="964" w:type="dxa"/>
          </w:tcPr>
          <w:p w14:paraId="372C0C27" w14:textId="5DC0C78B" w:rsidR="00747AE6" w:rsidRPr="00A94774" w:rsidRDefault="00747AE6" w:rsidP="00E635B3">
            <w:pPr>
              <w:pStyle w:val="Els-body-text"/>
              <w:spacing w:before="120" w:after="120" w:line="264" w:lineRule="auto"/>
              <w:jc w:val="right"/>
              <w:rPr>
                <w:lang w:val="en-GB"/>
              </w:rPr>
            </w:pPr>
            <w:r w:rsidRPr="00A94774">
              <w:rPr>
                <w:lang w:val="en-GB"/>
              </w:rPr>
              <w:t>(</w:t>
            </w:r>
            <w:r w:rsidR="007841A1">
              <w:rPr>
                <w:lang w:val="en-GB"/>
              </w:rPr>
              <w:t>1</w:t>
            </w:r>
            <w:r w:rsidRPr="00A94774">
              <w:rPr>
                <w:lang w:val="en-GB"/>
              </w:rPr>
              <w:t>)</w:t>
            </w:r>
          </w:p>
        </w:tc>
      </w:tr>
    </w:tbl>
    <w:p w14:paraId="36E33A82" w14:textId="326F2604" w:rsidR="00BD7A88" w:rsidRDefault="00747AE6" w:rsidP="00747AE6">
      <w:pPr>
        <w:pStyle w:val="Els-body-text"/>
      </w:pPr>
      <w:r>
        <w:t>-</w:t>
      </w:r>
      <w:r w:rsidR="00D94476">
        <w:rPr>
          <w:b/>
          <w:bCs/>
        </w:rPr>
        <w:t>Energy</w:t>
      </w:r>
      <w:r w:rsidR="00D14C78">
        <w:rPr>
          <w:b/>
          <w:bCs/>
        </w:rPr>
        <w:t xml:space="preserve"> s</w:t>
      </w:r>
      <w:r w:rsidRPr="00123C7C">
        <w:rPr>
          <w:b/>
          <w:bCs/>
        </w:rPr>
        <w:t xml:space="preserve">torage </w:t>
      </w:r>
      <w:r>
        <w:rPr>
          <w:b/>
          <w:bCs/>
        </w:rPr>
        <w:t xml:space="preserve">and </w:t>
      </w:r>
      <w:r w:rsidR="00E11D82">
        <w:rPr>
          <w:b/>
          <w:bCs/>
        </w:rPr>
        <w:t>energy vectors</w:t>
      </w:r>
      <w:r>
        <w:t xml:space="preserve">: Using the values of </w:t>
      </w:r>
      <m:oMath>
        <m:sSub>
          <m:sSubPr>
            <m:ctrlPr>
              <w:rPr>
                <w:rFonts w:ascii="Cambria Math" w:hAnsi="Cambria Math"/>
              </w:rPr>
            </m:ctrlPr>
          </m:sSubPr>
          <m:e>
            <m:r>
              <w:rPr>
                <w:rFonts w:ascii="Cambria Math" w:hAnsi="Cambria Math"/>
              </w:rPr>
              <m:t>EnSto</m:t>
            </m:r>
          </m:e>
          <m:sub>
            <m:r>
              <w:rPr>
                <w:rFonts w:ascii="Cambria Math" w:hAnsi="Cambria Math"/>
              </w:rPr>
              <m:t>t,l</m:t>
            </m:r>
          </m:sub>
        </m:sSub>
      </m:oMath>
      <w:r>
        <w:t xml:space="preserve"> and </w:t>
      </w:r>
      <m:oMath>
        <m:sSub>
          <m:sSubPr>
            <m:ctrlPr>
              <w:rPr>
                <w:rFonts w:ascii="Cambria Math" w:hAnsi="Cambria Math"/>
              </w:rPr>
            </m:ctrlPr>
          </m:sSubPr>
          <m:e>
            <m:r>
              <w:rPr>
                <w:rFonts w:ascii="Cambria Math" w:hAnsi="Cambria Math"/>
              </w:rPr>
              <m:t>EnDch</m:t>
            </m:r>
          </m:e>
          <m:sub>
            <m:r>
              <w:rPr>
                <w:rFonts w:ascii="Cambria Math" w:hAnsi="Cambria Math"/>
              </w:rPr>
              <m:t>t,l</m:t>
            </m:r>
          </m:sub>
        </m:sSub>
      </m:oMath>
      <w:r>
        <w:t xml:space="preserve">, the storage </w:t>
      </w:r>
      <w:r w:rsidR="00D94C5D">
        <w:t>requirements</w:t>
      </w:r>
      <w:r>
        <w:t xml:space="preserve"> are evaluated, </w:t>
      </w:r>
      <w:r w:rsidR="00161BAD">
        <w:t xml:space="preserve">including </w:t>
      </w:r>
      <w:r>
        <w:t>their siz</w:t>
      </w:r>
      <w:r w:rsidR="00161BAD">
        <w:t>e</w:t>
      </w:r>
      <w:r>
        <w:t xml:space="preserve"> and cost</w:t>
      </w:r>
      <w:r w:rsidR="00161BAD">
        <w:t>s</w:t>
      </w:r>
      <w:r>
        <w:t xml:space="preserve">. </w:t>
      </w:r>
      <w:r w:rsidR="00B35559">
        <w:t>T</w:t>
      </w:r>
      <w:r>
        <w:t>wo types of storage</w:t>
      </w:r>
      <w:r w:rsidR="00161BAD">
        <w:t xml:space="preserve"> were considered</w:t>
      </w:r>
      <w:r>
        <w:t>: compressed air energy storage (CAES), and hydrogen.</w:t>
      </w:r>
      <w:r w:rsidR="007966E8">
        <w:t xml:space="preserve"> Thus, both </w:t>
      </w:r>
      <m:oMath>
        <m:sSub>
          <m:sSubPr>
            <m:ctrlPr>
              <w:rPr>
                <w:rFonts w:ascii="Cambria Math" w:hAnsi="Cambria Math"/>
              </w:rPr>
            </m:ctrlPr>
          </m:sSubPr>
          <m:e>
            <m:r>
              <w:rPr>
                <w:rFonts w:ascii="Cambria Math" w:hAnsi="Cambria Math"/>
              </w:rPr>
              <m:t>EnSto</m:t>
            </m:r>
          </m:e>
          <m:sub>
            <m:r>
              <w:rPr>
                <w:rFonts w:ascii="Cambria Math" w:hAnsi="Cambria Math"/>
              </w:rPr>
              <m:t>t,l</m:t>
            </m:r>
          </m:sub>
        </m:sSub>
      </m:oMath>
      <w:r w:rsidR="007966E8">
        <w:t xml:space="preserve"> and </w:t>
      </w:r>
      <m:oMath>
        <m:sSub>
          <m:sSubPr>
            <m:ctrlPr>
              <w:rPr>
                <w:rFonts w:ascii="Cambria Math" w:hAnsi="Cambria Math"/>
              </w:rPr>
            </m:ctrlPr>
          </m:sSubPr>
          <m:e>
            <m:r>
              <w:rPr>
                <w:rFonts w:ascii="Cambria Math" w:hAnsi="Cambria Math"/>
              </w:rPr>
              <m:t>EnDch</m:t>
            </m:r>
          </m:e>
          <m:sub>
            <m:r>
              <w:rPr>
                <w:rFonts w:ascii="Cambria Math" w:hAnsi="Cambria Math"/>
              </w:rPr>
              <m:t>t,l</m:t>
            </m:r>
          </m:sub>
        </m:sSub>
      </m:oMath>
      <w:r w:rsidR="007966E8">
        <w:t xml:space="preserve"> present two terms related to each technology</w:t>
      </w:r>
      <w:r w:rsidR="00370A6E">
        <w:t xml:space="preserve"> (</w:t>
      </w:r>
      <m:oMath>
        <m:sSub>
          <m:sSubPr>
            <m:ctrlPr>
              <w:rPr>
                <w:rFonts w:ascii="Cambria Math" w:hAnsi="Cambria Math"/>
                <w:sz w:val="18"/>
                <w:szCs w:val="18"/>
              </w:rPr>
            </m:ctrlPr>
          </m:sSubPr>
          <m:e>
            <m:r>
              <w:rPr>
                <w:rFonts w:ascii="Cambria Math" w:hAnsi="Cambria Math"/>
                <w:sz w:val="18"/>
                <w:szCs w:val="18"/>
              </w:rPr>
              <m:t>CAESSto</m:t>
            </m:r>
          </m:e>
          <m:sub>
            <m:r>
              <w:rPr>
                <w:rFonts w:ascii="Cambria Math" w:hAnsi="Cambria Math"/>
                <w:sz w:val="18"/>
                <w:szCs w:val="18"/>
              </w:rPr>
              <m:t>t,l</m:t>
            </m:r>
          </m:sub>
        </m:sSub>
      </m:oMath>
      <w:r w:rsidR="00370A6E">
        <w:rPr>
          <w:sz w:val="18"/>
          <w:szCs w:val="18"/>
        </w:rPr>
        <w:t xml:space="preserve"> and </w:t>
      </w:r>
      <m:oMath>
        <m:sSub>
          <m:sSubPr>
            <m:ctrlPr>
              <w:rPr>
                <w:rFonts w:ascii="Cambria Math" w:hAnsi="Cambria Math"/>
                <w:sz w:val="18"/>
                <w:szCs w:val="18"/>
              </w:rPr>
            </m:ctrlPr>
          </m:sSubPr>
          <m:e>
            <m:r>
              <w:rPr>
                <w:rFonts w:ascii="Cambria Math" w:hAnsi="Cambria Math"/>
                <w:sz w:val="18"/>
                <w:szCs w:val="18"/>
              </w:rPr>
              <m:t>HydroSto</m:t>
            </m:r>
          </m:e>
          <m:sub>
            <m:r>
              <w:rPr>
                <w:rFonts w:ascii="Cambria Math" w:hAnsi="Cambria Math"/>
                <w:sz w:val="18"/>
                <w:szCs w:val="18"/>
              </w:rPr>
              <m:t>t,l</m:t>
            </m:r>
          </m:sub>
        </m:sSub>
      </m:oMath>
      <w:r w:rsidR="00370A6E">
        <w:t xml:space="preserve">), which </w:t>
      </w:r>
      <w:r w:rsidR="009F1FE1">
        <w:t>are</w:t>
      </w:r>
      <w:r w:rsidR="00370A6E">
        <w:t xml:space="preserve"> involved in a node balance to determine the available energy stored; for example, the CAES energy stored (</w:t>
      </w:r>
      <m:oMath>
        <m:sSub>
          <m:sSubPr>
            <m:ctrlPr>
              <w:rPr>
                <w:rFonts w:ascii="Cambria Math" w:hAnsi="Cambria Math"/>
                <w:sz w:val="18"/>
                <w:szCs w:val="18"/>
              </w:rPr>
            </m:ctrlPr>
          </m:sSubPr>
          <m:e>
            <m:r>
              <w:rPr>
                <w:rFonts w:ascii="Cambria Math" w:hAnsi="Cambria Math"/>
                <w:sz w:val="18"/>
                <w:szCs w:val="18"/>
              </w:rPr>
              <m:t>CAESAva</m:t>
            </m:r>
          </m:e>
          <m:sub>
            <m:r>
              <w:rPr>
                <w:rFonts w:ascii="Cambria Math" w:hAnsi="Cambria Math"/>
                <w:sz w:val="18"/>
                <w:szCs w:val="18"/>
              </w:rPr>
              <m:t>t,l</m:t>
            </m:r>
          </m:sub>
        </m:sSub>
      </m:oMath>
      <w:r w:rsidR="00370A6E">
        <w:rPr>
          <w:sz w:val="18"/>
          <w:szCs w:val="18"/>
        </w:rPr>
        <w:t xml:space="preserve"> [GWh]</w:t>
      </w:r>
      <w:r w:rsidR="00370A6E">
        <w:t xml:space="preserve">) is </w:t>
      </w:r>
      <w:r w:rsidR="00FB1EB3">
        <w:t>given by</w:t>
      </w:r>
      <w:r w:rsidR="00370A6E">
        <w:t xml:space="preserve"> eq. 2.</w:t>
      </w:r>
      <w:r w:rsidR="007966E8">
        <w:t xml:space="preserve"> </w:t>
      </w:r>
    </w:p>
    <w:tbl>
      <w:tblPr>
        <w:tblStyle w:val="Tablaconcuadrcula"/>
        <w:tblW w:w="7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3"/>
        <w:gridCol w:w="964"/>
      </w:tblGrid>
      <w:tr w:rsidR="00452560" w:rsidRPr="00A94774" w14:paraId="260493AE" w14:textId="77777777" w:rsidTr="00C90671">
        <w:tc>
          <w:tcPr>
            <w:tcW w:w="6113" w:type="dxa"/>
          </w:tcPr>
          <w:p w14:paraId="78ACA7C7" w14:textId="1E432E95" w:rsidR="00452560" w:rsidRPr="004D6DF5" w:rsidRDefault="00000000" w:rsidP="00C90671">
            <w:pPr>
              <w:pStyle w:val="Els-body-text"/>
              <w:spacing w:before="120" w:after="120" w:line="264" w:lineRule="auto"/>
              <w:jc w:val="left"/>
              <w:rPr>
                <w:lang w:val="en-GB"/>
              </w:rPr>
            </w:pPr>
            <m:oMathPara>
              <m:oMathParaPr>
                <m:jc m:val="left"/>
              </m:oMathParaPr>
              <m:oMath>
                <m:sSub>
                  <m:sSubPr>
                    <m:ctrlPr>
                      <w:rPr>
                        <w:rFonts w:ascii="Cambria Math" w:hAnsi="Cambria Math"/>
                        <w:sz w:val="18"/>
                        <w:szCs w:val="18"/>
                      </w:rPr>
                    </m:ctrlPr>
                  </m:sSubPr>
                  <m:e>
                    <m:r>
                      <w:rPr>
                        <w:rFonts w:ascii="Cambria Math" w:hAnsi="Cambria Math"/>
                        <w:sz w:val="18"/>
                        <w:szCs w:val="18"/>
                      </w:rPr>
                      <m:t>CAESAva</m:t>
                    </m:r>
                  </m:e>
                  <m:sub>
                    <m:r>
                      <w:rPr>
                        <w:rFonts w:ascii="Cambria Math" w:hAnsi="Cambria Math"/>
                        <w:sz w:val="18"/>
                        <w:szCs w:val="18"/>
                      </w:rPr>
                      <m:t>t,l</m:t>
                    </m:r>
                  </m:sub>
                </m:sSub>
                <m: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CAESAva</m:t>
                    </m:r>
                  </m:e>
                  <m:sub>
                    <m:r>
                      <w:rPr>
                        <w:rFonts w:ascii="Cambria Math" w:hAnsi="Cambria Math"/>
                        <w:sz w:val="18"/>
                        <w:szCs w:val="18"/>
                      </w:rPr>
                      <m:t>(t-1),l</m:t>
                    </m:r>
                  </m:sub>
                </m:sSub>
                <m: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CAESDch</m:t>
                    </m:r>
                  </m:e>
                  <m:sub>
                    <m:r>
                      <w:rPr>
                        <w:rFonts w:ascii="Cambria Math" w:hAnsi="Cambria Math"/>
                        <w:sz w:val="18"/>
                        <w:szCs w:val="18"/>
                      </w:rPr>
                      <m:t>t,l</m:t>
                    </m:r>
                  </m:sub>
                </m:sSub>
                <m: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CAESSto</m:t>
                    </m:r>
                  </m:e>
                  <m:sub>
                    <m:r>
                      <w:rPr>
                        <w:rFonts w:ascii="Cambria Math" w:hAnsi="Cambria Math"/>
                        <w:sz w:val="18"/>
                        <w:szCs w:val="18"/>
                      </w:rPr>
                      <m:t>t,l</m:t>
                    </m:r>
                  </m:sub>
                </m:sSub>
              </m:oMath>
            </m:oMathPara>
          </w:p>
        </w:tc>
        <w:tc>
          <w:tcPr>
            <w:tcW w:w="964" w:type="dxa"/>
          </w:tcPr>
          <w:p w14:paraId="12AD8644" w14:textId="77777777" w:rsidR="00452560" w:rsidRPr="00A94774" w:rsidRDefault="00452560" w:rsidP="00C90671">
            <w:pPr>
              <w:pStyle w:val="Els-body-text"/>
              <w:spacing w:before="120" w:after="120" w:line="264" w:lineRule="auto"/>
              <w:jc w:val="right"/>
              <w:rPr>
                <w:lang w:val="en-GB"/>
              </w:rPr>
            </w:pPr>
            <w:r w:rsidRPr="00A94774">
              <w:rPr>
                <w:lang w:val="en-GB"/>
              </w:rPr>
              <w:t>(</w:t>
            </w:r>
            <w:r>
              <w:rPr>
                <w:lang w:val="en-GB"/>
              </w:rPr>
              <w:t>2</w:t>
            </w:r>
            <w:r w:rsidRPr="00A94774">
              <w:rPr>
                <w:lang w:val="en-GB"/>
              </w:rPr>
              <w:t>)</w:t>
            </w:r>
          </w:p>
        </w:tc>
      </w:tr>
    </w:tbl>
    <w:p w14:paraId="1C226B16" w14:textId="17191F1F" w:rsidR="003C3B96" w:rsidRDefault="003C3B96" w:rsidP="00747AE6">
      <w:pPr>
        <w:pStyle w:val="Els-body-text"/>
      </w:pPr>
      <w:r>
        <w:lastRenderedPageBreak/>
        <w:t xml:space="preserve">In addition, hydrogen generation and distribution </w:t>
      </w:r>
      <w:r w:rsidR="00654D4E">
        <w:t xml:space="preserve">between nodes </w:t>
      </w:r>
      <w:r w:rsidR="00FF138D">
        <w:t>is</w:t>
      </w:r>
      <w:r>
        <w:t xml:space="preserve"> also considered, together with the use of hydrogen fuel cells in each node for electricity generation, and the scenario where hydrogen could be sold</w:t>
      </w:r>
      <w:r w:rsidR="00654D4E">
        <w:t xml:space="preserve"> externally</w:t>
      </w:r>
      <w:r>
        <w:t xml:space="preserve"> (in a similar way than node energy balances).</w:t>
      </w:r>
    </w:p>
    <w:p w14:paraId="491A8191" w14:textId="75AD5E97" w:rsidR="00BD7A88" w:rsidRDefault="00747AE6" w:rsidP="00747AE6">
      <w:pPr>
        <w:pStyle w:val="Els-body-text"/>
      </w:pPr>
      <w:r>
        <w:t>-</w:t>
      </w:r>
      <w:r w:rsidRPr="00A4385D">
        <w:rPr>
          <w:b/>
          <w:bCs/>
        </w:rPr>
        <w:t>Economic and social evaluation</w:t>
      </w:r>
      <w:r>
        <w:t xml:space="preserve">: The cost of the facilities in each region (production, storage, and hydrogen conversion) </w:t>
      </w:r>
      <w:r w:rsidRPr="004F1702">
        <w:t xml:space="preserve">is </w:t>
      </w:r>
      <w:r w:rsidR="00060F11">
        <w:t>modelled</w:t>
      </w:r>
      <w:r w:rsidRPr="004F1702">
        <w:t>, as well as the cost of hydrogen distribution if applicable</w:t>
      </w:r>
      <w:r w:rsidR="00223855">
        <w:t>.</w:t>
      </w:r>
      <w:r>
        <w:t xml:space="preserve"> </w:t>
      </w:r>
      <w:r w:rsidR="006D3604">
        <w:t>T</w:t>
      </w:r>
      <w:r w:rsidR="00826C4E">
        <w:t>he</w:t>
      </w:r>
      <w:r>
        <w:t xml:space="preserve"> social impact related to the investment in each region</w:t>
      </w:r>
      <w:r w:rsidRPr="004F1702">
        <w:t xml:space="preserve"> </w:t>
      </w:r>
      <w:r>
        <w:t>is evaluated</w:t>
      </w:r>
      <w:r w:rsidR="0082468A">
        <w:t xml:space="preserve"> </w:t>
      </w:r>
      <w:r w:rsidR="006D3604">
        <w:t xml:space="preserve">based on </w:t>
      </w:r>
      <w:r>
        <w:t>creation of new jobs, following the methodology proposed by Heras and Martin (2020)</w:t>
      </w:r>
      <w:r w:rsidR="0003216A">
        <w:t xml:space="preserve"> and previous work (Luceño</w:t>
      </w:r>
      <w:r w:rsidR="0082468A">
        <w:t xml:space="preserve"> Sánchez</w:t>
      </w:r>
      <w:r w:rsidR="0003216A">
        <w:t xml:space="preserve"> et al.</w:t>
      </w:r>
      <w:r w:rsidR="0082468A">
        <w:t>,</w:t>
      </w:r>
      <w:r w:rsidR="0003216A">
        <w:t xml:space="preserve"> 2023)</w:t>
      </w:r>
      <w:r>
        <w:t>.</w:t>
      </w:r>
    </w:p>
    <w:p w14:paraId="49E74409" w14:textId="723756C0" w:rsidR="00F45036" w:rsidRDefault="007758EF" w:rsidP="00F45036">
      <w:pPr>
        <w:pStyle w:val="Els-body-text"/>
      </w:pPr>
      <w:r>
        <w:t>-</w:t>
      </w:r>
      <w:r w:rsidR="00826C4E" w:rsidRPr="00995E31">
        <w:rPr>
          <w:b/>
          <w:bCs/>
        </w:rPr>
        <w:t>Objective function</w:t>
      </w:r>
      <w:r w:rsidR="00826C4E">
        <w:t>:</w:t>
      </w:r>
      <w:r w:rsidR="00826C4E">
        <w:rPr>
          <w:b/>
          <w:bCs/>
        </w:rPr>
        <w:t xml:space="preserve"> </w:t>
      </w:r>
      <w:r w:rsidR="00E01F95">
        <w:t>A multi-period MILP optimization problem</w:t>
      </w:r>
      <w:r w:rsidR="00F46D4A">
        <w:t xml:space="preserve"> is formulated where</w:t>
      </w:r>
      <w:r w:rsidR="000A2661">
        <w:t>by</w:t>
      </w:r>
      <w:r w:rsidR="00F46D4A">
        <w:t xml:space="preserve"> </w:t>
      </w:r>
      <w:r w:rsidR="00E01F95">
        <w:t xml:space="preserve">several aspects of network structure are </w:t>
      </w:r>
      <w:r w:rsidR="00F46D4A">
        <w:t>chosen</w:t>
      </w:r>
      <w:r w:rsidR="00E01F95">
        <w:t xml:space="preserve"> simultaneously</w:t>
      </w:r>
      <w:r w:rsidR="002F0073">
        <w:t>:</w:t>
      </w:r>
      <w:r w:rsidR="00D61084">
        <w:t xml:space="preserve"> </w:t>
      </w:r>
      <w:r w:rsidR="00ED21DA">
        <w:t xml:space="preserve">production variables (e.g., </w:t>
      </w:r>
      <w:r w:rsidR="00A4534A">
        <w:t xml:space="preserve">location, </w:t>
      </w:r>
      <w:r w:rsidR="00ED21DA">
        <w:t>number</w:t>
      </w:r>
      <w:r w:rsidR="00A4534A">
        <w:t xml:space="preserve"> and size</w:t>
      </w:r>
      <w:r w:rsidR="00ED21DA">
        <w:t xml:space="preserve"> of CSP plants), storage solutions (e.g., CAES or hydrogen technologies)</w:t>
      </w:r>
      <w:r w:rsidR="00D61084">
        <w:t>,</w:t>
      </w:r>
      <w:r w:rsidR="00C93921">
        <w:t xml:space="preserve"> energy </w:t>
      </w:r>
      <w:r w:rsidR="00FD5F41">
        <w:t>transportation s</w:t>
      </w:r>
      <w:r w:rsidR="00C93921">
        <w:t>olutions (</w:t>
      </w:r>
      <w:r w:rsidR="00BD65C0">
        <w:t>as</w:t>
      </w:r>
      <w:r w:rsidR="00BA4AB2">
        <w:t xml:space="preserve"> electricity and H</w:t>
      </w:r>
      <w:r w:rsidR="00BA4AB2" w:rsidRPr="00995E31">
        <w:rPr>
          <w:vertAlign w:val="subscript"/>
        </w:rPr>
        <w:t>2</w:t>
      </w:r>
      <w:r w:rsidR="00BA4AB2">
        <w:t xml:space="preserve"> vectors</w:t>
      </w:r>
      <w:r w:rsidR="002F0073">
        <w:t xml:space="preserve"> within the network and their external import-export)</w:t>
      </w:r>
      <w:r w:rsidR="00ED21DA">
        <w:t>,</w:t>
      </w:r>
      <w:r w:rsidR="009F6CBA">
        <w:t xml:space="preserve"> and social impact of new facilities</w:t>
      </w:r>
      <w:r w:rsidR="00DE2545">
        <w:t>.</w:t>
      </w:r>
      <w:r w:rsidR="00271367">
        <w:t xml:space="preserve"> </w:t>
      </w:r>
      <w:r w:rsidR="00022A5A">
        <w:t xml:space="preserve">Inputs include </w:t>
      </w:r>
      <w:r w:rsidR="00E01F95">
        <w:t>location</w:t>
      </w:r>
      <w:r w:rsidR="002259E4">
        <w:t>-dependent</w:t>
      </w:r>
      <w:r w:rsidR="00E01F95">
        <w:t xml:space="preserve"> parameters (e.g., direct normal irradiance and</w:t>
      </w:r>
      <w:r w:rsidR="00E01F95" w:rsidRPr="007F4044">
        <w:t xml:space="preserve"> </w:t>
      </w:r>
      <w:r w:rsidR="00E01F95">
        <w:t>available land)</w:t>
      </w:r>
      <w:r w:rsidR="00022A5A">
        <w:t xml:space="preserve"> and costs</w:t>
      </w:r>
      <w:r w:rsidR="00563B4D">
        <w:t xml:space="preserve"> and bounds on various quantities</w:t>
      </w:r>
      <w:r w:rsidR="00E01F95">
        <w:t>.</w:t>
      </w:r>
      <w:r w:rsidR="00F45036" w:rsidRPr="00F45036">
        <w:t xml:space="preserve"> </w:t>
      </w:r>
      <w:r w:rsidR="00F45036">
        <w:t xml:space="preserve">The objective </w:t>
      </w:r>
      <w:r w:rsidR="000B78DC">
        <w:t xml:space="preserve">(eq. 3) </w:t>
      </w:r>
      <w:r w:rsidR="00F45036">
        <w:t xml:space="preserve">is to minimize the annualized </w:t>
      </w:r>
      <w:r w:rsidR="00826C4E">
        <w:t xml:space="preserve">capital </w:t>
      </w:r>
      <w:r w:rsidR="00F45036">
        <w:t>cost of</w:t>
      </w:r>
      <w:r w:rsidR="005A6623">
        <w:t xml:space="preserve"> </w:t>
      </w:r>
      <w:r w:rsidR="00E515E9">
        <w:t>all</w:t>
      </w:r>
      <w:r w:rsidR="00F45036">
        <w:t xml:space="preserve"> facilities (</w:t>
      </w:r>
      <m:oMath>
        <m:sSub>
          <m:sSubPr>
            <m:ctrlPr>
              <w:rPr>
                <w:rFonts w:ascii="Cambria Math" w:eastAsia="Yu Mincho" w:hAnsi="Cambria Math"/>
                <w:i/>
                <w:iCs/>
              </w:rPr>
            </m:ctrlPr>
          </m:sSubPr>
          <m:e>
            <m:r>
              <w:rPr>
                <w:rFonts w:ascii="Cambria Math" w:eastAsia="Yu Mincho" w:hAnsi="Cambria Math"/>
              </w:rPr>
              <m:t>z</m:t>
            </m:r>
          </m:e>
          <m:sub>
            <m:r>
              <w:rPr>
                <w:rFonts w:ascii="Cambria Math" w:eastAsia="Yu Mincho" w:hAnsi="Cambria Math"/>
              </w:rPr>
              <m:t>cost</m:t>
            </m:r>
          </m:sub>
        </m:sSub>
      </m:oMath>
      <w:r w:rsidR="00F45036">
        <w:rPr>
          <w:iCs/>
        </w:rPr>
        <w:t xml:space="preserve"> [M€/y]</w:t>
      </w:r>
      <w:r w:rsidR="00F45036">
        <w:t xml:space="preserve">), the annual </w:t>
      </w:r>
      <w:r w:rsidR="007003A5">
        <w:t xml:space="preserve">net </w:t>
      </w:r>
      <w:r w:rsidR="00F45036">
        <w:t xml:space="preserve">cost of </w:t>
      </w:r>
      <w:r w:rsidR="00895E14">
        <w:t>total</w:t>
      </w:r>
      <w:r w:rsidR="007D543B">
        <w:t xml:space="preserve"> </w:t>
      </w:r>
      <w:r w:rsidR="0082468A">
        <w:t>external import and export of</w:t>
      </w:r>
      <w:r w:rsidR="007D543B">
        <w:t xml:space="preserve"> </w:t>
      </w:r>
      <w:r w:rsidR="00F45036">
        <w:t>e</w:t>
      </w:r>
      <w:r w:rsidR="00826C4E">
        <w:t>lectricity</w:t>
      </w:r>
      <w:r w:rsidR="00F45036">
        <w:t xml:space="preserve"> (</w:t>
      </w:r>
      <m:oMath>
        <m:sSub>
          <m:sSubPr>
            <m:ctrlPr>
              <w:rPr>
                <w:rFonts w:ascii="Cambria Math" w:eastAsia="Yu Mincho" w:hAnsi="Cambria Math"/>
                <w:i/>
                <w:iCs/>
              </w:rPr>
            </m:ctrlPr>
          </m:sSubPr>
          <m:e>
            <m:r>
              <w:rPr>
                <w:rFonts w:ascii="Cambria Math" w:eastAsia="Yu Mincho" w:hAnsi="Cambria Math"/>
              </w:rPr>
              <m:t>z</m:t>
            </m:r>
          </m:e>
          <m:sub>
            <m:r>
              <w:rPr>
                <w:rFonts w:ascii="Cambria Math" w:eastAsia="Yu Mincho" w:hAnsi="Cambria Math"/>
              </w:rPr>
              <m:t>ener</m:t>
            </m:r>
          </m:sub>
        </m:sSub>
      </m:oMath>
      <w:r w:rsidR="00F45036">
        <w:rPr>
          <w:iCs/>
        </w:rPr>
        <w:t>[M€/y]</w:t>
      </w:r>
      <w:r w:rsidR="00F45036">
        <w:t>), the annual cost of hydrogen</w:t>
      </w:r>
      <w:r w:rsidR="00B05A1D">
        <w:t xml:space="preserve"> (distribution and/or sale)</w:t>
      </w:r>
      <w:r w:rsidR="00F45036">
        <w:t xml:space="preserve"> (</w:t>
      </w:r>
      <m:oMath>
        <m:sSub>
          <m:sSubPr>
            <m:ctrlPr>
              <w:rPr>
                <w:rFonts w:ascii="Cambria Math" w:eastAsia="Yu Mincho" w:hAnsi="Cambria Math"/>
                <w:i/>
                <w:iCs/>
              </w:rPr>
            </m:ctrlPr>
          </m:sSubPr>
          <m:e>
            <m:r>
              <w:rPr>
                <w:rFonts w:ascii="Cambria Math" w:eastAsia="Yu Mincho" w:hAnsi="Cambria Math"/>
              </w:rPr>
              <m:t>z</m:t>
            </m:r>
          </m:e>
          <m:sub>
            <m:r>
              <w:rPr>
                <w:rFonts w:ascii="Cambria Math" w:eastAsia="Yu Mincho" w:hAnsi="Cambria Math"/>
              </w:rPr>
              <m:t>H2</m:t>
            </m:r>
          </m:sub>
        </m:sSub>
      </m:oMath>
      <w:r w:rsidR="00F45036">
        <w:rPr>
          <w:iCs/>
        </w:rPr>
        <w:t xml:space="preserve"> [M€/y]</w:t>
      </w:r>
      <w:r w:rsidR="00F45036">
        <w:t>), and the related economic effect of social impact (SI) (</w:t>
      </w:r>
      <m:oMath>
        <m:sSub>
          <m:sSubPr>
            <m:ctrlPr>
              <w:rPr>
                <w:rFonts w:ascii="Cambria Math" w:eastAsia="Yu Mincho" w:hAnsi="Cambria Math"/>
                <w:i/>
                <w:iCs/>
              </w:rPr>
            </m:ctrlPr>
          </m:sSubPr>
          <m:e>
            <m:r>
              <w:rPr>
                <w:rFonts w:ascii="Cambria Math" w:eastAsia="Yu Mincho" w:hAnsi="Cambria Math"/>
              </w:rPr>
              <m:t>z</m:t>
            </m:r>
          </m:e>
          <m:sub>
            <m:r>
              <w:rPr>
                <w:rFonts w:ascii="Cambria Math" w:eastAsia="Yu Mincho" w:hAnsi="Cambria Math"/>
              </w:rPr>
              <m:t>SI</m:t>
            </m:r>
          </m:sub>
        </m:sSub>
      </m:oMath>
      <w:r w:rsidR="00F45036">
        <w:rPr>
          <w:iCs/>
        </w:rPr>
        <w:t xml:space="preserve"> [M€/y]</w:t>
      </w:r>
      <w:r w:rsidR="00F45036">
        <w:t>):</w:t>
      </w:r>
    </w:p>
    <w:p w14:paraId="4829E024" w14:textId="77777777" w:rsidR="00F45036" w:rsidRPr="00105286" w:rsidRDefault="00F45036" w:rsidP="00F45036">
      <w:pPr>
        <w:pStyle w:val="Els-body-text"/>
        <w:rPr>
          <w:sz w:val="12"/>
          <w:szCs w:val="12"/>
        </w:rPr>
      </w:pPr>
    </w:p>
    <w:tbl>
      <w:tblPr>
        <w:tblStyle w:val="Tablaconcuadrcula"/>
        <w:tblW w:w="7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3"/>
        <w:gridCol w:w="964"/>
      </w:tblGrid>
      <w:tr w:rsidR="00F45036" w:rsidRPr="00A94774" w14:paraId="14E77C4B" w14:textId="77777777" w:rsidTr="00AE51B9">
        <w:tc>
          <w:tcPr>
            <w:tcW w:w="6113" w:type="dxa"/>
          </w:tcPr>
          <w:p w14:paraId="09889AE0" w14:textId="192E9F82" w:rsidR="00F45036" w:rsidRPr="004D6DF5" w:rsidRDefault="00000000" w:rsidP="00AE51B9">
            <w:pPr>
              <w:pStyle w:val="Els-body-text"/>
              <w:spacing w:before="120" w:after="120" w:line="264" w:lineRule="auto"/>
              <w:jc w:val="left"/>
              <w:rPr>
                <w:lang w:val="en-GB"/>
              </w:rPr>
            </w:pPr>
            <m:oMathPara>
              <m:oMathParaPr>
                <m:jc m:val="left"/>
              </m:oMathParaPr>
              <m:oMath>
                <m:func>
                  <m:funcPr>
                    <m:ctrlPr>
                      <w:rPr>
                        <w:rFonts w:ascii="Cambria Math" w:hAnsi="Cambria Math"/>
                      </w:rPr>
                    </m:ctrlPr>
                  </m:funcPr>
                  <m:fName>
                    <m:r>
                      <m:rPr>
                        <m:sty m:val="p"/>
                      </m:rPr>
                      <w:rPr>
                        <w:rFonts w:ascii="Cambria Math" w:hAnsi="Cambria Math"/>
                      </w:rPr>
                      <m:t>min</m:t>
                    </m:r>
                  </m:fName>
                  <m:e>
                    <m:d>
                      <m:dPr>
                        <m:ctrlPr>
                          <w:rPr>
                            <w:rFonts w:ascii="Cambria Math" w:eastAsia="Yu Mincho" w:hAnsi="Cambria Math"/>
                            <w:i/>
                            <w:iCs/>
                          </w:rPr>
                        </m:ctrlPr>
                      </m:dPr>
                      <m:e>
                        <m:sSub>
                          <m:sSubPr>
                            <m:ctrlPr>
                              <w:rPr>
                                <w:rFonts w:ascii="Cambria Math" w:eastAsia="Yu Mincho" w:hAnsi="Cambria Math"/>
                                <w:i/>
                                <w:iCs/>
                              </w:rPr>
                            </m:ctrlPr>
                          </m:sSubPr>
                          <m:e>
                            <m:r>
                              <w:rPr>
                                <w:rFonts w:ascii="Cambria Math" w:eastAsia="Yu Mincho" w:hAnsi="Cambria Math"/>
                              </w:rPr>
                              <m:t>z</m:t>
                            </m:r>
                          </m:e>
                          <m:sub>
                            <m:r>
                              <w:rPr>
                                <w:rFonts w:ascii="Cambria Math" w:eastAsia="Yu Mincho" w:hAnsi="Cambria Math"/>
                              </w:rPr>
                              <m:t>cost</m:t>
                            </m:r>
                          </m:sub>
                        </m:sSub>
                        <m:r>
                          <w:rPr>
                            <w:rFonts w:ascii="Cambria Math" w:eastAsia="Yu Mincho" w:hAnsi="Cambria Math"/>
                          </w:rPr>
                          <m:t>+</m:t>
                        </m:r>
                        <m:sSub>
                          <m:sSubPr>
                            <m:ctrlPr>
                              <w:rPr>
                                <w:rFonts w:ascii="Cambria Math" w:eastAsia="Yu Mincho" w:hAnsi="Cambria Math"/>
                                <w:i/>
                                <w:iCs/>
                              </w:rPr>
                            </m:ctrlPr>
                          </m:sSubPr>
                          <m:e>
                            <m:r>
                              <w:rPr>
                                <w:rFonts w:ascii="Cambria Math" w:eastAsia="Yu Mincho" w:hAnsi="Cambria Math"/>
                              </w:rPr>
                              <m:t>z</m:t>
                            </m:r>
                          </m:e>
                          <m:sub>
                            <m:r>
                              <w:rPr>
                                <w:rFonts w:ascii="Cambria Math" w:eastAsia="Yu Mincho" w:hAnsi="Cambria Math"/>
                              </w:rPr>
                              <m:t>ener</m:t>
                            </m:r>
                          </m:sub>
                        </m:sSub>
                        <m:r>
                          <w:rPr>
                            <w:rFonts w:ascii="Cambria Math" w:eastAsia="Yu Mincho" w:hAnsi="Cambria Math"/>
                          </w:rPr>
                          <m:t>+</m:t>
                        </m:r>
                        <m:sSub>
                          <m:sSubPr>
                            <m:ctrlPr>
                              <w:rPr>
                                <w:rFonts w:ascii="Cambria Math" w:eastAsia="Yu Mincho" w:hAnsi="Cambria Math"/>
                                <w:i/>
                                <w:iCs/>
                              </w:rPr>
                            </m:ctrlPr>
                          </m:sSubPr>
                          <m:e>
                            <m:r>
                              <w:rPr>
                                <w:rFonts w:ascii="Cambria Math" w:eastAsia="Yu Mincho" w:hAnsi="Cambria Math"/>
                              </w:rPr>
                              <m:t>z</m:t>
                            </m:r>
                          </m:e>
                          <m:sub>
                            <m:r>
                              <w:rPr>
                                <w:rFonts w:ascii="Cambria Math" w:eastAsia="Yu Mincho" w:hAnsi="Cambria Math"/>
                              </w:rPr>
                              <m:t>H2</m:t>
                            </m:r>
                          </m:sub>
                        </m:sSub>
                        <m:r>
                          <w:rPr>
                            <w:rFonts w:ascii="Cambria Math" w:eastAsia="Yu Mincho" w:hAnsi="Cambria Math"/>
                          </w:rPr>
                          <m:t>-</m:t>
                        </m:r>
                        <m:sSub>
                          <m:sSubPr>
                            <m:ctrlPr>
                              <w:rPr>
                                <w:rFonts w:ascii="Cambria Math" w:eastAsia="Yu Mincho" w:hAnsi="Cambria Math"/>
                                <w:i/>
                                <w:iCs/>
                              </w:rPr>
                            </m:ctrlPr>
                          </m:sSubPr>
                          <m:e>
                            <m:r>
                              <w:rPr>
                                <w:rFonts w:ascii="Cambria Math" w:eastAsia="Yu Mincho" w:hAnsi="Cambria Math"/>
                              </w:rPr>
                              <m:t>z</m:t>
                            </m:r>
                          </m:e>
                          <m:sub>
                            <m:r>
                              <w:rPr>
                                <w:rFonts w:ascii="Cambria Math" w:eastAsia="Yu Mincho" w:hAnsi="Cambria Math"/>
                              </w:rPr>
                              <m:t>SI</m:t>
                            </m:r>
                          </m:sub>
                        </m:sSub>
                      </m:e>
                    </m:d>
                  </m:e>
                </m:func>
              </m:oMath>
            </m:oMathPara>
          </w:p>
        </w:tc>
        <w:tc>
          <w:tcPr>
            <w:tcW w:w="964" w:type="dxa"/>
          </w:tcPr>
          <w:p w14:paraId="58AA3606" w14:textId="2CAA08B5" w:rsidR="00F45036" w:rsidRPr="00A94774" w:rsidRDefault="00F45036" w:rsidP="00AE51B9">
            <w:pPr>
              <w:pStyle w:val="Els-body-text"/>
              <w:spacing w:before="120" w:after="120" w:line="264" w:lineRule="auto"/>
              <w:jc w:val="right"/>
              <w:rPr>
                <w:lang w:val="en-GB"/>
              </w:rPr>
            </w:pPr>
            <w:r w:rsidRPr="00A94774">
              <w:rPr>
                <w:lang w:val="en-GB"/>
              </w:rPr>
              <w:t>(</w:t>
            </w:r>
            <w:r w:rsidR="0082468A">
              <w:rPr>
                <w:lang w:val="en-GB"/>
              </w:rPr>
              <w:t>3</w:t>
            </w:r>
            <w:r w:rsidRPr="00A94774">
              <w:rPr>
                <w:lang w:val="en-GB"/>
              </w:rPr>
              <w:t>)</w:t>
            </w:r>
          </w:p>
        </w:tc>
      </w:tr>
    </w:tbl>
    <w:p w14:paraId="6D9549D8" w14:textId="77777777" w:rsidR="00747AE6" w:rsidRPr="00747AE6" w:rsidRDefault="00747AE6" w:rsidP="00747AE6">
      <w:pPr>
        <w:pStyle w:val="Els-1storder-head"/>
      </w:pPr>
      <w:r>
        <w:t>Solution procedure and Case Studies</w:t>
      </w:r>
    </w:p>
    <w:p w14:paraId="6588E745" w14:textId="4952786A" w:rsidR="00747AE6" w:rsidRDefault="00747AE6" w:rsidP="00747AE6">
      <w:pPr>
        <w:pStyle w:val="Els-body-text"/>
        <w:rPr>
          <w:sz w:val="12"/>
          <w:szCs w:val="12"/>
        </w:rPr>
      </w:pPr>
      <w:r>
        <w:t>Five regions across Spain (Almería [south-east], Badajoz</w:t>
      </w:r>
      <w:r w:rsidR="00080CC0">
        <w:t xml:space="preserve"> </w:t>
      </w:r>
      <w:r>
        <w:t>[south-west], Madrid [middle], Huesca [north-east], and Lugo [north-west]) are chosen as potential production locations (CSP plants) and/or storage locations</w:t>
      </w:r>
      <w:r w:rsidR="00FA79CD">
        <w:t xml:space="preserve"> (Figure </w:t>
      </w:r>
      <w:r w:rsidR="00AE1B3D">
        <w:t>1b</w:t>
      </w:r>
      <w:r w:rsidR="003732CA">
        <w:t>)</w:t>
      </w:r>
      <w:r>
        <w:t xml:space="preserve">. The timeframe selected for this study is </w:t>
      </w:r>
      <w:r w:rsidR="008239DA">
        <w:t>1</w:t>
      </w:r>
      <w:r>
        <w:t xml:space="preserve"> year of operation</w:t>
      </w:r>
      <w:r w:rsidR="008239DA">
        <w:t xml:space="preserve"> with 12 monthly intervals</w:t>
      </w:r>
      <w:r>
        <w:t>. The</w:t>
      </w:r>
      <w:r w:rsidR="00584CA3">
        <w:t xml:space="preserve"> monthly</w:t>
      </w:r>
      <w:r>
        <w:t xml:space="preserve"> direct normal irradiance (DNI) for each region is obtained from EU PVGIS database</w:t>
      </w:r>
      <w:r w:rsidR="007F4044">
        <w:t xml:space="preserve"> (PVGIS</w:t>
      </w:r>
      <w:r w:rsidR="00C47879">
        <w:t>,</w:t>
      </w:r>
      <w:r w:rsidR="007F4044">
        <w:t xml:space="preserve"> 2023)</w:t>
      </w:r>
      <w:r>
        <w:t>. The regional energy demand was calculated using monthly average</w:t>
      </w:r>
      <w:r w:rsidRPr="00401290">
        <w:t xml:space="preserve"> </w:t>
      </w:r>
      <w:r>
        <w:t>national demand data and population</w:t>
      </w:r>
      <w:r w:rsidR="002A7999">
        <w:t>/social</w:t>
      </w:r>
      <w:r>
        <w:t xml:space="preserve"> statistics from </w:t>
      </w:r>
      <w:r w:rsidRPr="00182CEB">
        <w:t>Spanish governmental databases</w:t>
      </w:r>
      <w:r w:rsidR="007F4044">
        <w:t xml:space="preserve"> (INE</w:t>
      </w:r>
      <w:r w:rsidR="00C47879">
        <w:t>,</w:t>
      </w:r>
      <w:r w:rsidR="007F4044">
        <w:t xml:space="preserve"> 2023)</w:t>
      </w:r>
      <w:r w:rsidR="00952C36">
        <w:t>.</w:t>
      </w:r>
      <w:r w:rsidR="00991625">
        <w:t xml:space="preserve"> Table 1 shows </w:t>
      </w:r>
      <w:r w:rsidR="00A219EE">
        <w:t xml:space="preserve">electricity </w:t>
      </w:r>
      <w:r w:rsidR="00802FA7">
        <w:t xml:space="preserve">demand </w:t>
      </w:r>
      <w:r w:rsidR="00991625">
        <w:t xml:space="preserve">for two locations: Madrid and Lugo. </w:t>
      </w:r>
      <w:r>
        <w:t xml:space="preserve">The model is applied for two case studies: 1) </w:t>
      </w:r>
      <w:r w:rsidRPr="00EB3592">
        <w:t xml:space="preserve">a scenario where all the </w:t>
      </w:r>
      <w:r w:rsidR="00AB25F9">
        <w:t>electricity</w:t>
      </w:r>
      <w:r w:rsidR="00AB25F9" w:rsidRPr="00EB3592">
        <w:t xml:space="preserve"> </w:t>
      </w:r>
      <w:r w:rsidRPr="00EB3592">
        <w:t xml:space="preserve">needed </w:t>
      </w:r>
      <w:r w:rsidR="00C55907">
        <w:t xml:space="preserve">is to be produced </w:t>
      </w:r>
      <w:r w:rsidRPr="00EB3592">
        <w:t xml:space="preserve">from renewable </w:t>
      </w:r>
      <w:r w:rsidR="00C55907">
        <w:t xml:space="preserve">CSP </w:t>
      </w:r>
      <w:r w:rsidRPr="00EB3592">
        <w:t>sources</w:t>
      </w:r>
      <w:r>
        <w:t xml:space="preserve"> </w:t>
      </w:r>
      <w:r w:rsidR="00C55907">
        <w:t>alone, with</w:t>
      </w:r>
      <w:r w:rsidR="00354A9A">
        <w:t xml:space="preserve"> no imports at any time </w:t>
      </w:r>
      <w:r>
        <w:t>(</w:t>
      </w:r>
      <m:oMath>
        <m:sSub>
          <m:sSubPr>
            <m:ctrlPr>
              <w:rPr>
                <w:rFonts w:ascii="Cambria Math" w:hAnsi="Cambria Math"/>
              </w:rPr>
            </m:ctrlPr>
          </m:sSubPr>
          <m:e>
            <m:r>
              <w:rPr>
                <w:rFonts w:ascii="Cambria Math" w:hAnsi="Cambria Math"/>
              </w:rPr>
              <m:t>EnExtra</m:t>
            </m:r>
          </m:e>
          <m:sub>
            <m:r>
              <w:rPr>
                <w:rFonts w:ascii="Cambria Math" w:hAnsi="Cambria Math"/>
              </w:rPr>
              <m:t>t,l</m:t>
            </m:r>
          </m:sub>
        </m:sSub>
      </m:oMath>
      <w:r>
        <w:t xml:space="preserve">=0, </w:t>
      </w:r>
      <m:oMath>
        <m:r>
          <w:rPr>
            <w:rFonts w:ascii="Cambria Math" w:hAnsi="Cambria Math"/>
          </w:rPr>
          <m:t>∀t,l</m:t>
        </m:r>
      </m:oMath>
      <w:r>
        <w:t xml:space="preserve">); and 2) a scenario </w:t>
      </w:r>
      <w:r w:rsidR="001C0A03">
        <w:t>where</w:t>
      </w:r>
      <w:r>
        <w:t xml:space="preserve"> it is possible to buy </w:t>
      </w:r>
      <w:r w:rsidR="00B92DFB">
        <w:t xml:space="preserve">electricity </w:t>
      </w:r>
      <w:r>
        <w:t xml:space="preserve">from </w:t>
      </w:r>
      <w:r w:rsidR="007F4044">
        <w:t xml:space="preserve">the </w:t>
      </w:r>
      <w:r w:rsidR="00EA3D97">
        <w:t xml:space="preserve">outside </w:t>
      </w:r>
      <w:r w:rsidR="007F4044">
        <w:t>grid to meet the demand</w:t>
      </w:r>
      <w:r>
        <w:t xml:space="preserve">. </w:t>
      </w:r>
    </w:p>
    <w:p w14:paraId="7E5F0A8C" w14:textId="050A3B52" w:rsidR="00317F0D" w:rsidRDefault="00747AE6" w:rsidP="00747AE6">
      <w:pPr>
        <w:pStyle w:val="Els-body-text"/>
      </w:pPr>
      <w:r>
        <w:t>The following assumptions</w:t>
      </w:r>
      <w:r w:rsidR="007F28B1">
        <w:t xml:space="preserve"> are made</w:t>
      </w:r>
      <w:r>
        <w:t>:</w:t>
      </w:r>
      <w:r w:rsidR="0093787B">
        <w:t xml:space="preserve"> 1) </w:t>
      </w:r>
      <w:r w:rsidR="007F28B1">
        <w:t>20 years</w:t>
      </w:r>
      <w:r w:rsidR="007F28B1" w:rsidDel="007F28B1">
        <w:t xml:space="preserve"> </w:t>
      </w:r>
      <w:r w:rsidR="0093787B">
        <w:t>of operation</w:t>
      </w:r>
      <w:r w:rsidR="00D33576">
        <w:t xml:space="preserve"> (for annualizing costs)</w:t>
      </w:r>
      <w:r w:rsidR="0093787B">
        <w:t>;</w:t>
      </w:r>
      <w:r>
        <w:t xml:space="preserve"> </w:t>
      </w:r>
      <w:r w:rsidR="00991625">
        <w:t>2) electricity and H</w:t>
      </w:r>
      <w:r w:rsidR="00991625" w:rsidRPr="00C27826">
        <w:rPr>
          <w:vertAlign w:val="subscript"/>
        </w:rPr>
        <w:t>2</w:t>
      </w:r>
      <w:r w:rsidR="00991625">
        <w:t xml:space="preserve"> are distributed using existing networks; 3</w:t>
      </w:r>
      <w:r>
        <w:t xml:space="preserve">) </w:t>
      </w:r>
      <w:r w:rsidR="00140291">
        <w:t xml:space="preserve">electricity </w:t>
      </w:r>
      <w:r w:rsidR="00991625">
        <w:t xml:space="preserve">transmission </w:t>
      </w:r>
      <w:r>
        <w:t>losses are neglected;</w:t>
      </w:r>
      <w:r w:rsidR="0093787B">
        <w:t xml:space="preserve"> </w:t>
      </w:r>
      <w:r w:rsidR="00991625">
        <w:t>4</w:t>
      </w:r>
      <w:r w:rsidR="0093787B">
        <w:t xml:space="preserve">) </w:t>
      </w:r>
      <w:r w:rsidR="00033C4D">
        <w:t>the external electricity export is calculated at network level</w:t>
      </w:r>
      <w:r w:rsidR="0093787B">
        <w:t>;</w:t>
      </w:r>
      <w:r>
        <w:t xml:space="preserve"> </w:t>
      </w:r>
      <w:r w:rsidR="00991625">
        <w:t>5</w:t>
      </w:r>
      <w:r>
        <w:t xml:space="preserve">) the maximum plant area </w:t>
      </w:r>
      <w:r w:rsidR="00F93300">
        <w:t>for a CSP plant</w:t>
      </w:r>
      <w:r>
        <w:t xml:space="preserve"> is 0.5% of </w:t>
      </w:r>
      <w:r w:rsidR="00F93300">
        <w:t xml:space="preserve">a </w:t>
      </w:r>
      <w:r>
        <w:t xml:space="preserve">region area; </w:t>
      </w:r>
      <w:r w:rsidR="00991625">
        <w:t>6</w:t>
      </w:r>
      <w:r>
        <w:t>) the hydrogen s</w:t>
      </w:r>
      <w:r w:rsidR="0022149A">
        <w:t>ale</w:t>
      </w:r>
      <w:r>
        <w:t xml:space="preserve"> price is 3€/kg</w:t>
      </w:r>
      <w:r w:rsidR="0093787B">
        <w:t xml:space="preserve">, </w:t>
      </w:r>
      <w:r>
        <w:t>same as grey hydrogen</w:t>
      </w:r>
      <w:r w:rsidR="0093787B">
        <w:t xml:space="preserve"> (IRENA 2022</w:t>
      </w:r>
      <w:r>
        <w:t>)</w:t>
      </w:r>
      <w:r w:rsidR="00991625">
        <w:t>; 7</w:t>
      </w:r>
      <w:r w:rsidR="00B05A1D">
        <w:t>)</w:t>
      </w:r>
      <w:r>
        <w:t xml:space="preserve"> the penalty for</w:t>
      </w:r>
      <w:r w:rsidR="00B05A1D">
        <w:t xml:space="preserve"> export</w:t>
      </w:r>
      <w:r w:rsidR="002E1BDB">
        <w:t>ing</w:t>
      </w:r>
      <w:r>
        <w:t xml:space="preserve"> e</w:t>
      </w:r>
      <w:r w:rsidR="00400739">
        <w:t>lectricity</w:t>
      </w:r>
      <w:r>
        <w:t xml:space="preserve"> is 150€/MWh, and the cost of </w:t>
      </w:r>
      <w:r w:rsidR="0066436B">
        <w:t xml:space="preserve">external </w:t>
      </w:r>
      <w:r>
        <w:t>purchase is 500€/MWh (</w:t>
      </w:r>
      <w:r w:rsidR="00B73FA0">
        <w:t>higher than</w:t>
      </w:r>
      <w:r>
        <w:t xml:space="preserve"> market </w:t>
      </w:r>
      <w:r w:rsidR="00B73FA0">
        <w:t xml:space="preserve">prices </w:t>
      </w:r>
      <w:r w:rsidR="00D8291A">
        <w:t>to impose an</w:t>
      </w:r>
      <w:r>
        <w:t xml:space="preserve"> economic penalty); </w:t>
      </w:r>
      <w:r w:rsidR="00991625">
        <w:t>8</w:t>
      </w:r>
      <w:r>
        <w:t>) CAES</w:t>
      </w:r>
      <w:r w:rsidRPr="008C145A">
        <w:t xml:space="preserve"> </w:t>
      </w:r>
      <w:r>
        <w:t xml:space="preserve">and fuel cells have an efficiency of 70%; </w:t>
      </w:r>
      <w:r w:rsidR="00991625">
        <w:t>9</w:t>
      </w:r>
      <w:r>
        <w:t xml:space="preserve">) CSP plants </w:t>
      </w:r>
      <w:r w:rsidR="00D8291A">
        <w:t xml:space="preserve">use </w:t>
      </w:r>
      <w:r>
        <w:t>dry-cooling systems.</w:t>
      </w:r>
    </w:p>
    <w:p w14:paraId="3793372A" w14:textId="77777777" w:rsidR="00317F0D" w:rsidRDefault="00317F0D" w:rsidP="00747AE6">
      <w:pPr>
        <w:pStyle w:val="Els-body-text"/>
      </w:pPr>
    </w:p>
    <w:p w14:paraId="4F03D437" w14:textId="31922FE4" w:rsidR="00317F0D" w:rsidRDefault="00317F0D" w:rsidP="00317F0D">
      <w:pPr>
        <w:pStyle w:val="Els-body-text"/>
      </w:pPr>
      <w:r w:rsidRPr="00617B3F">
        <w:rPr>
          <w:b/>
          <w:bCs/>
        </w:rPr>
        <w:t xml:space="preserve">Table 1. </w:t>
      </w:r>
      <w:r w:rsidRPr="00123C7C">
        <w:t xml:space="preserve">Monthly average </w:t>
      </w:r>
      <w:r w:rsidR="00A219EE">
        <w:t>electricity</w:t>
      </w:r>
      <w:r w:rsidR="00A219EE" w:rsidRPr="00123C7C">
        <w:t xml:space="preserve"> </w:t>
      </w:r>
      <w:r w:rsidRPr="00123C7C">
        <w:t xml:space="preserve">demand </w:t>
      </w:r>
      <w:r w:rsidR="00661BF7">
        <w:t>for two</w:t>
      </w:r>
      <w:r w:rsidR="00661BF7" w:rsidRPr="00123C7C">
        <w:t xml:space="preserve"> </w:t>
      </w:r>
      <w:r w:rsidRPr="00123C7C">
        <w:t>region</w:t>
      </w:r>
      <w:r w:rsidR="00661BF7">
        <w:t>s</w:t>
      </w:r>
      <w:r w:rsidRPr="00123C7C">
        <w:t xml:space="preserve"> [GWh] over 1 year.</w:t>
      </w:r>
    </w:p>
    <w:tbl>
      <w:tblPr>
        <w:tblW w:w="7142" w:type="dxa"/>
        <w:jc w:val="center"/>
        <w:tblCellMar>
          <w:left w:w="70" w:type="dxa"/>
          <w:right w:w="70" w:type="dxa"/>
        </w:tblCellMar>
        <w:tblLook w:val="04A0" w:firstRow="1" w:lastRow="0" w:firstColumn="1" w:lastColumn="0" w:noHBand="0" w:noVBand="1"/>
      </w:tblPr>
      <w:tblGrid>
        <w:gridCol w:w="665"/>
        <w:gridCol w:w="545"/>
        <w:gridCol w:w="545"/>
        <w:gridCol w:w="545"/>
        <w:gridCol w:w="545"/>
        <w:gridCol w:w="545"/>
        <w:gridCol w:w="545"/>
        <w:gridCol w:w="545"/>
        <w:gridCol w:w="500"/>
        <w:gridCol w:w="545"/>
        <w:gridCol w:w="545"/>
        <w:gridCol w:w="545"/>
        <w:gridCol w:w="545"/>
      </w:tblGrid>
      <w:tr w:rsidR="00317F0D" w:rsidRPr="00C90671" w14:paraId="77651001" w14:textId="77777777" w:rsidTr="00F24A75">
        <w:trPr>
          <w:trHeight w:val="300"/>
          <w:jc w:val="center"/>
        </w:trPr>
        <w:tc>
          <w:tcPr>
            <w:tcW w:w="665" w:type="dxa"/>
            <w:tcBorders>
              <w:top w:val="single" w:sz="4" w:space="0" w:color="auto"/>
              <w:left w:val="nil"/>
              <w:bottom w:val="single" w:sz="4" w:space="0" w:color="auto"/>
              <w:right w:val="nil"/>
            </w:tcBorders>
            <w:shd w:val="clear" w:color="auto" w:fill="auto"/>
            <w:noWrap/>
            <w:vAlign w:val="center"/>
            <w:hideMark/>
          </w:tcPr>
          <w:p w14:paraId="60F11167" w14:textId="77777777" w:rsidR="00317F0D" w:rsidRPr="00C90671" w:rsidRDefault="00317F0D" w:rsidP="00C90671">
            <w:pPr>
              <w:jc w:val="center"/>
              <w:rPr>
                <w:b/>
                <w:bCs/>
                <w:color w:val="000000"/>
                <w:sz w:val="16"/>
                <w:szCs w:val="16"/>
                <w:lang w:val="es-ES" w:eastAsia="es-ES"/>
              </w:rPr>
            </w:pPr>
            <w:r w:rsidRPr="00C90671">
              <w:rPr>
                <w:b/>
                <w:bCs/>
                <w:color w:val="000000"/>
                <w:sz w:val="16"/>
                <w:szCs w:val="16"/>
                <w:lang w:eastAsia="es-ES"/>
              </w:rPr>
              <w:t>Month</w:t>
            </w:r>
          </w:p>
        </w:tc>
        <w:tc>
          <w:tcPr>
            <w:tcW w:w="545" w:type="dxa"/>
            <w:tcBorders>
              <w:top w:val="single" w:sz="4" w:space="0" w:color="auto"/>
              <w:left w:val="nil"/>
              <w:bottom w:val="single" w:sz="4" w:space="0" w:color="auto"/>
              <w:right w:val="nil"/>
            </w:tcBorders>
            <w:shd w:val="clear" w:color="auto" w:fill="auto"/>
            <w:noWrap/>
            <w:vAlign w:val="center"/>
            <w:hideMark/>
          </w:tcPr>
          <w:p w14:paraId="1B359667" w14:textId="77777777" w:rsidR="00317F0D" w:rsidRPr="00C90671" w:rsidRDefault="00317F0D" w:rsidP="00C90671">
            <w:pPr>
              <w:jc w:val="center"/>
              <w:rPr>
                <w:b/>
                <w:bCs/>
                <w:color w:val="000000"/>
                <w:sz w:val="16"/>
                <w:szCs w:val="16"/>
                <w:lang w:val="es-ES" w:eastAsia="es-ES"/>
              </w:rPr>
            </w:pPr>
            <w:r w:rsidRPr="00C90671">
              <w:rPr>
                <w:b/>
                <w:bCs/>
                <w:color w:val="000000"/>
                <w:sz w:val="16"/>
                <w:szCs w:val="16"/>
                <w:lang w:eastAsia="es-ES"/>
              </w:rPr>
              <w:t>1</w:t>
            </w:r>
          </w:p>
        </w:tc>
        <w:tc>
          <w:tcPr>
            <w:tcW w:w="545" w:type="dxa"/>
            <w:tcBorders>
              <w:top w:val="single" w:sz="4" w:space="0" w:color="auto"/>
              <w:left w:val="nil"/>
              <w:bottom w:val="single" w:sz="4" w:space="0" w:color="auto"/>
              <w:right w:val="nil"/>
            </w:tcBorders>
            <w:shd w:val="clear" w:color="auto" w:fill="auto"/>
            <w:noWrap/>
            <w:vAlign w:val="center"/>
            <w:hideMark/>
          </w:tcPr>
          <w:p w14:paraId="71D7BC2A" w14:textId="77777777" w:rsidR="00317F0D" w:rsidRPr="00C90671" w:rsidRDefault="00317F0D" w:rsidP="00C90671">
            <w:pPr>
              <w:jc w:val="center"/>
              <w:rPr>
                <w:b/>
                <w:bCs/>
                <w:color w:val="000000"/>
                <w:sz w:val="16"/>
                <w:szCs w:val="16"/>
                <w:lang w:val="es-ES" w:eastAsia="es-ES"/>
              </w:rPr>
            </w:pPr>
            <w:r w:rsidRPr="00C90671">
              <w:rPr>
                <w:b/>
                <w:bCs/>
                <w:color w:val="000000"/>
                <w:sz w:val="16"/>
                <w:szCs w:val="16"/>
                <w:lang w:eastAsia="es-ES"/>
              </w:rPr>
              <w:t>2</w:t>
            </w:r>
          </w:p>
        </w:tc>
        <w:tc>
          <w:tcPr>
            <w:tcW w:w="545" w:type="dxa"/>
            <w:tcBorders>
              <w:top w:val="single" w:sz="4" w:space="0" w:color="auto"/>
              <w:left w:val="nil"/>
              <w:bottom w:val="single" w:sz="4" w:space="0" w:color="auto"/>
              <w:right w:val="nil"/>
            </w:tcBorders>
            <w:shd w:val="clear" w:color="auto" w:fill="auto"/>
            <w:noWrap/>
            <w:vAlign w:val="center"/>
            <w:hideMark/>
          </w:tcPr>
          <w:p w14:paraId="7C5A93C9" w14:textId="77777777" w:rsidR="00317F0D" w:rsidRPr="00C90671" w:rsidRDefault="00317F0D" w:rsidP="00C90671">
            <w:pPr>
              <w:jc w:val="center"/>
              <w:rPr>
                <w:b/>
                <w:bCs/>
                <w:color w:val="000000"/>
                <w:sz w:val="16"/>
                <w:szCs w:val="16"/>
                <w:lang w:val="es-ES" w:eastAsia="es-ES"/>
              </w:rPr>
            </w:pPr>
            <w:r w:rsidRPr="00C90671">
              <w:rPr>
                <w:b/>
                <w:bCs/>
                <w:color w:val="000000"/>
                <w:sz w:val="16"/>
                <w:szCs w:val="16"/>
                <w:lang w:eastAsia="es-ES"/>
              </w:rPr>
              <w:t>3</w:t>
            </w:r>
          </w:p>
        </w:tc>
        <w:tc>
          <w:tcPr>
            <w:tcW w:w="545" w:type="dxa"/>
            <w:tcBorders>
              <w:top w:val="single" w:sz="4" w:space="0" w:color="auto"/>
              <w:left w:val="nil"/>
              <w:bottom w:val="single" w:sz="4" w:space="0" w:color="auto"/>
              <w:right w:val="nil"/>
            </w:tcBorders>
            <w:shd w:val="clear" w:color="auto" w:fill="auto"/>
            <w:noWrap/>
            <w:vAlign w:val="center"/>
            <w:hideMark/>
          </w:tcPr>
          <w:p w14:paraId="39E48207" w14:textId="77777777" w:rsidR="00317F0D" w:rsidRPr="00C90671" w:rsidRDefault="00317F0D" w:rsidP="00C90671">
            <w:pPr>
              <w:jc w:val="center"/>
              <w:rPr>
                <w:b/>
                <w:bCs/>
                <w:color w:val="000000"/>
                <w:sz w:val="16"/>
                <w:szCs w:val="16"/>
                <w:lang w:val="es-ES" w:eastAsia="es-ES"/>
              </w:rPr>
            </w:pPr>
            <w:r w:rsidRPr="00C90671">
              <w:rPr>
                <w:b/>
                <w:bCs/>
                <w:color w:val="000000"/>
                <w:sz w:val="16"/>
                <w:szCs w:val="16"/>
                <w:lang w:eastAsia="es-ES"/>
              </w:rPr>
              <w:t>4</w:t>
            </w:r>
          </w:p>
        </w:tc>
        <w:tc>
          <w:tcPr>
            <w:tcW w:w="545" w:type="dxa"/>
            <w:tcBorders>
              <w:top w:val="single" w:sz="4" w:space="0" w:color="auto"/>
              <w:left w:val="nil"/>
              <w:bottom w:val="single" w:sz="4" w:space="0" w:color="auto"/>
              <w:right w:val="nil"/>
            </w:tcBorders>
            <w:shd w:val="clear" w:color="auto" w:fill="auto"/>
            <w:noWrap/>
            <w:vAlign w:val="center"/>
            <w:hideMark/>
          </w:tcPr>
          <w:p w14:paraId="0E5D11B3" w14:textId="77777777" w:rsidR="00317F0D" w:rsidRPr="00C90671" w:rsidRDefault="00317F0D" w:rsidP="00C90671">
            <w:pPr>
              <w:jc w:val="center"/>
              <w:rPr>
                <w:b/>
                <w:bCs/>
                <w:color w:val="000000"/>
                <w:sz w:val="16"/>
                <w:szCs w:val="16"/>
                <w:lang w:val="es-ES" w:eastAsia="es-ES"/>
              </w:rPr>
            </w:pPr>
            <w:r w:rsidRPr="00C90671">
              <w:rPr>
                <w:b/>
                <w:bCs/>
                <w:color w:val="000000"/>
                <w:sz w:val="16"/>
                <w:szCs w:val="16"/>
                <w:lang w:eastAsia="es-ES"/>
              </w:rPr>
              <w:t>5</w:t>
            </w:r>
          </w:p>
        </w:tc>
        <w:tc>
          <w:tcPr>
            <w:tcW w:w="545" w:type="dxa"/>
            <w:tcBorders>
              <w:top w:val="single" w:sz="4" w:space="0" w:color="auto"/>
              <w:left w:val="nil"/>
              <w:bottom w:val="single" w:sz="4" w:space="0" w:color="auto"/>
              <w:right w:val="nil"/>
            </w:tcBorders>
            <w:shd w:val="clear" w:color="auto" w:fill="auto"/>
            <w:noWrap/>
            <w:vAlign w:val="center"/>
            <w:hideMark/>
          </w:tcPr>
          <w:p w14:paraId="237CBAA0" w14:textId="77777777" w:rsidR="00317F0D" w:rsidRPr="00C90671" w:rsidRDefault="00317F0D" w:rsidP="00C90671">
            <w:pPr>
              <w:jc w:val="center"/>
              <w:rPr>
                <w:b/>
                <w:bCs/>
                <w:color w:val="000000"/>
                <w:sz w:val="16"/>
                <w:szCs w:val="16"/>
                <w:lang w:val="es-ES" w:eastAsia="es-ES"/>
              </w:rPr>
            </w:pPr>
            <w:r w:rsidRPr="00C90671">
              <w:rPr>
                <w:b/>
                <w:bCs/>
                <w:color w:val="000000"/>
                <w:sz w:val="16"/>
                <w:szCs w:val="16"/>
                <w:lang w:eastAsia="es-ES"/>
              </w:rPr>
              <w:t>6</w:t>
            </w:r>
          </w:p>
        </w:tc>
        <w:tc>
          <w:tcPr>
            <w:tcW w:w="545" w:type="dxa"/>
            <w:tcBorders>
              <w:top w:val="single" w:sz="4" w:space="0" w:color="auto"/>
              <w:left w:val="nil"/>
              <w:bottom w:val="single" w:sz="4" w:space="0" w:color="auto"/>
              <w:right w:val="nil"/>
            </w:tcBorders>
            <w:shd w:val="clear" w:color="auto" w:fill="auto"/>
            <w:noWrap/>
            <w:vAlign w:val="center"/>
            <w:hideMark/>
          </w:tcPr>
          <w:p w14:paraId="03104141" w14:textId="77777777" w:rsidR="00317F0D" w:rsidRPr="00C90671" w:rsidRDefault="00317F0D" w:rsidP="00C90671">
            <w:pPr>
              <w:jc w:val="center"/>
              <w:rPr>
                <w:b/>
                <w:bCs/>
                <w:color w:val="000000"/>
                <w:sz w:val="16"/>
                <w:szCs w:val="16"/>
                <w:lang w:val="es-ES" w:eastAsia="es-ES"/>
              </w:rPr>
            </w:pPr>
            <w:r w:rsidRPr="00C90671">
              <w:rPr>
                <w:b/>
                <w:bCs/>
                <w:color w:val="000000"/>
                <w:sz w:val="16"/>
                <w:szCs w:val="16"/>
                <w:lang w:eastAsia="es-ES"/>
              </w:rPr>
              <w:t>7</w:t>
            </w:r>
          </w:p>
        </w:tc>
        <w:tc>
          <w:tcPr>
            <w:tcW w:w="482" w:type="dxa"/>
            <w:tcBorders>
              <w:top w:val="single" w:sz="4" w:space="0" w:color="auto"/>
              <w:left w:val="nil"/>
              <w:bottom w:val="single" w:sz="4" w:space="0" w:color="auto"/>
              <w:right w:val="nil"/>
            </w:tcBorders>
            <w:shd w:val="clear" w:color="auto" w:fill="auto"/>
            <w:noWrap/>
            <w:vAlign w:val="center"/>
            <w:hideMark/>
          </w:tcPr>
          <w:p w14:paraId="21A405C6" w14:textId="77777777" w:rsidR="00317F0D" w:rsidRPr="00C90671" w:rsidRDefault="00317F0D" w:rsidP="00C90671">
            <w:pPr>
              <w:jc w:val="center"/>
              <w:rPr>
                <w:b/>
                <w:bCs/>
                <w:color w:val="000000"/>
                <w:sz w:val="16"/>
                <w:szCs w:val="16"/>
                <w:lang w:val="es-ES" w:eastAsia="es-ES"/>
              </w:rPr>
            </w:pPr>
            <w:r w:rsidRPr="00C90671">
              <w:rPr>
                <w:b/>
                <w:bCs/>
                <w:color w:val="000000"/>
                <w:sz w:val="16"/>
                <w:szCs w:val="16"/>
                <w:lang w:eastAsia="es-ES"/>
              </w:rPr>
              <w:t>8</w:t>
            </w:r>
          </w:p>
        </w:tc>
        <w:tc>
          <w:tcPr>
            <w:tcW w:w="545" w:type="dxa"/>
            <w:tcBorders>
              <w:top w:val="single" w:sz="4" w:space="0" w:color="auto"/>
              <w:left w:val="nil"/>
              <w:bottom w:val="single" w:sz="4" w:space="0" w:color="auto"/>
              <w:right w:val="nil"/>
            </w:tcBorders>
            <w:shd w:val="clear" w:color="auto" w:fill="auto"/>
            <w:noWrap/>
            <w:vAlign w:val="center"/>
            <w:hideMark/>
          </w:tcPr>
          <w:p w14:paraId="2C7E4863" w14:textId="77777777" w:rsidR="00317F0D" w:rsidRPr="00C90671" w:rsidRDefault="00317F0D" w:rsidP="00C90671">
            <w:pPr>
              <w:jc w:val="center"/>
              <w:rPr>
                <w:b/>
                <w:bCs/>
                <w:color w:val="000000"/>
                <w:sz w:val="16"/>
                <w:szCs w:val="16"/>
                <w:lang w:val="es-ES" w:eastAsia="es-ES"/>
              </w:rPr>
            </w:pPr>
            <w:r w:rsidRPr="00C90671">
              <w:rPr>
                <w:b/>
                <w:bCs/>
                <w:color w:val="000000"/>
                <w:sz w:val="16"/>
                <w:szCs w:val="16"/>
                <w:lang w:eastAsia="es-ES"/>
              </w:rPr>
              <w:t>9</w:t>
            </w:r>
          </w:p>
        </w:tc>
        <w:tc>
          <w:tcPr>
            <w:tcW w:w="545" w:type="dxa"/>
            <w:tcBorders>
              <w:top w:val="single" w:sz="4" w:space="0" w:color="auto"/>
              <w:left w:val="nil"/>
              <w:bottom w:val="single" w:sz="4" w:space="0" w:color="auto"/>
              <w:right w:val="nil"/>
            </w:tcBorders>
            <w:shd w:val="clear" w:color="auto" w:fill="auto"/>
            <w:noWrap/>
            <w:vAlign w:val="center"/>
            <w:hideMark/>
          </w:tcPr>
          <w:p w14:paraId="03ABC513" w14:textId="77777777" w:rsidR="00317F0D" w:rsidRPr="00C90671" w:rsidRDefault="00317F0D" w:rsidP="00C90671">
            <w:pPr>
              <w:jc w:val="center"/>
              <w:rPr>
                <w:b/>
                <w:bCs/>
                <w:color w:val="000000"/>
                <w:sz w:val="16"/>
                <w:szCs w:val="16"/>
                <w:lang w:val="es-ES" w:eastAsia="es-ES"/>
              </w:rPr>
            </w:pPr>
            <w:r w:rsidRPr="00C90671">
              <w:rPr>
                <w:b/>
                <w:bCs/>
                <w:color w:val="000000"/>
                <w:sz w:val="16"/>
                <w:szCs w:val="16"/>
                <w:lang w:eastAsia="es-ES"/>
              </w:rPr>
              <w:t>10</w:t>
            </w:r>
          </w:p>
        </w:tc>
        <w:tc>
          <w:tcPr>
            <w:tcW w:w="545" w:type="dxa"/>
            <w:tcBorders>
              <w:top w:val="single" w:sz="4" w:space="0" w:color="auto"/>
              <w:left w:val="nil"/>
              <w:bottom w:val="single" w:sz="4" w:space="0" w:color="auto"/>
              <w:right w:val="nil"/>
            </w:tcBorders>
            <w:shd w:val="clear" w:color="auto" w:fill="auto"/>
            <w:noWrap/>
            <w:vAlign w:val="center"/>
            <w:hideMark/>
          </w:tcPr>
          <w:p w14:paraId="6FB42BD6" w14:textId="77777777" w:rsidR="00317F0D" w:rsidRPr="00C90671" w:rsidRDefault="00317F0D" w:rsidP="00C90671">
            <w:pPr>
              <w:jc w:val="center"/>
              <w:rPr>
                <w:b/>
                <w:bCs/>
                <w:color w:val="000000"/>
                <w:sz w:val="16"/>
                <w:szCs w:val="16"/>
                <w:lang w:val="es-ES" w:eastAsia="es-ES"/>
              </w:rPr>
            </w:pPr>
            <w:r w:rsidRPr="00C90671">
              <w:rPr>
                <w:b/>
                <w:bCs/>
                <w:color w:val="000000"/>
                <w:sz w:val="16"/>
                <w:szCs w:val="16"/>
                <w:lang w:eastAsia="es-ES"/>
              </w:rPr>
              <w:t>11</w:t>
            </w:r>
          </w:p>
        </w:tc>
        <w:tc>
          <w:tcPr>
            <w:tcW w:w="545" w:type="dxa"/>
            <w:tcBorders>
              <w:top w:val="single" w:sz="4" w:space="0" w:color="auto"/>
              <w:left w:val="nil"/>
              <w:bottom w:val="single" w:sz="4" w:space="0" w:color="auto"/>
              <w:right w:val="nil"/>
            </w:tcBorders>
            <w:shd w:val="clear" w:color="auto" w:fill="auto"/>
            <w:noWrap/>
            <w:vAlign w:val="center"/>
            <w:hideMark/>
          </w:tcPr>
          <w:p w14:paraId="6E02AAF3" w14:textId="77777777" w:rsidR="00317F0D" w:rsidRPr="00C90671" w:rsidRDefault="00317F0D" w:rsidP="00C90671">
            <w:pPr>
              <w:jc w:val="center"/>
              <w:rPr>
                <w:b/>
                <w:bCs/>
                <w:color w:val="000000"/>
                <w:sz w:val="16"/>
                <w:szCs w:val="16"/>
                <w:lang w:val="es-ES" w:eastAsia="es-ES"/>
              </w:rPr>
            </w:pPr>
            <w:r w:rsidRPr="00C90671">
              <w:rPr>
                <w:b/>
                <w:bCs/>
                <w:color w:val="000000"/>
                <w:sz w:val="16"/>
                <w:szCs w:val="16"/>
                <w:lang w:val="es-ES" w:eastAsia="es-ES"/>
              </w:rPr>
              <w:t>12</w:t>
            </w:r>
          </w:p>
        </w:tc>
      </w:tr>
      <w:tr w:rsidR="00317F0D" w:rsidRPr="00C90671" w14:paraId="16BBD3F6" w14:textId="77777777" w:rsidTr="00F24A75">
        <w:trPr>
          <w:trHeight w:val="300"/>
          <w:jc w:val="center"/>
        </w:trPr>
        <w:tc>
          <w:tcPr>
            <w:tcW w:w="665" w:type="dxa"/>
            <w:tcBorders>
              <w:top w:val="nil"/>
              <w:left w:val="nil"/>
              <w:bottom w:val="nil"/>
              <w:right w:val="nil"/>
            </w:tcBorders>
            <w:shd w:val="clear" w:color="auto" w:fill="auto"/>
            <w:noWrap/>
            <w:vAlign w:val="center"/>
            <w:hideMark/>
          </w:tcPr>
          <w:p w14:paraId="7B23ED92" w14:textId="77777777" w:rsidR="00317F0D" w:rsidRPr="00C90671" w:rsidRDefault="00317F0D" w:rsidP="00C90671">
            <w:pPr>
              <w:jc w:val="center"/>
              <w:rPr>
                <w:b/>
                <w:bCs/>
                <w:color w:val="000000"/>
                <w:sz w:val="16"/>
                <w:szCs w:val="16"/>
                <w:lang w:val="es-ES" w:eastAsia="es-ES"/>
              </w:rPr>
            </w:pPr>
            <w:r w:rsidRPr="00C90671">
              <w:rPr>
                <w:b/>
                <w:bCs/>
                <w:color w:val="000000"/>
                <w:sz w:val="16"/>
                <w:szCs w:val="16"/>
                <w:lang w:eastAsia="es-ES"/>
              </w:rPr>
              <w:t>Madrid</w:t>
            </w:r>
          </w:p>
        </w:tc>
        <w:tc>
          <w:tcPr>
            <w:tcW w:w="545" w:type="dxa"/>
            <w:tcBorders>
              <w:top w:val="nil"/>
              <w:left w:val="nil"/>
              <w:bottom w:val="nil"/>
              <w:right w:val="nil"/>
            </w:tcBorders>
            <w:shd w:val="clear" w:color="auto" w:fill="auto"/>
            <w:noWrap/>
            <w:vAlign w:val="center"/>
            <w:hideMark/>
          </w:tcPr>
          <w:p w14:paraId="2C5DF9F1" w14:textId="77777777" w:rsidR="00317F0D" w:rsidRPr="00C90671" w:rsidRDefault="00317F0D" w:rsidP="00C90671">
            <w:pPr>
              <w:jc w:val="center"/>
              <w:rPr>
                <w:color w:val="000000"/>
                <w:sz w:val="16"/>
                <w:szCs w:val="16"/>
                <w:lang w:val="es-ES" w:eastAsia="es-ES"/>
              </w:rPr>
            </w:pPr>
            <w:r w:rsidRPr="00C90671">
              <w:rPr>
                <w:color w:val="000000"/>
                <w:sz w:val="16"/>
                <w:szCs w:val="16"/>
                <w:lang w:eastAsia="es-ES"/>
              </w:rPr>
              <w:t>2,226</w:t>
            </w:r>
          </w:p>
        </w:tc>
        <w:tc>
          <w:tcPr>
            <w:tcW w:w="545" w:type="dxa"/>
            <w:tcBorders>
              <w:top w:val="nil"/>
              <w:left w:val="nil"/>
              <w:bottom w:val="nil"/>
              <w:right w:val="nil"/>
            </w:tcBorders>
            <w:shd w:val="clear" w:color="auto" w:fill="auto"/>
            <w:noWrap/>
            <w:vAlign w:val="center"/>
            <w:hideMark/>
          </w:tcPr>
          <w:p w14:paraId="2C4A6ECA" w14:textId="77777777" w:rsidR="00317F0D" w:rsidRPr="00C90671" w:rsidRDefault="00317F0D" w:rsidP="00C90671">
            <w:pPr>
              <w:jc w:val="center"/>
              <w:rPr>
                <w:color w:val="000000"/>
                <w:sz w:val="16"/>
                <w:szCs w:val="16"/>
                <w:lang w:val="es-ES" w:eastAsia="es-ES"/>
              </w:rPr>
            </w:pPr>
            <w:r w:rsidRPr="00C90671">
              <w:rPr>
                <w:color w:val="000000"/>
                <w:sz w:val="16"/>
                <w:szCs w:val="16"/>
                <w:lang w:eastAsia="es-ES"/>
              </w:rPr>
              <w:t>1,956</w:t>
            </w:r>
          </w:p>
        </w:tc>
        <w:tc>
          <w:tcPr>
            <w:tcW w:w="545" w:type="dxa"/>
            <w:tcBorders>
              <w:top w:val="nil"/>
              <w:left w:val="nil"/>
              <w:bottom w:val="nil"/>
              <w:right w:val="nil"/>
            </w:tcBorders>
            <w:shd w:val="clear" w:color="auto" w:fill="auto"/>
            <w:noWrap/>
            <w:vAlign w:val="center"/>
            <w:hideMark/>
          </w:tcPr>
          <w:p w14:paraId="3E8905DD" w14:textId="77777777" w:rsidR="00317F0D" w:rsidRPr="00C90671" w:rsidRDefault="00317F0D" w:rsidP="00C90671">
            <w:pPr>
              <w:jc w:val="center"/>
              <w:rPr>
                <w:color w:val="000000"/>
                <w:sz w:val="16"/>
                <w:szCs w:val="16"/>
                <w:lang w:val="es-ES" w:eastAsia="es-ES"/>
              </w:rPr>
            </w:pPr>
            <w:r w:rsidRPr="00C90671">
              <w:rPr>
                <w:color w:val="000000"/>
                <w:sz w:val="16"/>
                <w:szCs w:val="16"/>
                <w:lang w:eastAsia="es-ES"/>
              </w:rPr>
              <w:t>1,880</w:t>
            </w:r>
          </w:p>
        </w:tc>
        <w:tc>
          <w:tcPr>
            <w:tcW w:w="545" w:type="dxa"/>
            <w:tcBorders>
              <w:top w:val="nil"/>
              <w:left w:val="nil"/>
              <w:bottom w:val="nil"/>
              <w:right w:val="nil"/>
            </w:tcBorders>
            <w:shd w:val="clear" w:color="auto" w:fill="auto"/>
            <w:noWrap/>
            <w:vAlign w:val="center"/>
            <w:hideMark/>
          </w:tcPr>
          <w:p w14:paraId="29B2B7E4" w14:textId="77777777" w:rsidR="00317F0D" w:rsidRPr="00C90671" w:rsidRDefault="00317F0D" w:rsidP="00C90671">
            <w:pPr>
              <w:jc w:val="center"/>
              <w:rPr>
                <w:color w:val="000000"/>
                <w:sz w:val="16"/>
                <w:szCs w:val="16"/>
                <w:lang w:val="es-ES" w:eastAsia="es-ES"/>
              </w:rPr>
            </w:pPr>
            <w:r w:rsidRPr="00C90671">
              <w:rPr>
                <w:color w:val="000000"/>
                <w:sz w:val="16"/>
                <w:szCs w:val="16"/>
                <w:lang w:eastAsia="es-ES"/>
              </w:rPr>
              <w:t>1,627</w:t>
            </w:r>
          </w:p>
        </w:tc>
        <w:tc>
          <w:tcPr>
            <w:tcW w:w="545" w:type="dxa"/>
            <w:tcBorders>
              <w:top w:val="nil"/>
              <w:left w:val="nil"/>
              <w:bottom w:val="nil"/>
              <w:right w:val="nil"/>
            </w:tcBorders>
            <w:shd w:val="clear" w:color="auto" w:fill="auto"/>
            <w:noWrap/>
            <w:vAlign w:val="center"/>
            <w:hideMark/>
          </w:tcPr>
          <w:p w14:paraId="4845800B" w14:textId="77777777" w:rsidR="00317F0D" w:rsidRPr="00C90671" w:rsidRDefault="00317F0D" w:rsidP="00C90671">
            <w:pPr>
              <w:jc w:val="center"/>
              <w:rPr>
                <w:color w:val="000000"/>
                <w:sz w:val="16"/>
                <w:szCs w:val="16"/>
                <w:lang w:val="es-ES" w:eastAsia="es-ES"/>
              </w:rPr>
            </w:pPr>
            <w:r w:rsidRPr="00C90671">
              <w:rPr>
                <w:color w:val="000000"/>
                <w:sz w:val="16"/>
                <w:szCs w:val="16"/>
                <w:lang w:eastAsia="es-ES"/>
              </w:rPr>
              <w:t>1,660</w:t>
            </w:r>
          </w:p>
        </w:tc>
        <w:tc>
          <w:tcPr>
            <w:tcW w:w="545" w:type="dxa"/>
            <w:tcBorders>
              <w:top w:val="nil"/>
              <w:left w:val="nil"/>
              <w:bottom w:val="nil"/>
              <w:right w:val="nil"/>
            </w:tcBorders>
            <w:shd w:val="clear" w:color="auto" w:fill="auto"/>
            <w:noWrap/>
            <w:vAlign w:val="center"/>
            <w:hideMark/>
          </w:tcPr>
          <w:p w14:paraId="2D4DF426" w14:textId="77777777" w:rsidR="00317F0D" w:rsidRPr="00C90671" w:rsidRDefault="00317F0D" w:rsidP="00C90671">
            <w:pPr>
              <w:jc w:val="center"/>
              <w:rPr>
                <w:color w:val="000000"/>
                <w:sz w:val="16"/>
                <w:szCs w:val="16"/>
                <w:lang w:val="es-ES" w:eastAsia="es-ES"/>
              </w:rPr>
            </w:pPr>
            <w:r w:rsidRPr="00C90671">
              <w:rPr>
                <w:color w:val="000000"/>
                <w:sz w:val="16"/>
                <w:szCs w:val="16"/>
                <w:lang w:eastAsia="es-ES"/>
              </w:rPr>
              <w:t>2,132</w:t>
            </w:r>
          </w:p>
        </w:tc>
        <w:tc>
          <w:tcPr>
            <w:tcW w:w="545" w:type="dxa"/>
            <w:tcBorders>
              <w:top w:val="nil"/>
              <w:left w:val="nil"/>
              <w:bottom w:val="nil"/>
              <w:right w:val="nil"/>
            </w:tcBorders>
            <w:shd w:val="clear" w:color="auto" w:fill="auto"/>
            <w:noWrap/>
            <w:vAlign w:val="center"/>
            <w:hideMark/>
          </w:tcPr>
          <w:p w14:paraId="229C1A97" w14:textId="77777777" w:rsidR="00317F0D" w:rsidRPr="00C90671" w:rsidRDefault="00317F0D" w:rsidP="00C90671">
            <w:pPr>
              <w:jc w:val="center"/>
              <w:rPr>
                <w:color w:val="000000"/>
                <w:sz w:val="16"/>
                <w:szCs w:val="16"/>
                <w:lang w:val="es-ES" w:eastAsia="es-ES"/>
              </w:rPr>
            </w:pPr>
            <w:r w:rsidRPr="00C90671">
              <w:rPr>
                <w:color w:val="000000"/>
                <w:sz w:val="16"/>
                <w:szCs w:val="16"/>
                <w:lang w:eastAsia="es-ES"/>
              </w:rPr>
              <w:t>2,492</w:t>
            </w:r>
          </w:p>
        </w:tc>
        <w:tc>
          <w:tcPr>
            <w:tcW w:w="482" w:type="dxa"/>
            <w:tcBorders>
              <w:top w:val="nil"/>
              <w:left w:val="nil"/>
              <w:bottom w:val="nil"/>
              <w:right w:val="nil"/>
            </w:tcBorders>
            <w:shd w:val="clear" w:color="auto" w:fill="auto"/>
            <w:noWrap/>
            <w:vAlign w:val="center"/>
            <w:hideMark/>
          </w:tcPr>
          <w:p w14:paraId="59B4E2F4" w14:textId="77777777" w:rsidR="00317F0D" w:rsidRPr="00C90671" w:rsidRDefault="00317F0D" w:rsidP="00C90671">
            <w:pPr>
              <w:jc w:val="center"/>
              <w:rPr>
                <w:color w:val="000000"/>
                <w:sz w:val="16"/>
                <w:szCs w:val="16"/>
                <w:lang w:val="es-ES" w:eastAsia="es-ES"/>
              </w:rPr>
            </w:pPr>
            <w:r w:rsidRPr="00C90671">
              <w:rPr>
                <w:color w:val="000000"/>
                <w:sz w:val="16"/>
                <w:szCs w:val="16"/>
                <w:lang w:eastAsia="es-ES"/>
              </w:rPr>
              <w:t>2,391</w:t>
            </w:r>
          </w:p>
        </w:tc>
        <w:tc>
          <w:tcPr>
            <w:tcW w:w="545" w:type="dxa"/>
            <w:tcBorders>
              <w:top w:val="nil"/>
              <w:left w:val="nil"/>
              <w:bottom w:val="nil"/>
              <w:right w:val="nil"/>
            </w:tcBorders>
            <w:shd w:val="clear" w:color="auto" w:fill="auto"/>
            <w:noWrap/>
            <w:vAlign w:val="center"/>
            <w:hideMark/>
          </w:tcPr>
          <w:p w14:paraId="0B738B27" w14:textId="77777777" w:rsidR="00317F0D" w:rsidRPr="00C90671" w:rsidRDefault="00317F0D" w:rsidP="00C90671">
            <w:pPr>
              <w:jc w:val="center"/>
              <w:rPr>
                <w:color w:val="000000"/>
                <w:sz w:val="16"/>
                <w:szCs w:val="16"/>
                <w:lang w:val="es-ES" w:eastAsia="es-ES"/>
              </w:rPr>
            </w:pPr>
            <w:r w:rsidRPr="00C90671">
              <w:rPr>
                <w:color w:val="000000"/>
                <w:sz w:val="16"/>
                <w:szCs w:val="16"/>
                <w:lang w:eastAsia="es-ES"/>
              </w:rPr>
              <w:t>2,248</w:t>
            </w:r>
          </w:p>
        </w:tc>
        <w:tc>
          <w:tcPr>
            <w:tcW w:w="545" w:type="dxa"/>
            <w:tcBorders>
              <w:top w:val="nil"/>
              <w:left w:val="nil"/>
              <w:bottom w:val="nil"/>
              <w:right w:val="nil"/>
            </w:tcBorders>
            <w:shd w:val="clear" w:color="auto" w:fill="auto"/>
            <w:noWrap/>
            <w:vAlign w:val="center"/>
            <w:hideMark/>
          </w:tcPr>
          <w:p w14:paraId="6AAE08D8" w14:textId="77777777" w:rsidR="00317F0D" w:rsidRPr="00C90671" w:rsidRDefault="00317F0D" w:rsidP="00C90671">
            <w:pPr>
              <w:jc w:val="center"/>
              <w:rPr>
                <w:color w:val="000000"/>
                <w:sz w:val="16"/>
                <w:szCs w:val="16"/>
                <w:lang w:val="es-ES" w:eastAsia="es-ES"/>
              </w:rPr>
            </w:pPr>
            <w:r w:rsidRPr="00C90671">
              <w:rPr>
                <w:color w:val="000000"/>
                <w:sz w:val="16"/>
                <w:szCs w:val="16"/>
                <w:lang w:eastAsia="es-ES"/>
              </w:rPr>
              <w:t>2,038</w:t>
            </w:r>
          </w:p>
        </w:tc>
        <w:tc>
          <w:tcPr>
            <w:tcW w:w="545" w:type="dxa"/>
            <w:tcBorders>
              <w:top w:val="nil"/>
              <w:left w:val="nil"/>
              <w:bottom w:val="nil"/>
              <w:right w:val="nil"/>
            </w:tcBorders>
            <w:shd w:val="clear" w:color="auto" w:fill="auto"/>
            <w:noWrap/>
            <w:vAlign w:val="center"/>
            <w:hideMark/>
          </w:tcPr>
          <w:p w14:paraId="319630B8" w14:textId="77777777" w:rsidR="00317F0D" w:rsidRPr="00C90671" w:rsidRDefault="00317F0D" w:rsidP="00C90671">
            <w:pPr>
              <w:jc w:val="center"/>
              <w:rPr>
                <w:color w:val="000000"/>
                <w:sz w:val="16"/>
                <w:szCs w:val="16"/>
                <w:lang w:val="es-ES" w:eastAsia="es-ES"/>
              </w:rPr>
            </w:pPr>
            <w:r w:rsidRPr="00C90671">
              <w:rPr>
                <w:color w:val="000000"/>
                <w:sz w:val="16"/>
                <w:szCs w:val="16"/>
                <w:lang w:eastAsia="es-ES"/>
              </w:rPr>
              <w:t>1,730</w:t>
            </w:r>
          </w:p>
        </w:tc>
        <w:tc>
          <w:tcPr>
            <w:tcW w:w="545" w:type="dxa"/>
            <w:tcBorders>
              <w:top w:val="nil"/>
              <w:left w:val="nil"/>
              <w:bottom w:val="nil"/>
              <w:right w:val="nil"/>
            </w:tcBorders>
            <w:shd w:val="clear" w:color="auto" w:fill="auto"/>
            <w:noWrap/>
            <w:vAlign w:val="center"/>
            <w:hideMark/>
          </w:tcPr>
          <w:p w14:paraId="69D7CC0C" w14:textId="77777777" w:rsidR="00317F0D" w:rsidRPr="00C90671" w:rsidRDefault="00317F0D" w:rsidP="00C90671">
            <w:pPr>
              <w:jc w:val="center"/>
              <w:rPr>
                <w:color w:val="000000"/>
                <w:sz w:val="16"/>
                <w:szCs w:val="16"/>
                <w:lang w:val="es-ES" w:eastAsia="es-ES"/>
              </w:rPr>
            </w:pPr>
            <w:r w:rsidRPr="00C90671">
              <w:rPr>
                <w:color w:val="000000"/>
                <w:sz w:val="16"/>
                <w:szCs w:val="16"/>
                <w:lang w:eastAsia="es-ES"/>
              </w:rPr>
              <w:t>1,837</w:t>
            </w:r>
          </w:p>
        </w:tc>
      </w:tr>
      <w:tr w:rsidR="00317F0D" w:rsidRPr="00C90671" w14:paraId="2362F4ED" w14:textId="77777777" w:rsidTr="00F24A75">
        <w:trPr>
          <w:trHeight w:val="300"/>
          <w:jc w:val="center"/>
        </w:trPr>
        <w:tc>
          <w:tcPr>
            <w:tcW w:w="665" w:type="dxa"/>
            <w:tcBorders>
              <w:top w:val="nil"/>
              <w:left w:val="nil"/>
              <w:bottom w:val="single" w:sz="4" w:space="0" w:color="auto"/>
              <w:right w:val="nil"/>
            </w:tcBorders>
            <w:shd w:val="clear" w:color="auto" w:fill="auto"/>
            <w:noWrap/>
            <w:vAlign w:val="center"/>
            <w:hideMark/>
          </w:tcPr>
          <w:p w14:paraId="3EBF318D" w14:textId="77777777" w:rsidR="00317F0D" w:rsidRPr="00C90671" w:rsidRDefault="00317F0D" w:rsidP="00C90671">
            <w:pPr>
              <w:jc w:val="center"/>
              <w:rPr>
                <w:b/>
                <w:bCs/>
                <w:color w:val="000000"/>
                <w:sz w:val="16"/>
                <w:szCs w:val="16"/>
                <w:lang w:val="es-ES" w:eastAsia="es-ES"/>
              </w:rPr>
            </w:pPr>
            <w:r w:rsidRPr="00C90671">
              <w:rPr>
                <w:b/>
                <w:bCs/>
                <w:color w:val="000000"/>
                <w:sz w:val="16"/>
                <w:szCs w:val="16"/>
                <w:lang w:eastAsia="es-ES"/>
              </w:rPr>
              <w:t>Lugo</w:t>
            </w:r>
          </w:p>
        </w:tc>
        <w:tc>
          <w:tcPr>
            <w:tcW w:w="545" w:type="dxa"/>
            <w:tcBorders>
              <w:top w:val="nil"/>
              <w:left w:val="nil"/>
              <w:bottom w:val="single" w:sz="4" w:space="0" w:color="auto"/>
              <w:right w:val="nil"/>
            </w:tcBorders>
            <w:shd w:val="clear" w:color="auto" w:fill="auto"/>
            <w:noWrap/>
            <w:vAlign w:val="center"/>
            <w:hideMark/>
          </w:tcPr>
          <w:p w14:paraId="47DCB601" w14:textId="77777777" w:rsidR="00317F0D" w:rsidRPr="00C90671" w:rsidRDefault="00317F0D" w:rsidP="00C90671">
            <w:pPr>
              <w:jc w:val="center"/>
              <w:rPr>
                <w:color w:val="000000"/>
                <w:sz w:val="16"/>
                <w:szCs w:val="16"/>
                <w:lang w:val="es-ES" w:eastAsia="es-ES"/>
              </w:rPr>
            </w:pPr>
            <w:r w:rsidRPr="00C90671">
              <w:rPr>
                <w:color w:val="000000"/>
                <w:sz w:val="16"/>
                <w:szCs w:val="16"/>
                <w:lang w:eastAsia="es-ES"/>
              </w:rPr>
              <w:t>106</w:t>
            </w:r>
          </w:p>
        </w:tc>
        <w:tc>
          <w:tcPr>
            <w:tcW w:w="545" w:type="dxa"/>
            <w:tcBorders>
              <w:top w:val="nil"/>
              <w:left w:val="nil"/>
              <w:bottom w:val="single" w:sz="4" w:space="0" w:color="auto"/>
              <w:right w:val="nil"/>
            </w:tcBorders>
            <w:shd w:val="clear" w:color="auto" w:fill="auto"/>
            <w:noWrap/>
            <w:vAlign w:val="center"/>
            <w:hideMark/>
          </w:tcPr>
          <w:p w14:paraId="793F1EA6" w14:textId="77777777" w:rsidR="00317F0D" w:rsidRPr="00C90671" w:rsidRDefault="00317F0D" w:rsidP="00C90671">
            <w:pPr>
              <w:jc w:val="center"/>
              <w:rPr>
                <w:color w:val="000000"/>
                <w:sz w:val="16"/>
                <w:szCs w:val="16"/>
                <w:lang w:val="es-ES" w:eastAsia="es-ES"/>
              </w:rPr>
            </w:pPr>
            <w:r w:rsidRPr="00C90671">
              <w:rPr>
                <w:color w:val="000000"/>
                <w:sz w:val="16"/>
                <w:szCs w:val="16"/>
                <w:lang w:eastAsia="es-ES"/>
              </w:rPr>
              <w:t>93</w:t>
            </w:r>
          </w:p>
        </w:tc>
        <w:tc>
          <w:tcPr>
            <w:tcW w:w="545" w:type="dxa"/>
            <w:tcBorders>
              <w:top w:val="nil"/>
              <w:left w:val="nil"/>
              <w:bottom w:val="single" w:sz="4" w:space="0" w:color="auto"/>
              <w:right w:val="nil"/>
            </w:tcBorders>
            <w:shd w:val="clear" w:color="auto" w:fill="auto"/>
            <w:noWrap/>
            <w:vAlign w:val="center"/>
            <w:hideMark/>
          </w:tcPr>
          <w:p w14:paraId="0587C1CA" w14:textId="77777777" w:rsidR="00317F0D" w:rsidRPr="00C90671" w:rsidRDefault="00317F0D" w:rsidP="00C90671">
            <w:pPr>
              <w:jc w:val="center"/>
              <w:rPr>
                <w:color w:val="000000"/>
                <w:sz w:val="16"/>
                <w:szCs w:val="16"/>
                <w:lang w:val="es-ES" w:eastAsia="es-ES"/>
              </w:rPr>
            </w:pPr>
            <w:r w:rsidRPr="00C90671">
              <w:rPr>
                <w:color w:val="000000"/>
                <w:sz w:val="16"/>
                <w:szCs w:val="16"/>
                <w:lang w:eastAsia="es-ES"/>
              </w:rPr>
              <w:t>89</w:t>
            </w:r>
          </w:p>
        </w:tc>
        <w:tc>
          <w:tcPr>
            <w:tcW w:w="545" w:type="dxa"/>
            <w:tcBorders>
              <w:top w:val="nil"/>
              <w:left w:val="nil"/>
              <w:bottom w:val="single" w:sz="4" w:space="0" w:color="auto"/>
              <w:right w:val="nil"/>
            </w:tcBorders>
            <w:shd w:val="clear" w:color="auto" w:fill="auto"/>
            <w:noWrap/>
            <w:vAlign w:val="center"/>
            <w:hideMark/>
          </w:tcPr>
          <w:p w14:paraId="4422230C" w14:textId="77777777" w:rsidR="00317F0D" w:rsidRPr="00C90671" w:rsidRDefault="00317F0D" w:rsidP="00C90671">
            <w:pPr>
              <w:jc w:val="center"/>
              <w:rPr>
                <w:color w:val="000000"/>
                <w:sz w:val="16"/>
                <w:szCs w:val="16"/>
                <w:lang w:val="es-ES" w:eastAsia="es-ES"/>
              </w:rPr>
            </w:pPr>
            <w:r w:rsidRPr="00C90671">
              <w:rPr>
                <w:color w:val="000000"/>
                <w:sz w:val="16"/>
                <w:szCs w:val="16"/>
                <w:lang w:eastAsia="es-ES"/>
              </w:rPr>
              <w:t>77</w:t>
            </w:r>
          </w:p>
        </w:tc>
        <w:tc>
          <w:tcPr>
            <w:tcW w:w="545" w:type="dxa"/>
            <w:tcBorders>
              <w:top w:val="nil"/>
              <w:left w:val="nil"/>
              <w:bottom w:val="single" w:sz="4" w:space="0" w:color="auto"/>
              <w:right w:val="nil"/>
            </w:tcBorders>
            <w:shd w:val="clear" w:color="auto" w:fill="auto"/>
            <w:noWrap/>
            <w:vAlign w:val="center"/>
            <w:hideMark/>
          </w:tcPr>
          <w:p w14:paraId="6CA753D4" w14:textId="77777777" w:rsidR="00317F0D" w:rsidRPr="00C90671" w:rsidRDefault="00317F0D" w:rsidP="00C90671">
            <w:pPr>
              <w:jc w:val="center"/>
              <w:rPr>
                <w:color w:val="000000"/>
                <w:sz w:val="16"/>
                <w:szCs w:val="16"/>
                <w:lang w:val="es-ES" w:eastAsia="es-ES"/>
              </w:rPr>
            </w:pPr>
            <w:r w:rsidRPr="00C90671">
              <w:rPr>
                <w:color w:val="000000"/>
                <w:sz w:val="16"/>
                <w:szCs w:val="16"/>
                <w:lang w:eastAsia="es-ES"/>
              </w:rPr>
              <w:t>79</w:t>
            </w:r>
          </w:p>
        </w:tc>
        <w:tc>
          <w:tcPr>
            <w:tcW w:w="545" w:type="dxa"/>
            <w:tcBorders>
              <w:top w:val="nil"/>
              <w:left w:val="nil"/>
              <w:bottom w:val="single" w:sz="4" w:space="0" w:color="auto"/>
              <w:right w:val="nil"/>
            </w:tcBorders>
            <w:shd w:val="clear" w:color="auto" w:fill="auto"/>
            <w:noWrap/>
            <w:vAlign w:val="center"/>
            <w:hideMark/>
          </w:tcPr>
          <w:p w14:paraId="6A47EF5D" w14:textId="77777777" w:rsidR="00317F0D" w:rsidRPr="00C90671" w:rsidRDefault="00317F0D" w:rsidP="00C90671">
            <w:pPr>
              <w:jc w:val="center"/>
              <w:rPr>
                <w:color w:val="000000"/>
                <w:sz w:val="16"/>
                <w:szCs w:val="16"/>
                <w:lang w:val="es-ES" w:eastAsia="es-ES"/>
              </w:rPr>
            </w:pPr>
            <w:r w:rsidRPr="00C90671">
              <w:rPr>
                <w:color w:val="000000"/>
                <w:sz w:val="16"/>
                <w:szCs w:val="16"/>
                <w:lang w:eastAsia="es-ES"/>
              </w:rPr>
              <w:t>101</w:t>
            </w:r>
          </w:p>
        </w:tc>
        <w:tc>
          <w:tcPr>
            <w:tcW w:w="545" w:type="dxa"/>
            <w:tcBorders>
              <w:top w:val="nil"/>
              <w:left w:val="nil"/>
              <w:bottom w:val="single" w:sz="4" w:space="0" w:color="auto"/>
              <w:right w:val="nil"/>
            </w:tcBorders>
            <w:shd w:val="clear" w:color="auto" w:fill="auto"/>
            <w:noWrap/>
            <w:vAlign w:val="center"/>
            <w:hideMark/>
          </w:tcPr>
          <w:p w14:paraId="64B6ACA8" w14:textId="77777777" w:rsidR="00317F0D" w:rsidRPr="00C90671" w:rsidRDefault="00317F0D" w:rsidP="00C90671">
            <w:pPr>
              <w:jc w:val="center"/>
              <w:rPr>
                <w:color w:val="000000"/>
                <w:sz w:val="16"/>
                <w:szCs w:val="16"/>
                <w:lang w:val="es-ES" w:eastAsia="es-ES"/>
              </w:rPr>
            </w:pPr>
            <w:r w:rsidRPr="00C90671">
              <w:rPr>
                <w:color w:val="000000"/>
                <w:sz w:val="16"/>
                <w:szCs w:val="16"/>
                <w:lang w:eastAsia="es-ES"/>
              </w:rPr>
              <w:t>118</w:t>
            </w:r>
          </w:p>
        </w:tc>
        <w:tc>
          <w:tcPr>
            <w:tcW w:w="482" w:type="dxa"/>
            <w:tcBorders>
              <w:top w:val="nil"/>
              <w:left w:val="nil"/>
              <w:bottom w:val="single" w:sz="4" w:space="0" w:color="auto"/>
              <w:right w:val="nil"/>
            </w:tcBorders>
            <w:shd w:val="clear" w:color="auto" w:fill="auto"/>
            <w:noWrap/>
            <w:vAlign w:val="center"/>
            <w:hideMark/>
          </w:tcPr>
          <w:p w14:paraId="4F0A9C1F" w14:textId="77777777" w:rsidR="00317F0D" w:rsidRPr="00C90671" w:rsidRDefault="00317F0D" w:rsidP="00C90671">
            <w:pPr>
              <w:jc w:val="center"/>
              <w:rPr>
                <w:color w:val="000000"/>
                <w:sz w:val="16"/>
                <w:szCs w:val="16"/>
                <w:lang w:val="es-ES" w:eastAsia="es-ES"/>
              </w:rPr>
            </w:pPr>
            <w:r w:rsidRPr="00C90671">
              <w:rPr>
                <w:color w:val="000000"/>
                <w:sz w:val="16"/>
                <w:szCs w:val="16"/>
                <w:lang w:eastAsia="es-ES"/>
              </w:rPr>
              <w:t>114</w:t>
            </w:r>
          </w:p>
        </w:tc>
        <w:tc>
          <w:tcPr>
            <w:tcW w:w="545" w:type="dxa"/>
            <w:tcBorders>
              <w:top w:val="nil"/>
              <w:left w:val="nil"/>
              <w:bottom w:val="single" w:sz="4" w:space="0" w:color="auto"/>
              <w:right w:val="nil"/>
            </w:tcBorders>
            <w:shd w:val="clear" w:color="auto" w:fill="auto"/>
            <w:noWrap/>
            <w:vAlign w:val="center"/>
            <w:hideMark/>
          </w:tcPr>
          <w:p w14:paraId="65142B19" w14:textId="77777777" w:rsidR="00317F0D" w:rsidRPr="00C90671" w:rsidRDefault="00317F0D" w:rsidP="00C90671">
            <w:pPr>
              <w:jc w:val="center"/>
              <w:rPr>
                <w:color w:val="000000"/>
                <w:sz w:val="16"/>
                <w:szCs w:val="16"/>
                <w:lang w:val="es-ES" w:eastAsia="es-ES"/>
              </w:rPr>
            </w:pPr>
            <w:r w:rsidRPr="00C90671">
              <w:rPr>
                <w:color w:val="000000"/>
                <w:sz w:val="16"/>
                <w:szCs w:val="16"/>
                <w:lang w:eastAsia="es-ES"/>
              </w:rPr>
              <w:t>107</w:t>
            </w:r>
          </w:p>
        </w:tc>
        <w:tc>
          <w:tcPr>
            <w:tcW w:w="545" w:type="dxa"/>
            <w:tcBorders>
              <w:top w:val="nil"/>
              <w:left w:val="nil"/>
              <w:bottom w:val="single" w:sz="4" w:space="0" w:color="auto"/>
              <w:right w:val="nil"/>
            </w:tcBorders>
            <w:shd w:val="clear" w:color="auto" w:fill="auto"/>
            <w:noWrap/>
            <w:vAlign w:val="center"/>
            <w:hideMark/>
          </w:tcPr>
          <w:p w14:paraId="51C6561E" w14:textId="77777777" w:rsidR="00317F0D" w:rsidRPr="00C90671" w:rsidRDefault="00317F0D" w:rsidP="00C90671">
            <w:pPr>
              <w:jc w:val="center"/>
              <w:rPr>
                <w:color w:val="000000"/>
                <w:sz w:val="16"/>
                <w:szCs w:val="16"/>
                <w:lang w:val="es-ES" w:eastAsia="es-ES"/>
              </w:rPr>
            </w:pPr>
            <w:r w:rsidRPr="00C90671">
              <w:rPr>
                <w:color w:val="000000"/>
                <w:sz w:val="16"/>
                <w:szCs w:val="16"/>
                <w:lang w:eastAsia="es-ES"/>
              </w:rPr>
              <w:t>97</w:t>
            </w:r>
          </w:p>
        </w:tc>
        <w:tc>
          <w:tcPr>
            <w:tcW w:w="545" w:type="dxa"/>
            <w:tcBorders>
              <w:top w:val="nil"/>
              <w:left w:val="nil"/>
              <w:bottom w:val="single" w:sz="4" w:space="0" w:color="auto"/>
              <w:right w:val="nil"/>
            </w:tcBorders>
            <w:shd w:val="clear" w:color="auto" w:fill="auto"/>
            <w:noWrap/>
            <w:vAlign w:val="center"/>
            <w:hideMark/>
          </w:tcPr>
          <w:p w14:paraId="40E2964A" w14:textId="77777777" w:rsidR="00317F0D" w:rsidRPr="00C90671" w:rsidRDefault="00317F0D" w:rsidP="00C90671">
            <w:pPr>
              <w:jc w:val="center"/>
              <w:rPr>
                <w:color w:val="000000"/>
                <w:sz w:val="16"/>
                <w:szCs w:val="16"/>
                <w:lang w:val="es-ES" w:eastAsia="es-ES"/>
              </w:rPr>
            </w:pPr>
            <w:r w:rsidRPr="00C90671">
              <w:rPr>
                <w:color w:val="000000"/>
                <w:sz w:val="16"/>
                <w:szCs w:val="16"/>
                <w:lang w:eastAsia="es-ES"/>
              </w:rPr>
              <w:t>82</w:t>
            </w:r>
          </w:p>
        </w:tc>
        <w:tc>
          <w:tcPr>
            <w:tcW w:w="545" w:type="dxa"/>
            <w:tcBorders>
              <w:top w:val="nil"/>
              <w:left w:val="nil"/>
              <w:bottom w:val="single" w:sz="4" w:space="0" w:color="auto"/>
              <w:right w:val="nil"/>
            </w:tcBorders>
            <w:shd w:val="clear" w:color="auto" w:fill="auto"/>
            <w:noWrap/>
            <w:vAlign w:val="center"/>
            <w:hideMark/>
          </w:tcPr>
          <w:p w14:paraId="4FAC631B" w14:textId="77777777" w:rsidR="00317F0D" w:rsidRPr="00C90671" w:rsidRDefault="00317F0D" w:rsidP="00C90671">
            <w:pPr>
              <w:jc w:val="center"/>
              <w:rPr>
                <w:color w:val="000000"/>
                <w:sz w:val="16"/>
                <w:szCs w:val="16"/>
                <w:lang w:val="es-ES" w:eastAsia="es-ES"/>
              </w:rPr>
            </w:pPr>
            <w:r w:rsidRPr="00C90671">
              <w:rPr>
                <w:color w:val="000000"/>
                <w:sz w:val="16"/>
                <w:szCs w:val="16"/>
                <w:lang w:eastAsia="es-ES"/>
              </w:rPr>
              <w:t>87</w:t>
            </w:r>
          </w:p>
        </w:tc>
      </w:tr>
    </w:tbl>
    <w:p w14:paraId="5FEF0CD0" w14:textId="3B18ABD7" w:rsidR="00747AE6" w:rsidRPr="00747AE6" w:rsidRDefault="00747AE6" w:rsidP="00747AE6">
      <w:pPr>
        <w:pStyle w:val="Els-1storder-head"/>
      </w:pPr>
      <w:r>
        <w:lastRenderedPageBreak/>
        <w:t>Results</w:t>
      </w:r>
    </w:p>
    <w:p w14:paraId="144DE69A" w14:textId="5D1DA54D" w:rsidR="008D2649" w:rsidRDefault="00747AE6" w:rsidP="008D2649">
      <w:pPr>
        <w:pStyle w:val="Els-2ndorder-head"/>
      </w:pPr>
      <w:r>
        <w:t xml:space="preserve">Case Study 1: </w:t>
      </w:r>
      <w:r w:rsidR="0056089A">
        <w:t xml:space="preserve">Optimal </w:t>
      </w:r>
      <w:r w:rsidR="00137AAE">
        <w:t xml:space="preserve">CSP </w:t>
      </w:r>
      <w:r>
        <w:t xml:space="preserve">green energy production to meet the </w:t>
      </w:r>
      <w:r w:rsidR="00137AAE">
        <w:t xml:space="preserve">full </w:t>
      </w:r>
      <w:r>
        <w:t>demand</w:t>
      </w:r>
    </w:p>
    <w:p w14:paraId="39003530" w14:textId="782F9920" w:rsidR="009E0C52" w:rsidRDefault="00747AE6" w:rsidP="00747AE6">
      <w:pPr>
        <w:pStyle w:val="Els-body-text"/>
      </w:pPr>
      <w:r>
        <w:t>The results show</w:t>
      </w:r>
      <w:r w:rsidR="003E0E3D">
        <w:t>n</w:t>
      </w:r>
      <w:r>
        <w:t xml:space="preserve"> in Table </w:t>
      </w:r>
      <w:r w:rsidR="0065020C">
        <w:t>2</w:t>
      </w:r>
      <w:r>
        <w:t xml:space="preserve"> indicate that the </w:t>
      </w:r>
      <w:r w:rsidR="00400739">
        <w:t xml:space="preserve">optimal solution is </w:t>
      </w:r>
      <w:r>
        <w:t>to build CSP plants in the south of Spain</w:t>
      </w:r>
      <w:r w:rsidR="000857D1">
        <w:t>: Almeria and Badajoz present the maximum capacity</w:t>
      </w:r>
      <w:r w:rsidR="00BC2CC3">
        <w:t xml:space="preserve"> allowed</w:t>
      </w:r>
      <w:r w:rsidR="000857D1">
        <w:t xml:space="preserve">, while Huesca has a lower design capacity. </w:t>
      </w:r>
      <w:r w:rsidR="00B317C5">
        <w:t xml:space="preserve">Electricity </w:t>
      </w:r>
      <w:r>
        <w:t>is distributed to</w:t>
      </w:r>
      <w:r w:rsidR="000857D1">
        <w:t xml:space="preserve"> the</w:t>
      </w:r>
      <w:r>
        <w:t xml:space="preserve"> other regions </w:t>
      </w:r>
      <w:r w:rsidR="000857D1">
        <w:t>such as</w:t>
      </w:r>
      <w:r>
        <w:t xml:space="preserve"> Madrid</w:t>
      </w:r>
      <w:r w:rsidR="000857D1">
        <w:t>, which</w:t>
      </w:r>
      <w:r>
        <w:t xml:space="preserve"> receive</w:t>
      </w:r>
      <w:r w:rsidR="000857D1">
        <w:t>s</w:t>
      </w:r>
      <w:r>
        <w:t xml:space="preserve"> around 50% of </w:t>
      </w:r>
      <w:r w:rsidR="00B317C5">
        <w:t xml:space="preserve">electricity </w:t>
      </w:r>
      <w:r>
        <w:t>from Almeria and 50% from Huesca in August</w:t>
      </w:r>
      <w:r w:rsidR="000857D1">
        <w:t xml:space="preserve"> (see Figure </w:t>
      </w:r>
      <w:r w:rsidR="000857D1" w:rsidRPr="002E1BDB">
        <w:t>2)</w:t>
      </w:r>
      <w:r w:rsidRPr="002E1BDB">
        <w:t>.</w:t>
      </w:r>
      <w:r w:rsidR="000857D1" w:rsidRPr="002E1BDB">
        <w:t xml:space="preserve"> </w:t>
      </w:r>
      <w:r w:rsidRPr="002E1BDB">
        <w:t>This result is because</w:t>
      </w:r>
      <w:r>
        <w:t xml:space="preserve"> southern regions </w:t>
      </w:r>
      <w:r w:rsidR="003C7CCE">
        <w:t xml:space="preserve">i) have </w:t>
      </w:r>
      <w:r>
        <w:t xml:space="preserve">larger DNI values, which means larger production, and </w:t>
      </w:r>
      <w:r w:rsidR="0094282A">
        <w:t xml:space="preserve">ii) </w:t>
      </w:r>
      <w:r w:rsidR="00D6461C">
        <w:t xml:space="preserve">new </w:t>
      </w:r>
      <w:r w:rsidR="0094282A">
        <w:t xml:space="preserve">plants there </w:t>
      </w:r>
      <w:r w:rsidR="00EC22F5">
        <w:t>result in</w:t>
      </w:r>
      <w:r>
        <w:t xml:space="preserve"> a more significant </w:t>
      </w:r>
      <w:r w:rsidR="00EA738F">
        <w:t>impact on</w:t>
      </w:r>
      <w:r>
        <w:t xml:space="preserve"> social development (e.g. salaries, </w:t>
      </w:r>
      <w:r w:rsidR="003B036E">
        <w:t>unemployment reduction</w:t>
      </w:r>
      <w:r>
        <w:t>).</w:t>
      </w:r>
    </w:p>
    <w:p w14:paraId="41C01F70" w14:textId="2AE35B3C" w:rsidR="000B5099" w:rsidRDefault="000857D1" w:rsidP="00747AE6">
      <w:pPr>
        <w:pStyle w:val="Els-body-text"/>
      </w:pPr>
      <w:r>
        <w:t>Regarding the energy storage</w:t>
      </w:r>
      <w:r w:rsidR="006E0916">
        <w:t>, no energy storage system is selected</w:t>
      </w:r>
      <w:r w:rsidR="009E0C52">
        <w:t xml:space="preserve"> in any region</w:t>
      </w:r>
      <w:r w:rsidR="00747AE6">
        <w:t xml:space="preserve"> and the </w:t>
      </w:r>
      <w:r w:rsidR="00B01F92">
        <w:t xml:space="preserve">electricity </w:t>
      </w:r>
      <w:r w:rsidR="00747AE6">
        <w:t xml:space="preserve">surplus was </w:t>
      </w:r>
      <w:r w:rsidR="00991625">
        <w:t>exported</w:t>
      </w:r>
      <w:r w:rsidR="00747AE6">
        <w:t xml:space="preserve">, as seen in Figure </w:t>
      </w:r>
      <w:r>
        <w:t>3</w:t>
      </w:r>
      <w:r w:rsidR="00820E88">
        <w:t xml:space="preserve"> – Case Study 1</w:t>
      </w:r>
      <w:r w:rsidR="00747AE6">
        <w:t>. The reason is related to the price of storage technologies and the</w:t>
      </w:r>
      <w:r w:rsidR="00572BA4">
        <w:t xml:space="preserve"> assumed</w:t>
      </w:r>
      <w:r w:rsidR="00747AE6">
        <w:t xml:space="preserve"> selling price of H</w:t>
      </w:r>
      <w:r w:rsidR="00747AE6" w:rsidRPr="00B845DE">
        <w:rPr>
          <w:vertAlign w:val="subscript"/>
        </w:rPr>
        <w:t>2</w:t>
      </w:r>
      <w:r w:rsidR="003637A0">
        <w:t>.</w:t>
      </w:r>
      <w:r w:rsidR="00747AE6">
        <w:t xml:space="preserve"> </w:t>
      </w:r>
      <w:r w:rsidR="00856B46">
        <w:t>The</w:t>
      </w:r>
      <w:r w:rsidR="00A73017">
        <w:t xml:space="preserve"> </w:t>
      </w:r>
      <w:r w:rsidR="00747AE6">
        <w:t>green H</w:t>
      </w:r>
      <w:r w:rsidR="00747AE6" w:rsidRPr="00B845DE">
        <w:rPr>
          <w:vertAlign w:val="subscript"/>
        </w:rPr>
        <w:t>2</w:t>
      </w:r>
      <w:r w:rsidR="00747AE6">
        <w:t xml:space="preserve"> </w:t>
      </w:r>
      <w:r w:rsidR="00A73017">
        <w:t xml:space="preserve">from CSP would have </w:t>
      </w:r>
      <w:r w:rsidR="00747AE6">
        <w:t xml:space="preserve">a larger cost </w:t>
      </w:r>
      <w:r w:rsidR="009E0C52">
        <w:t>and cannot compete against</w:t>
      </w:r>
      <w:r w:rsidR="00747AE6">
        <w:t xml:space="preserve"> grey H</w:t>
      </w:r>
      <w:r w:rsidR="00747AE6" w:rsidRPr="00B845DE">
        <w:rPr>
          <w:vertAlign w:val="subscript"/>
        </w:rPr>
        <w:t>2</w:t>
      </w:r>
      <w:r w:rsidR="009E0C52">
        <w:rPr>
          <w:vertAlign w:val="subscript"/>
        </w:rPr>
        <w:t xml:space="preserve"> </w:t>
      </w:r>
      <w:r w:rsidR="009E0C52" w:rsidRPr="009E0C52">
        <w:t xml:space="preserve">production </w:t>
      </w:r>
      <w:r w:rsidR="009E0C52">
        <w:t>cost (3€/kg)</w:t>
      </w:r>
      <w:r w:rsidR="00747AE6">
        <w:t>.</w:t>
      </w:r>
      <w:r>
        <w:t xml:space="preserve"> Furthermore, </w:t>
      </w:r>
      <w:r w:rsidR="00747AE6">
        <w:t xml:space="preserve">energy </w:t>
      </w:r>
      <w:r w:rsidR="00FB7356">
        <w:t xml:space="preserve">surplus </w:t>
      </w:r>
      <w:r w:rsidR="00747AE6">
        <w:t xml:space="preserve">during summer </w:t>
      </w:r>
      <w:r w:rsidR="007717B4">
        <w:t>results from</w:t>
      </w:r>
      <w:r w:rsidR="004B2EB9">
        <w:t xml:space="preserve"> the need to</w:t>
      </w:r>
      <w:r w:rsidR="007717B4">
        <w:t xml:space="preserve"> </w:t>
      </w:r>
      <w:r w:rsidR="00747AE6">
        <w:t>over-design</w:t>
      </w:r>
      <w:r w:rsidR="004B2EB9">
        <w:t xml:space="preserve"> the</w:t>
      </w:r>
      <w:r w:rsidR="00747AE6">
        <w:t xml:space="preserve"> network </w:t>
      </w:r>
      <w:r w:rsidR="00071ADF">
        <w:t xml:space="preserve">so as </w:t>
      </w:r>
      <w:r w:rsidR="00747AE6">
        <w:t xml:space="preserve">to meet the </w:t>
      </w:r>
      <w:r w:rsidR="004B2EB9">
        <w:t xml:space="preserve">peak </w:t>
      </w:r>
      <w:r w:rsidR="00747AE6">
        <w:t>demand during winter.</w:t>
      </w:r>
    </w:p>
    <w:p w14:paraId="4089962A" w14:textId="77777777" w:rsidR="00334373" w:rsidRDefault="00334373" w:rsidP="00747AE6">
      <w:pPr>
        <w:pStyle w:val="Els-body-text"/>
      </w:pPr>
    </w:p>
    <w:p w14:paraId="258639EA" w14:textId="77777777" w:rsidR="00334373" w:rsidRDefault="00334373" w:rsidP="00334373">
      <w:pPr>
        <w:pStyle w:val="Els-body-text"/>
      </w:pPr>
      <w:r w:rsidRPr="009D0725">
        <w:rPr>
          <w:b/>
          <w:bCs/>
        </w:rPr>
        <w:t>Table 2</w:t>
      </w:r>
      <w:r>
        <w:t>. Production capacity, storage, SI, and investment for both Case studies.</w:t>
      </w:r>
    </w:p>
    <w:tbl>
      <w:tblPr>
        <w:tblW w:w="6952" w:type="dxa"/>
        <w:jc w:val="center"/>
        <w:tblCellMar>
          <w:left w:w="70" w:type="dxa"/>
          <w:right w:w="70" w:type="dxa"/>
        </w:tblCellMar>
        <w:tblLook w:val="04A0" w:firstRow="1" w:lastRow="0" w:firstColumn="1" w:lastColumn="0" w:noHBand="0" w:noVBand="1"/>
      </w:tblPr>
      <w:tblGrid>
        <w:gridCol w:w="770"/>
        <w:gridCol w:w="1357"/>
        <w:gridCol w:w="1206"/>
        <w:gridCol w:w="944"/>
        <w:gridCol w:w="1110"/>
        <w:gridCol w:w="1565"/>
      </w:tblGrid>
      <w:tr w:rsidR="00334373" w:rsidRPr="009D0725" w14:paraId="4080FD1F" w14:textId="77777777" w:rsidTr="00C90671">
        <w:trPr>
          <w:trHeight w:val="312"/>
          <w:jc w:val="center"/>
        </w:trPr>
        <w:tc>
          <w:tcPr>
            <w:tcW w:w="770" w:type="dxa"/>
            <w:tcBorders>
              <w:top w:val="single" w:sz="4" w:space="0" w:color="auto"/>
              <w:left w:val="nil"/>
              <w:bottom w:val="single" w:sz="4" w:space="0" w:color="auto"/>
              <w:right w:val="nil"/>
            </w:tcBorders>
            <w:shd w:val="clear" w:color="auto" w:fill="auto"/>
            <w:noWrap/>
            <w:vAlign w:val="center"/>
            <w:hideMark/>
          </w:tcPr>
          <w:p w14:paraId="29688FBD" w14:textId="77777777" w:rsidR="00334373" w:rsidRPr="00623C7C" w:rsidRDefault="00334373" w:rsidP="00C90671">
            <w:pPr>
              <w:jc w:val="center"/>
              <w:rPr>
                <w:b/>
                <w:bCs/>
                <w:color w:val="000000"/>
                <w:sz w:val="18"/>
                <w:szCs w:val="18"/>
                <w:lang w:eastAsia="es-ES"/>
              </w:rPr>
            </w:pPr>
            <w:r w:rsidRPr="00623C7C">
              <w:rPr>
                <w:b/>
                <w:bCs/>
                <w:color w:val="000000"/>
                <w:sz w:val="18"/>
                <w:szCs w:val="18"/>
                <w:lang w:eastAsia="es-ES"/>
              </w:rPr>
              <w:t>Region</w:t>
            </w:r>
          </w:p>
        </w:tc>
        <w:tc>
          <w:tcPr>
            <w:tcW w:w="1357" w:type="dxa"/>
            <w:tcBorders>
              <w:top w:val="single" w:sz="4" w:space="0" w:color="auto"/>
              <w:left w:val="nil"/>
              <w:bottom w:val="single" w:sz="4" w:space="0" w:color="auto"/>
              <w:right w:val="nil"/>
            </w:tcBorders>
            <w:shd w:val="clear" w:color="auto" w:fill="auto"/>
            <w:noWrap/>
            <w:vAlign w:val="center"/>
            <w:hideMark/>
          </w:tcPr>
          <w:p w14:paraId="2B5F154F" w14:textId="77777777" w:rsidR="00334373" w:rsidRPr="00623C7C" w:rsidRDefault="00334373" w:rsidP="00C90671">
            <w:pPr>
              <w:jc w:val="center"/>
              <w:rPr>
                <w:b/>
                <w:bCs/>
                <w:color w:val="000000"/>
                <w:sz w:val="18"/>
                <w:szCs w:val="18"/>
                <w:lang w:eastAsia="es-ES"/>
              </w:rPr>
            </w:pPr>
            <w:r w:rsidRPr="009D0725">
              <w:rPr>
                <w:b/>
                <w:bCs/>
                <w:color w:val="000000"/>
                <w:sz w:val="18"/>
                <w:szCs w:val="18"/>
                <w:lang w:eastAsia="es-ES"/>
              </w:rPr>
              <w:t>Capacity</w:t>
            </w:r>
            <w:r w:rsidRPr="00623C7C">
              <w:rPr>
                <w:b/>
                <w:bCs/>
                <w:color w:val="000000"/>
                <w:sz w:val="18"/>
                <w:szCs w:val="18"/>
                <w:lang w:eastAsia="es-ES"/>
              </w:rPr>
              <w:t xml:space="preserve"> (MW)</w:t>
            </w:r>
          </w:p>
        </w:tc>
        <w:tc>
          <w:tcPr>
            <w:tcW w:w="1206" w:type="dxa"/>
            <w:tcBorders>
              <w:top w:val="single" w:sz="4" w:space="0" w:color="auto"/>
              <w:left w:val="nil"/>
              <w:bottom w:val="single" w:sz="4" w:space="0" w:color="auto"/>
              <w:right w:val="nil"/>
            </w:tcBorders>
            <w:shd w:val="clear" w:color="auto" w:fill="auto"/>
            <w:noWrap/>
            <w:vAlign w:val="center"/>
            <w:hideMark/>
          </w:tcPr>
          <w:p w14:paraId="79C154C2" w14:textId="77777777" w:rsidR="00334373" w:rsidRPr="00623C7C" w:rsidRDefault="00334373" w:rsidP="00C90671">
            <w:pPr>
              <w:jc w:val="center"/>
              <w:rPr>
                <w:b/>
                <w:bCs/>
                <w:color w:val="000000"/>
                <w:sz w:val="18"/>
                <w:szCs w:val="18"/>
                <w:lang w:eastAsia="es-ES"/>
              </w:rPr>
            </w:pPr>
            <w:r w:rsidRPr="00623C7C">
              <w:rPr>
                <w:b/>
                <w:bCs/>
                <w:color w:val="000000"/>
                <w:sz w:val="18"/>
                <w:szCs w:val="18"/>
                <w:lang w:eastAsia="es-ES"/>
              </w:rPr>
              <w:t>CAES (GWh)</w:t>
            </w:r>
          </w:p>
        </w:tc>
        <w:tc>
          <w:tcPr>
            <w:tcW w:w="944" w:type="dxa"/>
            <w:tcBorders>
              <w:top w:val="single" w:sz="4" w:space="0" w:color="auto"/>
              <w:left w:val="nil"/>
              <w:bottom w:val="single" w:sz="4" w:space="0" w:color="auto"/>
              <w:right w:val="nil"/>
            </w:tcBorders>
            <w:shd w:val="clear" w:color="auto" w:fill="auto"/>
            <w:noWrap/>
            <w:vAlign w:val="center"/>
            <w:hideMark/>
          </w:tcPr>
          <w:p w14:paraId="08DD873F" w14:textId="77777777" w:rsidR="00334373" w:rsidRPr="00623C7C" w:rsidRDefault="00334373" w:rsidP="00C90671">
            <w:pPr>
              <w:jc w:val="center"/>
              <w:rPr>
                <w:b/>
                <w:bCs/>
                <w:color w:val="000000"/>
                <w:sz w:val="18"/>
                <w:szCs w:val="18"/>
                <w:lang w:eastAsia="es-ES"/>
              </w:rPr>
            </w:pPr>
            <w:r w:rsidRPr="00623C7C">
              <w:rPr>
                <w:b/>
                <w:bCs/>
                <w:color w:val="000000"/>
                <w:sz w:val="18"/>
                <w:szCs w:val="18"/>
                <w:lang w:eastAsia="es-ES"/>
              </w:rPr>
              <w:t>H</w:t>
            </w:r>
            <w:r w:rsidRPr="00623C7C">
              <w:rPr>
                <w:b/>
                <w:bCs/>
                <w:color w:val="000000"/>
                <w:sz w:val="18"/>
                <w:szCs w:val="18"/>
                <w:vertAlign w:val="subscript"/>
                <w:lang w:eastAsia="es-ES"/>
              </w:rPr>
              <w:t>2</w:t>
            </w:r>
            <w:r w:rsidRPr="00623C7C">
              <w:rPr>
                <w:b/>
                <w:bCs/>
                <w:color w:val="000000"/>
                <w:sz w:val="18"/>
                <w:szCs w:val="18"/>
                <w:lang w:eastAsia="es-ES"/>
              </w:rPr>
              <w:t xml:space="preserve"> (GWh)</w:t>
            </w:r>
          </w:p>
        </w:tc>
        <w:tc>
          <w:tcPr>
            <w:tcW w:w="1110" w:type="dxa"/>
            <w:tcBorders>
              <w:top w:val="single" w:sz="4" w:space="0" w:color="auto"/>
              <w:left w:val="nil"/>
              <w:bottom w:val="single" w:sz="4" w:space="0" w:color="auto"/>
              <w:right w:val="nil"/>
            </w:tcBorders>
            <w:vAlign w:val="center"/>
          </w:tcPr>
          <w:p w14:paraId="359A3D9A" w14:textId="77777777" w:rsidR="00334373" w:rsidRPr="009D0725" w:rsidRDefault="00334373" w:rsidP="00C90671">
            <w:pPr>
              <w:jc w:val="center"/>
              <w:rPr>
                <w:b/>
                <w:bCs/>
                <w:color w:val="000000"/>
                <w:sz w:val="18"/>
                <w:szCs w:val="18"/>
                <w:lang w:eastAsia="es-ES"/>
              </w:rPr>
            </w:pPr>
            <w:r>
              <w:rPr>
                <w:b/>
                <w:bCs/>
                <w:color w:val="000000"/>
                <w:sz w:val="18"/>
                <w:szCs w:val="18"/>
                <w:lang w:eastAsia="es-ES"/>
              </w:rPr>
              <w:t>SI (M€)</w:t>
            </w:r>
          </w:p>
        </w:tc>
        <w:tc>
          <w:tcPr>
            <w:tcW w:w="1565" w:type="dxa"/>
            <w:tcBorders>
              <w:top w:val="single" w:sz="4" w:space="0" w:color="auto"/>
              <w:left w:val="nil"/>
              <w:bottom w:val="single" w:sz="4" w:space="0" w:color="auto"/>
              <w:right w:val="nil"/>
            </w:tcBorders>
            <w:shd w:val="clear" w:color="auto" w:fill="auto"/>
            <w:noWrap/>
            <w:vAlign w:val="center"/>
            <w:hideMark/>
          </w:tcPr>
          <w:p w14:paraId="7939FBE2" w14:textId="77777777" w:rsidR="00334373" w:rsidRPr="00623C7C" w:rsidRDefault="00334373" w:rsidP="00C90671">
            <w:pPr>
              <w:jc w:val="center"/>
              <w:rPr>
                <w:b/>
                <w:bCs/>
                <w:color w:val="000000"/>
                <w:sz w:val="18"/>
                <w:szCs w:val="18"/>
                <w:lang w:eastAsia="es-ES"/>
              </w:rPr>
            </w:pPr>
            <w:r w:rsidRPr="009D0725">
              <w:rPr>
                <w:b/>
                <w:bCs/>
                <w:color w:val="000000"/>
                <w:sz w:val="18"/>
                <w:szCs w:val="18"/>
                <w:lang w:eastAsia="es-ES"/>
              </w:rPr>
              <w:t>Investment</w:t>
            </w:r>
            <w:r w:rsidRPr="00623C7C">
              <w:rPr>
                <w:b/>
                <w:bCs/>
                <w:color w:val="000000"/>
                <w:sz w:val="18"/>
                <w:szCs w:val="18"/>
                <w:lang w:eastAsia="es-ES"/>
              </w:rPr>
              <w:t xml:space="preserve"> (M€)</w:t>
            </w:r>
          </w:p>
        </w:tc>
      </w:tr>
      <w:tr w:rsidR="00334373" w:rsidRPr="009D0725" w14:paraId="29C61C9B" w14:textId="77777777" w:rsidTr="00C90671">
        <w:trPr>
          <w:trHeight w:val="288"/>
          <w:jc w:val="center"/>
        </w:trPr>
        <w:tc>
          <w:tcPr>
            <w:tcW w:w="6952" w:type="dxa"/>
            <w:gridSpan w:val="6"/>
            <w:tcBorders>
              <w:top w:val="single" w:sz="4" w:space="0" w:color="auto"/>
              <w:left w:val="nil"/>
              <w:bottom w:val="single" w:sz="4" w:space="0" w:color="auto"/>
              <w:right w:val="nil"/>
            </w:tcBorders>
            <w:vAlign w:val="center"/>
          </w:tcPr>
          <w:p w14:paraId="2F7B5705" w14:textId="77777777" w:rsidR="00334373" w:rsidRPr="00623C7C" w:rsidRDefault="00334373" w:rsidP="00C90671">
            <w:pPr>
              <w:jc w:val="center"/>
              <w:rPr>
                <w:i/>
                <w:iCs/>
                <w:color w:val="000000"/>
                <w:sz w:val="18"/>
                <w:szCs w:val="18"/>
                <w:lang w:eastAsia="es-ES"/>
              </w:rPr>
            </w:pPr>
            <w:r w:rsidRPr="00623C7C">
              <w:rPr>
                <w:i/>
                <w:iCs/>
                <w:color w:val="000000"/>
                <w:sz w:val="18"/>
                <w:szCs w:val="18"/>
                <w:lang w:eastAsia="es-ES"/>
              </w:rPr>
              <w:t>Case Study 1</w:t>
            </w:r>
          </w:p>
        </w:tc>
      </w:tr>
      <w:tr w:rsidR="00334373" w:rsidRPr="009D0725" w14:paraId="0ECA82E0" w14:textId="77777777" w:rsidTr="00C90671">
        <w:trPr>
          <w:trHeight w:val="288"/>
          <w:jc w:val="center"/>
        </w:trPr>
        <w:tc>
          <w:tcPr>
            <w:tcW w:w="770" w:type="dxa"/>
            <w:tcBorders>
              <w:top w:val="nil"/>
              <w:left w:val="nil"/>
              <w:bottom w:val="nil"/>
              <w:right w:val="nil"/>
            </w:tcBorders>
            <w:shd w:val="clear" w:color="auto" w:fill="auto"/>
            <w:noWrap/>
            <w:vAlign w:val="center"/>
            <w:hideMark/>
          </w:tcPr>
          <w:p w14:paraId="30442C38" w14:textId="77777777" w:rsidR="00334373" w:rsidRPr="00623C7C" w:rsidRDefault="00334373" w:rsidP="00C90671">
            <w:pPr>
              <w:jc w:val="center"/>
              <w:rPr>
                <w:b/>
                <w:bCs/>
                <w:color w:val="000000"/>
                <w:sz w:val="18"/>
                <w:szCs w:val="18"/>
                <w:lang w:eastAsia="es-ES"/>
              </w:rPr>
            </w:pPr>
            <w:r w:rsidRPr="00623C7C">
              <w:rPr>
                <w:b/>
                <w:bCs/>
                <w:color w:val="000000"/>
                <w:sz w:val="18"/>
                <w:szCs w:val="18"/>
                <w:lang w:eastAsia="es-ES"/>
              </w:rPr>
              <w:t>Almeria</w:t>
            </w:r>
          </w:p>
        </w:tc>
        <w:tc>
          <w:tcPr>
            <w:tcW w:w="1357" w:type="dxa"/>
            <w:tcBorders>
              <w:top w:val="nil"/>
              <w:left w:val="nil"/>
              <w:bottom w:val="nil"/>
              <w:right w:val="nil"/>
            </w:tcBorders>
            <w:shd w:val="clear" w:color="auto" w:fill="auto"/>
            <w:noWrap/>
            <w:vAlign w:val="center"/>
            <w:hideMark/>
          </w:tcPr>
          <w:p w14:paraId="426125E1" w14:textId="77777777" w:rsidR="00334373" w:rsidRPr="00623C7C" w:rsidRDefault="00334373" w:rsidP="00C90671">
            <w:pPr>
              <w:jc w:val="center"/>
              <w:rPr>
                <w:color w:val="000000"/>
                <w:sz w:val="18"/>
                <w:szCs w:val="18"/>
                <w:lang w:eastAsia="es-ES"/>
              </w:rPr>
            </w:pPr>
            <w:r w:rsidRPr="00623C7C">
              <w:rPr>
                <w:color w:val="000000"/>
                <w:sz w:val="18"/>
                <w:szCs w:val="18"/>
                <w:lang w:eastAsia="es-ES"/>
              </w:rPr>
              <w:t>2</w:t>
            </w:r>
            <w:r w:rsidRPr="009D0725">
              <w:rPr>
                <w:color w:val="000000"/>
                <w:sz w:val="18"/>
                <w:szCs w:val="18"/>
                <w:lang w:eastAsia="es-ES"/>
              </w:rPr>
              <w:t>,</w:t>
            </w:r>
            <w:r w:rsidRPr="00623C7C">
              <w:rPr>
                <w:color w:val="000000"/>
                <w:sz w:val="18"/>
                <w:szCs w:val="18"/>
                <w:lang w:eastAsia="es-ES"/>
              </w:rPr>
              <w:t>844</w:t>
            </w:r>
          </w:p>
        </w:tc>
        <w:tc>
          <w:tcPr>
            <w:tcW w:w="1206" w:type="dxa"/>
            <w:tcBorders>
              <w:top w:val="nil"/>
              <w:left w:val="nil"/>
              <w:bottom w:val="nil"/>
              <w:right w:val="nil"/>
            </w:tcBorders>
            <w:shd w:val="clear" w:color="auto" w:fill="auto"/>
            <w:noWrap/>
            <w:vAlign w:val="center"/>
            <w:hideMark/>
          </w:tcPr>
          <w:p w14:paraId="23F6F1CC" w14:textId="77777777" w:rsidR="00334373" w:rsidRPr="00623C7C" w:rsidRDefault="00334373" w:rsidP="00C90671">
            <w:pPr>
              <w:jc w:val="center"/>
              <w:rPr>
                <w:color w:val="000000"/>
                <w:sz w:val="18"/>
                <w:szCs w:val="18"/>
                <w:lang w:eastAsia="es-ES"/>
              </w:rPr>
            </w:pPr>
            <w:r w:rsidRPr="00623C7C">
              <w:rPr>
                <w:color w:val="000000"/>
                <w:sz w:val="18"/>
                <w:szCs w:val="18"/>
                <w:lang w:eastAsia="es-ES"/>
              </w:rPr>
              <w:t>0</w:t>
            </w:r>
          </w:p>
        </w:tc>
        <w:tc>
          <w:tcPr>
            <w:tcW w:w="944" w:type="dxa"/>
            <w:tcBorders>
              <w:top w:val="nil"/>
              <w:left w:val="nil"/>
              <w:bottom w:val="nil"/>
              <w:right w:val="nil"/>
            </w:tcBorders>
            <w:shd w:val="clear" w:color="auto" w:fill="auto"/>
            <w:noWrap/>
            <w:vAlign w:val="center"/>
            <w:hideMark/>
          </w:tcPr>
          <w:p w14:paraId="53A6D668" w14:textId="77777777" w:rsidR="00334373" w:rsidRPr="00623C7C" w:rsidRDefault="00334373" w:rsidP="00C90671">
            <w:pPr>
              <w:jc w:val="center"/>
              <w:rPr>
                <w:color w:val="000000"/>
                <w:sz w:val="18"/>
                <w:szCs w:val="18"/>
                <w:lang w:eastAsia="es-ES"/>
              </w:rPr>
            </w:pPr>
            <w:r w:rsidRPr="00623C7C">
              <w:rPr>
                <w:color w:val="000000"/>
                <w:sz w:val="18"/>
                <w:szCs w:val="18"/>
                <w:lang w:eastAsia="es-ES"/>
              </w:rPr>
              <w:t>0</w:t>
            </w:r>
          </w:p>
        </w:tc>
        <w:tc>
          <w:tcPr>
            <w:tcW w:w="1110" w:type="dxa"/>
            <w:tcBorders>
              <w:top w:val="nil"/>
              <w:left w:val="nil"/>
              <w:bottom w:val="nil"/>
              <w:right w:val="nil"/>
            </w:tcBorders>
            <w:vAlign w:val="center"/>
          </w:tcPr>
          <w:p w14:paraId="427C2F92" w14:textId="77777777" w:rsidR="00334373" w:rsidRPr="009D0725" w:rsidRDefault="00334373" w:rsidP="00C90671">
            <w:pPr>
              <w:jc w:val="center"/>
              <w:rPr>
                <w:color w:val="000000"/>
                <w:sz w:val="18"/>
                <w:szCs w:val="18"/>
                <w:lang w:eastAsia="es-ES"/>
              </w:rPr>
            </w:pPr>
            <w:r>
              <w:rPr>
                <w:color w:val="000000"/>
                <w:sz w:val="18"/>
                <w:szCs w:val="18"/>
                <w:lang w:eastAsia="es-ES"/>
              </w:rPr>
              <w:t>209.12</w:t>
            </w:r>
          </w:p>
        </w:tc>
        <w:tc>
          <w:tcPr>
            <w:tcW w:w="1565" w:type="dxa"/>
            <w:tcBorders>
              <w:top w:val="nil"/>
              <w:left w:val="nil"/>
              <w:bottom w:val="nil"/>
              <w:right w:val="nil"/>
            </w:tcBorders>
            <w:shd w:val="clear" w:color="auto" w:fill="auto"/>
            <w:noWrap/>
            <w:vAlign w:val="center"/>
            <w:hideMark/>
          </w:tcPr>
          <w:p w14:paraId="3139BB13" w14:textId="77777777" w:rsidR="00334373" w:rsidRPr="00623C7C" w:rsidRDefault="00334373" w:rsidP="00C90671">
            <w:pPr>
              <w:jc w:val="center"/>
              <w:rPr>
                <w:color w:val="000000"/>
                <w:sz w:val="18"/>
                <w:szCs w:val="18"/>
                <w:lang w:eastAsia="es-ES"/>
              </w:rPr>
            </w:pPr>
            <w:r w:rsidRPr="00623C7C">
              <w:rPr>
                <w:color w:val="000000"/>
                <w:sz w:val="18"/>
                <w:szCs w:val="18"/>
                <w:lang w:eastAsia="es-ES"/>
              </w:rPr>
              <w:t>6</w:t>
            </w:r>
            <w:r w:rsidRPr="009D0725">
              <w:rPr>
                <w:color w:val="000000"/>
                <w:sz w:val="18"/>
                <w:szCs w:val="18"/>
                <w:lang w:eastAsia="es-ES"/>
              </w:rPr>
              <w:t>,</w:t>
            </w:r>
            <w:r w:rsidRPr="00623C7C">
              <w:rPr>
                <w:color w:val="000000"/>
                <w:sz w:val="18"/>
                <w:szCs w:val="18"/>
                <w:lang w:eastAsia="es-ES"/>
              </w:rPr>
              <w:t>537</w:t>
            </w:r>
            <w:r w:rsidRPr="009D0725">
              <w:rPr>
                <w:color w:val="000000"/>
                <w:sz w:val="18"/>
                <w:szCs w:val="18"/>
                <w:lang w:eastAsia="es-ES"/>
              </w:rPr>
              <w:t>.</w:t>
            </w:r>
            <w:r w:rsidRPr="00623C7C">
              <w:rPr>
                <w:color w:val="000000"/>
                <w:sz w:val="18"/>
                <w:szCs w:val="18"/>
                <w:lang w:eastAsia="es-ES"/>
              </w:rPr>
              <w:t>41</w:t>
            </w:r>
          </w:p>
        </w:tc>
      </w:tr>
      <w:tr w:rsidR="00334373" w:rsidRPr="009D0725" w14:paraId="1844876B" w14:textId="77777777" w:rsidTr="00C90671">
        <w:trPr>
          <w:trHeight w:val="288"/>
          <w:jc w:val="center"/>
        </w:trPr>
        <w:tc>
          <w:tcPr>
            <w:tcW w:w="770" w:type="dxa"/>
            <w:tcBorders>
              <w:top w:val="nil"/>
              <w:left w:val="nil"/>
              <w:bottom w:val="nil"/>
              <w:right w:val="nil"/>
            </w:tcBorders>
            <w:shd w:val="clear" w:color="auto" w:fill="auto"/>
            <w:noWrap/>
            <w:vAlign w:val="center"/>
            <w:hideMark/>
          </w:tcPr>
          <w:p w14:paraId="0A0B7CFB" w14:textId="77777777" w:rsidR="00334373" w:rsidRPr="00623C7C" w:rsidRDefault="00334373" w:rsidP="00C90671">
            <w:pPr>
              <w:jc w:val="center"/>
              <w:rPr>
                <w:b/>
                <w:bCs/>
                <w:color w:val="000000"/>
                <w:sz w:val="18"/>
                <w:szCs w:val="18"/>
                <w:lang w:eastAsia="es-ES"/>
              </w:rPr>
            </w:pPr>
            <w:r w:rsidRPr="00623C7C">
              <w:rPr>
                <w:b/>
                <w:bCs/>
                <w:color w:val="000000"/>
                <w:sz w:val="18"/>
                <w:szCs w:val="18"/>
                <w:lang w:eastAsia="es-ES"/>
              </w:rPr>
              <w:t>Badajoz</w:t>
            </w:r>
          </w:p>
        </w:tc>
        <w:tc>
          <w:tcPr>
            <w:tcW w:w="1357" w:type="dxa"/>
            <w:tcBorders>
              <w:top w:val="nil"/>
              <w:left w:val="nil"/>
              <w:bottom w:val="nil"/>
              <w:right w:val="nil"/>
            </w:tcBorders>
            <w:shd w:val="clear" w:color="auto" w:fill="auto"/>
            <w:noWrap/>
            <w:vAlign w:val="center"/>
            <w:hideMark/>
          </w:tcPr>
          <w:p w14:paraId="75C66619" w14:textId="77777777" w:rsidR="00334373" w:rsidRPr="00623C7C" w:rsidRDefault="00334373" w:rsidP="00C90671">
            <w:pPr>
              <w:jc w:val="center"/>
              <w:rPr>
                <w:color w:val="000000"/>
                <w:sz w:val="18"/>
                <w:szCs w:val="18"/>
                <w:lang w:eastAsia="es-ES"/>
              </w:rPr>
            </w:pPr>
            <w:r w:rsidRPr="00623C7C">
              <w:rPr>
                <w:color w:val="000000"/>
                <w:sz w:val="18"/>
                <w:szCs w:val="18"/>
                <w:lang w:eastAsia="es-ES"/>
              </w:rPr>
              <w:t>7</w:t>
            </w:r>
            <w:r w:rsidRPr="009D0725">
              <w:rPr>
                <w:color w:val="000000"/>
                <w:sz w:val="18"/>
                <w:szCs w:val="18"/>
                <w:lang w:eastAsia="es-ES"/>
              </w:rPr>
              <w:t>,</w:t>
            </w:r>
            <w:r w:rsidRPr="00623C7C">
              <w:rPr>
                <w:color w:val="000000"/>
                <w:sz w:val="18"/>
                <w:szCs w:val="18"/>
                <w:lang w:eastAsia="es-ES"/>
              </w:rPr>
              <w:t>454</w:t>
            </w:r>
          </w:p>
        </w:tc>
        <w:tc>
          <w:tcPr>
            <w:tcW w:w="1206" w:type="dxa"/>
            <w:tcBorders>
              <w:top w:val="nil"/>
              <w:left w:val="nil"/>
              <w:bottom w:val="nil"/>
              <w:right w:val="nil"/>
            </w:tcBorders>
            <w:shd w:val="clear" w:color="auto" w:fill="auto"/>
            <w:noWrap/>
            <w:vAlign w:val="center"/>
            <w:hideMark/>
          </w:tcPr>
          <w:p w14:paraId="5747C0C5" w14:textId="77777777" w:rsidR="00334373" w:rsidRPr="00623C7C" w:rsidRDefault="00334373" w:rsidP="00C90671">
            <w:pPr>
              <w:jc w:val="center"/>
              <w:rPr>
                <w:color w:val="000000"/>
                <w:sz w:val="18"/>
                <w:szCs w:val="18"/>
                <w:lang w:eastAsia="es-ES"/>
              </w:rPr>
            </w:pPr>
            <w:r w:rsidRPr="00623C7C">
              <w:rPr>
                <w:color w:val="000000"/>
                <w:sz w:val="18"/>
                <w:szCs w:val="18"/>
                <w:lang w:eastAsia="es-ES"/>
              </w:rPr>
              <w:t>0</w:t>
            </w:r>
          </w:p>
        </w:tc>
        <w:tc>
          <w:tcPr>
            <w:tcW w:w="944" w:type="dxa"/>
            <w:tcBorders>
              <w:top w:val="nil"/>
              <w:left w:val="nil"/>
              <w:bottom w:val="nil"/>
              <w:right w:val="nil"/>
            </w:tcBorders>
            <w:shd w:val="clear" w:color="auto" w:fill="auto"/>
            <w:noWrap/>
            <w:vAlign w:val="center"/>
            <w:hideMark/>
          </w:tcPr>
          <w:p w14:paraId="76BB30C9" w14:textId="77777777" w:rsidR="00334373" w:rsidRPr="00623C7C" w:rsidRDefault="00334373" w:rsidP="00C90671">
            <w:pPr>
              <w:jc w:val="center"/>
              <w:rPr>
                <w:color w:val="000000"/>
                <w:sz w:val="18"/>
                <w:szCs w:val="18"/>
                <w:lang w:eastAsia="es-ES"/>
              </w:rPr>
            </w:pPr>
            <w:r w:rsidRPr="00623C7C">
              <w:rPr>
                <w:color w:val="000000"/>
                <w:sz w:val="18"/>
                <w:szCs w:val="18"/>
                <w:lang w:eastAsia="es-ES"/>
              </w:rPr>
              <w:t>0</w:t>
            </w:r>
          </w:p>
        </w:tc>
        <w:tc>
          <w:tcPr>
            <w:tcW w:w="1110" w:type="dxa"/>
            <w:tcBorders>
              <w:top w:val="nil"/>
              <w:left w:val="nil"/>
              <w:bottom w:val="nil"/>
              <w:right w:val="nil"/>
            </w:tcBorders>
            <w:vAlign w:val="center"/>
          </w:tcPr>
          <w:p w14:paraId="064B8C74" w14:textId="77777777" w:rsidR="00334373" w:rsidRPr="009D0725" w:rsidRDefault="00334373" w:rsidP="00C90671">
            <w:pPr>
              <w:jc w:val="center"/>
              <w:rPr>
                <w:color w:val="000000"/>
                <w:sz w:val="18"/>
                <w:szCs w:val="18"/>
                <w:lang w:eastAsia="es-ES"/>
              </w:rPr>
            </w:pPr>
            <w:r>
              <w:rPr>
                <w:color w:val="000000"/>
                <w:sz w:val="18"/>
                <w:szCs w:val="18"/>
                <w:lang w:eastAsia="es-ES"/>
              </w:rPr>
              <w:t>523.06</w:t>
            </w:r>
          </w:p>
        </w:tc>
        <w:tc>
          <w:tcPr>
            <w:tcW w:w="1565" w:type="dxa"/>
            <w:tcBorders>
              <w:top w:val="nil"/>
              <w:left w:val="nil"/>
              <w:bottom w:val="nil"/>
              <w:right w:val="nil"/>
            </w:tcBorders>
            <w:shd w:val="clear" w:color="auto" w:fill="auto"/>
            <w:noWrap/>
            <w:vAlign w:val="center"/>
            <w:hideMark/>
          </w:tcPr>
          <w:p w14:paraId="1B57F451" w14:textId="77777777" w:rsidR="00334373" w:rsidRPr="00623C7C" w:rsidRDefault="00334373" w:rsidP="00C90671">
            <w:pPr>
              <w:jc w:val="center"/>
              <w:rPr>
                <w:color w:val="000000"/>
                <w:sz w:val="18"/>
                <w:szCs w:val="18"/>
                <w:lang w:eastAsia="es-ES"/>
              </w:rPr>
            </w:pPr>
            <w:r w:rsidRPr="00623C7C">
              <w:rPr>
                <w:color w:val="000000"/>
                <w:sz w:val="18"/>
                <w:szCs w:val="18"/>
                <w:lang w:eastAsia="es-ES"/>
              </w:rPr>
              <w:t>13</w:t>
            </w:r>
            <w:r w:rsidRPr="009D0725">
              <w:rPr>
                <w:color w:val="000000"/>
                <w:sz w:val="18"/>
                <w:szCs w:val="18"/>
                <w:lang w:eastAsia="es-ES"/>
              </w:rPr>
              <w:t>,</w:t>
            </w:r>
            <w:r w:rsidRPr="00623C7C">
              <w:rPr>
                <w:color w:val="000000"/>
                <w:sz w:val="18"/>
                <w:szCs w:val="18"/>
                <w:lang w:eastAsia="es-ES"/>
              </w:rPr>
              <w:t>636</w:t>
            </w:r>
            <w:r w:rsidRPr="009D0725">
              <w:rPr>
                <w:color w:val="000000"/>
                <w:sz w:val="18"/>
                <w:szCs w:val="18"/>
                <w:lang w:eastAsia="es-ES"/>
              </w:rPr>
              <w:t>.</w:t>
            </w:r>
            <w:r w:rsidRPr="00623C7C">
              <w:rPr>
                <w:color w:val="000000"/>
                <w:sz w:val="18"/>
                <w:szCs w:val="18"/>
                <w:lang w:eastAsia="es-ES"/>
              </w:rPr>
              <w:t>42</w:t>
            </w:r>
          </w:p>
        </w:tc>
      </w:tr>
      <w:tr w:rsidR="00334373" w:rsidRPr="009D0725" w14:paraId="63355983" w14:textId="77777777" w:rsidTr="00C90671">
        <w:trPr>
          <w:trHeight w:val="288"/>
          <w:jc w:val="center"/>
        </w:trPr>
        <w:tc>
          <w:tcPr>
            <w:tcW w:w="770" w:type="dxa"/>
            <w:tcBorders>
              <w:top w:val="nil"/>
              <w:left w:val="nil"/>
              <w:bottom w:val="nil"/>
              <w:right w:val="nil"/>
            </w:tcBorders>
            <w:shd w:val="clear" w:color="auto" w:fill="auto"/>
            <w:noWrap/>
            <w:vAlign w:val="center"/>
            <w:hideMark/>
          </w:tcPr>
          <w:p w14:paraId="180BCBFF" w14:textId="77777777" w:rsidR="00334373" w:rsidRPr="00623C7C" w:rsidRDefault="00334373" w:rsidP="00C90671">
            <w:pPr>
              <w:jc w:val="center"/>
              <w:rPr>
                <w:b/>
                <w:bCs/>
                <w:color w:val="000000"/>
                <w:sz w:val="18"/>
                <w:szCs w:val="18"/>
                <w:lang w:eastAsia="es-ES"/>
              </w:rPr>
            </w:pPr>
            <w:r w:rsidRPr="00623C7C">
              <w:rPr>
                <w:b/>
                <w:bCs/>
                <w:color w:val="000000"/>
                <w:sz w:val="18"/>
                <w:szCs w:val="18"/>
                <w:lang w:eastAsia="es-ES"/>
              </w:rPr>
              <w:t>Madrid</w:t>
            </w:r>
          </w:p>
        </w:tc>
        <w:tc>
          <w:tcPr>
            <w:tcW w:w="1357" w:type="dxa"/>
            <w:tcBorders>
              <w:top w:val="nil"/>
              <w:left w:val="nil"/>
              <w:bottom w:val="nil"/>
              <w:right w:val="nil"/>
            </w:tcBorders>
            <w:shd w:val="clear" w:color="auto" w:fill="auto"/>
            <w:noWrap/>
            <w:vAlign w:val="center"/>
            <w:hideMark/>
          </w:tcPr>
          <w:p w14:paraId="179DAAFD" w14:textId="77777777" w:rsidR="00334373" w:rsidRPr="00623C7C" w:rsidRDefault="00334373" w:rsidP="00C90671">
            <w:pPr>
              <w:jc w:val="center"/>
              <w:rPr>
                <w:color w:val="000000"/>
                <w:sz w:val="18"/>
                <w:szCs w:val="18"/>
                <w:lang w:eastAsia="es-ES"/>
              </w:rPr>
            </w:pPr>
            <w:r w:rsidRPr="00623C7C">
              <w:rPr>
                <w:color w:val="000000"/>
                <w:sz w:val="18"/>
                <w:szCs w:val="18"/>
                <w:lang w:eastAsia="es-ES"/>
              </w:rPr>
              <w:t>0</w:t>
            </w:r>
          </w:p>
        </w:tc>
        <w:tc>
          <w:tcPr>
            <w:tcW w:w="1206" w:type="dxa"/>
            <w:tcBorders>
              <w:top w:val="nil"/>
              <w:left w:val="nil"/>
              <w:bottom w:val="nil"/>
              <w:right w:val="nil"/>
            </w:tcBorders>
            <w:shd w:val="clear" w:color="auto" w:fill="auto"/>
            <w:noWrap/>
            <w:vAlign w:val="center"/>
            <w:hideMark/>
          </w:tcPr>
          <w:p w14:paraId="16B56BFA" w14:textId="77777777" w:rsidR="00334373" w:rsidRPr="00623C7C" w:rsidRDefault="00334373" w:rsidP="00C90671">
            <w:pPr>
              <w:jc w:val="center"/>
              <w:rPr>
                <w:color w:val="000000"/>
                <w:sz w:val="18"/>
                <w:szCs w:val="18"/>
                <w:lang w:eastAsia="es-ES"/>
              </w:rPr>
            </w:pPr>
            <w:r w:rsidRPr="00623C7C">
              <w:rPr>
                <w:color w:val="000000"/>
                <w:sz w:val="18"/>
                <w:szCs w:val="18"/>
                <w:lang w:eastAsia="es-ES"/>
              </w:rPr>
              <w:t>0</w:t>
            </w:r>
          </w:p>
        </w:tc>
        <w:tc>
          <w:tcPr>
            <w:tcW w:w="944" w:type="dxa"/>
            <w:tcBorders>
              <w:top w:val="nil"/>
              <w:left w:val="nil"/>
              <w:bottom w:val="nil"/>
              <w:right w:val="nil"/>
            </w:tcBorders>
            <w:shd w:val="clear" w:color="auto" w:fill="auto"/>
            <w:noWrap/>
            <w:vAlign w:val="center"/>
            <w:hideMark/>
          </w:tcPr>
          <w:p w14:paraId="48FC14E9" w14:textId="77777777" w:rsidR="00334373" w:rsidRPr="00623C7C" w:rsidRDefault="00334373" w:rsidP="00C90671">
            <w:pPr>
              <w:jc w:val="center"/>
              <w:rPr>
                <w:color w:val="000000"/>
                <w:sz w:val="18"/>
                <w:szCs w:val="18"/>
                <w:lang w:eastAsia="es-ES"/>
              </w:rPr>
            </w:pPr>
            <w:r w:rsidRPr="00623C7C">
              <w:rPr>
                <w:color w:val="000000"/>
                <w:sz w:val="18"/>
                <w:szCs w:val="18"/>
                <w:lang w:eastAsia="es-ES"/>
              </w:rPr>
              <w:t>0</w:t>
            </w:r>
          </w:p>
        </w:tc>
        <w:tc>
          <w:tcPr>
            <w:tcW w:w="1110" w:type="dxa"/>
            <w:tcBorders>
              <w:top w:val="nil"/>
              <w:left w:val="nil"/>
              <w:bottom w:val="nil"/>
              <w:right w:val="nil"/>
            </w:tcBorders>
            <w:vAlign w:val="center"/>
          </w:tcPr>
          <w:p w14:paraId="09BB063D" w14:textId="77777777" w:rsidR="00334373" w:rsidRPr="009D0725" w:rsidRDefault="00334373" w:rsidP="00C90671">
            <w:pPr>
              <w:jc w:val="center"/>
              <w:rPr>
                <w:color w:val="000000"/>
                <w:sz w:val="18"/>
                <w:szCs w:val="18"/>
                <w:lang w:eastAsia="es-ES"/>
              </w:rPr>
            </w:pPr>
            <w:r>
              <w:rPr>
                <w:color w:val="000000"/>
                <w:sz w:val="18"/>
                <w:szCs w:val="18"/>
                <w:lang w:eastAsia="es-ES"/>
              </w:rPr>
              <w:t>0</w:t>
            </w:r>
          </w:p>
        </w:tc>
        <w:tc>
          <w:tcPr>
            <w:tcW w:w="1565" w:type="dxa"/>
            <w:tcBorders>
              <w:top w:val="nil"/>
              <w:left w:val="nil"/>
              <w:bottom w:val="nil"/>
              <w:right w:val="nil"/>
            </w:tcBorders>
            <w:shd w:val="clear" w:color="auto" w:fill="auto"/>
            <w:noWrap/>
            <w:vAlign w:val="center"/>
            <w:hideMark/>
          </w:tcPr>
          <w:p w14:paraId="66EB1299" w14:textId="77777777" w:rsidR="00334373" w:rsidRPr="00623C7C" w:rsidRDefault="00334373" w:rsidP="00C90671">
            <w:pPr>
              <w:jc w:val="center"/>
              <w:rPr>
                <w:color w:val="000000"/>
                <w:sz w:val="18"/>
                <w:szCs w:val="18"/>
                <w:lang w:eastAsia="es-ES"/>
              </w:rPr>
            </w:pPr>
            <w:r w:rsidRPr="00623C7C">
              <w:rPr>
                <w:color w:val="000000"/>
                <w:sz w:val="18"/>
                <w:szCs w:val="18"/>
                <w:lang w:eastAsia="es-ES"/>
              </w:rPr>
              <w:t>0</w:t>
            </w:r>
          </w:p>
        </w:tc>
      </w:tr>
      <w:tr w:rsidR="00334373" w:rsidRPr="009D0725" w14:paraId="0C538CDB" w14:textId="77777777" w:rsidTr="00C90671">
        <w:trPr>
          <w:trHeight w:val="288"/>
          <w:jc w:val="center"/>
        </w:trPr>
        <w:tc>
          <w:tcPr>
            <w:tcW w:w="770" w:type="dxa"/>
            <w:tcBorders>
              <w:top w:val="nil"/>
              <w:left w:val="nil"/>
              <w:bottom w:val="nil"/>
              <w:right w:val="nil"/>
            </w:tcBorders>
            <w:shd w:val="clear" w:color="auto" w:fill="auto"/>
            <w:noWrap/>
            <w:vAlign w:val="center"/>
            <w:hideMark/>
          </w:tcPr>
          <w:p w14:paraId="10B7DFF1" w14:textId="77777777" w:rsidR="00334373" w:rsidRPr="00623C7C" w:rsidRDefault="00334373" w:rsidP="00C90671">
            <w:pPr>
              <w:jc w:val="center"/>
              <w:rPr>
                <w:b/>
                <w:bCs/>
                <w:color w:val="000000"/>
                <w:sz w:val="18"/>
                <w:szCs w:val="18"/>
                <w:lang w:eastAsia="es-ES"/>
              </w:rPr>
            </w:pPr>
            <w:r w:rsidRPr="00623C7C">
              <w:rPr>
                <w:b/>
                <w:bCs/>
                <w:color w:val="000000"/>
                <w:sz w:val="18"/>
                <w:szCs w:val="18"/>
                <w:lang w:eastAsia="es-ES"/>
              </w:rPr>
              <w:t>Huesca</w:t>
            </w:r>
          </w:p>
        </w:tc>
        <w:tc>
          <w:tcPr>
            <w:tcW w:w="1357" w:type="dxa"/>
            <w:tcBorders>
              <w:top w:val="nil"/>
              <w:left w:val="nil"/>
              <w:bottom w:val="nil"/>
              <w:right w:val="nil"/>
            </w:tcBorders>
            <w:shd w:val="clear" w:color="auto" w:fill="auto"/>
            <w:noWrap/>
            <w:vAlign w:val="center"/>
            <w:hideMark/>
          </w:tcPr>
          <w:p w14:paraId="7916E2DC" w14:textId="77777777" w:rsidR="00334373" w:rsidRPr="00623C7C" w:rsidRDefault="00334373" w:rsidP="00C90671">
            <w:pPr>
              <w:jc w:val="center"/>
              <w:rPr>
                <w:color w:val="000000"/>
                <w:sz w:val="18"/>
                <w:szCs w:val="18"/>
                <w:lang w:eastAsia="es-ES"/>
              </w:rPr>
            </w:pPr>
            <w:r w:rsidRPr="00623C7C">
              <w:rPr>
                <w:color w:val="000000"/>
                <w:sz w:val="18"/>
                <w:szCs w:val="18"/>
                <w:lang w:eastAsia="es-ES"/>
              </w:rPr>
              <w:t>2</w:t>
            </w:r>
            <w:r w:rsidRPr="009D0725">
              <w:rPr>
                <w:color w:val="000000"/>
                <w:sz w:val="18"/>
                <w:szCs w:val="18"/>
                <w:lang w:eastAsia="es-ES"/>
              </w:rPr>
              <w:t>,</w:t>
            </w:r>
            <w:r w:rsidRPr="00623C7C">
              <w:rPr>
                <w:color w:val="000000"/>
                <w:sz w:val="18"/>
                <w:szCs w:val="18"/>
                <w:lang w:eastAsia="es-ES"/>
              </w:rPr>
              <w:t>261</w:t>
            </w:r>
          </w:p>
        </w:tc>
        <w:tc>
          <w:tcPr>
            <w:tcW w:w="1206" w:type="dxa"/>
            <w:tcBorders>
              <w:top w:val="nil"/>
              <w:left w:val="nil"/>
              <w:bottom w:val="nil"/>
              <w:right w:val="nil"/>
            </w:tcBorders>
            <w:shd w:val="clear" w:color="auto" w:fill="auto"/>
            <w:noWrap/>
            <w:vAlign w:val="center"/>
            <w:hideMark/>
          </w:tcPr>
          <w:p w14:paraId="7E0A089B" w14:textId="77777777" w:rsidR="00334373" w:rsidRPr="00623C7C" w:rsidRDefault="00334373" w:rsidP="00C90671">
            <w:pPr>
              <w:jc w:val="center"/>
              <w:rPr>
                <w:color w:val="000000"/>
                <w:sz w:val="18"/>
                <w:szCs w:val="18"/>
                <w:lang w:eastAsia="es-ES"/>
              </w:rPr>
            </w:pPr>
            <w:r w:rsidRPr="00623C7C">
              <w:rPr>
                <w:color w:val="000000"/>
                <w:sz w:val="18"/>
                <w:szCs w:val="18"/>
                <w:lang w:eastAsia="es-ES"/>
              </w:rPr>
              <w:t>0</w:t>
            </w:r>
          </w:p>
        </w:tc>
        <w:tc>
          <w:tcPr>
            <w:tcW w:w="944" w:type="dxa"/>
            <w:tcBorders>
              <w:top w:val="nil"/>
              <w:left w:val="nil"/>
              <w:bottom w:val="nil"/>
              <w:right w:val="nil"/>
            </w:tcBorders>
            <w:shd w:val="clear" w:color="auto" w:fill="auto"/>
            <w:noWrap/>
            <w:vAlign w:val="center"/>
            <w:hideMark/>
          </w:tcPr>
          <w:p w14:paraId="61F917B8" w14:textId="77777777" w:rsidR="00334373" w:rsidRPr="00623C7C" w:rsidRDefault="00334373" w:rsidP="00C90671">
            <w:pPr>
              <w:jc w:val="center"/>
              <w:rPr>
                <w:color w:val="000000"/>
                <w:sz w:val="18"/>
                <w:szCs w:val="18"/>
                <w:lang w:eastAsia="es-ES"/>
              </w:rPr>
            </w:pPr>
            <w:r w:rsidRPr="00623C7C">
              <w:rPr>
                <w:color w:val="000000"/>
                <w:sz w:val="18"/>
                <w:szCs w:val="18"/>
                <w:lang w:eastAsia="es-ES"/>
              </w:rPr>
              <w:t>0</w:t>
            </w:r>
          </w:p>
        </w:tc>
        <w:tc>
          <w:tcPr>
            <w:tcW w:w="1110" w:type="dxa"/>
            <w:tcBorders>
              <w:top w:val="nil"/>
              <w:left w:val="nil"/>
              <w:bottom w:val="nil"/>
              <w:right w:val="nil"/>
            </w:tcBorders>
            <w:vAlign w:val="center"/>
          </w:tcPr>
          <w:p w14:paraId="2C0FDFF6" w14:textId="77777777" w:rsidR="00334373" w:rsidRPr="009D0725" w:rsidRDefault="00334373" w:rsidP="00C90671">
            <w:pPr>
              <w:jc w:val="center"/>
              <w:rPr>
                <w:color w:val="000000"/>
                <w:sz w:val="18"/>
                <w:szCs w:val="18"/>
                <w:lang w:eastAsia="es-ES"/>
              </w:rPr>
            </w:pPr>
            <w:r>
              <w:rPr>
                <w:color w:val="000000"/>
                <w:sz w:val="18"/>
                <w:szCs w:val="18"/>
                <w:lang w:eastAsia="es-ES"/>
              </w:rPr>
              <w:t>95.10</w:t>
            </w:r>
          </w:p>
        </w:tc>
        <w:tc>
          <w:tcPr>
            <w:tcW w:w="1565" w:type="dxa"/>
            <w:tcBorders>
              <w:top w:val="nil"/>
              <w:left w:val="nil"/>
              <w:bottom w:val="nil"/>
              <w:right w:val="nil"/>
            </w:tcBorders>
            <w:shd w:val="clear" w:color="auto" w:fill="auto"/>
            <w:noWrap/>
            <w:vAlign w:val="center"/>
            <w:hideMark/>
          </w:tcPr>
          <w:p w14:paraId="780FAC57" w14:textId="77777777" w:rsidR="00334373" w:rsidRPr="00623C7C" w:rsidRDefault="00334373" w:rsidP="00C90671">
            <w:pPr>
              <w:jc w:val="center"/>
              <w:rPr>
                <w:color w:val="000000"/>
                <w:sz w:val="18"/>
                <w:szCs w:val="18"/>
                <w:lang w:eastAsia="es-ES"/>
              </w:rPr>
            </w:pPr>
            <w:r w:rsidRPr="00623C7C">
              <w:rPr>
                <w:color w:val="000000"/>
                <w:sz w:val="18"/>
                <w:szCs w:val="18"/>
                <w:lang w:eastAsia="es-ES"/>
              </w:rPr>
              <w:t>5</w:t>
            </w:r>
            <w:r w:rsidRPr="009D0725">
              <w:rPr>
                <w:color w:val="000000"/>
                <w:sz w:val="18"/>
                <w:szCs w:val="18"/>
                <w:lang w:eastAsia="es-ES"/>
              </w:rPr>
              <w:t>,</w:t>
            </w:r>
            <w:r w:rsidRPr="00623C7C">
              <w:rPr>
                <w:color w:val="000000"/>
                <w:sz w:val="18"/>
                <w:szCs w:val="18"/>
                <w:lang w:eastAsia="es-ES"/>
              </w:rPr>
              <w:t>639</w:t>
            </w:r>
            <w:r w:rsidRPr="009D0725">
              <w:rPr>
                <w:color w:val="000000"/>
                <w:sz w:val="18"/>
                <w:szCs w:val="18"/>
                <w:lang w:eastAsia="es-ES"/>
              </w:rPr>
              <w:t>.</w:t>
            </w:r>
            <w:r w:rsidRPr="00623C7C">
              <w:rPr>
                <w:color w:val="000000"/>
                <w:sz w:val="18"/>
                <w:szCs w:val="18"/>
                <w:lang w:eastAsia="es-ES"/>
              </w:rPr>
              <w:t>38</w:t>
            </w:r>
          </w:p>
        </w:tc>
      </w:tr>
      <w:tr w:rsidR="00334373" w:rsidRPr="009D0725" w14:paraId="18F81B19" w14:textId="77777777" w:rsidTr="00C90671">
        <w:trPr>
          <w:trHeight w:val="288"/>
          <w:jc w:val="center"/>
        </w:trPr>
        <w:tc>
          <w:tcPr>
            <w:tcW w:w="770" w:type="dxa"/>
            <w:tcBorders>
              <w:top w:val="nil"/>
              <w:left w:val="nil"/>
              <w:bottom w:val="single" w:sz="4" w:space="0" w:color="auto"/>
              <w:right w:val="nil"/>
            </w:tcBorders>
            <w:shd w:val="clear" w:color="auto" w:fill="auto"/>
            <w:noWrap/>
            <w:vAlign w:val="center"/>
            <w:hideMark/>
          </w:tcPr>
          <w:p w14:paraId="7C4F5BC9" w14:textId="77777777" w:rsidR="00334373" w:rsidRPr="00623C7C" w:rsidRDefault="00334373" w:rsidP="00C90671">
            <w:pPr>
              <w:jc w:val="center"/>
              <w:rPr>
                <w:b/>
                <w:bCs/>
                <w:color w:val="000000"/>
                <w:sz w:val="18"/>
                <w:szCs w:val="18"/>
                <w:lang w:eastAsia="es-ES"/>
              </w:rPr>
            </w:pPr>
            <w:r w:rsidRPr="00623C7C">
              <w:rPr>
                <w:b/>
                <w:bCs/>
                <w:color w:val="000000"/>
                <w:sz w:val="18"/>
                <w:szCs w:val="18"/>
                <w:lang w:eastAsia="es-ES"/>
              </w:rPr>
              <w:t>Lugo</w:t>
            </w:r>
          </w:p>
        </w:tc>
        <w:tc>
          <w:tcPr>
            <w:tcW w:w="1357" w:type="dxa"/>
            <w:tcBorders>
              <w:top w:val="nil"/>
              <w:left w:val="nil"/>
              <w:bottom w:val="single" w:sz="4" w:space="0" w:color="auto"/>
              <w:right w:val="nil"/>
            </w:tcBorders>
            <w:shd w:val="clear" w:color="auto" w:fill="auto"/>
            <w:noWrap/>
            <w:vAlign w:val="center"/>
            <w:hideMark/>
          </w:tcPr>
          <w:p w14:paraId="0B8130FF" w14:textId="77777777" w:rsidR="00334373" w:rsidRPr="00623C7C" w:rsidRDefault="00334373" w:rsidP="00C90671">
            <w:pPr>
              <w:jc w:val="center"/>
              <w:rPr>
                <w:color w:val="000000"/>
                <w:sz w:val="18"/>
                <w:szCs w:val="18"/>
                <w:lang w:eastAsia="es-ES"/>
              </w:rPr>
            </w:pPr>
            <w:r w:rsidRPr="00623C7C">
              <w:rPr>
                <w:color w:val="000000"/>
                <w:sz w:val="18"/>
                <w:szCs w:val="18"/>
                <w:lang w:eastAsia="es-ES"/>
              </w:rPr>
              <w:t>0</w:t>
            </w:r>
          </w:p>
        </w:tc>
        <w:tc>
          <w:tcPr>
            <w:tcW w:w="1206" w:type="dxa"/>
            <w:tcBorders>
              <w:top w:val="nil"/>
              <w:left w:val="nil"/>
              <w:bottom w:val="single" w:sz="4" w:space="0" w:color="auto"/>
              <w:right w:val="nil"/>
            </w:tcBorders>
            <w:shd w:val="clear" w:color="auto" w:fill="auto"/>
            <w:noWrap/>
            <w:vAlign w:val="center"/>
            <w:hideMark/>
          </w:tcPr>
          <w:p w14:paraId="76416D97" w14:textId="77777777" w:rsidR="00334373" w:rsidRPr="00623C7C" w:rsidRDefault="00334373" w:rsidP="00C90671">
            <w:pPr>
              <w:jc w:val="center"/>
              <w:rPr>
                <w:color w:val="000000"/>
                <w:sz w:val="18"/>
                <w:szCs w:val="18"/>
                <w:lang w:eastAsia="es-ES"/>
              </w:rPr>
            </w:pPr>
            <w:r w:rsidRPr="00623C7C">
              <w:rPr>
                <w:color w:val="000000"/>
                <w:sz w:val="18"/>
                <w:szCs w:val="18"/>
                <w:lang w:eastAsia="es-ES"/>
              </w:rPr>
              <w:t>0</w:t>
            </w:r>
          </w:p>
        </w:tc>
        <w:tc>
          <w:tcPr>
            <w:tcW w:w="944" w:type="dxa"/>
            <w:tcBorders>
              <w:top w:val="nil"/>
              <w:left w:val="nil"/>
              <w:bottom w:val="single" w:sz="4" w:space="0" w:color="auto"/>
              <w:right w:val="nil"/>
            </w:tcBorders>
            <w:shd w:val="clear" w:color="auto" w:fill="auto"/>
            <w:noWrap/>
            <w:vAlign w:val="center"/>
            <w:hideMark/>
          </w:tcPr>
          <w:p w14:paraId="47163A95" w14:textId="77777777" w:rsidR="00334373" w:rsidRPr="00623C7C" w:rsidRDefault="00334373" w:rsidP="00C90671">
            <w:pPr>
              <w:jc w:val="center"/>
              <w:rPr>
                <w:color w:val="000000"/>
                <w:sz w:val="18"/>
                <w:szCs w:val="18"/>
                <w:lang w:eastAsia="es-ES"/>
              </w:rPr>
            </w:pPr>
            <w:r w:rsidRPr="00623C7C">
              <w:rPr>
                <w:color w:val="000000"/>
                <w:sz w:val="18"/>
                <w:szCs w:val="18"/>
                <w:lang w:eastAsia="es-ES"/>
              </w:rPr>
              <w:t>0</w:t>
            </w:r>
          </w:p>
        </w:tc>
        <w:tc>
          <w:tcPr>
            <w:tcW w:w="1110" w:type="dxa"/>
            <w:tcBorders>
              <w:top w:val="nil"/>
              <w:left w:val="nil"/>
              <w:bottom w:val="single" w:sz="4" w:space="0" w:color="auto"/>
              <w:right w:val="nil"/>
            </w:tcBorders>
            <w:vAlign w:val="center"/>
          </w:tcPr>
          <w:p w14:paraId="3AD2425E" w14:textId="77777777" w:rsidR="00334373" w:rsidRPr="009D0725" w:rsidRDefault="00334373" w:rsidP="00C90671">
            <w:pPr>
              <w:jc w:val="center"/>
              <w:rPr>
                <w:color w:val="000000"/>
                <w:sz w:val="18"/>
                <w:szCs w:val="18"/>
                <w:lang w:eastAsia="es-ES"/>
              </w:rPr>
            </w:pPr>
            <w:r>
              <w:rPr>
                <w:color w:val="000000"/>
                <w:sz w:val="18"/>
                <w:szCs w:val="18"/>
                <w:lang w:eastAsia="es-ES"/>
              </w:rPr>
              <w:t>0</w:t>
            </w:r>
          </w:p>
        </w:tc>
        <w:tc>
          <w:tcPr>
            <w:tcW w:w="1565" w:type="dxa"/>
            <w:tcBorders>
              <w:top w:val="nil"/>
              <w:left w:val="nil"/>
              <w:bottom w:val="single" w:sz="4" w:space="0" w:color="auto"/>
              <w:right w:val="nil"/>
            </w:tcBorders>
            <w:shd w:val="clear" w:color="auto" w:fill="auto"/>
            <w:noWrap/>
            <w:vAlign w:val="center"/>
            <w:hideMark/>
          </w:tcPr>
          <w:p w14:paraId="2F48DAA1" w14:textId="77777777" w:rsidR="00334373" w:rsidRPr="00623C7C" w:rsidRDefault="00334373" w:rsidP="00C90671">
            <w:pPr>
              <w:jc w:val="center"/>
              <w:rPr>
                <w:color w:val="000000"/>
                <w:sz w:val="18"/>
                <w:szCs w:val="18"/>
                <w:lang w:eastAsia="es-ES"/>
              </w:rPr>
            </w:pPr>
            <w:r w:rsidRPr="00623C7C">
              <w:rPr>
                <w:color w:val="000000"/>
                <w:sz w:val="18"/>
                <w:szCs w:val="18"/>
                <w:lang w:eastAsia="es-ES"/>
              </w:rPr>
              <w:t>0</w:t>
            </w:r>
          </w:p>
        </w:tc>
      </w:tr>
      <w:tr w:rsidR="00334373" w:rsidRPr="009D0725" w14:paraId="4CD23BF9" w14:textId="77777777" w:rsidTr="00C90671">
        <w:trPr>
          <w:trHeight w:val="288"/>
          <w:jc w:val="center"/>
        </w:trPr>
        <w:tc>
          <w:tcPr>
            <w:tcW w:w="6952" w:type="dxa"/>
            <w:gridSpan w:val="6"/>
            <w:tcBorders>
              <w:top w:val="single" w:sz="4" w:space="0" w:color="auto"/>
              <w:left w:val="nil"/>
              <w:bottom w:val="single" w:sz="4" w:space="0" w:color="auto"/>
              <w:right w:val="nil"/>
            </w:tcBorders>
            <w:vAlign w:val="center"/>
          </w:tcPr>
          <w:p w14:paraId="013441F0" w14:textId="77777777" w:rsidR="00334373" w:rsidRPr="00623C7C" w:rsidRDefault="00334373" w:rsidP="00C90671">
            <w:pPr>
              <w:jc w:val="center"/>
              <w:rPr>
                <w:i/>
                <w:iCs/>
                <w:color w:val="000000"/>
                <w:sz w:val="18"/>
                <w:szCs w:val="18"/>
                <w:lang w:eastAsia="es-ES"/>
              </w:rPr>
            </w:pPr>
            <w:r w:rsidRPr="00623C7C">
              <w:rPr>
                <w:i/>
                <w:iCs/>
                <w:color w:val="000000"/>
                <w:sz w:val="18"/>
                <w:szCs w:val="18"/>
                <w:lang w:eastAsia="es-ES"/>
              </w:rPr>
              <w:t>Case Study 2</w:t>
            </w:r>
          </w:p>
        </w:tc>
      </w:tr>
      <w:tr w:rsidR="00334373" w:rsidRPr="009D0725" w14:paraId="252A713D" w14:textId="77777777" w:rsidTr="00C90671">
        <w:trPr>
          <w:trHeight w:val="288"/>
          <w:jc w:val="center"/>
        </w:trPr>
        <w:tc>
          <w:tcPr>
            <w:tcW w:w="770" w:type="dxa"/>
            <w:tcBorders>
              <w:top w:val="nil"/>
              <w:left w:val="nil"/>
              <w:bottom w:val="nil"/>
              <w:right w:val="nil"/>
            </w:tcBorders>
            <w:shd w:val="clear" w:color="auto" w:fill="auto"/>
            <w:noWrap/>
            <w:vAlign w:val="center"/>
            <w:hideMark/>
          </w:tcPr>
          <w:p w14:paraId="3853AA9B" w14:textId="77777777" w:rsidR="00334373" w:rsidRPr="00623C7C" w:rsidRDefault="00334373" w:rsidP="00C90671">
            <w:pPr>
              <w:jc w:val="center"/>
              <w:rPr>
                <w:b/>
                <w:bCs/>
                <w:color w:val="000000"/>
                <w:sz w:val="18"/>
                <w:szCs w:val="18"/>
                <w:lang w:eastAsia="es-ES"/>
              </w:rPr>
            </w:pPr>
            <w:r w:rsidRPr="00623C7C">
              <w:rPr>
                <w:b/>
                <w:bCs/>
                <w:color w:val="000000"/>
                <w:sz w:val="18"/>
                <w:szCs w:val="18"/>
                <w:lang w:eastAsia="es-ES"/>
              </w:rPr>
              <w:t>Almeria</w:t>
            </w:r>
          </w:p>
        </w:tc>
        <w:tc>
          <w:tcPr>
            <w:tcW w:w="1357" w:type="dxa"/>
            <w:tcBorders>
              <w:top w:val="nil"/>
              <w:left w:val="nil"/>
              <w:bottom w:val="nil"/>
              <w:right w:val="nil"/>
            </w:tcBorders>
            <w:shd w:val="clear" w:color="auto" w:fill="auto"/>
            <w:noWrap/>
            <w:vAlign w:val="center"/>
            <w:hideMark/>
          </w:tcPr>
          <w:p w14:paraId="7CC4D7DE" w14:textId="77777777" w:rsidR="00334373" w:rsidRPr="00623C7C" w:rsidRDefault="00334373" w:rsidP="00C90671">
            <w:pPr>
              <w:jc w:val="center"/>
              <w:rPr>
                <w:color w:val="000000"/>
                <w:sz w:val="18"/>
                <w:szCs w:val="18"/>
                <w:lang w:eastAsia="es-ES"/>
              </w:rPr>
            </w:pPr>
            <w:r w:rsidRPr="00623C7C">
              <w:rPr>
                <w:color w:val="000000"/>
                <w:sz w:val="18"/>
                <w:szCs w:val="18"/>
                <w:lang w:eastAsia="es-ES"/>
              </w:rPr>
              <w:t>2</w:t>
            </w:r>
            <w:r w:rsidRPr="009D0725">
              <w:rPr>
                <w:color w:val="000000"/>
                <w:sz w:val="18"/>
                <w:szCs w:val="18"/>
                <w:lang w:eastAsia="es-ES"/>
              </w:rPr>
              <w:t>,</w:t>
            </w:r>
            <w:r w:rsidRPr="00623C7C">
              <w:rPr>
                <w:color w:val="000000"/>
                <w:sz w:val="18"/>
                <w:szCs w:val="18"/>
                <w:lang w:eastAsia="es-ES"/>
              </w:rPr>
              <w:t>844</w:t>
            </w:r>
          </w:p>
        </w:tc>
        <w:tc>
          <w:tcPr>
            <w:tcW w:w="1206" w:type="dxa"/>
            <w:tcBorders>
              <w:top w:val="nil"/>
              <w:left w:val="nil"/>
              <w:bottom w:val="nil"/>
              <w:right w:val="nil"/>
            </w:tcBorders>
            <w:shd w:val="clear" w:color="auto" w:fill="auto"/>
            <w:noWrap/>
            <w:vAlign w:val="center"/>
            <w:hideMark/>
          </w:tcPr>
          <w:p w14:paraId="269A5E81" w14:textId="77777777" w:rsidR="00334373" w:rsidRPr="00623C7C" w:rsidRDefault="00334373" w:rsidP="00C90671">
            <w:pPr>
              <w:jc w:val="center"/>
              <w:rPr>
                <w:color w:val="000000"/>
                <w:sz w:val="18"/>
                <w:szCs w:val="18"/>
                <w:lang w:eastAsia="es-ES"/>
              </w:rPr>
            </w:pPr>
            <w:r w:rsidRPr="00623C7C">
              <w:rPr>
                <w:color w:val="000000"/>
                <w:sz w:val="18"/>
                <w:szCs w:val="18"/>
                <w:lang w:eastAsia="es-ES"/>
              </w:rPr>
              <w:t>0</w:t>
            </w:r>
          </w:p>
        </w:tc>
        <w:tc>
          <w:tcPr>
            <w:tcW w:w="944" w:type="dxa"/>
            <w:tcBorders>
              <w:top w:val="nil"/>
              <w:left w:val="nil"/>
              <w:bottom w:val="nil"/>
              <w:right w:val="nil"/>
            </w:tcBorders>
            <w:shd w:val="clear" w:color="auto" w:fill="auto"/>
            <w:noWrap/>
            <w:vAlign w:val="center"/>
            <w:hideMark/>
          </w:tcPr>
          <w:p w14:paraId="0B284246" w14:textId="77777777" w:rsidR="00334373" w:rsidRPr="00623C7C" w:rsidRDefault="00334373" w:rsidP="00C90671">
            <w:pPr>
              <w:jc w:val="center"/>
              <w:rPr>
                <w:color w:val="000000"/>
                <w:sz w:val="18"/>
                <w:szCs w:val="18"/>
                <w:lang w:eastAsia="es-ES"/>
              </w:rPr>
            </w:pPr>
            <w:r w:rsidRPr="00623C7C">
              <w:rPr>
                <w:color w:val="000000"/>
                <w:sz w:val="18"/>
                <w:szCs w:val="18"/>
                <w:lang w:eastAsia="es-ES"/>
              </w:rPr>
              <w:t>0</w:t>
            </w:r>
          </w:p>
        </w:tc>
        <w:tc>
          <w:tcPr>
            <w:tcW w:w="1110" w:type="dxa"/>
            <w:tcBorders>
              <w:top w:val="nil"/>
              <w:left w:val="nil"/>
              <w:bottom w:val="nil"/>
              <w:right w:val="nil"/>
            </w:tcBorders>
            <w:vAlign w:val="center"/>
          </w:tcPr>
          <w:p w14:paraId="22832EE1" w14:textId="77777777" w:rsidR="00334373" w:rsidRPr="009D0725" w:rsidRDefault="00334373" w:rsidP="00C90671">
            <w:pPr>
              <w:jc w:val="center"/>
              <w:rPr>
                <w:color w:val="000000"/>
                <w:sz w:val="18"/>
                <w:szCs w:val="18"/>
                <w:lang w:eastAsia="es-ES"/>
              </w:rPr>
            </w:pPr>
            <w:r>
              <w:rPr>
                <w:color w:val="000000"/>
                <w:sz w:val="18"/>
                <w:szCs w:val="18"/>
                <w:lang w:eastAsia="es-ES"/>
              </w:rPr>
              <w:t>209.07</w:t>
            </w:r>
          </w:p>
        </w:tc>
        <w:tc>
          <w:tcPr>
            <w:tcW w:w="1565" w:type="dxa"/>
            <w:tcBorders>
              <w:top w:val="nil"/>
              <w:left w:val="nil"/>
              <w:bottom w:val="nil"/>
              <w:right w:val="nil"/>
            </w:tcBorders>
            <w:shd w:val="clear" w:color="auto" w:fill="auto"/>
            <w:noWrap/>
            <w:vAlign w:val="center"/>
            <w:hideMark/>
          </w:tcPr>
          <w:p w14:paraId="1DAA311A" w14:textId="77777777" w:rsidR="00334373" w:rsidRPr="00623C7C" w:rsidRDefault="00334373" w:rsidP="00C90671">
            <w:pPr>
              <w:jc w:val="center"/>
              <w:rPr>
                <w:color w:val="000000"/>
                <w:sz w:val="18"/>
                <w:szCs w:val="18"/>
                <w:lang w:eastAsia="es-ES"/>
              </w:rPr>
            </w:pPr>
            <w:r w:rsidRPr="00623C7C">
              <w:rPr>
                <w:color w:val="000000"/>
                <w:sz w:val="18"/>
                <w:szCs w:val="18"/>
                <w:lang w:eastAsia="es-ES"/>
              </w:rPr>
              <w:t>6</w:t>
            </w:r>
            <w:r w:rsidRPr="009D0725">
              <w:rPr>
                <w:color w:val="000000"/>
                <w:sz w:val="18"/>
                <w:szCs w:val="18"/>
                <w:lang w:eastAsia="es-ES"/>
              </w:rPr>
              <w:t>,</w:t>
            </w:r>
            <w:r w:rsidRPr="00623C7C">
              <w:rPr>
                <w:color w:val="000000"/>
                <w:sz w:val="18"/>
                <w:szCs w:val="18"/>
                <w:lang w:eastAsia="es-ES"/>
              </w:rPr>
              <w:t>537</w:t>
            </w:r>
            <w:r w:rsidRPr="009D0725">
              <w:rPr>
                <w:color w:val="000000"/>
                <w:sz w:val="18"/>
                <w:szCs w:val="18"/>
                <w:lang w:eastAsia="es-ES"/>
              </w:rPr>
              <w:t>.</w:t>
            </w:r>
            <w:r w:rsidRPr="00623C7C">
              <w:rPr>
                <w:color w:val="000000"/>
                <w:sz w:val="18"/>
                <w:szCs w:val="18"/>
                <w:lang w:eastAsia="es-ES"/>
              </w:rPr>
              <w:t>41</w:t>
            </w:r>
          </w:p>
        </w:tc>
      </w:tr>
      <w:tr w:rsidR="00334373" w:rsidRPr="009D0725" w14:paraId="041D5D28" w14:textId="77777777" w:rsidTr="00C90671">
        <w:trPr>
          <w:trHeight w:val="288"/>
          <w:jc w:val="center"/>
        </w:trPr>
        <w:tc>
          <w:tcPr>
            <w:tcW w:w="770" w:type="dxa"/>
            <w:tcBorders>
              <w:top w:val="nil"/>
              <w:left w:val="nil"/>
              <w:bottom w:val="nil"/>
              <w:right w:val="nil"/>
            </w:tcBorders>
            <w:shd w:val="clear" w:color="auto" w:fill="auto"/>
            <w:noWrap/>
            <w:vAlign w:val="center"/>
            <w:hideMark/>
          </w:tcPr>
          <w:p w14:paraId="6846ECE0" w14:textId="77777777" w:rsidR="00334373" w:rsidRPr="00623C7C" w:rsidRDefault="00334373" w:rsidP="00C90671">
            <w:pPr>
              <w:jc w:val="center"/>
              <w:rPr>
                <w:b/>
                <w:bCs/>
                <w:color w:val="000000"/>
                <w:sz w:val="18"/>
                <w:szCs w:val="18"/>
                <w:lang w:eastAsia="es-ES"/>
              </w:rPr>
            </w:pPr>
            <w:r w:rsidRPr="00623C7C">
              <w:rPr>
                <w:b/>
                <w:bCs/>
                <w:color w:val="000000"/>
                <w:sz w:val="18"/>
                <w:szCs w:val="18"/>
                <w:lang w:eastAsia="es-ES"/>
              </w:rPr>
              <w:t>Badajoz</w:t>
            </w:r>
          </w:p>
        </w:tc>
        <w:tc>
          <w:tcPr>
            <w:tcW w:w="1357" w:type="dxa"/>
            <w:tcBorders>
              <w:top w:val="nil"/>
              <w:left w:val="nil"/>
              <w:bottom w:val="nil"/>
              <w:right w:val="nil"/>
            </w:tcBorders>
            <w:shd w:val="clear" w:color="auto" w:fill="auto"/>
            <w:noWrap/>
            <w:vAlign w:val="center"/>
            <w:hideMark/>
          </w:tcPr>
          <w:p w14:paraId="03FA44AA" w14:textId="77777777" w:rsidR="00334373" w:rsidRPr="00623C7C" w:rsidRDefault="00334373" w:rsidP="00C90671">
            <w:pPr>
              <w:jc w:val="center"/>
              <w:rPr>
                <w:color w:val="000000"/>
                <w:sz w:val="18"/>
                <w:szCs w:val="18"/>
                <w:lang w:eastAsia="es-ES"/>
              </w:rPr>
            </w:pPr>
            <w:r w:rsidRPr="00623C7C">
              <w:rPr>
                <w:color w:val="000000"/>
                <w:sz w:val="18"/>
                <w:szCs w:val="18"/>
                <w:lang w:eastAsia="es-ES"/>
              </w:rPr>
              <w:t>5</w:t>
            </w:r>
            <w:r w:rsidRPr="009D0725">
              <w:rPr>
                <w:color w:val="000000"/>
                <w:sz w:val="18"/>
                <w:szCs w:val="18"/>
                <w:lang w:eastAsia="es-ES"/>
              </w:rPr>
              <w:t>,</w:t>
            </w:r>
            <w:r w:rsidRPr="00623C7C">
              <w:rPr>
                <w:color w:val="000000"/>
                <w:sz w:val="18"/>
                <w:szCs w:val="18"/>
                <w:lang w:eastAsia="es-ES"/>
              </w:rPr>
              <w:t>696</w:t>
            </w:r>
          </w:p>
        </w:tc>
        <w:tc>
          <w:tcPr>
            <w:tcW w:w="1206" w:type="dxa"/>
            <w:tcBorders>
              <w:top w:val="nil"/>
              <w:left w:val="nil"/>
              <w:bottom w:val="nil"/>
              <w:right w:val="nil"/>
            </w:tcBorders>
            <w:shd w:val="clear" w:color="auto" w:fill="auto"/>
            <w:noWrap/>
            <w:vAlign w:val="center"/>
            <w:hideMark/>
          </w:tcPr>
          <w:p w14:paraId="3328E7D4" w14:textId="77777777" w:rsidR="00334373" w:rsidRPr="00623C7C" w:rsidRDefault="00334373" w:rsidP="00C90671">
            <w:pPr>
              <w:jc w:val="center"/>
              <w:rPr>
                <w:color w:val="000000"/>
                <w:sz w:val="18"/>
                <w:szCs w:val="18"/>
                <w:lang w:eastAsia="es-ES"/>
              </w:rPr>
            </w:pPr>
            <w:r w:rsidRPr="00623C7C">
              <w:rPr>
                <w:color w:val="000000"/>
                <w:sz w:val="18"/>
                <w:szCs w:val="18"/>
                <w:lang w:eastAsia="es-ES"/>
              </w:rPr>
              <w:t>0</w:t>
            </w:r>
          </w:p>
        </w:tc>
        <w:tc>
          <w:tcPr>
            <w:tcW w:w="944" w:type="dxa"/>
            <w:tcBorders>
              <w:top w:val="nil"/>
              <w:left w:val="nil"/>
              <w:bottom w:val="nil"/>
              <w:right w:val="nil"/>
            </w:tcBorders>
            <w:shd w:val="clear" w:color="auto" w:fill="auto"/>
            <w:noWrap/>
            <w:vAlign w:val="center"/>
            <w:hideMark/>
          </w:tcPr>
          <w:p w14:paraId="43528117" w14:textId="77777777" w:rsidR="00334373" w:rsidRPr="00623C7C" w:rsidRDefault="00334373" w:rsidP="00C90671">
            <w:pPr>
              <w:jc w:val="center"/>
              <w:rPr>
                <w:color w:val="000000"/>
                <w:sz w:val="18"/>
                <w:szCs w:val="18"/>
                <w:lang w:eastAsia="es-ES"/>
              </w:rPr>
            </w:pPr>
            <w:r w:rsidRPr="00623C7C">
              <w:rPr>
                <w:color w:val="000000"/>
                <w:sz w:val="18"/>
                <w:szCs w:val="18"/>
                <w:lang w:eastAsia="es-ES"/>
              </w:rPr>
              <w:t>0</w:t>
            </w:r>
          </w:p>
        </w:tc>
        <w:tc>
          <w:tcPr>
            <w:tcW w:w="1110" w:type="dxa"/>
            <w:tcBorders>
              <w:top w:val="nil"/>
              <w:left w:val="nil"/>
              <w:bottom w:val="nil"/>
              <w:right w:val="nil"/>
            </w:tcBorders>
            <w:vAlign w:val="center"/>
          </w:tcPr>
          <w:p w14:paraId="4F2F175C" w14:textId="77777777" w:rsidR="00334373" w:rsidRPr="009D0725" w:rsidRDefault="00334373" w:rsidP="00C90671">
            <w:pPr>
              <w:jc w:val="center"/>
              <w:rPr>
                <w:color w:val="000000"/>
                <w:sz w:val="18"/>
                <w:szCs w:val="18"/>
                <w:lang w:eastAsia="es-ES"/>
              </w:rPr>
            </w:pPr>
            <w:r>
              <w:rPr>
                <w:color w:val="000000"/>
                <w:sz w:val="18"/>
                <w:szCs w:val="18"/>
                <w:lang w:eastAsia="es-ES"/>
              </w:rPr>
              <w:t>412.94</w:t>
            </w:r>
          </w:p>
        </w:tc>
        <w:tc>
          <w:tcPr>
            <w:tcW w:w="1565" w:type="dxa"/>
            <w:tcBorders>
              <w:top w:val="nil"/>
              <w:left w:val="nil"/>
              <w:bottom w:val="nil"/>
              <w:right w:val="nil"/>
            </w:tcBorders>
            <w:shd w:val="clear" w:color="auto" w:fill="auto"/>
            <w:noWrap/>
            <w:vAlign w:val="center"/>
            <w:hideMark/>
          </w:tcPr>
          <w:p w14:paraId="5CA0139D" w14:textId="77777777" w:rsidR="00334373" w:rsidRPr="00623C7C" w:rsidRDefault="00334373" w:rsidP="00C90671">
            <w:pPr>
              <w:jc w:val="center"/>
              <w:rPr>
                <w:color w:val="000000"/>
                <w:sz w:val="18"/>
                <w:szCs w:val="18"/>
                <w:lang w:eastAsia="es-ES"/>
              </w:rPr>
            </w:pPr>
            <w:r w:rsidRPr="00623C7C">
              <w:rPr>
                <w:color w:val="000000"/>
                <w:sz w:val="18"/>
                <w:szCs w:val="18"/>
                <w:lang w:eastAsia="es-ES"/>
              </w:rPr>
              <w:t>10</w:t>
            </w:r>
            <w:r w:rsidRPr="009D0725">
              <w:rPr>
                <w:color w:val="000000"/>
                <w:sz w:val="18"/>
                <w:szCs w:val="18"/>
                <w:lang w:eastAsia="es-ES"/>
              </w:rPr>
              <w:t>,</w:t>
            </w:r>
            <w:r w:rsidRPr="00623C7C">
              <w:rPr>
                <w:color w:val="000000"/>
                <w:sz w:val="18"/>
                <w:szCs w:val="18"/>
                <w:lang w:eastAsia="es-ES"/>
              </w:rPr>
              <w:t>928</w:t>
            </w:r>
            <w:r w:rsidRPr="009D0725">
              <w:rPr>
                <w:color w:val="000000"/>
                <w:sz w:val="18"/>
                <w:szCs w:val="18"/>
                <w:lang w:eastAsia="es-ES"/>
              </w:rPr>
              <w:t>.</w:t>
            </w:r>
            <w:r w:rsidRPr="00623C7C">
              <w:rPr>
                <w:color w:val="000000"/>
                <w:sz w:val="18"/>
                <w:szCs w:val="18"/>
                <w:lang w:eastAsia="es-ES"/>
              </w:rPr>
              <w:t>86</w:t>
            </w:r>
          </w:p>
        </w:tc>
      </w:tr>
      <w:tr w:rsidR="00334373" w:rsidRPr="009D0725" w14:paraId="5589E04F" w14:textId="77777777" w:rsidTr="00C90671">
        <w:trPr>
          <w:trHeight w:val="288"/>
          <w:jc w:val="center"/>
        </w:trPr>
        <w:tc>
          <w:tcPr>
            <w:tcW w:w="770" w:type="dxa"/>
            <w:tcBorders>
              <w:top w:val="nil"/>
              <w:left w:val="nil"/>
              <w:bottom w:val="nil"/>
              <w:right w:val="nil"/>
            </w:tcBorders>
            <w:shd w:val="clear" w:color="auto" w:fill="auto"/>
            <w:noWrap/>
            <w:vAlign w:val="center"/>
            <w:hideMark/>
          </w:tcPr>
          <w:p w14:paraId="758B8951" w14:textId="77777777" w:rsidR="00334373" w:rsidRPr="00623C7C" w:rsidRDefault="00334373" w:rsidP="00C90671">
            <w:pPr>
              <w:jc w:val="center"/>
              <w:rPr>
                <w:b/>
                <w:bCs/>
                <w:color w:val="000000"/>
                <w:sz w:val="18"/>
                <w:szCs w:val="18"/>
                <w:lang w:eastAsia="es-ES"/>
              </w:rPr>
            </w:pPr>
            <w:r w:rsidRPr="00623C7C">
              <w:rPr>
                <w:b/>
                <w:bCs/>
                <w:color w:val="000000"/>
                <w:sz w:val="18"/>
                <w:szCs w:val="18"/>
                <w:lang w:eastAsia="es-ES"/>
              </w:rPr>
              <w:t>Madrid</w:t>
            </w:r>
          </w:p>
        </w:tc>
        <w:tc>
          <w:tcPr>
            <w:tcW w:w="1357" w:type="dxa"/>
            <w:tcBorders>
              <w:top w:val="nil"/>
              <w:left w:val="nil"/>
              <w:bottom w:val="nil"/>
              <w:right w:val="nil"/>
            </w:tcBorders>
            <w:shd w:val="clear" w:color="auto" w:fill="auto"/>
            <w:noWrap/>
            <w:vAlign w:val="center"/>
            <w:hideMark/>
          </w:tcPr>
          <w:p w14:paraId="051FD4B3" w14:textId="77777777" w:rsidR="00334373" w:rsidRPr="00623C7C" w:rsidRDefault="00334373" w:rsidP="00C90671">
            <w:pPr>
              <w:jc w:val="center"/>
              <w:rPr>
                <w:color w:val="000000"/>
                <w:sz w:val="18"/>
                <w:szCs w:val="18"/>
                <w:lang w:eastAsia="es-ES"/>
              </w:rPr>
            </w:pPr>
            <w:r w:rsidRPr="00623C7C">
              <w:rPr>
                <w:color w:val="000000"/>
                <w:sz w:val="18"/>
                <w:szCs w:val="18"/>
                <w:lang w:eastAsia="es-ES"/>
              </w:rPr>
              <w:t>0</w:t>
            </w:r>
          </w:p>
        </w:tc>
        <w:tc>
          <w:tcPr>
            <w:tcW w:w="1206" w:type="dxa"/>
            <w:tcBorders>
              <w:top w:val="nil"/>
              <w:left w:val="nil"/>
              <w:bottom w:val="nil"/>
              <w:right w:val="nil"/>
            </w:tcBorders>
            <w:shd w:val="clear" w:color="auto" w:fill="auto"/>
            <w:noWrap/>
            <w:vAlign w:val="center"/>
            <w:hideMark/>
          </w:tcPr>
          <w:p w14:paraId="312F9CA3" w14:textId="77777777" w:rsidR="00334373" w:rsidRPr="00623C7C" w:rsidRDefault="00334373" w:rsidP="00C90671">
            <w:pPr>
              <w:jc w:val="center"/>
              <w:rPr>
                <w:color w:val="000000"/>
                <w:sz w:val="18"/>
                <w:szCs w:val="18"/>
                <w:lang w:eastAsia="es-ES"/>
              </w:rPr>
            </w:pPr>
            <w:r w:rsidRPr="00623C7C">
              <w:rPr>
                <w:color w:val="000000"/>
                <w:sz w:val="18"/>
                <w:szCs w:val="18"/>
                <w:lang w:eastAsia="es-ES"/>
              </w:rPr>
              <w:t>0</w:t>
            </w:r>
          </w:p>
        </w:tc>
        <w:tc>
          <w:tcPr>
            <w:tcW w:w="944" w:type="dxa"/>
            <w:tcBorders>
              <w:top w:val="nil"/>
              <w:left w:val="nil"/>
              <w:bottom w:val="nil"/>
              <w:right w:val="nil"/>
            </w:tcBorders>
            <w:shd w:val="clear" w:color="auto" w:fill="auto"/>
            <w:noWrap/>
            <w:vAlign w:val="center"/>
            <w:hideMark/>
          </w:tcPr>
          <w:p w14:paraId="0A98E93E" w14:textId="77777777" w:rsidR="00334373" w:rsidRPr="00623C7C" w:rsidRDefault="00334373" w:rsidP="00C90671">
            <w:pPr>
              <w:jc w:val="center"/>
              <w:rPr>
                <w:color w:val="000000"/>
                <w:sz w:val="18"/>
                <w:szCs w:val="18"/>
                <w:lang w:eastAsia="es-ES"/>
              </w:rPr>
            </w:pPr>
            <w:r w:rsidRPr="00623C7C">
              <w:rPr>
                <w:color w:val="000000"/>
                <w:sz w:val="18"/>
                <w:szCs w:val="18"/>
                <w:lang w:eastAsia="es-ES"/>
              </w:rPr>
              <w:t>0</w:t>
            </w:r>
          </w:p>
        </w:tc>
        <w:tc>
          <w:tcPr>
            <w:tcW w:w="1110" w:type="dxa"/>
            <w:tcBorders>
              <w:top w:val="nil"/>
              <w:left w:val="nil"/>
              <w:bottom w:val="nil"/>
              <w:right w:val="nil"/>
            </w:tcBorders>
            <w:vAlign w:val="center"/>
          </w:tcPr>
          <w:p w14:paraId="2738A2B4" w14:textId="77777777" w:rsidR="00334373" w:rsidRPr="009D0725" w:rsidRDefault="00334373" w:rsidP="00C90671">
            <w:pPr>
              <w:jc w:val="center"/>
              <w:rPr>
                <w:color w:val="000000"/>
                <w:sz w:val="18"/>
                <w:szCs w:val="18"/>
                <w:lang w:eastAsia="es-ES"/>
              </w:rPr>
            </w:pPr>
            <w:r>
              <w:rPr>
                <w:color w:val="000000"/>
                <w:sz w:val="18"/>
                <w:szCs w:val="18"/>
                <w:lang w:eastAsia="es-ES"/>
              </w:rPr>
              <w:t>0</w:t>
            </w:r>
          </w:p>
        </w:tc>
        <w:tc>
          <w:tcPr>
            <w:tcW w:w="1565" w:type="dxa"/>
            <w:tcBorders>
              <w:top w:val="nil"/>
              <w:left w:val="nil"/>
              <w:bottom w:val="nil"/>
              <w:right w:val="nil"/>
            </w:tcBorders>
            <w:shd w:val="clear" w:color="auto" w:fill="auto"/>
            <w:noWrap/>
            <w:vAlign w:val="center"/>
            <w:hideMark/>
          </w:tcPr>
          <w:p w14:paraId="42C68930" w14:textId="77777777" w:rsidR="00334373" w:rsidRPr="00623C7C" w:rsidRDefault="00334373" w:rsidP="00C90671">
            <w:pPr>
              <w:jc w:val="center"/>
              <w:rPr>
                <w:color w:val="000000"/>
                <w:sz w:val="18"/>
                <w:szCs w:val="18"/>
                <w:lang w:eastAsia="es-ES"/>
              </w:rPr>
            </w:pPr>
            <w:r w:rsidRPr="00623C7C">
              <w:rPr>
                <w:color w:val="000000"/>
                <w:sz w:val="18"/>
                <w:szCs w:val="18"/>
                <w:lang w:eastAsia="es-ES"/>
              </w:rPr>
              <w:t>0</w:t>
            </w:r>
          </w:p>
        </w:tc>
      </w:tr>
      <w:tr w:rsidR="00334373" w:rsidRPr="009D0725" w14:paraId="156523AB" w14:textId="77777777" w:rsidTr="00C90671">
        <w:trPr>
          <w:trHeight w:val="288"/>
          <w:jc w:val="center"/>
        </w:trPr>
        <w:tc>
          <w:tcPr>
            <w:tcW w:w="770" w:type="dxa"/>
            <w:tcBorders>
              <w:top w:val="nil"/>
              <w:left w:val="nil"/>
              <w:bottom w:val="nil"/>
              <w:right w:val="nil"/>
            </w:tcBorders>
            <w:shd w:val="clear" w:color="auto" w:fill="auto"/>
            <w:noWrap/>
            <w:vAlign w:val="center"/>
            <w:hideMark/>
          </w:tcPr>
          <w:p w14:paraId="256F29CB" w14:textId="77777777" w:rsidR="00334373" w:rsidRPr="00623C7C" w:rsidRDefault="00334373" w:rsidP="00C90671">
            <w:pPr>
              <w:jc w:val="center"/>
              <w:rPr>
                <w:b/>
                <w:bCs/>
                <w:color w:val="000000"/>
                <w:sz w:val="18"/>
                <w:szCs w:val="18"/>
                <w:lang w:eastAsia="es-ES"/>
              </w:rPr>
            </w:pPr>
            <w:r w:rsidRPr="00623C7C">
              <w:rPr>
                <w:b/>
                <w:bCs/>
                <w:color w:val="000000"/>
                <w:sz w:val="18"/>
                <w:szCs w:val="18"/>
                <w:lang w:eastAsia="es-ES"/>
              </w:rPr>
              <w:t>Huesca</w:t>
            </w:r>
          </w:p>
        </w:tc>
        <w:tc>
          <w:tcPr>
            <w:tcW w:w="1357" w:type="dxa"/>
            <w:tcBorders>
              <w:top w:val="nil"/>
              <w:left w:val="nil"/>
              <w:bottom w:val="nil"/>
              <w:right w:val="nil"/>
            </w:tcBorders>
            <w:shd w:val="clear" w:color="auto" w:fill="auto"/>
            <w:noWrap/>
            <w:vAlign w:val="center"/>
            <w:hideMark/>
          </w:tcPr>
          <w:p w14:paraId="34A30439" w14:textId="77777777" w:rsidR="00334373" w:rsidRPr="00623C7C" w:rsidRDefault="00334373" w:rsidP="00C90671">
            <w:pPr>
              <w:jc w:val="center"/>
              <w:rPr>
                <w:color w:val="000000"/>
                <w:sz w:val="18"/>
                <w:szCs w:val="18"/>
                <w:lang w:eastAsia="es-ES"/>
              </w:rPr>
            </w:pPr>
            <w:r w:rsidRPr="00623C7C">
              <w:rPr>
                <w:color w:val="000000"/>
                <w:sz w:val="18"/>
                <w:szCs w:val="18"/>
                <w:lang w:eastAsia="es-ES"/>
              </w:rPr>
              <w:t>0</w:t>
            </w:r>
          </w:p>
        </w:tc>
        <w:tc>
          <w:tcPr>
            <w:tcW w:w="1206" w:type="dxa"/>
            <w:tcBorders>
              <w:top w:val="nil"/>
              <w:left w:val="nil"/>
              <w:bottom w:val="nil"/>
              <w:right w:val="nil"/>
            </w:tcBorders>
            <w:shd w:val="clear" w:color="auto" w:fill="auto"/>
            <w:noWrap/>
            <w:vAlign w:val="center"/>
            <w:hideMark/>
          </w:tcPr>
          <w:p w14:paraId="6CE5D060" w14:textId="77777777" w:rsidR="00334373" w:rsidRPr="00623C7C" w:rsidRDefault="00334373" w:rsidP="00C90671">
            <w:pPr>
              <w:jc w:val="center"/>
              <w:rPr>
                <w:color w:val="000000"/>
                <w:sz w:val="18"/>
                <w:szCs w:val="18"/>
                <w:lang w:eastAsia="es-ES"/>
              </w:rPr>
            </w:pPr>
            <w:r w:rsidRPr="00623C7C">
              <w:rPr>
                <w:color w:val="000000"/>
                <w:sz w:val="18"/>
                <w:szCs w:val="18"/>
                <w:lang w:eastAsia="es-ES"/>
              </w:rPr>
              <w:t>0</w:t>
            </w:r>
          </w:p>
        </w:tc>
        <w:tc>
          <w:tcPr>
            <w:tcW w:w="944" w:type="dxa"/>
            <w:tcBorders>
              <w:top w:val="nil"/>
              <w:left w:val="nil"/>
              <w:bottom w:val="nil"/>
              <w:right w:val="nil"/>
            </w:tcBorders>
            <w:shd w:val="clear" w:color="auto" w:fill="auto"/>
            <w:noWrap/>
            <w:vAlign w:val="center"/>
            <w:hideMark/>
          </w:tcPr>
          <w:p w14:paraId="4777F2A1" w14:textId="77777777" w:rsidR="00334373" w:rsidRPr="00623C7C" w:rsidRDefault="00334373" w:rsidP="00C90671">
            <w:pPr>
              <w:jc w:val="center"/>
              <w:rPr>
                <w:color w:val="000000"/>
                <w:sz w:val="18"/>
                <w:szCs w:val="18"/>
                <w:lang w:eastAsia="es-ES"/>
              </w:rPr>
            </w:pPr>
            <w:r w:rsidRPr="00623C7C">
              <w:rPr>
                <w:color w:val="000000"/>
                <w:sz w:val="18"/>
                <w:szCs w:val="18"/>
                <w:lang w:eastAsia="es-ES"/>
              </w:rPr>
              <w:t>0</w:t>
            </w:r>
          </w:p>
        </w:tc>
        <w:tc>
          <w:tcPr>
            <w:tcW w:w="1110" w:type="dxa"/>
            <w:tcBorders>
              <w:top w:val="nil"/>
              <w:left w:val="nil"/>
              <w:bottom w:val="nil"/>
              <w:right w:val="nil"/>
            </w:tcBorders>
            <w:vAlign w:val="center"/>
          </w:tcPr>
          <w:p w14:paraId="5FA3D8C9" w14:textId="77777777" w:rsidR="00334373" w:rsidRPr="009D0725" w:rsidRDefault="00334373" w:rsidP="00C90671">
            <w:pPr>
              <w:jc w:val="center"/>
              <w:rPr>
                <w:color w:val="000000"/>
                <w:sz w:val="18"/>
                <w:szCs w:val="18"/>
                <w:lang w:eastAsia="es-ES"/>
              </w:rPr>
            </w:pPr>
            <w:r>
              <w:rPr>
                <w:color w:val="000000"/>
                <w:sz w:val="18"/>
                <w:szCs w:val="18"/>
                <w:lang w:eastAsia="es-ES"/>
              </w:rPr>
              <w:t>0</w:t>
            </w:r>
          </w:p>
        </w:tc>
        <w:tc>
          <w:tcPr>
            <w:tcW w:w="1565" w:type="dxa"/>
            <w:tcBorders>
              <w:top w:val="nil"/>
              <w:left w:val="nil"/>
              <w:bottom w:val="nil"/>
              <w:right w:val="nil"/>
            </w:tcBorders>
            <w:shd w:val="clear" w:color="auto" w:fill="auto"/>
            <w:noWrap/>
            <w:vAlign w:val="center"/>
            <w:hideMark/>
          </w:tcPr>
          <w:p w14:paraId="2BC0901B" w14:textId="77777777" w:rsidR="00334373" w:rsidRPr="00623C7C" w:rsidRDefault="00334373" w:rsidP="00C90671">
            <w:pPr>
              <w:jc w:val="center"/>
              <w:rPr>
                <w:color w:val="000000"/>
                <w:sz w:val="18"/>
                <w:szCs w:val="18"/>
                <w:lang w:eastAsia="es-ES"/>
              </w:rPr>
            </w:pPr>
            <w:r w:rsidRPr="00623C7C">
              <w:rPr>
                <w:color w:val="000000"/>
                <w:sz w:val="18"/>
                <w:szCs w:val="18"/>
                <w:lang w:eastAsia="es-ES"/>
              </w:rPr>
              <w:t>0</w:t>
            </w:r>
          </w:p>
        </w:tc>
      </w:tr>
      <w:tr w:rsidR="00334373" w:rsidRPr="009D0725" w14:paraId="6119B07A" w14:textId="77777777" w:rsidTr="00C90671">
        <w:trPr>
          <w:trHeight w:val="288"/>
          <w:jc w:val="center"/>
        </w:trPr>
        <w:tc>
          <w:tcPr>
            <w:tcW w:w="770" w:type="dxa"/>
            <w:tcBorders>
              <w:top w:val="nil"/>
              <w:left w:val="nil"/>
              <w:bottom w:val="single" w:sz="4" w:space="0" w:color="auto"/>
              <w:right w:val="nil"/>
            </w:tcBorders>
            <w:shd w:val="clear" w:color="auto" w:fill="auto"/>
            <w:noWrap/>
            <w:vAlign w:val="center"/>
            <w:hideMark/>
          </w:tcPr>
          <w:p w14:paraId="64161203" w14:textId="77777777" w:rsidR="00334373" w:rsidRPr="00623C7C" w:rsidRDefault="00334373" w:rsidP="00C90671">
            <w:pPr>
              <w:jc w:val="center"/>
              <w:rPr>
                <w:b/>
                <w:bCs/>
                <w:color w:val="000000"/>
                <w:sz w:val="18"/>
                <w:szCs w:val="18"/>
                <w:lang w:eastAsia="es-ES"/>
              </w:rPr>
            </w:pPr>
            <w:r w:rsidRPr="00623C7C">
              <w:rPr>
                <w:b/>
                <w:bCs/>
                <w:color w:val="000000"/>
                <w:sz w:val="18"/>
                <w:szCs w:val="18"/>
                <w:lang w:eastAsia="es-ES"/>
              </w:rPr>
              <w:t>Lugo</w:t>
            </w:r>
          </w:p>
        </w:tc>
        <w:tc>
          <w:tcPr>
            <w:tcW w:w="1357" w:type="dxa"/>
            <w:tcBorders>
              <w:top w:val="nil"/>
              <w:left w:val="nil"/>
              <w:bottom w:val="single" w:sz="4" w:space="0" w:color="auto"/>
              <w:right w:val="nil"/>
            </w:tcBorders>
            <w:shd w:val="clear" w:color="auto" w:fill="auto"/>
            <w:noWrap/>
            <w:vAlign w:val="center"/>
            <w:hideMark/>
          </w:tcPr>
          <w:p w14:paraId="3DBDF473" w14:textId="77777777" w:rsidR="00334373" w:rsidRPr="00623C7C" w:rsidRDefault="00334373" w:rsidP="00C90671">
            <w:pPr>
              <w:jc w:val="center"/>
              <w:rPr>
                <w:color w:val="000000"/>
                <w:sz w:val="18"/>
                <w:szCs w:val="18"/>
                <w:lang w:eastAsia="es-ES"/>
              </w:rPr>
            </w:pPr>
            <w:r w:rsidRPr="00623C7C">
              <w:rPr>
                <w:color w:val="000000"/>
                <w:sz w:val="18"/>
                <w:szCs w:val="18"/>
                <w:lang w:eastAsia="es-ES"/>
              </w:rPr>
              <w:t>0</w:t>
            </w:r>
          </w:p>
        </w:tc>
        <w:tc>
          <w:tcPr>
            <w:tcW w:w="1206" w:type="dxa"/>
            <w:tcBorders>
              <w:top w:val="nil"/>
              <w:left w:val="nil"/>
              <w:bottom w:val="single" w:sz="4" w:space="0" w:color="auto"/>
              <w:right w:val="nil"/>
            </w:tcBorders>
            <w:shd w:val="clear" w:color="auto" w:fill="auto"/>
            <w:noWrap/>
            <w:vAlign w:val="center"/>
            <w:hideMark/>
          </w:tcPr>
          <w:p w14:paraId="3B57C72E" w14:textId="77777777" w:rsidR="00334373" w:rsidRPr="00623C7C" w:rsidRDefault="00334373" w:rsidP="00C90671">
            <w:pPr>
              <w:jc w:val="center"/>
              <w:rPr>
                <w:color w:val="000000"/>
                <w:sz w:val="18"/>
                <w:szCs w:val="18"/>
                <w:lang w:eastAsia="es-ES"/>
              </w:rPr>
            </w:pPr>
            <w:r w:rsidRPr="00623C7C">
              <w:rPr>
                <w:color w:val="000000"/>
                <w:sz w:val="18"/>
                <w:szCs w:val="18"/>
                <w:lang w:eastAsia="es-ES"/>
              </w:rPr>
              <w:t>0</w:t>
            </w:r>
          </w:p>
        </w:tc>
        <w:tc>
          <w:tcPr>
            <w:tcW w:w="944" w:type="dxa"/>
            <w:tcBorders>
              <w:top w:val="nil"/>
              <w:left w:val="nil"/>
              <w:bottom w:val="single" w:sz="4" w:space="0" w:color="auto"/>
              <w:right w:val="nil"/>
            </w:tcBorders>
            <w:shd w:val="clear" w:color="auto" w:fill="auto"/>
            <w:noWrap/>
            <w:vAlign w:val="center"/>
            <w:hideMark/>
          </w:tcPr>
          <w:p w14:paraId="3180FCAA" w14:textId="77777777" w:rsidR="00334373" w:rsidRPr="00623C7C" w:rsidRDefault="00334373" w:rsidP="00C90671">
            <w:pPr>
              <w:jc w:val="center"/>
              <w:rPr>
                <w:color w:val="000000"/>
                <w:sz w:val="18"/>
                <w:szCs w:val="18"/>
                <w:lang w:eastAsia="es-ES"/>
              </w:rPr>
            </w:pPr>
            <w:r w:rsidRPr="00623C7C">
              <w:rPr>
                <w:color w:val="000000"/>
                <w:sz w:val="18"/>
                <w:szCs w:val="18"/>
                <w:lang w:eastAsia="es-ES"/>
              </w:rPr>
              <w:t>0</w:t>
            </w:r>
          </w:p>
        </w:tc>
        <w:tc>
          <w:tcPr>
            <w:tcW w:w="1110" w:type="dxa"/>
            <w:tcBorders>
              <w:top w:val="nil"/>
              <w:left w:val="nil"/>
              <w:bottom w:val="single" w:sz="4" w:space="0" w:color="auto"/>
              <w:right w:val="nil"/>
            </w:tcBorders>
            <w:vAlign w:val="center"/>
          </w:tcPr>
          <w:p w14:paraId="3C69CE24" w14:textId="77777777" w:rsidR="00334373" w:rsidRPr="009D0725" w:rsidRDefault="00334373" w:rsidP="00C90671">
            <w:pPr>
              <w:jc w:val="center"/>
              <w:rPr>
                <w:color w:val="000000"/>
                <w:sz w:val="18"/>
                <w:szCs w:val="18"/>
                <w:lang w:eastAsia="es-ES"/>
              </w:rPr>
            </w:pPr>
            <w:r>
              <w:rPr>
                <w:color w:val="000000"/>
                <w:sz w:val="18"/>
                <w:szCs w:val="18"/>
                <w:lang w:eastAsia="es-ES"/>
              </w:rPr>
              <w:t>0</w:t>
            </w:r>
          </w:p>
        </w:tc>
        <w:tc>
          <w:tcPr>
            <w:tcW w:w="1565" w:type="dxa"/>
            <w:tcBorders>
              <w:top w:val="nil"/>
              <w:left w:val="nil"/>
              <w:bottom w:val="single" w:sz="4" w:space="0" w:color="auto"/>
              <w:right w:val="nil"/>
            </w:tcBorders>
            <w:shd w:val="clear" w:color="auto" w:fill="auto"/>
            <w:noWrap/>
            <w:vAlign w:val="center"/>
            <w:hideMark/>
          </w:tcPr>
          <w:p w14:paraId="42160063" w14:textId="77777777" w:rsidR="00334373" w:rsidRPr="00623C7C" w:rsidRDefault="00334373" w:rsidP="00C90671">
            <w:pPr>
              <w:jc w:val="center"/>
              <w:rPr>
                <w:color w:val="000000"/>
                <w:sz w:val="18"/>
                <w:szCs w:val="18"/>
                <w:lang w:eastAsia="es-ES"/>
              </w:rPr>
            </w:pPr>
            <w:r w:rsidRPr="00623C7C">
              <w:rPr>
                <w:color w:val="000000"/>
                <w:sz w:val="18"/>
                <w:szCs w:val="18"/>
                <w:lang w:eastAsia="es-ES"/>
              </w:rPr>
              <w:t>0</w:t>
            </w:r>
          </w:p>
        </w:tc>
      </w:tr>
    </w:tbl>
    <w:p w14:paraId="65FCB077" w14:textId="77777777" w:rsidR="00334373" w:rsidRDefault="00334373" w:rsidP="00747AE6">
      <w:pPr>
        <w:pStyle w:val="Els-body-text"/>
      </w:pPr>
    </w:p>
    <w:p w14:paraId="02794561" w14:textId="77777777" w:rsidR="00662358" w:rsidRDefault="00662358" w:rsidP="00747AE6">
      <w:pPr>
        <w:pStyle w:val="Els-body-text"/>
      </w:pPr>
    </w:p>
    <w:p w14:paraId="671C396A" w14:textId="52AEACA5" w:rsidR="00FD6A08" w:rsidRDefault="00405DFD" w:rsidP="00FD6A08">
      <w:pPr>
        <w:pStyle w:val="Els-body-text"/>
      </w:pPr>
      <w:r>
        <w:rPr>
          <w:noProof/>
        </w:rPr>
        <w:drawing>
          <wp:inline distT="0" distB="0" distL="0" distR="0" wp14:anchorId="6445D971" wp14:editId="12220A64">
            <wp:extent cx="4497705" cy="1858645"/>
            <wp:effectExtent l="0" t="0" r="0" b="8255"/>
            <wp:docPr id="973937967"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7705" cy="1858645"/>
                    </a:xfrm>
                    <a:prstGeom prst="rect">
                      <a:avLst/>
                    </a:prstGeom>
                    <a:noFill/>
                    <a:ln>
                      <a:noFill/>
                    </a:ln>
                  </pic:spPr>
                </pic:pic>
              </a:graphicData>
            </a:graphic>
          </wp:inline>
        </w:drawing>
      </w:r>
    </w:p>
    <w:p w14:paraId="40D3794A" w14:textId="5BE18A45" w:rsidR="00FD6A08" w:rsidRDefault="00FD6A08" w:rsidP="00FD6A08">
      <w:pPr>
        <w:pStyle w:val="Els-body-text"/>
        <w:jc w:val="center"/>
      </w:pPr>
      <w:r w:rsidRPr="00B845DE">
        <w:rPr>
          <w:b/>
          <w:bCs/>
        </w:rPr>
        <w:t>Figure 2</w:t>
      </w:r>
      <w:r>
        <w:t xml:space="preserve">. </w:t>
      </w:r>
      <w:r w:rsidR="004B5F8D">
        <w:t xml:space="preserve">Electricity </w:t>
      </w:r>
      <w:r>
        <w:t>transmission in Case study 1.</w:t>
      </w:r>
    </w:p>
    <w:p w14:paraId="277D99EF" w14:textId="236D3667" w:rsidR="000857D1" w:rsidRDefault="007E33FB" w:rsidP="000857D1">
      <w:pPr>
        <w:pStyle w:val="Els-body-text"/>
        <w:jc w:val="center"/>
      </w:pPr>
      <w:r>
        <w:rPr>
          <w:noProof/>
        </w:rPr>
        <w:lastRenderedPageBreak/>
        <w:drawing>
          <wp:inline distT="0" distB="0" distL="0" distR="0" wp14:anchorId="74F6919C" wp14:editId="482AAB3E">
            <wp:extent cx="3155851" cy="1893600"/>
            <wp:effectExtent l="0" t="0" r="6985" b="0"/>
            <wp:docPr id="716595188"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5851" cy="1893600"/>
                    </a:xfrm>
                    <a:prstGeom prst="rect">
                      <a:avLst/>
                    </a:prstGeom>
                    <a:noFill/>
                    <a:ln>
                      <a:noFill/>
                    </a:ln>
                  </pic:spPr>
                </pic:pic>
              </a:graphicData>
            </a:graphic>
          </wp:inline>
        </w:drawing>
      </w:r>
    </w:p>
    <w:p w14:paraId="18873F97" w14:textId="689F9118" w:rsidR="000857D1" w:rsidRDefault="000857D1" w:rsidP="000857D1">
      <w:pPr>
        <w:pStyle w:val="Els-body-text"/>
        <w:jc w:val="center"/>
      </w:pPr>
      <w:r w:rsidRPr="00B845DE">
        <w:rPr>
          <w:b/>
          <w:bCs/>
        </w:rPr>
        <w:t xml:space="preserve">Figure </w:t>
      </w:r>
      <w:r>
        <w:rPr>
          <w:b/>
          <w:bCs/>
        </w:rPr>
        <w:t>3</w:t>
      </w:r>
      <w:r>
        <w:t xml:space="preserve">. </w:t>
      </w:r>
      <w:r w:rsidR="00A77DBD">
        <w:t>Surplus u</w:t>
      </w:r>
      <w:r w:rsidR="009C4A12">
        <w:t xml:space="preserve">nused </w:t>
      </w:r>
      <w:r w:rsidR="00A77DBD">
        <w:t>capacity</w:t>
      </w:r>
      <w:r w:rsidR="00400739">
        <w:t xml:space="preserve"> </w:t>
      </w:r>
      <w:r w:rsidR="00820E88">
        <w:t>for both scenarios</w:t>
      </w:r>
      <w:r>
        <w:t>.</w:t>
      </w:r>
    </w:p>
    <w:p w14:paraId="308633CA" w14:textId="77777777" w:rsidR="000857D1" w:rsidRPr="00C27826" w:rsidRDefault="000857D1" w:rsidP="00FD6A08">
      <w:pPr>
        <w:pStyle w:val="Els-body-text"/>
        <w:jc w:val="center"/>
        <w:rPr>
          <w:sz w:val="18"/>
          <w:szCs w:val="18"/>
        </w:rPr>
      </w:pPr>
    </w:p>
    <w:p w14:paraId="144DE69D" w14:textId="318C82D2" w:rsidR="008D2649" w:rsidRDefault="00747AE6" w:rsidP="008D2649">
      <w:pPr>
        <w:pStyle w:val="Els-2ndorder-head"/>
      </w:pPr>
      <w:r>
        <w:t xml:space="preserve">Case Study 2: </w:t>
      </w:r>
      <w:r w:rsidR="0056089A">
        <w:t>O</w:t>
      </w:r>
      <w:r>
        <w:t>ptimal energy production and distribution</w:t>
      </w:r>
      <w:r w:rsidR="0056089A">
        <w:t xml:space="preserve"> with external </w:t>
      </w:r>
      <w:r w:rsidR="007864F0">
        <w:t>supply</w:t>
      </w:r>
    </w:p>
    <w:p w14:paraId="47AD8654" w14:textId="04E93FC0" w:rsidR="004A29DE" w:rsidRDefault="00F465AF" w:rsidP="00FD6A08">
      <w:pPr>
        <w:pStyle w:val="Els-body-text"/>
      </w:pPr>
      <w:r>
        <w:t xml:space="preserve">When it is </w:t>
      </w:r>
      <w:r w:rsidR="008141DC">
        <w:t>allowed</w:t>
      </w:r>
      <w:r>
        <w:t xml:space="preserve"> to buy energy from outside the grid to meet demand</w:t>
      </w:r>
      <w:r w:rsidR="00D57C45">
        <w:t>,</w:t>
      </w:r>
      <w:r>
        <w:t xml:space="preserve"> </w:t>
      </w:r>
      <w:r w:rsidR="005F5413">
        <w:t xml:space="preserve">again, no storage is selected, but </w:t>
      </w:r>
      <w:r w:rsidR="00A61B19">
        <w:t>two main differences are note</w:t>
      </w:r>
      <w:r w:rsidR="00F86DA4">
        <w:t>d</w:t>
      </w:r>
      <w:r w:rsidR="009E0C52">
        <w:t xml:space="preserve"> </w:t>
      </w:r>
      <w:r w:rsidR="00F86DA4">
        <w:t>(</w:t>
      </w:r>
      <w:r w:rsidR="009E0C52">
        <w:t xml:space="preserve">Table </w:t>
      </w:r>
      <w:r w:rsidR="000857D1">
        <w:t>2</w:t>
      </w:r>
      <w:r w:rsidR="00F86DA4">
        <w:t>) relative to</w:t>
      </w:r>
      <w:r w:rsidR="009E0C52">
        <w:t xml:space="preserve"> Case Study 1</w:t>
      </w:r>
      <w:r w:rsidR="00FD6A08">
        <w:t>:</w:t>
      </w:r>
    </w:p>
    <w:p w14:paraId="1566CEC7" w14:textId="37C4E0BA" w:rsidR="004A29DE" w:rsidRDefault="00FD6A08" w:rsidP="00FD6A08">
      <w:pPr>
        <w:pStyle w:val="Els-body-text"/>
      </w:pPr>
      <w:r>
        <w:t xml:space="preserve">1) </w:t>
      </w:r>
      <w:r w:rsidR="006E0916">
        <w:t>A</w:t>
      </w:r>
      <w:r w:rsidR="00747AE6">
        <w:t xml:space="preserve"> notabl</w:t>
      </w:r>
      <w:r w:rsidR="006E0916">
        <w:t>e</w:t>
      </w:r>
      <w:r w:rsidR="00747AE6">
        <w:t xml:space="preserve"> reduction of investment </w:t>
      </w:r>
      <w:r w:rsidR="006E0916">
        <w:t xml:space="preserve">is </w:t>
      </w:r>
      <w:r w:rsidR="003B036E">
        <w:t xml:space="preserve">shown </w:t>
      </w:r>
      <w:r w:rsidR="00747AE6">
        <w:t xml:space="preserve">(8,347 M€, </w:t>
      </w:r>
      <w:r w:rsidR="006E0916">
        <w:t>-</w:t>
      </w:r>
      <w:r w:rsidR="00747AE6">
        <w:t>32%).</w:t>
      </w:r>
      <w:r w:rsidR="009C4A12">
        <w:t xml:space="preserve"> In spite of </w:t>
      </w:r>
      <w:r w:rsidR="00603AFD">
        <w:t xml:space="preserve">the </w:t>
      </w:r>
      <w:r w:rsidR="009C4A12">
        <w:t>high penalties, it is still cheaper to</w:t>
      </w:r>
      <w:r w:rsidR="009E0C52">
        <w:t xml:space="preserve"> buil</w:t>
      </w:r>
      <w:r w:rsidR="004A29DE">
        <w:t>d</w:t>
      </w:r>
      <w:r w:rsidR="009E0C52">
        <w:t xml:space="preserve"> smaller facilities and pay to acquire </w:t>
      </w:r>
      <w:r w:rsidR="009C4A12">
        <w:t xml:space="preserve">electricity </w:t>
      </w:r>
      <w:r w:rsidR="009E0C52">
        <w:t xml:space="preserve">from the grid than having </w:t>
      </w:r>
      <w:r w:rsidR="006576F3">
        <w:t>an unused electricity generation capacity surplus</w:t>
      </w:r>
      <w:r w:rsidR="009E0C52">
        <w:t xml:space="preserve">, as can be inferred </w:t>
      </w:r>
      <w:r w:rsidR="009E0C52" w:rsidRPr="004A29DE">
        <w:t>comparing the value of</w:t>
      </w:r>
      <w:r w:rsidR="004A29DE" w:rsidRPr="004A29DE">
        <w:t xml:space="preserve"> Figure 3</w:t>
      </w:r>
      <w:r w:rsidR="009E0C52" w:rsidRPr="004A29DE">
        <w:t xml:space="preserve"> </w:t>
      </w:r>
      <w:r w:rsidR="004A29DE" w:rsidRPr="004A29DE">
        <w:t>for Case Study 1</w:t>
      </w:r>
      <w:r w:rsidRPr="004A29DE">
        <w:t xml:space="preserve"> (</w:t>
      </w:r>
      <w:r w:rsidR="00820E88">
        <w:t>more than</w:t>
      </w:r>
      <w:r w:rsidRPr="004A29DE">
        <w:t xml:space="preserve"> 6,000 GWh)</w:t>
      </w:r>
      <w:r w:rsidR="009E0C52" w:rsidRPr="004A29DE">
        <w:t xml:space="preserve"> and </w:t>
      </w:r>
      <w:r w:rsidR="004A29DE" w:rsidRPr="004A29DE">
        <w:t>Case Study 2</w:t>
      </w:r>
      <w:r w:rsidRPr="004A29DE">
        <w:t xml:space="preserve"> (</w:t>
      </w:r>
      <w:r w:rsidR="00820E88">
        <w:t xml:space="preserve">less than </w:t>
      </w:r>
      <w:r w:rsidRPr="004A29DE">
        <w:t>3,500 GWh)</w:t>
      </w:r>
      <w:r w:rsidR="00747AE6" w:rsidRPr="004A29DE">
        <w:t>. That</w:t>
      </w:r>
      <w:r w:rsidR="00747AE6">
        <w:t xml:space="preserve"> means </w:t>
      </w:r>
      <w:r w:rsidR="00C733BC">
        <w:t>that</w:t>
      </w:r>
      <w:r w:rsidR="00747AE6">
        <w:t xml:space="preserve"> additional policies and incentives </w:t>
      </w:r>
      <w:r w:rsidR="00F06225">
        <w:t xml:space="preserve">are required </w:t>
      </w:r>
      <w:r w:rsidR="004A29DE">
        <w:t>to promote the</w:t>
      </w:r>
      <w:r w:rsidR="00747AE6">
        <w:t xml:space="preserve"> green transition using CSP plants</w:t>
      </w:r>
      <w:r w:rsidR="004A29DE">
        <w:t xml:space="preserve"> coupled with hydrogen technologies</w:t>
      </w:r>
      <w:r w:rsidR="00747AE6">
        <w:t>.</w:t>
      </w:r>
    </w:p>
    <w:p w14:paraId="57422F13" w14:textId="2708C214" w:rsidR="00FD6A08" w:rsidRDefault="00FD6A08" w:rsidP="004A29DE">
      <w:pPr>
        <w:pStyle w:val="Els-body-text"/>
      </w:pPr>
      <w:r>
        <w:t>2) T</w:t>
      </w:r>
      <w:r w:rsidR="00747AE6">
        <w:t xml:space="preserve">he reduction </w:t>
      </w:r>
      <w:r w:rsidR="004A29DE">
        <w:t>of social impact (SI) values</w:t>
      </w:r>
      <w:r w:rsidR="00C733BC">
        <w:t xml:space="preserve"> in Case 2</w:t>
      </w:r>
      <w:r w:rsidR="004A29DE">
        <w:t xml:space="preserve"> </w:t>
      </w:r>
      <w:r w:rsidR="00747AE6">
        <w:t xml:space="preserve">is lower (25%) </w:t>
      </w:r>
      <w:r>
        <w:t xml:space="preserve">than </w:t>
      </w:r>
      <w:r w:rsidR="000A5D4B">
        <w:t xml:space="preserve">the </w:t>
      </w:r>
      <w:r>
        <w:t>investment</w:t>
      </w:r>
      <w:r w:rsidR="004A29DE">
        <w:t xml:space="preserve"> reduction</w:t>
      </w:r>
      <w:r w:rsidR="006E0916">
        <w:t xml:space="preserve"> but </w:t>
      </w:r>
      <w:r w:rsidR="00794DEE">
        <w:t xml:space="preserve">impact is </w:t>
      </w:r>
      <w:r w:rsidR="006E0916">
        <w:t>still important</w:t>
      </w:r>
      <w:r w:rsidR="00991625">
        <w:t xml:space="preserve">. </w:t>
      </w:r>
      <w:r w:rsidR="00611EEA">
        <w:t>The</w:t>
      </w:r>
      <w:r>
        <w:t xml:space="preserve"> Hu</w:t>
      </w:r>
      <w:r w:rsidR="00747AE6">
        <w:t>esca</w:t>
      </w:r>
      <w:r w:rsidR="00611EEA">
        <w:t xml:space="preserve"> </w:t>
      </w:r>
      <w:r>
        <w:t>CSP plan</w:t>
      </w:r>
      <w:r w:rsidR="00611EEA">
        <w:t>t is no long</w:t>
      </w:r>
      <w:r w:rsidR="00837111">
        <w:t>er built</w:t>
      </w:r>
      <w:r w:rsidR="00747AE6">
        <w:t xml:space="preserve"> and </w:t>
      </w:r>
      <w:r w:rsidR="00837111">
        <w:t xml:space="preserve">the one in </w:t>
      </w:r>
      <w:r>
        <w:t>Badajoz</w:t>
      </w:r>
      <w:r w:rsidR="00837111">
        <w:t xml:space="preserve"> has a lower capacity</w:t>
      </w:r>
      <w:r>
        <w:t>, but</w:t>
      </w:r>
      <w:r w:rsidR="00033C4D">
        <w:t xml:space="preserve"> </w:t>
      </w:r>
      <w:r w:rsidR="00957CF4">
        <w:t xml:space="preserve">the </w:t>
      </w:r>
      <w:r>
        <w:t>Almeria plant</w:t>
      </w:r>
      <w:r w:rsidR="00957CF4">
        <w:t xml:space="preserve"> remains the same</w:t>
      </w:r>
      <w:r w:rsidR="00747AE6">
        <w:t>.</w:t>
      </w:r>
      <w:r w:rsidR="004A29DE">
        <w:t xml:space="preserve"> Even though Almeria and Badajoz present similar </w:t>
      </w:r>
      <w:r w:rsidR="0003301E">
        <w:t>irradiation</w:t>
      </w:r>
      <w:r w:rsidR="004A29DE">
        <w:t xml:space="preserve">, </w:t>
      </w:r>
      <w:r>
        <w:t xml:space="preserve">Almeria is the most </w:t>
      </w:r>
      <w:r w:rsidR="00581B9A">
        <w:t xml:space="preserve">affected </w:t>
      </w:r>
      <w:r>
        <w:t xml:space="preserve">region in terms of social impact, thus it is </w:t>
      </w:r>
      <w:r w:rsidRPr="00FD6A08">
        <w:t xml:space="preserve">the region that the model selects as a priority to </w:t>
      </w:r>
      <w:r w:rsidR="00F00786">
        <w:t>build</w:t>
      </w:r>
      <w:r w:rsidR="00F00786" w:rsidRPr="00FD6A08">
        <w:t xml:space="preserve"> </w:t>
      </w:r>
      <w:r w:rsidR="00AA4B69">
        <w:t xml:space="preserve">a </w:t>
      </w:r>
      <w:r>
        <w:t>CSP</w:t>
      </w:r>
      <w:r w:rsidRPr="00FD6A08">
        <w:t xml:space="preserve"> plant.</w:t>
      </w:r>
    </w:p>
    <w:p w14:paraId="35A51514" w14:textId="160A4E9D" w:rsidR="00FD6A08" w:rsidRDefault="004A29DE" w:rsidP="00FD6A08">
      <w:pPr>
        <w:pStyle w:val="Els-body-text"/>
      </w:pPr>
      <w:r>
        <w:t>The comparison of Figure 2 and Figure 4 shows that the volume of electricity transmitted through the grid</w:t>
      </w:r>
      <w:r w:rsidR="003D3887">
        <w:t xml:space="preserve"> is lower than </w:t>
      </w:r>
      <w:r w:rsidR="008B4F66">
        <w:t xml:space="preserve">in </w:t>
      </w:r>
      <w:r w:rsidR="003D3887">
        <w:t xml:space="preserve">Case Study 1, particularly during winter because it is </w:t>
      </w:r>
      <w:r w:rsidR="00F26E8D">
        <w:t>better</w:t>
      </w:r>
      <w:r w:rsidR="003D3887">
        <w:t xml:space="preserve"> to fully meet the energy demand with electricity from the grid in Huesca and Lugo.</w:t>
      </w:r>
      <w:r w:rsidR="00820E88">
        <w:t xml:space="preserve"> In addition, the reduction of energy transmission during winter matches </w:t>
      </w:r>
      <w:r w:rsidR="0022760F">
        <w:t>the lack of</w:t>
      </w:r>
      <w:r w:rsidR="00820E88">
        <w:t xml:space="preserve"> energy </w:t>
      </w:r>
      <w:r w:rsidR="008933AD">
        <w:t xml:space="preserve">surplus </w:t>
      </w:r>
      <w:r w:rsidR="00820E88">
        <w:t xml:space="preserve">from October to February (see Figure 3 – Case Study 2). </w:t>
      </w:r>
      <w:r w:rsidR="005351A0">
        <w:t>This</w:t>
      </w:r>
      <w:r w:rsidR="00820E88">
        <w:t xml:space="preserve"> shows that there is a trade-off between grid dependency and energy production.</w:t>
      </w:r>
    </w:p>
    <w:p w14:paraId="0055476E" w14:textId="3D435534" w:rsidR="000857D1" w:rsidRDefault="000857D1" w:rsidP="008E2928">
      <w:pPr>
        <w:pStyle w:val="Els-body-text"/>
      </w:pPr>
    </w:p>
    <w:p w14:paraId="43DC9C30" w14:textId="4BAF86B8" w:rsidR="008E2928" w:rsidRDefault="00405DFD" w:rsidP="000857D1">
      <w:pPr>
        <w:pStyle w:val="Els-body-text"/>
        <w:jc w:val="center"/>
      </w:pPr>
      <w:r>
        <w:rPr>
          <w:noProof/>
        </w:rPr>
        <w:drawing>
          <wp:inline distT="0" distB="0" distL="0" distR="0" wp14:anchorId="5EE9820F" wp14:editId="309FAC19">
            <wp:extent cx="4258733" cy="1759891"/>
            <wp:effectExtent l="0" t="0" r="8890" b="0"/>
            <wp:docPr id="128565968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3835" cy="1790926"/>
                    </a:xfrm>
                    <a:prstGeom prst="rect">
                      <a:avLst/>
                    </a:prstGeom>
                    <a:noFill/>
                    <a:ln>
                      <a:noFill/>
                    </a:ln>
                  </pic:spPr>
                </pic:pic>
              </a:graphicData>
            </a:graphic>
          </wp:inline>
        </w:drawing>
      </w:r>
    </w:p>
    <w:p w14:paraId="730174A5" w14:textId="6AA6B36F" w:rsidR="0065020C" w:rsidRDefault="000857D1" w:rsidP="000857D1">
      <w:pPr>
        <w:pStyle w:val="Els-body-text"/>
        <w:jc w:val="center"/>
      </w:pPr>
      <w:r w:rsidRPr="00B845DE">
        <w:rPr>
          <w:b/>
          <w:bCs/>
        </w:rPr>
        <w:t xml:space="preserve">Figure </w:t>
      </w:r>
      <w:r>
        <w:rPr>
          <w:b/>
          <w:bCs/>
        </w:rPr>
        <w:t>4</w:t>
      </w:r>
      <w:r>
        <w:t xml:space="preserve">. </w:t>
      </w:r>
      <w:r w:rsidR="004B5F8D">
        <w:t xml:space="preserve">Electricity </w:t>
      </w:r>
      <w:r w:rsidR="00923D76">
        <w:t xml:space="preserve">transmission </w:t>
      </w:r>
      <w:r>
        <w:t>in Case study 2.</w:t>
      </w:r>
    </w:p>
    <w:p w14:paraId="5AEE0039" w14:textId="2313443E" w:rsidR="00FD6A08" w:rsidRPr="00FD6A08" w:rsidRDefault="008D2649" w:rsidP="00FD6A08">
      <w:pPr>
        <w:pStyle w:val="Els-1storder-head"/>
        <w:spacing w:after="120"/>
        <w:rPr>
          <w:lang w:val="en-GB"/>
        </w:rPr>
      </w:pPr>
      <w:r w:rsidRPr="00A94774">
        <w:rPr>
          <w:lang w:val="en-GB"/>
        </w:rPr>
        <w:lastRenderedPageBreak/>
        <w:t>Conclusions</w:t>
      </w:r>
    </w:p>
    <w:p w14:paraId="39310B12" w14:textId="56BAB6C8" w:rsidR="002425F2" w:rsidRDefault="006E0916" w:rsidP="008D2649">
      <w:pPr>
        <w:pStyle w:val="Els-body-text"/>
        <w:spacing w:after="120"/>
        <w:rPr>
          <w:lang w:val="en-GB"/>
        </w:rPr>
      </w:pPr>
      <w:r>
        <w:rPr>
          <w:lang w:val="en-GB"/>
        </w:rPr>
        <w:t xml:space="preserve">A </w:t>
      </w:r>
      <w:r w:rsidR="00311579">
        <w:rPr>
          <w:lang w:val="en-GB"/>
        </w:rPr>
        <w:t>mathematical</w:t>
      </w:r>
      <w:r w:rsidR="00820E88">
        <w:rPr>
          <w:lang w:val="en-GB"/>
        </w:rPr>
        <w:t xml:space="preserve"> model </w:t>
      </w:r>
      <w:r>
        <w:rPr>
          <w:lang w:val="en-GB"/>
        </w:rPr>
        <w:t xml:space="preserve">is proposed </w:t>
      </w:r>
      <w:r w:rsidR="00820E88">
        <w:rPr>
          <w:lang w:val="en-GB"/>
        </w:rPr>
        <w:t xml:space="preserve">for the </w:t>
      </w:r>
      <w:r w:rsidR="002C69C2">
        <w:rPr>
          <w:lang w:val="en-GB"/>
        </w:rPr>
        <w:t>integrated modelling of</w:t>
      </w:r>
      <w:r w:rsidR="009C11B1">
        <w:rPr>
          <w:lang w:val="en-GB"/>
        </w:rPr>
        <w:t xml:space="preserve"> a</w:t>
      </w:r>
      <w:r w:rsidR="002C69C2">
        <w:rPr>
          <w:lang w:val="en-GB"/>
        </w:rPr>
        <w:t xml:space="preserve"> sustainable energy network based on CSP plants, followi</w:t>
      </w:r>
      <w:r w:rsidR="00311579">
        <w:rPr>
          <w:lang w:val="en-GB"/>
        </w:rPr>
        <w:t>ng the Net-zero policies and the goal of decarbonize the energy network. The model includes technical, economic, social, and geographical aspects, which are simultaneously consider</w:t>
      </w:r>
      <w:r w:rsidR="0021088F">
        <w:rPr>
          <w:lang w:val="en-GB"/>
        </w:rPr>
        <w:t>ed</w:t>
      </w:r>
      <w:r w:rsidR="00311579">
        <w:rPr>
          <w:lang w:val="en-GB"/>
        </w:rPr>
        <w:t xml:space="preserve"> to optimize the production</w:t>
      </w:r>
      <w:r w:rsidR="004C426D">
        <w:rPr>
          <w:lang w:val="en-GB"/>
        </w:rPr>
        <w:t>, storage</w:t>
      </w:r>
      <w:r w:rsidR="00311579">
        <w:rPr>
          <w:lang w:val="en-GB"/>
        </w:rPr>
        <w:t xml:space="preserve"> and distribution of electricity</w:t>
      </w:r>
      <w:r w:rsidR="004C426D">
        <w:rPr>
          <w:lang w:val="en-GB"/>
        </w:rPr>
        <w:t xml:space="preserve"> and</w:t>
      </w:r>
      <w:r w:rsidR="00134E07">
        <w:rPr>
          <w:lang w:val="en-GB"/>
        </w:rPr>
        <w:t xml:space="preserve"> H</w:t>
      </w:r>
      <w:r w:rsidR="00134E07" w:rsidRPr="00995E31">
        <w:rPr>
          <w:vertAlign w:val="subscript"/>
          <w:lang w:val="en-GB"/>
        </w:rPr>
        <w:t>2</w:t>
      </w:r>
      <w:r w:rsidR="00134E07">
        <w:rPr>
          <w:lang w:val="en-GB"/>
        </w:rPr>
        <w:t xml:space="preserve"> as an energy vector</w:t>
      </w:r>
      <w:r w:rsidR="00311579">
        <w:rPr>
          <w:lang w:val="en-GB"/>
        </w:rPr>
        <w:t xml:space="preserve">. The social </w:t>
      </w:r>
      <w:r w:rsidR="001D67DF">
        <w:rPr>
          <w:lang w:val="en-GB"/>
        </w:rPr>
        <w:t xml:space="preserve">impact model </w:t>
      </w:r>
      <w:r w:rsidR="00311579">
        <w:rPr>
          <w:lang w:val="en-GB"/>
        </w:rPr>
        <w:t>capture</w:t>
      </w:r>
      <w:r w:rsidR="00FE5D20">
        <w:rPr>
          <w:lang w:val="en-GB"/>
        </w:rPr>
        <w:t>s</w:t>
      </w:r>
      <w:r w:rsidR="00311579">
        <w:rPr>
          <w:lang w:val="en-GB"/>
        </w:rPr>
        <w:t xml:space="preserve"> the importance and benefits of developing </w:t>
      </w:r>
      <w:r w:rsidR="0085556C">
        <w:rPr>
          <w:lang w:val="en-GB"/>
        </w:rPr>
        <w:t xml:space="preserve">underdeveloped </w:t>
      </w:r>
      <w:r w:rsidR="00311579">
        <w:rPr>
          <w:lang w:val="en-GB"/>
        </w:rPr>
        <w:t>areas</w:t>
      </w:r>
      <w:r w:rsidR="009E5A20">
        <w:rPr>
          <w:lang w:val="en-GB"/>
        </w:rPr>
        <w:t xml:space="preserve"> </w:t>
      </w:r>
      <w:r w:rsidR="0085556C">
        <w:rPr>
          <w:lang w:val="en-GB"/>
        </w:rPr>
        <w:t>with</w:t>
      </w:r>
      <w:r w:rsidR="009E5A20">
        <w:rPr>
          <w:lang w:val="en-GB"/>
        </w:rPr>
        <w:t xml:space="preserve"> large </w:t>
      </w:r>
      <w:r w:rsidR="00AD0BD2">
        <w:rPr>
          <w:lang w:val="en-GB"/>
        </w:rPr>
        <w:t>solar</w:t>
      </w:r>
      <w:r w:rsidR="009E5A20">
        <w:rPr>
          <w:lang w:val="en-GB"/>
        </w:rPr>
        <w:t xml:space="preserve"> irradia</w:t>
      </w:r>
      <w:r w:rsidR="00FE5D20">
        <w:rPr>
          <w:lang w:val="en-GB"/>
        </w:rPr>
        <w:t>tion</w:t>
      </w:r>
      <w:r w:rsidR="00311579">
        <w:rPr>
          <w:lang w:val="en-GB"/>
        </w:rPr>
        <w:t xml:space="preserve">, </w:t>
      </w:r>
      <w:r w:rsidR="00C24F14">
        <w:rPr>
          <w:lang w:val="en-GB"/>
        </w:rPr>
        <w:t>and allow</w:t>
      </w:r>
      <w:r w:rsidR="00895339">
        <w:rPr>
          <w:lang w:val="en-GB"/>
        </w:rPr>
        <w:t>s</w:t>
      </w:r>
      <w:r w:rsidR="00C24F14">
        <w:rPr>
          <w:lang w:val="en-GB"/>
        </w:rPr>
        <w:t xml:space="preserve"> </w:t>
      </w:r>
      <w:r w:rsidR="001D67DF">
        <w:rPr>
          <w:lang w:val="en-GB"/>
        </w:rPr>
        <w:t>analysing the</w:t>
      </w:r>
      <w:r w:rsidR="00311579">
        <w:rPr>
          <w:lang w:val="en-GB"/>
        </w:rPr>
        <w:t xml:space="preserve"> trade-off between</w:t>
      </w:r>
      <w:r w:rsidR="00AD1F40">
        <w:rPr>
          <w:lang w:val="en-GB"/>
        </w:rPr>
        <w:t xml:space="preserve"> investment,</w:t>
      </w:r>
      <w:r w:rsidR="00311579">
        <w:rPr>
          <w:lang w:val="en-GB"/>
        </w:rPr>
        <w:t xml:space="preserve"> production and social impact.</w:t>
      </w:r>
      <w:r w:rsidR="009E5A20">
        <w:rPr>
          <w:lang w:val="en-GB"/>
        </w:rPr>
        <w:t xml:space="preserve"> </w:t>
      </w:r>
    </w:p>
    <w:p w14:paraId="15B8CEE4" w14:textId="14CFD7F6" w:rsidR="00CD7B45" w:rsidRDefault="002A7999" w:rsidP="008D2649">
      <w:pPr>
        <w:pStyle w:val="Els-body-text"/>
        <w:spacing w:after="120"/>
        <w:rPr>
          <w:lang w:val="en-GB"/>
        </w:rPr>
      </w:pPr>
      <w:r>
        <w:rPr>
          <w:lang w:val="en-GB"/>
        </w:rPr>
        <w:t xml:space="preserve">The model formulation </w:t>
      </w:r>
      <w:r w:rsidR="001D4858">
        <w:rPr>
          <w:lang w:val="en-GB"/>
        </w:rPr>
        <w:t>is</w:t>
      </w:r>
      <w:r>
        <w:rPr>
          <w:lang w:val="en-GB"/>
        </w:rPr>
        <w:t xml:space="preserve"> a scalable multi-period MILP, in which the timeframe </w:t>
      </w:r>
      <w:r w:rsidR="00AB5264">
        <w:rPr>
          <w:lang w:val="en-GB"/>
        </w:rPr>
        <w:t xml:space="preserve">of </w:t>
      </w:r>
      <w:r>
        <w:rPr>
          <w:lang w:val="en-GB"/>
        </w:rPr>
        <w:t xml:space="preserve">1 year of operation </w:t>
      </w:r>
      <w:r w:rsidR="00AB5264">
        <w:rPr>
          <w:lang w:val="en-GB"/>
        </w:rPr>
        <w:t xml:space="preserve">is </w:t>
      </w:r>
      <w:r>
        <w:rPr>
          <w:lang w:val="en-GB"/>
        </w:rPr>
        <w:t>divided into 12 months. The model was applied to evaluate 5 regions selected through Spain, considering two case studies</w:t>
      </w:r>
      <w:r w:rsidR="00CD7B45">
        <w:rPr>
          <w:lang w:val="en-GB"/>
        </w:rPr>
        <w:t>.</w:t>
      </w:r>
      <w:r w:rsidR="00F04338">
        <w:rPr>
          <w:lang w:val="en-GB"/>
        </w:rPr>
        <w:t xml:space="preserve"> </w:t>
      </w:r>
      <w:r w:rsidR="00CD7B45" w:rsidRPr="00CD7B45">
        <w:rPr>
          <w:lang w:val="en-GB"/>
        </w:rPr>
        <w:t>The results show that the southern regions</w:t>
      </w:r>
      <w:r w:rsidR="00CD7B45">
        <w:rPr>
          <w:lang w:val="en-GB"/>
        </w:rPr>
        <w:t xml:space="preserve"> (Almeria and Badajoz)</w:t>
      </w:r>
      <w:r w:rsidR="00CD7B45" w:rsidRPr="00CD7B45">
        <w:rPr>
          <w:lang w:val="en-GB"/>
        </w:rPr>
        <w:t xml:space="preserve"> are more suitable for production and for meeting the total energy demand using the distribution network</w:t>
      </w:r>
      <w:r w:rsidR="00CD7B45">
        <w:rPr>
          <w:lang w:val="en-GB"/>
        </w:rPr>
        <w:t xml:space="preserve">, because </w:t>
      </w:r>
      <w:r w:rsidR="0052462D">
        <w:rPr>
          <w:lang w:val="en-GB"/>
        </w:rPr>
        <w:t>of</w:t>
      </w:r>
      <w:r w:rsidR="00CD7B45">
        <w:rPr>
          <w:lang w:val="en-GB"/>
        </w:rPr>
        <w:t xml:space="preserve"> larger DNI values and </w:t>
      </w:r>
      <w:r w:rsidR="00753970">
        <w:rPr>
          <w:lang w:val="en-GB"/>
        </w:rPr>
        <w:t xml:space="preserve">higher </w:t>
      </w:r>
      <w:r w:rsidR="00CD7B45">
        <w:rPr>
          <w:lang w:val="en-GB"/>
        </w:rPr>
        <w:t>social impact of the new facilities</w:t>
      </w:r>
      <w:r w:rsidR="00CD7B45" w:rsidRPr="00CD7B45">
        <w:rPr>
          <w:lang w:val="en-GB"/>
        </w:rPr>
        <w:t>.</w:t>
      </w:r>
      <w:r w:rsidR="00CD7B45">
        <w:rPr>
          <w:lang w:val="en-GB"/>
        </w:rPr>
        <w:t xml:space="preserve"> </w:t>
      </w:r>
      <w:r w:rsidR="00EA002A">
        <w:rPr>
          <w:lang w:val="en-GB"/>
        </w:rPr>
        <w:t>T</w:t>
      </w:r>
      <w:r w:rsidR="00A54E5D">
        <w:rPr>
          <w:lang w:val="en-GB"/>
        </w:rPr>
        <w:t xml:space="preserve">o fully </w:t>
      </w:r>
      <w:r w:rsidR="00CD7B45">
        <w:rPr>
          <w:lang w:val="en-GB"/>
        </w:rPr>
        <w:t>meet demand</w:t>
      </w:r>
      <w:r w:rsidR="006E5FC5">
        <w:rPr>
          <w:lang w:val="en-GB"/>
        </w:rPr>
        <w:t xml:space="preserve"> with no external import</w:t>
      </w:r>
      <w:r w:rsidR="00CD7B45">
        <w:rPr>
          <w:lang w:val="en-GB"/>
        </w:rPr>
        <w:t xml:space="preserve">, </w:t>
      </w:r>
      <w:r w:rsidR="00EA002A">
        <w:rPr>
          <w:lang w:val="en-GB"/>
        </w:rPr>
        <w:t>3 CSP plants are required</w:t>
      </w:r>
      <w:r w:rsidR="00A9306F">
        <w:rPr>
          <w:lang w:val="en-GB"/>
        </w:rPr>
        <w:t>,</w:t>
      </w:r>
      <w:r w:rsidR="00EA002A">
        <w:rPr>
          <w:lang w:val="en-GB"/>
        </w:rPr>
        <w:t xml:space="preserve"> </w:t>
      </w:r>
      <w:r w:rsidR="00CD7B45">
        <w:rPr>
          <w:lang w:val="en-GB"/>
        </w:rPr>
        <w:t>over-designed to meet the demand during winter</w:t>
      </w:r>
      <w:r w:rsidR="00806F91">
        <w:rPr>
          <w:lang w:val="en-GB"/>
        </w:rPr>
        <w:t>, resulting in</w:t>
      </w:r>
      <w:r w:rsidR="00CD7B45">
        <w:rPr>
          <w:lang w:val="en-GB"/>
        </w:rPr>
        <w:t xml:space="preserve"> an energy surplus and </w:t>
      </w:r>
      <w:r w:rsidR="008933AD">
        <w:rPr>
          <w:lang w:val="en-GB"/>
        </w:rPr>
        <w:t>unused electricity</w:t>
      </w:r>
      <w:r w:rsidR="00CD7B45">
        <w:rPr>
          <w:lang w:val="en-GB"/>
        </w:rPr>
        <w:t xml:space="preserve"> during the rest of the year. </w:t>
      </w:r>
      <w:r w:rsidR="0033791C">
        <w:rPr>
          <w:lang w:val="en-GB"/>
        </w:rPr>
        <w:t>If</w:t>
      </w:r>
      <w:r w:rsidR="00B9083B">
        <w:rPr>
          <w:lang w:val="en-GB"/>
        </w:rPr>
        <w:t xml:space="preserve"> external</w:t>
      </w:r>
      <w:r w:rsidR="0033791C">
        <w:rPr>
          <w:lang w:val="en-GB"/>
        </w:rPr>
        <w:t xml:space="preserve"> </w:t>
      </w:r>
      <w:r w:rsidR="008933AD">
        <w:rPr>
          <w:lang w:val="en-GB"/>
        </w:rPr>
        <w:t xml:space="preserve">electricity </w:t>
      </w:r>
      <w:r w:rsidR="0033791C">
        <w:rPr>
          <w:lang w:val="en-GB"/>
        </w:rPr>
        <w:t>import is allo</w:t>
      </w:r>
      <w:r w:rsidR="00B9083B">
        <w:rPr>
          <w:lang w:val="en-GB"/>
        </w:rPr>
        <w:t>wed</w:t>
      </w:r>
      <w:r w:rsidR="00CD7B45">
        <w:rPr>
          <w:lang w:val="en-GB"/>
        </w:rPr>
        <w:t xml:space="preserve">, </w:t>
      </w:r>
      <w:r w:rsidR="00B9083B">
        <w:rPr>
          <w:lang w:val="en-GB"/>
        </w:rPr>
        <w:t xml:space="preserve">2 </w:t>
      </w:r>
      <w:r w:rsidR="00444931">
        <w:rPr>
          <w:lang w:val="en-GB"/>
        </w:rPr>
        <w:t xml:space="preserve">smaller </w:t>
      </w:r>
      <w:r w:rsidR="00CD7B45">
        <w:rPr>
          <w:lang w:val="en-GB"/>
        </w:rPr>
        <w:t xml:space="preserve">CSP </w:t>
      </w:r>
      <w:r w:rsidR="00444931">
        <w:rPr>
          <w:lang w:val="en-GB"/>
        </w:rPr>
        <w:t>are optimal</w:t>
      </w:r>
      <w:r w:rsidR="00CD7B45">
        <w:rPr>
          <w:lang w:val="en-GB"/>
        </w:rPr>
        <w:t xml:space="preserve">, because the benefits of producing </w:t>
      </w:r>
      <w:r w:rsidR="00153042">
        <w:rPr>
          <w:lang w:val="en-GB"/>
        </w:rPr>
        <w:t xml:space="preserve">green </w:t>
      </w:r>
      <w:r w:rsidR="00CD7B45">
        <w:rPr>
          <w:lang w:val="en-GB"/>
        </w:rPr>
        <w:t xml:space="preserve">energy are not as competitive </w:t>
      </w:r>
      <w:r w:rsidR="00153042">
        <w:rPr>
          <w:lang w:val="en-GB"/>
        </w:rPr>
        <w:t xml:space="preserve">as </w:t>
      </w:r>
      <w:r w:rsidR="00CD7B45">
        <w:rPr>
          <w:lang w:val="en-GB"/>
        </w:rPr>
        <w:t xml:space="preserve">purchasing some electricity from the grid during certain months. </w:t>
      </w:r>
      <w:r w:rsidR="00CD7B45" w:rsidRPr="00CD7B45">
        <w:rPr>
          <w:lang w:val="en-GB"/>
        </w:rPr>
        <w:t xml:space="preserve">Both case studies highlight the need for policies and incentives to encourage the use of green hydrogen as an energy </w:t>
      </w:r>
      <w:r w:rsidR="00CD7B45">
        <w:rPr>
          <w:lang w:val="en-GB"/>
        </w:rPr>
        <w:t>vector</w:t>
      </w:r>
      <w:r w:rsidR="00CB786B">
        <w:rPr>
          <w:lang w:val="en-GB"/>
        </w:rPr>
        <w:t xml:space="preserve">, if </w:t>
      </w:r>
      <w:r w:rsidR="002974C5">
        <w:rPr>
          <w:lang w:val="en-GB"/>
        </w:rPr>
        <w:t>its prices are to compete with</w:t>
      </w:r>
      <w:r w:rsidR="00CD7B45" w:rsidRPr="00CD7B45">
        <w:rPr>
          <w:lang w:val="en-GB"/>
        </w:rPr>
        <w:t xml:space="preserve"> gr</w:t>
      </w:r>
      <w:r w:rsidR="00CD7B45">
        <w:rPr>
          <w:lang w:val="en-GB"/>
        </w:rPr>
        <w:t>e</w:t>
      </w:r>
      <w:r w:rsidR="00CD7B45" w:rsidRPr="00CD7B45">
        <w:rPr>
          <w:lang w:val="en-GB"/>
        </w:rPr>
        <w:t>y hydrogen.</w:t>
      </w:r>
    </w:p>
    <w:p w14:paraId="51424D9D" w14:textId="77777777" w:rsidR="00747AE6" w:rsidRDefault="00747AE6" w:rsidP="00747AE6">
      <w:pPr>
        <w:pStyle w:val="Els-reference-head"/>
      </w:pPr>
      <w:r>
        <w:t>References</w:t>
      </w:r>
    </w:p>
    <w:p w14:paraId="2A14A20F" w14:textId="0814D10B" w:rsidR="00747AE6" w:rsidRPr="00A94774" w:rsidRDefault="00747AE6" w:rsidP="008D2649">
      <w:pPr>
        <w:pStyle w:val="Els-body-text"/>
        <w:spacing w:after="120"/>
        <w:rPr>
          <w:lang w:val="en-GB"/>
        </w:rPr>
      </w:pPr>
      <w:r w:rsidRPr="009E5946">
        <w:rPr>
          <w:noProof/>
          <w:sz w:val="18"/>
        </w:rPr>
        <w:t>The authors acknowledge Imperial College London and University of Salamanca for access to scientific sources and databases. The authors acknowledge the Margarita Salas grant, co-funded by the European NextGenerationEU Fund, Spanish “Plan de Recuperación, Transformación y Resiliencia” Fund, Spanish Ministry of Universities, and University of Salamanca (“Ayudas para la recualificación del Sistema Universitario español 2021-2022”), to JA Luceño Sánchez.</w:t>
      </w:r>
    </w:p>
    <w:p w14:paraId="144DE6BF" w14:textId="608D0AD6" w:rsidR="008D2649" w:rsidRDefault="008D2649" w:rsidP="008D2649">
      <w:pPr>
        <w:pStyle w:val="Els-reference-head"/>
      </w:pPr>
      <w:r>
        <w:t>References</w:t>
      </w:r>
    </w:p>
    <w:p w14:paraId="756CA640" w14:textId="77777777" w:rsidR="00747AE6" w:rsidRDefault="00747AE6" w:rsidP="009E0C52">
      <w:pPr>
        <w:pStyle w:val="Els-referenceno-number"/>
        <w:ind w:left="142" w:hanging="142"/>
        <w:jc w:val="both"/>
        <w:rPr>
          <w:lang w:val="en-US"/>
        </w:rPr>
      </w:pPr>
      <w:r w:rsidRPr="00343B27">
        <w:rPr>
          <w:lang w:val="pt-PT"/>
        </w:rPr>
        <w:t>Ainou</w:t>
      </w:r>
      <w:r>
        <w:rPr>
          <w:lang w:val="pt-PT"/>
        </w:rPr>
        <w:t xml:space="preserve">, F.Z.; Ali, M.; Sadiq, M. (2023). </w:t>
      </w:r>
      <w:r w:rsidRPr="00343B27">
        <w:rPr>
          <w:lang w:val="en-US"/>
        </w:rPr>
        <w:t>Green energy security assessment in Morocco: green finance as a step toward sustainable energy transition</w:t>
      </w:r>
      <w:r>
        <w:rPr>
          <w:lang w:val="en-US"/>
        </w:rPr>
        <w:t xml:space="preserve">. </w:t>
      </w:r>
      <w:r w:rsidRPr="00343B27">
        <w:rPr>
          <w:lang w:val="en-US"/>
        </w:rPr>
        <w:t>Environ. Sci. Pollut. Res.</w:t>
      </w:r>
      <w:r>
        <w:rPr>
          <w:lang w:val="en-US"/>
        </w:rPr>
        <w:t>, 30, 61411-61429.</w:t>
      </w:r>
    </w:p>
    <w:p w14:paraId="0E3D949D" w14:textId="77777777" w:rsidR="00747AE6" w:rsidRDefault="00747AE6" w:rsidP="009E0C52">
      <w:pPr>
        <w:pStyle w:val="Els-referenceno-number"/>
        <w:ind w:left="142" w:hanging="142"/>
        <w:jc w:val="both"/>
        <w:rPr>
          <w:lang w:val="en-US"/>
        </w:rPr>
      </w:pPr>
      <w:r w:rsidRPr="00FC6672">
        <w:rPr>
          <w:lang w:val="en-US"/>
        </w:rPr>
        <w:t>Heras, J.; Martín, M.</w:t>
      </w:r>
      <w:r>
        <w:rPr>
          <w:lang w:val="en-US"/>
        </w:rPr>
        <w:t xml:space="preserve"> (2020).</w:t>
      </w:r>
      <w:r w:rsidRPr="00FC6672">
        <w:rPr>
          <w:lang w:val="en-US"/>
        </w:rPr>
        <w:t xml:space="preserve"> Social Issues in the Energy Transition: Effect on the Design of the New Power System. Appl. Energy, 278, 115654. </w:t>
      </w:r>
    </w:p>
    <w:p w14:paraId="33218540" w14:textId="2BDB2008" w:rsidR="007F4044" w:rsidRDefault="007F4044" w:rsidP="009E0C52">
      <w:pPr>
        <w:pStyle w:val="Els-referenceno-number"/>
        <w:ind w:left="142" w:hanging="142"/>
        <w:jc w:val="both"/>
        <w:rPr>
          <w:lang w:val="en-US"/>
        </w:rPr>
      </w:pPr>
      <w:r w:rsidRPr="007F4044">
        <w:t xml:space="preserve">INE, Instituto Nacional de Estadística (Spanish </w:t>
      </w:r>
      <w:r>
        <w:t>N</w:t>
      </w:r>
      <w:r w:rsidRPr="007F4044">
        <w:t>ational Ins</w:t>
      </w:r>
      <w:r>
        <w:t>t</w:t>
      </w:r>
      <w:r w:rsidRPr="007F4044">
        <w:t>itute of Statistics).</w:t>
      </w:r>
      <w:r w:rsidRPr="007F4044">
        <w:rPr>
          <w:lang w:val="en-US"/>
        </w:rPr>
        <w:t xml:space="preserve"> </w:t>
      </w:r>
      <w:r w:rsidRPr="00A41C15">
        <w:rPr>
          <w:lang w:val="en-US"/>
        </w:rPr>
        <w:t xml:space="preserve">Last </w:t>
      </w:r>
      <w:r>
        <w:rPr>
          <w:lang w:val="en-US"/>
        </w:rPr>
        <w:t>accessed Sep 2023.</w:t>
      </w:r>
      <w:r w:rsidRPr="007F4044">
        <w:t xml:space="preserve"> </w:t>
      </w:r>
      <w:r w:rsidRPr="007F4044">
        <w:rPr>
          <w:lang w:val="en-US"/>
        </w:rPr>
        <w:t>https://www.ine.es/</w:t>
      </w:r>
    </w:p>
    <w:p w14:paraId="5FAD84AE" w14:textId="75C06EB5" w:rsidR="0093787B" w:rsidRPr="007F4044" w:rsidRDefault="0093787B" w:rsidP="009E0C52">
      <w:pPr>
        <w:pStyle w:val="Els-referenceno-number"/>
        <w:ind w:left="142" w:hanging="142"/>
        <w:jc w:val="both"/>
      </w:pPr>
      <w:r>
        <w:t xml:space="preserve">IRENA, International Renewable Energy Agency. Hydrogen Overview. 2022 (Last accessed Sep 2023). </w:t>
      </w:r>
      <w:r w:rsidRPr="0093787B">
        <w:t>https://www.irena.org/Energy-Transition/Technology/Hydrogen</w:t>
      </w:r>
    </w:p>
    <w:p w14:paraId="6B7B0BEC" w14:textId="77777777" w:rsidR="00747AE6" w:rsidRDefault="00747AE6" w:rsidP="009E0C52">
      <w:pPr>
        <w:pStyle w:val="Els-referenceno-number"/>
        <w:ind w:left="142" w:hanging="142"/>
        <w:jc w:val="both"/>
        <w:rPr>
          <w:lang w:val="en-US"/>
        </w:rPr>
      </w:pPr>
      <w:r w:rsidRPr="00C27826">
        <w:rPr>
          <w:lang w:val="es-ES"/>
        </w:rPr>
        <w:t xml:space="preserve">Luceño Sánchez, J.A.; Martín, M.; Macchietto, S. (2023). </w:t>
      </w:r>
      <w:r w:rsidRPr="00FF6680">
        <w:rPr>
          <w:lang w:val="en-US"/>
        </w:rPr>
        <w:t>Optimal Concentrated Solar Plant (CSP)</w:t>
      </w:r>
      <w:r>
        <w:rPr>
          <w:lang w:val="en-US"/>
        </w:rPr>
        <w:t xml:space="preserve"> </w:t>
      </w:r>
      <w:r w:rsidRPr="00FF6680">
        <w:rPr>
          <w:lang w:val="en-US"/>
        </w:rPr>
        <w:t>location accounting for social and</w:t>
      </w:r>
      <w:r>
        <w:rPr>
          <w:lang w:val="en-US"/>
        </w:rPr>
        <w:t xml:space="preserve"> </w:t>
      </w:r>
      <w:r w:rsidRPr="00FF6680">
        <w:rPr>
          <w:lang w:val="en-US"/>
        </w:rPr>
        <w:t>environmental impact: A three location</w:t>
      </w:r>
      <w:r>
        <w:rPr>
          <w:lang w:val="en-US"/>
        </w:rPr>
        <w:t xml:space="preserve"> </w:t>
      </w:r>
      <w:r w:rsidRPr="00FF6680">
        <w:rPr>
          <w:lang w:val="en-US"/>
        </w:rPr>
        <w:t>study in Spain</w:t>
      </w:r>
      <w:r>
        <w:rPr>
          <w:lang w:val="en-US"/>
        </w:rPr>
        <w:t xml:space="preserve">. </w:t>
      </w:r>
      <w:r w:rsidRPr="00FF6680">
        <w:rPr>
          <w:lang w:val="en-US"/>
        </w:rPr>
        <w:t>Comput. Aided Chem. Eng.</w:t>
      </w:r>
      <w:r>
        <w:rPr>
          <w:lang w:val="en-US"/>
        </w:rPr>
        <w:t xml:space="preserve"> 52, 3031-3036.</w:t>
      </w:r>
    </w:p>
    <w:p w14:paraId="63E83DDF" w14:textId="1881A68A" w:rsidR="007F4044" w:rsidRDefault="007F4044" w:rsidP="007F4044">
      <w:pPr>
        <w:pStyle w:val="Els-referenceno-number"/>
        <w:ind w:left="142" w:hanging="142"/>
        <w:jc w:val="both"/>
        <w:rPr>
          <w:lang w:val="en-US"/>
        </w:rPr>
      </w:pPr>
      <w:r>
        <w:rPr>
          <w:lang w:val="en-US"/>
        </w:rPr>
        <w:t xml:space="preserve">PVGIS, </w:t>
      </w:r>
      <w:r w:rsidRPr="00A41C15">
        <w:rPr>
          <w:lang w:val="en-US"/>
        </w:rPr>
        <w:t>Photovoltaic Geographical Information System</w:t>
      </w:r>
      <w:r>
        <w:rPr>
          <w:lang w:val="en-US"/>
        </w:rPr>
        <w:t>.</w:t>
      </w:r>
      <w:r w:rsidRPr="00A41C15">
        <w:t xml:space="preserve"> </w:t>
      </w:r>
      <w:r w:rsidRPr="00A41C15">
        <w:rPr>
          <w:lang w:val="en-US"/>
        </w:rPr>
        <w:t>Interactive tools</w:t>
      </w:r>
      <w:r>
        <w:rPr>
          <w:lang w:val="en-US"/>
        </w:rPr>
        <w:t xml:space="preserve">. </w:t>
      </w:r>
      <w:r w:rsidRPr="00A41C15">
        <w:rPr>
          <w:lang w:val="en-US"/>
        </w:rPr>
        <w:t xml:space="preserve">Last </w:t>
      </w:r>
      <w:r>
        <w:rPr>
          <w:lang w:val="en-US"/>
        </w:rPr>
        <w:t xml:space="preserve">accessed Sep 2023. </w:t>
      </w:r>
      <w:r w:rsidRPr="007F4044">
        <w:rPr>
          <w:lang w:val="en-US"/>
        </w:rPr>
        <w:t>https://re.jrc.ec.europa.eu/pvg_tools/en/</w:t>
      </w:r>
      <w:r w:rsidRPr="00A41C15">
        <w:rPr>
          <w:lang w:val="en-US"/>
        </w:rPr>
        <w:t xml:space="preserve"> </w:t>
      </w:r>
    </w:p>
    <w:p w14:paraId="144DE6C3" w14:textId="3D5E6461" w:rsidR="008D2649" w:rsidRDefault="00747AE6" w:rsidP="000B5099">
      <w:pPr>
        <w:pStyle w:val="Els-referenceno-number"/>
        <w:ind w:left="142" w:hanging="142"/>
        <w:jc w:val="both"/>
        <w:rPr>
          <w:lang w:val="en-US"/>
        </w:rPr>
      </w:pPr>
      <w:r>
        <w:rPr>
          <w:lang w:val="en-US"/>
        </w:rPr>
        <w:t xml:space="preserve">Shi, X. (2016). </w:t>
      </w:r>
      <w:r w:rsidRPr="00343B27">
        <w:rPr>
          <w:lang w:val="en-US"/>
        </w:rPr>
        <w:t>The future of ASEAN energy mix: A SWOT analysis</w:t>
      </w:r>
      <w:r>
        <w:rPr>
          <w:lang w:val="en-US"/>
        </w:rPr>
        <w:t xml:space="preserve">. </w:t>
      </w:r>
      <w:r w:rsidRPr="00343B27">
        <w:rPr>
          <w:lang w:val="en-US"/>
        </w:rPr>
        <w:t>Renew. Sust. Energ. Rev.</w:t>
      </w:r>
      <w:r>
        <w:rPr>
          <w:lang w:val="en-US"/>
        </w:rPr>
        <w:t>, 53, 672-680.</w:t>
      </w:r>
    </w:p>
    <w:sectPr w:rsidR="008D2649" w:rsidSect="008B0184">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A0BA3" w14:textId="77777777" w:rsidR="00DB2CAB" w:rsidRDefault="00DB2CAB">
      <w:r>
        <w:separator/>
      </w:r>
    </w:p>
  </w:endnote>
  <w:endnote w:type="continuationSeparator" w:id="0">
    <w:p w14:paraId="10BC00C8" w14:textId="77777777" w:rsidR="00DB2CAB" w:rsidRDefault="00DB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D0145" w14:textId="77777777" w:rsidR="00DB2CAB" w:rsidRDefault="00DB2CAB">
      <w:r>
        <w:separator/>
      </w:r>
    </w:p>
  </w:footnote>
  <w:footnote w:type="continuationSeparator" w:id="0">
    <w:p w14:paraId="050E1CAA" w14:textId="77777777" w:rsidR="00DB2CAB" w:rsidRDefault="00DB2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16D84F6C" w:rsidR="00DD3D9E" w:rsidRDefault="00DD3D9E">
    <w:pPr>
      <w:pStyle w:val="Encabezado"/>
      <w:tabs>
        <w:tab w:val="clear" w:pos="7200"/>
        <w:tab w:val="right" w:pos="7088"/>
      </w:tabs>
    </w:pPr>
    <w:r>
      <w:rPr>
        <w:rStyle w:val="Nmerodepgina"/>
      </w:rPr>
      <w:tab/>
    </w:r>
    <w:r>
      <w:rPr>
        <w:rStyle w:val="Nmerodepgina"/>
        <w:i/>
      </w:rPr>
      <w:tab/>
    </w:r>
    <w:r w:rsidR="00C91429">
      <w:rPr>
        <w:i/>
      </w:rPr>
      <w:fldChar w:fldCharType="begin"/>
    </w:r>
    <w:r w:rsidR="00C91429">
      <w:rPr>
        <w:i/>
      </w:rPr>
      <w:instrText xml:space="preserve"> MACROBUTTON  AbrirEspacioPárrafo J.A. Luceño Sánchez et al. </w:instrText>
    </w:r>
    <w:r w:rsidR="00C91429">
      <w:rPr>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2C7DAED4" w:rsidR="00DD3D9E" w:rsidRPr="00540347" w:rsidRDefault="00540347" w:rsidP="00540347">
    <w:pPr>
      <w:pStyle w:val="Encabezado"/>
    </w:pPr>
    <w:r w:rsidRPr="00540347">
      <w:rPr>
        <w:i/>
      </w:rPr>
      <w:t>Integrated modelling of Concentrated Solar Power plants networks: Electricity production, storage and distribution in Spain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137BB"/>
    <w:rsid w:val="000202ED"/>
    <w:rsid w:val="00022A5A"/>
    <w:rsid w:val="000275E1"/>
    <w:rsid w:val="0003216A"/>
    <w:rsid w:val="0003301E"/>
    <w:rsid w:val="00033C4D"/>
    <w:rsid w:val="00045386"/>
    <w:rsid w:val="00046804"/>
    <w:rsid w:val="00060F11"/>
    <w:rsid w:val="00065A22"/>
    <w:rsid w:val="00071ADF"/>
    <w:rsid w:val="00080CC0"/>
    <w:rsid w:val="00084C8C"/>
    <w:rsid w:val="000857D1"/>
    <w:rsid w:val="00094BAB"/>
    <w:rsid w:val="000A1046"/>
    <w:rsid w:val="000A2661"/>
    <w:rsid w:val="000A5D4B"/>
    <w:rsid w:val="000B07CD"/>
    <w:rsid w:val="000B1B1D"/>
    <w:rsid w:val="000B5099"/>
    <w:rsid w:val="000B78DC"/>
    <w:rsid w:val="000D2298"/>
    <w:rsid w:val="000D3D9B"/>
    <w:rsid w:val="000E15D8"/>
    <w:rsid w:val="000E64CF"/>
    <w:rsid w:val="00102C5A"/>
    <w:rsid w:val="001244D2"/>
    <w:rsid w:val="00134E07"/>
    <w:rsid w:val="00137AAE"/>
    <w:rsid w:val="00140291"/>
    <w:rsid w:val="00144762"/>
    <w:rsid w:val="00153042"/>
    <w:rsid w:val="0016032F"/>
    <w:rsid w:val="00161BAD"/>
    <w:rsid w:val="001662A9"/>
    <w:rsid w:val="00185C84"/>
    <w:rsid w:val="001879F6"/>
    <w:rsid w:val="0019262A"/>
    <w:rsid w:val="001A2FF4"/>
    <w:rsid w:val="001B0F28"/>
    <w:rsid w:val="001C0148"/>
    <w:rsid w:val="001C0195"/>
    <w:rsid w:val="001C03D0"/>
    <w:rsid w:val="001C0A03"/>
    <w:rsid w:val="001C4997"/>
    <w:rsid w:val="001C757E"/>
    <w:rsid w:val="001D4858"/>
    <w:rsid w:val="001D67DF"/>
    <w:rsid w:val="001E2861"/>
    <w:rsid w:val="001F1B42"/>
    <w:rsid w:val="00201CF7"/>
    <w:rsid w:val="0020390F"/>
    <w:rsid w:val="0021088F"/>
    <w:rsid w:val="00217956"/>
    <w:rsid w:val="002205EC"/>
    <w:rsid w:val="0022149A"/>
    <w:rsid w:val="00223855"/>
    <w:rsid w:val="002259E4"/>
    <w:rsid w:val="0022760F"/>
    <w:rsid w:val="00233012"/>
    <w:rsid w:val="002425F2"/>
    <w:rsid w:val="00246D96"/>
    <w:rsid w:val="002549FD"/>
    <w:rsid w:val="00256B91"/>
    <w:rsid w:val="00260CF2"/>
    <w:rsid w:val="00264926"/>
    <w:rsid w:val="00271367"/>
    <w:rsid w:val="00286191"/>
    <w:rsid w:val="002974C5"/>
    <w:rsid w:val="002A78A5"/>
    <w:rsid w:val="002A7999"/>
    <w:rsid w:val="002B074E"/>
    <w:rsid w:val="002B28C2"/>
    <w:rsid w:val="002B5B39"/>
    <w:rsid w:val="002C267F"/>
    <w:rsid w:val="002C69C2"/>
    <w:rsid w:val="002D387D"/>
    <w:rsid w:val="002D390A"/>
    <w:rsid w:val="002D6520"/>
    <w:rsid w:val="002E1BDB"/>
    <w:rsid w:val="002F0073"/>
    <w:rsid w:val="002F2F82"/>
    <w:rsid w:val="003017B8"/>
    <w:rsid w:val="00307391"/>
    <w:rsid w:val="00311579"/>
    <w:rsid w:val="003116AF"/>
    <w:rsid w:val="00314097"/>
    <w:rsid w:val="00317F0D"/>
    <w:rsid w:val="00330EB4"/>
    <w:rsid w:val="00331FAB"/>
    <w:rsid w:val="00333748"/>
    <w:rsid w:val="00334373"/>
    <w:rsid w:val="0033791C"/>
    <w:rsid w:val="00344A84"/>
    <w:rsid w:val="00351EC5"/>
    <w:rsid w:val="00354A9A"/>
    <w:rsid w:val="003637A0"/>
    <w:rsid w:val="00370A6E"/>
    <w:rsid w:val="003732CA"/>
    <w:rsid w:val="003759AC"/>
    <w:rsid w:val="00386B5B"/>
    <w:rsid w:val="00387377"/>
    <w:rsid w:val="00397553"/>
    <w:rsid w:val="003A47F0"/>
    <w:rsid w:val="003A6A13"/>
    <w:rsid w:val="003B036E"/>
    <w:rsid w:val="003B2CF7"/>
    <w:rsid w:val="003B3F2D"/>
    <w:rsid w:val="003C3B96"/>
    <w:rsid w:val="003C6E34"/>
    <w:rsid w:val="003C7CCE"/>
    <w:rsid w:val="003D1582"/>
    <w:rsid w:val="003D377C"/>
    <w:rsid w:val="003D3887"/>
    <w:rsid w:val="003D6FDC"/>
    <w:rsid w:val="003D7088"/>
    <w:rsid w:val="003D7E4C"/>
    <w:rsid w:val="003E0E3D"/>
    <w:rsid w:val="003E41C2"/>
    <w:rsid w:val="003F3FB8"/>
    <w:rsid w:val="003F4881"/>
    <w:rsid w:val="00400739"/>
    <w:rsid w:val="00405DFD"/>
    <w:rsid w:val="00406BA9"/>
    <w:rsid w:val="00410202"/>
    <w:rsid w:val="00412E08"/>
    <w:rsid w:val="00413580"/>
    <w:rsid w:val="00414CA3"/>
    <w:rsid w:val="00430D9B"/>
    <w:rsid w:val="004323DA"/>
    <w:rsid w:val="004430D5"/>
    <w:rsid w:val="00444931"/>
    <w:rsid w:val="00445356"/>
    <w:rsid w:val="00452560"/>
    <w:rsid w:val="00454BCD"/>
    <w:rsid w:val="004612C1"/>
    <w:rsid w:val="0047279A"/>
    <w:rsid w:val="00475FFD"/>
    <w:rsid w:val="00484100"/>
    <w:rsid w:val="004877D6"/>
    <w:rsid w:val="0049772C"/>
    <w:rsid w:val="004A29DE"/>
    <w:rsid w:val="004A377C"/>
    <w:rsid w:val="004B2EB9"/>
    <w:rsid w:val="004B5F8D"/>
    <w:rsid w:val="004B6BA4"/>
    <w:rsid w:val="004C426D"/>
    <w:rsid w:val="004D143D"/>
    <w:rsid w:val="004F223B"/>
    <w:rsid w:val="0051263B"/>
    <w:rsid w:val="0051651A"/>
    <w:rsid w:val="0052462D"/>
    <w:rsid w:val="005255C7"/>
    <w:rsid w:val="00525FFA"/>
    <w:rsid w:val="00526024"/>
    <w:rsid w:val="005351A0"/>
    <w:rsid w:val="00540347"/>
    <w:rsid w:val="005451C0"/>
    <w:rsid w:val="00550358"/>
    <w:rsid w:val="00552EEB"/>
    <w:rsid w:val="005540CA"/>
    <w:rsid w:val="0056089A"/>
    <w:rsid w:val="00563B4D"/>
    <w:rsid w:val="00572BA4"/>
    <w:rsid w:val="0057512E"/>
    <w:rsid w:val="0057637C"/>
    <w:rsid w:val="00581B9A"/>
    <w:rsid w:val="00584CA3"/>
    <w:rsid w:val="0058614E"/>
    <w:rsid w:val="005A27B8"/>
    <w:rsid w:val="005A6623"/>
    <w:rsid w:val="005D029E"/>
    <w:rsid w:val="005F5413"/>
    <w:rsid w:val="00603138"/>
    <w:rsid w:val="00603AFD"/>
    <w:rsid w:val="00606CE8"/>
    <w:rsid w:val="00611EC5"/>
    <w:rsid w:val="00611EEA"/>
    <w:rsid w:val="0062087B"/>
    <w:rsid w:val="00621D36"/>
    <w:rsid w:val="006247B6"/>
    <w:rsid w:val="00625C08"/>
    <w:rsid w:val="00632EEA"/>
    <w:rsid w:val="006341B7"/>
    <w:rsid w:val="0063563A"/>
    <w:rsid w:val="00640CA1"/>
    <w:rsid w:val="0065020C"/>
    <w:rsid w:val="00653562"/>
    <w:rsid w:val="00654D4E"/>
    <w:rsid w:val="006576F3"/>
    <w:rsid w:val="00661BF7"/>
    <w:rsid w:val="00662358"/>
    <w:rsid w:val="0066436B"/>
    <w:rsid w:val="006A69BF"/>
    <w:rsid w:val="006B370A"/>
    <w:rsid w:val="006B50D3"/>
    <w:rsid w:val="006C0FAC"/>
    <w:rsid w:val="006C59A5"/>
    <w:rsid w:val="006C7851"/>
    <w:rsid w:val="006D161F"/>
    <w:rsid w:val="006D3604"/>
    <w:rsid w:val="006E0136"/>
    <w:rsid w:val="006E0916"/>
    <w:rsid w:val="006E0E40"/>
    <w:rsid w:val="006E5FC5"/>
    <w:rsid w:val="006F1874"/>
    <w:rsid w:val="006F3DD7"/>
    <w:rsid w:val="006F40DF"/>
    <w:rsid w:val="006F5724"/>
    <w:rsid w:val="006F6D6C"/>
    <w:rsid w:val="007003A5"/>
    <w:rsid w:val="00711DF4"/>
    <w:rsid w:val="00712176"/>
    <w:rsid w:val="0072442D"/>
    <w:rsid w:val="007413A7"/>
    <w:rsid w:val="00741653"/>
    <w:rsid w:val="00741F06"/>
    <w:rsid w:val="00747AE6"/>
    <w:rsid w:val="00753970"/>
    <w:rsid w:val="007717B4"/>
    <w:rsid w:val="007758EF"/>
    <w:rsid w:val="007821D8"/>
    <w:rsid w:val="007841A1"/>
    <w:rsid w:val="007864F0"/>
    <w:rsid w:val="00787E30"/>
    <w:rsid w:val="0079205C"/>
    <w:rsid w:val="00794DEE"/>
    <w:rsid w:val="007966E8"/>
    <w:rsid w:val="007972CB"/>
    <w:rsid w:val="007A632A"/>
    <w:rsid w:val="007B4884"/>
    <w:rsid w:val="007B4CCE"/>
    <w:rsid w:val="007D543B"/>
    <w:rsid w:val="007D5647"/>
    <w:rsid w:val="007D70A1"/>
    <w:rsid w:val="007E33FB"/>
    <w:rsid w:val="007E6423"/>
    <w:rsid w:val="007F28B1"/>
    <w:rsid w:val="007F4044"/>
    <w:rsid w:val="007F4284"/>
    <w:rsid w:val="00802EAF"/>
    <w:rsid w:val="00802FA7"/>
    <w:rsid w:val="008052E0"/>
    <w:rsid w:val="00806F91"/>
    <w:rsid w:val="00812CA0"/>
    <w:rsid w:val="008132E8"/>
    <w:rsid w:val="008141DC"/>
    <w:rsid w:val="00820E88"/>
    <w:rsid w:val="00823407"/>
    <w:rsid w:val="008239DA"/>
    <w:rsid w:val="0082468A"/>
    <w:rsid w:val="00826C4E"/>
    <w:rsid w:val="00837111"/>
    <w:rsid w:val="00846A21"/>
    <w:rsid w:val="0085556C"/>
    <w:rsid w:val="00856B46"/>
    <w:rsid w:val="00864930"/>
    <w:rsid w:val="0087295A"/>
    <w:rsid w:val="00876AB8"/>
    <w:rsid w:val="00890348"/>
    <w:rsid w:val="008933AD"/>
    <w:rsid w:val="00893D4D"/>
    <w:rsid w:val="00895339"/>
    <w:rsid w:val="00895E14"/>
    <w:rsid w:val="008A2696"/>
    <w:rsid w:val="008B0184"/>
    <w:rsid w:val="008B0EB2"/>
    <w:rsid w:val="008B4F66"/>
    <w:rsid w:val="008B7A79"/>
    <w:rsid w:val="008C5D02"/>
    <w:rsid w:val="008D2649"/>
    <w:rsid w:val="008D4DC4"/>
    <w:rsid w:val="008D7529"/>
    <w:rsid w:val="008E0855"/>
    <w:rsid w:val="008E2928"/>
    <w:rsid w:val="008F1B54"/>
    <w:rsid w:val="008F45C0"/>
    <w:rsid w:val="008F6019"/>
    <w:rsid w:val="0090568D"/>
    <w:rsid w:val="009125C9"/>
    <w:rsid w:val="00913879"/>
    <w:rsid w:val="0091673C"/>
    <w:rsid w:val="00917661"/>
    <w:rsid w:val="00923D76"/>
    <w:rsid w:val="00927219"/>
    <w:rsid w:val="009306CD"/>
    <w:rsid w:val="0093787B"/>
    <w:rsid w:val="0094282A"/>
    <w:rsid w:val="009428C5"/>
    <w:rsid w:val="00952C36"/>
    <w:rsid w:val="00953DEB"/>
    <w:rsid w:val="009562A1"/>
    <w:rsid w:val="00957CF4"/>
    <w:rsid w:val="00965B2D"/>
    <w:rsid w:val="00970E5D"/>
    <w:rsid w:val="0097560E"/>
    <w:rsid w:val="0097701C"/>
    <w:rsid w:val="009802C4"/>
    <w:rsid w:val="00980A65"/>
    <w:rsid w:val="00980B1F"/>
    <w:rsid w:val="00985CC1"/>
    <w:rsid w:val="00991625"/>
    <w:rsid w:val="0099187E"/>
    <w:rsid w:val="00995E31"/>
    <w:rsid w:val="009A4D8A"/>
    <w:rsid w:val="009A6608"/>
    <w:rsid w:val="009B145A"/>
    <w:rsid w:val="009B1C11"/>
    <w:rsid w:val="009C11B1"/>
    <w:rsid w:val="009C4A12"/>
    <w:rsid w:val="009C7B37"/>
    <w:rsid w:val="009D0099"/>
    <w:rsid w:val="009E0C52"/>
    <w:rsid w:val="009E5A20"/>
    <w:rsid w:val="009E67EF"/>
    <w:rsid w:val="009F1FE1"/>
    <w:rsid w:val="009F5DAD"/>
    <w:rsid w:val="009F6CBA"/>
    <w:rsid w:val="00A0219F"/>
    <w:rsid w:val="00A11ED5"/>
    <w:rsid w:val="00A219EE"/>
    <w:rsid w:val="00A21B85"/>
    <w:rsid w:val="00A25E70"/>
    <w:rsid w:val="00A333C6"/>
    <w:rsid w:val="00A33765"/>
    <w:rsid w:val="00A4534A"/>
    <w:rsid w:val="00A45606"/>
    <w:rsid w:val="00A463B0"/>
    <w:rsid w:val="00A523F1"/>
    <w:rsid w:val="00A53101"/>
    <w:rsid w:val="00A54E5D"/>
    <w:rsid w:val="00A61B19"/>
    <w:rsid w:val="00A63269"/>
    <w:rsid w:val="00A64432"/>
    <w:rsid w:val="00A64BEC"/>
    <w:rsid w:val="00A65E0C"/>
    <w:rsid w:val="00A7198C"/>
    <w:rsid w:val="00A73017"/>
    <w:rsid w:val="00A77DBD"/>
    <w:rsid w:val="00A81898"/>
    <w:rsid w:val="00A90BFF"/>
    <w:rsid w:val="00A92377"/>
    <w:rsid w:val="00A9306F"/>
    <w:rsid w:val="00AA4A38"/>
    <w:rsid w:val="00AA4B69"/>
    <w:rsid w:val="00AB25F9"/>
    <w:rsid w:val="00AB29ED"/>
    <w:rsid w:val="00AB5058"/>
    <w:rsid w:val="00AB5264"/>
    <w:rsid w:val="00AD0BD2"/>
    <w:rsid w:val="00AD1F40"/>
    <w:rsid w:val="00AD35D4"/>
    <w:rsid w:val="00AE0536"/>
    <w:rsid w:val="00AE1B3D"/>
    <w:rsid w:val="00AE4BD8"/>
    <w:rsid w:val="00B018F5"/>
    <w:rsid w:val="00B01F92"/>
    <w:rsid w:val="00B0202F"/>
    <w:rsid w:val="00B05A1D"/>
    <w:rsid w:val="00B1009B"/>
    <w:rsid w:val="00B11B2C"/>
    <w:rsid w:val="00B1738E"/>
    <w:rsid w:val="00B2056D"/>
    <w:rsid w:val="00B317C5"/>
    <w:rsid w:val="00B35559"/>
    <w:rsid w:val="00B4388F"/>
    <w:rsid w:val="00B54A18"/>
    <w:rsid w:val="00B55F24"/>
    <w:rsid w:val="00B63237"/>
    <w:rsid w:val="00B73FA0"/>
    <w:rsid w:val="00B8123B"/>
    <w:rsid w:val="00B83754"/>
    <w:rsid w:val="00B859B4"/>
    <w:rsid w:val="00B862A7"/>
    <w:rsid w:val="00B9083B"/>
    <w:rsid w:val="00B92DFB"/>
    <w:rsid w:val="00BA4AB2"/>
    <w:rsid w:val="00BA6034"/>
    <w:rsid w:val="00BB32BA"/>
    <w:rsid w:val="00BC2CC3"/>
    <w:rsid w:val="00BD5C4A"/>
    <w:rsid w:val="00BD65C0"/>
    <w:rsid w:val="00BD7A88"/>
    <w:rsid w:val="00BE47AB"/>
    <w:rsid w:val="00C018FC"/>
    <w:rsid w:val="00C06EB1"/>
    <w:rsid w:val="00C24F14"/>
    <w:rsid w:val="00C26CD0"/>
    <w:rsid w:val="00C27826"/>
    <w:rsid w:val="00C400A1"/>
    <w:rsid w:val="00C47239"/>
    <w:rsid w:val="00C47879"/>
    <w:rsid w:val="00C55907"/>
    <w:rsid w:val="00C56EF9"/>
    <w:rsid w:val="00C72CEB"/>
    <w:rsid w:val="00C733BC"/>
    <w:rsid w:val="00C74D8A"/>
    <w:rsid w:val="00C81653"/>
    <w:rsid w:val="00C844DD"/>
    <w:rsid w:val="00C87637"/>
    <w:rsid w:val="00C91429"/>
    <w:rsid w:val="00C93921"/>
    <w:rsid w:val="00C960DC"/>
    <w:rsid w:val="00CA7626"/>
    <w:rsid w:val="00CB1FB6"/>
    <w:rsid w:val="00CB28A1"/>
    <w:rsid w:val="00CB786B"/>
    <w:rsid w:val="00CC170E"/>
    <w:rsid w:val="00CD0D08"/>
    <w:rsid w:val="00CD7B45"/>
    <w:rsid w:val="00CF1D3A"/>
    <w:rsid w:val="00D02C75"/>
    <w:rsid w:val="00D06B2C"/>
    <w:rsid w:val="00D10E22"/>
    <w:rsid w:val="00D13D2C"/>
    <w:rsid w:val="00D14C78"/>
    <w:rsid w:val="00D26D09"/>
    <w:rsid w:val="00D33576"/>
    <w:rsid w:val="00D35B52"/>
    <w:rsid w:val="00D42473"/>
    <w:rsid w:val="00D45E44"/>
    <w:rsid w:val="00D52F56"/>
    <w:rsid w:val="00D57C45"/>
    <w:rsid w:val="00D57E54"/>
    <w:rsid w:val="00D61084"/>
    <w:rsid w:val="00D6461C"/>
    <w:rsid w:val="00D735AF"/>
    <w:rsid w:val="00D73B4D"/>
    <w:rsid w:val="00D8291A"/>
    <w:rsid w:val="00D82A8B"/>
    <w:rsid w:val="00D85F59"/>
    <w:rsid w:val="00D86405"/>
    <w:rsid w:val="00D94476"/>
    <w:rsid w:val="00D94C5D"/>
    <w:rsid w:val="00D95307"/>
    <w:rsid w:val="00DA115E"/>
    <w:rsid w:val="00DB2CAB"/>
    <w:rsid w:val="00DB46EA"/>
    <w:rsid w:val="00DC0CF3"/>
    <w:rsid w:val="00DC2F94"/>
    <w:rsid w:val="00DC49DA"/>
    <w:rsid w:val="00DD3D9E"/>
    <w:rsid w:val="00DD7908"/>
    <w:rsid w:val="00DE2545"/>
    <w:rsid w:val="00DE75EC"/>
    <w:rsid w:val="00DF2C0C"/>
    <w:rsid w:val="00DF7062"/>
    <w:rsid w:val="00E01F95"/>
    <w:rsid w:val="00E02E38"/>
    <w:rsid w:val="00E03315"/>
    <w:rsid w:val="00E1035B"/>
    <w:rsid w:val="00E11D82"/>
    <w:rsid w:val="00E515E9"/>
    <w:rsid w:val="00E54042"/>
    <w:rsid w:val="00E55A36"/>
    <w:rsid w:val="00E56771"/>
    <w:rsid w:val="00E65AE2"/>
    <w:rsid w:val="00E67657"/>
    <w:rsid w:val="00E71B12"/>
    <w:rsid w:val="00E82297"/>
    <w:rsid w:val="00E85289"/>
    <w:rsid w:val="00E939C7"/>
    <w:rsid w:val="00EA002A"/>
    <w:rsid w:val="00EA2C6A"/>
    <w:rsid w:val="00EA3D97"/>
    <w:rsid w:val="00EA3E94"/>
    <w:rsid w:val="00EA738F"/>
    <w:rsid w:val="00EB625E"/>
    <w:rsid w:val="00EB71B4"/>
    <w:rsid w:val="00EC22F5"/>
    <w:rsid w:val="00ED21DA"/>
    <w:rsid w:val="00ED2EFB"/>
    <w:rsid w:val="00EE2034"/>
    <w:rsid w:val="00EE4420"/>
    <w:rsid w:val="00EE5083"/>
    <w:rsid w:val="00EF23B4"/>
    <w:rsid w:val="00EF39FD"/>
    <w:rsid w:val="00F00786"/>
    <w:rsid w:val="00F04338"/>
    <w:rsid w:val="00F05359"/>
    <w:rsid w:val="00F06225"/>
    <w:rsid w:val="00F06842"/>
    <w:rsid w:val="00F107FD"/>
    <w:rsid w:val="00F13969"/>
    <w:rsid w:val="00F22DA8"/>
    <w:rsid w:val="00F24A75"/>
    <w:rsid w:val="00F26E8D"/>
    <w:rsid w:val="00F45036"/>
    <w:rsid w:val="00F465AF"/>
    <w:rsid w:val="00F46D4A"/>
    <w:rsid w:val="00F6259B"/>
    <w:rsid w:val="00F70B85"/>
    <w:rsid w:val="00F735CC"/>
    <w:rsid w:val="00F738D2"/>
    <w:rsid w:val="00F76AC0"/>
    <w:rsid w:val="00F86DA4"/>
    <w:rsid w:val="00F86E1F"/>
    <w:rsid w:val="00F93300"/>
    <w:rsid w:val="00FA3C2F"/>
    <w:rsid w:val="00FA79CD"/>
    <w:rsid w:val="00FB1EB3"/>
    <w:rsid w:val="00FB216E"/>
    <w:rsid w:val="00FB429D"/>
    <w:rsid w:val="00FB64A8"/>
    <w:rsid w:val="00FB7356"/>
    <w:rsid w:val="00FC2DA9"/>
    <w:rsid w:val="00FC5F27"/>
    <w:rsid w:val="00FD5AB5"/>
    <w:rsid w:val="00FD5F41"/>
    <w:rsid w:val="00FD6A08"/>
    <w:rsid w:val="00FE4F91"/>
    <w:rsid w:val="00FE5D20"/>
    <w:rsid w:val="00FF138D"/>
    <w:rsid w:val="00FF1E49"/>
    <w:rsid w:val="00FF4393"/>
    <w:rsid w:val="00FF7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Ttulo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efdenotaalfinal">
    <w:name w:val="endnote reference"/>
    <w:basedOn w:val="Fuentedeprrafopredeter"/>
    <w:semiHidden/>
    <w:rsid w:val="008B0184"/>
    <w:rPr>
      <w:vertAlign w:val="superscript"/>
    </w:rPr>
  </w:style>
  <w:style w:type="paragraph" w:styleId="Encabezado">
    <w:name w:val="header"/>
    <w:rsid w:val="008B0184"/>
    <w:pPr>
      <w:tabs>
        <w:tab w:val="center" w:pos="3600"/>
        <w:tab w:val="right" w:pos="7200"/>
      </w:tabs>
      <w:spacing w:line="200" w:lineRule="atLeast"/>
    </w:pPr>
    <w:rPr>
      <w:noProof/>
      <w:lang w:eastAsia="en-US"/>
    </w:rPr>
  </w:style>
  <w:style w:type="paragraph" w:styleId="Piedepgina">
    <w:name w:val="footer"/>
    <w:basedOn w:val="Encabezado"/>
    <w:rsid w:val="008B0184"/>
  </w:style>
  <w:style w:type="character" w:styleId="Refdenotaalpie">
    <w:name w:val="footnote reference"/>
    <w:semiHidden/>
    <w:rsid w:val="008B0184"/>
    <w:rPr>
      <w:vertAlign w:val="superscript"/>
    </w:rPr>
  </w:style>
  <w:style w:type="paragraph" w:styleId="Textonotapie">
    <w:name w:val="footnote text"/>
    <w:basedOn w:val="Normal"/>
    <w:semiHidden/>
    <w:rsid w:val="008B0184"/>
    <w:rPr>
      <w:rFonts w:ascii="Univers" w:hAnsi="Univers"/>
    </w:rPr>
  </w:style>
  <w:style w:type="character" w:styleId="Hipervnculo">
    <w:name w:val="Hyperlink"/>
    <w:basedOn w:val="Fuentedeprrafopredeter"/>
    <w:rsid w:val="008B0184"/>
    <w:rPr>
      <w:color w:val="0000FF"/>
      <w:u w:val="single"/>
    </w:rPr>
  </w:style>
  <w:style w:type="character" w:customStyle="1" w:styleId="MTEquationSection">
    <w:name w:val="MTEquationSection"/>
    <w:basedOn w:val="Fuentedeprrafopredeter"/>
    <w:rsid w:val="008B0184"/>
    <w:rPr>
      <w:vanish/>
      <w:color w:val="FF0000"/>
    </w:rPr>
  </w:style>
  <w:style w:type="character" w:styleId="Nmerodepgina">
    <w:name w:val="page number"/>
    <w:basedOn w:val="Fuentedeprrafopredeter"/>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Fuentedeprrafopredeter"/>
    <w:rsid w:val="008B0184"/>
    <w:rPr>
      <w:sz w:val="18"/>
      <w:lang w:val="en-US" w:eastAsia="en-US" w:bidi="ar-SA"/>
    </w:rPr>
  </w:style>
  <w:style w:type="character" w:styleId="Refdecomentario">
    <w:name w:val="annotation reference"/>
    <w:basedOn w:val="Fuentedeprrafopredeter"/>
    <w:semiHidden/>
    <w:rsid w:val="008B0184"/>
    <w:rPr>
      <w:sz w:val="16"/>
      <w:szCs w:val="16"/>
    </w:rPr>
  </w:style>
  <w:style w:type="paragraph" w:styleId="Textocomentario">
    <w:name w:val="annotation text"/>
    <w:basedOn w:val="Normal"/>
    <w:semiHidden/>
    <w:rsid w:val="008B0184"/>
  </w:style>
  <w:style w:type="paragraph" w:styleId="Asuntodelcomentario">
    <w:name w:val="annotation subject"/>
    <w:basedOn w:val="Textocomentario"/>
    <w:next w:val="Textocomentario"/>
    <w:semiHidden/>
    <w:rsid w:val="008B0184"/>
    <w:rPr>
      <w:b/>
      <w:bCs/>
    </w:rPr>
  </w:style>
  <w:style w:type="paragraph" w:styleId="Textodeglobo">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Fuentedeprrafopredeter"/>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Tablaconcuadrcula">
    <w:name w:val="Table Grid"/>
    <w:basedOn w:val="Tablanormal"/>
    <w:rsid w:val="00747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747AE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cinsinresolver">
    <w:name w:val="Unresolved Mention"/>
    <w:basedOn w:val="Fuentedeprrafopredeter"/>
    <w:uiPriority w:val="99"/>
    <w:semiHidden/>
    <w:unhideWhenUsed/>
    <w:rsid w:val="0093787B"/>
    <w:rPr>
      <w:color w:val="605E5C"/>
      <w:shd w:val="clear" w:color="auto" w:fill="E1DFDD"/>
    </w:rPr>
  </w:style>
  <w:style w:type="paragraph" w:styleId="Revisin">
    <w:name w:val="Revision"/>
    <w:hidden/>
    <w:uiPriority w:val="99"/>
    <w:semiHidden/>
    <w:rsid w:val="007E642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746831">
      <w:bodyDiv w:val="1"/>
      <w:marLeft w:val="0"/>
      <w:marRight w:val="0"/>
      <w:marTop w:val="0"/>
      <w:marBottom w:val="0"/>
      <w:divBdr>
        <w:top w:val="none" w:sz="0" w:space="0" w:color="auto"/>
        <w:left w:val="none" w:sz="0" w:space="0" w:color="auto"/>
        <w:bottom w:val="none" w:sz="0" w:space="0" w:color="auto"/>
        <w:right w:val="none" w:sz="0" w:space="0" w:color="auto"/>
      </w:divBdr>
    </w:div>
    <w:div w:id="213759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2518</Words>
  <Characters>13854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2023-12-20T15:19:00Z</dcterms:created>
  <dcterms:modified xsi:type="dcterms:W3CDTF">2023-12-20T16:21:00Z</dcterms:modified>
</cp:coreProperties>
</file>