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1D60B58B" w:rsidR="00DD3D9E" w:rsidRPr="00B4388F" w:rsidRDefault="007571BA">
      <w:pPr>
        <w:pStyle w:val="Els-Title"/>
        <w:rPr>
          <w:color w:val="000000" w:themeColor="text1"/>
        </w:rPr>
      </w:pPr>
      <w:bookmarkStart w:id="0" w:name="_Hlk150930713"/>
      <w:bookmarkEnd w:id="0"/>
      <w:r>
        <w:rPr>
          <w:color w:val="000000" w:themeColor="text1"/>
        </w:rPr>
        <w:t xml:space="preserve">A Smooth and Pressure-Driven Rate-Based Model for Batch Distillation in Packed Columns </w:t>
      </w:r>
      <w:r w:rsidR="00C36AE5">
        <w:rPr>
          <w:color w:val="000000" w:themeColor="text1"/>
        </w:rPr>
        <w:t>U</w:t>
      </w:r>
      <w:r>
        <w:rPr>
          <w:color w:val="000000" w:themeColor="text1"/>
        </w:rPr>
        <w:t>sing Hold-Time Constraints for Bang-Bang Controllers</w:t>
      </w:r>
    </w:p>
    <w:p w14:paraId="144DE680" w14:textId="0768B765" w:rsidR="00DD3D9E" w:rsidRPr="00AE0E80" w:rsidRDefault="007571BA">
      <w:pPr>
        <w:pStyle w:val="Els-Author"/>
        <w:rPr>
          <w:lang w:val="de-DE"/>
        </w:rPr>
      </w:pPr>
      <w:r w:rsidRPr="00AE0E80">
        <w:rPr>
          <w:lang w:val="de-DE"/>
        </w:rPr>
        <w:t>Torben Talis</w:t>
      </w:r>
      <w:r w:rsidRPr="00AE0E80">
        <w:rPr>
          <w:vertAlign w:val="superscript"/>
          <w:lang w:val="de-DE"/>
        </w:rPr>
        <w:t>a*</w:t>
      </w:r>
      <w:r w:rsidRPr="00AE0E80">
        <w:rPr>
          <w:lang w:val="de-DE"/>
        </w:rPr>
        <w:t>, Erik Esche</w:t>
      </w:r>
      <w:r w:rsidRPr="00AE0E80">
        <w:rPr>
          <w:vertAlign w:val="superscript"/>
          <w:lang w:val="de-DE"/>
        </w:rPr>
        <w:t>a</w:t>
      </w:r>
      <w:r w:rsidRPr="00AE0E80">
        <w:rPr>
          <w:lang w:val="de-DE"/>
        </w:rPr>
        <w:t>, Jens-Uwe Repke</w:t>
      </w:r>
      <w:r w:rsidRPr="00AE0E80">
        <w:rPr>
          <w:vertAlign w:val="superscript"/>
          <w:lang w:val="de-DE"/>
        </w:rPr>
        <w:t>a</w:t>
      </w:r>
    </w:p>
    <w:p w14:paraId="144DE681" w14:textId="6949BE6D" w:rsidR="00DD3D9E" w:rsidRPr="00AE0E80" w:rsidRDefault="007571BA">
      <w:pPr>
        <w:pStyle w:val="Els-Affiliation"/>
        <w:rPr>
          <w:lang w:val="de-DE"/>
        </w:rPr>
      </w:pPr>
      <w:r w:rsidRPr="00AE0E80">
        <w:rPr>
          <w:vertAlign w:val="superscript"/>
          <w:lang w:val="de-DE"/>
        </w:rPr>
        <w:t>a</w:t>
      </w:r>
      <w:r w:rsidRPr="00AE0E80">
        <w:rPr>
          <w:lang w:val="de-DE"/>
        </w:rPr>
        <w:t xml:space="preserve"> Technische Universität Berlin, Process Dynamics and Operations Group, Sekr. KWT-9 Str. des 17.Juni 135, Berlin 10623, Germany</w:t>
      </w:r>
    </w:p>
    <w:p w14:paraId="144DE683" w14:textId="500DF775" w:rsidR="008D2649" w:rsidRPr="00AE0E80" w:rsidRDefault="007571BA" w:rsidP="008D2649">
      <w:pPr>
        <w:pStyle w:val="Els-Affiliation"/>
        <w:spacing w:after="120"/>
        <w:rPr>
          <w:lang w:val="de-DE"/>
        </w:rPr>
      </w:pPr>
      <w:r w:rsidRPr="00AE0E80">
        <w:rPr>
          <w:lang w:val="de-DE"/>
        </w:rPr>
        <w:t>*t.talis@tu-berlin.de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29B0B8AA" w14:textId="73FA63FA" w:rsidR="00990BF7" w:rsidRDefault="00990BF7" w:rsidP="00990BF7">
      <w:pPr>
        <w:pStyle w:val="Els-body-text"/>
      </w:pPr>
      <w:r>
        <w:t xml:space="preserve">Batch processes are </w:t>
      </w:r>
      <w:r w:rsidR="00010EA5">
        <w:t xml:space="preserve">traditionally </w:t>
      </w:r>
      <w:r>
        <w:t xml:space="preserve">operated based on recipes. </w:t>
      </w:r>
      <w:r w:rsidR="00010EA5">
        <w:t>To replace the recipes and allow for more flexible operation, a</w:t>
      </w:r>
      <w:r>
        <w:t xml:space="preserve">ccurate process models are required for optimization </w:t>
      </w:r>
      <w:r w:rsidR="00010EA5">
        <w:t>or application of machine learning algorithms e.g., Reinforcement Learning</w:t>
      </w:r>
      <w:r>
        <w:t>. For optimal operation of real plants with help of model predictive control, the plant</w:t>
      </w:r>
      <w:r w:rsidR="00A3761D">
        <w:t>-model mismatch</w:t>
      </w:r>
      <w:r>
        <w:t xml:space="preserve"> </w:t>
      </w:r>
      <w:r w:rsidR="00A3761D">
        <w:t>must</w:t>
      </w:r>
      <w:r>
        <w:t xml:space="preserve"> be</w:t>
      </w:r>
      <w:r w:rsidR="00A3761D">
        <w:t xml:space="preserve"> as small</w:t>
      </w:r>
      <w:r>
        <w:t xml:space="preserve"> as possible. Available models for distillation in packed columns are insufficiently detailed for this</w:t>
      </w:r>
      <w:r w:rsidR="00A3761D">
        <w:t xml:space="preserve"> purpose as they do not properly describe the dynamics and are typically not valid from start-up until shutdown</w:t>
      </w:r>
      <w:r>
        <w:t>. Therefore, we present a smooth and pressure-driven model of a real batch distillation column with a structured packing. We also show how to implement hold-time constraints for bang-bang controllers in continuously formulated systems.</w:t>
      </w:r>
    </w:p>
    <w:p w14:paraId="3952A4D5" w14:textId="77777777" w:rsidR="00D021BE" w:rsidRDefault="00D021BE" w:rsidP="00990BF7">
      <w:pPr>
        <w:pStyle w:val="Els-body-text"/>
      </w:pPr>
    </w:p>
    <w:p w14:paraId="144DE687" w14:textId="76C5620D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7571BA">
        <w:rPr>
          <w:lang w:val="en-GB"/>
        </w:rPr>
        <w:t>pressure-driven, rate-based, batch distillation, hold-time constraints</w:t>
      </w:r>
      <w:r>
        <w:rPr>
          <w:lang w:val="en-GB"/>
        </w:rPr>
        <w:t>.</w:t>
      </w:r>
    </w:p>
    <w:p w14:paraId="1019BEA7" w14:textId="0812ADEF" w:rsidR="00B421C1" w:rsidRDefault="00B421C1" w:rsidP="00B421C1">
      <w:pPr>
        <w:pStyle w:val="Els-1storder-head"/>
      </w:pPr>
      <w:r>
        <w:t>Model</w:t>
      </w:r>
    </w:p>
    <w:p w14:paraId="174AB3E5" w14:textId="29169C6B" w:rsidR="00106C8F" w:rsidRDefault="00B421C1" w:rsidP="00106C8F">
      <w:pPr>
        <w:pStyle w:val="Els-body-text"/>
      </w:pPr>
      <w:r>
        <w:t xml:space="preserve">The </w:t>
      </w:r>
      <w:r w:rsidR="00AE0E80">
        <w:t xml:space="preserve">proposed </w:t>
      </w:r>
      <w:r>
        <w:t xml:space="preserve">model </w:t>
      </w:r>
      <w:r w:rsidR="007571BA">
        <w:t>describes the whole batch cycle from start-up to</w:t>
      </w:r>
      <w:r w:rsidR="00106C8F">
        <w:t xml:space="preserve"> </w:t>
      </w:r>
      <w:r w:rsidR="007571BA">
        <w:t xml:space="preserve">shut-down including </w:t>
      </w:r>
      <w:proofErr w:type="spellStart"/>
      <w:r w:rsidR="007571BA">
        <w:t>inertization</w:t>
      </w:r>
      <w:proofErr w:type="spellEnd"/>
      <w:r w:rsidR="007571BA">
        <w:t xml:space="preserve"> for the separation of an ethanol-water mixture as an</w:t>
      </w:r>
      <w:r w:rsidR="00106C8F">
        <w:t xml:space="preserve"> </w:t>
      </w:r>
      <w:r w:rsidR="007571BA">
        <w:t xml:space="preserve">example system. The phase equilibria are relaxed using methods from </w:t>
      </w:r>
      <w:r>
        <w:t>(</w:t>
      </w:r>
      <w:sdt>
        <w:sdtPr>
          <w:alias w:val="To edit, see citavi.com/edit"/>
          <w:tag w:val="CitaviPlaceholder#9315c176-2a81-4ecb-8908-a38c337a57ec"/>
          <w:id w:val="-1578198801"/>
          <w:placeholder>
            <w:docPart w:val="DefaultPlaceholder_-1854013440"/>
          </w:placeholder>
        </w:sdtPr>
        <w:sdtEndPr/>
        <w:sdtContent>
          <w:r w:rsidR="009D0080">
            <w:fldChar w:fldCharType="begin"/>
          </w:r>
          <w:r w:rsidR="007F20B5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4OTI3MjMzLTFkMDgtNGZlOC05NWEwLTcxMjc1YTRmYmNhNyIsIlJhbmdlTGVuZ3RoIjoyMywiUmVmZXJlbmNlSWQiOiJkNmU4NTA1NS00MjlkLTRmY2ItYTA1Zi03YTFiNzU4Y2I0Z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0b3RhbFxcQXBwRGF0YVxcTG9jYWxcXFRlbXBcXGJpZXZlcXlqLmpwZyIsIlVyaVN0cmluZyI6ImQ2ZTg1MDU1LTQyOWQtNGZjYi1hMDVmLTdhMWI3NThjYjRmM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IvYWljLjE1Mzc4Ii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wMi9haWMuMTUzNzgiLCJVcmlTdHJpbmciOiJodHRwczovL2RvaS5vcmcvMTAuMTAwMi9haWMuMTUzNz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}</w:instrText>
          </w:r>
          <w:r w:rsidR="009D0080">
            <w:fldChar w:fldCharType="separate"/>
          </w:r>
          <w:r w:rsidR="009D0080">
            <w:t>Sahlodin et al., 2016)</w:t>
          </w:r>
          <w:r w:rsidR="009D0080">
            <w:fldChar w:fldCharType="end"/>
          </w:r>
        </w:sdtContent>
      </w:sdt>
      <w:r w:rsidR="007571BA">
        <w:t>, which allows individual phases to appear or disappear</w:t>
      </w:r>
      <w:r w:rsidR="000175F0">
        <w:t xml:space="preserve">. The </w:t>
      </w:r>
      <w:r w:rsidR="006D49F8">
        <w:t>system structure does not change</w:t>
      </w:r>
      <w:r w:rsidR="000175F0">
        <w:t>,</w:t>
      </w:r>
      <w:r w:rsidR="00E928A0">
        <w:t xml:space="preserve"> when it </w:t>
      </w:r>
      <w:r w:rsidR="00AB0374">
        <w:t>transitions</w:t>
      </w:r>
      <w:r w:rsidR="00E928A0">
        <w:t xml:space="preserve"> from vapor-liquid to </w:t>
      </w:r>
      <w:r w:rsidR="00AB0374">
        <w:t xml:space="preserve">vapor- </w:t>
      </w:r>
      <w:r w:rsidR="00E80B6C">
        <w:t>or</w:t>
      </w:r>
      <w:r w:rsidR="00AB0374">
        <w:t xml:space="preserve"> liquid-only</w:t>
      </w:r>
      <w:r w:rsidR="009457A3">
        <w:t>. It is</w:t>
      </w:r>
      <w:r w:rsidR="000175F0">
        <w:t xml:space="preserve"> resulting in</w:t>
      </w:r>
      <w:r w:rsidR="00A3761D">
        <w:t xml:space="preserve"> mathematically feasible</w:t>
      </w:r>
      <w:r w:rsidR="009457A3">
        <w:t>, but</w:t>
      </w:r>
      <w:r w:rsidR="000175F0">
        <w:t xml:space="preserve"> </w:t>
      </w:r>
      <w:r w:rsidR="009457A3">
        <w:t xml:space="preserve">unphysical, </w:t>
      </w:r>
      <w:r w:rsidR="000175F0">
        <w:t>compositions for non-existing phases</w:t>
      </w:r>
      <w:r w:rsidR="00E928A0">
        <w:t xml:space="preserve"> </w:t>
      </w:r>
      <w:r w:rsidR="00AB0374">
        <w:t>i.</w:t>
      </w:r>
      <w:r w:rsidR="00E928A0">
        <w:t xml:space="preserve">e., they do </w:t>
      </w:r>
      <w:r w:rsidR="000175F0">
        <w:t xml:space="preserve">not </w:t>
      </w:r>
      <w:r w:rsidR="00A3761D">
        <w:t xml:space="preserve">need to </w:t>
      </w:r>
      <w:r w:rsidR="000175F0">
        <w:t xml:space="preserve">fulfill the summation </w:t>
      </w:r>
      <w:r w:rsidR="00957278">
        <w:t>term.</w:t>
      </w:r>
      <w:r w:rsidR="009457A3">
        <w:t xml:space="preserve"> However, this is inconsequential, because these compositions always get multiplied with hold-ups or </w:t>
      </w:r>
      <w:r w:rsidR="00227755">
        <w:t>flowrates</w:t>
      </w:r>
      <w:r w:rsidR="009457A3">
        <w:t xml:space="preserve">, which are </w:t>
      </w:r>
      <w:r w:rsidR="00227755">
        <w:t xml:space="preserve">obviously </w:t>
      </w:r>
      <w:r w:rsidR="009457A3" w:rsidRPr="00227755">
        <w:rPr>
          <w:i/>
        </w:rPr>
        <w:t>0</w:t>
      </w:r>
      <w:r w:rsidR="008A782E">
        <w:t>, when the phase does not exist.</w:t>
      </w:r>
    </w:p>
    <w:p w14:paraId="6B7AB3A1" w14:textId="4D7E59C2" w:rsidR="00227755" w:rsidRDefault="00227755" w:rsidP="00FB42E3">
      <w:pPr>
        <w:pStyle w:val="Els-body-text"/>
      </w:pPr>
      <w:r>
        <w:t>The vapor streams are modeled pressure-driven</w:t>
      </w:r>
      <w:r w:rsidR="00FB42E3">
        <w:t>,</w:t>
      </w:r>
      <w:r>
        <w:t xml:space="preserve"> </w:t>
      </w:r>
      <w:r w:rsidR="00FB42E3">
        <w:t>they</w:t>
      </w:r>
      <w:r w:rsidR="003F43BE">
        <w:t xml:space="preserve"> are calculated from the pressure differences between the stages. </w:t>
      </w:r>
      <w:r w:rsidR="00250CFD">
        <w:t>The</w:t>
      </w:r>
      <w:r>
        <w:t xml:space="preserve"> liquid flow</w:t>
      </w:r>
      <w:r w:rsidR="00B85952">
        <w:t xml:space="preserve"> </w:t>
      </w:r>
      <w:r w:rsidR="00FB42E3">
        <w:t xml:space="preserve">is also modeled rigorously, but here the main driving force is gravity. It is assumed to be a uniform film flow along the packing, with the flowrate being a function of </w:t>
      </w:r>
      <w:r w:rsidR="003F43BE">
        <w:t xml:space="preserve">gravity, </w:t>
      </w:r>
      <w:r w:rsidR="00250CFD">
        <w:t xml:space="preserve">density, viscosity, and packing </w:t>
      </w:r>
      <w:r w:rsidR="003F43BE">
        <w:t xml:space="preserve">specific geometric </w:t>
      </w:r>
      <w:r w:rsidR="00250CFD">
        <w:t>parameters</w:t>
      </w:r>
      <w:r w:rsidR="00C55EAD">
        <w:t xml:space="preserve"> e.g., surface area and void fraction of the packing</w:t>
      </w:r>
      <w:r w:rsidR="00250CFD">
        <w:t>. To consider wetting of the packing,</w:t>
      </w:r>
      <w:r w:rsidR="003F43BE">
        <w:t xml:space="preserve"> the liquid flow is </w:t>
      </w:r>
      <w:r>
        <w:t xml:space="preserve">only activated, once the holdup surpasses a </w:t>
      </w:r>
      <w:r>
        <w:lastRenderedPageBreak/>
        <w:t>threshold</w:t>
      </w:r>
      <w:r w:rsidR="003F43BE">
        <w:t>, the dynamic liquid holdup of the packing</w:t>
      </w:r>
      <w:r w:rsidR="00250CFD">
        <w:t>. This activation is implemented</w:t>
      </w:r>
      <w:r>
        <w:t xml:space="preserve"> in Eq. </w:t>
      </w:r>
      <w:r w:rsidR="003F43BE">
        <w:t>1</w:t>
      </w:r>
      <w:r>
        <w:t xml:space="preserve"> </w:t>
      </w:r>
      <w:r w:rsidR="00250D18">
        <w:t xml:space="preserve">to calculate the actual liquid flow,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st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250D18">
        <w:t>,</w:t>
      </w:r>
      <w:r w:rsidR="00250CFD">
        <w:t>with</w:t>
      </w:r>
      <w:r>
        <w:t xml:space="preserve"> the binary variable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st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250CFD">
        <w:t>. Since experimental data for the holdup inside the packing is unavailable for the dynamic case</w:t>
      </w:r>
      <w:r w:rsidR="00B85952">
        <w:t xml:space="preserve"> in the open literature</w:t>
      </w:r>
      <w:r w:rsidR="00250CFD">
        <w:t>. Th</w:t>
      </w:r>
      <w:r w:rsidR="00B85952">
        <w:t>e mentioned</w:t>
      </w:r>
      <w:r w:rsidR="00250CFD">
        <w:t xml:space="preserve"> threshold is derived from the steady state correlation for total liquid holdup in packed columns at total reflux from </w:t>
      </w:r>
      <w:sdt>
        <w:sdtPr>
          <w:alias w:val="To edit, see citavi.com/edit"/>
          <w:tag w:val="CitaviPlaceholder#55c93839-4f3d-43a8-a11f-a45ffd2d8d9a"/>
          <w:id w:val="636311002"/>
          <w:placeholder>
            <w:docPart w:val="19C53D54EF034C80AF3BF2E23C500974"/>
          </w:placeholder>
        </w:sdtPr>
        <w:sdtEndPr/>
        <w:sdtContent>
          <w:r w:rsidR="00250CFD">
            <w:t>(</w:t>
          </w:r>
          <w:r w:rsidR="00250CFD">
            <w:fldChar w:fldCharType="begin"/>
          </w:r>
          <w:r w:rsidR="00250CFD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NkY2MwMzIzLTQ3NTktNGVmMS05NzgxLTY4YjFhZGU0NTJmMiIsIlJhbmdlTGVuZ3RoIjoyMCwiUmVmZXJlbmNlSWQiOiI4MGFmM2M0My0xMTc1LTQ4Y2YtODE2ZS00OWNmOTQwMDdiZ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DEuMDQuMTk5MyIsIkRvaSI6IjEwLjEwMjEvaWUwMDAxNmEwMTAi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IxL2llMDAwMTZhMDEwIiwiVXJpU3RyaW5nIjoiaHR0cHM6Ly9kb2kub3JnLzEwLjEwMjEvaWUwMDAxNmEwMTA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}</w:instrText>
          </w:r>
          <w:r w:rsidR="00250CFD">
            <w:fldChar w:fldCharType="separate"/>
          </w:r>
          <w:r w:rsidR="00250CFD">
            <w:t>Rocha et al. (1993)</w:t>
          </w:r>
          <w:r w:rsidR="00250CFD">
            <w:fldChar w:fldCharType="end"/>
          </w:r>
        </w:sdtContent>
      </w:sdt>
      <w:r w:rsidR="00250CFD"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1"/>
        <w:gridCol w:w="956"/>
      </w:tblGrid>
      <w:tr w:rsidR="00227755" w:rsidRPr="00A94774" w14:paraId="23AF2ADC" w14:textId="77777777" w:rsidTr="00DC0AC6">
        <w:tc>
          <w:tcPr>
            <w:tcW w:w="6131" w:type="dxa"/>
            <w:shd w:val="clear" w:color="auto" w:fill="auto"/>
            <w:vAlign w:val="center"/>
          </w:tcPr>
          <w:p w14:paraId="5D4A1EC6" w14:textId="77777777" w:rsidR="00227755" w:rsidRPr="009D0080" w:rsidRDefault="000E5EEF" w:rsidP="00DC0AC6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L,filmflow</m:t>
                    </m:r>
                  </m:sup>
                </m:sSubSup>
              </m:oMath>
            </m:oMathPara>
          </w:p>
        </w:tc>
        <w:tc>
          <w:tcPr>
            <w:tcW w:w="956" w:type="dxa"/>
            <w:shd w:val="clear" w:color="auto" w:fill="auto"/>
            <w:vAlign w:val="center"/>
          </w:tcPr>
          <w:p w14:paraId="7F8B725C" w14:textId="699DB6CE" w:rsidR="00227755" w:rsidRPr="00A94774" w:rsidRDefault="00227755" w:rsidP="00DC0AC6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3F43BE">
              <w:rPr>
                <w:lang w:val="en-GB"/>
              </w:rPr>
              <w:t>1</w:t>
            </w:r>
            <w:r>
              <w:rPr>
                <w:lang w:val="en-GB"/>
              </w:rPr>
              <w:t>)</w:t>
            </w:r>
          </w:p>
        </w:tc>
      </w:tr>
    </w:tbl>
    <w:p w14:paraId="3CEF6601" w14:textId="339DD9D8" w:rsidR="009D0080" w:rsidRDefault="00106C8F" w:rsidP="00106C8F">
      <w:pPr>
        <w:pStyle w:val="Els-body-text"/>
      </w:pPr>
      <w:r>
        <w:t>The model uses non-ideal thermodynamics.</w:t>
      </w:r>
      <w:r w:rsidR="000175F0">
        <w:t xml:space="preserve"> The activity coefficients are calculated with Wilson’s </w:t>
      </w:r>
      <w:proofErr w:type="spellStart"/>
      <w:r w:rsidR="000175F0">
        <w:t>g</w:t>
      </w:r>
      <w:r w:rsidR="000175F0" w:rsidRPr="000175F0">
        <w:rPr>
          <w:vertAlign w:val="superscript"/>
        </w:rPr>
        <w:t>E</w:t>
      </w:r>
      <w:proofErr w:type="spellEnd"/>
      <w:r w:rsidR="000175F0">
        <w:t xml:space="preserve">-Model </w:t>
      </w:r>
      <w:sdt>
        <w:sdtPr>
          <w:alias w:val="To edit, see citavi.com/edit"/>
          <w:tag w:val="CitaviPlaceholder#ccb42388-4ccb-456a-aa33-1ca8a3840504"/>
          <w:id w:val="1375041993"/>
          <w:placeholder>
            <w:docPart w:val="DefaultPlaceholder_-1854013440"/>
          </w:placeholder>
        </w:sdtPr>
        <w:sdtEndPr/>
        <w:sdtContent>
          <w:r w:rsidR="00B421C1">
            <w:t>(</w:t>
          </w:r>
          <w:r w:rsidR="000175F0">
            <w:fldChar w:fldCharType="begin"/>
          </w:r>
          <w:r w:rsidR="007F20B5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0ZjhkYWU4LWM3NmYtNGYxOC1iNDg3LTljMzk2MDEyOWQ3MiIsIlJhbmdlTGVuZ3RoIjoxNCwiUmVmZXJlbmNlSWQiOiJmNGI5NGFhMC1jZDg2LTQ3YTktYmNhYi0yOTgyODY1M2I5Z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dyYW50IiwiTGFzdE5hbWUiOiJXaWxzb24iLCJNaWRkbGVOYW1lIjoiTS4iLCJQcm90ZWN0ZWQiOmZhbHNlLCJTZXgiOjIsIkNyZWF0ZWRCeSI6Il9Ub3JiZW4gVGFsaXMiLCJDcmVhdGVkT24iOiIyMDIzLTExLTA2VDE2OjU2OjMwIiwiTW9kaWZpZWRCeSI6Il9Ub3JiZW4gVGFsaXMiLCJJZCI6IjE5NGFkMGJmLWM4YWQtNDAyOS04NmZmLWM0ZGI1YTA3ZjJhZiIsIk1vZGlmaWVkT24iOiIyMDIzLTExLTA2VDE2OjU2OjMw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0b3RhbFxcQXBwRGF0YVxcTG9jYWxcXFRlbXBcXGJkNXdhdXNqLmpwZyIsIlVyaVN0cmluZyI6ImY0Yjk0YWEwLWNkODYtNDdhOS1iY2FiLTI5ODI4NjUzYjlmO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}</w:instrText>
          </w:r>
          <w:r w:rsidR="000175F0">
            <w:fldChar w:fldCharType="separate"/>
          </w:r>
          <w:r w:rsidR="000175F0">
            <w:t>Wilson, 1964)</w:t>
          </w:r>
          <w:r w:rsidR="000175F0">
            <w:fldChar w:fldCharType="end"/>
          </w:r>
        </w:sdtContent>
      </w:sdt>
      <w:r w:rsidR="00D01EDA">
        <w:t>. To circumvent problems arising from unphysical compositions</w:t>
      </w:r>
      <w:r w:rsidR="00A3761D">
        <w:t>,</w:t>
      </w:r>
      <w:r w:rsidR="00D01EDA">
        <w:t xml:space="preserve"> </w:t>
      </w:r>
      <w:r w:rsidR="00D87968">
        <w:t>the property equations are reformulated</w:t>
      </w:r>
      <w:r w:rsidR="000C0D99">
        <w:t xml:space="preserve">, when necessary, e.g., for activity </w:t>
      </w:r>
      <w:proofErr w:type="spellStart"/>
      <w:r w:rsidR="000C0D99">
        <w:t>coefficents</w:t>
      </w:r>
      <w:proofErr w:type="spellEnd"/>
      <w:r w:rsidR="000C0D99">
        <w:t xml:space="preserve"> and density.</w:t>
      </w:r>
      <w:r w:rsidR="00D87968">
        <w:t xml:space="preserve"> </w:t>
      </w:r>
      <w:r w:rsidR="000C0D99">
        <w:t>In</w:t>
      </w:r>
      <w:r w:rsidR="00D87968">
        <w:t xml:space="preserve"> </w:t>
      </w:r>
      <w:r w:rsidR="00A3761D">
        <w:t>E</w:t>
      </w:r>
      <w:r w:rsidR="00D87968">
        <w:t xml:space="preserve">q. </w:t>
      </w:r>
      <w:r w:rsidR="009D0080">
        <w:t>(</w:t>
      </w:r>
      <w:r w:rsidR="003F43BE">
        <w:t>2</w:t>
      </w:r>
      <w:r w:rsidR="009D0080">
        <w:t>)</w:t>
      </w:r>
      <w:r w:rsidR="00D87968">
        <w:t xml:space="preserve">, </w:t>
      </w:r>
      <w:r w:rsidR="006E061A">
        <w:t xml:space="preserve">this reformulation is exemplarily shown for the activity coefficient. Here </w:t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gEmodel</m:t>
            </m:r>
          </m:sup>
        </m:sSubSup>
      </m:oMath>
      <w:r w:rsidR="00D87968"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actual</m:t>
            </m:r>
          </m:sup>
        </m:sSubSup>
      </m:oMath>
      <w:r w:rsidR="00D87968">
        <w:t xml:space="preserve"> are the activity coefficients calculated from Wilson’s equation and the one which is actually used in the system, respectively. </w:t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dummy</m:t>
            </m:r>
          </m:sup>
        </m:sSubSup>
      </m:oMath>
      <w:r w:rsidR="00B54CBD">
        <w:rPr>
          <w:sz w:val="16"/>
          <w:szCs w:val="16"/>
        </w:rPr>
        <w:t xml:space="preserve"> </w:t>
      </w:r>
      <w:r w:rsidR="009D0080">
        <w:t xml:space="preserve">is in this case 1 and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Σ</m:t>
            </m:r>
            <m:r>
              <w:rPr>
                <w:rFonts w:ascii="Cambria Math" w:hAnsi="Cambria Math"/>
                <w:sz w:val="16"/>
                <w:szCs w:val="16"/>
              </w:rPr>
              <m:t>x</m:t>
            </m:r>
          </m:sup>
        </m:sSup>
      </m:oMath>
      <w:r w:rsidR="009D0080">
        <w:t xml:space="preserve"> is a binary variable, which is 1 if the liquid phase exists and 0 </w:t>
      </w:r>
      <w:r w:rsidR="00D04300">
        <w:t xml:space="preserve">in case </w:t>
      </w:r>
      <w:r w:rsidR="009D0080">
        <w:t>it does not.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1"/>
        <w:gridCol w:w="956"/>
      </w:tblGrid>
      <w:tr w:rsidR="009D0080" w:rsidRPr="00A94774" w14:paraId="21872DF0" w14:textId="77777777" w:rsidTr="008D1EE7">
        <w:tc>
          <w:tcPr>
            <w:tcW w:w="6131" w:type="dxa"/>
            <w:shd w:val="clear" w:color="auto" w:fill="auto"/>
            <w:vAlign w:val="center"/>
          </w:tcPr>
          <w:p w14:paraId="0BED7FC2" w14:textId="59EE2A5F" w:rsidR="009D0080" w:rsidRPr="009D0080" w:rsidRDefault="000E5EEF" w:rsidP="008D1EE7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actual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dummy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∙(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gEmodel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dummy</m:t>
                    </m:r>
                  </m:sup>
                </m:sSub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956" w:type="dxa"/>
            <w:shd w:val="clear" w:color="auto" w:fill="auto"/>
            <w:vAlign w:val="center"/>
          </w:tcPr>
          <w:p w14:paraId="314AE6DB" w14:textId="68C6B57E" w:rsidR="009D0080" w:rsidRPr="00A94774" w:rsidRDefault="009D0080" w:rsidP="008D1EE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3F43BE">
              <w:rPr>
                <w:lang w:val="en-GB"/>
              </w:rPr>
              <w:t>2</w:t>
            </w:r>
            <w:r>
              <w:rPr>
                <w:lang w:val="en-GB"/>
              </w:rPr>
              <w:t>)</w:t>
            </w:r>
          </w:p>
        </w:tc>
      </w:tr>
    </w:tbl>
    <w:p w14:paraId="1FB426D0" w14:textId="05E5DC99" w:rsidR="009D0080" w:rsidRDefault="00B421C1" w:rsidP="00106C8F">
      <w:pPr>
        <w:pStyle w:val="Els-body-text"/>
      </w:pPr>
      <w:r>
        <w:t xml:space="preserve">The binary variables inside the model can be expressed by </w:t>
      </w:r>
      <w:r w:rsidR="00D04300">
        <w:t>step</w:t>
      </w:r>
      <w:r>
        <w:t>- or the Kronecker-Delta</w:t>
      </w:r>
      <w:r w:rsidR="00D04300">
        <w:t xml:space="preserve"> functions</w:t>
      </w:r>
      <w:r w:rsidR="008D1EE7">
        <w:t>, which are smoothened by sigmoid</w:t>
      </w:r>
      <w:r w:rsidR="00D04300">
        <w:t>al</w:t>
      </w:r>
      <w:r w:rsidR="008D1EE7">
        <w:t xml:space="preserve"> or </w:t>
      </w:r>
      <w:r w:rsidR="00D04300">
        <w:t>G</w:t>
      </w:r>
      <w:r w:rsidR="008D1EE7">
        <w:t>aussian functions, respectively. For numerical reasons alternative formulations based on complementarity constraints</w:t>
      </w:r>
      <w:r w:rsidR="00D73FD7">
        <w:t xml:space="preserve"> </w:t>
      </w:r>
      <w:sdt>
        <w:sdtPr>
          <w:alias w:val="To edit, see citavi.com/edit"/>
          <w:tag w:val="CitaviPlaceholder#6ec644f5-0525-4e02-bf3f-88d4915665ed"/>
          <w:id w:val="869270565"/>
          <w:placeholder>
            <w:docPart w:val="DefaultPlaceholder_-1854013440"/>
          </w:placeholder>
        </w:sdtPr>
        <w:sdtEndPr/>
        <w:sdtContent>
          <w:r w:rsidR="00D73FD7">
            <w:fldChar w:fldCharType="begin"/>
          </w:r>
          <w:r w:rsidR="007F20B5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IzOGUyMDk1LTYxYmMtNDUyYS1iNTI2LTA0NjU5ODk5YjBhOSIsIlJhbmdlTGVuZ3RoIjoyMSwiUmVmZXJlbmNlSWQiOiJiOTVmYWQ0ZC1kMTQ1LTRiMTktODlhNy05YzM1MmI4NGIwZT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0b3RhbFxcQXBwRGF0YVxcTG9jYWxcXFRlbXBcXHd3eTVjenNtLmpwZyIsIlVyaVN0cmluZyI6ImI5NWZhZDRkLWQxNDUtNGIxOS04OWE3LTljMzUyYjg0YjBlO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cHI0MDEwMDA3IiwiRWRpdG9ycyI6W10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MzM5MC9wcjQwMTAwMDciLCJVcmlTdHJpbmciOiJodHRwczovL2RvaS5vcmcvMTAuMzM5MC9wcjQwMTAwMDc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}</w:instrText>
          </w:r>
          <w:r w:rsidR="00D73FD7">
            <w:fldChar w:fldCharType="separate"/>
          </w:r>
          <w:r w:rsidR="00D73FD7">
            <w:t>(Powell et al., 2016)</w:t>
          </w:r>
          <w:r w:rsidR="00D73FD7">
            <w:fldChar w:fldCharType="end"/>
          </w:r>
        </w:sdtContent>
      </w:sdt>
      <w:r w:rsidR="008D1EE7">
        <w:t xml:space="preserve"> are used in some places.</w:t>
      </w:r>
    </w:p>
    <w:p w14:paraId="3F1BFB28" w14:textId="7286578B" w:rsidR="00B421C1" w:rsidRPr="008D1EE7" w:rsidRDefault="008D1EE7" w:rsidP="007571BA">
      <w:pPr>
        <w:pStyle w:val="Els-1storder-head"/>
        <w:spacing w:after="120"/>
        <w:rPr>
          <w:lang w:val="en-GB"/>
        </w:rPr>
      </w:pPr>
      <w:r>
        <w:rPr>
          <w:lang w:val="en-GB"/>
        </w:rPr>
        <w:t>Hold-Time Constraints</w:t>
      </w:r>
    </w:p>
    <w:p w14:paraId="48F1357B" w14:textId="4B846082" w:rsidR="00106C8F" w:rsidRDefault="00D04300" w:rsidP="007571BA">
      <w:pPr>
        <w:pStyle w:val="Els-body-text"/>
      </w:pPr>
      <w:r>
        <w:t xml:space="preserve">The presented model is validated against a real-life plant at TU Berlin. </w:t>
      </w:r>
      <w:r w:rsidR="007571BA">
        <w:t>The pressure inside the mini</w:t>
      </w:r>
      <w:r>
        <w:t>-</w:t>
      </w:r>
      <w:r w:rsidR="007571BA">
        <w:t>plant column is controlled by a bang-bang controller: A</w:t>
      </w:r>
      <w:r w:rsidR="00106C8F">
        <w:t xml:space="preserve"> </w:t>
      </w:r>
      <w:r w:rsidR="007571BA">
        <w:t>magnet valve, which is either fully opened or closed, when</w:t>
      </w:r>
      <w:r>
        <w:t>ever</w:t>
      </w:r>
      <w:r w:rsidR="007571BA">
        <w:t xml:space="preserve"> the pressure is above or below</w:t>
      </w:r>
      <w:r w:rsidR="00106C8F">
        <w:t xml:space="preserve"> </w:t>
      </w:r>
      <w:r w:rsidR="007571BA">
        <w:t>the setpoint, respectively</w:t>
      </w:r>
      <w:r w:rsidR="00B85952">
        <w:t>, what is typical for lab-scale columns</w:t>
      </w:r>
      <w:r w:rsidR="007571BA">
        <w:t>. The switching frequency of real valves is limited</w:t>
      </w:r>
      <w:r>
        <w:t>.</w:t>
      </w:r>
      <w:r w:rsidR="007571BA">
        <w:t xml:space="preserve"> </w:t>
      </w:r>
      <w:r>
        <w:t>H</w:t>
      </w:r>
      <w:r w:rsidR="007571BA">
        <w:t>owever, in</w:t>
      </w:r>
      <w:r w:rsidR="00106C8F">
        <w:t xml:space="preserve"> </w:t>
      </w:r>
      <w:r w:rsidR="007571BA">
        <w:t>a simple model the valve</w:t>
      </w:r>
      <w:r>
        <w:t xml:space="preserve"> would</w:t>
      </w:r>
      <w:r w:rsidR="007571BA">
        <w:t xml:space="preserve"> flutter rapidly. </w:t>
      </w:r>
      <w:r>
        <w:t xml:space="preserve">To </w:t>
      </w:r>
      <w:r w:rsidR="00C20E08">
        <w:t>mimic</w:t>
      </w:r>
      <w:r>
        <w:t xml:space="preserve"> the real-life behavior, i</w:t>
      </w:r>
      <w:r w:rsidR="007571BA">
        <w:t xml:space="preserve">t is </w:t>
      </w:r>
      <w:r>
        <w:t xml:space="preserve">suitable </w:t>
      </w:r>
      <w:r w:rsidR="007571BA">
        <w:t>to add hold-time constraints</w:t>
      </w:r>
      <w:r>
        <w:t xml:space="preserve"> in the model</w:t>
      </w:r>
      <w:r w:rsidR="007571BA">
        <w:t>, which force the valve</w:t>
      </w:r>
      <w:r w:rsidR="00106C8F">
        <w:t xml:space="preserve"> </w:t>
      </w:r>
      <w:r w:rsidR="007571BA">
        <w:t xml:space="preserve">to stay at any position for at least a specified </w:t>
      </w:r>
      <w:r>
        <w:t xml:space="preserve">period in </w:t>
      </w:r>
      <w:r w:rsidR="007571BA">
        <w:t>time.</w:t>
      </w:r>
    </w:p>
    <w:p w14:paraId="3DAC156F" w14:textId="00EA73CE" w:rsidR="008D1EE7" w:rsidRPr="008D1EE7" w:rsidRDefault="007571BA" w:rsidP="008968B0">
      <w:pPr>
        <w:pStyle w:val="Els-body-text"/>
      </w:pPr>
      <w:r>
        <w:t xml:space="preserve">Adding these hold-time constraints to a manipulated binary variable, </w:t>
      </w:r>
      <w:r w:rsidR="00D04300">
        <w:t xml:space="preserve">such as </w:t>
      </w:r>
      <w:r>
        <w:t>the position of</w:t>
      </w:r>
      <w:r w:rsidR="00106C8F">
        <w:t xml:space="preserve"> </w:t>
      </w:r>
      <w:r>
        <w:t>a valve or activation of a heater, is trivial in a discretized system,</w:t>
      </w:r>
      <w:r w:rsidR="008D1EE7" w:rsidRPr="008D1EE7">
        <w:t xml:space="preserve"> </w:t>
      </w:r>
      <w:r w:rsidR="008D1EE7">
        <w:t xml:space="preserve">see </w:t>
      </w:r>
      <w:r w:rsidR="00D04300">
        <w:t>E</w:t>
      </w:r>
      <w:r w:rsidR="00AB0374">
        <w:t>q</w:t>
      </w:r>
      <w:r w:rsidR="00D04300">
        <w:t xml:space="preserve">. </w:t>
      </w:r>
      <w:r w:rsidR="008D1EE7">
        <w:t>3,</w:t>
      </w:r>
      <w:r>
        <w:t xml:space="preserve"> especially when</w:t>
      </w:r>
      <w:r w:rsidR="00106C8F">
        <w:t xml:space="preserve"> </w:t>
      </w:r>
      <w:r>
        <w:t>discretized with constant time steps.</w:t>
      </w:r>
      <w:r w:rsidR="008D1EE7">
        <w:t xml:space="preserve"> Here </w:t>
      </w:r>
      <w:proofErr w:type="spellStart"/>
      <w:r w:rsidR="008D1EE7">
        <w:rPr>
          <w:i/>
        </w:rPr>
        <w:t>u</w:t>
      </w:r>
      <w:r w:rsidR="008D1EE7">
        <w:rPr>
          <w:i/>
          <w:vertAlign w:val="subscript"/>
        </w:rPr>
        <w:t>k</w:t>
      </w:r>
      <w:proofErr w:type="spellEnd"/>
      <w:r w:rsidR="008D1EE7">
        <w:t xml:space="preserve"> is the manipulated variable at timestep </w:t>
      </w:r>
      <w:r w:rsidR="008D1EE7">
        <w:rPr>
          <w:i/>
        </w:rPr>
        <w:t>k</w:t>
      </w:r>
      <w:r w:rsidR="008D1EE7">
        <w:t xml:space="preserve">, which may only be altered, if at least </w:t>
      </w:r>
      <w:proofErr w:type="spellStart"/>
      <w:r w:rsidR="008D1EE7">
        <w:rPr>
          <w:i/>
        </w:rPr>
        <w:t>N</w:t>
      </w:r>
      <w:r w:rsidR="008D1EE7">
        <w:rPr>
          <w:i/>
          <w:vertAlign w:val="subscript"/>
        </w:rPr>
        <w:t>k</w:t>
      </w:r>
      <w:proofErr w:type="spellEnd"/>
      <w:r w:rsidR="008D1EE7">
        <w:t xml:space="preserve"> timesteps have passed since the last change. </w:t>
      </w:r>
      <w:proofErr w:type="spellStart"/>
      <w:r w:rsidR="008D1EE7">
        <w:rPr>
          <w:i/>
        </w:rPr>
        <w:t>N</w:t>
      </w:r>
      <w:r w:rsidR="008D1EE7">
        <w:rPr>
          <w:i/>
          <w:vertAlign w:val="subscript"/>
        </w:rPr>
        <w:t>k</w:t>
      </w:r>
      <w:proofErr w:type="spellEnd"/>
      <w:r w:rsidR="008D1EE7">
        <w:t xml:space="preserve"> depend</w:t>
      </w:r>
      <w:r w:rsidR="00D04300">
        <w:t>s</w:t>
      </w:r>
      <w:r w:rsidR="008D1EE7">
        <w:t xml:space="preserve"> of the time grid. In equidistant grids </w:t>
      </w:r>
      <w:r w:rsidR="00D04300">
        <w:t xml:space="preserve">this </w:t>
      </w:r>
      <w:r w:rsidR="008D1EE7">
        <w:t xml:space="preserve">simplifies to a constant </w:t>
      </w:r>
      <w:r w:rsidR="008D1EE7">
        <w:rPr>
          <w:i/>
        </w:rPr>
        <w:t>N</w:t>
      </w:r>
      <w:r w:rsidR="008D1EE7"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1"/>
        <w:gridCol w:w="956"/>
      </w:tblGrid>
      <w:tr w:rsidR="008D1EE7" w:rsidRPr="00A94774" w14:paraId="468C3BD0" w14:textId="77777777" w:rsidTr="008D1EE7">
        <w:tc>
          <w:tcPr>
            <w:tcW w:w="6131" w:type="dxa"/>
            <w:shd w:val="clear" w:color="auto" w:fill="auto"/>
          </w:tcPr>
          <w:p w14:paraId="1ADA9846" w14:textId="4C0FBBE2" w:rsidR="008D1EE7" w:rsidRPr="009D0080" w:rsidRDefault="008D1EE7" w:rsidP="008B4D84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k-1</m:t>
                    </m:r>
                  </m:sub>
                </m:sSub>
                <m:r>
                  <w:rPr>
                    <w:rFonts w:ascii="Cambria Math" w:hAnsi="Cambria Math"/>
                  </w:rPr>
                  <m:t>)∙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k-n-1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k-n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956" w:type="dxa"/>
            <w:shd w:val="clear" w:color="auto" w:fill="auto"/>
            <w:vAlign w:val="center"/>
          </w:tcPr>
          <w:p w14:paraId="4F107CB0" w14:textId="44671B3C" w:rsidR="008D1EE7" w:rsidRPr="00A94774" w:rsidRDefault="008D1EE7" w:rsidP="008D1EE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14:paraId="711DB7D9" w14:textId="640ED587" w:rsidR="008D1EE7" w:rsidRDefault="007571BA" w:rsidP="007571BA">
      <w:pPr>
        <w:pStyle w:val="Els-body-text"/>
      </w:pPr>
      <w:r>
        <w:t>Whilst discretization is beneficial and commonly</w:t>
      </w:r>
      <w:r w:rsidR="00106C8F">
        <w:t xml:space="preserve"> </w:t>
      </w:r>
      <w:r>
        <w:t xml:space="preserve">used in some cases, </w:t>
      </w:r>
      <w:r w:rsidR="00106C8F">
        <w:t>e.g.,</w:t>
      </w:r>
      <w:r>
        <w:t xml:space="preserve"> for simultaneous optimization; forward integration of the</w:t>
      </w:r>
      <w:r w:rsidR="00106C8F">
        <w:t xml:space="preserve"> </w:t>
      </w:r>
      <w:r>
        <w:t>continuously formulated system can still be advantageous in different scenarios,</w:t>
      </w:r>
      <w:r w:rsidR="00106C8F">
        <w:t xml:space="preserve"> </w:t>
      </w:r>
      <w:r>
        <w:t>especially simulation. However, here it is non-trivial to add hold-time constraints.</w:t>
      </w:r>
    </w:p>
    <w:p w14:paraId="65C96A97" w14:textId="3077366A" w:rsidR="00D021BE" w:rsidRDefault="008D1EE7" w:rsidP="00D021BE">
      <w:pPr>
        <w:pStyle w:val="Els-body-text"/>
      </w:pPr>
      <w:r>
        <w:t>We propose to superpose the switching condition, which is based on the controlled variable with a decaying signal</w:t>
      </w:r>
      <w:r w:rsidR="00D04300">
        <w:t>,</w:t>
      </w:r>
      <w:r>
        <w:t xml:space="preserve"> which is triggered by an actual switch of the manipulated variable</w:t>
      </w:r>
      <w:r w:rsidR="00D04300">
        <w:t>,</w:t>
      </w:r>
      <w:r>
        <w:t xml:space="preserve"> </w:t>
      </w:r>
      <w:r w:rsidR="00D04300">
        <w:t>r</w:t>
      </w:r>
      <w:r>
        <w:t>esulting in an oversaturation of the switching signal</w:t>
      </w:r>
      <w:r w:rsidR="00D04300">
        <w:t>.</w:t>
      </w:r>
      <w:r>
        <w:t xml:space="preserve"> </w:t>
      </w:r>
      <w:r w:rsidR="00D04300">
        <w:t xml:space="preserve">Hence, </w:t>
      </w:r>
      <w:r>
        <w:t xml:space="preserve">the switching </w:t>
      </w:r>
      <w:r>
        <w:lastRenderedPageBreak/>
        <w:t xml:space="preserve">condition is only </w:t>
      </w:r>
      <w:r w:rsidR="00F64F50">
        <w:t>considered when</w:t>
      </w:r>
      <w:r>
        <w:t xml:space="preserve"> the other signal has decayed. A signal flow </w:t>
      </w:r>
      <w:r w:rsidR="00C20E08">
        <w:t xml:space="preserve">graph </w:t>
      </w:r>
      <w:r>
        <w:t xml:space="preserve">for the exemplary pressure controller is shown in </w:t>
      </w:r>
      <w:r w:rsidR="00D04300">
        <w:t xml:space="preserve">Fig. </w:t>
      </w:r>
      <w:r>
        <w:t>1.</w:t>
      </w:r>
    </w:p>
    <w:p w14:paraId="1FA7E15B" w14:textId="77777777" w:rsidR="00BF4EBB" w:rsidRDefault="00BF4EBB" w:rsidP="00BF4EBB">
      <w:pPr>
        <w:pStyle w:val="Els-body-text"/>
        <w:keepNext/>
      </w:pPr>
      <w:r w:rsidRPr="00D021BE">
        <w:rPr>
          <w:noProof/>
        </w:rPr>
        <w:drawing>
          <wp:inline distT="0" distB="0" distL="0" distR="0" wp14:anchorId="188B5FFA" wp14:editId="7CC58644">
            <wp:extent cx="4499610" cy="270256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20BA" w14:textId="38870F6E" w:rsidR="00BF4EBB" w:rsidRDefault="00BF4EBB" w:rsidP="00BF4EBB">
      <w:pPr>
        <w:pStyle w:val="Beschriftung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FD6D12">
        <w:t>Signal Flow Graph of the proposed pressure controller</w:t>
      </w:r>
    </w:p>
    <w:p w14:paraId="76CD03DD" w14:textId="77777777" w:rsidR="00BF4EBB" w:rsidRDefault="00D021BE" w:rsidP="0049119E">
      <w:pPr>
        <w:pStyle w:val="Els-body-text"/>
      </w:pPr>
      <w:r>
        <w:t xml:space="preserve">The output value of the whole System,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PC</m:t>
            </m:r>
          </m:sup>
        </m:sSup>
      </m:oMath>
      <w:r>
        <w:t>, describes the position of the valve. The output of the DT</w:t>
      </w:r>
      <w:r>
        <w:rPr>
          <w:vertAlign w:val="subscript"/>
        </w:rPr>
        <w:t>1</w:t>
      </w:r>
      <w:r>
        <w:t xml:space="preserve">-Element is a signal that peaks in either direction and then moves back to 0, whenever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PC</m:t>
            </m:r>
          </m:sup>
        </m:sSup>
      </m:oMath>
      <w:r>
        <w:t xml:space="preserve"> switches from 1 to 0 or vice versa. To circumvent the need to differentiate the input signal, the DT</w:t>
      </w:r>
      <w:r>
        <w:rPr>
          <w:vertAlign w:val="subscript"/>
        </w:rPr>
        <w:t>1</w:t>
      </w:r>
      <w:r>
        <w:t>-Element is replaced by a PT</w:t>
      </w:r>
      <w:r>
        <w:rPr>
          <w:vertAlign w:val="subscript"/>
        </w:rPr>
        <w:t>1</w:t>
      </w:r>
      <w:r>
        <w:t xml:space="preserve"> and a P element in parallel, which show the same behavior.</w:t>
      </w:r>
    </w:p>
    <w:p w14:paraId="1C991864" w14:textId="7D95CC56" w:rsidR="008D1EE7" w:rsidRDefault="007622E8" w:rsidP="0049119E">
      <w:pPr>
        <w:pStyle w:val="Els-body-text"/>
      </w:pPr>
      <w:r>
        <w:t>Section B takes this signal as an input</w:t>
      </w:r>
      <w:r w:rsidR="000E5EFB">
        <w:t>. If</w:t>
      </w:r>
      <w:r>
        <w:t xml:space="preserve"> it is </w:t>
      </w:r>
      <w:r w:rsidR="000E5EFB">
        <w:t xml:space="preserve">in the </w:t>
      </w:r>
      <w:r w:rsidR="000E5EFB" w:rsidRPr="008968B0">
        <w:t>interval [</w:t>
      </w:r>
      <w:r w:rsidR="000E5EFB" w:rsidRPr="00A3402F">
        <w:rPr>
          <w:i/>
        </w:rPr>
        <w:t>-α, α</w:t>
      </w:r>
      <w:r w:rsidR="000E5EFB" w:rsidRPr="008968B0">
        <w:t>],</w:t>
      </w:r>
      <w:r w:rsidR="000E5EFB">
        <w:t xml:space="preserve"> it returns </w:t>
      </w:r>
      <w:r w:rsidR="000E5EFB" w:rsidRPr="009B608C">
        <w:rPr>
          <w:i/>
        </w:rPr>
        <w:t>0</w:t>
      </w:r>
      <w:r w:rsidR="000E5EFB">
        <w:t xml:space="preserve">, else it returns </w:t>
      </w:r>
      <w:r w:rsidR="000E5EFB" w:rsidRPr="009B608C">
        <w:rPr>
          <w:i/>
        </w:rPr>
        <w:t>+2</w:t>
      </w:r>
      <w:r w:rsidR="000E5EFB">
        <w:t xml:space="preserve"> or </w:t>
      </w:r>
      <w:r w:rsidR="000E5EFB" w:rsidRPr="009B608C">
        <w:rPr>
          <w:i/>
        </w:rPr>
        <w:t>-2</w:t>
      </w:r>
      <w:r w:rsidR="000E5EFB">
        <w:t xml:space="preserve"> depending on the input sign. </w:t>
      </w:r>
      <w:r w:rsidR="0049119E">
        <w:t xml:space="preserve">This signal </w:t>
      </w:r>
      <w:r w:rsidR="00D04300">
        <w:t xml:space="preserve">is </w:t>
      </w:r>
      <w:r w:rsidR="0049119E">
        <w:t>added to the output of section A. Th</w:t>
      </w:r>
      <w:r w:rsidR="00F64F50">
        <w:t>e</w:t>
      </w:r>
      <w:r w:rsidR="0049119E">
        <w:t xml:space="preserve"> subsystem </w:t>
      </w:r>
      <w:r w:rsidR="0044333D">
        <w:t xml:space="preserve">represents </w:t>
      </w:r>
      <w:r w:rsidR="009B608C">
        <w:t>a</w:t>
      </w:r>
      <w:r w:rsidR="0044333D">
        <w:t xml:space="preserve"> classical bang-bang controller, which returns</w:t>
      </w:r>
      <w:r w:rsidR="009B608C">
        <w:t xml:space="preserve"> </w:t>
      </w:r>
      <w:r w:rsidR="009B608C" w:rsidRPr="009B608C">
        <w:rPr>
          <w:i/>
        </w:rPr>
        <w:t>1</w:t>
      </w:r>
      <w:r w:rsidR="009B608C">
        <w:t> </w:t>
      </w:r>
      <w:r w:rsidR="0044333D">
        <w:t>or</w:t>
      </w:r>
      <w:r w:rsidR="009B608C">
        <w:t> </w:t>
      </w:r>
      <w:r w:rsidR="009B608C" w:rsidRPr="009B608C">
        <w:rPr>
          <w:i/>
        </w:rPr>
        <w:t>0</w:t>
      </w:r>
      <w:r w:rsidR="0044333D">
        <w:t xml:space="preserve">, when the </w:t>
      </w:r>
      <w:r w:rsidR="009B608C">
        <w:t>difference to the setpoint is positive or negative</w:t>
      </w:r>
      <w:r w:rsidR="0044333D">
        <w:t>, respectively.</w:t>
      </w:r>
      <w:r w:rsidR="0049119E">
        <w:t xml:space="preserve"> Finally, the sum of the 2 sections </w:t>
      </w:r>
      <w:r w:rsidR="00D04300">
        <w:t xml:space="preserve">is </w:t>
      </w:r>
      <w:r w:rsidR="0049119E">
        <w:t>limited to [</w:t>
      </w:r>
      <w:r w:rsidR="0049119E" w:rsidRPr="009B608C">
        <w:rPr>
          <w:i/>
        </w:rPr>
        <w:t>0,1</w:t>
      </w:r>
      <w:r w:rsidR="0049119E">
        <w:t>] and represents the output of the whole system.</w:t>
      </w:r>
      <w:r w:rsidR="008968B0">
        <w:t xml:space="preserve"> </w:t>
      </w:r>
      <w:r w:rsidR="008968B0" w:rsidRPr="00A3402F">
        <w:rPr>
          <w:i/>
        </w:rPr>
        <w:t>α</w:t>
      </w:r>
      <w:r w:rsidR="008968B0" w:rsidRPr="008968B0">
        <w:t xml:space="preserve"> </w:t>
      </w:r>
      <w:r w:rsidR="008968B0">
        <w:t xml:space="preserve">should be a small value e.g., </w:t>
      </w:r>
      <w:r w:rsidR="008968B0" w:rsidRPr="009B608C">
        <w:rPr>
          <w:i/>
        </w:rPr>
        <w:t>0.01</w:t>
      </w:r>
      <w:r w:rsidR="008968B0">
        <w:t xml:space="preserve"> </w:t>
      </w:r>
      <w:r w:rsidR="00A3402F">
        <w:t xml:space="preserve">and the parameters for the transfer function can be calculated by </w:t>
      </w:r>
      <w:r w:rsidR="00E379DF">
        <w:t xml:space="preserve">Eq. </w:t>
      </w:r>
      <w:r w:rsidR="00A3402F">
        <w:t xml:space="preserve">4, where </w:t>
      </w:r>
      <w:proofErr w:type="spellStart"/>
      <w:r w:rsidR="00A3402F" w:rsidRPr="00A3402F">
        <w:rPr>
          <w:i/>
        </w:rPr>
        <w:t>t</w:t>
      </w:r>
      <w:proofErr w:type="spellEnd"/>
      <w:r w:rsidR="00A3402F">
        <w:t xml:space="preserve"> is the desired hold-time.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1"/>
        <w:gridCol w:w="956"/>
      </w:tblGrid>
      <w:tr w:rsidR="00A3402F" w:rsidRPr="00A94774" w14:paraId="194094D3" w14:textId="77777777" w:rsidTr="008B4D84">
        <w:tc>
          <w:tcPr>
            <w:tcW w:w="6131" w:type="dxa"/>
            <w:shd w:val="clear" w:color="auto" w:fill="auto"/>
          </w:tcPr>
          <w:p w14:paraId="27C6F2C5" w14:textId="645DB2B3" w:rsidR="00A3402F" w:rsidRPr="0083626F" w:rsidRDefault="0083626F" w:rsidP="008B4D84">
            <w:pPr>
              <w:pStyle w:val="Els-body-text"/>
              <w:spacing w:before="120" w:after="120" w:line="264" w:lineRule="auto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-t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14:paraId="31DA2941" w14:textId="03E322BB" w:rsidR="00A3402F" w:rsidRPr="00A3402F" w:rsidRDefault="00A3402F" w:rsidP="008B4D84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K=T</m:t>
                </m:r>
              </m:oMath>
            </m:oMathPara>
          </w:p>
        </w:tc>
        <w:tc>
          <w:tcPr>
            <w:tcW w:w="956" w:type="dxa"/>
            <w:shd w:val="clear" w:color="auto" w:fill="auto"/>
            <w:vAlign w:val="center"/>
          </w:tcPr>
          <w:p w14:paraId="196D82D3" w14:textId="0030602B" w:rsidR="00A3402F" w:rsidRPr="00A94774" w:rsidRDefault="00A3402F" w:rsidP="008B4D8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</w:tr>
    </w:tbl>
    <w:p w14:paraId="0C4CBEC0" w14:textId="133D3642" w:rsidR="0049119E" w:rsidRDefault="00A3402F" w:rsidP="0049119E">
      <w:pPr>
        <w:pStyle w:val="Els-body-text"/>
      </w:pPr>
      <w:r>
        <w:t>Th</w:t>
      </w:r>
      <w:r w:rsidR="00F64F50">
        <w:t>e</w:t>
      </w:r>
      <w:r>
        <w:t xml:space="preserve"> </w:t>
      </w:r>
      <w:r w:rsidR="00F64F50">
        <w:t xml:space="preserve">described </w:t>
      </w:r>
      <w:r w:rsidR="00C31107">
        <w:t xml:space="preserve">controller </w:t>
      </w:r>
      <w:r>
        <w:t>can be implemented as a differential-algebraic-equation system</w:t>
      </w:r>
      <w:r w:rsidR="00C31107">
        <w:t xml:space="preserve"> </w:t>
      </w:r>
      <w:r w:rsidR="00376F69">
        <w:t xml:space="preserve">(DAE) </w:t>
      </w:r>
      <w:r w:rsidR="00C31107">
        <w:t>and the same smoothing techniques as before can be applied.</w:t>
      </w:r>
    </w:p>
    <w:p w14:paraId="2E99D3D9" w14:textId="77777777" w:rsidR="00381C4E" w:rsidRPr="00A94774" w:rsidRDefault="00381C4E" w:rsidP="00381C4E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5E6105EF" w14:textId="110B683F" w:rsidR="00381C4E" w:rsidRPr="00A94774" w:rsidRDefault="00C31107" w:rsidP="00381C4E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We </w:t>
      </w:r>
      <w:r w:rsidR="0083626F">
        <w:rPr>
          <w:lang w:val="en-GB"/>
        </w:rPr>
        <w:t xml:space="preserve">presented a </w:t>
      </w:r>
      <w:r w:rsidR="00376F69">
        <w:rPr>
          <w:lang w:val="en-GB"/>
        </w:rPr>
        <w:t xml:space="preserve">smooth </w:t>
      </w:r>
      <w:r w:rsidR="0083626F">
        <w:rPr>
          <w:lang w:val="en-GB"/>
        </w:rPr>
        <w:t>pressure-driven model of a batch distillation column</w:t>
      </w:r>
      <w:r w:rsidR="00376F69">
        <w:rPr>
          <w:lang w:val="en-GB"/>
        </w:rPr>
        <w:t xml:space="preserve"> with structured packing</w:t>
      </w:r>
      <w:r w:rsidR="0083626F">
        <w:rPr>
          <w:lang w:val="en-GB"/>
        </w:rPr>
        <w:t xml:space="preserve">, which </w:t>
      </w:r>
      <w:r w:rsidR="00E379DF">
        <w:rPr>
          <w:lang w:val="en-GB"/>
        </w:rPr>
        <w:t>can</w:t>
      </w:r>
      <w:r w:rsidR="0083626F">
        <w:rPr>
          <w:lang w:val="en-GB"/>
        </w:rPr>
        <w:t xml:space="preserve"> describe the whole batch cycle </w:t>
      </w:r>
      <w:r w:rsidR="00E379DF">
        <w:rPr>
          <w:lang w:val="en-GB"/>
        </w:rPr>
        <w:t xml:space="preserve">starting and ending </w:t>
      </w:r>
      <w:r w:rsidR="00376F69">
        <w:rPr>
          <w:lang w:val="en-GB"/>
        </w:rPr>
        <w:t>cold and empty</w:t>
      </w:r>
      <w:r w:rsidR="00E379DF">
        <w:rPr>
          <w:lang w:val="en-GB"/>
        </w:rPr>
        <w:t>,</w:t>
      </w:r>
      <w:r w:rsidR="00376F69">
        <w:rPr>
          <w:lang w:val="en-GB"/>
        </w:rPr>
        <w:t xml:space="preserve"> including </w:t>
      </w:r>
      <w:proofErr w:type="spellStart"/>
      <w:r w:rsidR="00376F69">
        <w:rPr>
          <w:lang w:val="en-GB"/>
        </w:rPr>
        <w:t>inertization</w:t>
      </w:r>
      <w:proofErr w:type="spellEnd"/>
      <w:r w:rsidR="00376F69">
        <w:rPr>
          <w:lang w:val="en-GB"/>
        </w:rPr>
        <w:t xml:space="preserve"> and phase changes. Furthermore, hold-time constraints </w:t>
      </w:r>
      <w:r w:rsidR="00E379DF">
        <w:rPr>
          <w:lang w:val="en-GB"/>
        </w:rPr>
        <w:t xml:space="preserve">were presented for </w:t>
      </w:r>
      <w:r w:rsidR="00376F69">
        <w:rPr>
          <w:lang w:val="en-GB"/>
        </w:rPr>
        <w:t xml:space="preserve">both discretized, as well as continuously formulated systems. </w:t>
      </w:r>
      <w:r w:rsidR="00E379DF">
        <w:rPr>
          <w:lang w:val="en-GB"/>
        </w:rPr>
        <w:t>T</w:t>
      </w:r>
      <w:r w:rsidR="00376F69">
        <w:rPr>
          <w:lang w:val="en-GB"/>
        </w:rPr>
        <w:t xml:space="preserve">he </w:t>
      </w:r>
      <w:r w:rsidR="00376F69">
        <w:rPr>
          <w:lang w:val="en-GB"/>
        </w:rPr>
        <w:lastRenderedPageBreak/>
        <w:t>controller</w:t>
      </w:r>
      <w:r w:rsidR="00E379DF">
        <w:rPr>
          <w:lang w:val="en-GB"/>
        </w:rPr>
        <w:t xml:space="preserve"> was added </w:t>
      </w:r>
      <w:r w:rsidR="00376F69">
        <w:rPr>
          <w:lang w:val="en-GB"/>
        </w:rPr>
        <w:t xml:space="preserve">to the column </w:t>
      </w:r>
      <w:r w:rsidR="00E379DF">
        <w:rPr>
          <w:lang w:val="en-GB"/>
        </w:rPr>
        <w:t xml:space="preserve">model </w:t>
      </w:r>
      <w:r w:rsidR="00376F69">
        <w:rPr>
          <w:lang w:val="en-GB"/>
        </w:rPr>
        <w:t>and</w:t>
      </w:r>
      <w:r w:rsidR="00E80B6C">
        <w:rPr>
          <w:lang w:val="en-GB"/>
        </w:rPr>
        <w:t xml:space="preserve"> the</w:t>
      </w:r>
      <w:r w:rsidR="00376F69">
        <w:rPr>
          <w:lang w:val="en-GB"/>
        </w:rPr>
        <w:t xml:space="preserve"> resulting DAE system </w:t>
      </w:r>
      <w:r w:rsidR="00E379DF">
        <w:rPr>
          <w:lang w:val="en-GB"/>
        </w:rPr>
        <w:t xml:space="preserve">was solved </w:t>
      </w:r>
      <w:r w:rsidR="00376F69">
        <w:rPr>
          <w:lang w:val="en-GB"/>
        </w:rPr>
        <w:t xml:space="preserve">with </w:t>
      </w:r>
      <w:proofErr w:type="spellStart"/>
      <w:r w:rsidR="00376F69">
        <w:rPr>
          <w:lang w:val="en-GB"/>
        </w:rPr>
        <w:t>gPROMS</w:t>
      </w:r>
      <w:proofErr w:type="spellEnd"/>
      <w:r w:rsidR="00376F69">
        <w:rPr>
          <w:lang w:val="en-GB"/>
        </w:rPr>
        <w:t>®.</w:t>
      </w:r>
    </w:p>
    <w:p w14:paraId="4D97550D" w14:textId="7193864C" w:rsidR="00381C4E" w:rsidRDefault="00381C4E" w:rsidP="00381C4E">
      <w:pPr>
        <w:pStyle w:val="Els-1storder-head"/>
      </w:pPr>
      <w:bookmarkStart w:id="1" w:name="_Hlk147392577"/>
      <w:r>
        <w:t>Acknowledgements</w:t>
      </w:r>
    </w:p>
    <w:p w14:paraId="144DE695" w14:textId="594551D4" w:rsidR="008D2649" w:rsidRDefault="00381C4E" w:rsidP="008D2649">
      <w:pPr>
        <w:pStyle w:val="Els-body-text"/>
      </w:pPr>
      <w:r>
        <w:t xml:space="preserve">This work was funded </w:t>
      </w:r>
      <w:bookmarkEnd w:id="1"/>
      <w:r>
        <w:t xml:space="preserve">by Deutsche </w:t>
      </w:r>
      <w:proofErr w:type="spellStart"/>
      <w:r>
        <w:t>Forschungsgemeinschaft</w:t>
      </w:r>
      <w:proofErr w:type="spellEnd"/>
      <w:r>
        <w:t xml:space="preserve"> (DFG, German Research Foundation) – 466380688 – within Priority </w:t>
      </w:r>
      <w:proofErr w:type="spellStart"/>
      <w:r>
        <w:t>Programm</w:t>
      </w:r>
      <w:r w:rsidR="008968B0">
        <w:t>e</w:t>
      </w:r>
      <w:proofErr w:type="spellEnd"/>
      <w:r>
        <w:t xml:space="preserve"> “SPP 2331: Machine Learning in Chemical Engineering</w:t>
      </w:r>
      <w:r w:rsidR="00F025CF">
        <w:t>.</w:t>
      </w:r>
      <w:r w:rsidR="00F025CF" w:rsidRPr="00F025CF">
        <w:t xml:space="preserve"> </w:t>
      </w:r>
      <w:r w:rsidR="00F025CF">
        <w:t>Knowledge Meets Data: Interpretability, Extrapolation, Reliability, Trust</w:t>
      </w:r>
      <w:r>
        <w:t>”.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g w:val="CitaviBibliography"/>
        <w:id w:val="-212280060"/>
        <w:placeholder>
          <w:docPart w:val="DefaultPlaceholder_-1854013440"/>
        </w:placeholder>
      </w:sdtPr>
      <w:sdtEndPr/>
      <w:sdtContent>
        <w:p w14:paraId="4F54BBAF" w14:textId="77777777" w:rsidR="00D73FD7" w:rsidRPr="00D73FD7" w:rsidRDefault="009D7992" w:rsidP="00D73FD7">
          <w:pPr>
            <w:pStyle w:val="CitaviBibliographyHeading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  <w:lang w:val="en-US"/>
            </w:rPr>
          </w:pPr>
          <w:r w:rsidRPr="00D73FD7">
            <w:rPr>
              <w:rFonts w:ascii="Times New Roman" w:hAnsi="Times New Roman" w:cs="Times New Roman"/>
              <w:lang w:val="en-US"/>
            </w:rPr>
            <w:fldChar w:fldCharType="begin"/>
          </w:r>
          <w:r w:rsidRPr="00D73FD7">
            <w:rPr>
              <w:rFonts w:ascii="Times New Roman" w:hAnsi="Times New Roman" w:cs="Times New Roman"/>
              <w:lang w:val="en-US"/>
            </w:rPr>
            <w:instrText>ADDIN CitaviBibliography</w:instrText>
          </w:r>
          <w:r w:rsidRPr="00D73FD7">
            <w:rPr>
              <w:rFonts w:ascii="Times New Roman" w:hAnsi="Times New Roman" w:cs="Times New Roman"/>
              <w:lang w:val="en-US"/>
            </w:rPr>
            <w:fldChar w:fldCharType="separate"/>
          </w:r>
          <w:r w:rsidR="00D73FD7" w:rsidRPr="00D73FD7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  <w:lang w:val="en-US"/>
            </w:rPr>
            <w:t>References</w:t>
          </w:r>
        </w:p>
        <w:p w14:paraId="0CCF93C5" w14:textId="77777777" w:rsidR="00D73FD7" w:rsidRPr="00D73FD7" w:rsidRDefault="00D73FD7" w:rsidP="00D73FD7">
          <w:pPr>
            <w:pStyle w:val="CitaviBibliographyEntry"/>
          </w:pPr>
          <w:bookmarkStart w:id="2" w:name="_CTVL001b95fad4dd1454b1989a79c352b84b0e9"/>
          <w:r w:rsidRPr="00D73FD7">
            <w:t>Powell K., Eaton A., Hedengren J., Edgar T., 2016, A Continuous Formulation for Logical Decisions in Differential Algebraic Systems using Mathematical Programs with Complementarity Constraints, Processes, 4, 7.</w:t>
          </w:r>
        </w:p>
        <w:p w14:paraId="5387639F" w14:textId="77777777" w:rsidR="00D73FD7" w:rsidRPr="00D73FD7" w:rsidRDefault="00D73FD7" w:rsidP="00D73FD7">
          <w:pPr>
            <w:pStyle w:val="CitaviBibliographyEntry"/>
          </w:pPr>
          <w:bookmarkStart w:id="3" w:name="_CTVL00180af3c43117548cf816e49cf94007bff"/>
          <w:bookmarkEnd w:id="2"/>
          <w:r w:rsidRPr="00D73FD7">
            <w:t>Rocha J.A., Bravo J.L., Fair J.R., 1993, Distillation columns containing structured packings: a comprehensive model for their performance. 1. Hydraulic models, Industrial &amp; Engineering Chemistry Research, 32, 641–651.</w:t>
          </w:r>
        </w:p>
        <w:p w14:paraId="2DB0AA4C" w14:textId="77777777" w:rsidR="00D73FD7" w:rsidRPr="00D73FD7" w:rsidRDefault="00D73FD7" w:rsidP="00D73FD7">
          <w:pPr>
            <w:pStyle w:val="CitaviBibliographyEntry"/>
          </w:pPr>
          <w:bookmarkStart w:id="4" w:name="_CTVL001d6e85055429d4fcba05f7a1b758cb4f3"/>
          <w:bookmarkEnd w:id="3"/>
          <w:r w:rsidRPr="00D73FD7">
            <w:t>Sahlodin A.M., Watson H.A.J., Barton P.I., 2016, Nonsmooth model for dynamic simulation of phase changes, AIChE Journal, 62, 3334–3351.</w:t>
          </w:r>
        </w:p>
        <w:p w14:paraId="0F2B704E" w14:textId="6D81E30C" w:rsidR="009D7992" w:rsidRPr="00D73FD7" w:rsidRDefault="00D73FD7" w:rsidP="00D73FD7">
          <w:pPr>
            <w:pStyle w:val="CitaviBibliographyEntry"/>
          </w:pPr>
          <w:bookmarkStart w:id="5" w:name="_CTVL001f4b94aa0cd8647a9bcab29828653b9f8"/>
          <w:bookmarkEnd w:id="4"/>
          <w:r w:rsidRPr="00D73FD7">
            <w:t>Wilson G.M., 1964, Vapor-Liquid Equilibrium. XI. A New Expression for the Excess Free Energy of Mixing</w:t>
          </w:r>
          <w:bookmarkEnd w:id="5"/>
          <w:r w:rsidRPr="00D73FD7">
            <w:t>.</w:t>
          </w:r>
          <w:r w:rsidR="009D7992" w:rsidRPr="00D73FD7">
            <w:fldChar w:fldCharType="end"/>
          </w:r>
        </w:p>
      </w:sdtContent>
    </w:sdt>
    <w:p w14:paraId="0F47BA68" w14:textId="77777777" w:rsidR="009D7992" w:rsidRPr="00D73FD7" w:rsidRDefault="009D7992" w:rsidP="009D7992">
      <w:pPr>
        <w:rPr>
          <w:lang w:val="en-US"/>
        </w:rPr>
      </w:pPr>
    </w:p>
    <w:sectPr w:rsidR="009D7992" w:rsidRPr="00D73FD7" w:rsidSect="008B0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A726" w14:textId="77777777" w:rsidR="000E5EEF" w:rsidRDefault="000E5EEF">
      <w:r>
        <w:separator/>
      </w:r>
    </w:p>
  </w:endnote>
  <w:endnote w:type="continuationSeparator" w:id="0">
    <w:p w14:paraId="36D00AA7" w14:textId="77777777" w:rsidR="000E5EEF" w:rsidRDefault="000E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AA35" w14:textId="77777777" w:rsidR="00FF6043" w:rsidRDefault="00FF6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6D4" w14:textId="77777777" w:rsidR="00FF6043" w:rsidRDefault="00FF60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E584" w14:textId="77777777" w:rsidR="00FF6043" w:rsidRDefault="00FF6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8E97" w14:textId="77777777" w:rsidR="000E5EEF" w:rsidRDefault="000E5EEF">
      <w:r>
        <w:separator/>
      </w:r>
    </w:p>
  </w:footnote>
  <w:footnote w:type="continuationSeparator" w:id="0">
    <w:p w14:paraId="2D0D1D99" w14:textId="77777777" w:rsidR="000E5EEF" w:rsidRDefault="000E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Kopfzeile"/>
      <w:tabs>
        <w:tab w:val="clear" w:pos="7200"/>
        <w:tab w:val="right" w:pos="7088"/>
      </w:tabs>
      <w:jc w:val="right"/>
      <w:rPr>
        <w:sz w:val="24"/>
      </w:rPr>
    </w:pPr>
    <w:r>
      <w:rPr>
        <w:rStyle w:val="Seitenzahl"/>
        <w:i/>
        <w:sz w:val="24"/>
      </w:rPr>
      <w:tab/>
    </w:r>
    <w:r>
      <w:rPr>
        <w:rStyle w:val="Seitenzahl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</w:t>
    </w:r>
    <w:proofErr w:type="spellStart"/>
    <w:r w:rsidR="00F06842" w:rsidRPr="00FF6043">
      <w:rPr>
        <w:color w:val="auto"/>
        <w:sz w:val="20"/>
        <w:szCs w:val="20"/>
      </w:rPr>
      <w:t>Manenti</w:t>
    </w:r>
    <w:proofErr w:type="spellEnd"/>
    <w:r w:rsidR="00F06842" w:rsidRPr="00FF6043">
      <w:rPr>
        <w:color w:val="auto"/>
        <w:sz w:val="20"/>
        <w:szCs w:val="20"/>
      </w:rPr>
      <w:t xml:space="preserve">, </w:t>
    </w:r>
    <w:proofErr w:type="spellStart"/>
    <w:r w:rsidR="00F06842" w:rsidRPr="00FF6043">
      <w:rPr>
        <w:color w:val="auto"/>
        <w:sz w:val="20"/>
        <w:szCs w:val="20"/>
      </w:rPr>
      <w:t>Gintaras</w:t>
    </w:r>
    <w:proofErr w:type="spellEnd"/>
    <w:r w:rsidR="00F06842" w:rsidRPr="00FF6043">
      <w:rPr>
        <w:color w:val="auto"/>
        <w:sz w:val="20"/>
        <w:szCs w:val="20"/>
      </w:rPr>
      <w:t xml:space="preserve"> V. </w:t>
    </w:r>
    <w:proofErr w:type="spellStart"/>
    <w:r w:rsidR="00F06842" w:rsidRPr="00FF6043">
      <w:rPr>
        <w:color w:val="auto"/>
        <w:sz w:val="20"/>
        <w:szCs w:val="20"/>
      </w:rPr>
      <w:t>Reklaitis</w:t>
    </w:r>
    <w:proofErr w:type="spellEnd"/>
    <w:r w:rsidR="00F06842" w:rsidRPr="00FF6043">
      <w:rPr>
        <w:color w:val="auto"/>
        <w:sz w:val="20"/>
        <w:szCs w:val="20"/>
      </w:rPr>
      <w:t xml:space="preserve">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0EA5"/>
    <w:rsid w:val="000175F0"/>
    <w:rsid w:val="00061693"/>
    <w:rsid w:val="000842E5"/>
    <w:rsid w:val="000976B5"/>
    <w:rsid w:val="000C0D99"/>
    <w:rsid w:val="000D3D9B"/>
    <w:rsid w:val="000E2CA4"/>
    <w:rsid w:val="000E5EEF"/>
    <w:rsid w:val="000E5EFB"/>
    <w:rsid w:val="00106C8F"/>
    <w:rsid w:val="00126D26"/>
    <w:rsid w:val="0016032F"/>
    <w:rsid w:val="001879F6"/>
    <w:rsid w:val="001A6BC4"/>
    <w:rsid w:val="001B1DE3"/>
    <w:rsid w:val="001C0148"/>
    <w:rsid w:val="001C757E"/>
    <w:rsid w:val="001F624A"/>
    <w:rsid w:val="0020390F"/>
    <w:rsid w:val="00204907"/>
    <w:rsid w:val="00205E56"/>
    <w:rsid w:val="00227755"/>
    <w:rsid w:val="00237B3E"/>
    <w:rsid w:val="00250CFD"/>
    <w:rsid w:val="00250D18"/>
    <w:rsid w:val="00264926"/>
    <w:rsid w:val="002812F0"/>
    <w:rsid w:val="00344D01"/>
    <w:rsid w:val="00376F69"/>
    <w:rsid w:val="00381C4E"/>
    <w:rsid w:val="003B62B0"/>
    <w:rsid w:val="003D1582"/>
    <w:rsid w:val="003D7E4C"/>
    <w:rsid w:val="003E41C2"/>
    <w:rsid w:val="003F43BE"/>
    <w:rsid w:val="003F6E83"/>
    <w:rsid w:val="0044333D"/>
    <w:rsid w:val="00454648"/>
    <w:rsid w:val="004628E9"/>
    <w:rsid w:val="00483AA7"/>
    <w:rsid w:val="0049119E"/>
    <w:rsid w:val="0049772C"/>
    <w:rsid w:val="00507CB7"/>
    <w:rsid w:val="00552EEB"/>
    <w:rsid w:val="00567D93"/>
    <w:rsid w:val="005C59A6"/>
    <w:rsid w:val="005E29F3"/>
    <w:rsid w:val="0062307B"/>
    <w:rsid w:val="00697513"/>
    <w:rsid w:val="006A69BF"/>
    <w:rsid w:val="006C11D1"/>
    <w:rsid w:val="006D49F8"/>
    <w:rsid w:val="006E061A"/>
    <w:rsid w:val="00711DF4"/>
    <w:rsid w:val="007223E6"/>
    <w:rsid w:val="007571BA"/>
    <w:rsid w:val="007622E8"/>
    <w:rsid w:val="007C1AF3"/>
    <w:rsid w:val="007C4443"/>
    <w:rsid w:val="007C79B6"/>
    <w:rsid w:val="007D70A1"/>
    <w:rsid w:val="007F0038"/>
    <w:rsid w:val="007F20B5"/>
    <w:rsid w:val="008132E8"/>
    <w:rsid w:val="00823407"/>
    <w:rsid w:val="0083626F"/>
    <w:rsid w:val="008968B0"/>
    <w:rsid w:val="008A782E"/>
    <w:rsid w:val="008B0184"/>
    <w:rsid w:val="008C5D02"/>
    <w:rsid w:val="008D1EE7"/>
    <w:rsid w:val="008D2649"/>
    <w:rsid w:val="0090568D"/>
    <w:rsid w:val="009125C9"/>
    <w:rsid w:val="00913879"/>
    <w:rsid w:val="00917661"/>
    <w:rsid w:val="009457A3"/>
    <w:rsid w:val="00957278"/>
    <w:rsid w:val="00970E5D"/>
    <w:rsid w:val="0097701C"/>
    <w:rsid w:val="00980A65"/>
    <w:rsid w:val="009904F6"/>
    <w:rsid w:val="00990BF7"/>
    <w:rsid w:val="009B608C"/>
    <w:rsid w:val="009D0080"/>
    <w:rsid w:val="009D7992"/>
    <w:rsid w:val="00A00CAA"/>
    <w:rsid w:val="00A25E70"/>
    <w:rsid w:val="00A279EA"/>
    <w:rsid w:val="00A33765"/>
    <w:rsid w:val="00A3402F"/>
    <w:rsid w:val="00A3761D"/>
    <w:rsid w:val="00A50E0C"/>
    <w:rsid w:val="00A63269"/>
    <w:rsid w:val="00A92377"/>
    <w:rsid w:val="00AB0374"/>
    <w:rsid w:val="00AB29ED"/>
    <w:rsid w:val="00AE0E80"/>
    <w:rsid w:val="00AE4BD8"/>
    <w:rsid w:val="00B421C1"/>
    <w:rsid w:val="00B4388F"/>
    <w:rsid w:val="00B54CBD"/>
    <w:rsid w:val="00B63237"/>
    <w:rsid w:val="00B84E52"/>
    <w:rsid w:val="00B85952"/>
    <w:rsid w:val="00BF4EBB"/>
    <w:rsid w:val="00C20E08"/>
    <w:rsid w:val="00C21D6F"/>
    <w:rsid w:val="00C31107"/>
    <w:rsid w:val="00C36AE5"/>
    <w:rsid w:val="00C55EAD"/>
    <w:rsid w:val="00C960DC"/>
    <w:rsid w:val="00D01EDA"/>
    <w:rsid w:val="00D021BE"/>
    <w:rsid w:val="00D02C75"/>
    <w:rsid w:val="00D04300"/>
    <w:rsid w:val="00D10E22"/>
    <w:rsid w:val="00D13D2C"/>
    <w:rsid w:val="00D6056F"/>
    <w:rsid w:val="00D73FD7"/>
    <w:rsid w:val="00D82724"/>
    <w:rsid w:val="00D87968"/>
    <w:rsid w:val="00DC2F94"/>
    <w:rsid w:val="00DD3D9E"/>
    <w:rsid w:val="00DD7908"/>
    <w:rsid w:val="00E16D66"/>
    <w:rsid w:val="00E379DF"/>
    <w:rsid w:val="00E80B6C"/>
    <w:rsid w:val="00E82297"/>
    <w:rsid w:val="00E928A0"/>
    <w:rsid w:val="00EF39FD"/>
    <w:rsid w:val="00F025CF"/>
    <w:rsid w:val="00F06842"/>
    <w:rsid w:val="00F107FD"/>
    <w:rsid w:val="00F64F50"/>
    <w:rsid w:val="00FB42E3"/>
    <w:rsid w:val="00FB64A8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2724"/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D7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D7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D79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D79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D79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D79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D799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D79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Zchn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nzeichen">
    <w:name w:val="endnote reference"/>
    <w:basedOn w:val="Absatz-Standardschriftart"/>
    <w:semiHidden/>
    <w:rsid w:val="008B0184"/>
    <w:rPr>
      <w:vertAlign w:val="superscript"/>
    </w:rPr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uzeile">
    <w:name w:val="footer"/>
    <w:basedOn w:val="Kopfzeile"/>
    <w:rsid w:val="008B0184"/>
  </w:style>
  <w:style w:type="character" w:styleId="Funotenzeichen">
    <w:name w:val="footnote reference"/>
    <w:semiHidden/>
    <w:rsid w:val="008B0184"/>
    <w:rPr>
      <w:vertAlign w:val="superscript"/>
    </w:rPr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rsid w:val="008B0184"/>
    <w:rPr>
      <w:vanish/>
      <w:color w:val="FF0000"/>
    </w:rPr>
  </w:style>
  <w:style w:type="character" w:styleId="Seitenzahl">
    <w:name w:val="page number"/>
    <w:basedOn w:val="Absatz-Standardschriftar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bsatz-Standardschriftart"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rsid w:val="008B0184"/>
    <w:rPr>
      <w:sz w:val="16"/>
      <w:szCs w:val="16"/>
    </w:rPr>
  </w:style>
  <w:style w:type="paragraph" w:styleId="Kommentartext">
    <w:name w:val="annotation text"/>
    <w:basedOn w:val="Standard"/>
    <w:semiHidden/>
    <w:rsid w:val="008B0184"/>
  </w:style>
  <w:style w:type="paragraph" w:styleId="Kommentarthema">
    <w:name w:val="annotation subject"/>
    <w:basedOn w:val="Kommentartext"/>
    <w:next w:val="Kommentartext"/>
    <w:semiHidden/>
    <w:rsid w:val="008B0184"/>
    <w:rPr>
      <w:b/>
      <w:bCs/>
    </w:rPr>
  </w:style>
  <w:style w:type="paragraph" w:styleId="Sprechblasentext">
    <w:name w:val="Balloon Text"/>
    <w:basedOn w:val="Standard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bsatz-Standardschriftart"/>
    <w:rsid w:val="00F06842"/>
    <w:rPr>
      <w:u w:val="single"/>
    </w:r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D799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9D7992"/>
    <w:pPr>
      <w:tabs>
        <w:tab w:val="left" w:pos="283"/>
      </w:tabs>
      <w:ind w:left="283" w:hanging="283"/>
    </w:pPr>
    <w:rPr>
      <w:lang w:val="en-US"/>
    </w:rPr>
  </w:style>
  <w:style w:type="character" w:customStyle="1" w:styleId="Els-body-textZchn">
    <w:name w:val="Els-body-text Zchn"/>
    <w:basedOn w:val="Absatz-Standardschriftart"/>
    <w:link w:val="Els-body-text"/>
    <w:rsid w:val="009D7992"/>
    <w:rPr>
      <w:lang w:val="en-US" w:eastAsia="en-US"/>
    </w:rPr>
  </w:style>
  <w:style w:type="character" w:customStyle="1" w:styleId="CitaviBibliographyEntryZchn">
    <w:name w:val="Citavi Bibliography Entry Zchn"/>
    <w:basedOn w:val="Els-body-textZchn"/>
    <w:link w:val="CitaviBibliographyEntry"/>
    <w:uiPriority w:val="99"/>
    <w:rsid w:val="009D7992"/>
    <w:rPr>
      <w:lang w:val="en-US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9D7992"/>
  </w:style>
  <w:style w:type="character" w:customStyle="1" w:styleId="CitaviBibliographyHeadingZchn">
    <w:name w:val="Citavi Bibliography Heading Zchn"/>
    <w:basedOn w:val="Els-body-textZchn"/>
    <w:link w:val="CitaviBibliographyHeading"/>
    <w:uiPriority w:val="99"/>
    <w:rsid w:val="009D79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9D79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9D7992"/>
  </w:style>
  <w:style w:type="character" w:customStyle="1" w:styleId="CitaviChapterBibliographyHeadingZchn">
    <w:name w:val="Citavi Chapter Bibliography Heading Zchn"/>
    <w:basedOn w:val="Els-body-textZchn"/>
    <w:link w:val="CitaviChapterBibliographyHeading"/>
    <w:uiPriority w:val="99"/>
    <w:rsid w:val="009D7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9D7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Els-body-textZchn"/>
    <w:link w:val="CitaviBibliographySubheading1"/>
    <w:uiPriority w:val="99"/>
    <w:rsid w:val="009D7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Els-body-textZchn"/>
    <w:link w:val="CitaviBibliographySubheading2"/>
    <w:uiPriority w:val="99"/>
    <w:rsid w:val="009D7992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Els-body-textZchn"/>
    <w:link w:val="CitaviBibliographySubheading3"/>
    <w:uiPriority w:val="99"/>
    <w:rsid w:val="009D7992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9D799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Els-body-textZchn"/>
    <w:link w:val="CitaviBibliographySubheading4"/>
    <w:uiPriority w:val="99"/>
    <w:rsid w:val="009D7992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9D799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Els-body-textZchn"/>
    <w:link w:val="CitaviBibliographySubheading5"/>
    <w:uiPriority w:val="99"/>
    <w:rsid w:val="009D7992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9D799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Els-body-textZchn"/>
    <w:link w:val="CitaviBibliographySubheading6"/>
    <w:uiPriority w:val="99"/>
    <w:rsid w:val="009D7992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9D799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Els-body-textZchn"/>
    <w:link w:val="CitaviBibliographySubheading7"/>
    <w:uiPriority w:val="99"/>
    <w:rsid w:val="009D79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9D79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9D7992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Els-body-textZchn"/>
    <w:link w:val="CitaviBibliographySubheading8"/>
    <w:uiPriority w:val="99"/>
    <w:rsid w:val="009D7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9D7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rarbeitung">
    <w:name w:val="Revision"/>
    <w:hidden/>
    <w:uiPriority w:val="99"/>
    <w:semiHidden/>
    <w:rsid w:val="00AE0E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BFD4A-AD24-4B56-8C1A-05D415DC353E}"/>
      </w:docPartPr>
      <w:docPartBody>
        <w:p w:rsidR="006F5D4A" w:rsidRDefault="00E63BB7">
          <w:r w:rsidRPr="00B827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C53D54EF034C80AF3BF2E23C500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DB6BF-AAB9-4F27-B4CC-9BDBE413B0CB}"/>
      </w:docPartPr>
      <w:docPartBody>
        <w:p w:rsidR="006136DE" w:rsidRDefault="0026054E" w:rsidP="0026054E">
          <w:pPr>
            <w:pStyle w:val="19C53D54EF034C80AF3BF2E23C500974"/>
          </w:pPr>
          <w:r w:rsidRPr="00B827B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B7"/>
    <w:rsid w:val="001924D4"/>
    <w:rsid w:val="001E7408"/>
    <w:rsid w:val="00234711"/>
    <w:rsid w:val="0024068F"/>
    <w:rsid w:val="0026054E"/>
    <w:rsid w:val="00342A58"/>
    <w:rsid w:val="003873BE"/>
    <w:rsid w:val="00395A0A"/>
    <w:rsid w:val="003E2C8C"/>
    <w:rsid w:val="005157DB"/>
    <w:rsid w:val="006136DE"/>
    <w:rsid w:val="006F5D4A"/>
    <w:rsid w:val="00701F98"/>
    <w:rsid w:val="007D0911"/>
    <w:rsid w:val="00A84075"/>
    <w:rsid w:val="00BC0EE8"/>
    <w:rsid w:val="00C114F1"/>
    <w:rsid w:val="00E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054E"/>
    <w:rPr>
      <w:color w:val="808080"/>
    </w:rPr>
  </w:style>
  <w:style w:type="paragraph" w:customStyle="1" w:styleId="19C53D54EF034C80AF3BF2E23C500974">
    <w:name w:val="19C53D54EF034C80AF3BF2E23C500974"/>
    <w:rsid w:val="00260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4</Pages>
  <Words>4676</Words>
  <Characters>29459</Characters>
  <Application>Microsoft Office Word</Application>
  <DocSecurity>0</DocSecurity>
  <Lines>245</Lines>
  <Paragraphs>68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TU-Pseudonym 3124177630232201</cp:lastModifiedBy>
  <cp:revision>2</cp:revision>
  <cp:lastPrinted>2004-12-17T09:20:00Z</cp:lastPrinted>
  <dcterms:created xsi:type="dcterms:W3CDTF">2023-12-20T12:26:00Z</dcterms:created>
  <dcterms:modified xsi:type="dcterms:W3CDTF">2023-12-20T12:26:00Z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itaviDocumentProperty_7">
    <vt:lpwstr>Escape34 - SPP</vt:lpwstr>
  </property>
  <property fmtid="{D5CDD505-2E9C-101B-9397-08002B2CF9AE}" pid="11" name="CitaviDocumentProperty_0">
    <vt:lpwstr>92a131ab-bca2-4b58-b7d5-69ca5663ac00</vt:lpwstr>
  </property>
  <property fmtid="{D5CDD505-2E9C-101B-9397-08002B2CF9AE}" pid="12" name="CitaviDocumentProperty_1">
    <vt:lpwstr>6.17.0.0</vt:lpwstr>
  </property>
  <property fmtid="{D5CDD505-2E9C-101B-9397-08002B2CF9AE}" pid="13" name="CitaviDocumentProperty_6">
    <vt:lpwstr>False</vt:lpwstr>
  </property>
  <property fmtid="{D5CDD505-2E9C-101B-9397-08002B2CF9AE}" pid="14" name="CitaviDocumentProperty_8">
    <vt:lpwstr>CloudProjectKey=kuasrc14lqo5c84nseiqlfj5xoj5vsiamic8ekc; ProjectName=Escape34 - SPP</vt:lpwstr>
  </property>
</Properties>
</file>