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E57" w14:textId="7C6FA43A" w:rsidR="00A41BC8" w:rsidRDefault="00A41BC8" w:rsidP="00A41BC8">
      <w:pPr>
        <w:pStyle w:val="Els-Title"/>
      </w:pPr>
      <w:r>
        <w:t>Dynamic model of the esterification reaction with disappearing second liquid phase</w:t>
      </w:r>
    </w:p>
    <w:p w14:paraId="7406731A" w14:textId="77777777" w:rsidR="00A41BC8" w:rsidRDefault="00A41BC8" w:rsidP="00A41BC8">
      <w:pPr>
        <w:pStyle w:val="Els-Author"/>
      </w:pPr>
      <w:r>
        <w:t>Volodymyr Kozachynskyi</w:t>
      </w:r>
      <w:r>
        <w:rPr>
          <w:vertAlign w:val="superscript"/>
        </w:rPr>
        <w:t>a*</w:t>
      </w:r>
      <w:r>
        <w:t>, Dario Staubach</w:t>
      </w:r>
      <w:r>
        <w:rPr>
          <w:vertAlign w:val="superscript"/>
        </w:rPr>
        <w:t>a</w:t>
      </w:r>
      <w:r>
        <w:t>, Erik Esche</w:t>
      </w:r>
      <w:r>
        <w:rPr>
          <w:vertAlign w:val="superscript"/>
        </w:rPr>
        <w:t>a</w:t>
      </w:r>
      <w:r>
        <w:t>, Lorenz T. Biegler</w:t>
      </w:r>
      <w:r w:rsidRPr="008258F5">
        <w:rPr>
          <w:vertAlign w:val="superscript"/>
        </w:rPr>
        <w:t>b</w:t>
      </w:r>
      <w:r>
        <w:t>, Jens-Uwe Repke</w:t>
      </w:r>
      <w:r>
        <w:rPr>
          <w:vertAlign w:val="superscript"/>
        </w:rPr>
        <w:t>a</w:t>
      </w:r>
    </w:p>
    <w:p w14:paraId="543C402C" w14:textId="77777777" w:rsidR="00A41BC8" w:rsidRDefault="00A41BC8" w:rsidP="00A41BC8">
      <w:pPr>
        <w:pStyle w:val="Els-Affiliation"/>
      </w:pPr>
      <w:r w:rsidRPr="00886809">
        <w:rPr>
          <w:vertAlign w:val="superscript"/>
        </w:rPr>
        <w:t>a</w:t>
      </w:r>
      <w:r>
        <w:t>Technische Universität Berlin, Process Dynamics and Operations Group, Berlin, Germany</w:t>
      </w:r>
    </w:p>
    <w:p w14:paraId="2676B978" w14:textId="77777777" w:rsidR="00A41BC8" w:rsidRDefault="00A41BC8" w:rsidP="00A41BC8">
      <w:pPr>
        <w:pStyle w:val="Els-Affiliation"/>
      </w:pPr>
      <w:r w:rsidRPr="00A33D44">
        <w:rPr>
          <w:vertAlign w:val="superscript"/>
        </w:rPr>
        <w:t>b</w:t>
      </w:r>
      <w:r w:rsidRPr="00A33D44">
        <w:t>Chemical Engineering Department, Carnegie Mellon University, Pittsburgh, PA 15213, USA</w:t>
      </w:r>
    </w:p>
    <w:p w14:paraId="33B5F022" w14:textId="77777777" w:rsidR="00A41BC8" w:rsidRDefault="00A41BC8" w:rsidP="00A41BC8">
      <w:pPr>
        <w:pStyle w:val="Els-Affiliation"/>
      </w:pPr>
      <w:r>
        <w:t>*volodymyr.kozachynskyi@tu-berlin.de</w:t>
      </w:r>
    </w:p>
    <w:p w14:paraId="0FAF9658" w14:textId="77777777" w:rsidR="00097498" w:rsidRDefault="00854097">
      <w:pPr>
        <w:pStyle w:val="Els-Abstract"/>
      </w:pPr>
      <w:r>
        <w:t>Abstract</w:t>
      </w:r>
    </w:p>
    <w:p w14:paraId="5E276258" w14:textId="5C85EABB" w:rsidR="00097498" w:rsidRDefault="00854097">
      <w:pPr>
        <w:pStyle w:val="Els-body-text"/>
        <w:spacing w:after="120"/>
      </w:pPr>
      <w:r>
        <w:t xml:space="preserve">Modeling of appearance and disappearance of liquid phases is a challenging task. </w:t>
      </w:r>
      <w:r w:rsidR="004077C2">
        <w:t xml:space="preserve">Methods that </w:t>
      </w:r>
      <w:r>
        <w:t xml:space="preserve">predict </w:t>
      </w:r>
      <w:r w:rsidR="004077C2">
        <w:t xml:space="preserve">the </w:t>
      </w:r>
      <w:r>
        <w:t>phase dis-/appearance</w:t>
      </w:r>
      <w:r w:rsidR="004077C2">
        <w:t xml:space="preserve"> </w:t>
      </w:r>
      <w:r w:rsidR="00617737">
        <w:t xml:space="preserve">in </w:t>
      </w:r>
      <w:r w:rsidR="004077C2">
        <w:t xml:space="preserve">steady state models </w:t>
      </w:r>
      <w:r w:rsidR="002D35E8">
        <w:t>are usually based on minimization of Gi</w:t>
      </w:r>
      <w:r w:rsidR="00DE33D1">
        <w:t>b</w:t>
      </w:r>
      <w:r w:rsidR="002D35E8">
        <w:t xml:space="preserve">bs </w:t>
      </w:r>
      <w:r w:rsidR="00DE33D1">
        <w:t>free energy</w:t>
      </w:r>
      <w:r w:rsidR="002D35E8">
        <w:t>. When such methods are not applicable</w:t>
      </w:r>
      <w:r w:rsidR="00C419AF">
        <w:t>,</w:t>
      </w:r>
      <w:r w:rsidR="002D35E8">
        <w:t xml:space="preserve"> graphical methods </w:t>
      </w:r>
      <w:r w:rsidR="00C419AF">
        <w:t>can be used.</w:t>
      </w:r>
      <w:r w:rsidR="004077C2">
        <w:t xml:space="preserve"> </w:t>
      </w:r>
      <w:r w:rsidR="00DE33D1">
        <w:t>These</w:t>
      </w:r>
      <w:r w:rsidR="00C419AF">
        <w:t xml:space="preserve"> </w:t>
      </w:r>
      <w:r w:rsidR="007651FA">
        <w:t>common</w:t>
      </w:r>
      <w:r w:rsidR="00617737">
        <w:t>ly</w:t>
      </w:r>
      <w:r w:rsidR="007651FA">
        <w:t xml:space="preserve"> </w:t>
      </w:r>
      <w:r w:rsidR="00C419AF">
        <w:t>use different modes and switches, which are not supported by most dynamic system solvers.</w:t>
      </w:r>
      <w:r w:rsidR="003D4B74">
        <w:t xml:space="preserve"> In this work </w:t>
      </w:r>
      <w:r>
        <w:t xml:space="preserve">we </w:t>
      </w:r>
      <w:r w:rsidR="003D4B74">
        <w:t xml:space="preserve">propose a reformulation of an existing </w:t>
      </w:r>
      <w:r w:rsidR="00C419AF">
        <w:t xml:space="preserve">graphical </w:t>
      </w:r>
      <w:r w:rsidR="003D4B74">
        <w:t xml:space="preserve">modelling approach </w:t>
      </w:r>
      <w:r w:rsidR="00617737">
        <w:t>that does</w:t>
      </w:r>
      <w:r w:rsidR="003D4B74">
        <w:t xml:space="preserve"> not require any integer variables</w:t>
      </w:r>
      <w:r w:rsidR="00F65E9F">
        <w:t xml:space="preserve"> or equation switches</w:t>
      </w:r>
      <w:r w:rsidR="003D4B74">
        <w:t xml:space="preserve">. The </w:t>
      </w:r>
      <w:r w:rsidR="00342B82">
        <w:t>smooth</w:t>
      </w:r>
      <w:r w:rsidR="003D4B74">
        <w:t xml:space="preserve">ed formulation is used to </w:t>
      </w:r>
      <w:r>
        <w:t xml:space="preserve">model </w:t>
      </w:r>
      <w:r w:rsidR="00BA2C58">
        <w:t>an</w:t>
      </w:r>
      <w:r>
        <w:t xml:space="preserve"> esterification</w:t>
      </w:r>
      <w:r w:rsidR="00BA2C58">
        <w:t xml:space="preserve"> reaction in a batch reactor</w:t>
      </w:r>
      <w:r>
        <w:t xml:space="preserve"> with liquid phase dis-/appearance</w:t>
      </w:r>
      <w:r w:rsidR="003D4B74">
        <w:t>.</w:t>
      </w:r>
      <w:r>
        <w:t xml:space="preserve"> Suggested reformulation of the liquid phase dis-/appearance is robust and can be used with any differential algebraic equation solver.</w:t>
      </w:r>
    </w:p>
    <w:p w14:paraId="27F4A289" w14:textId="2B718284" w:rsidR="00097498" w:rsidRDefault="00854097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BA2C58">
        <w:rPr>
          <w:lang w:val="en-GB"/>
        </w:rPr>
        <w:t>Phase Dis-/Appearance,</w:t>
      </w:r>
      <w:r w:rsidR="00FD0368">
        <w:rPr>
          <w:lang w:val="en-GB"/>
        </w:rPr>
        <w:t xml:space="preserve"> Liquid-Liquid Equilibria,</w:t>
      </w:r>
      <w:r w:rsidR="00BA2C58">
        <w:rPr>
          <w:lang w:val="en-GB"/>
        </w:rPr>
        <w:t xml:space="preserve"> Dynamic Modelling</w:t>
      </w:r>
    </w:p>
    <w:p w14:paraId="6F0C3011" w14:textId="77777777" w:rsidR="00097498" w:rsidRDefault="00854097">
      <w:pPr>
        <w:pStyle w:val="Els-1storder-head"/>
      </w:pPr>
      <w:r>
        <w:t>Introduction</w:t>
      </w:r>
    </w:p>
    <w:p w14:paraId="4F76813C" w14:textId="3C53BB5D" w:rsidR="00487D1C" w:rsidRDefault="00854097">
      <w:pPr>
        <w:pStyle w:val="Els-body-text"/>
      </w:pPr>
      <w:r>
        <w:t>Appearance and disappearance of phases is a challenging aspect for modeling in many chemical engineering applications, particularly of interest for start-up</w:t>
      </w:r>
      <w:r w:rsidR="007651FA">
        <w:t>,</w:t>
      </w:r>
      <w:r>
        <w:t xml:space="preserve"> shutdown</w:t>
      </w:r>
      <w:r w:rsidR="007651FA">
        <w:t xml:space="preserve"> or change in operation points</w:t>
      </w:r>
      <w:r>
        <w:t xml:space="preserve"> of distillation, extraction, and multiphasic reactive systems.</w:t>
      </w:r>
      <w:r w:rsidR="00852102">
        <w:t xml:space="preserve"> </w:t>
      </w:r>
      <w:r>
        <w:t xml:space="preserve">There exist different ways to model a dynamic process with vapor-liquid equilibria (VLE) where phases </w:t>
      </w:r>
      <w:r w:rsidR="007651FA">
        <w:t xml:space="preserve">can </w:t>
      </w:r>
      <w:r>
        <w:t>appear or disappear.</w:t>
      </w:r>
      <w:r w:rsidR="00852102">
        <w:t xml:space="preserve"> </w:t>
      </w:r>
      <w:r>
        <w:t xml:space="preserve">Most methods are based on Gibbs </w:t>
      </w:r>
      <w:r w:rsidR="00DE33D1">
        <w:t>f</w:t>
      </w:r>
      <w:r>
        <w:t xml:space="preserve">ree </w:t>
      </w:r>
      <w:r w:rsidR="00DE33D1">
        <w:t>e</w:t>
      </w:r>
      <w:r>
        <w:t>nergy minimization, such a</w:t>
      </w:r>
      <w:r w:rsidR="00BA2C58">
        <w:t>s</w:t>
      </w:r>
      <w:r>
        <w:t xml:space="preserve"> </w:t>
      </w:r>
      <w:r w:rsidR="00DE33D1">
        <w:t xml:space="preserve">the </w:t>
      </w:r>
      <w:r>
        <w:t xml:space="preserve">relaxed </w:t>
      </w:r>
      <w:r w:rsidR="00BA2C58" w:rsidRPr="00BA2C58">
        <w:t xml:space="preserve">Karush-Kuhn-Tucker </w:t>
      </w:r>
      <w:r w:rsidR="00BA2C58">
        <w:t>(</w:t>
      </w:r>
      <w:r>
        <w:t>KKT</w:t>
      </w:r>
      <w:r w:rsidR="00BA2C58">
        <w:t xml:space="preserve">) </w:t>
      </w:r>
      <w:r>
        <w:t>approach (</w:t>
      </w:r>
      <w:r w:rsidR="0015355A">
        <w:t>Gopal and Biegler</w:t>
      </w:r>
      <w:r w:rsidR="00540DF9">
        <w:t>,</w:t>
      </w:r>
      <w:r w:rsidR="0015355A">
        <w:t xml:space="preserve"> 1999</w:t>
      </w:r>
      <w:r>
        <w:t>) and usually require solution of an optimization problem to find phase configuration and compositions.</w:t>
      </w:r>
    </w:p>
    <w:p w14:paraId="05A8066D" w14:textId="2307C914" w:rsidR="00097498" w:rsidRDefault="00854097">
      <w:pPr>
        <w:pStyle w:val="Els-body-text"/>
      </w:pPr>
      <w:r>
        <w:t>However, whenever a second liquid phase is of interest, as in liquid-liquid (LLE) or vapor-liquid-liquid equilibria (VLLE), Ploch</w:t>
      </w:r>
      <w:r w:rsidR="0089603F">
        <w:t xml:space="preserve"> et al.</w:t>
      </w:r>
      <w:r>
        <w:t xml:space="preserve"> 201</w:t>
      </w:r>
      <w:r w:rsidR="0089603F">
        <w:t>8</w:t>
      </w:r>
      <w:r>
        <w:t xml:space="preserve"> showed that </w:t>
      </w:r>
      <w:r w:rsidR="00DE33D1">
        <w:t xml:space="preserve">the </w:t>
      </w:r>
      <w:r>
        <w:t xml:space="preserve">KKT approach is not always applicable. </w:t>
      </w:r>
      <w:r w:rsidR="00C419AF">
        <w:t>T</w:t>
      </w:r>
      <w:r>
        <w:t xml:space="preserve">hey proposed their own hybrid continuous </w:t>
      </w:r>
      <w:r w:rsidR="00192137">
        <w:t>model</w:t>
      </w:r>
      <w:r w:rsidR="00BA2C58">
        <w:t xml:space="preserve">, which </w:t>
      </w:r>
      <w:r w:rsidR="00A50577">
        <w:t>can be categorized as a graphical based approach</w:t>
      </w:r>
      <w:r w:rsidR="0089603F">
        <w:t xml:space="preserve"> (Guo et al.</w:t>
      </w:r>
      <w:r w:rsidR="00470687">
        <w:t>,</w:t>
      </w:r>
      <w:r w:rsidR="0089603F">
        <w:t xml:space="preserve"> 2004)</w:t>
      </w:r>
      <w:r w:rsidR="00A50577">
        <w:t xml:space="preserve">. </w:t>
      </w:r>
      <w:r>
        <w:t xml:space="preserve">Their modeling approach requires a solver that can handle continuous and discrete variables, a feature, that is not </w:t>
      </w:r>
      <w:r>
        <w:lastRenderedPageBreak/>
        <w:t xml:space="preserve">supported by most integrators of differential equations. </w:t>
      </w:r>
      <w:r w:rsidR="00DE33D1">
        <w:t xml:space="preserve">An </w:t>
      </w:r>
      <w:r>
        <w:t xml:space="preserve">LLE formulation without discrete variables is </w:t>
      </w:r>
      <w:r w:rsidR="00DE33D1">
        <w:t>the</w:t>
      </w:r>
      <w:r>
        <w:t xml:space="preserve"> focus of this contribution.</w:t>
      </w:r>
    </w:p>
    <w:p w14:paraId="1A0B2E3C" w14:textId="77777777" w:rsidR="00097498" w:rsidRDefault="00854097">
      <w:pPr>
        <w:pStyle w:val="Els-1storder-head"/>
      </w:pPr>
      <w:r>
        <w:t>Methodology</w:t>
      </w:r>
    </w:p>
    <w:p w14:paraId="39F974D6" w14:textId="2509A676" w:rsidR="00097498" w:rsidRDefault="00DE33D1">
      <w:pPr>
        <w:pStyle w:val="Els-body-text"/>
      </w:pPr>
      <w:r>
        <w:t>To apply a standard differential algebraic equation (DAE) solver in simulation of a dynamic system, t</w:t>
      </w:r>
      <w:r w:rsidR="00854097">
        <w:t>he new</w:t>
      </w:r>
      <w:r>
        <w:t>,</w:t>
      </w:r>
      <w:r w:rsidR="00854097">
        <w:t xml:space="preserve"> reformulated equation system </w:t>
      </w:r>
      <w:r>
        <w:t xml:space="preserve">should </w:t>
      </w:r>
      <w:r w:rsidR="00854097">
        <w:t xml:space="preserve">consist only of </w:t>
      </w:r>
      <w:r>
        <w:t xml:space="preserve">continuously differentiable </w:t>
      </w:r>
      <w:r w:rsidR="00854097">
        <w:t xml:space="preserve">nonlinear equations. The originally proposed method (Ploch </w:t>
      </w:r>
      <w:r w:rsidR="00C22321">
        <w:t>et al.</w:t>
      </w:r>
      <w:r w:rsidR="00470687">
        <w:t>,</w:t>
      </w:r>
      <w:r w:rsidR="00C22321">
        <w:t xml:space="preserve"> </w:t>
      </w:r>
      <w:r w:rsidR="00854097">
        <w:t xml:space="preserve">2019) can be described by an upper and a lower automaton and thus represents a hybrid system. The upper automaton serves as a switch between one and two existing phases. In the lower automaton, the location of the coexisting phase is </w:t>
      </w:r>
      <w:r w:rsidR="009F284A">
        <w:t xml:space="preserve">constrained to </w:t>
      </w:r>
      <w:r w:rsidR="00854097">
        <w:t xml:space="preserve">one of four </w:t>
      </w:r>
      <w:r w:rsidR="009F284A">
        <w:t>possible modes</w:t>
      </w:r>
      <w:r w:rsidR="00854097">
        <w:t xml:space="preserve">. Contrary to the original formulation, </w:t>
      </w:r>
      <w:r>
        <w:t xml:space="preserve">the </w:t>
      </w:r>
      <w:r w:rsidR="00A77963">
        <w:t>upper</w:t>
      </w:r>
      <w:r w:rsidR="00854097">
        <w:t xml:space="preserve"> automato</w:t>
      </w:r>
      <w:r w:rsidR="00A77963">
        <w:t>n</w:t>
      </w:r>
      <w:r w:rsidR="00854097">
        <w:t xml:space="preserve"> </w:t>
      </w:r>
      <w:r w:rsidR="00A77963">
        <w:t>is</w:t>
      </w:r>
      <w:r w:rsidR="00854097">
        <w:t xml:space="preserve"> </w:t>
      </w:r>
      <w:r w:rsidR="00A77963">
        <w:t xml:space="preserve">implemented </w:t>
      </w:r>
      <w:r w:rsidR="00854097">
        <w:t>using complementary conditions</w:t>
      </w:r>
      <w:r w:rsidR="00C22321">
        <w:t xml:space="preserve"> (Gopal and Biegler</w:t>
      </w:r>
      <w:r w:rsidR="00470687">
        <w:t>,</w:t>
      </w:r>
      <w:r w:rsidR="00C22321">
        <w:t xml:space="preserve"> 1999)</w:t>
      </w:r>
      <w:r w:rsidR="008875C4">
        <w:t xml:space="preserve"> with </w:t>
      </w:r>
      <w:r>
        <w:t xml:space="preserve">a </w:t>
      </w:r>
      <w:r w:rsidR="00342B82">
        <w:t>smooth</w:t>
      </w:r>
      <w:r w:rsidR="008875C4">
        <w:t>ed maximum function</w:t>
      </w:r>
      <w:r w:rsidR="00854097">
        <w:t xml:space="preserve"> (</w:t>
      </w:r>
      <w:r w:rsidR="00A77963">
        <w:t xml:space="preserve">Eq. </w:t>
      </w:r>
      <w:r w:rsidR="00854097">
        <w:t>1</w:t>
      </w:r>
      <w:r w:rsidR="00A77963">
        <w:t>, Eq. 2</w:t>
      </w:r>
      <w:r w:rsidR="00854097">
        <w:t xml:space="preserve">) and </w:t>
      </w:r>
      <w:r>
        <w:t xml:space="preserve">the </w:t>
      </w:r>
      <w:r w:rsidR="00A77963">
        <w:t xml:space="preserve">lower automaton is reformulated as </w:t>
      </w:r>
      <w:r w:rsidR="00854097">
        <w:t>a nested smoothed minimum function (</w:t>
      </w:r>
      <w:r w:rsidR="00A77963">
        <w:t>Eq. 3</w:t>
      </w:r>
      <w:r w:rsidR="00854097">
        <w:t>)</w:t>
      </w:r>
      <w:r w:rsidR="00C22321">
        <w:t xml:space="preserve"> (</w:t>
      </w:r>
      <w:r w:rsidR="00854097">
        <w:t>Chen</w:t>
      </w:r>
      <w:r w:rsidR="00C22321">
        <w:t xml:space="preserve"> </w:t>
      </w:r>
      <w:r w:rsidR="00342B82">
        <w:t>and Mangasarian,</w:t>
      </w:r>
      <w:r w:rsidR="00854097">
        <w:t xml:space="preserve"> 1996)</w:t>
      </w:r>
      <w:r w:rsidR="00C22321">
        <w:t>.</w:t>
      </w:r>
    </w:p>
    <w:p w14:paraId="320402B2" w14:textId="5139772D" w:rsidR="00097498" w:rsidRDefault="00097498">
      <w:pPr>
        <w:pStyle w:val="Els-body-text"/>
      </w:pPr>
    </w:p>
    <w:tbl>
      <w:tblPr>
        <w:tblW w:w="7086" w:type="dxa"/>
        <w:tblLayout w:type="fixed"/>
        <w:tblLook w:val="04A0" w:firstRow="1" w:lastRow="0" w:firstColumn="1" w:lastColumn="0" w:noHBand="0" w:noVBand="1"/>
      </w:tblPr>
      <w:tblGrid>
        <w:gridCol w:w="6128"/>
        <w:gridCol w:w="958"/>
      </w:tblGrid>
      <w:tr w:rsidR="00097498" w14:paraId="58F946E0" w14:textId="77777777" w:rsidTr="006408BF">
        <w:tc>
          <w:tcPr>
            <w:tcW w:w="6128" w:type="dxa"/>
            <w:shd w:val="clear" w:color="auto" w:fill="auto"/>
            <w:vAlign w:val="center"/>
          </w:tcPr>
          <w:p w14:paraId="0C61A4AC" w14:textId="5AD8229B" w:rsidR="00097498" w:rsidRPr="00F246BE" w:rsidRDefault="00A77963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β=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GB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max⁡</m:t>
                </m:r>
                <m:r>
                  <w:rPr>
                    <w:rFonts w:ascii="Cambria Math" w:hAnsi="Cambria Math"/>
                    <w:lang w:val="en-GB"/>
                  </w:rPr>
                  <m:t xml:space="preserve">(0,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)</m:t>
                </m:r>
              </m:oMath>
            </m:oMathPara>
          </w:p>
        </w:tc>
        <w:tc>
          <w:tcPr>
            <w:tcW w:w="958" w:type="dxa"/>
            <w:shd w:val="clear" w:color="auto" w:fill="auto"/>
            <w:vAlign w:val="center"/>
          </w:tcPr>
          <w:p w14:paraId="18F70EA3" w14:textId="77777777" w:rsidR="00097498" w:rsidRDefault="0085409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  <w:tr w:rsidR="00097498" w14:paraId="6723C3D9" w14:textId="77777777" w:rsidTr="006408BF">
        <w:tc>
          <w:tcPr>
            <w:tcW w:w="6128" w:type="dxa"/>
            <w:shd w:val="clear" w:color="auto" w:fill="auto"/>
            <w:vAlign w:val="center"/>
          </w:tcPr>
          <w:p w14:paraId="7D59833A" w14:textId="2E06D122" w:rsidR="00097498" w:rsidRPr="00F246BE" w:rsidRDefault="00F246BE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smoothmax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x,y,ϵ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 xml:space="preserve">x+y-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(x-y)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ϵ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8" w:type="dxa"/>
            <w:shd w:val="clear" w:color="auto" w:fill="auto"/>
            <w:vAlign w:val="center"/>
          </w:tcPr>
          <w:p w14:paraId="6E0C40ED" w14:textId="77777777" w:rsidR="00097498" w:rsidRDefault="0085409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  <w:tr w:rsidR="00A77963" w14:paraId="173A3BF2" w14:textId="77777777" w:rsidTr="006408BF">
        <w:tc>
          <w:tcPr>
            <w:tcW w:w="6128" w:type="dxa"/>
            <w:shd w:val="clear" w:color="auto" w:fill="auto"/>
            <w:vAlign w:val="center"/>
          </w:tcPr>
          <w:p w14:paraId="0F9E2376" w14:textId="4C787E0D" w:rsidR="00A77963" w:rsidRPr="00A77963" w:rsidRDefault="008875C4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smoothmin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x,y,ϵ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 xml:space="preserve">x+y+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(x-y)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ϵ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 xml:space="preserve"> </m:t>
                </m:r>
              </m:oMath>
            </m:oMathPara>
          </w:p>
        </w:tc>
        <w:tc>
          <w:tcPr>
            <w:tcW w:w="958" w:type="dxa"/>
            <w:shd w:val="clear" w:color="auto" w:fill="auto"/>
            <w:vAlign w:val="center"/>
          </w:tcPr>
          <w:p w14:paraId="40C31645" w14:textId="20B2D41A" w:rsidR="00A77963" w:rsidRDefault="00A77963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14:paraId="621D507E" w14:textId="77777777" w:rsidR="00097498" w:rsidRDefault="00097498">
      <w:pPr>
        <w:pStyle w:val="Els-body-text"/>
      </w:pPr>
    </w:p>
    <w:p w14:paraId="19A5EADC" w14:textId="5C9C82D2" w:rsidR="00097498" w:rsidRDefault="00854097">
      <w:pPr>
        <w:pStyle w:val="Els-body-text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are two modes that cannot be active </w:t>
      </w:r>
      <w:r w:rsidR="00DE33D1">
        <w:t>at the</w:t>
      </w:r>
      <w:r>
        <w:t xml:space="preserve"> same time,</w:t>
      </w:r>
      <w:r w:rsidR="00A77963">
        <w:t xml:space="preserve"> </w:t>
      </w:r>
      <m:oMath>
        <m:r>
          <w:rPr>
            <w:rFonts w:ascii="Cambria Math" w:hAnsi="Cambria Math"/>
          </w:rPr>
          <m:t>β</m:t>
        </m:r>
      </m:oMath>
      <w:r w:rsidR="00A77963">
        <w:t xml:space="preserve"> </w:t>
      </w:r>
      <w:r>
        <w:t>is a switching variable</w:t>
      </w:r>
      <w:r w:rsidR="00A77963">
        <w:t xml:space="preserve"> indicating existence of a second phase</w:t>
      </w:r>
      <w:r w:rsidR="008875C4">
        <w:t xml:space="preserve"> </w:t>
      </w:r>
      <w:r w:rsidR="00DE33D1">
        <w:t xml:space="preserve">by </w:t>
      </w:r>
      <w:r w:rsidR="008875C4">
        <w:t>its sign</w:t>
      </w:r>
      <w:r w:rsidR="006408BF">
        <w:t>,</w:t>
      </w:r>
      <w:r>
        <w:t xml:space="preserve"> and </w:t>
      </w:r>
      <m:oMath>
        <m:r>
          <w:rPr>
            <w:rFonts w:ascii="Cambria Math" w:hAnsi="Cambria Math"/>
          </w:rPr>
          <m:t>ϵ</m:t>
        </m:r>
      </m:oMath>
      <w:r>
        <w:rPr>
          <w:lang w:val="en-GB"/>
        </w:rPr>
        <w:t xml:space="preserve"> is a smoothing parameter.</w:t>
      </w:r>
    </w:p>
    <w:p w14:paraId="0D2FC1C8" w14:textId="77777777" w:rsidR="00097498" w:rsidRDefault="00854097">
      <w:pPr>
        <w:pStyle w:val="Els-1storder-head"/>
      </w:pPr>
      <w:r>
        <w:t>Results</w:t>
      </w:r>
    </w:p>
    <w:p w14:paraId="6B328238" w14:textId="0C83E690" w:rsidR="00097498" w:rsidRDefault="00487D1C">
      <w:pPr>
        <w:pStyle w:val="Els-body-text"/>
      </w:pPr>
      <w:r>
        <w:t xml:space="preserve">To test the new formulation, it is used as a part of a dynamic model that describes </w:t>
      </w:r>
      <w:r w:rsidR="00E1662A">
        <w:t xml:space="preserve">the </w:t>
      </w:r>
      <w:r>
        <w:t xml:space="preserve">esterification </w:t>
      </w:r>
      <w:r w:rsidR="00854097">
        <w:t>reaction of 1-propanol</w:t>
      </w:r>
      <w:r w:rsidR="00E1662A">
        <w:t xml:space="preserve"> in batch</w:t>
      </w:r>
      <w:r w:rsidR="007651FA">
        <w:t xml:space="preserve"> operation mode</w:t>
      </w:r>
      <w:r w:rsidR="00854097">
        <w:t>.</w:t>
      </w:r>
      <w:r>
        <w:t xml:space="preserve"> </w:t>
      </w:r>
      <w:r w:rsidR="00617737">
        <w:t xml:space="preserve">When </w:t>
      </w:r>
      <w:r w:rsidR="00854097">
        <w:t xml:space="preserve">the reaction is started from the product side, with only water and propyl acetate, a second, water-rich liquid phase </w:t>
      </w:r>
      <w:r w:rsidR="00C22321">
        <w:t>exists</w:t>
      </w:r>
      <w:r w:rsidR="00854097">
        <w:t xml:space="preserve">. After some time, during </w:t>
      </w:r>
      <w:r w:rsidR="00C812E1">
        <w:t xml:space="preserve">the </w:t>
      </w:r>
      <w:r w:rsidR="00854097">
        <w:t xml:space="preserve">hydrolysis reaction 1-propanol and acetic acid are produced, and the second phase disappears. In </w:t>
      </w:r>
      <w:r w:rsidR="00854097" w:rsidRPr="00C22321">
        <w:t>Fig</w:t>
      </w:r>
      <w:r w:rsidR="00DB11ED">
        <w:t>ure</w:t>
      </w:r>
      <w:r w:rsidR="00854097" w:rsidRPr="00C22321">
        <w:t xml:space="preserve"> 1</w:t>
      </w:r>
      <w:r w:rsidR="00854097">
        <w:t xml:space="preserve"> </w:t>
      </w:r>
      <w:r w:rsidR="00C812E1">
        <w:t xml:space="preserve">the </w:t>
      </w:r>
      <w:r w:rsidR="00854097">
        <w:t xml:space="preserve">simulated trajectory </w:t>
      </w:r>
      <w:r w:rsidR="00C812E1">
        <w:t xml:space="preserve">as </w:t>
      </w:r>
      <w:r w:rsidR="00854097">
        <w:t>described above is presente</w:t>
      </w:r>
      <w:r w:rsidR="00C22321">
        <w:t>d</w:t>
      </w:r>
      <w:r w:rsidR="00854097">
        <w:t>. At the start of the reaction, water and ester separate in</w:t>
      </w:r>
      <w:r w:rsidR="00C812E1">
        <w:t>to</w:t>
      </w:r>
      <w:r w:rsidR="00854097">
        <w:t xml:space="preserve"> two liquid phases, water concentration of both phases is shown as dashed lines. During first four hours 1-propanol and acetic acid are generated, so the height of the second phase start to decrease. After four hours</w:t>
      </w:r>
      <w:r w:rsidR="00C812E1">
        <w:t xml:space="preserve">, the </w:t>
      </w:r>
      <w:r w:rsidR="00854097">
        <w:t>second, water-rich liquid phase disappears.</w:t>
      </w:r>
    </w:p>
    <w:p w14:paraId="0DAC9D49" w14:textId="0FB29640" w:rsidR="00097498" w:rsidRDefault="00DB11ED" w:rsidP="004A0BCF">
      <w:pPr>
        <w:pStyle w:val="Els-1storder-hea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DDFBC" wp14:editId="03646A99">
                <wp:simplePos x="0" y="0"/>
                <wp:positionH relativeFrom="column">
                  <wp:posOffset>635</wp:posOffset>
                </wp:positionH>
                <wp:positionV relativeFrom="paragraph">
                  <wp:posOffset>2755900</wp:posOffset>
                </wp:positionV>
                <wp:extent cx="4499610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AD604E" w14:textId="0D76B3C3" w:rsidR="00DB11ED" w:rsidRPr="00DB11ED" w:rsidRDefault="00DB11ED" w:rsidP="00DB11ED">
                            <w:pPr>
                              <w:pStyle w:val="Beschriftung"/>
                              <w:jc w:val="center"/>
                              <w:rPr>
                                <w:rFonts w:cs="Times New Roman"/>
                                <w:b/>
                                <w:i w:val="0"/>
                                <w:iCs w:val="0"/>
                                <w:noProof/>
                                <w:sz w:val="18"/>
                                <w:szCs w:val="14"/>
                              </w:rPr>
                            </w:pP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Figure </w:t>
                            </w: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instrText xml:space="preserve"> SEQ Figure \* ARABIC </w:instrText>
                            </w: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B11ED">
                              <w:rPr>
                                <w:i w:val="0"/>
                                <w:iCs w:val="0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DB11ED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Change of water concentration and liquid height ratio over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D9DDFB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05pt;margin-top:217pt;width:354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" stroked="f">
                <v:textbox style="mso-fit-shape-to-text:t" inset="0,0,0,0">
                  <w:txbxContent>
                    <w:p w14:paraId="56AD604E" w14:textId="0D76B3C3" w:rsidR="00DB11ED" w:rsidRPr="00DB11ED" w:rsidRDefault="00DB11ED" w:rsidP="00DB11ED">
                      <w:pPr>
                        <w:pStyle w:val="Caption"/>
                        <w:jc w:val="center"/>
                        <w:rPr>
                          <w:rFonts w:cs="Times New Roman"/>
                          <w:b/>
                          <w:i w:val="0"/>
                          <w:iCs w:val="0"/>
                          <w:noProof/>
                          <w:sz w:val="18"/>
                          <w:szCs w:val="14"/>
                        </w:rPr>
                      </w:pP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t xml:space="preserve">Figure </w:t>
                      </w: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fldChar w:fldCharType="begin"/>
                      </w: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instrText xml:space="preserve"> SEQ Figure \* ARABIC </w:instrText>
                      </w: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fldChar w:fldCharType="separate"/>
                      </w:r>
                      <w:r w:rsidRPr="00DB11ED">
                        <w:rPr>
                          <w:i w:val="0"/>
                          <w:iCs w:val="0"/>
                          <w:noProof/>
                          <w:sz w:val="18"/>
                          <w:szCs w:val="18"/>
                        </w:rPr>
                        <w:t>1</w:t>
                      </w: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:</w:t>
                      </w:r>
                      <w:r w:rsidRPr="00DB11ED">
                        <w:rPr>
                          <w:i w:val="0"/>
                          <w:iCs w:val="0"/>
                          <w:sz w:val="18"/>
                          <w:szCs w:val="18"/>
                        </w:rPr>
                        <w:t xml:space="preserve"> Change of water concentration and liquid height ratio over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12432" wp14:editId="20C6E821">
            <wp:simplePos x="0" y="0"/>
            <wp:positionH relativeFrom="column">
              <wp:posOffset>1130</wp:posOffset>
            </wp:positionH>
            <wp:positionV relativeFrom="paragraph">
              <wp:posOffset>-230</wp:posOffset>
            </wp:positionV>
            <wp:extent cx="4499610" cy="2698750"/>
            <wp:effectExtent l="0" t="0" r="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097">
        <w:t>Conclusions</w:t>
      </w:r>
    </w:p>
    <w:p w14:paraId="321AC4C0" w14:textId="4F80644F" w:rsidR="00097498" w:rsidRDefault="00487D1C" w:rsidP="00FD0368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Different modelling methods </w:t>
      </w:r>
      <w:r w:rsidR="00C812E1">
        <w:rPr>
          <w:lang w:val="en-GB"/>
        </w:rPr>
        <w:t>for</w:t>
      </w:r>
      <w:r>
        <w:rPr>
          <w:lang w:val="en-GB"/>
        </w:rPr>
        <w:t xml:space="preserve"> </w:t>
      </w:r>
      <w:r w:rsidR="00854097">
        <w:rPr>
          <w:lang w:val="en-GB"/>
        </w:rPr>
        <w:t xml:space="preserve">liquid phase dis-/appearance </w:t>
      </w:r>
      <w:r>
        <w:rPr>
          <w:lang w:val="en-GB"/>
        </w:rPr>
        <w:t>exist, each having their own advantages and disadvantages</w:t>
      </w:r>
      <w:r w:rsidR="00854097">
        <w:rPr>
          <w:lang w:val="en-GB"/>
        </w:rPr>
        <w:t xml:space="preserve">. In this work </w:t>
      </w:r>
      <w:r w:rsidR="00C812E1">
        <w:rPr>
          <w:lang w:val="en-GB"/>
        </w:rPr>
        <w:t xml:space="preserve">a fully </w:t>
      </w:r>
      <w:r w:rsidR="00342B82">
        <w:rPr>
          <w:lang w:val="en-GB"/>
        </w:rPr>
        <w:t>smooth</w:t>
      </w:r>
      <w:r w:rsidR="00C812E1">
        <w:rPr>
          <w:lang w:val="en-GB"/>
        </w:rPr>
        <w:t>ed</w:t>
      </w:r>
      <w:r>
        <w:rPr>
          <w:lang w:val="en-GB"/>
        </w:rPr>
        <w:t xml:space="preserve"> reformulation of an existing method is proposed</w:t>
      </w:r>
      <w:r w:rsidR="005C35B3">
        <w:rPr>
          <w:lang w:val="en-GB"/>
        </w:rPr>
        <w:t xml:space="preserve">. Contrary to the original method, </w:t>
      </w:r>
      <w:r w:rsidR="00342B82">
        <w:rPr>
          <w:lang w:val="en-GB"/>
        </w:rPr>
        <w:t>smooth</w:t>
      </w:r>
      <w:r w:rsidR="00525B0E">
        <w:rPr>
          <w:lang w:val="en-GB"/>
        </w:rPr>
        <w:t xml:space="preserve">ed mode switches </w:t>
      </w:r>
      <w:r w:rsidR="005C35B3">
        <w:rPr>
          <w:lang w:val="en-GB"/>
        </w:rPr>
        <w:t xml:space="preserve">can be directly used as part of a </w:t>
      </w:r>
      <w:r w:rsidR="00FD0368">
        <w:rPr>
          <w:lang w:val="en-GB"/>
        </w:rPr>
        <w:t xml:space="preserve">system of </w:t>
      </w:r>
      <w:r w:rsidR="005C35B3">
        <w:rPr>
          <w:lang w:val="en-GB"/>
        </w:rPr>
        <w:t>differential-algebraic equation</w:t>
      </w:r>
      <w:r w:rsidR="00FD0368">
        <w:rPr>
          <w:lang w:val="en-GB"/>
        </w:rPr>
        <w:t>s</w:t>
      </w:r>
      <w:r w:rsidR="005C35B3">
        <w:rPr>
          <w:lang w:val="en-GB"/>
        </w:rPr>
        <w:t xml:space="preserve"> </w:t>
      </w:r>
      <w:r w:rsidR="00FD0368">
        <w:rPr>
          <w:lang w:val="en-GB"/>
        </w:rPr>
        <w:t>(DAEs)</w:t>
      </w:r>
      <w:r w:rsidR="005C35B3">
        <w:rPr>
          <w:lang w:val="en-GB"/>
        </w:rPr>
        <w:t>.</w:t>
      </w:r>
      <w:r w:rsidR="00854097">
        <w:rPr>
          <w:lang w:val="en-GB"/>
        </w:rPr>
        <w:t xml:space="preserve"> </w:t>
      </w:r>
      <w:r w:rsidR="005C35B3">
        <w:rPr>
          <w:lang w:val="en-GB"/>
        </w:rPr>
        <w:t xml:space="preserve">The dynamic model with phase </w:t>
      </w:r>
      <w:proofErr w:type="gramStart"/>
      <w:r w:rsidR="005C35B3">
        <w:rPr>
          <w:lang w:val="en-GB"/>
        </w:rPr>
        <w:t>dis</w:t>
      </w:r>
      <w:proofErr w:type="gramEnd"/>
      <w:r w:rsidR="005C35B3">
        <w:rPr>
          <w:lang w:val="en-GB"/>
        </w:rPr>
        <w:t xml:space="preserve">-/appearance </w:t>
      </w:r>
      <w:r w:rsidR="00854097">
        <w:t>is at least once continuously differentiable</w:t>
      </w:r>
      <w:r w:rsidR="00FD0368">
        <w:t xml:space="preserve"> and</w:t>
      </w:r>
      <w:r w:rsidR="005C35B3">
        <w:t xml:space="preserve"> can be solved by most DAE</w:t>
      </w:r>
      <w:r w:rsidR="00FD0368">
        <w:t xml:space="preserve"> solvers</w:t>
      </w:r>
      <w:r w:rsidR="00854097">
        <w:t xml:space="preserve">. </w:t>
      </w:r>
      <w:r w:rsidR="00FD0368">
        <w:t xml:space="preserve">Real experiments are planned to </w:t>
      </w:r>
      <w:r w:rsidR="005E1EE2">
        <w:t xml:space="preserve">validate the </w:t>
      </w:r>
      <w:r w:rsidR="00FD0368">
        <w:t>model</w:t>
      </w:r>
      <w:r w:rsidR="005E1EE2">
        <w:t xml:space="preserve"> </w:t>
      </w:r>
      <w:r w:rsidR="00FD0368">
        <w:t xml:space="preserve">of the esterification reaction with phase dis-/appearance </w:t>
      </w:r>
      <w:r w:rsidR="005E1EE2">
        <w:t>by comparing the predicted and the measured liquid height ratio of two separated liquids.</w:t>
      </w:r>
    </w:p>
    <w:p w14:paraId="1479F668" w14:textId="7477FCAF" w:rsidR="00F272D4" w:rsidRPr="004077C2" w:rsidRDefault="00F272D4" w:rsidP="00F272D4">
      <w:pPr>
        <w:pStyle w:val="Textkrper"/>
        <w:spacing w:after="0"/>
        <w:rPr>
          <w:lang w:val="en-US"/>
        </w:rPr>
      </w:pPr>
      <w:r w:rsidRPr="004077C2">
        <w:rPr>
          <w:b/>
          <w:bCs/>
          <w:lang w:val="en-US"/>
        </w:rPr>
        <w:t>Acknowledgement:</w:t>
      </w:r>
      <w:r w:rsidRPr="004077C2">
        <w:rPr>
          <w:lang w:val="en-US"/>
        </w:rPr>
        <w:t xml:space="preserve"> Funded by the Deutsche Forschungsgemeinschaft (DFG, German Research Foundation) – 466397921</w:t>
      </w:r>
      <w:r w:rsidR="00706707">
        <w:rPr>
          <w:lang w:val="en-US"/>
        </w:rPr>
        <w:t>.</w:t>
      </w:r>
    </w:p>
    <w:p w14:paraId="47FABB50" w14:textId="77777777" w:rsidR="00097498" w:rsidRDefault="00854097">
      <w:pPr>
        <w:pStyle w:val="Els-reference-head"/>
      </w:pPr>
      <w:r>
        <w:t>References</w:t>
      </w:r>
    </w:p>
    <w:p w14:paraId="28707801" w14:textId="77777777" w:rsidR="00097498" w:rsidRDefault="00854097">
      <w:pPr>
        <w:pStyle w:val="Els-referenceno-number"/>
      </w:pPr>
      <w:r>
        <w:t>Chen, C., Mangasarian, O.L., 1996. A class of smoothing functions for nonlinear and mixed complementarity problems. Computational Optimization and Applications 5, 97–138. doi:10.1007/BF00249052.</w:t>
      </w:r>
    </w:p>
    <w:p w14:paraId="7DB88E88" w14:textId="21BCD22D" w:rsidR="00097498" w:rsidRDefault="00854097">
      <w:pPr>
        <w:pStyle w:val="Els-referenceno-number"/>
      </w:pPr>
      <w:r>
        <w:t>Gopal, V., Biegler, L.T., 1999. Smoothing methods for complementarity problems in process engineering. AIChE Journal 45, 1535–1547. doi:10.1002/aic.690450715.</w:t>
      </w:r>
    </w:p>
    <w:p w14:paraId="63D7D872" w14:textId="5D123A18" w:rsidR="00A50577" w:rsidRDefault="00A50577">
      <w:pPr>
        <w:pStyle w:val="Els-referenceno-number"/>
      </w:pPr>
      <w:r w:rsidRPr="00A50577">
        <w:t>M. Guo, S. Wang, J.-U. Repke, and G. Wozny, “A simultaneous method for two‐ and three‐liquid–phase stability determination,” AIChE Journal, vol. 50, no. 10, pp. 2571–2582, Sep. 2004, doi: 10.1002/aic.10256.</w:t>
      </w:r>
    </w:p>
    <w:p w14:paraId="2C41053F" w14:textId="1F4B8DED" w:rsidR="00097498" w:rsidRPr="00A50577" w:rsidRDefault="00C22321" w:rsidP="00A50577">
      <w:pPr>
        <w:pStyle w:val="Els-referenceno-number"/>
      </w:pPr>
      <w:r w:rsidRPr="00C22321">
        <w:t>T. Ploch, M. Glass, A. M. Bremen, R. Hannemann-Tamás, and A. Mitsos, “Modeling of dynamic systems with a variable number of phases in liquid-liquid equilibria,” AIChE Journal, vol. 65, no. 2, pp. 571–581, Nov. 2018, doi: 10.1002/aic.16447.</w:t>
      </w:r>
    </w:p>
    <w:sectPr w:rsidR="00097498" w:rsidRPr="00A50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77" w:right="2410" w:bottom="2949" w:left="2410" w:header="1701" w:footer="2892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FF2" w14:textId="77777777" w:rsidR="00BA4B07" w:rsidRDefault="00BA4B07">
      <w:r>
        <w:separator/>
      </w:r>
    </w:p>
  </w:endnote>
  <w:endnote w:type="continuationSeparator" w:id="0">
    <w:p w14:paraId="4FA1FA4B" w14:textId="77777777" w:rsidR="00BA4B07" w:rsidRDefault="00B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93BC" w14:textId="77777777" w:rsidR="00097498" w:rsidRDefault="000974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C45" w14:textId="77777777" w:rsidR="00097498" w:rsidRDefault="000974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8155" w14:textId="77777777" w:rsidR="00097498" w:rsidRDefault="000974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D9E9" w14:textId="77777777" w:rsidR="00BA4B07" w:rsidRDefault="00BA4B07">
      <w:r>
        <w:separator/>
      </w:r>
    </w:p>
  </w:footnote>
  <w:footnote w:type="continuationSeparator" w:id="0">
    <w:p w14:paraId="71118BB2" w14:textId="77777777" w:rsidR="00BA4B07" w:rsidRDefault="00BA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EDF8" w14:textId="77777777" w:rsidR="00097498" w:rsidRDefault="00854097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8605" w14:textId="77777777" w:rsidR="00097498" w:rsidRDefault="00854097">
    <w:pPr>
      <w:pStyle w:val="Kopfzeile"/>
      <w:tabs>
        <w:tab w:val="clear" w:pos="7200"/>
        <w:tab w:val="right" w:pos="7088"/>
      </w:tabs>
      <w:jc w:val="right"/>
      <w:rPr>
        <w:sz w:val="24"/>
      </w:rPr>
    </w:pPr>
    <w:r>
      <w:rPr>
        <w:rStyle w:val="Seitenzahl"/>
        <w:i/>
        <w:sz w:val="24"/>
      </w:rPr>
      <w:tab/>
    </w:r>
    <w:r>
      <w:rPr>
        <w:rStyle w:val="Seitenzahl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F775" w14:textId="77777777" w:rsidR="00097498" w:rsidRDefault="00854097">
    <w:pPr>
      <w:pStyle w:val="ElsevierBodyTextCentredNospace"/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B6F11E4" wp14:editId="4F0E3124">
          <wp:extent cx="4499610" cy="91694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uto"/>
        <w:sz w:val="20"/>
        <w:szCs w:val="20"/>
      </w:rPr>
      <w:t>Flavio Manenti, Gintaras V. Reklaitis (Eds.), B</w:t>
    </w:r>
    <w:r>
      <w:rPr>
        <w:sz w:val="20"/>
        <w:szCs w:val="20"/>
      </w:rPr>
      <w:t xml:space="preserve">ook of Abstract of the </w:t>
    </w:r>
    <w:r>
      <w:rPr>
        <w:rStyle w:val="underline1"/>
        <w:sz w:val="20"/>
        <w:szCs w:val="20"/>
        <w:u w:val="none"/>
      </w:rPr>
      <w:t>34</w:t>
    </w:r>
    <w:r>
      <w:rPr>
        <w:rStyle w:val="underline1"/>
        <w:sz w:val="20"/>
        <w:szCs w:val="20"/>
        <w:u w:val="none"/>
        <w:vertAlign w:val="superscript"/>
      </w:rPr>
      <w:t>th</w:t>
    </w:r>
    <w:r>
      <w:rPr>
        <w:rStyle w:val="underline1"/>
        <w:sz w:val="20"/>
        <w:szCs w:val="20"/>
        <w:u w:val="none"/>
      </w:rPr>
      <w:t xml:space="preserve"> European Symposium on Computer Aided Process Engineering / 15</w:t>
    </w:r>
    <w:r>
      <w:rPr>
        <w:rStyle w:val="underline1"/>
        <w:sz w:val="20"/>
        <w:szCs w:val="20"/>
        <w:u w:val="none"/>
        <w:vertAlign w:val="superscript"/>
      </w:rPr>
      <w:t>th</w:t>
    </w:r>
    <w:r>
      <w:rPr>
        <w:rStyle w:val="underline1"/>
        <w:sz w:val="20"/>
        <w:szCs w:val="20"/>
        <w:u w:val="none"/>
      </w:rPr>
      <w:t xml:space="preserve"> International Symposium on Process Systems Engineerin</w:t>
    </w:r>
    <w:r>
      <w:rPr>
        <w:rStyle w:val="underline1"/>
        <w:sz w:val="20"/>
        <w:szCs w:val="20"/>
      </w:rPr>
      <w:t>g</w:t>
    </w:r>
    <w:r>
      <w:rPr>
        <w:sz w:val="20"/>
        <w:szCs w:val="20"/>
      </w:rPr>
      <w:t xml:space="preserve"> (ESCAPE34/PSE24), June 2-6, 2024, Florence, Italy.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3B0"/>
    <w:multiLevelType w:val="multilevel"/>
    <w:tmpl w:val="493E4FF4"/>
    <w:lvl w:ilvl="0">
      <w:start w:val="1"/>
      <w:numFmt w:val="decimal"/>
      <w:pStyle w:val="Els-Chapterno"/>
      <w:suff w:val="space"/>
      <w:lvlText w:val="Chapter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Els-1storder-head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Els-2ndorder-head"/>
      <w:suff w:val="space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Els-3rdorder-head"/>
      <w:suff w:val="space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543313"/>
    <w:multiLevelType w:val="multilevel"/>
    <w:tmpl w:val="4BFC8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A968E4"/>
    <w:multiLevelType w:val="multilevel"/>
    <w:tmpl w:val="784C909E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26555B"/>
    <w:multiLevelType w:val="multilevel"/>
    <w:tmpl w:val="740ED462"/>
    <w:lvl w:ilvl="0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8"/>
    <w:rsid w:val="0004629B"/>
    <w:rsid w:val="00097498"/>
    <w:rsid w:val="000E1B39"/>
    <w:rsid w:val="00142C99"/>
    <w:rsid w:val="0015355A"/>
    <w:rsid w:val="00192137"/>
    <w:rsid w:val="0028799D"/>
    <w:rsid w:val="002C1FE0"/>
    <w:rsid w:val="002D35E8"/>
    <w:rsid w:val="00342B82"/>
    <w:rsid w:val="003D4B74"/>
    <w:rsid w:val="003E2F82"/>
    <w:rsid w:val="004077C2"/>
    <w:rsid w:val="00470687"/>
    <w:rsid w:val="00487D1C"/>
    <w:rsid w:val="00493FF2"/>
    <w:rsid w:val="004A0BCF"/>
    <w:rsid w:val="004C6C42"/>
    <w:rsid w:val="00525B0E"/>
    <w:rsid w:val="00540DF9"/>
    <w:rsid w:val="005C35B3"/>
    <w:rsid w:val="005E1EE2"/>
    <w:rsid w:val="00617737"/>
    <w:rsid w:val="006408BF"/>
    <w:rsid w:val="00706707"/>
    <w:rsid w:val="007651FA"/>
    <w:rsid w:val="00852102"/>
    <w:rsid w:val="00854097"/>
    <w:rsid w:val="00875EFD"/>
    <w:rsid w:val="008875C4"/>
    <w:rsid w:val="0089603F"/>
    <w:rsid w:val="00946CF5"/>
    <w:rsid w:val="00973BF3"/>
    <w:rsid w:val="009857AD"/>
    <w:rsid w:val="009F284A"/>
    <w:rsid w:val="00A41BC8"/>
    <w:rsid w:val="00A50577"/>
    <w:rsid w:val="00A77963"/>
    <w:rsid w:val="00BA2C58"/>
    <w:rsid w:val="00BA4B07"/>
    <w:rsid w:val="00C22321"/>
    <w:rsid w:val="00C419AF"/>
    <w:rsid w:val="00C812E1"/>
    <w:rsid w:val="00DB11ED"/>
    <w:rsid w:val="00DE33D1"/>
    <w:rsid w:val="00E108FA"/>
    <w:rsid w:val="00E1662A"/>
    <w:rsid w:val="00F246BE"/>
    <w:rsid w:val="00F272D4"/>
    <w:rsid w:val="00F65E9F"/>
    <w:rsid w:val="00FB4977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E5E7"/>
  <w15:docId w15:val="{E6133246-AA19-4AE2-AED8-9684A95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184"/>
    <w:rPr>
      <w:lang w:eastAsia="en-US"/>
    </w:rPr>
  </w:style>
  <w:style w:type="paragraph" w:styleId="berschrift3">
    <w:name w:val="heading 3"/>
    <w:basedOn w:val="Standard"/>
    <w:next w:val="Standard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qFormat/>
    <w:rsid w:val="008B0184"/>
    <w:rPr>
      <w:vanish/>
      <w:color w:val="FF0000"/>
    </w:rPr>
  </w:style>
  <w:style w:type="character" w:styleId="Seitenzahl">
    <w:name w:val="page number"/>
    <w:basedOn w:val="Absatz-Standardschriftart"/>
    <w:qFormat/>
    <w:rsid w:val="008B0184"/>
    <w:rPr>
      <w:sz w:val="20"/>
      <w:szCs w:val="20"/>
    </w:rPr>
  </w:style>
  <w:style w:type="character" w:customStyle="1" w:styleId="Els-captionChar">
    <w:name w:val="Els-caption Char"/>
    <w:basedOn w:val="Absatz-Standardschriftart"/>
    <w:qFormat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qFormat/>
    <w:rsid w:val="008B0184"/>
    <w:rPr>
      <w:sz w:val="16"/>
      <w:szCs w:val="16"/>
    </w:rPr>
  </w:style>
  <w:style w:type="character" w:customStyle="1" w:styleId="underline1">
    <w:name w:val="underline1"/>
    <w:basedOn w:val="Absatz-Standardschriftart"/>
    <w:qFormat/>
    <w:rsid w:val="00F06842"/>
    <w:rPr>
      <w:u w:val="single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Els-caption"/>
    <w:next w:val="Els-caption"/>
    <w:qFormat/>
    <w:rsid w:val="008B0184"/>
  </w:style>
  <w:style w:type="paragraph" w:customStyle="1" w:styleId="Els-caption">
    <w:name w:val="Els-caption"/>
    <w:qFormat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qFormat/>
    <w:rsid w:val="008B0184"/>
    <w:pPr>
      <w:keepNext/>
      <w:numPr>
        <w:ilvl w:val="1"/>
        <w:numId w:val="2"/>
      </w:numPr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qFormat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qFormat/>
    <w:rsid w:val="008B0184"/>
    <w:pPr>
      <w:keepNext/>
      <w:numPr>
        <w:ilvl w:val="2"/>
        <w:numId w:val="2"/>
      </w:numPr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qFormat/>
    <w:rsid w:val="008B0184"/>
    <w:pPr>
      <w:keepNext/>
      <w:numPr>
        <w:ilvl w:val="3"/>
        <w:numId w:val="2"/>
      </w:numPr>
      <w:spacing w:before="60"/>
    </w:pPr>
    <w:rPr>
      <w:i/>
    </w:rPr>
  </w:style>
  <w:style w:type="paragraph" w:customStyle="1" w:styleId="Els-Affiliation">
    <w:name w:val="Els-Affiliation"/>
    <w:qFormat/>
    <w:rsid w:val="008B0184"/>
    <w:pPr>
      <w:spacing w:line="240" w:lineRule="exact"/>
    </w:pPr>
    <w:rPr>
      <w:i/>
      <w:lang w:eastAsia="en-US"/>
    </w:rPr>
  </w:style>
  <w:style w:type="paragraph" w:customStyle="1" w:styleId="Els-Author">
    <w:name w:val="Els-Author"/>
    <w:next w:val="Els-Affiliation"/>
    <w:qFormat/>
    <w:rsid w:val="008B0184"/>
    <w:pPr>
      <w:keepNext/>
      <w:spacing w:after="60" w:line="310" w:lineRule="exact"/>
    </w:pPr>
    <w:rPr>
      <w:sz w:val="22"/>
      <w:lang w:eastAsia="en-US"/>
    </w:rPr>
  </w:style>
  <w:style w:type="paragraph" w:customStyle="1" w:styleId="Els-bulletlist">
    <w:name w:val="Els-bulletlist"/>
    <w:basedOn w:val="Els-body-text"/>
    <w:qFormat/>
    <w:rsid w:val="008B0184"/>
    <w:pPr>
      <w:tabs>
        <w:tab w:val="left" w:pos="240"/>
        <w:tab w:val="left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qFormat/>
    <w:rsid w:val="008B0184"/>
    <w:pPr>
      <w:tabs>
        <w:tab w:val="right" w:pos="7088"/>
      </w:tabs>
      <w:spacing w:before="120" w:after="120"/>
    </w:pPr>
    <w:rPr>
      <w:lang w:val="en-GB"/>
    </w:rPr>
  </w:style>
  <w:style w:type="paragraph" w:customStyle="1" w:styleId="Els-equation">
    <w:name w:val="Els-equation"/>
    <w:basedOn w:val="Els-body-text"/>
    <w:next w:val="Els-body-text"/>
    <w:qFormat/>
    <w:rsid w:val="008B0184"/>
    <w:pPr>
      <w:tabs>
        <w:tab w:val="right" w:pos="7088"/>
      </w:tabs>
      <w:spacing w:before="120" w:after="120"/>
    </w:pPr>
    <w:rPr>
      <w:i/>
      <w:lang w:val="en-GB"/>
    </w:rPr>
  </w:style>
  <w:style w:type="paragraph" w:customStyle="1" w:styleId="Els-footnote">
    <w:name w:val="Els-footnote"/>
    <w:qFormat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qFormat/>
    <w:rsid w:val="008B0184"/>
    <w:pPr>
      <w:tabs>
        <w:tab w:val="left" w:pos="240"/>
        <w:tab w:val="left" w:pos="360"/>
      </w:tabs>
      <w:ind w:left="240" w:hanging="240"/>
      <w:jc w:val="left"/>
    </w:pPr>
  </w:style>
  <w:style w:type="paragraph" w:customStyle="1" w:styleId="Els-reference">
    <w:name w:val="Els-reference"/>
    <w:qFormat/>
    <w:rsid w:val="008B0184"/>
    <w:pPr>
      <w:numPr>
        <w:numId w:val="1"/>
      </w:numPr>
      <w:ind w:left="482" w:firstLine="0"/>
    </w:pPr>
    <w:rPr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qFormat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qFormat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qFormat/>
    <w:rsid w:val="008B0184"/>
    <w:pPr>
      <w:spacing w:before="240" w:after="120" w:line="360" w:lineRule="exact"/>
    </w:pPr>
    <w:rPr>
      <w:b/>
      <w:sz w:val="32"/>
      <w:lang w:val="en-US" w:eastAsia="en-U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lang w:eastAsia="en-US"/>
    </w:rPr>
  </w:style>
  <w:style w:type="paragraph" w:styleId="Fuzeile">
    <w:name w:val="footer"/>
    <w:basedOn w:val="Kopfzeile"/>
    <w:rsid w:val="008B0184"/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paragraph" w:customStyle="1" w:styleId="Els-Chapterno">
    <w:name w:val="Els-Chapter no"/>
    <w:qFormat/>
    <w:rsid w:val="008B0184"/>
    <w:pPr>
      <w:numPr>
        <w:numId w:val="2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qFormat/>
    <w:rsid w:val="008B0184"/>
    <w:pPr>
      <w:numPr>
        <w:numId w:val="0"/>
      </w:numPr>
      <w:ind w:left="240" w:hanging="240"/>
    </w:pPr>
  </w:style>
  <w:style w:type="paragraph" w:styleId="Kommentartext">
    <w:name w:val="annotation text"/>
    <w:basedOn w:val="Standard"/>
    <w:semiHidden/>
    <w:qFormat/>
    <w:rsid w:val="008B0184"/>
  </w:style>
  <w:style w:type="paragraph" w:styleId="Kommentarthema">
    <w:name w:val="annotation subject"/>
    <w:basedOn w:val="Kommentartext"/>
    <w:next w:val="Kommentartext"/>
    <w:semiHidden/>
    <w:qFormat/>
    <w:rsid w:val="008B0184"/>
    <w:rPr>
      <w:b/>
      <w:bCs/>
    </w:rPr>
  </w:style>
  <w:style w:type="paragraph" w:styleId="Sprechblasentext">
    <w:name w:val="Balloon Text"/>
    <w:basedOn w:val="Standard"/>
    <w:semiHidden/>
    <w:qFormat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qFormat/>
    <w:rsid w:val="008B0184"/>
    <w:pPr>
      <w:numPr>
        <w:ilvl w:val="0"/>
        <w:numId w:val="0"/>
      </w:numPr>
    </w:p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character" w:styleId="Platzhaltertext">
    <w:name w:val="Placeholder Text"/>
    <w:basedOn w:val="Absatz-Standardschriftart"/>
    <w:uiPriority w:val="99"/>
    <w:semiHidden/>
    <w:rsid w:val="00F246BE"/>
    <w:rPr>
      <w:color w:val="808080"/>
    </w:rPr>
  </w:style>
  <w:style w:type="paragraph" w:styleId="berarbeitung">
    <w:name w:val="Revision"/>
    <w:hidden/>
    <w:uiPriority w:val="99"/>
    <w:semiHidden/>
    <w:rsid w:val="00DE33D1"/>
    <w:pPr>
      <w:suppressAutoHyphens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dc:description/>
  <cp:lastModifiedBy>Kozachynskyi, Volodymyr</cp:lastModifiedBy>
  <cp:revision>3</cp:revision>
  <cp:lastPrinted>2004-12-17T09:20:00Z</cp:lastPrinted>
  <dcterms:created xsi:type="dcterms:W3CDTF">2023-12-18T13:25:00Z</dcterms:created>
  <dcterms:modified xsi:type="dcterms:W3CDTF">2023-12-18T13:27:00Z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1dbdf9704ae63b23c772d0a2d4dc5007e513b2143281315c46e9c661110ba89d</vt:lpwstr>
  </property>
  <property fmtid="{D5CDD505-2E9C-101B-9397-08002B2CF9AE}" pid="3" name="MSIP_Label_549ac42a-3eb4-4074-b885-aea26bd6241e_ActionId">
    <vt:lpwstr>d1e5754d-f2d2-4025-b8e5-4cd2943f5f30</vt:lpwstr>
  </property>
  <property fmtid="{D5CDD505-2E9C-101B-9397-08002B2CF9AE}" pid="4" name="MSIP_Label_549ac42a-3eb4-4074-b885-aea26bd6241e_ContentBits">
    <vt:lpwstr>0</vt:lpwstr>
  </property>
  <property fmtid="{D5CDD505-2E9C-101B-9397-08002B2CF9AE}" pid="5" name="MSIP_Label_549ac42a-3eb4-4074-b885-aea26bd6241e_Enabled">
    <vt:lpwstr>true</vt:lpwstr>
  </property>
  <property fmtid="{D5CDD505-2E9C-101B-9397-08002B2CF9AE}" pid="6" name="MSIP_Label_549ac42a-3eb4-4074-b885-aea26bd6241e_Method">
    <vt:lpwstr>Standard</vt:lpwstr>
  </property>
  <property fmtid="{D5CDD505-2E9C-101B-9397-08002B2CF9AE}" pid="7" name="MSIP_Label_549ac42a-3eb4-4074-b885-aea26bd6241e_Name">
    <vt:lpwstr>General Business</vt:lpwstr>
  </property>
  <property fmtid="{D5CDD505-2E9C-101B-9397-08002B2CF9AE}" pid="8" name="MSIP_Label_549ac42a-3eb4-4074-b885-aea26bd6241e_SetDate">
    <vt:lpwstr>2023-10-02T08:38:43Z</vt:lpwstr>
  </property>
  <property fmtid="{D5CDD505-2E9C-101B-9397-08002B2CF9AE}" pid="9" name="MSIP_Label_549ac42a-3eb4-4074-b885-aea26bd6241e_SiteId">
    <vt:lpwstr>9274ee3f-9425-4109-a27f-9fb15c10675d</vt:lpwstr>
  </property>
</Properties>
</file>