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44C4B244" w:rsidR="00DD3D9E" w:rsidRPr="00B4388F" w:rsidRDefault="00A97B3B">
      <w:pPr>
        <w:pStyle w:val="Els-Title"/>
        <w:rPr>
          <w:color w:val="000000" w:themeColor="text1"/>
        </w:rPr>
      </w:pPr>
      <w:r>
        <w:rPr>
          <w:color w:val="000000" w:themeColor="text1"/>
        </w:rPr>
        <w:t>Sustainability Assessments of Styrofoam Waste Recycling for Styrene Monomer Recovery: Economic and Environmental Impact</w:t>
      </w:r>
    </w:p>
    <w:p w14:paraId="144DE680" w14:textId="4BD75335" w:rsidR="00DD3D9E" w:rsidRDefault="00A97B3B">
      <w:pPr>
        <w:pStyle w:val="Els-Author"/>
      </w:pPr>
      <w:r>
        <w:t>Eprillia Intan Fitriasari</w:t>
      </w:r>
      <w:r>
        <w:rPr>
          <w:vertAlign w:val="superscript"/>
        </w:rPr>
        <w:t>a</w:t>
      </w:r>
      <w:r>
        <w:t>, J. Jay Liu*</w:t>
      </w:r>
      <w:r w:rsidRPr="00A97B3B">
        <w:rPr>
          <w:vertAlign w:val="superscript"/>
        </w:rPr>
        <w:t>a</w:t>
      </w:r>
    </w:p>
    <w:p w14:paraId="144DE682" w14:textId="421F3EA3" w:rsidR="00DD3D9E" w:rsidRDefault="00912975">
      <w:pPr>
        <w:pStyle w:val="Els-Affiliation"/>
      </w:pPr>
      <w:r w:rsidRPr="00912975">
        <w:rPr>
          <w:vertAlign w:val="superscript"/>
        </w:rPr>
        <w:t>a</w:t>
      </w:r>
      <w:r>
        <w:t>Department of Chemical Engineering, Pukyong National University, 48513 Busan, South Korea.</w:t>
      </w:r>
    </w:p>
    <w:p w14:paraId="144DE683" w14:textId="02EAFAC7" w:rsidR="008D2649" w:rsidRPr="00A94774" w:rsidRDefault="006A2491" w:rsidP="008D2649">
      <w:pPr>
        <w:pStyle w:val="Els-Affiliation"/>
        <w:spacing w:after="120"/>
      </w:pPr>
      <w:r>
        <w:t>jayliu@pknu.ac.kr</w:t>
      </w:r>
    </w:p>
    <w:p w14:paraId="144DE684" w14:textId="77777777" w:rsidR="008D2649" w:rsidRDefault="008D2649" w:rsidP="008D2649">
      <w:pPr>
        <w:pStyle w:val="Els-Abstract"/>
      </w:pPr>
      <w:r>
        <w:t>Abstract</w:t>
      </w:r>
    </w:p>
    <w:p w14:paraId="144DE686" w14:textId="04804413" w:rsidR="008D2649" w:rsidRDefault="006A2491" w:rsidP="008D2649">
      <w:pPr>
        <w:pStyle w:val="Els-body-text"/>
        <w:spacing w:after="120"/>
        <w:rPr>
          <w:lang w:val="en-GB"/>
        </w:rPr>
      </w:pPr>
      <w:r w:rsidRPr="006A2491">
        <w:rPr>
          <w:lang w:val="en-GB"/>
        </w:rPr>
        <w:t xml:space="preserve">The use of </w:t>
      </w:r>
      <w:proofErr w:type="spellStart"/>
      <w:proofErr w:type="gramStart"/>
      <w:r w:rsidRPr="006A2491">
        <w:rPr>
          <w:lang w:val="en-GB"/>
        </w:rPr>
        <w:t>styrofoam</w:t>
      </w:r>
      <w:proofErr w:type="spellEnd"/>
      <w:proofErr w:type="gramEnd"/>
      <w:r w:rsidRPr="006A2491">
        <w:rPr>
          <w:lang w:val="en-GB"/>
        </w:rPr>
        <w:t xml:space="preserve"> has increased in various industries, including </w:t>
      </w:r>
      <w:r w:rsidR="00DE3E3B">
        <w:rPr>
          <w:lang w:val="en-GB"/>
        </w:rPr>
        <w:t>packaging</w:t>
      </w:r>
      <w:r w:rsidRPr="006A2491">
        <w:rPr>
          <w:lang w:val="en-GB"/>
        </w:rPr>
        <w:t xml:space="preserve"> and food, leading to a short lifecycle and the generation of large amounts of waste. Styrofoam waste poses a significant problem due to its non-biodegradable nature and the difficulties associated with its processing and disposal. However, there have been efforts to address this issue, including chemically recycling </w:t>
      </w:r>
      <w:proofErr w:type="spellStart"/>
      <w:proofErr w:type="gramStart"/>
      <w:r w:rsidRPr="006A2491">
        <w:rPr>
          <w:lang w:val="en-GB"/>
        </w:rPr>
        <w:t>styrofoam</w:t>
      </w:r>
      <w:proofErr w:type="spellEnd"/>
      <w:proofErr w:type="gramEnd"/>
      <w:r w:rsidRPr="006A2491">
        <w:rPr>
          <w:lang w:val="en-GB"/>
        </w:rPr>
        <w:t xml:space="preserve"> waste. In this work, sustainability assessments were conducted to evaluate the economic and environmental performance of chemically recycling </w:t>
      </w:r>
      <w:proofErr w:type="spellStart"/>
      <w:proofErr w:type="gramStart"/>
      <w:r w:rsidRPr="006A2491">
        <w:rPr>
          <w:lang w:val="en-GB"/>
        </w:rPr>
        <w:t>styrofoam</w:t>
      </w:r>
      <w:proofErr w:type="spellEnd"/>
      <w:proofErr w:type="gramEnd"/>
      <w:r w:rsidRPr="006A2491">
        <w:rPr>
          <w:lang w:val="en-GB"/>
        </w:rPr>
        <w:t xml:space="preserve"> waste to recover its styrene monomer. Three scenarios were developed based on the feed </w:t>
      </w:r>
      <w:proofErr w:type="spellStart"/>
      <w:r w:rsidRPr="006A2491">
        <w:rPr>
          <w:lang w:val="en-GB"/>
        </w:rPr>
        <w:t>pretreatment</w:t>
      </w:r>
      <w:proofErr w:type="spellEnd"/>
      <w:r w:rsidRPr="006A2491">
        <w:rPr>
          <w:lang w:val="en-GB"/>
        </w:rPr>
        <w:t xml:space="preserve"> and monomer quality. The process model was performed based on experimental results in simulation software. The outcomes of the process modelling were employed as input data for economic analysis and life cycle assessment. According to the economic analysis results, the scenario for high-quality styrene monomer recovery, with a minimum selling price of $</w:t>
      </w:r>
      <w:r w:rsidR="00585E11">
        <w:rPr>
          <w:lang w:val="en-GB"/>
        </w:rPr>
        <w:t xml:space="preserve"> </w:t>
      </w:r>
      <w:r w:rsidRPr="006A2491">
        <w:rPr>
          <w:lang w:val="en-GB"/>
        </w:rPr>
        <w:t xml:space="preserve">1.52/kg, emerged as the most economically viable option. Furthermore, all scenarios demonstrated lower </w:t>
      </w:r>
      <w:r w:rsidR="00A37CD0">
        <w:rPr>
          <w:lang w:val="en-GB"/>
        </w:rPr>
        <w:t>carbon</w:t>
      </w:r>
      <w:r w:rsidRPr="006A2491">
        <w:rPr>
          <w:lang w:val="en-GB"/>
        </w:rPr>
        <w:t xml:space="preserve"> emissions compared to the production of petroleum-based styrene, with scenario 1 being the most environmentally friendly, achieving a</w:t>
      </w:r>
      <w:r w:rsidR="00042819">
        <w:rPr>
          <w:lang w:val="en-GB"/>
        </w:rPr>
        <w:t>n</w:t>
      </w:r>
      <w:r w:rsidRPr="006A2491">
        <w:rPr>
          <w:lang w:val="en-GB"/>
        </w:rPr>
        <w:t xml:space="preserve"> </w:t>
      </w:r>
      <w:r w:rsidR="00A37CD0">
        <w:rPr>
          <w:lang w:val="en-GB"/>
        </w:rPr>
        <w:t>89</w:t>
      </w:r>
      <w:r w:rsidRPr="006A2491">
        <w:rPr>
          <w:lang w:val="en-GB"/>
        </w:rPr>
        <w:t xml:space="preserve">% reduction in </w:t>
      </w:r>
      <w:r w:rsidR="00A37CD0">
        <w:rPr>
          <w:lang w:val="en-GB"/>
        </w:rPr>
        <w:t>carbon</w:t>
      </w:r>
      <w:r w:rsidRPr="006A2491">
        <w:rPr>
          <w:lang w:val="en-GB"/>
        </w:rPr>
        <w:t xml:space="preserve"> emissions.</w:t>
      </w:r>
      <w:r>
        <w:rPr>
          <w:lang w:val="en-GB"/>
        </w:rPr>
        <w:t xml:space="preserve"> </w:t>
      </w:r>
    </w:p>
    <w:p w14:paraId="144DE687" w14:textId="05DDA489" w:rsidR="008D2649" w:rsidRDefault="008D2649" w:rsidP="008D2649">
      <w:pPr>
        <w:pStyle w:val="Els-body-text"/>
        <w:spacing w:after="120"/>
        <w:rPr>
          <w:lang w:val="en-GB"/>
        </w:rPr>
      </w:pPr>
      <w:r>
        <w:rPr>
          <w:b/>
          <w:bCs/>
          <w:lang w:val="en-GB"/>
        </w:rPr>
        <w:t>Keywords</w:t>
      </w:r>
      <w:r>
        <w:rPr>
          <w:lang w:val="en-GB"/>
        </w:rPr>
        <w:t xml:space="preserve">: </w:t>
      </w:r>
      <w:r w:rsidR="00042819">
        <w:rPr>
          <w:lang w:val="en-GB"/>
        </w:rPr>
        <w:t xml:space="preserve">plastic recycling, techno-economic analysis, life cycle assessment, carbon </w:t>
      </w:r>
      <w:proofErr w:type="gramStart"/>
      <w:r w:rsidR="00042819">
        <w:rPr>
          <w:lang w:val="en-GB"/>
        </w:rPr>
        <w:t>emissions</w:t>
      </w:r>
      <w:proofErr w:type="gramEnd"/>
      <w:r w:rsidR="00042819">
        <w:rPr>
          <w:lang w:val="en-GB"/>
        </w:rPr>
        <w:t>.</w:t>
      </w:r>
    </w:p>
    <w:p w14:paraId="144DE689" w14:textId="6D7B4C2D" w:rsidR="008D2649" w:rsidRDefault="00A26D9D" w:rsidP="008D2649">
      <w:pPr>
        <w:pStyle w:val="Els-1storder-head"/>
      </w:pPr>
      <w:r>
        <w:t>Introduction</w:t>
      </w:r>
    </w:p>
    <w:p w14:paraId="144DE698" w14:textId="4806D373" w:rsidR="008D2649" w:rsidRPr="002D193D" w:rsidRDefault="00DE3E3B" w:rsidP="00945BDA">
      <w:pPr>
        <w:pStyle w:val="Els-body-text"/>
      </w:pPr>
      <w:r w:rsidRPr="00DE3E3B">
        <w:t>Over the past decades, global plastic production has soared from 2 million tons in 1950 to 368 million tons in 2019, with an expected doubling in the next two decades</w:t>
      </w:r>
      <w:r w:rsidR="008F6F5E">
        <w:t xml:space="preserve"> (Geyer et al</w:t>
      </w:r>
      <w:r w:rsidR="00465DD1">
        <w:t>.</w:t>
      </w:r>
      <w:r w:rsidR="008F6F5E">
        <w:t>, 2017)</w:t>
      </w:r>
      <w:r w:rsidRPr="00DE3E3B">
        <w:t>. Plastic, widely used in diverse applications, has seen increased demand, particularly in packaging, accounting for 39.6% in 2019</w:t>
      </w:r>
      <w:r w:rsidR="008F6F5E">
        <w:t xml:space="preserve"> (Plastic Europe, 2020)</w:t>
      </w:r>
      <w:r w:rsidRPr="00DE3E3B">
        <w:t>. Despite recycling efforts, only 14% of plastic waste is collected, and projections suggest that by 2050, only 27% will be recycled, with most incinerated or landfilled</w:t>
      </w:r>
      <w:r w:rsidR="008F6F5E">
        <w:t xml:space="preserve"> (Geyer et al</w:t>
      </w:r>
      <w:r w:rsidR="00465DD1">
        <w:t>.</w:t>
      </w:r>
      <w:r w:rsidR="008F6F5E">
        <w:t>, 2017)</w:t>
      </w:r>
      <w:r w:rsidRPr="00DE3E3B">
        <w:t xml:space="preserve">. Implementing circular economy principles, particularly through chemical recycling, offers a potential solution to these challenges, aiming to prevent plastic waste and create economic opportunities while reducing environmental impact. </w:t>
      </w:r>
      <w:r w:rsidR="00E519DB" w:rsidRPr="00E519DB">
        <w:t>At present, mechanical recycling stands as the dominan</w:t>
      </w:r>
      <w:r w:rsidR="00822B68">
        <w:t xml:space="preserve">t method. However, </w:t>
      </w:r>
      <w:r w:rsidR="00E519DB" w:rsidRPr="00E519DB">
        <w:t xml:space="preserve">its scope is largely </w:t>
      </w:r>
      <w:r w:rsidR="00822B68">
        <w:t>limited</w:t>
      </w:r>
      <w:r w:rsidR="00E519DB" w:rsidRPr="00E519DB">
        <w:t xml:space="preserve"> to retrieving lower-grade products. </w:t>
      </w:r>
      <w:r w:rsidR="00945BDA">
        <w:t>Chemical recycling, especially catalytic d</w:t>
      </w:r>
      <w:r w:rsidR="008F6F5E">
        <w:t>egradation</w:t>
      </w:r>
      <w:r w:rsidR="00945BDA">
        <w:t xml:space="preserve">, emerges as a promising alternative to traditional mechanical recycling, producing higher-quality recycled materials and reducing environmental impact. This process aims to </w:t>
      </w:r>
      <w:r w:rsidR="008F6F5E">
        <w:t>recover</w:t>
      </w:r>
      <w:r w:rsidR="00945BDA">
        <w:t xml:space="preserve"> styrene monomer</w:t>
      </w:r>
      <w:r w:rsidR="008F6F5E">
        <w:t xml:space="preserve"> from </w:t>
      </w:r>
      <w:proofErr w:type="spellStart"/>
      <w:proofErr w:type="gramStart"/>
      <w:r w:rsidR="008F6F5E">
        <w:t>styrofoam</w:t>
      </w:r>
      <w:proofErr w:type="spellEnd"/>
      <w:proofErr w:type="gramEnd"/>
      <w:r w:rsidR="008F6F5E">
        <w:t xml:space="preserve"> waste</w:t>
      </w:r>
      <w:r w:rsidR="00945BDA">
        <w:t xml:space="preserve">, a crucial step in advancing circular economy goals. However, despite advancements, challenges remain, including economic viability and environmental impact assessment, necessitating comprehensive analyses to </w:t>
      </w:r>
      <w:r w:rsidR="00945BDA">
        <w:lastRenderedPageBreak/>
        <w:t>ensure the success of these chemical recycling technologies at a global industrial scale. This study conducts in-depth techno-economic and life cycle assessments, critically evaluating the potential of catalytic de</w:t>
      </w:r>
      <w:r w:rsidR="008F6F5E">
        <w:t>gradation</w:t>
      </w:r>
      <w:r w:rsidR="00945BDA">
        <w:t xml:space="preserve"> in creating a sustainable circular economy for </w:t>
      </w:r>
      <w:proofErr w:type="spellStart"/>
      <w:proofErr w:type="gramStart"/>
      <w:r w:rsidR="008F6F5E">
        <w:t>styrofoam</w:t>
      </w:r>
      <w:proofErr w:type="spellEnd"/>
      <w:proofErr w:type="gramEnd"/>
      <w:r w:rsidR="00945BDA">
        <w:t xml:space="preserve"> waste, examining economic viability and environmental friendliness to meet sustainability criteria.</w:t>
      </w:r>
    </w:p>
    <w:p w14:paraId="144DE699" w14:textId="01115D0B" w:rsidR="008D2649" w:rsidRDefault="00A26D9D" w:rsidP="008D2649">
      <w:pPr>
        <w:pStyle w:val="Els-1storder-head"/>
      </w:pPr>
      <w:r>
        <w:t>Methodology</w:t>
      </w:r>
    </w:p>
    <w:p w14:paraId="144DE69B" w14:textId="34E99B62" w:rsidR="008D2649" w:rsidRDefault="00951963" w:rsidP="008D2649">
      <w:pPr>
        <w:pStyle w:val="Els-2ndorder-head"/>
      </w:pPr>
      <w:r>
        <w:t>Process Description</w:t>
      </w:r>
    </w:p>
    <w:p w14:paraId="144DE69C" w14:textId="47C0360A" w:rsidR="008D2649" w:rsidRDefault="008445E2" w:rsidP="008D2649">
      <w:pPr>
        <w:pStyle w:val="Els-body-text"/>
      </w:pPr>
      <w:r>
        <w:t xml:space="preserve">A process model for </w:t>
      </w:r>
      <w:r w:rsidR="000C1982">
        <w:t>recovering</w:t>
      </w:r>
      <w:r>
        <w:t xml:space="preserve"> styrene monomer from </w:t>
      </w:r>
      <w:proofErr w:type="spellStart"/>
      <w:proofErr w:type="gramStart"/>
      <w:r w:rsidR="000C1982">
        <w:t>s</w:t>
      </w:r>
      <w:r>
        <w:t>tyrofoam</w:t>
      </w:r>
      <w:proofErr w:type="spellEnd"/>
      <w:proofErr w:type="gramEnd"/>
      <w:r>
        <w:t xml:space="preserve"> waste was developed </w:t>
      </w:r>
      <w:r w:rsidR="000C1982">
        <w:t xml:space="preserve">using </w:t>
      </w:r>
      <w:r>
        <w:t>Aspen Plus V11</w:t>
      </w:r>
      <w:r w:rsidR="000C1982">
        <w:t>.</w:t>
      </w:r>
      <w:r>
        <w:t xml:space="preserve"> </w:t>
      </w:r>
      <w:r w:rsidR="000C1982" w:rsidRPr="000C1982">
        <w:t xml:space="preserve">This model served as the foundation for economic analysis and environmental impact assessment. </w:t>
      </w:r>
      <w:r w:rsidR="00D9402B">
        <w:t>Three scenarios were modeled based on feedstock pre-treatment process</w:t>
      </w:r>
      <w:r>
        <w:t xml:space="preserve"> </w:t>
      </w:r>
      <w:r w:rsidR="00D9402B">
        <w:t>and product purity: Scenario 1 – lique</w:t>
      </w:r>
      <w:r w:rsidR="000C1982">
        <w:t>faction</w:t>
      </w:r>
      <w:r w:rsidR="00D9402B">
        <w:t xml:space="preserve"> in heat as pre-treatment </w:t>
      </w:r>
      <w:r w:rsidR="000C1982">
        <w:t>with a target product purity of</w:t>
      </w:r>
      <w:r w:rsidR="00D9402B">
        <w:t xml:space="preserve"> </w:t>
      </w:r>
      <w:r w:rsidR="005352CC">
        <w:t>95%</w:t>
      </w:r>
      <w:r w:rsidR="00D9402B">
        <w:t xml:space="preserve">, Scenario 2 – feedstock dissolution as pre-treatment </w:t>
      </w:r>
      <w:r w:rsidR="000C1982" w:rsidRPr="000C1982">
        <w:t>with a target product purity of 95%</w:t>
      </w:r>
      <w:r w:rsidR="00D9402B">
        <w:t>,</w:t>
      </w:r>
      <w:r w:rsidR="000C1982">
        <w:t xml:space="preserve"> and</w:t>
      </w:r>
      <w:r w:rsidR="00D9402B">
        <w:t xml:space="preserve"> Scenario </w:t>
      </w:r>
      <w:r w:rsidR="005352CC">
        <w:t>3</w:t>
      </w:r>
      <w:r w:rsidR="000C1982">
        <w:t xml:space="preserve"> –</w:t>
      </w:r>
      <w:r w:rsidR="005352CC">
        <w:t xml:space="preserve"> </w:t>
      </w:r>
      <w:r w:rsidR="000C1982" w:rsidRPr="000C1982">
        <w:t>liquefaction in heat as pre-treatment with a target product purity of 9</w:t>
      </w:r>
      <w:r w:rsidR="000C1982">
        <w:t>9.6</w:t>
      </w:r>
      <w:r w:rsidR="000C1982" w:rsidRPr="000C1982">
        <w:t>%</w:t>
      </w:r>
      <w:r w:rsidR="005352CC">
        <w:t xml:space="preserve">. The process was </w:t>
      </w:r>
      <w:r w:rsidR="000C1982">
        <w:t>designed</w:t>
      </w:r>
      <w:r w:rsidR="005352CC">
        <w:t xml:space="preserve"> with a feedstock composition </w:t>
      </w:r>
      <w:r w:rsidR="000C1982">
        <w:t>derived from</w:t>
      </w:r>
      <w:r w:rsidR="005352CC">
        <w:t xml:space="preserve"> the analysis of polystyrene waste</w:t>
      </w:r>
      <w:r w:rsidR="000C1982">
        <w:t>,</w:t>
      </w:r>
      <w:r w:rsidR="005352CC">
        <w:t xml:space="preserve"> </w:t>
      </w:r>
      <w:r w:rsidR="000C1982">
        <w:t xml:space="preserve">taken from the research detailed by </w:t>
      </w:r>
      <w:r w:rsidR="005352CC">
        <w:t xml:space="preserve">Oh et al (2018). </w:t>
      </w:r>
      <w:r w:rsidR="00EC2AB0">
        <w:t xml:space="preserve">The feedstock </w:t>
      </w:r>
      <w:r w:rsidR="00DF4C5A">
        <w:t>was sourced</w:t>
      </w:r>
      <w:r w:rsidR="00EC2AB0">
        <w:t xml:space="preserve"> from a local facility that recovers </w:t>
      </w:r>
      <w:proofErr w:type="spellStart"/>
      <w:proofErr w:type="gramStart"/>
      <w:r w:rsidR="00EE6BA2">
        <w:t>styrofoam</w:t>
      </w:r>
      <w:proofErr w:type="spellEnd"/>
      <w:proofErr w:type="gramEnd"/>
      <w:r w:rsidR="00EC2AB0">
        <w:t xml:space="preserve"> waste </w:t>
      </w:r>
      <w:r w:rsidR="00981260">
        <w:t>to pellet</w:t>
      </w:r>
      <w:r w:rsidR="00DF4C5A">
        <w:t>,</w:t>
      </w:r>
      <w:r w:rsidR="00EC2AB0">
        <w:t xml:space="preserve"> assumed </w:t>
      </w:r>
      <w:r w:rsidR="00C303EA">
        <w:t xml:space="preserve">to have </w:t>
      </w:r>
      <w:r w:rsidR="00DF4C5A">
        <w:t>under</w:t>
      </w:r>
      <w:r w:rsidR="00C303EA">
        <w:t>gone initial sorting, shredding, melting, ingot caking and ingot pelleting</w:t>
      </w:r>
      <w:r w:rsidR="00DF4C5A">
        <w:t xml:space="preserve"> processes</w:t>
      </w:r>
      <w:r w:rsidR="00C303EA">
        <w:t>.</w:t>
      </w:r>
      <w:r w:rsidR="00EE6BA2">
        <w:t xml:space="preserve"> </w:t>
      </w:r>
      <w:r w:rsidR="00DF4C5A">
        <w:t xml:space="preserve">According to </w:t>
      </w:r>
      <w:r w:rsidR="00981260">
        <w:t>Korea Environment Corporation (2021)</w:t>
      </w:r>
      <w:r w:rsidR="00DF4C5A">
        <w:t>,</w:t>
      </w:r>
      <w:r w:rsidR="00981260">
        <w:t xml:space="preserve"> t</w:t>
      </w:r>
      <w:r w:rsidR="00EE6BA2">
        <w:t xml:space="preserve">he </w:t>
      </w:r>
      <w:r w:rsidR="00981260">
        <w:t xml:space="preserve">price of recycled polystyrene pellets </w:t>
      </w:r>
      <w:r w:rsidR="00465112">
        <w:t xml:space="preserve">from </w:t>
      </w:r>
      <w:proofErr w:type="spellStart"/>
      <w:proofErr w:type="gramStart"/>
      <w:r w:rsidR="00465112">
        <w:t>styrofoam</w:t>
      </w:r>
      <w:proofErr w:type="spellEnd"/>
      <w:proofErr w:type="gramEnd"/>
      <w:r w:rsidR="00465112">
        <w:t xml:space="preserve"> waste </w:t>
      </w:r>
      <w:r w:rsidR="00981260">
        <w:t>is $</w:t>
      </w:r>
      <w:r w:rsidR="00585E11">
        <w:t xml:space="preserve"> </w:t>
      </w:r>
      <w:r w:rsidR="00981260">
        <w:t>0.74/kg</w:t>
      </w:r>
      <w:r w:rsidR="00DF4C5A">
        <w:t>,</w:t>
      </w:r>
      <w:r w:rsidR="00981260">
        <w:t xml:space="preserve"> which was used as </w:t>
      </w:r>
      <w:r w:rsidR="00DF4C5A">
        <w:t xml:space="preserve">the </w:t>
      </w:r>
      <w:r w:rsidR="00981260">
        <w:t>feedstock cost</w:t>
      </w:r>
      <w:r w:rsidR="00DF4C5A">
        <w:t xml:space="preserve"> in the model</w:t>
      </w:r>
      <w:r w:rsidR="00981260">
        <w:t xml:space="preserve">. We </w:t>
      </w:r>
      <w:r w:rsidR="00DF4C5A">
        <w:t>considered</w:t>
      </w:r>
      <w:r w:rsidR="00981260">
        <w:t xml:space="preserve"> 300 kg/h of </w:t>
      </w:r>
      <w:proofErr w:type="spellStart"/>
      <w:proofErr w:type="gramStart"/>
      <w:r w:rsidR="00981260">
        <w:t>styrofoam</w:t>
      </w:r>
      <w:proofErr w:type="spellEnd"/>
      <w:proofErr w:type="gramEnd"/>
      <w:r w:rsidR="00981260">
        <w:t xml:space="preserve"> waste pellets</w:t>
      </w:r>
      <w:r w:rsidR="003F7532">
        <w:t xml:space="preserve"> as </w:t>
      </w:r>
      <w:r w:rsidR="00DF4C5A">
        <w:t xml:space="preserve">the </w:t>
      </w:r>
      <w:r w:rsidR="003F7532">
        <w:t>feedstock</w:t>
      </w:r>
      <w:r w:rsidR="00DF4C5A">
        <w:t>,</w:t>
      </w:r>
      <w:r w:rsidR="003F7532">
        <w:t xml:space="preserve"> operating </w:t>
      </w:r>
      <w:r w:rsidR="00DF4C5A">
        <w:t>for 8,000 h annually</w:t>
      </w:r>
      <w:r w:rsidR="003F7532">
        <w:t>.</w:t>
      </w:r>
      <w:r w:rsidR="00465112">
        <w:t xml:space="preserve"> The degradation of </w:t>
      </w:r>
      <w:proofErr w:type="spellStart"/>
      <w:proofErr w:type="gramStart"/>
      <w:r w:rsidR="00465112">
        <w:t>styrofoam</w:t>
      </w:r>
      <w:proofErr w:type="spellEnd"/>
      <w:proofErr w:type="gramEnd"/>
      <w:r w:rsidR="00465112">
        <w:t xml:space="preserve"> waste to</w:t>
      </w:r>
      <w:r w:rsidR="00DF4C5A">
        <w:t xml:space="preserve"> recover styrene monomer followed</w:t>
      </w:r>
      <w:r w:rsidR="00465112">
        <w:t xml:space="preserve"> the optim</w:t>
      </w:r>
      <w:r w:rsidR="00DF4C5A">
        <w:t>al</w:t>
      </w:r>
      <w:r w:rsidR="00465112">
        <w:t xml:space="preserve"> condition</w:t>
      </w:r>
      <w:r w:rsidR="00DF4C5A">
        <w:t>s</w:t>
      </w:r>
      <w:r w:rsidR="00465112">
        <w:t xml:space="preserve"> </w:t>
      </w:r>
      <w:r w:rsidR="00DF4C5A">
        <w:t>from</w:t>
      </w:r>
      <w:r w:rsidR="00465112">
        <w:t xml:space="preserve"> an experimental study using </w:t>
      </w:r>
      <w:r w:rsidR="00DF4C5A">
        <w:t xml:space="preserve">a </w:t>
      </w:r>
      <w:r w:rsidR="00465112">
        <w:t>base catalyst</w:t>
      </w:r>
      <w:r w:rsidR="00DF4C5A">
        <w:t>, as</w:t>
      </w:r>
      <w:r w:rsidR="00465112">
        <w:t xml:space="preserve"> reported by Liu et al (2016).</w:t>
      </w:r>
      <w:r w:rsidR="00DF4C5A">
        <w:t xml:space="preserve"> This</w:t>
      </w:r>
      <w:r w:rsidR="00465112">
        <w:t xml:space="preserve"> degradation </w:t>
      </w:r>
      <w:proofErr w:type="spellStart"/>
      <w:r w:rsidR="00DF4C5A">
        <w:t>occured</w:t>
      </w:r>
      <w:proofErr w:type="spellEnd"/>
      <w:r w:rsidR="00465112">
        <w:t xml:space="preserve"> in the reactor</w:t>
      </w:r>
      <w:r w:rsidR="00DF4C5A">
        <w:t>,</w:t>
      </w:r>
      <w:r w:rsidR="00465112">
        <w:t xml:space="preserve"> which was modeled as </w:t>
      </w:r>
      <w:proofErr w:type="spellStart"/>
      <w:r w:rsidR="00465112">
        <w:t>Ryield</w:t>
      </w:r>
      <w:proofErr w:type="spellEnd"/>
      <w:r w:rsidR="00465112">
        <w:t xml:space="preserve"> reactor in the </w:t>
      </w:r>
      <w:r w:rsidR="00DF4C5A">
        <w:t>model,</w:t>
      </w:r>
      <w:r w:rsidR="00465112">
        <w:t xml:space="preserve"> yielding 85 </w:t>
      </w:r>
      <w:proofErr w:type="spellStart"/>
      <w:r w:rsidR="00465112">
        <w:t>wt</w:t>
      </w:r>
      <w:proofErr w:type="spellEnd"/>
      <w:r w:rsidR="00465112">
        <w:t>% of styrene monomer.</w:t>
      </w:r>
    </w:p>
    <w:p w14:paraId="71C941E6" w14:textId="2FEBAF87" w:rsidR="004B3612" w:rsidRDefault="00DF4C5A" w:rsidP="004B3612">
      <w:pPr>
        <w:pStyle w:val="Els-body-text"/>
      </w:pPr>
      <w:r>
        <w:t xml:space="preserve">The </w:t>
      </w:r>
      <w:r w:rsidR="00974389">
        <w:t>flowsheet</w:t>
      </w:r>
      <w:r>
        <w:t xml:space="preserve"> illustrating the process flow for modeling three scenarios is depicted in</w:t>
      </w:r>
      <w:r w:rsidR="00843098">
        <w:t xml:space="preserve"> Figure 1</w:t>
      </w:r>
      <w:r>
        <w:t xml:space="preserve">. This process is divided into three primary </w:t>
      </w:r>
      <w:r w:rsidR="00205033">
        <w:t>section</w:t>
      </w:r>
      <w:r>
        <w:t>s: pre-</w:t>
      </w:r>
      <w:r w:rsidR="00974389">
        <w:t>treatment</w:t>
      </w:r>
      <w:r>
        <w:t xml:space="preserve">, </w:t>
      </w:r>
      <w:r w:rsidR="00974389">
        <w:t>catalytic degradation</w:t>
      </w:r>
      <w:r>
        <w:t>, and product</w:t>
      </w:r>
      <w:r w:rsidR="00974389">
        <w:t xml:space="preserve"> separation and</w:t>
      </w:r>
      <w:r>
        <w:t xml:space="preserve"> recovery</w:t>
      </w:r>
      <w:r w:rsidR="00974389">
        <w:t>.</w:t>
      </w:r>
      <w:r w:rsidR="007C0645">
        <w:t xml:space="preserve"> </w:t>
      </w:r>
      <w:r>
        <w:t xml:space="preserve">The process initiates with the </w:t>
      </w:r>
      <w:r w:rsidR="00974389">
        <w:t>pre-treatment</w:t>
      </w:r>
      <w:r>
        <w:t xml:space="preserve"> of the feedstock. </w:t>
      </w:r>
      <w:r w:rsidR="007C0645">
        <w:t>Polystyrene</w:t>
      </w:r>
      <w:r>
        <w:t xml:space="preserve"> pellets and catalyst are blended in a mixer. In </w:t>
      </w:r>
      <w:r w:rsidR="007C0645">
        <w:t>Scenario</w:t>
      </w:r>
      <w:r>
        <w:t xml:space="preserve"> 2, T</w:t>
      </w:r>
      <w:r w:rsidR="007C0645">
        <w:t>etrahydrofuran (T</w:t>
      </w:r>
      <w:r>
        <w:t>HF</w:t>
      </w:r>
      <w:r w:rsidR="007C0645">
        <w:t>)</w:t>
      </w:r>
      <w:r>
        <w:t xml:space="preserve"> is introduced</w:t>
      </w:r>
      <w:r w:rsidR="007C0645">
        <w:t xml:space="preserve"> as a solvent</w:t>
      </w:r>
      <w:r>
        <w:t xml:space="preserve"> into the mixer along</w:t>
      </w:r>
      <w:r w:rsidR="007C0645">
        <w:t>side</w:t>
      </w:r>
      <w:r>
        <w:t xml:space="preserve"> </w:t>
      </w:r>
      <w:r w:rsidR="007C0645">
        <w:t xml:space="preserve">polystyrene pellets and catalyst, facilitating the dissolution of </w:t>
      </w:r>
      <w:r w:rsidR="008F737B">
        <w:t>polystyrene</w:t>
      </w:r>
      <w:r>
        <w:t>. The mixture undergoes heating to 370</w:t>
      </w:r>
      <w:r w:rsidRPr="007C0645">
        <w:rPr>
          <w:vertAlign w:val="superscript"/>
        </w:rPr>
        <w:t>o</w:t>
      </w:r>
      <w:r>
        <w:t xml:space="preserve">C in </w:t>
      </w:r>
      <w:r w:rsidR="007C0645">
        <w:t>pre-heater</w:t>
      </w:r>
      <w:r>
        <w:t xml:space="preserve"> and </w:t>
      </w:r>
      <w:r w:rsidR="007C0645">
        <w:t>HE-1</w:t>
      </w:r>
      <w:r>
        <w:t>, causing EPS and THF to transform into a gaseous state. Following pre-</w:t>
      </w:r>
      <w:r w:rsidR="007C0645">
        <w:t>treatment</w:t>
      </w:r>
      <w:r>
        <w:t xml:space="preserve">, the gas mixture and catalyst are introduced into the </w:t>
      </w:r>
      <w:r w:rsidR="007C0645">
        <w:t>catalytic degradation</w:t>
      </w:r>
      <w:r>
        <w:t xml:space="preserve"> reactor</w:t>
      </w:r>
      <w:r w:rsidR="006A7F1E">
        <w:t xml:space="preserve"> (REACTOR)</w:t>
      </w:r>
      <w:r>
        <w:t>, operating at 370</w:t>
      </w:r>
      <w:r w:rsidRPr="007C0645">
        <w:rPr>
          <w:vertAlign w:val="superscript"/>
        </w:rPr>
        <w:t>o</w:t>
      </w:r>
      <w:r w:rsidR="008523B6">
        <w:t xml:space="preserve">C, </w:t>
      </w:r>
      <w:r>
        <w:t>0.08 MPa pressure</w:t>
      </w:r>
      <w:r w:rsidR="008523B6">
        <w:t>, and 30 minutes of residence time</w:t>
      </w:r>
      <w:r>
        <w:t>.</w:t>
      </w:r>
      <w:r w:rsidR="00CF34A2">
        <w:t xml:space="preserve"> </w:t>
      </w:r>
      <w:r>
        <w:t>A separator</w:t>
      </w:r>
      <w:r w:rsidR="00205033">
        <w:t xml:space="preserve"> (S</w:t>
      </w:r>
      <w:r w:rsidR="006A7F1E">
        <w:t>EP</w:t>
      </w:r>
      <w:r w:rsidR="00205033">
        <w:t>1)</w:t>
      </w:r>
      <w:r>
        <w:t xml:space="preserve"> is utilized to segregate products from catalysts and solid. The product is conveyed to the </w:t>
      </w:r>
      <w:r w:rsidR="00205033">
        <w:t>product separation and recovery</w:t>
      </w:r>
      <w:r>
        <w:t xml:space="preserve"> </w:t>
      </w:r>
      <w:r w:rsidR="00205033">
        <w:t>section</w:t>
      </w:r>
      <w:r>
        <w:t xml:space="preserve"> via a compressor</w:t>
      </w:r>
      <w:r w:rsidR="006A7F1E">
        <w:t xml:space="preserve"> (COMP)</w:t>
      </w:r>
      <w:r>
        <w:t xml:space="preserve">. Through a sequence of heat exchangers and separators, the products undergo separation for </w:t>
      </w:r>
      <w:r w:rsidR="00205033">
        <w:t>heavy hydrocarbon</w:t>
      </w:r>
      <w:r>
        <w:t xml:space="preserve">. Flash-type separators are used to segregate the mixture based on their distinct phases. The </w:t>
      </w:r>
      <w:r w:rsidR="00205033">
        <w:t>product</w:t>
      </w:r>
      <w:r>
        <w:t xml:space="preserve"> separation procedure start by passing the p</w:t>
      </w:r>
      <w:r w:rsidR="00205033">
        <w:t>roducts through S</w:t>
      </w:r>
      <w:r w:rsidR="006A7F1E">
        <w:t>EP</w:t>
      </w:r>
      <w:r w:rsidR="00205033">
        <w:t>2. S</w:t>
      </w:r>
      <w:r w:rsidR="006A7F1E">
        <w:t>EP</w:t>
      </w:r>
      <w:r>
        <w:t xml:space="preserve">3 yields </w:t>
      </w:r>
      <w:r w:rsidR="00205033">
        <w:t>heavy hydrocarbon</w:t>
      </w:r>
      <w:r>
        <w:t xml:space="preserve"> as the bottom product, sent for wastewater treatment, while light gas is also separated</w:t>
      </w:r>
      <w:r w:rsidR="00205033">
        <w:t xml:space="preserve"> in S</w:t>
      </w:r>
      <w:r w:rsidR="006A7F1E">
        <w:t>EP</w:t>
      </w:r>
      <w:r w:rsidR="00205033">
        <w:t>4</w:t>
      </w:r>
      <w:r>
        <w:t xml:space="preserve"> and used for energy recovery.</w:t>
      </w:r>
      <w:r w:rsidR="00CF34A2">
        <w:t xml:space="preserve"> </w:t>
      </w:r>
      <w:r>
        <w:t xml:space="preserve">To attain the desired purity level of </w:t>
      </w:r>
      <w:r w:rsidR="00205033">
        <w:t>styrene monomer</w:t>
      </w:r>
      <w:r>
        <w:t>, the product from separation</w:t>
      </w:r>
      <w:r w:rsidR="00205033">
        <w:t xml:space="preserve"> section</w:t>
      </w:r>
      <w:r>
        <w:t xml:space="preserve"> undergoes multiple processes depending on the </w:t>
      </w:r>
      <w:r w:rsidR="00205033">
        <w:t>scenario</w:t>
      </w:r>
      <w:r>
        <w:t xml:space="preserve">. In </w:t>
      </w:r>
      <w:r w:rsidR="00205033">
        <w:t>Scenario</w:t>
      </w:r>
      <w:r>
        <w:t xml:space="preserve"> 1, the product is transported to the styrene </w:t>
      </w:r>
      <w:r w:rsidR="00205033">
        <w:t>recovery</w:t>
      </w:r>
      <w:r>
        <w:t xml:space="preserve"> </w:t>
      </w:r>
      <w:r w:rsidR="00205033">
        <w:t>section</w:t>
      </w:r>
      <w:r>
        <w:t>, aiming for a 95% purity via distillation</w:t>
      </w:r>
      <w:r w:rsidR="00420313">
        <w:t xml:space="preserve"> in D</w:t>
      </w:r>
      <w:r w:rsidR="006A7F1E">
        <w:t>ISTL</w:t>
      </w:r>
      <w:r w:rsidR="00420313">
        <w:t>1</w:t>
      </w:r>
      <w:r>
        <w:t xml:space="preserve">. </w:t>
      </w:r>
      <w:r w:rsidR="00420313">
        <w:t>Recovered styrene monomer</w:t>
      </w:r>
      <w:r>
        <w:t xml:space="preserve"> is obtained as the bottom product, and the top product is recycled to </w:t>
      </w:r>
      <w:r w:rsidR="006A7F1E">
        <w:t>maximi</w:t>
      </w:r>
      <w:r>
        <w:t>ze</w:t>
      </w:r>
      <w:r w:rsidR="006A7F1E">
        <w:t xml:space="preserve"> the</w:t>
      </w:r>
      <w:r>
        <w:t xml:space="preserve"> yield. In </w:t>
      </w:r>
      <w:r w:rsidR="00420313">
        <w:t>Scenario</w:t>
      </w:r>
      <w:r>
        <w:t xml:space="preserve"> 2, the product goes to </w:t>
      </w:r>
      <w:r w:rsidR="00420313">
        <w:t>D</w:t>
      </w:r>
      <w:r w:rsidR="006A7F1E">
        <w:t>ISTL</w:t>
      </w:r>
      <w:r w:rsidR="00420313">
        <w:t>1, which</w:t>
      </w:r>
      <w:r>
        <w:t xml:space="preserve"> separates the </w:t>
      </w:r>
      <w:r w:rsidR="00420313">
        <w:t>THF</w:t>
      </w:r>
      <w:r>
        <w:t xml:space="preserve"> from the product</w:t>
      </w:r>
      <w:r w:rsidR="00420313">
        <w:t xml:space="preserve"> achieving 99% of THF to be recycled back to the pre-treatment section</w:t>
      </w:r>
      <w:r>
        <w:t xml:space="preserve">. The </w:t>
      </w:r>
      <w:r w:rsidR="006A7F1E">
        <w:t>products</w:t>
      </w:r>
      <w:r>
        <w:t xml:space="preserve"> is further purified </w:t>
      </w:r>
      <w:r>
        <w:lastRenderedPageBreak/>
        <w:t xml:space="preserve">in the </w:t>
      </w:r>
      <w:r w:rsidR="006A7F1E">
        <w:t>DISTL2 to obtain recovered styrene monomer with 99% purity</w:t>
      </w:r>
      <w:r>
        <w:t xml:space="preserve">. In </w:t>
      </w:r>
      <w:r w:rsidR="006A7F1E">
        <w:t>Scenario</w:t>
      </w:r>
      <w:r>
        <w:t xml:space="preserve"> 3, two distillation columns</w:t>
      </w:r>
      <w:r w:rsidR="0054038F">
        <w:t xml:space="preserve"> (DISTL1 and DISTL2)</w:t>
      </w:r>
      <w:r>
        <w:t xml:space="preserve"> are utilized in the</w:t>
      </w:r>
      <w:r w:rsidR="006A7F1E">
        <w:t xml:space="preserve"> product</w:t>
      </w:r>
      <w:r>
        <w:t xml:space="preserve"> </w:t>
      </w:r>
      <w:r w:rsidR="006A7F1E">
        <w:t>recovery</w:t>
      </w:r>
      <w:r>
        <w:t xml:space="preserve"> </w:t>
      </w:r>
      <w:r w:rsidR="006A7F1E">
        <w:t>section</w:t>
      </w:r>
      <w:r>
        <w:t xml:space="preserve"> </w:t>
      </w:r>
      <w:r w:rsidR="006A7F1E">
        <w:t>to achieve styrene monomer at a purity</w:t>
      </w:r>
      <w:r>
        <w:t xml:space="preserve"> of 99.6%, with the remaining light gases used for energy recovery.</w:t>
      </w:r>
      <w:r w:rsidR="0054038F">
        <w:t xml:space="preserve"> </w:t>
      </w:r>
      <w:r w:rsidR="004B3612" w:rsidRPr="004B3612">
        <w:t>The used catalyst is recovered in a separate section using a calcination process at 600°C and by utilizing the produced light gas as fuel.</w:t>
      </w:r>
    </w:p>
    <w:p w14:paraId="495632A9" w14:textId="77777777" w:rsidR="00CF34A2" w:rsidRDefault="00CF34A2" w:rsidP="00CF34A2">
      <w:pPr>
        <w:pStyle w:val="Els-2ndorder-head"/>
      </w:pPr>
      <w:r>
        <w:t>Economic Analysis</w:t>
      </w:r>
    </w:p>
    <w:p w14:paraId="0AE251FE" w14:textId="77777777" w:rsidR="00CF34A2" w:rsidRDefault="00CF34A2" w:rsidP="00CF34A2">
      <w:pPr>
        <w:pStyle w:val="Els-body-text"/>
      </w:pPr>
      <w:r>
        <w:t xml:space="preserve">Initially, the equipment cost is estimated in order to conduct techno-economic analysis. </w:t>
      </w:r>
      <w:r w:rsidRPr="004B3612">
        <w:t xml:space="preserve">Each equipment cost is determined by factors such as its type, size, capacity, and power or duty, as modeled in Aspen Plus. The </w:t>
      </w:r>
      <w:r>
        <w:t>catalytic degradation</w:t>
      </w:r>
      <w:r w:rsidRPr="004B3612">
        <w:t xml:space="preserve"> reactor equipment cost was computed using correlatio</w:t>
      </w:r>
      <w:r>
        <w:t xml:space="preserve">ns provided by </w:t>
      </w:r>
      <w:proofErr w:type="spellStart"/>
      <w:r>
        <w:t>Turton</w:t>
      </w:r>
      <w:proofErr w:type="spellEnd"/>
      <w:r>
        <w:t xml:space="preserve"> et al (2009)</w:t>
      </w:r>
      <w:r w:rsidRPr="004B3612">
        <w:t>, while the cost of other equipment was based on literature from analogous studi</w:t>
      </w:r>
      <w:r>
        <w:t>es in plastic waste processing</w:t>
      </w:r>
      <w:r w:rsidRPr="004B3612">
        <w:t xml:space="preserve">. </w:t>
      </w:r>
      <w:r>
        <w:t>T</w:t>
      </w:r>
      <w:r w:rsidRPr="004B3612">
        <w:t>he equipment cost is adjusted using the equation:</w:t>
      </w:r>
    </w:p>
    <w:tbl>
      <w:tblPr>
        <w:tblW w:w="0" w:type="auto"/>
        <w:tblLook w:val="04A0" w:firstRow="1" w:lastRow="0" w:firstColumn="1" w:lastColumn="0" w:noHBand="0" w:noVBand="1"/>
      </w:tblPr>
      <w:tblGrid>
        <w:gridCol w:w="6126"/>
        <w:gridCol w:w="961"/>
      </w:tblGrid>
      <w:tr w:rsidR="00CF34A2" w:rsidRPr="00A94774" w14:paraId="3055E194" w14:textId="77777777" w:rsidTr="00891BA8">
        <w:tc>
          <w:tcPr>
            <w:tcW w:w="6317" w:type="dxa"/>
            <w:shd w:val="clear" w:color="auto" w:fill="auto"/>
            <w:vAlign w:val="center"/>
          </w:tcPr>
          <w:p w14:paraId="27703386" w14:textId="77777777" w:rsidR="00CF34A2" w:rsidRPr="006B2FEA" w:rsidRDefault="00BE1A4B" w:rsidP="00891BA8">
            <w:pPr>
              <w:pStyle w:val="Els-body-text"/>
              <w:spacing w:before="120" w:after="120" w:line="264" w:lineRule="auto"/>
              <w:rPr>
                <w:lang w:val="en-GB"/>
              </w:rPr>
            </w:pPr>
            <m:oMathPara>
              <m:oMathParaPr>
                <m:jc m:val="left"/>
              </m:oMathParaPr>
              <m:oMath>
                <m:sSub>
                  <m:sSubPr>
                    <m:ctrlPr>
                      <w:rPr>
                        <w:rFonts w:ascii="Cambria Math" w:hAnsi="Cambria Math"/>
                        <w:lang w:val="en-GB"/>
                      </w:rPr>
                    </m:ctrlPr>
                  </m:sSubPr>
                  <m:e>
                    <m:r>
                      <m:rPr>
                        <m:sty m:val="p"/>
                      </m:rPr>
                      <w:rPr>
                        <w:rFonts w:ascii="Cambria Math" w:hAnsi="Cambria Math"/>
                        <w:lang w:val="en-GB"/>
                      </w:rPr>
                      <m:t>C</m:t>
                    </m:r>
                  </m:e>
                  <m:sub>
                    <m:r>
                      <m:rPr>
                        <m:sty m:val="p"/>
                      </m:rP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o</m:t>
                    </m:r>
                  </m:sub>
                </m:sSub>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CEPC</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n</m:t>
                            </m:r>
                          </m:sub>
                        </m:sSub>
                      </m:num>
                      <m:den>
                        <m:r>
                          <w:rPr>
                            <w:rFonts w:ascii="Cambria Math" w:hAnsi="Cambria Math"/>
                            <w:lang w:val="en-GB"/>
                          </w:rPr>
                          <m:t>CEPC</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o</m:t>
                            </m:r>
                          </m:sub>
                        </m:sSub>
                      </m:den>
                    </m:f>
                  </m:e>
                </m:d>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n</m:t>
                                </m:r>
                              </m:sub>
                            </m:sSub>
                          </m:num>
                          <m:den>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o</m:t>
                                </m:r>
                              </m:sub>
                            </m:sSub>
                          </m:den>
                        </m:f>
                      </m:e>
                    </m:d>
                  </m:e>
                  <m:sup>
                    <m:r>
                      <w:rPr>
                        <w:rFonts w:ascii="Cambria Math" w:hAnsi="Cambria Math"/>
                        <w:lang w:val="en-GB"/>
                      </w:rPr>
                      <m:t>n</m:t>
                    </m:r>
                  </m:sup>
                </m:sSup>
              </m:oMath>
            </m:oMathPara>
          </w:p>
        </w:tc>
        <w:tc>
          <w:tcPr>
            <w:tcW w:w="985" w:type="dxa"/>
            <w:shd w:val="clear" w:color="auto" w:fill="auto"/>
            <w:vAlign w:val="center"/>
          </w:tcPr>
          <w:p w14:paraId="167562A4" w14:textId="77777777" w:rsidR="00CF34A2" w:rsidRPr="00A94774" w:rsidRDefault="00CF34A2" w:rsidP="00891BA8">
            <w:pPr>
              <w:pStyle w:val="Els-body-text"/>
              <w:spacing w:before="120" w:after="120" w:line="264" w:lineRule="auto"/>
              <w:jc w:val="right"/>
              <w:rPr>
                <w:lang w:val="en-GB"/>
              </w:rPr>
            </w:pPr>
            <w:r w:rsidRPr="00A94774">
              <w:rPr>
                <w:lang w:val="en-GB"/>
              </w:rPr>
              <w:t>(1)</w:t>
            </w:r>
          </w:p>
        </w:tc>
      </w:tr>
    </w:tbl>
    <w:p w14:paraId="69BBC6DA" w14:textId="16D1EF68" w:rsidR="00CF34A2" w:rsidRDefault="00CF34A2" w:rsidP="00CF34A2">
      <w:pPr>
        <w:pStyle w:val="Els-body-text"/>
      </w:pPr>
      <w:r>
        <w:t>Here, C</w:t>
      </w:r>
      <w:r w:rsidRPr="00AE26FD">
        <w:rPr>
          <w:vertAlign w:val="subscript"/>
        </w:rPr>
        <w:t>n</w:t>
      </w:r>
      <w:r>
        <w:t xml:space="preserve"> is the updated cost of equipment at the new capacity, C</w:t>
      </w:r>
      <w:r w:rsidRPr="008E6697">
        <w:rPr>
          <w:vertAlign w:val="subscript"/>
        </w:rPr>
        <w:t>o</w:t>
      </w:r>
      <w:r>
        <w:t xml:space="preserve"> is the cost in the baseline year, Z</w:t>
      </w:r>
      <w:r w:rsidRPr="008E6697">
        <w:rPr>
          <w:vertAlign w:val="subscript"/>
        </w:rPr>
        <w:t>n</w:t>
      </w:r>
      <w:r>
        <w:t xml:space="preserve"> is the new capacity, Z</w:t>
      </w:r>
      <w:r w:rsidRPr="008E6697">
        <w:rPr>
          <w:vertAlign w:val="subscript"/>
        </w:rPr>
        <w:t>o</w:t>
      </w:r>
      <w:r>
        <w:t xml:space="preserve"> is the baseline capacity, and n is the scaling exponent. The unit price of other material and utility used in operating cost were sourced from various publications. THF cost is taken from reference at $ 3.28/kg, while the catalyst cost was estimated based on SBA-15 modification at $ 70/kg. Utility expenses, including makeup water, electricity, and natural gas, were obtained from reports by United States Energy Information Administration and National Renewable Energy Laboratory. T</w:t>
      </w:r>
      <w:r w:rsidRPr="008E6697">
        <w:t xml:space="preserve">otal capital investments were calculated following the methodology by </w:t>
      </w:r>
      <w:proofErr w:type="spellStart"/>
      <w:r w:rsidRPr="008E6697">
        <w:t>Turton</w:t>
      </w:r>
      <w:proofErr w:type="spellEnd"/>
      <w:r w:rsidRPr="008E6697">
        <w:t xml:space="preserve"> et al</w:t>
      </w:r>
      <w:r>
        <w:t xml:space="preserve"> (2009)</w:t>
      </w:r>
      <w:r w:rsidRPr="008E6697">
        <w:t xml:space="preserve">, </w:t>
      </w:r>
      <w:r>
        <w:t>which factors in</w:t>
      </w:r>
      <w:r w:rsidRPr="008E6697">
        <w:t xml:space="preserve"> total direct cost (TDC) and total indirect cost (TIDC).</w:t>
      </w:r>
      <w:r>
        <w:t xml:space="preserve"> The assumptions used for economic analysis is listed in </w:t>
      </w:r>
      <w:r>
        <w:rPr>
          <w:highlight w:val="yellow"/>
        </w:rPr>
        <w:fldChar w:fldCharType="begin"/>
      </w:r>
      <w:r>
        <w:instrText xml:space="preserve"> REF _Ref151886668 \h </w:instrText>
      </w:r>
      <w:r>
        <w:rPr>
          <w:highlight w:val="yellow"/>
        </w:rPr>
      </w:r>
      <w:r>
        <w:rPr>
          <w:highlight w:val="yellow"/>
        </w:rPr>
        <w:fldChar w:fldCharType="separate"/>
      </w:r>
      <w:r w:rsidR="00EE0D60">
        <w:t xml:space="preserve">Table </w:t>
      </w:r>
      <w:r w:rsidR="00EE0D60">
        <w:rPr>
          <w:noProof/>
        </w:rPr>
        <w:t>1</w:t>
      </w:r>
      <w:r>
        <w:rPr>
          <w:highlight w:val="yellow"/>
        </w:rPr>
        <w:fldChar w:fldCharType="end"/>
      </w:r>
      <w:r>
        <w:t xml:space="preserve">. </w:t>
      </w:r>
      <w:r w:rsidRPr="008E6697">
        <w:t xml:space="preserve">Following the computation of all costs, a discounted cash flow analysis is conducted to estimate the minimum </w:t>
      </w:r>
      <w:r>
        <w:t>selling price (M</w:t>
      </w:r>
      <w:r w:rsidRPr="008E6697">
        <w:t xml:space="preserve">SP) </w:t>
      </w:r>
      <w:r>
        <w:t xml:space="preserve">of recovered styrene monomer </w:t>
      </w:r>
      <w:r w:rsidRPr="008E6697">
        <w:t>at which zero net present value (NPV) is generated for the entire process over a 30-year</w:t>
      </w:r>
      <w:r>
        <w:t>s</w:t>
      </w:r>
      <w:r w:rsidRPr="008E6697">
        <w:t xml:space="preserve"> project life.</w:t>
      </w:r>
    </w:p>
    <w:p w14:paraId="63C87C19" w14:textId="30F0A8DE" w:rsidR="00CF34A2" w:rsidRDefault="00CF34A2" w:rsidP="00CF34A2">
      <w:pPr>
        <w:pStyle w:val="Caption"/>
        <w:keepNext/>
        <w:spacing w:before="0" w:after="0"/>
        <w:jc w:val="center"/>
      </w:pPr>
      <w:bookmarkStart w:id="0" w:name="_Ref151886668"/>
      <w:r>
        <w:t xml:space="preserve">Table </w:t>
      </w:r>
      <w:r>
        <w:fldChar w:fldCharType="begin"/>
      </w:r>
      <w:r>
        <w:instrText xml:space="preserve"> SEQ Table \* ARABIC </w:instrText>
      </w:r>
      <w:r>
        <w:fldChar w:fldCharType="separate"/>
      </w:r>
      <w:r w:rsidR="00EE0D60">
        <w:rPr>
          <w:noProof/>
        </w:rPr>
        <w:t>1</w:t>
      </w:r>
      <w:r>
        <w:fldChar w:fldCharType="end"/>
      </w:r>
      <w:bookmarkEnd w:id="0"/>
      <w:r>
        <w:t>: Assumptions for economic analysis</w:t>
      </w:r>
    </w:p>
    <w:tbl>
      <w:tblPr>
        <w:tblStyle w:val="TableGrid"/>
        <w:tblW w:w="0" w:type="auto"/>
        <w:jc w:val="center"/>
        <w:tblLook w:val="04A0" w:firstRow="1" w:lastRow="0" w:firstColumn="1" w:lastColumn="0" w:noHBand="0" w:noVBand="1"/>
      </w:tblPr>
      <w:tblGrid>
        <w:gridCol w:w="2358"/>
        <w:gridCol w:w="2359"/>
      </w:tblGrid>
      <w:tr w:rsidR="00CF34A2" w14:paraId="2E736B50" w14:textId="77777777" w:rsidTr="00891BA8">
        <w:trPr>
          <w:jc w:val="center"/>
        </w:trPr>
        <w:tc>
          <w:tcPr>
            <w:tcW w:w="2358" w:type="dxa"/>
            <w:tcBorders>
              <w:top w:val="single" w:sz="4" w:space="0" w:color="auto"/>
              <w:left w:val="nil"/>
              <w:bottom w:val="single" w:sz="4" w:space="0" w:color="auto"/>
              <w:right w:val="nil"/>
            </w:tcBorders>
          </w:tcPr>
          <w:p w14:paraId="1D4DC24C" w14:textId="77777777" w:rsidR="00CF34A2" w:rsidRPr="005E65CF" w:rsidRDefault="00CF34A2" w:rsidP="00891BA8">
            <w:pPr>
              <w:pStyle w:val="Els-body-text"/>
              <w:jc w:val="center"/>
              <w:rPr>
                <w:b/>
                <w:sz w:val="18"/>
              </w:rPr>
            </w:pPr>
            <w:r w:rsidRPr="005E65CF">
              <w:rPr>
                <w:b/>
                <w:sz w:val="18"/>
              </w:rPr>
              <w:t>Parameter</w:t>
            </w:r>
          </w:p>
        </w:tc>
        <w:tc>
          <w:tcPr>
            <w:tcW w:w="2359" w:type="dxa"/>
            <w:tcBorders>
              <w:top w:val="single" w:sz="4" w:space="0" w:color="auto"/>
              <w:left w:val="nil"/>
              <w:bottom w:val="single" w:sz="4" w:space="0" w:color="auto"/>
              <w:right w:val="nil"/>
            </w:tcBorders>
          </w:tcPr>
          <w:p w14:paraId="4B2390B6" w14:textId="77777777" w:rsidR="00CF34A2" w:rsidRPr="005E65CF" w:rsidRDefault="00CF34A2" w:rsidP="00891BA8">
            <w:pPr>
              <w:pStyle w:val="Els-body-text"/>
              <w:jc w:val="center"/>
              <w:rPr>
                <w:b/>
                <w:sz w:val="18"/>
              </w:rPr>
            </w:pPr>
            <w:r w:rsidRPr="005E65CF">
              <w:rPr>
                <w:b/>
                <w:sz w:val="18"/>
              </w:rPr>
              <w:t>Value</w:t>
            </w:r>
          </w:p>
        </w:tc>
      </w:tr>
      <w:tr w:rsidR="00CF34A2" w14:paraId="645966D0" w14:textId="77777777" w:rsidTr="00891BA8">
        <w:trPr>
          <w:jc w:val="center"/>
        </w:trPr>
        <w:tc>
          <w:tcPr>
            <w:tcW w:w="2358" w:type="dxa"/>
            <w:tcBorders>
              <w:left w:val="nil"/>
              <w:bottom w:val="nil"/>
              <w:right w:val="nil"/>
            </w:tcBorders>
          </w:tcPr>
          <w:p w14:paraId="1CE8A3B2" w14:textId="77777777" w:rsidR="00CF34A2" w:rsidRPr="004A41CB" w:rsidRDefault="00CF34A2" w:rsidP="00891BA8">
            <w:pPr>
              <w:pStyle w:val="Els-body-text"/>
              <w:rPr>
                <w:sz w:val="18"/>
              </w:rPr>
            </w:pPr>
            <w:r w:rsidRPr="004A41CB">
              <w:rPr>
                <w:sz w:val="18"/>
              </w:rPr>
              <w:t>Depreciation year</w:t>
            </w:r>
          </w:p>
        </w:tc>
        <w:tc>
          <w:tcPr>
            <w:tcW w:w="2359" w:type="dxa"/>
            <w:tcBorders>
              <w:left w:val="nil"/>
              <w:bottom w:val="nil"/>
              <w:right w:val="nil"/>
            </w:tcBorders>
            <w:vAlign w:val="center"/>
          </w:tcPr>
          <w:p w14:paraId="23DCB005" w14:textId="77777777" w:rsidR="00CF34A2" w:rsidRPr="004A41CB" w:rsidRDefault="00CF34A2" w:rsidP="00891BA8">
            <w:pPr>
              <w:pStyle w:val="Els-body-text"/>
              <w:jc w:val="center"/>
              <w:rPr>
                <w:sz w:val="18"/>
              </w:rPr>
            </w:pPr>
            <w:r w:rsidRPr="004A41CB">
              <w:rPr>
                <w:sz w:val="18"/>
              </w:rPr>
              <w:t>7 years</w:t>
            </w:r>
          </w:p>
        </w:tc>
      </w:tr>
      <w:tr w:rsidR="00CF34A2" w14:paraId="17527D99" w14:textId="77777777" w:rsidTr="00891BA8">
        <w:trPr>
          <w:jc w:val="center"/>
        </w:trPr>
        <w:tc>
          <w:tcPr>
            <w:tcW w:w="2358" w:type="dxa"/>
            <w:tcBorders>
              <w:top w:val="nil"/>
              <w:left w:val="nil"/>
              <w:bottom w:val="nil"/>
              <w:right w:val="nil"/>
            </w:tcBorders>
          </w:tcPr>
          <w:p w14:paraId="54CA1FD7" w14:textId="77777777" w:rsidR="00CF34A2" w:rsidRPr="004A41CB" w:rsidRDefault="00CF34A2" w:rsidP="00891BA8">
            <w:pPr>
              <w:pStyle w:val="Els-body-text"/>
              <w:rPr>
                <w:sz w:val="18"/>
              </w:rPr>
            </w:pPr>
            <w:r w:rsidRPr="004A41CB">
              <w:rPr>
                <w:sz w:val="18"/>
              </w:rPr>
              <w:t>Tax rate</w:t>
            </w:r>
          </w:p>
        </w:tc>
        <w:tc>
          <w:tcPr>
            <w:tcW w:w="2359" w:type="dxa"/>
            <w:tcBorders>
              <w:top w:val="nil"/>
              <w:left w:val="nil"/>
              <w:bottom w:val="nil"/>
              <w:right w:val="nil"/>
            </w:tcBorders>
            <w:vAlign w:val="center"/>
          </w:tcPr>
          <w:p w14:paraId="6934529F" w14:textId="77777777" w:rsidR="00CF34A2" w:rsidRPr="004A41CB" w:rsidRDefault="00CF34A2" w:rsidP="00891BA8">
            <w:pPr>
              <w:pStyle w:val="Els-body-text"/>
              <w:jc w:val="center"/>
              <w:rPr>
                <w:sz w:val="18"/>
              </w:rPr>
            </w:pPr>
            <w:r w:rsidRPr="004A41CB">
              <w:rPr>
                <w:sz w:val="18"/>
              </w:rPr>
              <w:t>20%</w:t>
            </w:r>
          </w:p>
        </w:tc>
      </w:tr>
      <w:tr w:rsidR="00CF34A2" w14:paraId="0C00F1D5" w14:textId="77777777" w:rsidTr="00891BA8">
        <w:trPr>
          <w:jc w:val="center"/>
        </w:trPr>
        <w:tc>
          <w:tcPr>
            <w:tcW w:w="2358" w:type="dxa"/>
            <w:tcBorders>
              <w:top w:val="nil"/>
              <w:left w:val="nil"/>
              <w:bottom w:val="nil"/>
              <w:right w:val="nil"/>
            </w:tcBorders>
          </w:tcPr>
          <w:p w14:paraId="52A91645" w14:textId="77777777" w:rsidR="00CF34A2" w:rsidRPr="004A41CB" w:rsidRDefault="00CF34A2" w:rsidP="00891BA8">
            <w:pPr>
              <w:pStyle w:val="Els-body-text"/>
              <w:rPr>
                <w:sz w:val="18"/>
              </w:rPr>
            </w:pPr>
            <w:r w:rsidRPr="004A41CB">
              <w:rPr>
                <w:sz w:val="18"/>
              </w:rPr>
              <w:t>Salvage value</w:t>
            </w:r>
          </w:p>
        </w:tc>
        <w:tc>
          <w:tcPr>
            <w:tcW w:w="2359" w:type="dxa"/>
            <w:tcBorders>
              <w:top w:val="nil"/>
              <w:left w:val="nil"/>
              <w:bottom w:val="nil"/>
              <w:right w:val="nil"/>
            </w:tcBorders>
            <w:vAlign w:val="center"/>
          </w:tcPr>
          <w:p w14:paraId="3BC83E0B" w14:textId="77777777" w:rsidR="00CF34A2" w:rsidRPr="004A41CB" w:rsidRDefault="00CF34A2" w:rsidP="00891BA8">
            <w:pPr>
              <w:pStyle w:val="Els-body-text"/>
              <w:jc w:val="center"/>
              <w:rPr>
                <w:sz w:val="18"/>
              </w:rPr>
            </w:pPr>
            <w:r w:rsidRPr="004A41CB">
              <w:rPr>
                <w:sz w:val="18"/>
              </w:rPr>
              <w:t>0</w:t>
            </w:r>
          </w:p>
        </w:tc>
      </w:tr>
      <w:tr w:rsidR="00CF34A2" w14:paraId="458BE2A4" w14:textId="77777777" w:rsidTr="00891BA8">
        <w:trPr>
          <w:jc w:val="center"/>
        </w:trPr>
        <w:tc>
          <w:tcPr>
            <w:tcW w:w="2358" w:type="dxa"/>
            <w:tcBorders>
              <w:top w:val="nil"/>
              <w:left w:val="nil"/>
              <w:bottom w:val="nil"/>
              <w:right w:val="nil"/>
            </w:tcBorders>
          </w:tcPr>
          <w:p w14:paraId="1B4A36F2" w14:textId="77777777" w:rsidR="00CF34A2" w:rsidRPr="004A41CB" w:rsidRDefault="00CF34A2" w:rsidP="00891BA8">
            <w:pPr>
              <w:pStyle w:val="Els-body-text"/>
              <w:rPr>
                <w:sz w:val="18"/>
              </w:rPr>
            </w:pPr>
            <w:r w:rsidRPr="004A41CB">
              <w:rPr>
                <w:sz w:val="18"/>
              </w:rPr>
              <w:t>Project life</w:t>
            </w:r>
          </w:p>
        </w:tc>
        <w:tc>
          <w:tcPr>
            <w:tcW w:w="2359" w:type="dxa"/>
            <w:tcBorders>
              <w:top w:val="nil"/>
              <w:left w:val="nil"/>
              <w:bottom w:val="nil"/>
              <w:right w:val="nil"/>
            </w:tcBorders>
            <w:vAlign w:val="center"/>
          </w:tcPr>
          <w:p w14:paraId="092AAF18" w14:textId="77777777" w:rsidR="00CF34A2" w:rsidRPr="004A41CB" w:rsidRDefault="00CF34A2" w:rsidP="00891BA8">
            <w:pPr>
              <w:pStyle w:val="Els-body-text"/>
              <w:jc w:val="center"/>
              <w:rPr>
                <w:sz w:val="18"/>
              </w:rPr>
            </w:pPr>
            <w:r w:rsidRPr="004A41CB">
              <w:rPr>
                <w:sz w:val="18"/>
              </w:rPr>
              <w:t>30 years</w:t>
            </w:r>
          </w:p>
        </w:tc>
      </w:tr>
      <w:tr w:rsidR="00CF34A2" w14:paraId="5E3410E7" w14:textId="77777777" w:rsidTr="00891BA8">
        <w:trPr>
          <w:jc w:val="center"/>
        </w:trPr>
        <w:tc>
          <w:tcPr>
            <w:tcW w:w="2358" w:type="dxa"/>
            <w:tcBorders>
              <w:top w:val="nil"/>
              <w:left w:val="nil"/>
              <w:bottom w:val="nil"/>
              <w:right w:val="nil"/>
            </w:tcBorders>
          </w:tcPr>
          <w:p w14:paraId="22828CE4" w14:textId="77777777" w:rsidR="00CF34A2" w:rsidRPr="004A41CB" w:rsidRDefault="00CF34A2" w:rsidP="00891BA8">
            <w:pPr>
              <w:pStyle w:val="Els-body-text"/>
              <w:rPr>
                <w:sz w:val="18"/>
              </w:rPr>
            </w:pPr>
            <w:r w:rsidRPr="004A41CB">
              <w:rPr>
                <w:sz w:val="18"/>
              </w:rPr>
              <w:t>Internal rate of return (IRR)</w:t>
            </w:r>
          </w:p>
        </w:tc>
        <w:tc>
          <w:tcPr>
            <w:tcW w:w="2359" w:type="dxa"/>
            <w:tcBorders>
              <w:top w:val="nil"/>
              <w:left w:val="nil"/>
              <w:bottom w:val="nil"/>
              <w:right w:val="nil"/>
            </w:tcBorders>
            <w:vAlign w:val="center"/>
          </w:tcPr>
          <w:p w14:paraId="0563BC1B" w14:textId="77777777" w:rsidR="00CF34A2" w:rsidRPr="004A41CB" w:rsidRDefault="00CF34A2" w:rsidP="00891BA8">
            <w:pPr>
              <w:pStyle w:val="Els-body-text"/>
              <w:jc w:val="center"/>
              <w:rPr>
                <w:sz w:val="18"/>
              </w:rPr>
            </w:pPr>
            <w:r w:rsidRPr="004A41CB">
              <w:rPr>
                <w:sz w:val="18"/>
              </w:rPr>
              <w:t>10%</w:t>
            </w:r>
          </w:p>
        </w:tc>
      </w:tr>
      <w:tr w:rsidR="00CF34A2" w14:paraId="0688FB3D" w14:textId="77777777" w:rsidTr="00891BA8">
        <w:trPr>
          <w:jc w:val="center"/>
        </w:trPr>
        <w:tc>
          <w:tcPr>
            <w:tcW w:w="2358" w:type="dxa"/>
            <w:tcBorders>
              <w:top w:val="nil"/>
              <w:left w:val="nil"/>
              <w:bottom w:val="nil"/>
              <w:right w:val="nil"/>
            </w:tcBorders>
          </w:tcPr>
          <w:p w14:paraId="0E79577F" w14:textId="77777777" w:rsidR="00CF34A2" w:rsidRPr="004A41CB" w:rsidRDefault="00CF34A2" w:rsidP="00891BA8">
            <w:pPr>
              <w:pStyle w:val="Els-body-text"/>
              <w:rPr>
                <w:sz w:val="18"/>
              </w:rPr>
            </w:pPr>
            <w:r w:rsidRPr="004A41CB">
              <w:rPr>
                <w:sz w:val="18"/>
              </w:rPr>
              <w:t>Plant start-up year</w:t>
            </w:r>
          </w:p>
        </w:tc>
        <w:tc>
          <w:tcPr>
            <w:tcW w:w="2359" w:type="dxa"/>
            <w:tcBorders>
              <w:top w:val="nil"/>
              <w:left w:val="nil"/>
              <w:bottom w:val="nil"/>
              <w:right w:val="nil"/>
            </w:tcBorders>
            <w:vAlign w:val="center"/>
          </w:tcPr>
          <w:p w14:paraId="601E53FD" w14:textId="77777777" w:rsidR="00CF34A2" w:rsidRPr="004A41CB" w:rsidRDefault="00CF34A2" w:rsidP="00891BA8">
            <w:pPr>
              <w:pStyle w:val="Els-body-text"/>
              <w:jc w:val="center"/>
              <w:rPr>
                <w:sz w:val="18"/>
              </w:rPr>
            </w:pPr>
            <w:r w:rsidRPr="004A41CB">
              <w:rPr>
                <w:sz w:val="18"/>
              </w:rPr>
              <w:t>1</w:t>
            </w:r>
          </w:p>
        </w:tc>
      </w:tr>
      <w:tr w:rsidR="00CF34A2" w14:paraId="4014BDF6" w14:textId="77777777" w:rsidTr="00891BA8">
        <w:trPr>
          <w:jc w:val="center"/>
        </w:trPr>
        <w:tc>
          <w:tcPr>
            <w:tcW w:w="2358" w:type="dxa"/>
            <w:tcBorders>
              <w:top w:val="nil"/>
              <w:left w:val="nil"/>
              <w:bottom w:val="single" w:sz="4" w:space="0" w:color="auto"/>
              <w:right w:val="nil"/>
            </w:tcBorders>
          </w:tcPr>
          <w:p w14:paraId="501AFCF8" w14:textId="77777777" w:rsidR="00CF34A2" w:rsidRPr="004A41CB" w:rsidRDefault="00CF34A2" w:rsidP="00891BA8">
            <w:pPr>
              <w:pStyle w:val="Els-body-text"/>
              <w:rPr>
                <w:sz w:val="18"/>
              </w:rPr>
            </w:pPr>
            <w:r w:rsidRPr="004A41CB">
              <w:rPr>
                <w:sz w:val="18"/>
              </w:rPr>
              <w:t>Operating hours</w:t>
            </w:r>
          </w:p>
        </w:tc>
        <w:tc>
          <w:tcPr>
            <w:tcW w:w="2359" w:type="dxa"/>
            <w:tcBorders>
              <w:top w:val="nil"/>
              <w:left w:val="nil"/>
              <w:bottom w:val="single" w:sz="4" w:space="0" w:color="auto"/>
              <w:right w:val="nil"/>
            </w:tcBorders>
            <w:vAlign w:val="center"/>
          </w:tcPr>
          <w:p w14:paraId="36679D92" w14:textId="77777777" w:rsidR="00CF34A2" w:rsidRPr="004A41CB" w:rsidRDefault="00CF34A2" w:rsidP="00891BA8">
            <w:pPr>
              <w:pStyle w:val="Els-body-text"/>
              <w:jc w:val="center"/>
              <w:rPr>
                <w:sz w:val="18"/>
              </w:rPr>
            </w:pPr>
            <w:r w:rsidRPr="004A41CB">
              <w:rPr>
                <w:sz w:val="18"/>
              </w:rPr>
              <w:t>8,000 h</w:t>
            </w:r>
          </w:p>
        </w:tc>
      </w:tr>
    </w:tbl>
    <w:p w14:paraId="3FD773A2" w14:textId="77777777" w:rsidR="00CF34A2" w:rsidRDefault="00CF34A2" w:rsidP="00CF34A2">
      <w:pPr>
        <w:pStyle w:val="Els-2ndorder-head"/>
      </w:pPr>
      <w:r>
        <w:t>Life Cycle Assessment</w:t>
      </w:r>
    </w:p>
    <w:p w14:paraId="228DB324" w14:textId="104B8C99" w:rsidR="00CF34A2" w:rsidRDefault="00CF34A2" w:rsidP="004B3612">
      <w:pPr>
        <w:pStyle w:val="Els-body-text"/>
      </w:pPr>
      <w:r>
        <w:t xml:space="preserve">Life cycle assessment (LCA) was performed to evaluate the environmental impact of recovering styrene monomer from </w:t>
      </w:r>
      <w:proofErr w:type="spellStart"/>
      <w:proofErr w:type="gramStart"/>
      <w:r>
        <w:t>styrofoam</w:t>
      </w:r>
      <w:proofErr w:type="spellEnd"/>
      <w:proofErr w:type="gramEnd"/>
      <w:r>
        <w:t xml:space="preserve"> waste. The LCA was conducted according to ISO 14040/44:2006 standard. The goal of this assessment is to compare the carbon emissions of the recovered styrene monomer with conventional styrene derived from fossil-based raw material. The life cycle impact assessment was carried out using </w:t>
      </w:r>
      <w:proofErr w:type="spellStart"/>
      <w:r>
        <w:t>SimaPro</w:t>
      </w:r>
      <w:proofErr w:type="spellEnd"/>
      <w:r>
        <w:t xml:space="preserve"> 9.4.0.2, employing CML-IA baseline 3.07 method. Global warming potential (GWP 100a) was selected as the impact category to measure the carbon emissions. </w:t>
      </w:r>
      <w:proofErr w:type="spellStart"/>
      <w:r>
        <w:t>Ecoinvent</w:t>
      </w:r>
      <w:proofErr w:type="spellEnd"/>
      <w:r>
        <w:t xml:space="preserve"> v3.8 served as the life cycle inventory (LCI) database. The LCI was defined based on material and energy balance results from process modeling, and the functional unit was set at 1 kg of recovered styrene monomer. The LCA was conducted from gate-to-gate, </w:t>
      </w:r>
      <w:r>
        <w:lastRenderedPageBreak/>
        <w:t xml:space="preserve">with the system boundary illustrated in </w:t>
      </w:r>
      <w:r>
        <w:fldChar w:fldCharType="begin"/>
      </w:r>
      <w:r>
        <w:instrText xml:space="preserve"> REF _Ref151890137 \h </w:instrText>
      </w:r>
      <w:r>
        <w:fldChar w:fldCharType="separate"/>
      </w:r>
      <w:r w:rsidR="00EE0D60">
        <w:t xml:space="preserve">Figure </w:t>
      </w:r>
      <w:r w:rsidR="00EE0D60">
        <w:rPr>
          <w:noProof/>
        </w:rPr>
        <w:t>2</w:t>
      </w:r>
      <w:r>
        <w:fldChar w:fldCharType="end"/>
      </w:r>
      <w:r>
        <w:t>. The feedstock was assumed to be transported using truck over a distance of 100 km.</w:t>
      </w:r>
    </w:p>
    <w:p w14:paraId="74498C8E" w14:textId="3C02F0A5" w:rsidR="004B3612" w:rsidRDefault="00EE0D60" w:rsidP="005E58FD">
      <w:pPr>
        <w:pStyle w:val="Els-body-text"/>
        <w:keepNext/>
        <w:jc w:val="center"/>
      </w:pPr>
      <w:r>
        <w:rPr>
          <w:noProof/>
          <w:lang w:eastAsia="ko-KR"/>
        </w:rPr>
        <w:drawing>
          <wp:inline distT="0" distB="0" distL="0" distR="0" wp14:anchorId="75B7C026" wp14:editId="12DEF2F1">
            <wp:extent cx="4418380" cy="6718526"/>
            <wp:effectExtent l="0" t="0" r="127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7035" cy="6792510"/>
                    </a:xfrm>
                    <a:prstGeom prst="rect">
                      <a:avLst/>
                    </a:prstGeom>
                    <a:noFill/>
                  </pic:spPr>
                </pic:pic>
              </a:graphicData>
            </a:graphic>
          </wp:inline>
        </w:drawing>
      </w:r>
    </w:p>
    <w:p w14:paraId="2F14B7B4" w14:textId="73D3AE9B" w:rsidR="00465112" w:rsidRDefault="004B3612" w:rsidP="00CF34A2">
      <w:pPr>
        <w:pStyle w:val="Caption"/>
        <w:spacing w:before="0" w:after="0"/>
        <w:jc w:val="center"/>
        <w:rPr>
          <w:lang w:eastAsia="ko-KR"/>
        </w:rPr>
      </w:pPr>
      <w:bookmarkStart w:id="1" w:name="_Ref151890124"/>
      <w:r>
        <w:t xml:space="preserve">Figure </w:t>
      </w:r>
      <w:r>
        <w:fldChar w:fldCharType="begin"/>
      </w:r>
      <w:r>
        <w:instrText xml:space="preserve"> SEQ Figure \* ARABIC </w:instrText>
      </w:r>
      <w:r>
        <w:fldChar w:fldCharType="separate"/>
      </w:r>
      <w:r w:rsidR="00EE0D60">
        <w:rPr>
          <w:noProof/>
        </w:rPr>
        <w:t>1</w:t>
      </w:r>
      <w:r>
        <w:fldChar w:fldCharType="end"/>
      </w:r>
      <w:bookmarkEnd w:id="1"/>
      <w:r w:rsidR="00843098">
        <w:t>:</w:t>
      </w:r>
      <w:r w:rsidRPr="004B3612">
        <w:t xml:space="preserve"> Process flowsheet of styrene monomer recovery from </w:t>
      </w:r>
      <w:proofErr w:type="spellStart"/>
      <w:proofErr w:type="gramStart"/>
      <w:r w:rsidRPr="004B3612">
        <w:t>styrofoam</w:t>
      </w:r>
      <w:proofErr w:type="spellEnd"/>
      <w:proofErr w:type="gramEnd"/>
      <w:r w:rsidRPr="004B3612">
        <w:t xml:space="preserve"> waste through catalytic degradation for (a) Scenario 1, (b) Scenario 2, and (c</w:t>
      </w:r>
      <w:bookmarkStart w:id="2" w:name="_GoBack"/>
      <w:bookmarkEnd w:id="2"/>
      <w:r w:rsidRPr="004B3612">
        <w:t>) Scenario 3.</w:t>
      </w:r>
    </w:p>
    <w:p w14:paraId="7FB432E5" w14:textId="77777777" w:rsidR="000D4DA1" w:rsidRDefault="00497781" w:rsidP="00436C8F">
      <w:pPr>
        <w:pStyle w:val="Els-body-text"/>
        <w:keepNext/>
        <w:jc w:val="center"/>
      </w:pPr>
      <w:r>
        <w:rPr>
          <w:noProof/>
          <w:lang w:eastAsia="ko-KR"/>
        </w:rPr>
        <w:lastRenderedPageBreak/>
        <w:drawing>
          <wp:inline distT="0" distB="0" distL="0" distR="0" wp14:anchorId="71CBEEDB" wp14:editId="6C60E9A7">
            <wp:extent cx="3969312"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2016" cy="901695"/>
                    </a:xfrm>
                    <a:prstGeom prst="rect">
                      <a:avLst/>
                    </a:prstGeom>
                    <a:noFill/>
                  </pic:spPr>
                </pic:pic>
              </a:graphicData>
            </a:graphic>
          </wp:inline>
        </w:drawing>
      </w:r>
    </w:p>
    <w:p w14:paraId="670574FB" w14:textId="77777777" w:rsidR="00872C3F" w:rsidRDefault="00872C3F" w:rsidP="00436C8F">
      <w:pPr>
        <w:pStyle w:val="Els-body-text"/>
        <w:keepNext/>
        <w:jc w:val="center"/>
      </w:pPr>
    </w:p>
    <w:p w14:paraId="7784F393" w14:textId="35FED95B" w:rsidR="00497781" w:rsidRPr="00951963" w:rsidRDefault="000D4DA1" w:rsidP="00872C3F">
      <w:pPr>
        <w:pStyle w:val="Caption"/>
        <w:spacing w:before="0" w:after="0"/>
        <w:jc w:val="center"/>
      </w:pPr>
      <w:bookmarkStart w:id="3" w:name="_Ref151890137"/>
      <w:r>
        <w:t xml:space="preserve">Figure </w:t>
      </w:r>
      <w:r>
        <w:fldChar w:fldCharType="begin"/>
      </w:r>
      <w:r>
        <w:instrText xml:space="preserve"> SEQ Figure \* ARABIC </w:instrText>
      </w:r>
      <w:r>
        <w:fldChar w:fldCharType="separate"/>
      </w:r>
      <w:r w:rsidR="00EE0D60">
        <w:rPr>
          <w:noProof/>
        </w:rPr>
        <w:t>2</w:t>
      </w:r>
      <w:r>
        <w:fldChar w:fldCharType="end"/>
      </w:r>
      <w:bookmarkEnd w:id="3"/>
      <w:r w:rsidR="00843098">
        <w:t>:</w:t>
      </w:r>
      <w:r>
        <w:t xml:space="preserve"> System boundary for LCA</w:t>
      </w:r>
    </w:p>
    <w:p w14:paraId="144DE6A1" w14:textId="3C636E28" w:rsidR="008D2649" w:rsidRPr="00A94774" w:rsidRDefault="00A26D9D" w:rsidP="008D2649">
      <w:pPr>
        <w:pStyle w:val="Els-1storder-head"/>
        <w:spacing w:after="120"/>
        <w:rPr>
          <w:lang w:val="en-GB"/>
        </w:rPr>
      </w:pPr>
      <w:r>
        <w:rPr>
          <w:lang w:val="en-GB"/>
        </w:rPr>
        <w:t>Results</w:t>
      </w:r>
    </w:p>
    <w:p w14:paraId="144DE6A2" w14:textId="3E071142" w:rsidR="008D2649" w:rsidRDefault="00334DB5" w:rsidP="008D2649">
      <w:pPr>
        <w:pStyle w:val="Els-body-text"/>
      </w:pPr>
      <w:r>
        <w:rPr>
          <w:lang w:val="en-GB"/>
        </w:rPr>
        <w:t xml:space="preserve">The mass and energy balance results </w:t>
      </w:r>
      <w:r w:rsidR="00543DE9">
        <w:rPr>
          <w:lang w:val="en-GB"/>
        </w:rPr>
        <w:t>from the</w:t>
      </w:r>
      <w:r>
        <w:rPr>
          <w:lang w:val="en-GB"/>
        </w:rPr>
        <w:t xml:space="preserve"> process simulation </w:t>
      </w:r>
      <w:r w:rsidR="00543DE9">
        <w:rPr>
          <w:lang w:val="en-GB"/>
        </w:rPr>
        <w:t>are</w:t>
      </w:r>
      <w:r>
        <w:rPr>
          <w:lang w:val="en-GB"/>
        </w:rPr>
        <w:t xml:space="preserve"> summarized in </w:t>
      </w:r>
      <w:r>
        <w:rPr>
          <w:lang w:val="en-GB"/>
        </w:rPr>
        <w:fldChar w:fldCharType="begin"/>
      </w:r>
      <w:r>
        <w:rPr>
          <w:lang w:val="en-GB"/>
        </w:rPr>
        <w:instrText xml:space="preserve"> REF _Ref151899743 \h </w:instrText>
      </w:r>
      <w:r>
        <w:rPr>
          <w:lang w:val="en-GB"/>
        </w:rPr>
      </w:r>
      <w:r>
        <w:rPr>
          <w:lang w:val="en-GB"/>
        </w:rPr>
        <w:fldChar w:fldCharType="separate"/>
      </w:r>
      <w:r w:rsidR="00EE0D60">
        <w:t xml:space="preserve">Table </w:t>
      </w:r>
      <w:r w:rsidR="00EE0D60">
        <w:rPr>
          <w:noProof/>
        </w:rPr>
        <w:t>2</w:t>
      </w:r>
      <w:r>
        <w:rPr>
          <w:lang w:val="en-GB"/>
        </w:rPr>
        <w:fldChar w:fldCharType="end"/>
      </w:r>
      <w:r>
        <w:rPr>
          <w:lang w:val="en-GB"/>
        </w:rPr>
        <w:t>.</w:t>
      </w:r>
      <w:r w:rsidR="00543DE9">
        <w:rPr>
          <w:lang w:val="en-GB"/>
        </w:rPr>
        <w:t xml:space="preserve"> It is evident from</w:t>
      </w:r>
      <w:r>
        <w:rPr>
          <w:lang w:val="en-GB"/>
        </w:rPr>
        <w:t xml:space="preserve"> the table that Scenario 2 </w:t>
      </w:r>
      <w:r w:rsidR="00543DE9">
        <w:rPr>
          <w:lang w:val="en-GB"/>
        </w:rPr>
        <w:t>employs</w:t>
      </w:r>
      <w:r>
        <w:rPr>
          <w:lang w:val="en-GB"/>
        </w:rPr>
        <w:t xml:space="preserve"> THF for dissolution. </w:t>
      </w:r>
      <w:r w:rsidR="00543DE9" w:rsidRPr="00543DE9">
        <w:rPr>
          <w:lang w:val="en-GB"/>
        </w:rPr>
        <w:t xml:space="preserve">The optimal ratio between polystyrene and THF solvent is 0.5 to ensure complete dissolution of all polystyrene. Considering a 99% recycling rate, the required </w:t>
      </w:r>
      <w:r w:rsidR="00DF13A6">
        <w:rPr>
          <w:lang w:val="en-GB"/>
        </w:rPr>
        <w:t xml:space="preserve">amount of THF stands at 3 kg/h. </w:t>
      </w:r>
      <w:proofErr w:type="gramStart"/>
      <w:r w:rsidR="00DF13A6">
        <w:rPr>
          <w:lang w:val="en-GB"/>
        </w:rPr>
        <w:t>A</w:t>
      </w:r>
      <w:r w:rsidR="00DF13A6" w:rsidRPr="00DF13A6">
        <w:rPr>
          <w:lang w:val="en-GB"/>
        </w:rPr>
        <w:t>dditionally</w:t>
      </w:r>
      <w:proofErr w:type="gramEnd"/>
      <w:r w:rsidR="00DF13A6" w:rsidRPr="00DF13A6">
        <w:rPr>
          <w:lang w:val="en-GB"/>
        </w:rPr>
        <w:t>, with a ratio of 0.02 between catalyst and polystyrene pellets, the process requires a total of 6 kg/h of catalyst.</w:t>
      </w:r>
      <w:r w:rsidR="00DF13A6">
        <w:rPr>
          <w:lang w:val="en-GB"/>
        </w:rPr>
        <w:t xml:space="preserve"> </w:t>
      </w:r>
      <w:r w:rsidR="00DF13A6" w:rsidRPr="00DF13A6">
        <w:rPr>
          <w:lang w:val="en-GB"/>
        </w:rPr>
        <w:t xml:space="preserve">As observed in the table, Scenario 1 demonstrates the highest yield among the scenarios. This can be attributed to the increased possibility of product loss in Scenarios 2 and 3 due to the presence of more separation equipment. Scenarios 2 and 3 necessitate more makeup water because additional columns require increased cooling water for the total condenser. Furthermore, Scenarios 2 and 3 require more steam to meet the heating requirements for the </w:t>
      </w:r>
      <w:proofErr w:type="spellStart"/>
      <w:r w:rsidR="00DF13A6" w:rsidRPr="00DF13A6">
        <w:rPr>
          <w:lang w:val="en-GB"/>
        </w:rPr>
        <w:t>reboiler</w:t>
      </w:r>
      <w:proofErr w:type="spellEnd"/>
      <w:r w:rsidR="00DF13A6" w:rsidRPr="00DF13A6">
        <w:rPr>
          <w:lang w:val="en-GB"/>
        </w:rPr>
        <w:t>. The electricity is sourced from the grid, and the heat requirement is fulfilled by natural gas.</w:t>
      </w:r>
    </w:p>
    <w:p w14:paraId="4F5905F6" w14:textId="148562CC" w:rsidR="008E380F" w:rsidRDefault="008E380F" w:rsidP="00242612">
      <w:pPr>
        <w:pStyle w:val="Caption"/>
        <w:keepNext/>
        <w:spacing w:before="0" w:after="0"/>
        <w:jc w:val="center"/>
      </w:pPr>
      <w:bookmarkStart w:id="4" w:name="_Ref151899743"/>
      <w:r>
        <w:t xml:space="preserve">Table </w:t>
      </w:r>
      <w:r>
        <w:fldChar w:fldCharType="begin"/>
      </w:r>
      <w:r>
        <w:instrText xml:space="preserve"> SEQ Table \* ARABIC </w:instrText>
      </w:r>
      <w:r>
        <w:fldChar w:fldCharType="separate"/>
      </w:r>
      <w:r w:rsidR="00EE0D60">
        <w:rPr>
          <w:noProof/>
        </w:rPr>
        <w:t>2</w:t>
      </w:r>
      <w:r>
        <w:fldChar w:fldCharType="end"/>
      </w:r>
      <w:bookmarkEnd w:id="4"/>
      <w:r w:rsidR="00843098">
        <w:t>:</w:t>
      </w:r>
      <w:r>
        <w:t xml:space="preserve"> </w:t>
      </w:r>
      <w:r w:rsidR="00CF62E2">
        <w:t>Mass and energy balance for all</w:t>
      </w:r>
      <w:r>
        <w:t xml:space="preserve"> scenarios</w:t>
      </w:r>
    </w:p>
    <w:tbl>
      <w:tblPr>
        <w:tblStyle w:val="TableGrid"/>
        <w:tblW w:w="0" w:type="auto"/>
        <w:tblLook w:val="04A0" w:firstRow="1" w:lastRow="0" w:firstColumn="1" w:lastColumn="0" w:noHBand="0" w:noVBand="1"/>
      </w:tblPr>
      <w:tblGrid>
        <w:gridCol w:w="2245"/>
        <w:gridCol w:w="1610"/>
        <w:gridCol w:w="1610"/>
        <w:gridCol w:w="1611"/>
      </w:tblGrid>
      <w:tr w:rsidR="00983C9C" w14:paraId="02897B18" w14:textId="77777777" w:rsidTr="00201260">
        <w:tc>
          <w:tcPr>
            <w:tcW w:w="2245" w:type="dxa"/>
            <w:tcBorders>
              <w:top w:val="single" w:sz="4" w:space="0" w:color="auto"/>
              <w:left w:val="nil"/>
              <w:bottom w:val="single" w:sz="4" w:space="0" w:color="auto"/>
              <w:right w:val="nil"/>
            </w:tcBorders>
          </w:tcPr>
          <w:p w14:paraId="242326C4" w14:textId="600B63AD" w:rsidR="00983C9C" w:rsidRPr="00CF62E2" w:rsidRDefault="00983C9C" w:rsidP="008E380F">
            <w:pPr>
              <w:pStyle w:val="Els-body-text"/>
              <w:jc w:val="center"/>
              <w:rPr>
                <w:b/>
                <w:sz w:val="18"/>
              </w:rPr>
            </w:pPr>
            <w:r w:rsidRPr="00CF62E2">
              <w:rPr>
                <w:b/>
                <w:sz w:val="18"/>
              </w:rPr>
              <w:t>Parameter</w:t>
            </w:r>
          </w:p>
        </w:tc>
        <w:tc>
          <w:tcPr>
            <w:tcW w:w="1610" w:type="dxa"/>
            <w:tcBorders>
              <w:top w:val="single" w:sz="4" w:space="0" w:color="auto"/>
              <w:left w:val="nil"/>
              <w:bottom w:val="single" w:sz="4" w:space="0" w:color="auto"/>
              <w:right w:val="nil"/>
            </w:tcBorders>
            <w:vAlign w:val="center"/>
          </w:tcPr>
          <w:p w14:paraId="7392F6EE" w14:textId="351F7BA3" w:rsidR="00983C9C" w:rsidRPr="00CF62E2" w:rsidRDefault="008E380F" w:rsidP="008E380F">
            <w:pPr>
              <w:pStyle w:val="Els-body-text"/>
              <w:jc w:val="center"/>
              <w:rPr>
                <w:b/>
                <w:sz w:val="18"/>
              </w:rPr>
            </w:pPr>
            <w:r w:rsidRPr="00CF62E2">
              <w:rPr>
                <w:b/>
                <w:sz w:val="18"/>
              </w:rPr>
              <w:t>Scenario</w:t>
            </w:r>
            <w:r w:rsidR="00983C9C" w:rsidRPr="00CF62E2">
              <w:rPr>
                <w:b/>
                <w:sz w:val="18"/>
              </w:rPr>
              <w:t xml:space="preserve"> 1</w:t>
            </w:r>
          </w:p>
        </w:tc>
        <w:tc>
          <w:tcPr>
            <w:tcW w:w="1610" w:type="dxa"/>
            <w:tcBorders>
              <w:top w:val="single" w:sz="4" w:space="0" w:color="auto"/>
              <w:left w:val="nil"/>
              <w:bottom w:val="single" w:sz="4" w:space="0" w:color="auto"/>
              <w:right w:val="nil"/>
            </w:tcBorders>
            <w:vAlign w:val="center"/>
          </w:tcPr>
          <w:p w14:paraId="6817FE79" w14:textId="69A6509D" w:rsidR="00983C9C" w:rsidRPr="00CF62E2" w:rsidRDefault="008E380F" w:rsidP="008E380F">
            <w:pPr>
              <w:pStyle w:val="Els-body-text"/>
              <w:jc w:val="center"/>
              <w:rPr>
                <w:b/>
                <w:sz w:val="18"/>
              </w:rPr>
            </w:pPr>
            <w:r w:rsidRPr="00CF62E2">
              <w:rPr>
                <w:b/>
                <w:sz w:val="18"/>
              </w:rPr>
              <w:t>Scenario</w:t>
            </w:r>
            <w:r w:rsidR="00983C9C" w:rsidRPr="00CF62E2">
              <w:rPr>
                <w:b/>
                <w:sz w:val="18"/>
              </w:rPr>
              <w:t xml:space="preserve"> 2</w:t>
            </w:r>
          </w:p>
        </w:tc>
        <w:tc>
          <w:tcPr>
            <w:tcW w:w="1611" w:type="dxa"/>
            <w:tcBorders>
              <w:top w:val="single" w:sz="4" w:space="0" w:color="auto"/>
              <w:left w:val="nil"/>
              <w:bottom w:val="single" w:sz="4" w:space="0" w:color="auto"/>
              <w:right w:val="nil"/>
            </w:tcBorders>
            <w:vAlign w:val="center"/>
          </w:tcPr>
          <w:p w14:paraId="7B8A4517" w14:textId="62459120" w:rsidR="00983C9C" w:rsidRPr="00CF62E2" w:rsidRDefault="008E380F" w:rsidP="008E380F">
            <w:pPr>
              <w:pStyle w:val="Els-body-text"/>
              <w:jc w:val="center"/>
              <w:rPr>
                <w:b/>
                <w:sz w:val="18"/>
              </w:rPr>
            </w:pPr>
            <w:r w:rsidRPr="00CF62E2">
              <w:rPr>
                <w:b/>
                <w:sz w:val="18"/>
              </w:rPr>
              <w:t>Scenario</w:t>
            </w:r>
            <w:r w:rsidR="00983C9C" w:rsidRPr="00CF62E2">
              <w:rPr>
                <w:b/>
                <w:sz w:val="18"/>
              </w:rPr>
              <w:t xml:space="preserve"> 3</w:t>
            </w:r>
          </w:p>
        </w:tc>
      </w:tr>
      <w:tr w:rsidR="00983C9C" w14:paraId="324F5107" w14:textId="77777777" w:rsidTr="00201260">
        <w:tc>
          <w:tcPr>
            <w:tcW w:w="2245" w:type="dxa"/>
            <w:tcBorders>
              <w:left w:val="nil"/>
              <w:bottom w:val="nil"/>
              <w:right w:val="nil"/>
            </w:tcBorders>
          </w:tcPr>
          <w:p w14:paraId="6F440562" w14:textId="1F9122AC" w:rsidR="00983C9C" w:rsidRPr="00CF62E2" w:rsidRDefault="00983C9C" w:rsidP="008D2649">
            <w:pPr>
              <w:pStyle w:val="Els-body-text"/>
              <w:rPr>
                <w:b/>
                <w:sz w:val="18"/>
              </w:rPr>
            </w:pPr>
            <w:r w:rsidRPr="00CF62E2">
              <w:rPr>
                <w:b/>
                <w:sz w:val="18"/>
              </w:rPr>
              <w:t>Feedstock</w:t>
            </w:r>
          </w:p>
        </w:tc>
        <w:tc>
          <w:tcPr>
            <w:tcW w:w="1610" w:type="dxa"/>
            <w:tcBorders>
              <w:left w:val="nil"/>
              <w:bottom w:val="nil"/>
              <w:right w:val="nil"/>
            </w:tcBorders>
            <w:vAlign w:val="center"/>
          </w:tcPr>
          <w:p w14:paraId="1F8F6D41" w14:textId="77777777" w:rsidR="00983C9C" w:rsidRPr="00CF62E2" w:rsidRDefault="00983C9C" w:rsidP="008E380F">
            <w:pPr>
              <w:pStyle w:val="Els-body-text"/>
              <w:jc w:val="center"/>
              <w:rPr>
                <w:sz w:val="18"/>
              </w:rPr>
            </w:pPr>
          </w:p>
        </w:tc>
        <w:tc>
          <w:tcPr>
            <w:tcW w:w="1610" w:type="dxa"/>
            <w:tcBorders>
              <w:left w:val="nil"/>
              <w:bottom w:val="nil"/>
              <w:right w:val="nil"/>
            </w:tcBorders>
            <w:vAlign w:val="center"/>
          </w:tcPr>
          <w:p w14:paraId="5C5F0957" w14:textId="77777777" w:rsidR="00983C9C" w:rsidRPr="00CF62E2" w:rsidRDefault="00983C9C" w:rsidP="008E380F">
            <w:pPr>
              <w:pStyle w:val="Els-body-text"/>
              <w:jc w:val="center"/>
              <w:rPr>
                <w:sz w:val="18"/>
              </w:rPr>
            </w:pPr>
          </w:p>
        </w:tc>
        <w:tc>
          <w:tcPr>
            <w:tcW w:w="1611" w:type="dxa"/>
            <w:tcBorders>
              <w:left w:val="nil"/>
              <w:bottom w:val="nil"/>
              <w:right w:val="nil"/>
            </w:tcBorders>
            <w:vAlign w:val="center"/>
          </w:tcPr>
          <w:p w14:paraId="44F62752" w14:textId="77777777" w:rsidR="00983C9C" w:rsidRPr="00CF62E2" w:rsidRDefault="00983C9C" w:rsidP="008E380F">
            <w:pPr>
              <w:pStyle w:val="Els-body-text"/>
              <w:jc w:val="center"/>
              <w:rPr>
                <w:sz w:val="18"/>
              </w:rPr>
            </w:pPr>
          </w:p>
        </w:tc>
      </w:tr>
      <w:tr w:rsidR="00983C9C" w14:paraId="0DBC5911" w14:textId="77777777" w:rsidTr="00201260">
        <w:tc>
          <w:tcPr>
            <w:tcW w:w="2245" w:type="dxa"/>
            <w:tcBorders>
              <w:top w:val="nil"/>
              <w:left w:val="nil"/>
              <w:bottom w:val="nil"/>
              <w:right w:val="nil"/>
            </w:tcBorders>
          </w:tcPr>
          <w:p w14:paraId="27E44406" w14:textId="65AB9056" w:rsidR="00983C9C" w:rsidRPr="00CF62E2" w:rsidRDefault="008E380F" w:rsidP="008D2649">
            <w:pPr>
              <w:pStyle w:val="Els-body-text"/>
              <w:rPr>
                <w:sz w:val="18"/>
              </w:rPr>
            </w:pPr>
            <w:r w:rsidRPr="00CF62E2">
              <w:rPr>
                <w:sz w:val="18"/>
              </w:rPr>
              <w:t>Polystyrene pellet (kg/h)</w:t>
            </w:r>
          </w:p>
        </w:tc>
        <w:tc>
          <w:tcPr>
            <w:tcW w:w="1610" w:type="dxa"/>
            <w:tcBorders>
              <w:top w:val="nil"/>
              <w:left w:val="nil"/>
              <w:bottom w:val="nil"/>
              <w:right w:val="nil"/>
            </w:tcBorders>
            <w:vAlign w:val="center"/>
          </w:tcPr>
          <w:p w14:paraId="7B1262C8" w14:textId="3E724177" w:rsidR="00983C9C" w:rsidRPr="00CF62E2" w:rsidRDefault="008E380F" w:rsidP="008E380F">
            <w:pPr>
              <w:pStyle w:val="Els-body-text"/>
              <w:jc w:val="center"/>
              <w:rPr>
                <w:sz w:val="18"/>
              </w:rPr>
            </w:pPr>
            <w:r w:rsidRPr="00CF62E2">
              <w:rPr>
                <w:sz w:val="18"/>
              </w:rPr>
              <w:t>300</w:t>
            </w:r>
          </w:p>
        </w:tc>
        <w:tc>
          <w:tcPr>
            <w:tcW w:w="1610" w:type="dxa"/>
            <w:tcBorders>
              <w:top w:val="nil"/>
              <w:left w:val="nil"/>
              <w:bottom w:val="nil"/>
              <w:right w:val="nil"/>
            </w:tcBorders>
            <w:vAlign w:val="center"/>
          </w:tcPr>
          <w:p w14:paraId="0B64933D" w14:textId="1FBA0172" w:rsidR="00983C9C" w:rsidRPr="00CF62E2" w:rsidRDefault="008E380F" w:rsidP="008E380F">
            <w:pPr>
              <w:pStyle w:val="Els-body-text"/>
              <w:jc w:val="center"/>
              <w:rPr>
                <w:sz w:val="18"/>
              </w:rPr>
            </w:pPr>
            <w:r w:rsidRPr="00CF62E2">
              <w:rPr>
                <w:sz w:val="18"/>
              </w:rPr>
              <w:t>300</w:t>
            </w:r>
          </w:p>
        </w:tc>
        <w:tc>
          <w:tcPr>
            <w:tcW w:w="1611" w:type="dxa"/>
            <w:tcBorders>
              <w:top w:val="nil"/>
              <w:left w:val="nil"/>
              <w:bottom w:val="nil"/>
              <w:right w:val="nil"/>
            </w:tcBorders>
            <w:vAlign w:val="center"/>
          </w:tcPr>
          <w:p w14:paraId="2C7132F3" w14:textId="33AE4E9F" w:rsidR="00983C9C" w:rsidRPr="00CF62E2" w:rsidRDefault="008E380F" w:rsidP="008E380F">
            <w:pPr>
              <w:pStyle w:val="Els-body-text"/>
              <w:jc w:val="center"/>
              <w:rPr>
                <w:sz w:val="18"/>
              </w:rPr>
            </w:pPr>
            <w:r w:rsidRPr="00CF62E2">
              <w:rPr>
                <w:sz w:val="18"/>
              </w:rPr>
              <w:t>300</w:t>
            </w:r>
          </w:p>
        </w:tc>
      </w:tr>
      <w:tr w:rsidR="00334DB5" w14:paraId="059DDBD1" w14:textId="77777777" w:rsidTr="00201260">
        <w:tc>
          <w:tcPr>
            <w:tcW w:w="2245" w:type="dxa"/>
            <w:tcBorders>
              <w:top w:val="nil"/>
              <w:left w:val="nil"/>
              <w:bottom w:val="nil"/>
              <w:right w:val="nil"/>
            </w:tcBorders>
          </w:tcPr>
          <w:p w14:paraId="57C049CC" w14:textId="02282A3B" w:rsidR="00334DB5" w:rsidRPr="00CF62E2" w:rsidRDefault="00334DB5" w:rsidP="008D2649">
            <w:pPr>
              <w:pStyle w:val="Els-body-text"/>
              <w:rPr>
                <w:sz w:val="18"/>
              </w:rPr>
            </w:pPr>
            <w:r>
              <w:rPr>
                <w:sz w:val="18"/>
              </w:rPr>
              <w:t xml:space="preserve">THF (makeup) (kg/h) </w:t>
            </w:r>
          </w:p>
        </w:tc>
        <w:tc>
          <w:tcPr>
            <w:tcW w:w="1610" w:type="dxa"/>
            <w:tcBorders>
              <w:top w:val="nil"/>
              <w:left w:val="nil"/>
              <w:bottom w:val="nil"/>
              <w:right w:val="nil"/>
            </w:tcBorders>
            <w:vAlign w:val="center"/>
          </w:tcPr>
          <w:p w14:paraId="06DBF825" w14:textId="53B6C6F5" w:rsidR="00334DB5" w:rsidRPr="00CF62E2" w:rsidRDefault="00334DB5" w:rsidP="008E380F">
            <w:pPr>
              <w:pStyle w:val="Els-body-text"/>
              <w:jc w:val="center"/>
              <w:rPr>
                <w:sz w:val="18"/>
              </w:rPr>
            </w:pPr>
            <w:r>
              <w:rPr>
                <w:sz w:val="18"/>
              </w:rPr>
              <w:t>-</w:t>
            </w:r>
          </w:p>
        </w:tc>
        <w:tc>
          <w:tcPr>
            <w:tcW w:w="1610" w:type="dxa"/>
            <w:tcBorders>
              <w:top w:val="nil"/>
              <w:left w:val="nil"/>
              <w:bottom w:val="nil"/>
              <w:right w:val="nil"/>
            </w:tcBorders>
            <w:vAlign w:val="center"/>
          </w:tcPr>
          <w:p w14:paraId="3FCB5F89" w14:textId="59E8CDF5" w:rsidR="00334DB5" w:rsidRPr="00CF62E2" w:rsidRDefault="00334DB5" w:rsidP="008E380F">
            <w:pPr>
              <w:pStyle w:val="Els-body-text"/>
              <w:jc w:val="center"/>
              <w:rPr>
                <w:sz w:val="18"/>
              </w:rPr>
            </w:pPr>
            <w:r>
              <w:rPr>
                <w:sz w:val="18"/>
              </w:rPr>
              <w:t>3</w:t>
            </w:r>
          </w:p>
        </w:tc>
        <w:tc>
          <w:tcPr>
            <w:tcW w:w="1611" w:type="dxa"/>
            <w:tcBorders>
              <w:top w:val="nil"/>
              <w:left w:val="nil"/>
              <w:bottom w:val="nil"/>
              <w:right w:val="nil"/>
            </w:tcBorders>
            <w:vAlign w:val="center"/>
          </w:tcPr>
          <w:p w14:paraId="781CD82B" w14:textId="53321682" w:rsidR="00334DB5" w:rsidRPr="00CF62E2" w:rsidRDefault="00334DB5" w:rsidP="008E380F">
            <w:pPr>
              <w:pStyle w:val="Els-body-text"/>
              <w:jc w:val="center"/>
              <w:rPr>
                <w:sz w:val="18"/>
              </w:rPr>
            </w:pPr>
            <w:r>
              <w:rPr>
                <w:sz w:val="18"/>
              </w:rPr>
              <w:t>-</w:t>
            </w:r>
          </w:p>
        </w:tc>
      </w:tr>
      <w:tr w:rsidR="00983C9C" w14:paraId="73D35DF0" w14:textId="77777777" w:rsidTr="00201260">
        <w:tc>
          <w:tcPr>
            <w:tcW w:w="2245" w:type="dxa"/>
            <w:tcBorders>
              <w:top w:val="nil"/>
              <w:left w:val="nil"/>
              <w:bottom w:val="single" w:sz="4" w:space="0" w:color="auto"/>
              <w:right w:val="nil"/>
            </w:tcBorders>
          </w:tcPr>
          <w:p w14:paraId="0DB18AEA" w14:textId="2803ECE5" w:rsidR="00983C9C" w:rsidRPr="00CF62E2" w:rsidRDefault="008E380F" w:rsidP="008D2649">
            <w:pPr>
              <w:pStyle w:val="Els-body-text"/>
              <w:rPr>
                <w:sz w:val="18"/>
              </w:rPr>
            </w:pPr>
            <w:r w:rsidRPr="00CF62E2">
              <w:rPr>
                <w:sz w:val="18"/>
              </w:rPr>
              <w:t>Catalyst (kg/h)</w:t>
            </w:r>
          </w:p>
        </w:tc>
        <w:tc>
          <w:tcPr>
            <w:tcW w:w="1610" w:type="dxa"/>
            <w:tcBorders>
              <w:top w:val="nil"/>
              <w:left w:val="nil"/>
              <w:bottom w:val="single" w:sz="4" w:space="0" w:color="auto"/>
              <w:right w:val="nil"/>
            </w:tcBorders>
            <w:vAlign w:val="center"/>
          </w:tcPr>
          <w:p w14:paraId="6F2AED26" w14:textId="404643C1" w:rsidR="00983C9C" w:rsidRPr="00CF62E2" w:rsidRDefault="008E380F" w:rsidP="008E380F">
            <w:pPr>
              <w:pStyle w:val="Els-body-text"/>
              <w:jc w:val="center"/>
              <w:rPr>
                <w:sz w:val="18"/>
              </w:rPr>
            </w:pPr>
            <w:r w:rsidRPr="00CF62E2">
              <w:rPr>
                <w:sz w:val="18"/>
              </w:rPr>
              <w:t>6</w:t>
            </w:r>
          </w:p>
        </w:tc>
        <w:tc>
          <w:tcPr>
            <w:tcW w:w="1610" w:type="dxa"/>
            <w:tcBorders>
              <w:top w:val="nil"/>
              <w:left w:val="nil"/>
              <w:bottom w:val="single" w:sz="4" w:space="0" w:color="auto"/>
              <w:right w:val="nil"/>
            </w:tcBorders>
            <w:vAlign w:val="center"/>
          </w:tcPr>
          <w:p w14:paraId="5CD8C935" w14:textId="3DD64583" w:rsidR="00983C9C" w:rsidRPr="00CF62E2" w:rsidRDefault="008E380F" w:rsidP="008E380F">
            <w:pPr>
              <w:pStyle w:val="Els-body-text"/>
              <w:jc w:val="center"/>
              <w:rPr>
                <w:sz w:val="18"/>
              </w:rPr>
            </w:pPr>
            <w:r w:rsidRPr="00CF62E2">
              <w:rPr>
                <w:sz w:val="18"/>
              </w:rPr>
              <w:t>6</w:t>
            </w:r>
          </w:p>
        </w:tc>
        <w:tc>
          <w:tcPr>
            <w:tcW w:w="1611" w:type="dxa"/>
            <w:tcBorders>
              <w:top w:val="nil"/>
              <w:left w:val="nil"/>
              <w:bottom w:val="single" w:sz="4" w:space="0" w:color="auto"/>
              <w:right w:val="nil"/>
            </w:tcBorders>
            <w:vAlign w:val="center"/>
          </w:tcPr>
          <w:p w14:paraId="03ABE095" w14:textId="410AFFB4" w:rsidR="00983C9C" w:rsidRPr="00CF62E2" w:rsidRDefault="008E380F" w:rsidP="008E380F">
            <w:pPr>
              <w:pStyle w:val="Els-body-text"/>
              <w:jc w:val="center"/>
              <w:rPr>
                <w:sz w:val="18"/>
              </w:rPr>
            </w:pPr>
            <w:r w:rsidRPr="00CF62E2">
              <w:rPr>
                <w:sz w:val="18"/>
              </w:rPr>
              <w:t>6</w:t>
            </w:r>
          </w:p>
        </w:tc>
      </w:tr>
      <w:tr w:rsidR="00983C9C" w14:paraId="26474CC6" w14:textId="77777777" w:rsidTr="00201260">
        <w:tc>
          <w:tcPr>
            <w:tcW w:w="2245" w:type="dxa"/>
            <w:tcBorders>
              <w:left w:val="nil"/>
              <w:bottom w:val="nil"/>
              <w:right w:val="nil"/>
            </w:tcBorders>
          </w:tcPr>
          <w:p w14:paraId="0EC7A7AB" w14:textId="5DF0CD5C" w:rsidR="00983C9C" w:rsidRPr="00CF62E2" w:rsidRDefault="008E380F" w:rsidP="008D2649">
            <w:pPr>
              <w:pStyle w:val="Els-body-text"/>
              <w:rPr>
                <w:b/>
                <w:sz w:val="18"/>
              </w:rPr>
            </w:pPr>
            <w:r w:rsidRPr="00CF62E2">
              <w:rPr>
                <w:b/>
                <w:sz w:val="18"/>
              </w:rPr>
              <w:t>Products</w:t>
            </w:r>
          </w:p>
        </w:tc>
        <w:tc>
          <w:tcPr>
            <w:tcW w:w="1610" w:type="dxa"/>
            <w:tcBorders>
              <w:left w:val="nil"/>
              <w:bottom w:val="nil"/>
              <w:right w:val="nil"/>
            </w:tcBorders>
            <w:vAlign w:val="center"/>
          </w:tcPr>
          <w:p w14:paraId="1C77F8C1" w14:textId="77777777" w:rsidR="00983C9C" w:rsidRPr="00CF62E2" w:rsidRDefault="00983C9C" w:rsidP="008E380F">
            <w:pPr>
              <w:pStyle w:val="Els-body-text"/>
              <w:jc w:val="center"/>
              <w:rPr>
                <w:sz w:val="18"/>
              </w:rPr>
            </w:pPr>
          </w:p>
        </w:tc>
        <w:tc>
          <w:tcPr>
            <w:tcW w:w="1610" w:type="dxa"/>
            <w:tcBorders>
              <w:left w:val="nil"/>
              <w:bottom w:val="nil"/>
              <w:right w:val="nil"/>
            </w:tcBorders>
            <w:vAlign w:val="center"/>
          </w:tcPr>
          <w:p w14:paraId="418ECF57" w14:textId="77777777" w:rsidR="00983C9C" w:rsidRPr="00CF62E2" w:rsidRDefault="00983C9C" w:rsidP="008E380F">
            <w:pPr>
              <w:pStyle w:val="Els-body-text"/>
              <w:jc w:val="center"/>
              <w:rPr>
                <w:sz w:val="18"/>
              </w:rPr>
            </w:pPr>
          </w:p>
        </w:tc>
        <w:tc>
          <w:tcPr>
            <w:tcW w:w="1611" w:type="dxa"/>
            <w:tcBorders>
              <w:left w:val="nil"/>
              <w:bottom w:val="nil"/>
              <w:right w:val="nil"/>
            </w:tcBorders>
            <w:vAlign w:val="center"/>
          </w:tcPr>
          <w:p w14:paraId="1EB52489" w14:textId="77777777" w:rsidR="00983C9C" w:rsidRPr="00CF62E2" w:rsidRDefault="00983C9C" w:rsidP="008E380F">
            <w:pPr>
              <w:pStyle w:val="Els-body-text"/>
              <w:jc w:val="center"/>
              <w:rPr>
                <w:sz w:val="18"/>
              </w:rPr>
            </w:pPr>
          </w:p>
        </w:tc>
      </w:tr>
      <w:tr w:rsidR="00983C9C" w14:paraId="3235F66B" w14:textId="77777777" w:rsidTr="00201260">
        <w:tc>
          <w:tcPr>
            <w:tcW w:w="2245" w:type="dxa"/>
            <w:tcBorders>
              <w:top w:val="nil"/>
              <w:left w:val="nil"/>
              <w:bottom w:val="single" w:sz="4" w:space="0" w:color="auto"/>
              <w:right w:val="nil"/>
            </w:tcBorders>
          </w:tcPr>
          <w:p w14:paraId="185919D4" w14:textId="4DC4ED69" w:rsidR="00983C9C" w:rsidRPr="00CF62E2" w:rsidRDefault="008E380F" w:rsidP="008D2649">
            <w:pPr>
              <w:pStyle w:val="Els-body-text"/>
              <w:rPr>
                <w:sz w:val="18"/>
              </w:rPr>
            </w:pPr>
            <w:r w:rsidRPr="00CF62E2">
              <w:rPr>
                <w:sz w:val="18"/>
              </w:rPr>
              <w:t>Styrene monomer (kg/h)</w:t>
            </w:r>
          </w:p>
        </w:tc>
        <w:tc>
          <w:tcPr>
            <w:tcW w:w="1610" w:type="dxa"/>
            <w:tcBorders>
              <w:top w:val="nil"/>
              <w:left w:val="nil"/>
              <w:bottom w:val="single" w:sz="4" w:space="0" w:color="auto"/>
              <w:right w:val="nil"/>
            </w:tcBorders>
            <w:vAlign w:val="center"/>
          </w:tcPr>
          <w:p w14:paraId="2D40A1F3" w14:textId="39C0BC53" w:rsidR="00983C9C" w:rsidRPr="00CF62E2" w:rsidRDefault="008E380F" w:rsidP="008E380F">
            <w:pPr>
              <w:pStyle w:val="Els-body-text"/>
              <w:jc w:val="center"/>
              <w:rPr>
                <w:sz w:val="18"/>
              </w:rPr>
            </w:pPr>
            <w:r w:rsidRPr="00CF62E2">
              <w:rPr>
                <w:sz w:val="18"/>
              </w:rPr>
              <w:t>262</w:t>
            </w:r>
          </w:p>
        </w:tc>
        <w:tc>
          <w:tcPr>
            <w:tcW w:w="1610" w:type="dxa"/>
            <w:tcBorders>
              <w:top w:val="nil"/>
              <w:left w:val="nil"/>
              <w:bottom w:val="single" w:sz="4" w:space="0" w:color="auto"/>
              <w:right w:val="nil"/>
            </w:tcBorders>
            <w:vAlign w:val="center"/>
          </w:tcPr>
          <w:p w14:paraId="2391A924" w14:textId="6EEAA666" w:rsidR="00983C9C" w:rsidRPr="00CF62E2" w:rsidRDefault="008E380F" w:rsidP="008E380F">
            <w:pPr>
              <w:pStyle w:val="Els-body-text"/>
              <w:jc w:val="center"/>
              <w:rPr>
                <w:sz w:val="18"/>
              </w:rPr>
            </w:pPr>
            <w:r w:rsidRPr="00CF62E2">
              <w:rPr>
                <w:sz w:val="18"/>
              </w:rPr>
              <w:t>251</w:t>
            </w:r>
          </w:p>
        </w:tc>
        <w:tc>
          <w:tcPr>
            <w:tcW w:w="1611" w:type="dxa"/>
            <w:tcBorders>
              <w:top w:val="nil"/>
              <w:left w:val="nil"/>
              <w:bottom w:val="single" w:sz="4" w:space="0" w:color="auto"/>
              <w:right w:val="nil"/>
            </w:tcBorders>
            <w:vAlign w:val="center"/>
          </w:tcPr>
          <w:p w14:paraId="261296F5" w14:textId="167AEFDB" w:rsidR="00983C9C" w:rsidRPr="00CF62E2" w:rsidRDefault="008E380F" w:rsidP="008E380F">
            <w:pPr>
              <w:pStyle w:val="Els-body-text"/>
              <w:jc w:val="center"/>
              <w:rPr>
                <w:sz w:val="18"/>
              </w:rPr>
            </w:pPr>
            <w:r w:rsidRPr="00CF62E2">
              <w:rPr>
                <w:sz w:val="18"/>
              </w:rPr>
              <w:t>248</w:t>
            </w:r>
          </w:p>
        </w:tc>
      </w:tr>
      <w:tr w:rsidR="00983C9C" w14:paraId="48E51F79" w14:textId="77777777" w:rsidTr="00201260">
        <w:tc>
          <w:tcPr>
            <w:tcW w:w="2245" w:type="dxa"/>
            <w:tcBorders>
              <w:left w:val="nil"/>
              <w:bottom w:val="nil"/>
              <w:right w:val="nil"/>
            </w:tcBorders>
          </w:tcPr>
          <w:p w14:paraId="5B3B304D" w14:textId="7D7A9D3B" w:rsidR="00983C9C" w:rsidRPr="00CF62E2" w:rsidRDefault="008E380F" w:rsidP="008D2649">
            <w:pPr>
              <w:pStyle w:val="Els-body-text"/>
              <w:rPr>
                <w:b/>
                <w:sz w:val="18"/>
              </w:rPr>
            </w:pPr>
            <w:r w:rsidRPr="00CF62E2">
              <w:rPr>
                <w:b/>
                <w:sz w:val="18"/>
              </w:rPr>
              <w:t>Utilities</w:t>
            </w:r>
          </w:p>
        </w:tc>
        <w:tc>
          <w:tcPr>
            <w:tcW w:w="1610" w:type="dxa"/>
            <w:tcBorders>
              <w:left w:val="nil"/>
              <w:bottom w:val="nil"/>
              <w:right w:val="nil"/>
            </w:tcBorders>
            <w:vAlign w:val="center"/>
          </w:tcPr>
          <w:p w14:paraId="08B8D41D" w14:textId="77777777" w:rsidR="00983C9C" w:rsidRPr="00CF62E2" w:rsidRDefault="00983C9C" w:rsidP="008E380F">
            <w:pPr>
              <w:pStyle w:val="Els-body-text"/>
              <w:jc w:val="center"/>
              <w:rPr>
                <w:sz w:val="18"/>
              </w:rPr>
            </w:pPr>
          </w:p>
        </w:tc>
        <w:tc>
          <w:tcPr>
            <w:tcW w:w="1610" w:type="dxa"/>
            <w:tcBorders>
              <w:left w:val="nil"/>
              <w:bottom w:val="nil"/>
              <w:right w:val="nil"/>
            </w:tcBorders>
            <w:vAlign w:val="center"/>
          </w:tcPr>
          <w:p w14:paraId="35AE23B8" w14:textId="77777777" w:rsidR="00983C9C" w:rsidRPr="00CF62E2" w:rsidRDefault="00983C9C" w:rsidP="008E380F">
            <w:pPr>
              <w:pStyle w:val="Els-body-text"/>
              <w:jc w:val="center"/>
              <w:rPr>
                <w:sz w:val="18"/>
              </w:rPr>
            </w:pPr>
          </w:p>
        </w:tc>
        <w:tc>
          <w:tcPr>
            <w:tcW w:w="1611" w:type="dxa"/>
            <w:tcBorders>
              <w:left w:val="nil"/>
              <w:bottom w:val="nil"/>
              <w:right w:val="nil"/>
            </w:tcBorders>
            <w:vAlign w:val="center"/>
          </w:tcPr>
          <w:p w14:paraId="749D12BF" w14:textId="77777777" w:rsidR="00983C9C" w:rsidRPr="00CF62E2" w:rsidRDefault="00983C9C" w:rsidP="008E380F">
            <w:pPr>
              <w:pStyle w:val="Els-body-text"/>
              <w:jc w:val="center"/>
              <w:rPr>
                <w:sz w:val="18"/>
              </w:rPr>
            </w:pPr>
          </w:p>
        </w:tc>
      </w:tr>
      <w:tr w:rsidR="00983C9C" w14:paraId="11C3116E" w14:textId="77777777" w:rsidTr="00201260">
        <w:tc>
          <w:tcPr>
            <w:tcW w:w="2245" w:type="dxa"/>
            <w:tcBorders>
              <w:top w:val="nil"/>
              <w:left w:val="nil"/>
              <w:bottom w:val="nil"/>
              <w:right w:val="nil"/>
            </w:tcBorders>
          </w:tcPr>
          <w:p w14:paraId="18F548FD" w14:textId="13498C75" w:rsidR="00983C9C" w:rsidRPr="00CF62E2" w:rsidRDefault="008E380F" w:rsidP="008D2649">
            <w:pPr>
              <w:pStyle w:val="Els-body-text"/>
              <w:rPr>
                <w:sz w:val="18"/>
              </w:rPr>
            </w:pPr>
            <w:r w:rsidRPr="00CF62E2">
              <w:rPr>
                <w:sz w:val="18"/>
              </w:rPr>
              <w:t>Makeup water (t/h)</w:t>
            </w:r>
          </w:p>
        </w:tc>
        <w:tc>
          <w:tcPr>
            <w:tcW w:w="1610" w:type="dxa"/>
            <w:tcBorders>
              <w:top w:val="nil"/>
              <w:left w:val="nil"/>
              <w:bottom w:val="nil"/>
              <w:right w:val="nil"/>
            </w:tcBorders>
            <w:vAlign w:val="center"/>
          </w:tcPr>
          <w:p w14:paraId="14FDD832" w14:textId="56F550EB" w:rsidR="00983C9C" w:rsidRPr="00CF62E2" w:rsidRDefault="008E380F" w:rsidP="008E380F">
            <w:pPr>
              <w:pStyle w:val="Els-body-text"/>
              <w:jc w:val="center"/>
              <w:rPr>
                <w:sz w:val="18"/>
              </w:rPr>
            </w:pPr>
            <w:r w:rsidRPr="00CF62E2">
              <w:rPr>
                <w:sz w:val="18"/>
              </w:rPr>
              <w:t>13.38</w:t>
            </w:r>
          </w:p>
        </w:tc>
        <w:tc>
          <w:tcPr>
            <w:tcW w:w="1610" w:type="dxa"/>
            <w:tcBorders>
              <w:top w:val="nil"/>
              <w:left w:val="nil"/>
              <w:bottom w:val="nil"/>
              <w:right w:val="nil"/>
            </w:tcBorders>
            <w:vAlign w:val="center"/>
          </w:tcPr>
          <w:p w14:paraId="695BB82C" w14:textId="34F886E2" w:rsidR="00983C9C" w:rsidRPr="00CF62E2" w:rsidRDefault="008E380F" w:rsidP="008E380F">
            <w:pPr>
              <w:pStyle w:val="Els-body-text"/>
              <w:jc w:val="center"/>
              <w:rPr>
                <w:sz w:val="18"/>
              </w:rPr>
            </w:pPr>
            <w:r w:rsidRPr="00CF62E2">
              <w:rPr>
                <w:sz w:val="18"/>
              </w:rPr>
              <w:t>36.89</w:t>
            </w:r>
          </w:p>
        </w:tc>
        <w:tc>
          <w:tcPr>
            <w:tcW w:w="1611" w:type="dxa"/>
            <w:tcBorders>
              <w:top w:val="nil"/>
              <w:left w:val="nil"/>
              <w:bottom w:val="nil"/>
              <w:right w:val="nil"/>
            </w:tcBorders>
            <w:vAlign w:val="center"/>
          </w:tcPr>
          <w:p w14:paraId="7EB57128" w14:textId="3E22AEE3" w:rsidR="00983C9C" w:rsidRPr="00CF62E2" w:rsidRDefault="008E380F" w:rsidP="008E380F">
            <w:pPr>
              <w:pStyle w:val="Els-body-text"/>
              <w:jc w:val="center"/>
              <w:rPr>
                <w:sz w:val="18"/>
              </w:rPr>
            </w:pPr>
            <w:r w:rsidRPr="00CF62E2">
              <w:rPr>
                <w:sz w:val="18"/>
              </w:rPr>
              <w:t>87.01</w:t>
            </w:r>
          </w:p>
        </w:tc>
      </w:tr>
      <w:tr w:rsidR="008E380F" w14:paraId="17E59942" w14:textId="77777777" w:rsidTr="00201260">
        <w:tc>
          <w:tcPr>
            <w:tcW w:w="2245" w:type="dxa"/>
            <w:tcBorders>
              <w:top w:val="nil"/>
              <w:left w:val="nil"/>
              <w:bottom w:val="nil"/>
              <w:right w:val="nil"/>
            </w:tcBorders>
          </w:tcPr>
          <w:p w14:paraId="5EE2C186" w14:textId="38DF28B5" w:rsidR="008E380F" w:rsidRPr="00CF62E2" w:rsidRDefault="008E380F" w:rsidP="008D2649">
            <w:pPr>
              <w:pStyle w:val="Els-body-text"/>
              <w:rPr>
                <w:sz w:val="18"/>
              </w:rPr>
            </w:pPr>
            <w:r w:rsidRPr="00CF62E2">
              <w:rPr>
                <w:sz w:val="18"/>
              </w:rPr>
              <w:t>Steam (t/h)</w:t>
            </w:r>
          </w:p>
        </w:tc>
        <w:tc>
          <w:tcPr>
            <w:tcW w:w="1610" w:type="dxa"/>
            <w:tcBorders>
              <w:top w:val="nil"/>
              <w:left w:val="nil"/>
              <w:bottom w:val="nil"/>
              <w:right w:val="nil"/>
            </w:tcBorders>
            <w:vAlign w:val="center"/>
          </w:tcPr>
          <w:p w14:paraId="3C272D89" w14:textId="6089B1D0" w:rsidR="008E380F" w:rsidRPr="00CF62E2" w:rsidRDefault="008E380F" w:rsidP="008E380F">
            <w:pPr>
              <w:pStyle w:val="Els-body-text"/>
              <w:jc w:val="center"/>
              <w:rPr>
                <w:sz w:val="18"/>
              </w:rPr>
            </w:pPr>
            <w:r w:rsidRPr="00CF62E2">
              <w:rPr>
                <w:sz w:val="18"/>
              </w:rPr>
              <w:t>0.11</w:t>
            </w:r>
          </w:p>
        </w:tc>
        <w:tc>
          <w:tcPr>
            <w:tcW w:w="1610" w:type="dxa"/>
            <w:tcBorders>
              <w:top w:val="nil"/>
              <w:left w:val="nil"/>
              <w:bottom w:val="nil"/>
              <w:right w:val="nil"/>
            </w:tcBorders>
            <w:vAlign w:val="center"/>
          </w:tcPr>
          <w:p w14:paraId="460AC446" w14:textId="6363DC12" w:rsidR="008E380F" w:rsidRPr="00CF62E2" w:rsidRDefault="008E380F" w:rsidP="008E380F">
            <w:pPr>
              <w:pStyle w:val="Els-body-text"/>
              <w:jc w:val="center"/>
              <w:rPr>
                <w:sz w:val="18"/>
              </w:rPr>
            </w:pPr>
            <w:r w:rsidRPr="00CF62E2">
              <w:rPr>
                <w:sz w:val="18"/>
              </w:rPr>
              <w:t>0.28</w:t>
            </w:r>
          </w:p>
        </w:tc>
        <w:tc>
          <w:tcPr>
            <w:tcW w:w="1611" w:type="dxa"/>
            <w:tcBorders>
              <w:top w:val="nil"/>
              <w:left w:val="nil"/>
              <w:bottom w:val="nil"/>
              <w:right w:val="nil"/>
            </w:tcBorders>
            <w:vAlign w:val="center"/>
          </w:tcPr>
          <w:p w14:paraId="261893AA" w14:textId="678E8351" w:rsidR="008E380F" w:rsidRPr="00CF62E2" w:rsidRDefault="008E380F" w:rsidP="008E380F">
            <w:pPr>
              <w:pStyle w:val="Els-body-text"/>
              <w:jc w:val="center"/>
              <w:rPr>
                <w:sz w:val="18"/>
              </w:rPr>
            </w:pPr>
            <w:r w:rsidRPr="00CF62E2">
              <w:rPr>
                <w:sz w:val="18"/>
              </w:rPr>
              <w:t>0.88</w:t>
            </w:r>
          </w:p>
        </w:tc>
      </w:tr>
      <w:tr w:rsidR="008E380F" w14:paraId="2067B12B" w14:textId="77777777" w:rsidTr="00201260">
        <w:tc>
          <w:tcPr>
            <w:tcW w:w="2245" w:type="dxa"/>
            <w:tcBorders>
              <w:top w:val="nil"/>
              <w:left w:val="nil"/>
              <w:bottom w:val="nil"/>
              <w:right w:val="nil"/>
            </w:tcBorders>
          </w:tcPr>
          <w:p w14:paraId="660DBDEE" w14:textId="02932685" w:rsidR="008E380F" w:rsidRPr="00CF62E2" w:rsidRDefault="008E380F" w:rsidP="008D2649">
            <w:pPr>
              <w:pStyle w:val="Els-body-text"/>
              <w:rPr>
                <w:sz w:val="18"/>
              </w:rPr>
            </w:pPr>
            <w:r w:rsidRPr="00CF62E2">
              <w:rPr>
                <w:sz w:val="18"/>
              </w:rPr>
              <w:t>Heat (MMBtu/h)</w:t>
            </w:r>
          </w:p>
        </w:tc>
        <w:tc>
          <w:tcPr>
            <w:tcW w:w="1610" w:type="dxa"/>
            <w:tcBorders>
              <w:top w:val="nil"/>
              <w:left w:val="nil"/>
              <w:bottom w:val="nil"/>
              <w:right w:val="nil"/>
            </w:tcBorders>
            <w:vAlign w:val="center"/>
          </w:tcPr>
          <w:p w14:paraId="383C3D30" w14:textId="75D96740" w:rsidR="008E380F" w:rsidRPr="00CF62E2" w:rsidRDefault="008E380F" w:rsidP="008E380F">
            <w:pPr>
              <w:pStyle w:val="Els-body-text"/>
              <w:jc w:val="center"/>
              <w:rPr>
                <w:sz w:val="18"/>
              </w:rPr>
            </w:pPr>
            <w:r w:rsidRPr="00CF62E2">
              <w:rPr>
                <w:sz w:val="18"/>
              </w:rPr>
              <w:t>0.075</w:t>
            </w:r>
          </w:p>
        </w:tc>
        <w:tc>
          <w:tcPr>
            <w:tcW w:w="1610" w:type="dxa"/>
            <w:tcBorders>
              <w:top w:val="nil"/>
              <w:left w:val="nil"/>
              <w:bottom w:val="nil"/>
              <w:right w:val="nil"/>
            </w:tcBorders>
            <w:vAlign w:val="center"/>
          </w:tcPr>
          <w:p w14:paraId="7A041939" w14:textId="3F0DC6E6" w:rsidR="008E380F" w:rsidRPr="00CF62E2" w:rsidRDefault="008E380F" w:rsidP="008E380F">
            <w:pPr>
              <w:pStyle w:val="Els-body-text"/>
              <w:jc w:val="center"/>
              <w:rPr>
                <w:sz w:val="18"/>
              </w:rPr>
            </w:pPr>
            <w:r w:rsidRPr="00CF62E2">
              <w:rPr>
                <w:sz w:val="18"/>
              </w:rPr>
              <w:t>0.22</w:t>
            </w:r>
          </w:p>
        </w:tc>
        <w:tc>
          <w:tcPr>
            <w:tcW w:w="1611" w:type="dxa"/>
            <w:tcBorders>
              <w:top w:val="nil"/>
              <w:left w:val="nil"/>
              <w:bottom w:val="nil"/>
              <w:right w:val="nil"/>
            </w:tcBorders>
            <w:vAlign w:val="center"/>
          </w:tcPr>
          <w:p w14:paraId="0A48A828" w14:textId="382124F1" w:rsidR="008E380F" w:rsidRPr="00CF62E2" w:rsidRDefault="008E380F" w:rsidP="008E380F">
            <w:pPr>
              <w:pStyle w:val="Els-body-text"/>
              <w:jc w:val="center"/>
              <w:rPr>
                <w:sz w:val="18"/>
              </w:rPr>
            </w:pPr>
            <w:r w:rsidRPr="00CF62E2">
              <w:rPr>
                <w:sz w:val="18"/>
              </w:rPr>
              <w:t>0.075</w:t>
            </w:r>
          </w:p>
        </w:tc>
      </w:tr>
      <w:tr w:rsidR="008E380F" w14:paraId="462E8AE4" w14:textId="77777777" w:rsidTr="00201260">
        <w:tc>
          <w:tcPr>
            <w:tcW w:w="2245" w:type="dxa"/>
            <w:tcBorders>
              <w:top w:val="nil"/>
              <w:left w:val="nil"/>
              <w:bottom w:val="single" w:sz="4" w:space="0" w:color="auto"/>
              <w:right w:val="nil"/>
            </w:tcBorders>
          </w:tcPr>
          <w:p w14:paraId="4140B5E6" w14:textId="217FCA12" w:rsidR="008E380F" w:rsidRPr="00CF62E2" w:rsidRDefault="008E380F" w:rsidP="008D2649">
            <w:pPr>
              <w:pStyle w:val="Els-body-text"/>
              <w:rPr>
                <w:sz w:val="18"/>
              </w:rPr>
            </w:pPr>
            <w:r w:rsidRPr="00CF62E2">
              <w:rPr>
                <w:sz w:val="18"/>
              </w:rPr>
              <w:t>Electricity (kW)</w:t>
            </w:r>
          </w:p>
        </w:tc>
        <w:tc>
          <w:tcPr>
            <w:tcW w:w="1610" w:type="dxa"/>
            <w:tcBorders>
              <w:top w:val="nil"/>
              <w:left w:val="nil"/>
              <w:bottom w:val="single" w:sz="4" w:space="0" w:color="auto"/>
              <w:right w:val="nil"/>
            </w:tcBorders>
            <w:vAlign w:val="center"/>
          </w:tcPr>
          <w:p w14:paraId="6A8F0AC0" w14:textId="1A670E0B" w:rsidR="008E380F" w:rsidRPr="00CF62E2" w:rsidRDefault="008E380F" w:rsidP="008E380F">
            <w:pPr>
              <w:pStyle w:val="Els-body-text"/>
              <w:jc w:val="center"/>
              <w:rPr>
                <w:sz w:val="18"/>
              </w:rPr>
            </w:pPr>
            <w:r w:rsidRPr="00CF62E2">
              <w:rPr>
                <w:sz w:val="18"/>
              </w:rPr>
              <w:t>53.25</w:t>
            </w:r>
          </w:p>
        </w:tc>
        <w:tc>
          <w:tcPr>
            <w:tcW w:w="1610" w:type="dxa"/>
            <w:tcBorders>
              <w:top w:val="nil"/>
              <w:left w:val="nil"/>
              <w:bottom w:val="single" w:sz="4" w:space="0" w:color="auto"/>
              <w:right w:val="nil"/>
            </w:tcBorders>
            <w:vAlign w:val="center"/>
          </w:tcPr>
          <w:p w14:paraId="0C9C4B8F" w14:textId="57BC443E" w:rsidR="008E380F" w:rsidRPr="00CF62E2" w:rsidRDefault="008E380F" w:rsidP="008E380F">
            <w:pPr>
              <w:pStyle w:val="Els-body-text"/>
              <w:jc w:val="center"/>
              <w:rPr>
                <w:sz w:val="18"/>
              </w:rPr>
            </w:pPr>
            <w:r w:rsidRPr="00CF62E2">
              <w:rPr>
                <w:sz w:val="18"/>
              </w:rPr>
              <w:t>53.44</w:t>
            </w:r>
          </w:p>
        </w:tc>
        <w:tc>
          <w:tcPr>
            <w:tcW w:w="1611" w:type="dxa"/>
            <w:tcBorders>
              <w:top w:val="nil"/>
              <w:left w:val="nil"/>
              <w:bottom w:val="single" w:sz="4" w:space="0" w:color="auto"/>
              <w:right w:val="nil"/>
            </w:tcBorders>
            <w:vAlign w:val="center"/>
          </w:tcPr>
          <w:p w14:paraId="630B5E53" w14:textId="5EA533D3" w:rsidR="008E380F" w:rsidRPr="00CF62E2" w:rsidRDefault="008E380F" w:rsidP="008E380F">
            <w:pPr>
              <w:pStyle w:val="Els-body-text"/>
              <w:jc w:val="center"/>
              <w:rPr>
                <w:sz w:val="18"/>
              </w:rPr>
            </w:pPr>
            <w:r w:rsidRPr="00CF62E2">
              <w:rPr>
                <w:sz w:val="18"/>
              </w:rPr>
              <w:t>54.37</w:t>
            </w:r>
          </w:p>
        </w:tc>
      </w:tr>
    </w:tbl>
    <w:p w14:paraId="06213382" w14:textId="207EDB59" w:rsidR="00055979" w:rsidRDefault="00F40838" w:rsidP="008D2649">
      <w:pPr>
        <w:pStyle w:val="Els-body-text"/>
      </w:pPr>
      <w:r>
        <w:t xml:space="preserve">The results of </w:t>
      </w:r>
      <w:r w:rsidR="00EF4826">
        <w:t xml:space="preserve">the </w:t>
      </w:r>
      <w:r>
        <w:t xml:space="preserve">economic analysis </w:t>
      </w:r>
      <w:r w:rsidR="00EF4826">
        <w:t>show the</w:t>
      </w:r>
      <w:r>
        <w:t xml:space="preserve"> MSP of recovered styrene </w:t>
      </w:r>
      <w:r w:rsidR="00EF4826">
        <w:t>detailed</w:t>
      </w:r>
      <w:r>
        <w:t xml:space="preserve"> in </w:t>
      </w:r>
      <w:r>
        <w:fldChar w:fldCharType="begin"/>
      </w:r>
      <w:r>
        <w:instrText xml:space="preserve"> REF _Ref151902578 \h </w:instrText>
      </w:r>
      <w:r>
        <w:fldChar w:fldCharType="separate"/>
      </w:r>
      <w:r w:rsidR="00EE0D60">
        <w:t xml:space="preserve">Figure </w:t>
      </w:r>
      <w:r w:rsidR="00EE0D60">
        <w:rPr>
          <w:noProof/>
        </w:rPr>
        <w:t>3</w:t>
      </w:r>
      <w:r>
        <w:fldChar w:fldCharType="end"/>
      </w:r>
      <w:r>
        <w:t xml:space="preserve"> (a). The MSP </w:t>
      </w:r>
      <w:r w:rsidR="00EF4826">
        <w:t xml:space="preserve">for </w:t>
      </w:r>
      <w:r>
        <w:t>Scenario 1, 2, and 3 are $</w:t>
      </w:r>
      <w:r w:rsidR="00585E11">
        <w:t xml:space="preserve"> </w:t>
      </w:r>
      <w:r>
        <w:t>1.15/kg styrene, $</w:t>
      </w:r>
      <w:r w:rsidR="00585E11">
        <w:t xml:space="preserve"> </w:t>
      </w:r>
      <w:r>
        <w:t>1.40/kg styrene, and $</w:t>
      </w:r>
      <w:r w:rsidR="00585E11">
        <w:t xml:space="preserve"> </w:t>
      </w:r>
      <w:r>
        <w:t xml:space="preserve">1.52/kg styrene, respectively, with feedstock cost </w:t>
      </w:r>
      <w:r w:rsidR="00EF4826">
        <w:t>being</w:t>
      </w:r>
      <w:r>
        <w:t xml:space="preserve"> the major </w:t>
      </w:r>
      <w:r w:rsidR="00EF4826">
        <w:t>contributing factor</w:t>
      </w:r>
      <w:r>
        <w:t xml:space="preserve">. </w:t>
      </w:r>
      <w:r w:rsidR="00055979">
        <w:t>The conventional styrene price ($</w:t>
      </w:r>
      <w:r w:rsidR="00585E11">
        <w:t xml:space="preserve"> </w:t>
      </w:r>
      <w:r w:rsidR="00055979">
        <w:t xml:space="preserve">0.93/kg styrene) is taken from IHS market (2021). </w:t>
      </w:r>
      <w:r w:rsidR="00EF4826">
        <w:t xml:space="preserve">It is evident </w:t>
      </w:r>
      <w:r w:rsidR="00055979">
        <w:t xml:space="preserve">that </w:t>
      </w:r>
      <w:r w:rsidR="005A3528">
        <w:t xml:space="preserve">Scenario 1 </w:t>
      </w:r>
      <w:r w:rsidR="00EF4826">
        <w:t>offers</w:t>
      </w:r>
      <w:r w:rsidR="005A3528">
        <w:t xml:space="preserve"> the most competitive price </w:t>
      </w:r>
      <w:r w:rsidR="00EF4826">
        <w:t xml:space="preserve">in </w:t>
      </w:r>
      <w:r w:rsidR="005A3528">
        <w:t>compa</w:t>
      </w:r>
      <w:r w:rsidR="00EF4826">
        <w:t>rison</w:t>
      </w:r>
      <w:r w:rsidR="005A3528">
        <w:t xml:space="preserve"> to conventional styrene. However, Scenario 3</w:t>
      </w:r>
      <w:r w:rsidR="00EF4826">
        <w:t>, with</w:t>
      </w:r>
      <w:r w:rsidR="005A3528">
        <w:t xml:space="preserve"> </w:t>
      </w:r>
      <w:r w:rsidR="00EF4826">
        <w:t>a</w:t>
      </w:r>
      <w:r w:rsidR="005A3528">
        <w:t xml:space="preserve"> product purity of 99.6%</w:t>
      </w:r>
      <w:r w:rsidR="00EF4826">
        <w:t>,</w:t>
      </w:r>
      <w:r w:rsidR="005A3528">
        <w:t xml:space="preserve"> </w:t>
      </w:r>
      <w:r w:rsidR="00EF4826">
        <w:t>may</w:t>
      </w:r>
      <w:r w:rsidR="005A3528">
        <w:t xml:space="preserve"> have better </w:t>
      </w:r>
      <w:r w:rsidR="00EF4826">
        <w:t xml:space="preserve">market </w:t>
      </w:r>
      <w:r w:rsidR="005A3528">
        <w:t xml:space="preserve">acceptance </w:t>
      </w:r>
      <w:r w:rsidR="00EF4826">
        <w:t>due to its equivalent</w:t>
      </w:r>
      <w:r w:rsidR="005A3528">
        <w:t xml:space="preserve"> purity </w:t>
      </w:r>
      <w:r w:rsidR="00EF4826">
        <w:t xml:space="preserve">to </w:t>
      </w:r>
      <w:r w:rsidR="005A3528">
        <w:t xml:space="preserve">conventional styrene. The results of LCA </w:t>
      </w:r>
      <w:r w:rsidR="00EF4826">
        <w:t>are depicted</w:t>
      </w:r>
      <w:r w:rsidR="005A3528">
        <w:t xml:space="preserve"> in </w:t>
      </w:r>
      <w:r w:rsidR="005A3528">
        <w:fldChar w:fldCharType="begin"/>
      </w:r>
      <w:r w:rsidR="005A3528">
        <w:instrText xml:space="preserve"> REF _Ref151902578 \h </w:instrText>
      </w:r>
      <w:r w:rsidR="005A3528">
        <w:fldChar w:fldCharType="separate"/>
      </w:r>
      <w:r w:rsidR="00EE0D60">
        <w:t xml:space="preserve">Figure </w:t>
      </w:r>
      <w:r w:rsidR="00EE0D60">
        <w:rPr>
          <w:noProof/>
        </w:rPr>
        <w:t>3</w:t>
      </w:r>
      <w:r w:rsidR="005A3528">
        <w:fldChar w:fldCharType="end"/>
      </w:r>
      <w:r w:rsidR="005A3528">
        <w:t xml:space="preserve"> (b). As </w:t>
      </w:r>
      <w:r w:rsidR="00EF4826">
        <w:t>shown</w:t>
      </w:r>
      <w:r w:rsidR="005A3528">
        <w:t xml:space="preserve"> in the figure, all scenarios </w:t>
      </w:r>
      <w:r w:rsidR="00EF4826">
        <w:t>exhibit</w:t>
      </w:r>
      <w:r w:rsidR="005A3528">
        <w:t xml:space="preserve"> lower carbon emissions than conventional styrene</w:t>
      </w:r>
      <w:r w:rsidR="00EF4826">
        <w:t>,</w:t>
      </w:r>
      <w:r w:rsidR="005A3528">
        <w:t xml:space="preserve"> with a GWP result of 0.36 kgCO</w:t>
      </w:r>
      <w:r w:rsidR="005A3528" w:rsidRPr="005A3528">
        <w:rPr>
          <w:vertAlign w:val="subscript"/>
        </w:rPr>
        <w:t>2</w:t>
      </w:r>
      <w:r w:rsidR="005A3528">
        <w:t>-eq/kg styrene, 0.57 kgCO</w:t>
      </w:r>
      <w:r w:rsidR="005A3528" w:rsidRPr="005A3528">
        <w:rPr>
          <w:vertAlign w:val="subscript"/>
        </w:rPr>
        <w:t>2</w:t>
      </w:r>
      <w:r w:rsidR="005A3528">
        <w:t>-eq/kg styrene, and 0.54 kgCO</w:t>
      </w:r>
      <w:r w:rsidR="005A3528" w:rsidRPr="005A3528">
        <w:rPr>
          <w:vertAlign w:val="subscript"/>
        </w:rPr>
        <w:t>2</w:t>
      </w:r>
      <w:r w:rsidR="005A3528">
        <w:t xml:space="preserve">-eq/kg styrene for Scenario 1, 2, and 3, respectively. Scenario 1 </w:t>
      </w:r>
      <w:r w:rsidR="00EF4826">
        <w:t>shows</w:t>
      </w:r>
      <w:r w:rsidR="005A3528">
        <w:t xml:space="preserve"> the lowest carbon emissions</w:t>
      </w:r>
      <w:r w:rsidR="00EF4826">
        <w:t>,</w:t>
      </w:r>
      <w:r w:rsidR="005A3528">
        <w:t xml:space="preserve"> accounting for</w:t>
      </w:r>
      <w:r w:rsidR="00EF4826">
        <w:t xml:space="preserve"> 89% lower</w:t>
      </w:r>
      <w:r w:rsidR="005A3528">
        <w:t xml:space="preserve"> </w:t>
      </w:r>
      <w:r w:rsidR="00EF4826">
        <w:t>emissions compared to conventional styrene.</w:t>
      </w:r>
      <w:r w:rsidR="00FB410E">
        <w:t xml:space="preserve"> Notably, the energy requirement contributes significantly to the carbon emissions of recovered styrene monomer from </w:t>
      </w:r>
      <w:proofErr w:type="spellStart"/>
      <w:proofErr w:type="gramStart"/>
      <w:r w:rsidR="00FB410E">
        <w:t>styrofoam</w:t>
      </w:r>
      <w:proofErr w:type="spellEnd"/>
      <w:proofErr w:type="gramEnd"/>
      <w:r w:rsidR="00FB410E">
        <w:t xml:space="preserve"> waste. </w:t>
      </w:r>
    </w:p>
    <w:p w14:paraId="5B8EA8DB" w14:textId="77777777" w:rsidR="005A3528" w:rsidRDefault="005A3528" w:rsidP="008D2649">
      <w:pPr>
        <w:pStyle w:val="Els-body-text"/>
      </w:pPr>
    </w:p>
    <w:p w14:paraId="68DD5510" w14:textId="77777777" w:rsidR="00DF13A6" w:rsidRDefault="002E49E0" w:rsidP="00DF13A6">
      <w:pPr>
        <w:pStyle w:val="Els-body-text"/>
        <w:keepNext/>
        <w:jc w:val="center"/>
      </w:pPr>
      <w:r>
        <w:rPr>
          <w:noProof/>
          <w:lang w:eastAsia="ko-KR"/>
        </w:rPr>
        <w:lastRenderedPageBreak/>
        <w:drawing>
          <wp:inline distT="0" distB="0" distL="0" distR="0" wp14:anchorId="48B76CF3" wp14:editId="7F487FA7">
            <wp:extent cx="4511040" cy="17290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1991" cy="1744724"/>
                    </a:xfrm>
                    <a:prstGeom prst="rect">
                      <a:avLst/>
                    </a:prstGeom>
                    <a:noFill/>
                  </pic:spPr>
                </pic:pic>
              </a:graphicData>
            </a:graphic>
          </wp:inline>
        </w:drawing>
      </w:r>
    </w:p>
    <w:p w14:paraId="4B6049FB" w14:textId="42B30A46" w:rsidR="00F43678" w:rsidRPr="002D193D" w:rsidRDefault="00DF13A6" w:rsidP="00436C8F">
      <w:pPr>
        <w:pStyle w:val="Caption"/>
        <w:spacing w:before="0" w:after="0"/>
        <w:jc w:val="center"/>
      </w:pPr>
      <w:bookmarkStart w:id="5" w:name="_Ref151902578"/>
      <w:r>
        <w:t xml:space="preserve">Figure </w:t>
      </w:r>
      <w:r>
        <w:fldChar w:fldCharType="begin"/>
      </w:r>
      <w:r>
        <w:instrText xml:space="preserve"> SEQ Figure \* ARABIC </w:instrText>
      </w:r>
      <w:r>
        <w:fldChar w:fldCharType="separate"/>
      </w:r>
      <w:r w:rsidR="00EE0D60">
        <w:rPr>
          <w:noProof/>
        </w:rPr>
        <w:t>3</w:t>
      </w:r>
      <w:r>
        <w:fldChar w:fldCharType="end"/>
      </w:r>
      <w:bookmarkEnd w:id="5"/>
      <w:r w:rsidR="00843098">
        <w:t>:</w:t>
      </w:r>
      <w:r w:rsidR="00F40838">
        <w:t xml:space="preserve"> (a) The minimum selling price (MSP) breakdown and (b) carbon emissions breakdown of recovered styrene for all scenario relative to conventional styrene.</w:t>
      </w:r>
    </w:p>
    <w:p w14:paraId="144DE6A5" w14:textId="54F6FEBF" w:rsidR="008D2649" w:rsidRDefault="00A26D9D" w:rsidP="008D2649">
      <w:pPr>
        <w:pStyle w:val="Els-1storder-head"/>
        <w:spacing w:after="120"/>
        <w:rPr>
          <w:lang w:val="en-GB"/>
        </w:rPr>
      </w:pPr>
      <w:bookmarkStart w:id="6" w:name="_Hlk152105155"/>
      <w:r>
        <w:rPr>
          <w:lang w:val="en-GB"/>
        </w:rPr>
        <w:t>Conclusions</w:t>
      </w:r>
    </w:p>
    <w:bookmarkEnd w:id="6"/>
    <w:p w14:paraId="144DE6AA" w14:textId="53A02CF9" w:rsidR="008D2649" w:rsidRDefault="00FB410E" w:rsidP="00B07787">
      <w:pPr>
        <w:pStyle w:val="Els-body-text"/>
        <w:spacing w:before="120" w:after="120"/>
        <w:rPr>
          <w:lang w:val="en-GB"/>
        </w:rPr>
      </w:pPr>
      <w:r>
        <w:rPr>
          <w:lang w:val="en-GB"/>
        </w:rPr>
        <w:t xml:space="preserve">This study </w:t>
      </w:r>
      <w:r w:rsidR="00CF56AE">
        <w:rPr>
          <w:lang w:val="en-GB"/>
        </w:rPr>
        <w:t>examined</w:t>
      </w:r>
      <w:r>
        <w:rPr>
          <w:lang w:val="en-GB"/>
        </w:rPr>
        <w:t xml:space="preserve"> the recycling of </w:t>
      </w:r>
      <w:proofErr w:type="spellStart"/>
      <w:proofErr w:type="gramStart"/>
      <w:r>
        <w:rPr>
          <w:lang w:val="en-GB"/>
        </w:rPr>
        <w:t>styrofoam</w:t>
      </w:r>
      <w:proofErr w:type="spellEnd"/>
      <w:proofErr w:type="gramEnd"/>
      <w:r>
        <w:rPr>
          <w:lang w:val="en-GB"/>
        </w:rPr>
        <w:t xml:space="preserve"> waste to recover styrene monomer using catalytic degradation to address environmental challenges linked to plastic waste. </w:t>
      </w:r>
      <w:r w:rsidRPr="00FB410E">
        <w:rPr>
          <w:lang w:val="en-GB"/>
        </w:rPr>
        <w:t xml:space="preserve">Demonstrated </w:t>
      </w:r>
      <w:r w:rsidR="00CF56AE">
        <w:rPr>
          <w:lang w:val="en-GB"/>
        </w:rPr>
        <w:t>across</w:t>
      </w:r>
      <w:r w:rsidRPr="00FB410E">
        <w:rPr>
          <w:lang w:val="en-GB"/>
        </w:rPr>
        <w:t xml:space="preserve"> three </w:t>
      </w:r>
      <w:r>
        <w:rPr>
          <w:lang w:val="en-GB"/>
        </w:rPr>
        <w:t>scenarios</w:t>
      </w:r>
      <w:r w:rsidR="00CF56AE">
        <w:rPr>
          <w:lang w:val="en-GB"/>
        </w:rPr>
        <w:t>,</w:t>
      </w:r>
      <w:r w:rsidRPr="00FB410E">
        <w:rPr>
          <w:lang w:val="en-GB"/>
        </w:rPr>
        <w:t xml:space="preserve"> varying in </w:t>
      </w:r>
      <w:r>
        <w:rPr>
          <w:lang w:val="en-GB"/>
        </w:rPr>
        <w:t>pre-treatment process</w:t>
      </w:r>
      <w:r w:rsidRPr="00FB410E">
        <w:rPr>
          <w:lang w:val="en-GB"/>
        </w:rPr>
        <w:t xml:space="preserve"> and product purity, the </w:t>
      </w:r>
      <w:r>
        <w:rPr>
          <w:lang w:val="en-GB"/>
        </w:rPr>
        <w:t>TEA</w:t>
      </w:r>
      <w:r w:rsidRPr="00FB410E">
        <w:rPr>
          <w:lang w:val="en-GB"/>
        </w:rPr>
        <w:t xml:space="preserve"> reveals </w:t>
      </w:r>
      <w:r>
        <w:rPr>
          <w:lang w:val="en-GB"/>
        </w:rPr>
        <w:t>Scenario 3</w:t>
      </w:r>
      <w:r w:rsidR="00CF56AE">
        <w:rPr>
          <w:lang w:val="en-GB"/>
        </w:rPr>
        <w:t>,</w:t>
      </w:r>
      <w:r>
        <w:rPr>
          <w:lang w:val="en-GB"/>
        </w:rPr>
        <w:t xml:space="preserve"> </w:t>
      </w:r>
      <w:r w:rsidRPr="00FB410E">
        <w:rPr>
          <w:lang w:val="en-GB"/>
        </w:rPr>
        <w:t xml:space="preserve">yielding </w:t>
      </w:r>
      <w:r w:rsidR="00CF56AE">
        <w:rPr>
          <w:lang w:val="en-GB"/>
        </w:rPr>
        <w:t xml:space="preserve">an </w:t>
      </w:r>
      <w:r>
        <w:rPr>
          <w:lang w:val="en-GB"/>
        </w:rPr>
        <w:t>MSP</w:t>
      </w:r>
      <w:r w:rsidRPr="00FB410E">
        <w:rPr>
          <w:lang w:val="en-GB"/>
        </w:rPr>
        <w:t xml:space="preserve"> </w:t>
      </w:r>
      <w:r w:rsidR="00CF56AE">
        <w:rPr>
          <w:lang w:val="en-GB"/>
        </w:rPr>
        <w:t>of</w:t>
      </w:r>
      <w:r w:rsidRPr="00FB410E">
        <w:rPr>
          <w:lang w:val="en-GB"/>
        </w:rPr>
        <w:t xml:space="preserve"> $</w:t>
      </w:r>
      <w:r w:rsidR="00585E11">
        <w:rPr>
          <w:lang w:val="en-GB"/>
        </w:rPr>
        <w:t xml:space="preserve"> </w:t>
      </w:r>
      <w:r w:rsidRPr="00FB410E">
        <w:rPr>
          <w:lang w:val="en-GB"/>
        </w:rPr>
        <w:t>1.</w:t>
      </w:r>
      <w:r>
        <w:rPr>
          <w:lang w:val="en-GB"/>
        </w:rPr>
        <w:t>52</w:t>
      </w:r>
      <w:r w:rsidRPr="00FB410E">
        <w:rPr>
          <w:lang w:val="en-GB"/>
        </w:rPr>
        <w:t xml:space="preserve">/kg </w:t>
      </w:r>
      <w:r>
        <w:rPr>
          <w:lang w:val="en-GB"/>
        </w:rPr>
        <w:t xml:space="preserve">styrene </w:t>
      </w:r>
      <w:r w:rsidRPr="00FB410E">
        <w:rPr>
          <w:lang w:val="en-GB"/>
        </w:rPr>
        <w:t xml:space="preserve">as the most </w:t>
      </w:r>
      <w:r>
        <w:rPr>
          <w:lang w:val="en-GB"/>
        </w:rPr>
        <w:t>viable</w:t>
      </w:r>
      <w:r w:rsidRPr="00FB410E">
        <w:rPr>
          <w:lang w:val="en-GB"/>
        </w:rPr>
        <w:t xml:space="preserve"> option. This pricing aligns with </w:t>
      </w:r>
      <w:r>
        <w:rPr>
          <w:lang w:val="en-GB"/>
        </w:rPr>
        <w:t>conventional</w:t>
      </w:r>
      <w:r w:rsidRPr="00FB410E">
        <w:rPr>
          <w:lang w:val="en-GB"/>
        </w:rPr>
        <w:t xml:space="preserve"> styrene monomer and </w:t>
      </w:r>
      <w:r w:rsidR="00CF56AE">
        <w:rPr>
          <w:lang w:val="en-GB"/>
        </w:rPr>
        <w:t>have advantage</w:t>
      </w:r>
      <w:r w:rsidRPr="00FB410E">
        <w:rPr>
          <w:lang w:val="en-GB"/>
        </w:rPr>
        <w:t xml:space="preserve"> similar purity, offering a solution to recycled material quality concerns. The </w:t>
      </w:r>
      <w:r>
        <w:rPr>
          <w:lang w:val="en-GB"/>
        </w:rPr>
        <w:t>LCA</w:t>
      </w:r>
      <w:r w:rsidRPr="00FB410E">
        <w:rPr>
          <w:lang w:val="en-GB"/>
        </w:rPr>
        <w:t xml:space="preserve"> indicates that </w:t>
      </w:r>
      <w:r>
        <w:rPr>
          <w:lang w:val="en-GB"/>
        </w:rPr>
        <w:t xml:space="preserve">recovered styrene from </w:t>
      </w:r>
      <w:proofErr w:type="spellStart"/>
      <w:r w:rsidR="00A37CD0">
        <w:rPr>
          <w:lang w:val="en-GB"/>
        </w:rPr>
        <w:t>s</w:t>
      </w:r>
      <w:r>
        <w:rPr>
          <w:lang w:val="en-GB"/>
        </w:rPr>
        <w:t>tyrofoam</w:t>
      </w:r>
      <w:proofErr w:type="spellEnd"/>
      <w:r>
        <w:rPr>
          <w:lang w:val="en-GB"/>
        </w:rPr>
        <w:t xml:space="preserve"> waste</w:t>
      </w:r>
      <w:r w:rsidRPr="00FB410E">
        <w:rPr>
          <w:lang w:val="en-GB"/>
        </w:rPr>
        <w:t xml:space="preserve"> production across </w:t>
      </w:r>
      <w:r>
        <w:rPr>
          <w:lang w:val="en-GB"/>
        </w:rPr>
        <w:t>scenarios</w:t>
      </w:r>
      <w:r w:rsidRPr="00FB410E">
        <w:rPr>
          <w:lang w:val="en-GB"/>
        </w:rPr>
        <w:t xml:space="preserve"> is more environmentally friendly than </w:t>
      </w:r>
      <w:r>
        <w:rPr>
          <w:lang w:val="en-GB"/>
        </w:rPr>
        <w:t>conventional styrene</w:t>
      </w:r>
      <w:r w:rsidRPr="00FB410E">
        <w:rPr>
          <w:lang w:val="en-GB"/>
        </w:rPr>
        <w:t xml:space="preserve">, with Case 1 showcasing an 89% reduction in </w:t>
      </w:r>
      <w:r w:rsidR="007C1573">
        <w:rPr>
          <w:lang w:val="en-GB"/>
        </w:rPr>
        <w:t>GWP result</w:t>
      </w:r>
      <w:r w:rsidRPr="00FB410E">
        <w:rPr>
          <w:lang w:val="en-GB"/>
        </w:rPr>
        <w:t xml:space="preserve"> at 0.36 kgCO</w:t>
      </w:r>
      <w:r w:rsidRPr="007C1573">
        <w:rPr>
          <w:vertAlign w:val="subscript"/>
          <w:lang w:val="en-GB"/>
        </w:rPr>
        <w:t>2</w:t>
      </w:r>
      <w:r w:rsidRPr="00FB410E">
        <w:rPr>
          <w:lang w:val="en-GB"/>
        </w:rPr>
        <w:t>-eq/</w:t>
      </w:r>
      <w:r>
        <w:rPr>
          <w:lang w:val="en-GB"/>
        </w:rPr>
        <w:t>kg styrene</w:t>
      </w:r>
      <w:r w:rsidRPr="00FB410E">
        <w:rPr>
          <w:lang w:val="en-GB"/>
        </w:rPr>
        <w:t xml:space="preserve">. Energy consumption </w:t>
      </w:r>
      <w:r w:rsidR="00CF56AE">
        <w:rPr>
          <w:lang w:val="en-GB"/>
        </w:rPr>
        <w:t xml:space="preserve">during </w:t>
      </w:r>
      <w:proofErr w:type="spellStart"/>
      <w:proofErr w:type="gramStart"/>
      <w:r w:rsidR="00CF56AE">
        <w:rPr>
          <w:lang w:val="en-GB"/>
        </w:rPr>
        <w:t>styrofoam</w:t>
      </w:r>
      <w:proofErr w:type="spellEnd"/>
      <w:proofErr w:type="gramEnd"/>
      <w:r w:rsidR="00CF56AE">
        <w:rPr>
          <w:lang w:val="en-GB"/>
        </w:rPr>
        <w:t xml:space="preserve"> waste recycling significantly contributes to carbon emissions</w:t>
      </w:r>
      <w:r w:rsidRPr="00FB410E">
        <w:rPr>
          <w:lang w:val="en-GB"/>
        </w:rPr>
        <w:t xml:space="preserve">, suggesting potential avenues for further reduction through renewable energy utilization and lower-temperature </w:t>
      </w:r>
      <w:r>
        <w:rPr>
          <w:lang w:val="en-GB"/>
        </w:rPr>
        <w:t>degradation</w:t>
      </w:r>
      <w:r w:rsidRPr="00FB410E">
        <w:rPr>
          <w:lang w:val="en-GB"/>
        </w:rPr>
        <w:t xml:space="preserve"> catalyst development.</w:t>
      </w:r>
    </w:p>
    <w:p w14:paraId="6DA2AE27" w14:textId="3FBB2DB6" w:rsidR="00872C3F" w:rsidRDefault="00872C3F" w:rsidP="00872C3F">
      <w:pPr>
        <w:pStyle w:val="Els-1storder-head"/>
        <w:numPr>
          <w:ilvl w:val="0"/>
          <w:numId w:val="0"/>
        </w:numPr>
      </w:pPr>
      <w:r>
        <w:t>Acknowledgement</w:t>
      </w:r>
    </w:p>
    <w:p w14:paraId="3857DA27" w14:textId="1D164AA3" w:rsidR="00872C3F" w:rsidRPr="00FE4042" w:rsidRDefault="00872C3F" w:rsidP="00872C3F">
      <w:pPr>
        <w:pStyle w:val="Els-body-text"/>
        <w:rPr>
          <w:sz w:val="18"/>
          <w:szCs w:val="18"/>
        </w:rPr>
      </w:pPr>
      <w:r w:rsidRPr="00FE4042">
        <w:rPr>
          <w:sz w:val="18"/>
          <w:szCs w:val="18"/>
        </w:rPr>
        <w:t>This research was supported by Basic Science Research Program through the National Research Foundation of Korea (NRF), funded by the Ministry of Science and ICT (2019R1A2C2084709 and 2021R1A4A3025742). This work was also supported by the Korea Institute of Energy Technology Evaluation and Planning</w:t>
      </w:r>
      <w:r w:rsidR="00FE4042" w:rsidRPr="00FE4042">
        <w:rPr>
          <w:sz w:val="18"/>
          <w:szCs w:val="18"/>
        </w:rPr>
        <w:t xml:space="preserve"> </w:t>
      </w:r>
      <w:r w:rsidRPr="00FE4042">
        <w:rPr>
          <w:sz w:val="18"/>
          <w:szCs w:val="18"/>
        </w:rPr>
        <w:t>(KETEP) and the Ministry of Trade, Industry &amp; Energy</w:t>
      </w:r>
      <w:r w:rsidR="00FE4042" w:rsidRPr="00FE4042">
        <w:rPr>
          <w:sz w:val="18"/>
          <w:szCs w:val="18"/>
        </w:rPr>
        <w:t xml:space="preserve"> </w:t>
      </w:r>
      <w:r w:rsidRPr="00FE4042">
        <w:rPr>
          <w:sz w:val="18"/>
          <w:szCs w:val="18"/>
        </w:rPr>
        <w:t>(MOTIE) of the Republic of Korea (RS-2023-00233414).</w:t>
      </w:r>
    </w:p>
    <w:p w14:paraId="510B28D7" w14:textId="4B7B54CD" w:rsidR="00872C3F" w:rsidRPr="00872C3F" w:rsidRDefault="008D2649" w:rsidP="00872C3F">
      <w:pPr>
        <w:pStyle w:val="Els-reference-head"/>
      </w:pPr>
      <w:r>
        <w:t>References</w:t>
      </w:r>
    </w:p>
    <w:p w14:paraId="3534D5D1" w14:textId="77777777" w:rsidR="00872C3F" w:rsidRDefault="00872C3F" w:rsidP="008D2649">
      <w:pPr>
        <w:pStyle w:val="Els-referenceno-number"/>
        <w:rPr>
          <w:lang w:val="en-US"/>
        </w:rPr>
      </w:pPr>
      <w:r w:rsidRPr="005A7DEB">
        <w:rPr>
          <w:lang w:val="en-US"/>
        </w:rPr>
        <w:t xml:space="preserve">D. Oh, H.W. Lee, Y.M. Kim, Y.K. Park, </w:t>
      </w:r>
      <w:r>
        <w:rPr>
          <w:lang w:val="en-US"/>
        </w:rPr>
        <w:t xml:space="preserve">2018, </w:t>
      </w:r>
      <w:r w:rsidRPr="005A7DEB">
        <w:rPr>
          <w:lang w:val="en-US"/>
        </w:rPr>
        <w:t>Catalytic pyrolysis of polystyrene and polyethylene terephthalate over</w:t>
      </w:r>
      <w:r>
        <w:rPr>
          <w:lang w:val="en-US"/>
        </w:rPr>
        <w:t xml:space="preserve"> Al-MSU-F, Energy Procedia, 144,</w:t>
      </w:r>
      <w:r w:rsidRPr="005A7DEB">
        <w:rPr>
          <w:lang w:val="en-US"/>
        </w:rPr>
        <w:t>111–117.</w:t>
      </w:r>
    </w:p>
    <w:p w14:paraId="46FB7922" w14:textId="77777777" w:rsidR="00872C3F" w:rsidRDefault="00872C3F" w:rsidP="008D2649">
      <w:pPr>
        <w:pStyle w:val="Els-referenceno-number"/>
        <w:rPr>
          <w:lang w:val="en-US"/>
        </w:rPr>
      </w:pPr>
      <w:r w:rsidRPr="00822B68">
        <w:rPr>
          <w:lang w:val="en-US"/>
        </w:rPr>
        <w:t>PlascticsEurope, Plastics-The Facts 2020: An analysis of European plastics production, demand and waste data, 2021.</w:t>
      </w:r>
    </w:p>
    <w:p w14:paraId="3862EEC2" w14:textId="77777777" w:rsidR="00872C3F" w:rsidRDefault="00872C3F" w:rsidP="008D2649">
      <w:pPr>
        <w:pStyle w:val="Els-referenceno-number"/>
        <w:rPr>
          <w:lang w:val="en-US"/>
        </w:rPr>
      </w:pPr>
      <w:r w:rsidRPr="00822B68">
        <w:rPr>
          <w:lang w:val="en-US"/>
        </w:rPr>
        <w:t xml:space="preserve">R. Geyer, J.R. Jambeck, K.L. Law, </w:t>
      </w:r>
      <w:r>
        <w:rPr>
          <w:lang w:val="en-US"/>
        </w:rPr>
        <w:t xml:space="preserve">2017, </w:t>
      </w:r>
      <w:r w:rsidRPr="00822B68">
        <w:rPr>
          <w:lang w:val="en-US"/>
        </w:rPr>
        <w:t xml:space="preserve">Production, use, and fate of all </w:t>
      </w:r>
      <w:r>
        <w:rPr>
          <w:lang w:val="en-US"/>
        </w:rPr>
        <w:t xml:space="preserve">plastics ever made, Science Advances, 3, </w:t>
      </w:r>
      <w:r w:rsidRPr="00822B68">
        <w:rPr>
          <w:lang w:val="en-US"/>
        </w:rPr>
        <w:t>25–29.</w:t>
      </w:r>
    </w:p>
    <w:p w14:paraId="466E6769" w14:textId="77777777" w:rsidR="00872C3F" w:rsidRDefault="00872C3F" w:rsidP="00872C3F">
      <w:pPr>
        <w:pStyle w:val="Els-referenceno-number"/>
        <w:rPr>
          <w:lang w:val="en-US"/>
        </w:rPr>
      </w:pPr>
      <w:r w:rsidRPr="005A7DEB">
        <w:rPr>
          <w:lang w:val="en-US"/>
        </w:rPr>
        <w:t>R. Turton, R.C. Bailie, W.B. Whiting, J.A. Shaeiwitz, Analysis, Design and Synthesis of Chemical Processes, 2009.</w:t>
      </w:r>
    </w:p>
    <w:p w14:paraId="1482064E" w14:textId="77777777" w:rsidR="00872C3F" w:rsidRDefault="00872C3F" w:rsidP="008D2649">
      <w:pPr>
        <w:pStyle w:val="Els-referenceno-number"/>
        <w:rPr>
          <w:lang w:val="en-US"/>
        </w:rPr>
      </w:pPr>
      <w:r w:rsidRPr="005A7DEB">
        <w:rPr>
          <w:lang w:val="en-US"/>
        </w:rPr>
        <w:t xml:space="preserve">X. Liu, L. Li, X. Song, F. Liu, S. Yu, X. Ge, </w:t>
      </w:r>
      <w:r>
        <w:rPr>
          <w:lang w:val="en-US"/>
        </w:rPr>
        <w:t xml:space="preserve">2016, </w:t>
      </w:r>
      <w:r w:rsidRPr="005A7DEB">
        <w:rPr>
          <w:lang w:val="en-US"/>
        </w:rPr>
        <w:t>Degradation of Polystyrene Using Base Modified Mesoporous Molecular Sieves K2O/BaO-SBA-15 as Catalysts, Catal</w:t>
      </w:r>
      <w:r>
        <w:rPr>
          <w:lang w:val="en-US"/>
        </w:rPr>
        <w:t>ytic</w:t>
      </w:r>
      <w:r w:rsidRPr="005A7DEB">
        <w:rPr>
          <w:lang w:val="en-US"/>
        </w:rPr>
        <w:t xml:space="preserve"> Letters</w:t>
      </w:r>
      <w:r>
        <w:rPr>
          <w:lang w:val="en-US"/>
        </w:rPr>
        <w:t>,</w:t>
      </w:r>
      <w:r w:rsidRPr="005A7DEB">
        <w:rPr>
          <w:lang w:val="en-US"/>
        </w:rPr>
        <w:t xml:space="preserve"> 146</w:t>
      </w:r>
      <w:r>
        <w:rPr>
          <w:lang w:val="en-US"/>
        </w:rPr>
        <w:t xml:space="preserve">, </w:t>
      </w:r>
      <w:r w:rsidRPr="005A7DEB">
        <w:rPr>
          <w:lang w:val="en-US"/>
        </w:rPr>
        <w:t>1910–1916.</w:t>
      </w:r>
    </w:p>
    <w:sectPr w:rsidR="00872C3F"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3710B" w14:textId="77777777" w:rsidR="00BE1A4B" w:rsidRDefault="00BE1A4B">
      <w:r>
        <w:separator/>
      </w:r>
    </w:p>
  </w:endnote>
  <w:endnote w:type="continuationSeparator" w:id="0">
    <w:p w14:paraId="0B9EA3B1" w14:textId="77777777" w:rsidR="00BE1A4B" w:rsidRDefault="00BE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39D9A" w14:textId="77777777" w:rsidR="00BE1A4B" w:rsidRDefault="00BE1A4B">
      <w:r>
        <w:separator/>
      </w:r>
    </w:p>
  </w:footnote>
  <w:footnote w:type="continuationSeparator" w:id="0">
    <w:p w14:paraId="7832FBC0" w14:textId="77777777" w:rsidR="00BE1A4B" w:rsidRDefault="00BE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5A41F10D" w:rsidR="00FB410E" w:rsidRDefault="00FB410E">
    <w:pPr>
      <w:pStyle w:val="Header"/>
      <w:tabs>
        <w:tab w:val="clear" w:pos="7200"/>
        <w:tab w:val="right" w:pos="7088"/>
      </w:tabs>
    </w:pPr>
    <w:r>
      <w:rPr>
        <w:rStyle w:val="PageNumber"/>
      </w:rPr>
      <w:tab/>
    </w:r>
    <w:r>
      <w:rPr>
        <w:rStyle w:val="PageNumber"/>
        <w:i/>
      </w:rPr>
      <w:tab/>
    </w:r>
    <w:r w:rsidR="00D723CF">
      <w:rPr>
        <w:rStyle w:val="PageNumber"/>
        <w:i/>
      </w:rPr>
      <w:t xml:space="preserve">E.I. </w:t>
    </w:r>
    <w:r w:rsidR="001D7770">
      <w:rPr>
        <w:i/>
      </w:rPr>
      <w:t>Fitriasari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31AD" w14:textId="77777777" w:rsidR="001D7770" w:rsidRDefault="001D7770">
    <w:pPr>
      <w:pStyle w:val="Header"/>
      <w:tabs>
        <w:tab w:val="clear" w:pos="7200"/>
        <w:tab w:val="right" w:pos="7088"/>
      </w:tabs>
      <w:jc w:val="right"/>
      <w:rPr>
        <w:i/>
      </w:rPr>
    </w:pPr>
    <w:r>
      <w:rPr>
        <w:i/>
      </w:rPr>
      <w:t>Sustainability Assessments of Styrofoam Waste Recycling for Styrene Monomer Recovery: Economic and Environmental Impact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B410E" w:rsidRPr="003B50B5" w:rsidRDefault="00FB410E"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B410E" w:rsidRDefault="00FB410E"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42819"/>
    <w:rsid w:val="00055979"/>
    <w:rsid w:val="000C1982"/>
    <w:rsid w:val="000D3D9B"/>
    <w:rsid w:val="000D4DA1"/>
    <w:rsid w:val="0016032F"/>
    <w:rsid w:val="001879F6"/>
    <w:rsid w:val="001C0148"/>
    <w:rsid w:val="001C757E"/>
    <w:rsid w:val="001D7770"/>
    <w:rsid w:val="00201260"/>
    <w:rsid w:val="0020390F"/>
    <w:rsid w:val="00205033"/>
    <w:rsid w:val="00242612"/>
    <w:rsid w:val="002451DC"/>
    <w:rsid w:val="00264926"/>
    <w:rsid w:val="002E49E0"/>
    <w:rsid w:val="00334DB5"/>
    <w:rsid w:val="00356323"/>
    <w:rsid w:val="003D1582"/>
    <w:rsid w:val="003D7E4C"/>
    <w:rsid w:val="003E41C2"/>
    <w:rsid w:val="003F7532"/>
    <w:rsid w:val="00420313"/>
    <w:rsid w:val="00436C8F"/>
    <w:rsid w:val="00465112"/>
    <w:rsid w:val="00465DD1"/>
    <w:rsid w:val="00496A34"/>
    <w:rsid w:val="0049772C"/>
    <w:rsid w:val="00497781"/>
    <w:rsid w:val="004A41CB"/>
    <w:rsid w:val="004B3612"/>
    <w:rsid w:val="005352CC"/>
    <w:rsid w:val="0054038F"/>
    <w:rsid w:val="00543DE9"/>
    <w:rsid w:val="00552EEB"/>
    <w:rsid w:val="00585E11"/>
    <w:rsid w:val="005A3528"/>
    <w:rsid w:val="005A6BFF"/>
    <w:rsid w:val="005A7DEB"/>
    <w:rsid w:val="005E58FD"/>
    <w:rsid w:val="005E65CF"/>
    <w:rsid w:val="00655BFF"/>
    <w:rsid w:val="00684CB5"/>
    <w:rsid w:val="00692AE2"/>
    <w:rsid w:val="006A2491"/>
    <w:rsid w:val="006A69BF"/>
    <w:rsid w:val="006A7F1E"/>
    <w:rsid w:val="006B2FEA"/>
    <w:rsid w:val="006C2288"/>
    <w:rsid w:val="006E641C"/>
    <w:rsid w:val="00711DF4"/>
    <w:rsid w:val="007C0645"/>
    <w:rsid w:val="007C1573"/>
    <w:rsid w:val="007D70A1"/>
    <w:rsid w:val="008132E8"/>
    <w:rsid w:val="00822B68"/>
    <w:rsid w:val="00823407"/>
    <w:rsid w:val="00843098"/>
    <w:rsid w:val="008445E2"/>
    <w:rsid w:val="008523B6"/>
    <w:rsid w:val="00872C3F"/>
    <w:rsid w:val="008B0184"/>
    <w:rsid w:val="008C0301"/>
    <w:rsid w:val="008C5D02"/>
    <w:rsid w:val="008D0D96"/>
    <w:rsid w:val="008D2649"/>
    <w:rsid w:val="008E380F"/>
    <w:rsid w:val="008E6697"/>
    <w:rsid w:val="008F3838"/>
    <w:rsid w:val="008F6F5E"/>
    <w:rsid w:val="008F737B"/>
    <w:rsid w:val="0090568D"/>
    <w:rsid w:val="009125C9"/>
    <w:rsid w:val="00912975"/>
    <w:rsid w:val="00913879"/>
    <w:rsid w:val="00917661"/>
    <w:rsid w:val="00945BDA"/>
    <w:rsid w:val="00951963"/>
    <w:rsid w:val="00970E5D"/>
    <w:rsid w:val="00974389"/>
    <w:rsid w:val="0097701C"/>
    <w:rsid w:val="00980A65"/>
    <w:rsid w:val="00981260"/>
    <w:rsid w:val="00983C9C"/>
    <w:rsid w:val="00A12650"/>
    <w:rsid w:val="00A25E70"/>
    <w:rsid w:val="00A26D9D"/>
    <w:rsid w:val="00A33765"/>
    <w:rsid w:val="00A33A69"/>
    <w:rsid w:val="00A37CD0"/>
    <w:rsid w:val="00A63269"/>
    <w:rsid w:val="00A741E3"/>
    <w:rsid w:val="00A92377"/>
    <w:rsid w:val="00A93127"/>
    <w:rsid w:val="00A97B3B"/>
    <w:rsid w:val="00AB29ED"/>
    <w:rsid w:val="00AE26FD"/>
    <w:rsid w:val="00AE4BD8"/>
    <w:rsid w:val="00B07787"/>
    <w:rsid w:val="00B4388F"/>
    <w:rsid w:val="00B63237"/>
    <w:rsid w:val="00B865AE"/>
    <w:rsid w:val="00BE1A4B"/>
    <w:rsid w:val="00C05361"/>
    <w:rsid w:val="00C10228"/>
    <w:rsid w:val="00C303EA"/>
    <w:rsid w:val="00C66AF5"/>
    <w:rsid w:val="00C960DC"/>
    <w:rsid w:val="00CA2080"/>
    <w:rsid w:val="00CC4D52"/>
    <w:rsid w:val="00CF34A2"/>
    <w:rsid w:val="00CF56AE"/>
    <w:rsid w:val="00CF62E2"/>
    <w:rsid w:val="00D02C75"/>
    <w:rsid w:val="00D10E22"/>
    <w:rsid w:val="00D13D2C"/>
    <w:rsid w:val="00D723CF"/>
    <w:rsid w:val="00D9402B"/>
    <w:rsid w:val="00DC2F94"/>
    <w:rsid w:val="00DD3D9E"/>
    <w:rsid w:val="00DD5D8F"/>
    <w:rsid w:val="00DD7908"/>
    <w:rsid w:val="00DE3E3B"/>
    <w:rsid w:val="00DF13A6"/>
    <w:rsid w:val="00DF4C5A"/>
    <w:rsid w:val="00E166AC"/>
    <w:rsid w:val="00E519DB"/>
    <w:rsid w:val="00E7692E"/>
    <w:rsid w:val="00E82297"/>
    <w:rsid w:val="00EB0A4D"/>
    <w:rsid w:val="00EC2AB0"/>
    <w:rsid w:val="00EE0D60"/>
    <w:rsid w:val="00EE6BA2"/>
    <w:rsid w:val="00EF39FD"/>
    <w:rsid w:val="00EF4826"/>
    <w:rsid w:val="00EF64DC"/>
    <w:rsid w:val="00F06842"/>
    <w:rsid w:val="00F107FD"/>
    <w:rsid w:val="00F40838"/>
    <w:rsid w:val="00F43678"/>
    <w:rsid w:val="00F532F6"/>
    <w:rsid w:val="00FB410E"/>
    <w:rsid w:val="00FB64A8"/>
    <w:rsid w:val="00FB7DBA"/>
    <w:rsid w:val="00FE40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8523B6"/>
    <w:rPr>
      <w:color w:val="808080"/>
    </w:rPr>
  </w:style>
  <w:style w:type="table" w:styleId="TableGrid">
    <w:name w:val="Table Grid"/>
    <w:basedOn w:val="TableNormal"/>
    <w:rsid w:val="008E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2322-9F10-4091-8674-07372D5F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2848</TotalTime>
  <Pages>6</Pages>
  <Words>2330</Words>
  <Characters>13286</Characters>
  <Application>Microsoft Office Word</Application>
  <DocSecurity>0</DocSecurity>
  <Lines>110</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Fitriasari Eprillia Intan</cp:lastModifiedBy>
  <cp:revision>44</cp:revision>
  <cp:lastPrinted>2023-12-07T06:22:00Z</cp:lastPrinted>
  <dcterms:created xsi:type="dcterms:W3CDTF">2023-11-23T02:44:00Z</dcterms:created>
  <dcterms:modified xsi:type="dcterms:W3CDTF">2023-12-08T04:17:00Z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http://www.zotero.org/styles/american-political-science-association</vt:lpwstr>
  </property>
  <property fmtid="{D5CDD505-2E9C-101B-9397-08002B2CF9AE}" pid="11" name="Mendeley Recent Style Name 0_1">
    <vt:lpwstr>American Political Science Association</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http://www.zotero.org/styles/chemical-engineering-journal</vt:lpwstr>
  </property>
  <property fmtid="{D5CDD505-2E9C-101B-9397-08002B2CF9AE}" pid="17" name="Mendeley Recent Style Name 3_1">
    <vt:lpwstr>Chemical Engineering Journal</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10th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http://www.zotero.org/styles/nature</vt:lpwstr>
  </property>
  <property fmtid="{D5CDD505-2E9C-101B-9397-08002B2CF9AE}" pid="27" name="Mendeley Recent Style Name 8_1">
    <vt:lpwstr>Nature</vt:lpwstr>
  </property>
  <property fmtid="{D5CDD505-2E9C-101B-9397-08002B2CF9AE}" pid="28" name="Mendeley Recent Style Id 9_1">
    <vt:lpwstr>http://www.zotero.org/styles/sustainable-energy-and-fuels</vt:lpwstr>
  </property>
  <property fmtid="{D5CDD505-2E9C-101B-9397-08002B2CF9AE}" pid="29" name="Mendeley Recent Style Name 9_1">
    <vt:lpwstr>Sustainable Energy &amp; Fuels</vt:lpwstr>
  </property>
</Properties>
</file>