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6A4EE" w14:textId="57377144" w:rsidR="00B04B65" w:rsidRPr="00B04B65" w:rsidRDefault="001135A7" w:rsidP="00B04B65">
      <w:pPr>
        <w:pStyle w:val="Els-Title"/>
        <w:rPr>
          <w:rFonts w:eastAsia="NimbusRomNo9L-Medi"/>
          <w:szCs w:val="32"/>
          <w:lang w:eastAsia="en-GB"/>
        </w:rPr>
      </w:pPr>
      <w:bookmarkStart w:id="0" w:name="_Hlk151644427"/>
      <w:bookmarkStart w:id="1" w:name="_GoBack"/>
      <w:bookmarkEnd w:id="0"/>
      <w:bookmarkEnd w:id="1"/>
      <w:r w:rsidRPr="00B04B65">
        <w:rPr>
          <w:rFonts w:eastAsia="NimbusRomNo9L-Medi"/>
          <w:szCs w:val="32"/>
          <w:lang w:eastAsia="en-GB"/>
        </w:rPr>
        <w:t>Steady-State Optimality Analysis of MPC Controllers</w:t>
      </w:r>
    </w:p>
    <w:p w14:paraId="5597FB9C" w14:textId="77777777" w:rsidR="001135A7" w:rsidRDefault="001135A7" w:rsidP="001135A7">
      <w:pPr>
        <w:pStyle w:val="Els-Author"/>
      </w:pPr>
      <w:r>
        <w:fldChar w:fldCharType="begin"/>
      </w:r>
      <w:r>
        <w:instrText xml:space="preserve"> MACROBUTTON  AcceptAllChangesInDocAndStopTracking Jozef Vargan,</w:instrText>
      </w:r>
      <w:r w:rsidRPr="00C53521">
        <w:rPr>
          <w:vertAlign w:val="superscript"/>
        </w:rPr>
        <w:instrText>a*</w:instrText>
      </w:r>
      <w:r>
        <w:instrText xml:space="preserve"> Jakub Puk,</w:instrText>
      </w:r>
      <w:r w:rsidRPr="00C53521">
        <w:rPr>
          <w:vertAlign w:val="superscript"/>
        </w:rPr>
        <w:instrText>b</w:instrText>
      </w:r>
      <w:r>
        <w:instrText xml:space="preserve"> Karol Ľubušký,</w:instrText>
      </w:r>
      <w:r w:rsidRPr="00C53521">
        <w:rPr>
          <w:vertAlign w:val="superscript"/>
        </w:rPr>
        <w:instrText>c</w:instrText>
      </w:r>
      <w:r>
        <w:instrText xml:space="preserve"> Miroslav Fikar,</w:instrText>
      </w:r>
      <w:r w:rsidRPr="00C53521">
        <w:rPr>
          <w:vertAlign w:val="superscript"/>
        </w:rPr>
        <w:instrText>a</w:instrText>
      </w:r>
      <w:r>
        <w:instrText xml:space="preserve"> </w:instrText>
      </w:r>
      <w:r>
        <w:fldChar w:fldCharType="end"/>
      </w:r>
    </w:p>
    <w:p w14:paraId="429C731A" w14:textId="77777777" w:rsidR="001135A7" w:rsidRDefault="001135A7" w:rsidP="001135A7">
      <w:pPr>
        <w:pStyle w:val="Els-Affiliation"/>
      </w:pPr>
      <w:r>
        <w:fldChar w:fldCharType="begin"/>
      </w:r>
      <w:r>
        <w:instrText xml:space="preserve"> MACROBUTTON NoMacro </w:instrText>
      </w:r>
      <w:r>
        <w:rPr>
          <w:vertAlign w:val="superscript"/>
        </w:rPr>
        <w:instrText>a</w:instrText>
      </w:r>
      <w:r w:rsidRPr="00727EF4">
        <w:instrText>Slovak University of Technology in Bratislava, Bratislava 81237, Slovakia</w:instrText>
      </w:r>
      <w:r>
        <w:fldChar w:fldCharType="end"/>
      </w:r>
    </w:p>
    <w:p w14:paraId="06F887B6" w14:textId="77777777" w:rsidR="001135A7" w:rsidRDefault="001135A7" w:rsidP="001135A7">
      <w:pPr>
        <w:pStyle w:val="Els-Affiliation"/>
      </w:pPr>
      <w:r>
        <w:fldChar w:fldCharType="begin"/>
      </w:r>
      <w:r>
        <w:instrText xml:space="preserve"> MACROBUTTON NoMacro </w:instrText>
      </w:r>
      <w:r>
        <w:rPr>
          <w:vertAlign w:val="superscript"/>
        </w:rPr>
        <w:instrText>b</w:instrText>
      </w:r>
      <w:r w:rsidRPr="00727EF4">
        <w:instrText>ATP spol. s.r.o., Bratislava 841 01, Slovakia</w:instrText>
      </w:r>
      <w:r>
        <w:fldChar w:fldCharType="end"/>
      </w:r>
    </w:p>
    <w:p w14:paraId="077B0DBD" w14:textId="77777777" w:rsidR="001135A7" w:rsidRDefault="001135A7" w:rsidP="001135A7">
      <w:pPr>
        <w:pStyle w:val="Els-Affiliation"/>
      </w:pPr>
      <w:r>
        <w:fldChar w:fldCharType="begin"/>
      </w:r>
      <w:r>
        <w:instrText xml:space="preserve"> MACROBUTTON NoMacro </w:instrText>
      </w:r>
      <w:r>
        <w:rPr>
          <w:vertAlign w:val="superscript"/>
        </w:rPr>
        <w:instrText>c</w:instrText>
      </w:r>
      <w:r w:rsidRPr="00727EF4">
        <w:instrText>Slovnaft, a.s., Bratislava 82412, Slovakia</w:instrText>
      </w:r>
      <w:r>
        <w:fldChar w:fldCharType="end"/>
      </w:r>
    </w:p>
    <w:p w14:paraId="16CABD1E" w14:textId="77777777" w:rsidR="001135A7" w:rsidRPr="00A94774" w:rsidRDefault="001135A7" w:rsidP="001135A7">
      <w:pPr>
        <w:pStyle w:val="Els-Affiliation"/>
        <w:spacing w:after="120"/>
      </w:pPr>
      <w:r w:rsidRPr="007B3515">
        <w:t>jozef.vargan@stuba.sk</w:t>
      </w:r>
    </w:p>
    <w:p w14:paraId="7AC5D6E0" w14:textId="77777777" w:rsidR="001135A7" w:rsidRDefault="001135A7" w:rsidP="001135A7">
      <w:pPr>
        <w:pStyle w:val="Els-Abstract"/>
      </w:pPr>
      <w:r>
        <w:t>Abstract</w:t>
      </w:r>
    </w:p>
    <w:p w14:paraId="12D14B4F" w14:textId="324E3045" w:rsidR="001135A7" w:rsidRDefault="001135A7" w:rsidP="001135A7">
      <w:pPr>
        <w:pStyle w:val="Els-body-text"/>
        <w:spacing w:after="120"/>
        <w:rPr>
          <w:lang w:val="en-GB"/>
        </w:rPr>
      </w:pPr>
      <w:r w:rsidRPr="005B40C6">
        <w:rPr>
          <w:lang w:val="en-GB"/>
        </w:rPr>
        <w:t>Due to their complexity, production units and equipment in petrochemical plants need to be controlled</w:t>
      </w:r>
      <w:r>
        <w:rPr>
          <w:lang w:val="en-GB"/>
        </w:rPr>
        <w:t xml:space="preserve"> </w:t>
      </w:r>
      <w:r w:rsidRPr="005B40C6">
        <w:rPr>
          <w:lang w:val="en-GB"/>
        </w:rPr>
        <w:t>by advanced process controllers (APC). The optimality of APC control is closely connected</w:t>
      </w:r>
      <w:r>
        <w:rPr>
          <w:lang w:val="en-GB"/>
        </w:rPr>
        <w:t xml:space="preserve"> </w:t>
      </w:r>
      <w:r w:rsidRPr="005B40C6">
        <w:rPr>
          <w:lang w:val="en-GB"/>
        </w:rPr>
        <w:t>with the setting of constraints, while their inappropriate setting leads to a loss of the generated</w:t>
      </w:r>
      <w:r>
        <w:rPr>
          <w:lang w:val="en-GB"/>
        </w:rPr>
        <w:t xml:space="preserve"> </w:t>
      </w:r>
      <w:r w:rsidRPr="005B40C6">
        <w:rPr>
          <w:lang w:val="en-GB"/>
        </w:rPr>
        <w:t xml:space="preserve">profit. </w:t>
      </w:r>
      <w:r w:rsidR="00DE043F" w:rsidRPr="005B40C6">
        <w:rPr>
          <w:lang w:val="en-GB"/>
        </w:rPr>
        <w:t>To</w:t>
      </w:r>
      <w:r w:rsidRPr="005B40C6">
        <w:rPr>
          <w:lang w:val="en-GB"/>
        </w:rPr>
        <w:t xml:space="preserve"> inform the operator in time, we create a tool that analyses the effectiveness of</w:t>
      </w:r>
      <w:r>
        <w:rPr>
          <w:lang w:val="en-GB"/>
        </w:rPr>
        <w:t xml:space="preserve"> </w:t>
      </w:r>
      <w:r w:rsidRPr="005B40C6">
        <w:rPr>
          <w:lang w:val="en-GB"/>
        </w:rPr>
        <w:t>constraints setting. We design a copy of the APC model as a static optimization problem with the</w:t>
      </w:r>
      <w:r>
        <w:rPr>
          <w:lang w:val="en-GB"/>
        </w:rPr>
        <w:t xml:space="preserve"> </w:t>
      </w:r>
      <w:r w:rsidRPr="005B40C6">
        <w:rPr>
          <w:lang w:val="en-GB"/>
        </w:rPr>
        <w:t>implementation of soft constraints. Two methods are employed: local sensitivity analysis using</w:t>
      </w:r>
      <w:r>
        <w:rPr>
          <w:lang w:val="en-GB"/>
        </w:rPr>
        <w:t xml:space="preserve"> </w:t>
      </w:r>
      <w:r w:rsidRPr="005B40C6">
        <w:rPr>
          <w:lang w:val="en-GB"/>
        </w:rPr>
        <w:t>Lagrange multipliers and non-local sensitivity analysis. An ordered list of recommendations is</w:t>
      </w:r>
      <w:r>
        <w:rPr>
          <w:lang w:val="en-GB"/>
        </w:rPr>
        <w:t xml:space="preserve"> </w:t>
      </w:r>
      <w:r w:rsidRPr="005B40C6">
        <w:rPr>
          <w:lang w:val="en-GB"/>
        </w:rPr>
        <w:t>created for plant engineers, providing information on the effectiveness of constraint setting for a</w:t>
      </w:r>
      <w:r>
        <w:rPr>
          <w:lang w:val="en-GB"/>
        </w:rPr>
        <w:t xml:space="preserve"> </w:t>
      </w:r>
      <w:r w:rsidRPr="005B40C6">
        <w:rPr>
          <w:lang w:val="en-GB"/>
        </w:rPr>
        <w:t>single point of operation or during a specific time interval.</w:t>
      </w:r>
    </w:p>
    <w:p w14:paraId="0242D9F7" w14:textId="2EAEB69C" w:rsidR="001135A7" w:rsidRDefault="001135A7" w:rsidP="001135A7">
      <w:pPr>
        <w:pStyle w:val="Els-body-text"/>
        <w:spacing w:after="120"/>
        <w:rPr>
          <w:lang w:val="en-GB"/>
        </w:rPr>
      </w:pPr>
      <w:r>
        <w:rPr>
          <w:b/>
          <w:bCs/>
          <w:lang w:val="en-GB"/>
        </w:rPr>
        <w:t>Keywords</w:t>
      </w:r>
      <w:r>
        <w:rPr>
          <w:lang w:val="en-GB"/>
        </w:rPr>
        <w:t xml:space="preserve">: </w:t>
      </w:r>
      <w:r w:rsidRPr="005E2278">
        <w:rPr>
          <w:lang w:val="en-GB"/>
        </w:rPr>
        <w:t>MPC Maintenance, FCC Unit, Optimal Steady</w:t>
      </w:r>
      <w:r w:rsidR="00194020">
        <w:rPr>
          <w:lang w:val="en-GB"/>
        </w:rPr>
        <w:t>-</w:t>
      </w:r>
      <w:r w:rsidRPr="005E2278">
        <w:rPr>
          <w:lang w:val="en-GB"/>
        </w:rPr>
        <w:t>State, Constraints Analysis</w:t>
      </w:r>
    </w:p>
    <w:p w14:paraId="59B0780D" w14:textId="77777777" w:rsidR="001135A7" w:rsidRDefault="001135A7" w:rsidP="001135A7">
      <w:pPr>
        <w:pStyle w:val="Els-1storder-head"/>
      </w:pPr>
      <w:r>
        <w:t>Introduction</w:t>
      </w:r>
    </w:p>
    <w:p w14:paraId="61FA61B7" w14:textId="77777777" w:rsidR="001135A7" w:rsidRDefault="001135A7" w:rsidP="001135A7">
      <w:pPr>
        <w:pStyle w:val="Els-body-text"/>
      </w:pPr>
      <w:r>
        <w:t xml:space="preserve">Model Predictive Control (MPC) represents an advanced process control strategy routinely applied in refineries nowadays (Lee, 2011; </w:t>
      </w:r>
      <w:proofErr w:type="spellStart"/>
      <w:r>
        <w:t>Schwenzer</w:t>
      </w:r>
      <w:proofErr w:type="spellEnd"/>
      <w:r>
        <w:t xml:space="preserve"> et al., 2021). This is due to increasing demand for profit increase, reduction of variability of products, or a reduced </w:t>
      </w:r>
      <w:proofErr w:type="gramStart"/>
      <w:r>
        <w:t>amount</w:t>
      </w:r>
      <w:proofErr w:type="gramEnd"/>
      <w:r>
        <w:t xml:space="preserve"> of off-specification products. In addition, it is possible to control multivariable units with dozens of input and output variables where manual control or a series of single-variable loops is either impractical or not realizable. All these favorable properties come with a price, which is the complexity of MPC controllers. Therefore, optimal operation is only guaranteed if all controller tuning knobs are set correctly and properly maintained (</w:t>
      </w:r>
      <w:proofErr w:type="spellStart"/>
      <w:r>
        <w:t>Arumugasamy</w:t>
      </w:r>
      <w:proofErr w:type="spellEnd"/>
      <w:r>
        <w:t xml:space="preserve"> and Ahmad, 2012).</w:t>
      </w:r>
    </w:p>
    <w:p w14:paraId="5D8395E6" w14:textId="77777777" w:rsidR="001135A7" w:rsidRDefault="001135A7" w:rsidP="001135A7">
      <w:pPr>
        <w:pStyle w:val="Els-body-text"/>
        <w:spacing w:before="120"/>
      </w:pPr>
      <w:r>
        <w:t xml:space="preserve">MPC monitoring, assessment, diagnostics, and maintenance have a firm place in industrial packages that come along with the controller. Industrial view of performance monitoring and future trends can be found in Qin and </w:t>
      </w:r>
      <w:proofErr w:type="spellStart"/>
      <w:r>
        <w:t>Badgwell</w:t>
      </w:r>
      <w:proofErr w:type="spellEnd"/>
      <w:r>
        <w:t xml:space="preserve"> (2003); Forbes et al. (2015). There are several approaches to the sustainability of MPC performance. Some of these are outlined in Guerlain et al. (2002) where a decision system support is described and improvements in user interface are proposed for various hard-to-detect issues. Approaches to analyzing, interpreting, and visualizing the controller decisions are studied by </w:t>
      </w:r>
      <w:proofErr w:type="spellStart"/>
      <w:r>
        <w:t>Elnawawi</w:t>
      </w:r>
      <w:proofErr w:type="spellEnd"/>
      <w:r>
        <w:t xml:space="preserve"> et al. (2022). The patent of Peterson et al. (2011) uses pivoting of unconstrained and constrained variables to analyze allowable steady-state moves until some constraint is reached and to determine the sensitivity of the constraints on the profitability of the controller. Control performance improvements have been suggested and compared in Botelho et al. (2016); Godoy et al. (2017) using some global indicators. Continuous performance assessment </w:t>
      </w:r>
      <w:r w:rsidRPr="00712413">
        <w:t>concerning the</w:t>
      </w:r>
      <w:r>
        <w:t xml:space="preserve"> MPC constraints, and their tuning was suggested in Agarwal et al. (2007).</w:t>
      </w:r>
    </w:p>
    <w:p w14:paraId="1C1A9264" w14:textId="77777777" w:rsidR="001135A7" w:rsidRPr="002D193D" w:rsidRDefault="001135A7" w:rsidP="003F5604">
      <w:pPr>
        <w:pStyle w:val="Els-body-text"/>
        <w:spacing w:before="120"/>
      </w:pPr>
      <w:r>
        <w:t xml:space="preserve">This work studies the effect of limit tightening by the operator’s actions due to some operating conditions. As a case study, we will investigate a fluid catalytic cracking (FCC) </w:t>
      </w:r>
      <w:r>
        <w:lastRenderedPageBreak/>
        <w:t>production unit with many input/</w:t>
      </w:r>
      <w:proofErr w:type="gramStart"/>
      <w:r>
        <w:t>output</w:t>
      </w:r>
      <w:proofErr w:type="gramEnd"/>
      <w:r>
        <w:t xml:space="preserve"> signals where the effects of such changes cannot easily be evaluated. The result intended for the plant engineers is a priority list of constraints that should be returned to their factory values to guarantee plant profitability. Two methods are applied and compared: a precise but computationally less effective non-local sensitivity analysis and information provided by Lagrange multipliers that is only valid locally.</w:t>
      </w:r>
    </w:p>
    <w:p w14:paraId="426EC724" w14:textId="77777777" w:rsidR="001135A7" w:rsidRDefault="001135A7" w:rsidP="001135A7">
      <w:pPr>
        <w:pStyle w:val="Els-1storder-head"/>
      </w:pPr>
      <w:r>
        <w:t>Design of APC Model</w:t>
      </w:r>
    </w:p>
    <w:p w14:paraId="2EDA8E7D" w14:textId="77777777" w:rsidR="001135A7" w:rsidRDefault="001135A7" w:rsidP="001135A7">
      <w:pPr>
        <w:pStyle w:val="Els-body-text"/>
      </w:pPr>
      <w:r>
        <w:t>The examined device is a distillation column in a fluid catalytic cracking production unit. It consists of two parts – a fractionator (located at the head of the column) and six double-shaped floors (circular and disc). The coke trap ensures the purity of the products drained off at the bottom of the column. The heavy oil feed is fed to the first floor at the boiling temperature. The contact between the liquid and vapor phases results in the separation of the components of the reaction mixture, divided into several fractions – wet gases and naphtha at the top of the column, light (LCO) and heavy (HCO) circulation oils and products at the bottom of the main column (MCB). Wet gases are cooled and removed as a naphtha product or returned as heavy-side circulation naphtha (HCN). Ratio control is applied. LCOs are regulated via a withdrawal, with LCO maximized against HCO. HCO is similar to LCO, controlled via a withdrawal. MCB is subject to dual regulatory mechanisms, including control through flow rate and a ratio control that governs its withdrawal of MCB and subsequent recirculation.</w:t>
      </w:r>
    </w:p>
    <w:p w14:paraId="337B8379" w14:textId="77777777" w:rsidR="00EE5599" w:rsidRDefault="001135A7" w:rsidP="00EE5599">
      <w:pPr>
        <w:pStyle w:val="Els-body-text"/>
        <w:spacing w:before="120"/>
      </w:pPr>
      <w:r>
        <w:t>This unit’s Advanced process control is implemented using Honeywell’s RMPCT Profit controller (Honeywell, 2012) to guarantee overall performance. The controller handles a total of 47 controlled (CV), manipulated (MV), and disturbance (DV) variables. These are constrained using hard (HC) and soft (SC) constraints. While the HCs must not be violated, placing SCs within HCs creates a buffer, making it difficult for variables to reach the HC. In addition, to improve the feasibility of the optimal solution, the high limits of HC are not defined for CVs (</w:t>
      </w:r>
      <w:proofErr w:type="spellStart"/>
      <w:r>
        <w:t>Vargan</w:t>
      </w:r>
      <w:proofErr w:type="spellEnd"/>
      <w:r>
        <w:t>, 2023).</w:t>
      </w:r>
    </w:p>
    <w:p w14:paraId="3B5990B7" w14:textId="295B6D44" w:rsidR="001135A7" w:rsidRDefault="001135A7" w:rsidP="00EE5599">
      <w:pPr>
        <w:pStyle w:val="Els-body-text"/>
        <w:spacing w:before="120"/>
      </w:pPr>
      <w:r w:rsidRPr="00502314">
        <w:t>Following the limits</w:t>
      </w:r>
      <w:r>
        <w:t>'</w:t>
      </w:r>
      <w:r w:rsidRPr="00502314">
        <w:t xml:space="preserve"> objectives, we distinguish between two types of constraints:</w:t>
      </w:r>
    </w:p>
    <w:p w14:paraId="7611A18E" w14:textId="4E469B55" w:rsidR="001135A7" w:rsidRDefault="001135A7" w:rsidP="001135A7">
      <w:pPr>
        <w:pStyle w:val="Els-body-text"/>
        <w:numPr>
          <w:ilvl w:val="0"/>
          <w:numId w:val="19"/>
        </w:numPr>
        <w:spacing w:before="120"/>
        <w:ind w:left="714" w:hanging="357"/>
      </w:pPr>
      <w:r>
        <w:t>Ideal constraint (IC)</w:t>
      </w:r>
      <w:r w:rsidR="00425F3D">
        <w:t xml:space="preserve"> </w:t>
      </w:r>
      <w:r>
        <w:t>– the value of which is determined by the technical documentation for the APC control,</w:t>
      </w:r>
    </w:p>
    <w:p w14:paraId="1D6FC611" w14:textId="77777777" w:rsidR="001135A7" w:rsidRDefault="001135A7" w:rsidP="001135A7">
      <w:pPr>
        <w:pStyle w:val="Els-body-text"/>
        <w:numPr>
          <w:ilvl w:val="0"/>
          <w:numId w:val="19"/>
        </w:numPr>
        <w:spacing w:after="120"/>
        <w:ind w:left="714" w:hanging="357"/>
      </w:pPr>
      <w:r w:rsidRPr="00CC28FF">
        <w:t>Real constraint (RC) – temporarily set by the operators.</w:t>
      </w:r>
    </w:p>
    <w:p w14:paraId="640E28DB" w14:textId="77777777" w:rsidR="001135A7" w:rsidRDefault="001135A7" w:rsidP="001135A7">
      <w:pPr>
        <w:pStyle w:val="Els-body-text"/>
      </w:pPr>
      <w:r>
        <w:t>Real constraints are usually applied to mitigate the influence of some disturbance on the plant to stabilize some part of the process. Real constraints usually tighten the ideal constraints, but it can also happen that the operators relax some of the constraints. Once the disturbance terminates, the operator should return the control mode from RC to IC. Failing to do so, some RCs can “throttle” the controlled system, thus degrading the optimality of the operation. For a large process such as FCC, it is not always easy to detect suboptimal operation by visually inspecting all RMPCT parameters.</w:t>
      </w:r>
    </w:p>
    <w:p w14:paraId="3B56EE88" w14:textId="77777777" w:rsidR="00EE5599" w:rsidRDefault="001135A7" w:rsidP="00EE5599">
      <w:pPr>
        <w:pStyle w:val="Els-body-text"/>
        <w:spacing w:before="120"/>
      </w:pPr>
      <w:r>
        <w:t>The original problem solved by RMPCT controller in each sampling time is specified by a quadratic cost function, equality constraints resulting from a dynamical process model and inequality constraints on all process variables defining the hard and soft constraints. The process model is characterized by a matrix of all transfer functions between inputs and outputs.</w:t>
      </w:r>
    </w:p>
    <w:p w14:paraId="1DA936FF" w14:textId="67A18ACE" w:rsidR="001135A7" w:rsidRDefault="001135A7" w:rsidP="00EE5599">
      <w:pPr>
        <w:pStyle w:val="Els-body-text"/>
        <w:spacing w:before="120"/>
      </w:pPr>
      <w:r>
        <w:t xml:space="preserve">To simplify the analysis, we concentrate on static operation in our approach to systematic detection of control performance degradation due to constraints changes. This simplifies the dynamic optimization formulation of the original problem to quadratic programming. The soft constraints are implemented using slack variables and absolute value penalties in </w:t>
      </w:r>
      <w:r>
        <w:lastRenderedPageBreak/>
        <w:t>the cost function. Quadratic penalties were also tested but were more difficult to tune. The mathematical formulation of the problem is defined as follows:</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2"/>
        <w:gridCol w:w="976"/>
      </w:tblGrid>
      <w:tr w:rsidR="001135A7" w14:paraId="3CF422AC" w14:textId="77777777" w:rsidTr="000E0A82">
        <w:trPr>
          <w:jc w:val="center"/>
        </w:trPr>
        <w:tc>
          <w:tcPr>
            <w:tcW w:w="4354" w:type="pct"/>
            <w:vAlign w:val="center"/>
          </w:tcPr>
          <w:p w14:paraId="7FAF8AE2" w14:textId="77777777" w:rsidR="001135A7" w:rsidRPr="00A127A6" w:rsidRDefault="00AA3D2F" w:rsidP="009010B6">
            <w:pPr>
              <w:pStyle w:val="Els-body-text"/>
              <w:jc w:val="center"/>
            </w:pPr>
            <m:oMathPara>
              <m:oMathParaPr>
                <m:jc m:val="left"/>
              </m:oMathParaPr>
              <m:oMath>
                <m:func>
                  <m:funcPr>
                    <m:ctrlPr>
                      <w:rPr>
                        <w:rFonts w:ascii="Cambria Math" w:hAnsi="Cambria Math"/>
                        <w:i/>
                        <w:sz w:val="16"/>
                        <w:szCs w:val="16"/>
                      </w:rPr>
                    </m:ctrlPr>
                  </m:funcPr>
                  <m:fName>
                    <m:limLow>
                      <m:limLowPr>
                        <m:ctrlPr>
                          <w:rPr>
                            <w:rFonts w:ascii="Cambria Math" w:hAnsi="Cambria Math"/>
                            <w:i/>
                            <w:sz w:val="16"/>
                            <w:szCs w:val="16"/>
                          </w:rPr>
                        </m:ctrlPr>
                      </m:limLowPr>
                      <m:e>
                        <m:r>
                          <m:rPr>
                            <m:sty m:val="p"/>
                          </m:rPr>
                          <w:rPr>
                            <w:rFonts w:ascii="Cambria Math" w:hAnsi="Cambria Math"/>
                            <w:sz w:val="16"/>
                            <w:szCs w:val="16"/>
                          </w:rPr>
                          <m:t>min</m:t>
                        </m:r>
                      </m:e>
                      <m:lim>
                        <m:r>
                          <w:rPr>
                            <w:rFonts w:ascii="Cambria Math" w:hAnsi="Cambria Math"/>
                            <w:sz w:val="16"/>
                            <w:szCs w:val="16"/>
                          </w:rPr>
                          <m:t>x</m:t>
                        </m:r>
                      </m:lim>
                    </m:limLow>
                  </m:fName>
                  <m:e>
                    <m:r>
                      <w:rPr>
                        <w:rFonts w:ascii="Cambria Math" w:hAnsi="Cambria Math"/>
                        <w:sz w:val="16"/>
                        <w:szCs w:val="16"/>
                      </w:rPr>
                      <m:t>J</m:t>
                    </m:r>
                    <m:d>
                      <m:dPr>
                        <m:ctrlPr>
                          <w:rPr>
                            <w:rFonts w:ascii="Cambria Math" w:hAnsi="Cambria Math"/>
                            <w:i/>
                            <w:sz w:val="16"/>
                            <w:szCs w:val="16"/>
                          </w:rPr>
                        </m:ctrlPr>
                      </m:dPr>
                      <m:e>
                        <m:r>
                          <w:rPr>
                            <w:rFonts w:ascii="Cambria Math" w:hAnsi="Cambria Math"/>
                            <w:sz w:val="16"/>
                            <w:szCs w:val="16"/>
                          </w:rPr>
                          <m:t>x</m:t>
                        </m:r>
                      </m:e>
                    </m:d>
                  </m:e>
                </m:func>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i</m:t>
                    </m:r>
                    <m:r>
                      <w:rPr>
                        <w:rFonts w:ascii="Cambria Math" w:hAnsi="Cambria Math"/>
                        <w:sz w:val="16"/>
                        <w:szCs w:val="16"/>
                      </w:rPr>
                      <m:t>=</m:t>
                    </m:r>
                    <m:r>
                      <w:rPr>
                        <w:rFonts w:ascii="Cambria Math" w:hAnsi="Cambria Math"/>
                        <w:sz w:val="16"/>
                        <w:szCs w:val="16"/>
                      </w:rPr>
                      <m:t>1</m:t>
                    </m:r>
                  </m:sub>
                  <m:sup>
                    <m:r>
                      <w:rPr>
                        <w:rFonts w:ascii="Cambria Math" w:hAnsi="Cambria Math"/>
                        <w:sz w:val="16"/>
                        <w:szCs w:val="16"/>
                      </w:rPr>
                      <m:t>s</m:t>
                    </m:r>
                  </m:sup>
                  <m:e>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CV</m:t>
                        </m:r>
                        <m:r>
                          <w:rPr>
                            <w:rFonts w:ascii="Cambria Math" w:hAnsi="Cambria Math"/>
                            <w:sz w:val="16"/>
                            <w:szCs w:val="16"/>
                          </w:rPr>
                          <m:t>,</m:t>
                        </m:r>
                        <m:r>
                          <w:rPr>
                            <w:rFonts w:ascii="Cambria Math" w:hAnsi="Cambria Math"/>
                            <w:sz w:val="16"/>
                            <w:szCs w:val="16"/>
                          </w:rPr>
                          <m:t>i</m:t>
                        </m:r>
                      </m:sub>
                    </m:sSub>
                  </m:e>
                </m:nary>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i</m:t>
                    </m:r>
                  </m:sub>
                </m:sSub>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i</m:t>
                    </m:r>
                    <m:r>
                      <w:rPr>
                        <w:rFonts w:ascii="Cambria Math" w:hAnsi="Cambria Math"/>
                        <w:sz w:val="16"/>
                        <w:szCs w:val="16"/>
                      </w:rPr>
                      <m:t>=1</m:t>
                    </m:r>
                  </m:sub>
                  <m:sup>
                    <m:r>
                      <w:rPr>
                        <w:rFonts w:ascii="Cambria Math" w:hAnsi="Cambria Math"/>
                        <w:sz w:val="16"/>
                        <w:szCs w:val="16"/>
                      </w:rPr>
                      <m:t>s</m:t>
                    </m:r>
                  </m:sup>
                  <m:e>
                    <m:sSubSup>
                      <m:sSubSupPr>
                        <m:ctrlPr>
                          <w:rPr>
                            <w:rFonts w:ascii="Cambria Math" w:hAnsi="Cambria Math"/>
                            <w:i/>
                            <w:sz w:val="16"/>
                            <w:szCs w:val="16"/>
                          </w:rPr>
                        </m:ctrlPr>
                      </m:sSubSupPr>
                      <m:e>
                        <m:r>
                          <w:rPr>
                            <w:rFonts w:ascii="Cambria Math" w:hAnsi="Cambria Math"/>
                            <w:sz w:val="16"/>
                            <w:szCs w:val="16"/>
                          </w:rPr>
                          <m:t>a</m:t>
                        </m:r>
                      </m:e>
                      <m:sub>
                        <m:r>
                          <w:rPr>
                            <w:rFonts w:ascii="Cambria Math" w:hAnsi="Cambria Math"/>
                            <w:sz w:val="16"/>
                            <w:szCs w:val="16"/>
                          </w:rPr>
                          <m:t>CV</m:t>
                        </m:r>
                        <m:r>
                          <w:rPr>
                            <w:rFonts w:ascii="Cambria Math" w:hAnsi="Cambria Math"/>
                            <w:sz w:val="16"/>
                            <w:szCs w:val="16"/>
                          </w:rPr>
                          <m:t>,</m:t>
                        </m:r>
                        <m:r>
                          <w:rPr>
                            <w:rFonts w:ascii="Cambria Math" w:hAnsi="Cambria Math"/>
                            <w:sz w:val="16"/>
                            <w:szCs w:val="16"/>
                          </w:rPr>
                          <m:t>i</m:t>
                        </m:r>
                      </m:sub>
                      <m:sup>
                        <m:r>
                          <w:rPr>
                            <w:rFonts w:ascii="Cambria Math" w:hAnsi="Cambria Math"/>
                            <w:sz w:val="16"/>
                            <w:szCs w:val="16"/>
                          </w:rPr>
                          <m:t>2</m:t>
                        </m:r>
                      </m:sup>
                    </m:sSubSup>
                  </m:e>
                </m:nary>
                <m:sSup>
                  <m:sSupPr>
                    <m:ctrlPr>
                      <w:rPr>
                        <w:rFonts w:ascii="Cambria Math" w:hAnsi="Cambria Math"/>
                        <w:i/>
                        <w:sz w:val="16"/>
                        <w:szCs w:val="16"/>
                      </w:rPr>
                    </m:ctrlPr>
                  </m:sSupPr>
                  <m:e>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0,</m:t>
                            </m:r>
                            <m:r>
                              <w:rPr>
                                <w:rFonts w:ascii="Cambria Math" w:hAnsi="Cambria Math"/>
                                <w:sz w:val="16"/>
                                <w:szCs w:val="16"/>
                              </w:rPr>
                              <m:t>i</m:t>
                            </m:r>
                          </m:sub>
                        </m:sSub>
                      </m:e>
                    </m:d>
                  </m:e>
                  <m:sup>
                    <m:r>
                      <w:rPr>
                        <w:rFonts w:ascii="Cambria Math" w:hAnsi="Cambria Math"/>
                        <w:sz w:val="16"/>
                        <w:szCs w:val="16"/>
                      </w:rPr>
                      <m:t>2</m:t>
                    </m:r>
                  </m:sup>
                </m:sSup>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j</m:t>
                    </m:r>
                    <m:r>
                      <w:rPr>
                        <w:rFonts w:ascii="Cambria Math" w:hAnsi="Cambria Math"/>
                        <w:sz w:val="16"/>
                        <w:szCs w:val="16"/>
                      </w:rPr>
                      <m:t>=1</m:t>
                    </m:r>
                  </m:sub>
                  <m:sup>
                    <m:r>
                      <w:rPr>
                        <w:rFonts w:ascii="Cambria Math" w:hAnsi="Cambria Math"/>
                        <w:sz w:val="16"/>
                        <w:szCs w:val="16"/>
                      </w:rPr>
                      <m:t>t</m:t>
                    </m:r>
                  </m:sup>
                  <m:e>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MV</m:t>
                        </m:r>
                        <m:r>
                          <w:rPr>
                            <w:rFonts w:ascii="Cambria Math" w:hAnsi="Cambria Math"/>
                            <w:sz w:val="16"/>
                            <w:szCs w:val="16"/>
                          </w:rPr>
                          <m:t>,</m:t>
                        </m:r>
                        <m:r>
                          <w:rPr>
                            <w:rFonts w:ascii="Cambria Math" w:hAnsi="Cambria Math"/>
                            <w:sz w:val="16"/>
                            <w:szCs w:val="16"/>
                          </w:rPr>
                          <m:t>j</m:t>
                        </m:r>
                      </m:sub>
                    </m:sSub>
                  </m:e>
                </m:nary>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j</m:t>
                    </m:r>
                  </m:sub>
                </m:sSub>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j</m:t>
                    </m:r>
                    <m:r>
                      <w:rPr>
                        <w:rFonts w:ascii="Cambria Math" w:hAnsi="Cambria Math"/>
                        <w:sz w:val="16"/>
                        <w:szCs w:val="16"/>
                      </w:rPr>
                      <m:t>=1</m:t>
                    </m:r>
                  </m:sub>
                  <m:sup>
                    <m:r>
                      <w:rPr>
                        <w:rFonts w:ascii="Cambria Math" w:hAnsi="Cambria Math"/>
                        <w:sz w:val="16"/>
                        <w:szCs w:val="16"/>
                      </w:rPr>
                      <m:t>t</m:t>
                    </m:r>
                  </m:sup>
                  <m:e>
                    <m:sSubSup>
                      <m:sSubSupPr>
                        <m:ctrlPr>
                          <w:rPr>
                            <w:rFonts w:ascii="Cambria Math" w:hAnsi="Cambria Math"/>
                            <w:i/>
                            <w:sz w:val="16"/>
                            <w:szCs w:val="16"/>
                          </w:rPr>
                        </m:ctrlPr>
                      </m:sSubSupPr>
                      <m:e>
                        <m:r>
                          <w:rPr>
                            <w:rFonts w:ascii="Cambria Math" w:hAnsi="Cambria Math"/>
                            <w:sz w:val="16"/>
                            <w:szCs w:val="16"/>
                          </w:rPr>
                          <m:t>a</m:t>
                        </m:r>
                      </m:e>
                      <m:sub>
                        <m:r>
                          <w:rPr>
                            <w:rFonts w:ascii="Cambria Math" w:hAnsi="Cambria Math"/>
                            <w:sz w:val="16"/>
                            <w:szCs w:val="16"/>
                          </w:rPr>
                          <m:t>MV</m:t>
                        </m:r>
                        <m:r>
                          <w:rPr>
                            <w:rFonts w:ascii="Cambria Math" w:hAnsi="Cambria Math"/>
                            <w:sz w:val="16"/>
                            <w:szCs w:val="16"/>
                          </w:rPr>
                          <m:t>,</m:t>
                        </m:r>
                        <m:r>
                          <w:rPr>
                            <w:rFonts w:ascii="Cambria Math" w:hAnsi="Cambria Math"/>
                            <w:sz w:val="16"/>
                            <w:szCs w:val="16"/>
                          </w:rPr>
                          <m:t>j</m:t>
                        </m:r>
                      </m:sub>
                      <m:sup>
                        <m:r>
                          <w:rPr>
                            <w:rFonts w:ascii="Cambria Math" w:hAnsi="Cambria Math"/>
                            <w:sz w:val="16"/>
                            <w:szCs w:val="16"/>
                          </w:rPr>
                          <m:t>2</m:t>
                        </m:r>
                      </m:sup>
                    </m:sSubSup>
                  </m:e>
                </m:nary>
                <m:sSup>
                  <m:sSupPr>
                    <m:ctrlPr>
                      <w:rPr>
                        <w:rFonts w:ascii="Cambria Math" w:hAnsi="Cambria Math"/>
                        <w:i/>
                        <w:sz w:val="16"/>
                        <w:szCs w:val="16"/>
                      </w:rPr>
                    </m:ctrlPr>
                  </m:sSupPr>
                  <m:e>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0,</m:t>
                            </m:r>
                            <m:r>
                              <w:rPr>
                                <w:rFonts w:ascii="Cambria Math" w:hAnsi="Cambria Math"/>
                                <w:sz w:val="16"/>
                                <w:szCs w:val="16"/>
                              </w:rPr>
                              <m:t>j</m:t>
                            </m:r>
                          </m:sub>
                        </m:sSub>
                      </m:e>
                    </m:d>
                  </m:e>
                  <m:sup>
                    <m:r>
                      <w:rPr>
                        <w:rFonts w:ascii="Cambria Math" w:hAnsi="Cambria Math"/>
                        <w:sz w:val="16"/>
                        <w:szCs w:val="16"/>
                      </w:rPr>
                      <m:t>2</m:t>
                    </m:r>
                  </m:sup>
                </m:sSup>
              </m:oMath>
            </m:oMathPara>
          </w:p>
        </w:tc>
        <w:tc>
          <w:tcPr>
            <w:tcW w:w="646" w:type="pct"/>
            <w:vMerge w:val="restart"/>
            <w:vAlign w:val="center"/>
          </w:tcPr>
          <w:p w14:paraId="0C6FED6D" w14:textId="77777777" w:rsidR="001135A7" w:rsidRDefault="001135A7" w:rsidP="000E0A82">
            <w:pPr>
              <w:pStyle w:val="Els-body-text"/>
              <w:jc w:val="right"/>
            </w:pPr>
            <w:r>
              <w:t>(1a)</w:t>
            </w:r>
          </w:p>
        </w:tc>
      </w:tr>
      <w:tr w:rsidR="001135A7" w14:paraId="559C3FAB" w14:textId="77777777" w:rsidTr="000E0A82">
        <w:trPr>
          <w:jc w:val="center"/>
        </w:trPr>
        <w:tc>
          <w:tcPr>
            <w:tcW w:w="4354" w:type="pct"/>
            <w:vAlign w:val="center"/>
          </w:tcPr>
          <w:p w14:paraId="7CE30389" w14:textId="77777777" w:rsidR="001135A7" w:rsidRPr="00A127A6"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                  +</m:t>
                </m:r>
                <m:nary>
                  <m:naryPr>
                    <m:chr m:val="∑"/>
                    <m:limLoc m:val="undOvr"/>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s</m:t>
                    </m:r>
                  </m:sup>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CV,H,i</m:t>
                        </m:r>
                      </m:sub>
                    </m:sSub>
                  </m:e>
                </m:nary>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CV,H,i</m:t>
                    </m:r>
                  </m:sub>
                </m:sSub>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s</m:t>
                    </m:r>
                  </m:sup>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CV,L,i</m:t>
                        </m:r>
                      </m:sub>
                    </m:sSub>
                  </m:e>
                </m:nary>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CV,L,i</m:t>
                    </m:r>
                  </m:sub>
                </m:sSub>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j=1</m:t>
                    </m:r>
                  </m:sub>
                  <m:sup>
                    <m:r>
                      <w:rPr>
                        <w:rFonts w:ascii="Cambria Math" w:hAnsi="Cambria Math"/>
                        <w:sz w:val="16"/>
                        <w:szCs w:val="16"/>
                      </w:rPr>
                      <m:t>t</m:t>
                    </m:r>
                  </m:sup>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MV,H,j</m:t>
                        </m:r>
                      </m:sub>
                    </m:sSub>
                  </m:e>
                </m:nary>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MV,H,j</m:t>
                    </m:r>
                  </m:sub>
                </m:sSub>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j=1</m:t>
                    </m:r>
                  </m:sub>
                  <m:sup>
                    <m:r>
                      <w:rPr>
                        <w:rFonts w:ascii="Cambria Math" w:hAnsi="Cambria Math"/>
                        <w:sz w:val="16"/>
                        <w:szCs w:val="16"/>
                      </w:rPr>
                      <m:t>t</m:t>
                    </m:r>
                  </m:sup>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MV,L,j</m:t>
                        </m:r>
                      </m:sub>
                    </m:sSub>
                  </m:e>
                </m:nary>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MV,L,j</m:t>
                    </m:r>
                  </m:sub>
                </m:sSub>
              </m:oMath>
            </m:oMathPara>
          </w:p>
        </w:tc>
        <w:tc>
          <w:tcPr>
            <w:tcW w:w="646" w:type="pct"/>
            <w:vMerge/>
            <w:vAlign w:val="center"/>
          </w:tcPr>
          <w:p w14:paraId="2C0BA3EB" w14:textId="77777777" w:rsidR="001135A7" w:rsidRDefault="001135A7" w:rsidP="000E0A82">
            <w:pPr>
              <w:pStyle w:val="Els-body-text"/>
              <w:jc w:val="right"/>
            </w:pPr>
          </w:p>
        </w:tc>
      </w:tr>
      <w:tr w:rsidR="001135A7" w14:paraId="2F2B1D8A" w14:textId="77777777" w:rsidTr="000E0A82">
        <w:trPr>
          <w:jc w:val="center"/>
        </w:trPr>
        <w:tc>
          <w:tcPr>
            <w:tcW w:w="4354" w:type="pct"/>
            <w:vAlign w:val="center"/>
          </w:tcPr>
          <w:p w14:paraId="66436008" w14:textId="77777777" w:rsidR="001135A7" w:rsidRPr="00E326C2"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s.t. </m:t>
                </m:r>
                <m:sSub>
                  <m:sSubPr>
                    <m:ctrlPr>
                      <w:rPr>
                        <w:rFonts w:ascii="Cambria Math" w:hAnsi="Cambria Math"/>
                        <w:i/>
                        <w:sz w:val="16"/>
                        <w:szCs w:val="16"/>
                      </w:rPr>
                    </m:ctrlPr>
                  </m:sSubPr>
                  <m:e>
                    <m:r>
                      <w:rPr>
                        <w:rFonts w:ascii="Cambria Math" w:hAnsi="Cambria Math"/>
                        <w:sz w:val="16"/>
                        <w:szCs w:val="16"/>
                      </w:rPr>
                      <m:t xml:space="preserve">           CV</m:t>
                    </m:r>
                  </m:e>
                  <m:sub>
                    <m:r>
                      <w:rPr>
                        <w:rFonts w:ascii="Cambria Math" w:hAnsi="Cambria Math"/>
                        <w:sz w:val="16"/>
                        <w:szCs w:val="16"/>
                      </w:rPr>
                      <m:t>i</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CV</m:t>
                    </m:r>
                  </m:e>
                  <m:sub>
                    <m:r>
                      <w:rPr>
                        <w:rFonts w:ascii="Cambria Math" w:hAnsi="Cambria Math"/>
                        <w:sz w:val="16"/>
                        <w:szCs w:val="16"/>
                      </w:rPr>
                      <m:t>i</m:t>
                    </m:r>
                  </m:sub>
                  <m:sup>
                    <m:r>
                      <w:rPr>
                        <w:rFonts w:ascii="Cambria Math" w:hAnsi="Cambria Math"/>
                        <w:sz w:val="16"/>
                        <w:szCs w:val="16"/>
                      </w:rPr>
                      <m:t>SS</m:t>
                    </m:r>
                  </m:sup>
                </m:sSubSup>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j=1</m:t>
                    </m:r>
                  </m:sub>
                  <m:sup>
                    <m:r>
                      <w:rPr>
                        <w:rFonts w:ascii="Cambria Math" w:hAnsi="Cambria Math"/>
                        <w:sz w:val="16"/>
                        <w:szCs w:val="16"/>
                      </w:rPr>
                      <m:t>t</m:t>
                    </m:r>
                  </m:sup>
                  <m:e>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i,j</m:t>
                        </m:r>
                      </m:sub>
                    </m:sSub>
                  </m:e>
                </m:nary>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j</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MV</m:t>
                        </m:r>
                      </m:e>
                      <m:sub>
                        <m:r>
                          <w:rPr>
                            <w:rFonts w:ascii="Cambria Math" w:hAnsi="Cambria Math"/>
                            <w:sz w:val="16"/>
                            <w:szCs w:val="16"/>
                          </w:rPr>
                          <m:t>j</m:t>
                        </m:r>
                      </m:sub>
                      <m:sup>
                        <m:r>
                          <w:rPr>
                            <w:rFonts w:ascii="Cambria Math" w:hAnsi="Cambria Math"/>
                            <w:sz w:val="16"/>
                            <w:szCs w:val="16"/>
                          </w:rPr>
                          <m:t>SS</m:t>
                        </m:r>
                      </m:sup>
                    </m:sSubSup>
                  </m:e>
                </m:d>
                <m:r>
                  <w:rPr>
                    <w:rFonts w:ascii="Cambria Math" w:hAnsi="Cambria Math"/>
                    <w:sz w:val="16"/>
                    <w:szCs w:val="16"/>
                  </w:rPr>
                  <m:t>,</m:t>
                </m:r>
              </m:oMath>
            </m:oMathPara>
          </w:p>
        </w:tc>
        <w:tc>
          <w:tcPr>
            <w:tcW w:w="646" w:type="pct"/>
            <w:vAlign w:val="center"/>
          </w:tcPr>
          <w:p w14:paraId="41C7F5BD" w14:textId="77777777" w:rsidR="001135A7" w:rsidRDefault="001135A7" w:rsidP="000E0A82">
            <w:pPr>
              <w:pStyle w:val="Els-body-text"/>
              <w:jc w:val="right"/>
            </w:pPr>
            <w:r>
              <w:t>(1b)</w:t>
            </w:r>
          </w:p>
        </w:tc>
      </w:tr>
      <w:tr w:rsidR="001135A7" w14:paraId="3F9263E9" w14:textId="77777777" w:rsidTr="000E0A82">
        <w:trPr>
          <w:jc w:val="center"/>
        </w:trPr>
        <w:tc>
          <w:tcPr>
            <w:tcW w:w="4354" w:type="pct"/>
            <w:vAlign w:val="center"/>
          </w:tcPr>
          <w:p w14:paraId="241914B8" w14:textId="77777777" w:rsidR="001135A7" w:rsidRPr="005F3C9A"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L,i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L,i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CV,L,i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H,i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CV</m:t>
                    </m:r>
                  </m:e>
                  <m:sub>
                    <m:r>
                      <w:rPr>
                        <w:rFonts w:ascii="Cambria Math" w:hAnsi="Cambria Math"/>
                        <w:sz w:val="16"/>
                        <w:szCs w:val="16"/>
                      </w:rPr>
                      <m:t>H,i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CV,H,i</m:t>
                    </m:r>
                  </m:sub>
                </m:sSub>
                <m:r>
                  <w:rPr>
                    <w:rFonts w:ascii="Cambria Math" w:hAnsi="Cambria Math"/>
                    <w:sz w:val="16"/>
                    <w:szCs w:val="16"/>
                  </w:rPr>
                  <m:t>,</m:t>
                </m:r>
              </m:oMath>
            </m:oMathPara>
          </w:p>
        </w:tc>
        <w:tc>
          <w:tcPr>
            <w:tcW w:w="646" w:type="pct"/>
            <w:vAlign w:val="center"/>
          </w:tcPr>
          <w:p w14:paraId="713CABA9" w14:textId="77777777" w:rsidR="001135A7" w:rsidRDefault="001135A7" w:rsidP="000E0A82">
            <w:pPr>
              <w:pStyle w:val="Els-body-text"/>
              <w:jc w:val="right"/>
            </w:pPr>
            <w:r>
              <w:t>(1c)</w:t>
            </w:r>
          </w:p>
        </w:tc>
      </w:tr>
      <w:tr w:rsidR="001135A7" w14:paraId="058502E4" w14:textId="77777777" w:rsidTr="000E0A82">
        <w:trPr>
          <w:jc w:val="center"/>
        </w:trPr>
        <w:tc>
          <w:tcPr>
            <w:tcW w:w="4354" w:type="pct"/>
            <w:vAlign w:val="center"/>
          </w:tcPr>
          <w:p w14:paraId="6E0FC2AD" w14:textId="77777777" w:rsidR="001135A7" w:rsidRPr="000F67C3"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L,j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L,j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MV,L,j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H,j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H,j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MV,H,j</m:t>
                    </m:r>
                  </m:sub>
                </m:sSub>
                <m:r>
                  <w:rPr>
                    <w:rFonts w:ascii="Cambria Math" w:hAnsi="Cambria Math"/>
                    <w:sz w:val="16"/>
                    <w:szCs w:val="16"/>
                  </w:rPr>
                  <m:t>,</m:t>
                </m:r>
              </m:oMath>
            </m:oMathPara>
          </w:p>
        </w:tc>
        <w:tc>
          <w:tcPr>
            <w:tcW w:w="646" w:type="pct"/>
            <w:vAlign w:val="center"/>
          </w:tcPr>
          <w:p w14:paraId="6DAC494D" w14:textId="77777777" w:rsidR="001135A7" w:rsidRDefault="001135A7" w:rsidP="000E0A82">
            <w:pPr>
              <w:pStyle w:val="Els-body-text"/>
              <w:jc w:val="right"/>
            </w:pPr>
            <w:r>
              <w:t>(1d)</w:t>
            </w:r>
          </w:p>
        </w:tc>
      </w:tr>
      <w:tr w:rsidR="001135A7" w14:paraId="551BB81D" w14:textId="77777777" w:rsidTr="000E0A82">
        <w:trPr>
          <w:jc w:val="center"/>
        </w:trPr>
        <w:tc>
          <w:tcPr>
            <w:tcW w:w="4354" w:type="pct"/>
            <w:vAlign w:val="center"/>
          </w:tcPr>
          <w:p w14:paraId="5ACC984D" w14:textId="77777777" w:rsidR="001135A7" w:rsidRPr="009B4D9C"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                  0≤</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CV,H,i</m:t>
                    </m:r>
                  </m:sub>
                </m:sSub>
                <m:r>
                  <w:rPr>
                    <w:rFonts w:ascii="Cambria Math" w:hAnsi="Cambria Math"/>
                    <w:sz w:val="16"/>
                    <w:szCs w:val="16"/>
                  </w:rPr>
                  <m:t>,        0≤</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CV,L,i</m:t>
                    </m:r>
                  </m:sub>
                </m:sSub>
                <m:r>
                  <w:rPr>
                    <w:rFonts w:ascii="Cambria Math" w:hAnsi="Cambria Math"/>
                    <w:sz w:val="16"/>
                    <w:szCs w:val="16"/>
                  </w:rPr>
                  <m:t>,</m:t>
                </m:r>
              </m:oMath>
            </m:oMathPara>
          </w:p>
        </w:tc>
        <w:tc>
          <w:tcPr>
            <w:tcW w:w="646" w:type="pct"/>
            <w:vAlign w:val="center"/>
          </w:tcPr>
          <w:p w14:paraId="75FBBA01" w14:textId="77777777" w:rsidR="001135A7" w:rsidRDefault="001135A7" w:rsidP="000E0A82">
            <w:pPr>
              <w:pStyle w:val="Els-body-text"/>
              <w:jc w:val="right"/>
            </w:pPr>
            <w:r>
              <w:t>(1e)</w:t>
            </w:r>
          </w:p>
        </w:tc>
      </w:tr>
      <w:tr w:rsidR="001135A7" w14:paraId="6DE8A71B" w14:textId="77777777" w:rsidTr="000E0A82">
        <w:trPr>
          <w:jc w:val="center"/>
        </w:trPr>
        <w:tc>
          <w:tcPr>
            <w:tcW w:w="4354" w:type="pct"/>
            <w:vAlign w:val="center"/>
          </w:tcPr>
          <w:p w14:paraId="23732533" w14:textId="77777777" w:rsidR="001135A7" w:rsidRPr="009B4D9C"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                  0≤</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MV,H,j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H,j</m:t>
                    </m:r>
                  </m:sub>
                </m:sSub>
                <m:r>
                  <w:rPr>
                    <w:rFonts w:ascii="Cambria Math" w:hAnsi="Cambria Math"/>
                    <w:sz w:val="16"/>
                    <w:szCs w:val="16"/>
                  </w:rPr>
                  <m:t>,        0≤</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MV,L,j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MV</m:t>
                    </m:r>
                  </m:e>
                  <m:sub>
                    <m:r>
                      <w:rPr>
                        <w:rFonts w:ascii="Cambria Math" w:hAnsi="Cambria Math"/>
                        <w:sz w:val="16"/>
                        <w:szCs w:val="16"/>
                      </w:rPr>
                      <m:t>L,j</m:t>
                    </m:r>
                  </m:sub>
                </m:sSub>
                <m:r>
                  <w:rPr>
                    <w:rFonts w:ascii="Cambria Math" w:hAnsi="Cambria Math"/>
                    <w:sz w:val="16"/>
                    <w:szCs w:val="16"/>
                  </w:rPr>
                  <m:t>,</m:t>
                </m:r>
              </m:oMath>
            </m:oMathPara>
          </w:p>
        </w:tc>
        <w:tc>
          <w:tcPr>
            <w:tcW w:w="646" w:type="pct"/>
            <w:vAlign w:val="center"/>
          </w:tcPr>
          <w:p w14:paraId="1366E840" w14:textId="77777777" w:rsidR="001135A7" w:rsidRDefault="001135A7" w:rsidP="000E0A82">
            <w:pPr>
              <w:pStyle w:val="Els-body-text"/>
              <w:jc w:val="right"/>
            </w:pPr>
            <w:r>
              <w:t>(1f)</w:t>
            </w:r>
          </w:p>
        </w:tc>
      </w:tr>
      <w:tr w:rsidR="001135A7" w14:paraId="56C26020" w14:textId="77777777" w:rsidTr="000E0A82">
        <w:trPr>
          <w:jc w:val="center"/>
        </w:trPr>
        <w:tc>
          <w:tcPr>
            <w:tcW w:w="4354" w:type="pct"/>
            <w:vAlign w:val="center"/>
          </w:tcPr>
          <w:p w14:paraId="115F9812" w14:textId="77777777" w:rsidR="001135A7" w:rsidRPr="00C709C4"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CV,H,i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CV,H,i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CV,H,i</m:t>
                    </m:r>
                  </m:sub>
                </m:sSub>
                <m:r>
                  <w:rPr>
                    <w:rFonts w:ascii="Cambria Math" w:hAnsi="Cambria Math"/>
                    <w:sz w:val="16"/>
                    <w:szCs w:val="16"/>
                  </w:rPr>
                  <m:t>,        -</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CV,L,i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CV,L,i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CV,L,i</m:t>
                    </m:r>
                  </m:sub>
                </m:sSub>
              </m:oMath>
            </m:oMathPara>
          </w:p>
        </w:tc>
        <w:tc>
          <w:tcPr>
            <w:tcW w:w="646" w:type="pct"/>
            <w:vAlign w:val="center"/>
          </w:tcPr>
          <w:p w14:paraId="1B599553" w14:textId="77777777" w:rsidR="001135A7" w:rsidRDefault="001135A7" w:rsidP="000E0A82">
            <w:pPr>
              <w:pStyle w:val="Els-body-text"/>
              <w:jc w:val="right"/>
            </w:pPr>
            <w:r>
              <w:t>(1g)</w:t>
            </w:r>
          </w:p>
        </w:tc>
      </w:tr>
      <w:tr w:rsidR="001135A7" w14:paraId="24B05529" w14:textId="77777777" w:rsidTr="000E0A82">
        <w:trPr>
          <w:jc w:val="center"/>
        </w:trPr>
        <w:tc>
          <w:tcPr>
            <w:tcW w:w="4354" w:type="pct"/>
            <w:vAlign w:val="center"/>
          </w:tcPr>
          <w:p w14:paraId="79EE96B2" w14:textId="77777777" w:rsidR="001135A7" w:rsidRPr="003A0726" w:rsidRDefault="001135A7" w:rsidP="009010B6">
            <w:pPr>
              <w:pStyle w:val="Els-body-text"/>
              <w:jc w:val="center"/>
              <w:rPr>
                <w:sz w:val="16"/>
                <w:szCs w:val="16"/>
              </w:rPr>
            </w:pPr>
            <m:oMathPara>
              <m:oMathParaPr>
                <m:jc m:val="left"/>
              </m:oMathParaP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MV,H,j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MV,H,j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MV,H,j</m:t>
                    </m:r>
                  </m:sub>
                </m:sSub>
                <m:r>
                  <w:rPr>
                    <w:rFonts w:ascii="Cambria Math" w:hAnsi="Cambria Math"/>
                    <w:sz w:val="16"/>
                    <w:szCs w:val="16"/>
                  </w:rPr>
                  <m:t>,       -</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MV,L,j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MV,L,j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MV,L,j</m:t>
                    </m:r>
                  </m:sub>
                </m:sSub>
              </m:oMath>
            </m:oMathPara>
          </w:p>
        </w:tc>
        <w:tc>
          <w:tcPr>
            <w:tcW w:w="646" w:type="pct"/>
            <w:vAlign w:val="center"/>
          </w:tcPr>
          <w:p w14:paraId="51181A28" w14:textId="77777777" w:rsidR="001135A7" w:rsidRDefault="001135A7" w:rsidP="000E0A82">
            <w:pPr>
              <w:pStyle w:val="Els-body-text"/>
              <w:jc w:val="right"/>
            </w:pPr>
            <w:r>
              <w:t>(1h)</w:t>
            </w:r>
          </w:p>
        </w:tc>
      </w:tr>
    </w:tbl>
    <w:p w14:paraId="1BBFDD90" w14:textId="779AEAF3" w:rsidR="001135A7" w:rsidRDefault="001135A7" w:rsidP="001135A7">
      <w:pPr>
        <w:pStyle w:val="Els-body-text"/>
        <w:spacing w:before="120"/>
      </w:pPr>
      <w:r>
        <w:t xml:space="preserve">where </w:t>
      </w:r>
      <w:r w:rsidRPr="00F64BA2">
        <w:rPr>
          <w:i/>
          <w:iCs/>
        </w:rPr>
        <w:t>x = {CV, MV, ε, E}</w:t>
      </w:r>
      <w:r>
        <w:t xml:space="preserve"> are the optimized variables, </w:t>
      </w:r>
      <w:r w:rsidRPr="00A86121">
        <w:rPr>
          <w:i/>
          <w:iCs/>
        </w:rPr>
        <w:t>i</w:t>
      </w:r>
      <w:r>
        <w:t xml:space="preserve"> and </w:t>
      </w:r>
      <w:r w:rsidRPr="00A86121">
        <w:rPr>
          <w:i/>
          <w:iCs/>
        </w:rPr>
        <w:t>j</w:t>
      </w:r>
      <w:r>
        <w:t xml:space="preserve"> are indices of the </w:t>
      </w:r>
      <w:r w:rsidRPr="00F30027">
        <w:rPr>
          <w:i/>
          <w:iCs/>
        </w:rPr>
        <w:t>i</w:t>
      </w:r>
      <w:r>
        <w:t>-</w:t>
      </w:r>
      <w:proofErr w:type="spellStart"/>
      <w:r>
        <w:t>th</w:t>
      </w:r>
      <w:proofErr w:type="spellEnd"/>
      <w:r>
        <w:t xml:space="preserve"> controlled (</w:t>
      </w:r>
      <w:r w:rsidRPr="00F30027">
        <w:rPr>
          <w:i/>
          <w:iCs/>
        </w:rPr>
        <w:t>s</w:t>
      </w:r>
      <w:r>
        <w:t xml:space="preserve"> in total) and </w:t>
      </w:r>
      <w:r w:rsidRPr="00F30027">
        <w:rPr>
          <w:i/>
          <w:iCs/>
        </w:rPr>
        <w:t>j</w:t>
      </w:r>
      <w:r>
        <w:t>-</w:t>
      </w:r>
      <w:proofErr w:type="spellStart"/>
      <w:r>
        <w:t>th</w:t>
      </w:r>
      <w:proofErr w:type="spellEnd"/>
      <w:r>
        <w:t xml:space="preserve"> manipulated (</w:t>
      </w:r>
      <w:r w:rsidRPr="00F30027">
        <w:rPr>
          <w:i/>
          <w:iCs/>
        </w:rPr>
        <w:t>t</w:t>
      </w:r>
      <w:r>
        <w:t xml:space="preserve"> in total) variable. The original RMPCT quadratic cost function is contained in the first line of </w:t>
      </w:r>
      <w:r w:rsidR="00E92FC9">
        <w:t xml:space="preserve">Eq. </w:t>
      </w:r>
      <w:r>
        <w:t xml:space="preserve">(1a), </w:t>
      </w:r>
      <w:r w:rsidRPr="003E1D03">
        <w:rPr>
          <w:i/>
          <w:iCs/>
        </w:rPr>
        <w:t>CV</w:t>
      </w:r>
      <w:proofErr w:type="gramStart"/>
      <w:r w:rsidRPr="003E1D03">
        <w:rPr>
          <w:i/>
          <w:iCs/>
          <w:vertAlign w:val="subscript"/>
        </w:rPr>
        <w:t>0,i</w:t>
      </w:r>
      <w:proofErr w:type="gramEnd"/>
      <w:r>
        <w:t xml:space="preserve"> and </w:t>
      </w:r>
      <w:r w:rsidRPr="003E1D03">
        <w:rPr>
          <w:i/>
          <w:iCs/>
        </w:rPr>
        <w:t>MV</w:t>
      </w:r>
      <w:r w:rsidRPr="003E1D03">
        <w:rPr>
          <w:i/>
          <w:iCs/>
          <w:vertAlign w:val="subscript"/>
        </w:rPr>
        <w:t>0,j</w:t>
      </w:r>
      <w:r>
        <w:t xml:space="preserve"> are set-points, </w:t>
      </w:r>
      <w:proofErr w:type="spellStart"/>
      <w:r w:rsidRPr="003E1D03">
        <w:rPr>
          <w:i/>
          <w:iCs/>
        </w:rPr>
        <w:t>b</w:t>
      </w:r>
      <w:r w:rsidRPr="003E1D03">
        <w:rPr>
          <w:i/>
          <w:iCs/>
          <w:vertAlign w:val="subscript"/>
        </w:rPr>
        <w:t>CV,i</w:t>
      </w:r>
      <w:proofErr w:type="spellEnd"/>
      <w:r>
        <w:t xml:space="preserve">, </w:t>
      </w:r>
      <w:proofErr w:type="spellStart"/>
      <w:r w:rsidRPr="003E1D03">
        <w:rPr>
          <w:i/>
          <w:iCs/>
        </w:rPr>
        <w:t>b</w:t>
      </w:r>
      <w:r w:rsidRPr="003E1D03">
        <w:rPr>
          <w:i/>
          <w:iCs/>
          <w:vertAlign w:val="subscript"/>
        </w:rPr>
        <w:t>MV,j</w:t>
      </w:r>
      <w:proofErr w:type="spellEnd"/>
      <w:r>
        <w:t xml:space="preserve"> and </w:t>
      </w:r>
      <w:proofErr w:type="spellStart"/>
      <w:r w:rsidRPr="003E1D03">
        <w:rPr>
          <w:i/>
          <w:iCs/>
        </w:rPr>
        <w:t>a</w:t>
      </w:r>
      <w:r w:rsidRPr="003E1D03">
        <w:rPr>
          <w:i/>
          <w:iCs/>
          <w:vertAlign w:val="subscript"/>
        </w:rPr>
        <w:t>CV,i</w:t>
      </w:r>
      <w:proofErr w:type="spellEnd"/>
      <w:r>
        <w:t xml:space="preserve">, </w:t>
      </w:r>
      <w:proofErr w:type="spellStart"/>
      <w:r w:rsidRPr="003E1D03">
        <w:rPr>
          <w:i/>
          <w:iCs/>
        </w:rPr>
        <w:t>a</w:t>
      </w:r>
      <w:r w:rsidRPr="003E1D03">
        <w:rPr>
          <w:i/>
          <w:iCs/>
          <w:vertAlign w:val="subscript"/>
        </w:rPr>
        <w:t>MV,j</w:t>
      </w:r>
      <w:proofErr w:type="spellEnd"/>
      <w:r>
        <w:t xml:space="preserve"> are penalties of linear and quadratic terms. </w:t>
      </w:r>
      <w:proofErr w:type="spellStart"/>
      <w:r w:rsidRPr="001736A2">
        <w:rPr>
          <w:i/>
          <w:iCs/>
        </w:rPr>
        <w:t>Q</w:t>
      </w:r>
      <w:r w:rsidRPr="001736A2">
        <w:rPr>
          <w:i/>
          <w:iCs/>
          <w:vertAlign w:val="subscript"/>
        </w:rPr>
        <w:t>CV,H,i</w:t>
      </w:r>
      <w:proofErr w:type="spellEnd"/>
      <w:r>
        <w:t xml:space="preserve">, </w:t>
      </w:r>
      <w:proofErr w:type="spellStart"/>
      <w:r w:rsidRPr="001736A2">
        <w:rPr>
          <w:i/>
          <w:iCs/>
        </w:rPr>
        <w:t>Q</w:t>
      </w:r>
      <w:r w:rsidRPr="001736A2">
        <w:rPr>
          <w:i/>
          <w:iCs/>
          <w:vertAlign w:val="subscript"/>
        </w:rPr>
        <w:t>CV,L,i</w:t>
      </w:r>
      <w:proofErr w:type="spellEnd"/>
      <w:r>
        <w:t xml:space="preserve">, </w:t>
      </w:r>
      <w:proofErr w:type="spellStart"/>
      <w:r w:rsidRPr="001736A2">
        <w:rPr>
          <w:i/>
          <w:iCs/>
        </w:rPr>
        <w:t>Q</w:t>
      </w:r>
      <w:r w:rsidRPr="001736A2">
        <w:rPr>
          <w:i/>
          <w:iCs/>
          <w:vertAlign w:val="subscript"/>
        </w:rPr>
        <w:t>MV,H,j</w:t>
      </w:r>
      <w:proofErr w:type="spellEnd"/>
      <w:r>
        <w:t xml:space="preserve"> and </w:t>
      </w:r>
      <w:proofErr w:type="spellStart"/>
      <w:r w:rsidRPr="001736A2">
        <w:rPr>
          <w:i/>
          <w:iCs/>
        </w:rPr>
        <w:t>Q</w:t>
      </w:r>
      <w:r w:rsidRPr="001736A2">
        <w:rPr>
          <w:i/>
          <w:iCs/>
          <w:vertAlign w:val="subscript"/>
        </w:rPr>
        <w:t>MV,L,j</w:t>
      </w:r>
      <w:proofErr w:type="spellEnd"/>
      <w:r>
        <w:t xml:space="preserve"> are the penalty matrices of the auxiliary variables </w:t>
      </w:r>
      <w:proofErr w:type="spellStart"/>
      <w:r w:rsidRPr="001736A2">
        <w:rPr>
          <w:i/>
          <w:iCs/>
        </w:rPr>
        <w:t>E</w:t>
      </w:r>
      <w:r w:rsidRPr="001736A2">
        <w:rPr>
          <w:i/>
          <w:iCs/>
          <w:vertAlign w:val="subscript"/>
        </w:rPr>
        <w:t>CV,H,i</w:t>
      </w:r>
      <w:proofErr w:type="spellEnd"/>
      <w:r>
        <w:t xml:space="preserve">, </w:t>
      </w:r>
      <w:proofErr w:type="spellStart"/>
      <w:r w:rsidRPr="001736A2">
        <w:rPr>
          <w:i/>
          <w:iCs/>
        </w:rPr>
        <w:t>E</w:t>
      </w:r>
      <w:r w:rsidRPr="001736A2">
        <w:rPr>
          <w:i/>
          <w:iCs/>
          <w:vertAlign w:val="subscript"/>
        </w:rPr>
        <w:t>CV,L,i</w:t>
      </w:r>
      <w:proofErr w:type="spellEnd"/>
      <w:r>
        <w:t xml:space="preserve">, </w:t>
      </w:r>
      <w:proofErr w:type="spellStart"/>
      <w:r w:rsidRPr="001736A2">
        <w:rPr>
          <w:i/>
          <w:iCs/>
        </w:rPr>
        <w:t>E</w:t>
      </w:r>
      <w:r w:rsidRPr="001736A2">
        <w:rPr>
          <w:i/>
          <w:iCs/>
          <w:vertAlign w:val="subscript"/>
        </w:rPr>
        <w:t>MV,H,j</w:t>
      </w:r>
      <w:proofErr w:type="spellEnd"/>
      <w:r>
        <w:t xml:space="preserve"> and </w:t>
      </w:r>
      <w:proofErr w:type="spellStart"/>
      <w:r w:rsidRPr="001736A2">
        <w:rPr>
          <w:i/>
          <w:iCs/>
        </w:rPr>
        <w:t>E</w:t>
      </w:r>
      <w:r w:rsidRPr="001736A2">
        <w:rPr>
          <w:i/>
          <w:iCs/>
          <w:vertAlign w:val="subscript"/>
        </w:rPr>
        <w:t>MV,L,j</w:t>
      </w:r>
      <w:proofErr w:type="spellEnd"/>
      <w:r>
        <w:t xml:space="preserve">, which determine the absolute values of the slack variables </w:t>
      </w:r>
      <w:proofErr w:type="spellStart"/>
      <w:r w:rsidRPr="008B7B44">
        <w:rPr>
          <w:i/>
          <w:iCs/>
        </w:rPr>
        <w:t>ε</w:t>
      </w:r>
      <w:r w:rsidRPr="008B7B44">
        <w:rPr>
          <w:i/>
          <w:iCs/>
          <w:vertAlign w:val="subscript"/>
        </w:rPr>
        <w:t>CV,H,i</w:t>
      </w:r>
      <w:proofErr w:type="spellEnd"/>
      <w:r>
        <w:t xml:space="preserve">, </w:t>
      </w:r>
      <w:proofErr w:type="spellStart"/>
      <w:r w:rsidRPr="008B7B44">
        <w:rPr>
          <w:i/>
          <w:iCs/>
        </w:rPr>
        <w:t>ε</w:t>
      </w:r>
      <w:r w:rsidRPr="008B7B44">
        <w:rPr>
          <w:i/>
          <w:iCs/>
          <w:vertAlign w:val="subscript"/>
        </w:rPr>
        <w:t>CV,L,i</w:t>
      </w:r>
      <w:proofErr w:type="spellEnd"/>
      <w:r>
        <w:t xml:space="preserve">, </w:t>
      </w:r>
      <w:proofErr w:type="spellStart"/>
      <w:r w:rsidRPr="008B7B44">
        <w:rPr>
          <w:i/>
          <w:iCs/>
        </w:rPr>
        <w:t>ε</w:t>
      </w:r>
      <w:r w:rsidRPr="008B7B44">
        <w:rPr>
          <w:i/>
          <w:iCs/>
          <w:vertAlign w:val="subscript"/>
        </w:rPr>
        <w:t>MV,H,j</w:t>
      </w:r>
      <w:proofErr w:type="spellEnd"/>
      <w:r>
        <w:t xml:space="preserve"> and </w:t>
      </w:r>
      <w:proofErr w:type="spellStart"/>
      <w:r w:rsidRPr="008B7B44">
        <w:rPr>
          <w:i/>
          <w:iCs/>
        </w:rPr>
        <w:t>ε</w:t>
      </w:r>
      <w:r w:rsidRPr="008B7B44">
        <w:rPr>
          <w:i/>
          <w:iCs/>
          <w:vertAlign w:val="subscript"/>
        </w:rPr>
        <w:t>MV,L,j</w:t>
      </w:r>
      <w:proofErr w:type="spellEnd"/>
      <w:r>
        <w:t>. Eq</w:t>
      </w:r>
      <w:r w:rsidR="00F909E1">
        <w:t>.</w:t>
      </w:r>
      <w:r>
        <w:t xml:space="preserve"> (1b) represents a steady-state model with </w:t>
      </w:r>
      <w:proofErr w:type="spellStart"/>
      <w:r w:rsidRPr="008B7B44">
        <w:rPr>
          <w:i/>
          <w:iCs/>
        </w:rPr>
        <w:t>CV</w:t>
      </w:r>
      <w:r w:rsidRPr="008B7B44">
        <w:rPr>
          <w:i/>
          <w:iCs/>
          <w:vertAlign w:val="subscript"/>
        </w:rPr>
        <w:t>i</w:t>
      </w:r>
      <w:r w:rsidRPr="008B7B44">
        <w:rPr>
          <w:i/>
          <w:iCs/>
          <w:vertAlign w:val="superscript"/>
        </w:rPr>
        <w:t>SS</w:t>
      </w:r>
      <w:proofErr w:type="spellEnd"/>
      <w:r>
        <w:t xml:space="preserve"> and </w:t>
      </w:r>
      <w:proofErr w:type="spellStart"/>
      <w:r w:rsidRPr="008B7B44">
        <w:rPr>
          <w:i/>
          <w:iCs/>
        </w:rPr>
        <w:t>MV</w:t>
      </w:r>
      <w:r w:rsidRPr="008B7B44">
        <w:rPr>
          <w:i/>
          <w:iCs/>
          <w:vertAlign w:val="subscript"/>
        </w:rPr>
        <w:t>j</w:t>
      </w:r>
      <w:r w:rsidRPr="008B7B44">
        <w:rPr>
          <w:i/>
          <w:iCs/>
          <w:vertAlign w:val="superscript"/>
        </w:rPr>
        <w:t>SS</w:t>
      </w:r>
      <w:proofErr w:type="spellEnd"/>
      <w:r>
        <w:t xml:space="preserve"> being the measured steady states, </w:t>
      </w:r>
      <w:proofErr w:type="spellStart"/>
      <w:r w:rsidRPr="008B7B44">
        <w:rPr>
          <w:i/>
          <w:iCs/>
        </w:rPr>
        <w:t>K</w:t>
      </w:r>
      <w:r w:rsidRPr="008B7B44">
        <w:rPr>
          <w:i/>
          <w:iCs/>
          <w:vertAlign w:val="subscript"/>
        </w:rPr>
        <w:t>i,j</w:t>
      </w:r>
      <w:proofErr w:type="spellEnd"/>
      <w:r>
        <w:t xml:space="preserve"> are coefficients of the </w:t>
      </w:r>
      <w:proofErr w:type="spellStart"/>
      <w:r>
        <w:t>the</w:t>
      </w:r>
      <w:proofErr w:type="spellEnd"/>
      <w:r>
        <w:t xml:space="preserve"> steady-state gain matrix. </w:t>
      </w:r>
      <w:proofErr w:type="spellStart"/>
      <w:r>
        <w:t>Eqs</w:t>
      </w:r>
      <w:proofErr w:type="spellEnd"/>
      <w:r w:rsidR="00E92FC9">
        <w:t>.</w:t>
      </w:r>
      <w:r>
        <w:t xml:space="preserve"> (1c) and (1d) are inequality constraints on CVs and MVs, where </w:t>
      </w:r>
      <w:proofErr w:type="spellStart"/>
      <w:r w:rsidRPr="00502EDC">
        <w:t>Δ</w:t>
      </w:r>
      <w:r w:rsidRPr="008B7B44">
        <w:rPr>
          <w:i/>
          <w:iCs/>
        </w:rPr>
        <w:t>CV</w:t>
      </w:r>
      <w:r w:rsidRPr="008B7B44">
        <w:rPr>
          <w:i/>
          <w:iCs/>
          <w:vertAlign w:val="subscript"/>
        </w:rPr>
        <w:t>H,i</w:t>
      </w:r>
      <w:proofErr w:type="spellEnd"/>
      <w:r>
        <w:t xml:space="preserve">, </w:t>
      </w:r>
      <w:proofErr w:type="spellStart"/>
      <w:r w:rsidRPr="00502EDC">
        <w:t>Δ</w:t>
      </w:r>
      <w:r w:rsidRPr="008B7B44">
        <w:rPr>
          <w:i/>
          <w:iCs/>
        </w:rPr>
        <w:t>CV</w:t>
      </w:r>
      <w:r w:rsidRPr="008B7B44">
        <w:rPr>
          <w:i/>
          <w:iCs/>
          <w:vertAlign w:val="subscript"/>
        </w:rPr>
        <w:t>L,i</w:t>
      </w:r>
      <w:proofErr w:type="spellEnd"/>
      <w:r>
        <w:t xml:space="preserve">, </w:t>
      </w:r>
      <w:proofErr w:type="spellStart"/>
      <w:r w:rsidRPr="00502EDC">
        <w:t>Δ</w:t>
      </w:r>
      <w:r w:rsidRPr="008B7B44">
        <w:rPr>
          <w:i/>
          <w:iCs/>
        </w:rPr>
        <w:t>MV</w:t>
      </w:r>
      <w:r w:rsidRPr="008B7B44">
        <w:rPr>
          <w:i/>
          <w:iCs/>
          <w:vertAlign w:val="subscript"/>
        </w:rPr>
        <w:t>H,j</w:t>
      </w:r>
      <w:proofErr w:type="spellEnd"/>
      <w:r>
        <w:t xml:space="preserve"> and </w:t>
      </w:r>
      <w:proofErr w:type="spellStart"/>
      <w:r w:rsidRPr="00502EDC">
        <w:t>Δ</w:t>
      </w:r>
      <w:r w:rsidRPr="008B7B44">
        <w:rPr>
          <w:i/>
          <w:iCs/>
        </w:rPr>
        <w:t>MV</w:t>
      </w:r>
      <w:r w:rsidRPr="008B7B44">
        <w:rPr>
          <w:i/>
          <w:iCs/>
          <w:vertAlign w:val="subscript"/>
        </w:rPr>
        <w:t>L,j</w:t>
      </w:r>
      <w:proofErr w:type="spellEnd"/>
      <w:r>
        <w:t xml:space="preserve"> represent tightening the original constraints, </w:t>
      </w:r>
      <w:proofErr w:type="spellStart"/>
      <w:r w:rsidRPr="008B7B44">
        <w:rPr>
          <w:i/>
          <w:iCs/>
        </w:rPr>
        <w:t>CV</w:t>
      </w:r>
      <w:r w:rsidRPr="008B7B44">
        <w:rPr>
          <w:i/>
          <w:iCs/>
          <w:vertAlign w:val="subscript"/>
        </w:rPr>
        <w:t>H,i</w:t>
      </w:r>
      <w:proofErr w:type="spellEnd"/>
      <w:r>
        <w:t xml:space="preserve">, </w:t>
      </w:r>
      <w:proofErr w:type="spellStart"/>
      <w:r w:rsidRPr="008B7B44">
        <w:rPr>
          <w:i/>
          <w:iCs/>
        </w:rPr>
        <w:t>CV</w:t>
      </w:r>
      <w:r w:rsidRPr="008B7B44">
        <w:rPr>
          <w:i/>
          <w:iCs/>
          <w:vertAlign w:val="subscript"/>
        </w:rPr>
        <w:t>L,i</w:t>
      </w:r>
      <w:proofErr w:type="spellEnd"/>
      <w:r>
        <w:t xml:space="preserve">, </w:t>
      </w:r>
      <w:proofErr w:type="spellStart"/>
      <w:r w:rsidRPr="008B7B44">
        <w:rPr>
          <w:i/>
          <w:iCs/>
        </w:rPr>
        <w:t>MV</w:t>
      </w:r>
      <w:r w:rsidRPr="008B7B44">
        <w:rPr>
          <w:i/>
          <w:iCs/>
          <w:vertAlign w:val="subscript"/>
        </w:rPr>
        <w:t>H,j</w:t>
      </w:r>
      <w:proofErr w:type="spellEnd"/>
      <w:r>
        <w:t xml:space="preserve"> and </w:t>
      </w:r>
      <w:proofErr w:type="spellStart"/>
      <w:r w:rsidRPr="008B7B44">
        <w:rPr>
          <w:i/>
          <w:iCs/>
        </w:rPr>
        <w:t>MV</w:t>
      </w:r>
      <w:r w:rsidRPr="008B7B44">
        <w:rPr>
          <w:i/>
          <w:iCs/>
          <w:vertAlign w:val="subscript"/>
        </w:rPr>
        <w:t>L,j</w:t>
      </w:r>
      <w:proofErr w:type="spellEnd"/>
      <w:r>
        <w:t xml:space="preserve">. Slacks </w:t>
      </w:r>
      <w:r w:rsidRPr="008B7B44">
        <w:rPr>
          <w:i/>
          <w:iCs/>
        </w:rPr>
        <w:t>ε</w:t>
      </w:r>
      <w:r>
        <w:t xml:space="preserve"> may violate the tightened constraints (if the solution for </w:t>
      </w:r>
      <w:r w:rsidRPr="008B7B44">
        <w:rPr>
          <w:i/>
          <w:iCs/>
        </w:rPr>
        <w:t>ε</w:t>
      </w:r>
      <w:r>
        <w:rPr>
          <w:i/>
          <w:iCs/>
        </w:rPr>
        <w:t xml:space="preserve"> </w:t>
      </w:r>
      <w:r w:rsidRPr="008B7B44">
        <w:rPr>
          <w:i/>
          <w:iCs/>
        </w:rPr>
        <w:t>=</w:t>
      </w:r>
      <w:r>
        <w:rPr>
          <w:i/>
          <w:iCs/>
        </w:rPr>
        <w:t xml:space="preserve"> </w:t>
      </w:r>
      <w:r w:rsidRPr="008B7B44">
        <w:rPr>
          <w:i/>
          <w:iCs/>
        </w:rPr>
        <w:t>0</w:t>
      </w:r>
      <w:r>
        <w:t xml:space="preserve"> is not feasible), thus creating soft constraints – </w:t>
      </w:r>
      <w:proofErr w:type="spellStart"/>
      <w:r w:rsidRPr="008B7B44">
        <w:rPr>
          <w:i/>
          <w:iCs/>
        </w:rPr>
        <w:t>ε</w:t>
      </w:r>
      <w:r w:rsidRPr="008B7B44">
        <w:rPr>
          <w:i/>
          <w:iCs/>
          <w:vertAlign w:val="subscript"/>
        </w:rPr>
        <w:t>MV,H,j</w:t>
      </w:r>
      <w:proofErr w:type="spellEnd"/>
      <w:r>
        <w:t xml:space="preserve"> and </w:t>
      </w:r>
      <w:proofErr w:type="spellStart"/>
      <w:r w:rsidRPr="008B7B44">
        <w:rPr>
          <w:i/>
          <w:iCs/>
        </w:rPr>
        <w:t>ε</w:t>
      </w:r>
      <w:r w:rsidRPr="008B7B44">
        <w:rPr>
          <w:i/>
          <w:iCs/>
          <w:vertAlign w:val="subscript"/>
        </w:rPr>
        <w:t>MV,L,j</w:t>
      </w:r>
      <w:proofErr w:type="spellEnd"/>
      <w:r>
        <w:t xml:space="preserve"> are constrained by </w:t>
      </w:r>
      <w:proofErr w:type="spellStart"/>
      <w:r w:rsidRPr="008B7B44">
        <w:rPr>
          <w:i/>
          <w:iCs/>
        </w:rPr>
        <w:t>MV</w:t>
      </w:r>
      <w:r w:rsidRPr="008B7B44">
        <w:rPr>
          <w:i/>
          <w:iCs/>
          <w:vertAlign w:val="subscript"/>
        </w:rPr>
        <w:t>H,j</w:t>
      </w:r>
      <w:proofErr w:type="spellEnd"/>
      <w:r>
        <w:t xml:space="preserve"> and </w:t>
      </w:r>
      <w:proofErr w:type="spellStart"/>
      <w:r w:rsidRPr="008B7B44">
        <w:rPr>
          <w:i/>
          <w:iCs/>
        </w:rPr>
        <w:t>MV</w:t>
      </w:r>
      <w:r w:rsidRPr="008B7B44">
        <w:rPr>
          <w:i/>
          <w:iCs/>
          <w:vertAlign w:val="subscript"/>
        </w:rPr>
        <w:t>L,j</w:t>
      </w:r>
      <w:proofErr w:type="spellEnd"/>
      <w:r>
        <w:t xml:space="preserve"> </w:t>
      </w:r>
      <w:r w:rsidR="00F94517">
        <w:t xml:space="preserve">in Eq. </w:t>
      </w:r>
      <w:r>
        <w:t xml:space="preserve">(1f). CV slack variables </w:t>
      </w:r>
      <w:proofErr w:type="spellStart"/>
      <w:r w:rsidRPr="008B7B44">
        <w:rPr>
          <w:i/>
          <w:iCs/>
        </w:rPr>
        <w:t>ε</w:t>
      </w:r>
      <w:proofErr w:type="gramStart"/>
      <w:r w:rsidRPr="008B7B44">
        <w:rPr>
          <w:i/>
          <w:iCs/>
          <w:vertAlign w:val="subscript"/>
        </w:rPr>
        <w:t>CV,H</w:t>
      </w:r>
      <w:proofErr w:type="gramEnd"/>
      <w:r w:rsidRPr="008B7B44">
        <w:rPr>
          <w:i/>
          <w:iCs/>
          <w:vertAlign w:val="subscript"/>
        </w:rPr>
        <w:t>,i</w:t>
      </w:r>
      <w:proofErr w:type="spellEnd"/>
      <w:r>
        <w:t xml:space="preserve"> and </w:t>
      </w:r>
      <w:proofErr w:type="spellStart"/>
      <w:r w:rsidRPr="008B7B44">
        <w:rPr>
          <w:i/>
          <w:iCs/>
        </w:rPr>
        <w:t>ε</w:t>
      </w:r>
      <w:r w:rsidRPr="008B7B44">
        <w:rPr>
          <w:i/>
          <w:iCs/>
          <w:vertAlign w:val="subscript"/>
        </w:rPr>
        <w:t>CV,L,i</w:t>
      </w:r>
      <w:proofErr w:type="spellEnd"/>
      <w:r>
        <w:t xml:space="preserve"> can even violate limits </w:t>
      </w:r>
      <w:proofErr w:type="spellStart"/>
      <w:r w:rsidRPr="008B7B44">
        <w:rPr>
          <w:i/>
          <w:iCs/>
        </w:rPr>
        <w:t>CV</w:t>
      </w:r>
      <w:r w:rsidRPr="008B7B44">
        <w:rPr>
          <w:i/>
          <w:iCs/>
          <w:vertAlign w:val="subscript"/>
        </w:rPr>
        <w:t>H,i</w:t>
      </w:r>
      <w:proofErr w:type="spellEnd"/>
      <w:r>
        <w:t xml:space="preserve"> and </w:t>
      </w:r>
      <w:proofErr w:type="spellStart"/>
      <w:r w:rsidRPr="008B7B44">
        <w:rPr>
          <w:i/>
          <w:iCs/>
        </w:rPr>
        <w:t>CV</w:t>
      </w:r>
      <w:r w:rsidRPr="008B7B44">
        <w:rPr>
          <w:i/>
          <w:iCs/>
          <w:vertAlign w:val="subscript"/>
        </w:rPr>
        <w:t>L,i</w:t>
      </w:r>
      <w:proofErr w:type="spellEnd"/>
      <w:r>
        <w:t xml:space="preserve"> </w:t>
      </w:r>
      <w:r w:rsidR="00F94517">
        <w:t xml:space="preserve">in Eq. </w:t>
      </w:r>
      <w:r>
        <w:t xml:space="preserve">(1e) – to maintain the feasibility of the solution. </w:t>
      </w:r>
      <w:proofErr w:type="spellStart"/>
      <w:r>
        <w:t>Eqs</w:t>
      </w:r>
      <w:proofErr w:type="spellEnd"/>
      <w:r w:rsidR="008877CB">
        <w:t>.</w:t>
      </w:r>
      <w:r>
        <w:t xml:space="preserve"> (1g), (1h) are the constraints of the absolute penalty in a linear form.</w:t>
      </w:r>
    </w:p>
    <w:p w14:paraId="2AA3A4B9" w14:textId="5876ADA2" w:rsidR="001135A7" w:rsidRDefault="001135A7" w:rsidP="001135A7">
      <w:pPr>
        <w:pStyle w:val="Els-body-text"/>
        <w:spacing w:before="120"/>
      </w:pPr>
      <w:r>
        <w:t xml:space="preserve">A pair of slack variables belong to each CV and MV, a total of 78 constraints. Each slack variable is from the interval of auxiliary variables </w:t>
      </w:r>
      <w:r w:rsidRPr="00FD3A26">
        <w:t>[</w:t>
      </w:r>
      <w:r w:rsidRPr="00985A2B">
        <w:rPr>
          <w:i/>
          <w:iCs/>
        </w:rPr>
        <w:t>E</w:t>
      </w:r>
      <w:r w:rsidRPr="00985A2B">
        <w:rPr>
          <w:i/>
          <w:iCs/>
          <w:vertAlign w:val="subscript"/>
        </w:rPr>
        <w:t>L</w:t>
      </w:r>
      <w:r w:rsidRPr="00985A2B">
        <w:rPr>
          <w:i/>
          <w:iCs/>
        </w:rPr>
        <w:t>, E</w:t>
      </w:r>
      <w:r w:rsidRPr="00985A2B">
        <w:rPr>
          <w:i/>
          <w:iCs/>
          <w:vertAlign w:val="subscript"/>
        </w:rPr>
        <w:t>H</w:t>
      </w:r>
      <w:r w:rsidRPr="00FD3A26">
        <w:t>]</w:t>
      </w:r>
      <w:r>
        <w:t>, forming additi</w:t>
      </w:r>
      <w:r w:rsidR="00D90E51">
        <w:t>onal</w:t>
      </w:r>
      <w:r>
        <w:t xml:space="preserve"> 116 constraints. Along with 58 soft CVs and MVs constraints, the optimization problem consists of 252 inequality constraints.</w:t>
      </w:r>
    </w:p>
    <w:p w14:paraId="62F304A7" w14:textId="6E64B3AA" w:rsidR="001135A7" w:rsidRDefault="001135A7" w:rsidP="001135A7">
      <w:pPr>
        <w:pStyle w:val="Els-body-text"/>
        <w:spacing w:before="120"/>
      </w:pPr>
      <w:r>
        <w:t xml:space="preserve">Variables </w:t>
      </w:r>
      <w:proofErr w:type="spellStart"/>
      <w:proofErr w:type="gramStart"/>
      <w:r w:rsidRPr="00ED6552">
        <w:rPr>
          <w:i/>
          <w:iCs/>
        </w:rPr>
        <w:t>CV</w:t>
      </w:r>
      <w:r w:rsidRPr="00ED6552">
        <w:rPr>
          <w:i/>
          <w:iCs/>
          <w:vertAlign w:val="subscript"/>
        </w:rPr>
        <w:t>L,i</w:t>
      </w:r>
      <w:proofErr w:type="spellEnd"/>
      <w:proofErr w:type="gramEnd"/>
      <w:r>
        <w:t xml:space="preserve">, </w:t>
      </w:r>
      <w:proofErr w:type="spellStart"/>
      <w:r w:rsidRPr="00ED6552">
        <w:rPr>
          <w:i/>
          <w:iCs/>
        </w:rPr>
        <w:t>CV</w:t>
      </w:r>
      <w:r w:rsidRPr="00ED6552">
        <w:rPr>
          <w:i/>
          <w:iCs/>
          <w:vertAlign w:val="subscript"/>
        </w:rPr>
        <w:t>H,i</w:t>
      </w:r>
      <w:proofErr w:type="spellEnd"/>
      <w:r>
        <w:t xml:space="preserve">, </w:t>
      </w:r>
      <w:proofErr w:type="spellStart"/>
      <w:r w:rsidRPr="00ED6552">
        <w:rPr>
          <w:i/>
          <w:iCs/>
        </w:rPr>
        <w:t>MV</w:t>
      </w:r>
      <w:r w:rsidRPr="00ED6552">
        <w:rPr>
          <w:i/>
          <w:iCs/>
          <w:vertAlign w:val="subscript"/>
        </w:rPr>
        <w:t>L,j</w:t>
      </w:r>
      <w:proofErr w:type="spellEnd"/>
      <w:r>
        <w:t xml:space="preserve">, </w:t>
      </w:r>
      <w:proofErr w:type="spellStart"/>
      <w:r w:rsidRPr="00ED6552">
        <w:rPr>
          <w:i/>
          <w:iCs/>
        </w:rPr>
        <w:t>MV</w:t>
      </w:r>
      <w:r w:rsidRPr="00ED6552">
        <w:rPr>
          <w:i/>
          <w:iCs/>
          <w:vertAlign w:val="subscript"/>
        </w:rPr>
        <w:t>H,j</w:t>
      </w:r>
      <w:proofErr w:type="spellEnd"/>
      <w:r>
        <w:t xml:space="preserve"> can represent ideal or real constraints. Using either real or ideal constraints, the solution of Eq</w:t>
      </w:r>
      <w:r w:rsidR="009D50BF">
        <w:t>.</w:t>
      </w:r>
      <w:r w:rsidR="001E62AD">
        <w:t> </w:t>
      </w:r>
      <w:r>
        <w:t>(1) yields valuable insights into the optimal configuration of controlled and manipulated variables. Subsequent analysis of this data enables the identification and analysis of active constraints and the need to transform restrictive real constraints into ideal ones.</w:t>
      </w:r>
    </w:p>
    <w:p w14:paraId="20066465" w14:textId="77777777" w:rsidR="001135A7" w:rsidRPr="00A94774" w:rsidRDefault="001135A7" w:rsidP="001135A7">
      <w:pPr>
        <w:pStyle w:val="Els-1storder-head"/>
        <w:spacing w:after="120"/>
        <w:rPr>
          <w:lang w:val="en-GB"/>
        </w:rPr>
      </w:pPr>
      <w:r>
        <w:rPr>
          <w:lang w:val="en-GB"/>
        </w:rPr>
        <w:t>Constraint Sensitivity Analysis</w:t>
      </w:r>
    </w:p>
    <w:p w14:paraId="3046357C" w14:textId="4CE32F54" w:rsidR="001135A7" w:rsidRDefault="001135A7" w:rsidP="001135A7">
      <w:pPr>
        <w:pStyle w:val="Els-body-text"/>
        <w:rPr>
          <w:lang w:val="en-GB"/>
        </w:rPr>
      </w:pPr>
      <w:r w:rsidRPr="00394364">
        <w:rPr>
          <w:lang w:val="en-GB"/>
        </w:rPr>
        <w:t>Sensitivity analysis is a powerful tool that can be used to investigate the properties of the optimal</w:t>
      </w:r>
      <w:r>
        <w:rPr>
          <w:lang w:val="en-GB"/>
        </w:rPr>
        <w:t xml:space="preserve"> </w:t>
      </w:r>
      <w:r w:rsidRPr="00394364">
        <w:rPr>
          <w:lang w:val="en-GB"/>
        </w:rPr>
        <w:t>solution</w:t>
      </w:r>
      <w:r w:rsidR="000930CB">
        <w:rPr>
          <w:lang w:val="en-GB"/>
        </w:rPr>
        <w:t xml:space="preserve"> in Eq.</w:t>
      </w:r>
      <w:r w:rsidRPr="00394364">
        <w:rPr>
          <w:lang w:val="en-GB"/>
        </w:rPr>
        <w:t xml:space="preserve"> (1). Two approaches are applied in this contribution: local and non-local sensitivity</w:t>
      </w:r>
      <w:r>
        <w:rPr>
          <w:lang w:val="en-GB"/>
        </w:rPr>
        <w:t xml:space="preserve"> </w:t>
      </w:r>
      <w:r w:rsidRPr="00394364">
        <w:rPr>
          <w:lang w:val="en-GB"/>
        </w:rPr>
        <w:t xml:space="preserve">analysis (Boyd and </w:t>
      </w:r>
      <w:proofErr w:type="spellStart"/>
      <w:r w:rsidRPr="00394364">
        <w:rPr>
          <w:lang w:val="en-GB"/>
        </w:rPr>
        <w:t>Vandenberghe</w:t>
      </w:r>
      <w:proofErr w:type="spellEnd"/>
      <w:r w:rsidRPr="00394364">
        <w:rPr>
          <w:lang w:val="en-GB"/>
        </w:rPr>
        <w:t xml:space="preserve">, 2004; </w:t>
      </w:r>
      <w:proofErr w:type="spellStart"/>
      <w:r w:rsidRPr="00394364">
        <w:rPr>
          <w:lang w:val="en-GB"/>
        </w:rPr>
        <w:t>Bertsekas</w:t>
      </w:r>
      <w:proofErr w:type="spellEnd"/>
      <w:r w:rsidRPr="00394364">
        <w:rPr>
          <w:lang w:val="en-GB"/>
        </w:rPr>
        <w:t>, 2009).</w:t>
      </w:r>
    </w:p>
    <w:p w14:paraId="107E91C5" w14:textId="0B537686" w:rsidR="001135A7" w:rsidRPr="00527E08" w:rsidRDefault="001135A7" w:rsidP="005E41BB">
      <w:pPr>
        <w:pStyle w:val="Els-body-text"/>
        <w:spacing w:before="120"/>
        <w:rPr>
          <w:lang w:val="en-GB"/>
        </w:rPr>
      </w:pPr>
      <w:r w:rsidRPr="009149F3">
        <w:rPr>
          <w:lang w:val="en-GB"/>
        </w:rPr>
        <w:t xml:space="preserve">Local sensitivity analysis (LSA) utilizes optimal Lagrange multipliers, denoted as </w:t>
      </w:r>
      <w:r w:rsidRPr="009149F3">
        <w:rPr>
          <w:i/>
          <w:iCs/>
          <w:lang w:val="en-GB"/>
        </w:rPr>
        <w:t>λ</w:t>
      </w:r>
      <w:r w:rsidRPr="009149F3">
        <w:rPr>
          <w:rFonts w:ascii="Cambria Math" w:hAnsi="Cambria Math" w:cs="Cambria Math"/>
          <w:i/>
          <w:iCs/>
          <w:lang w:val="en-GB"/>
        </w:rPr>
        <w:t>*</w:t>
      </w:r>
      <w:r w:rsidRPr="009149F3">
        <w:rPr>
          <w:lang w:val="en-GB"/>
        </w:rPr>
        <w:t xml:space="preserve"> provided</w:t>
      </w:r>
      <w:r>
        <w:rPr>
          <w:lang w:val="en-GB"/>
        </w:rPr>
        <w:t xml:space="preserve"> </w:t>
      </w:r>
      <w:r w:rsidRPr="009149F3">
        <w:rPr>
          <w:lang w:val="en-GB"/>
        </w:rPr>
        <w:t>by the nominal solution of</w:t>
      </w:r>
      <w:r w:rsidR="00CD5136">
        <w:rPr>
          <w:lang w:val="en-GB"/>
        </w:rPr>
        <w:t xml:space="preserve"> Eq.</w:t>
      </w:r>
      <w:r w:rsidRPr="009149F3">
        <w:rPr>
          <w:lang w:val="en-GB"/>
        </w:rPr>
        <w:t xml:space="preserve"> (1) with the real constraints: </w:t>
      </w:r>
      <w:proofErr w:type="spellStart"/>
      <w:r w:rsidRPr="009149F3">
        <w:rPr>
          <w:i/>
          <w:iCs/>
          <w:lang w:val="en-GB"/>
        </w:rPr>
        <w:t>J</w:t>
      </w:r>
      <w:r w:rsidRPr="009149F3">
        <w:rPr>
          <w:i/>
          <w:iCs/>
          <w:vertAlign w:val="subscript"/>
          <w:lang w:val="en-GB"/>
        </w:rPr>
        <w:t>real</w:t>
      </w:r>
      <w:proofErr w:type="spellEnd"/>
      <w:r w:rsidRPr="009149F3">
        <w:rPr>
          <w:i/>
          <w:iCs/>
          <w:lang w:val="en-GB"/>
        </w:rPr>
        <w:t>(x</w:t>
      </w:r>
      <w:r w:rsidRPr="009149F3">
        <w:rPr>
          <w:rFonts w:ascii="Cambria Math" w:hAnsi="Cambria Math" w:cs="Cambria Math"/>
          <w:i/>
          <w:iCs/>
          <w:lang w:val="en-GB"/>
        </w:rPr>
        <w:t>*</w:t>
      </w:r>
      <w:r w:rsidRPr="009149F3">
        <w:rPr>
          <w:i/>
          <w:iCs/>
          <w:lang w:val="en-GB"/>
        </w:rPr>
        <w:t>)</w:t>
      </w:r>
      <w:r w:rsidRPr="009149F3">
        <w:rPr>
          <w:lang w:val="en-GB"/>
        </w:rPr>
        <w:t>. Each Lagrange multiplier is</w:t>
      </w:r>
      <w:r>
        <w:rPr>
          <w:lang w:val="en-GB"/>
        </w:rPr>
        <w:t xml:space="preserve"> </w:t>
      </w:r>
      <w:r w:rsidRPr="009149F3">
        <w:rPr>
          <w:lang w:val="en-GB"/>
        </w:rPr>
        <w:t>related to the gradient of the optimal cost function with respect to the change of the respective</w:t>
      </w:r>
      <w:r>
        <w:rPr>
          <w:lang w:val="en-GB"/>
        </w:rPr>
        <w:t xml:space="preserve"> </w:t>
      </w:r>
      <w:r w:rsidRPr="00527E08">
        <w:rPr>
          <w:lang w:val="en-GB"/>
        </w:rPr>
        <w:t xml:space="preserve">constraint. It is the local sensitivity and thus exact only </w:t>
      </w:r>
      <w:r w:rsidRPr="00527E08">
        <w:rPr>
          <w:lang w:val="en-GB"/>
        </w:rPr>
        <w:lastRenderedPageBreak/>
        <w:t xml:space="preserve">theoretically with </w:t>
      </w:r>
      <w:r w:rsidR="000D1FB9" w:rsidRPr="00527E08">
        <w:rPr>
          <w:lang w:val="en-GB"/>
        </w:rPr>
        <w:t>infinitesimal constraint</w:t>
      </w:r>
      <w:r w:rsidR="000D1FB9">
        <w:rPr>
          <w:lang w:val="en-GB"/>
        </w:rPr>
        <w:t xml:space="preserve"> </w:t>
      </w:r>
      <w:r w:rsidR="000D1FB9" w:rsidRPr="00527E08">
        <w:rPr>
          <w:lang w:val="en-GB"/>
        </w:rPr>
        <w:t>perturbations.</w:t>
      </w:r>
      <w:r w:rsidR="004F5372">
        <w:rPr>
          <w:lang w:val="en-GB"/>
        </w:rPr>
        <w:t xml:space="preserve"> </w:t>
      </w:r>
      <w:r w:rsidR="004F5372" w:rsidRPr="00527E08">
        <w:rPr>
          <w:lang w:val="en-GB"/>
        </w:rPr>
        <w:t>However, it is obtained at no cost as supplementary information of the nominal</w:t>
      </w:r>
      <w:r w:rsidR="004F5372">
        <w:rPr>
          <w:lang w:val="en-GB"/>
        </w:rPr>
        <w:t xml:space="preserve"> </w:t>
      </w:r>
      <w:r w:rsidR="004F5372" w:rsidRPr="00527E08">
        <w:rPr>
          <w:lang w:val="en-GB"/>
        </w:rPr>
        <w:t>solution.</w:t>
      </w:r>
    </w:p>
    <w:p w14:paraId="62AADD20" w14:textId="77777777" w:rsidR="001135A7" w:rsidRDefault="001135A7" w:rsidP="00692B67">
      <w:pPr>
        <w:pStyle w:val="Didascalia"/>
        <w:keepNext/>
        <w:spacing w:before="0"/>
      </w:pPr>
      <w:r w:rsidRPr="00107C78">
        <w:rPr>
          <w:sz w:val="20"/>
          <w:szCs w:val="22"/>
        </w:rPr>
        <w:t xml:space="preserve">Table </w:t>
      </w:r>
      <w:r w:rsidRPr="00107C78">
        <w:rPr>
          <w:sz w:val="20"/>
          <w:szCs w:val="22"/>
        </w:rPr>
        <w:fldChar w:fldCharType="begin"/>
      </w:r>
      <w:r w:rsidRPr="00107C78">
        <w:rPr>
          <w:sz w:val="20"/>
          <w:szCs w:val="22"/>
        </w:rPr>
        <w:instrText xml:space="preserve"> SEQ Table \* ARABIC </w:instrText>
      </w:r>
      <w:r w:rsidRPr="00107C78">
        <w:rPr>
          <w:sz w:val="20"/>
          <w:szCs w:val="22"/>
        </w:rPr>
        <w:fldChar w:fldCharType="separate"/>
      </w:r>
      <w:r w:rsidRPr="00107C78">
        <w:rPr>
          <w:noProof/>
          <w:sz w:val="20"/>
          <w:szCs w:val="22"/>
        </w:rPr>
        <w:t>1</w:t>
      </w:r>
      <w:r w:rsidRPr="00107C78">
        <w:rPr>
          <w:sz w:val="20"/>
          <w:szCs w:val="22"/>
        </w:rPr>
        <w:fldChar w:fldCharType="end"/>
      </w:r>
      <w:r w:rsidRPr="00107C78">
        <w:rPr>
          <w:sz w:val="20"/>
          <w:szCs w:val="22"/>
        </w:rPr>
        <w:t xml:space="preserve">: List </w:t>
      </w:r>
      <w:r w:rsidRPr="00107C78">
        <w:rPr>
          <w:noProof/>
          <w:sz w:val="20"/>
          <w:szCs w:val="22"/>
        </w:rPr>
        <w:t>of recommendations (Point 26).</w:t>
      </w:r>
    </w:p>
    <w:tbl>
      <w:tblPr>
        <w:tblStyle w:val="Grigliatabella"/>
        <w:tblW w:w="4876" w:type="pct"/>
        <w:tblInd w:w="108" w:type="dxa"/>
        <w:tblLook w:val="04A0" w:firstRow="1" w:lastRow="0" w:firstColumn="1" w:lastColumn="0" w:noHBand="0" w:noVBand="1"/>
      </w:tblPr>
      <w:tblGrid>
        <w:gridCol w:w="968"/>
        <w:gridCol w:w="1201"/>
        <w:gridCol w:w="1232"/>
        <w:gridCol w:w="1135"/>
        <w:gridCol w:w="2835"/>
      </w:tblGrid>
      <w:tr w:rsidR="00BA77A7" w14:paraId="06B4237A" w14:textId="77777777" w:rsidTr="00BC79B1">
        <w:tc>
          <w:tcPr>
            <w:tcW w:w="656" w:type="pct"/>
            <w:tcBorders>
              <w:left w:val="nil"/>
              <w:bottom w:val="single" w:sz="4" w:space="0" w:color="auto"/>
              <w:right w:val="nil"/>
            </w:tcBorders>
            <w:vAlign w:val="center"/>
          </w:tcPr>
          <w:p w14:paraId="4FF1F50F" w14:textId="77777777" w:rsidR="001135A7" w:rsidRPr="00C62A90" w:rsidRDefault="001135A7" w:rsidP="00BC79B1">
            <w:pPr>
              <w:pStyle w:val="Els-body-text"/>
              <w:ind w:left="-115" w:firstLine="33"/>
              <w:jc w:val="center"/>
              <w:rPr>
                <w:sz w:val="18"/>
                <w:szCs w:val="18"/>
                <w:lang w:val="en-GB"/>
              </w:rPr>
            </w:pPr>
            <w:r w:rsidRPr="00C62A90">
              <w:rPr>
                <w:sz w:val="18"/>
                <w:szCs w:val="18"/>
                <w:lang w:val="en-GB"/>
              </w:rPr>
              <w:t>Priority</w:t>
            </w:r>
          </w:p>
        </w:tc>
        <w:tc>
          <w:tcPr>
            <w:tcW w:w="815" w:type="pct"/>
            <w:tcBorders>
              <w:left w:val="nil"/>
              <w:bottom w:val="single" w:sz="4" w:space="0" w:color="auto"/>
              <w:right w:val="nil"/>
            </w:tcBorders>
            <w:vAlign w:val="center"/>
          </w:tcPr>
          <w:p w14:paraId="10531186" w14:textId="77777777" w:rsidR="001135A7" w:rsidRPr="00C62A90" w:rsidRDefault="001135A7" w:rsidP="00BC79B1">
            <w:pPr>
              <w:pStyle w:val="Els-body-text"/>
              <w:jc w:val="center"/>
              <w:rPr>
                <w:sz w:val="18"/>
                <w:szCs w:val="18"/>
                <w:lang w:val="en-GB"/>
              </w:rPr>
            </w:pPr>
            <w:r w:rsidRPr="00C62A90">
              <w:rPr>
                <w:sz w:val="18"/>
                <w:szCs w:val="18"/>
                <w:lang w:val="en-GB"/>
              </w:rPr>
              <w:t>Constraint</w:t>
            </w:r>
          </w:p>
          <w:p w14:paraId="5DD409AF" w14:textId="77777777" w:rsidR="001135A7" w:rsidRPr="00C62A90" w:rsidRDefault="001135A7" w:rsidP="00BC79B1">
            <w:pPr>
              <w:pStyle w:val="Els-body-text"/>
              <w:jc w:val="center"/>
              <w:rPr>
                <w:sz w:val="18"/>
                <w:szCs w:val="18"/>
                <w:lang w:val="en-GB"/>
              </w:rPr>
            </w:pPr>
            <w:r>
              <w:rPr>
                <w:sz w:val="18"/>
                <w:szCs w:val="18"/>
                <w:lang w:val="en-GB"/>
              </w:rPr>
              <w:t>N</w:t>
            </w:r>
            <w:r w:rsidRPr="00C62A90">
              <w:rPr>
                <w:sz w:val="18"/>
                <w:szCs w:val="18"/>
                <w:lang w:val="en-GB"/>
              </w:rPr>
              <w:t>ame</w:t>
            </w:r>
          </w:p>
        </w:tc>
        <w:tc>
          <w:tcPr>
            <w:tcW w:w="836" w:type="pct"/>
            <w:tcBorders>
              <w:left w:val="nil"/>
              <w:bottom w:val="single" w:sz="4" w:space="0" w:color="auto"/>
              <w:right w:val="nil"/>
            </w:tcBorders>
            <w:vAlign w:val="center"/>
          </w:tcPr>
          <w:p w14:paraId="2A846DC5" w14:textId="77777777" w:rsidR="001135A7" w:rsidRPr="00C62A90" w:rsidRDefault="001135A7" w:rsidP="00BC79B1">
            <w:pPr>
              <w:pStyle w:val="Els-body-text"/>
              <w:jc w:val="center"/>
              <w:rPr>
                <w:sz w:val="18"/>
                <w:szCs w:val="18"/>
                <w:lang w:val="en-GB"/>
              </w:rPr>
            </w:pPr>
            <w:r w:rsidRPr="00C62A90">
              <w:rPr>
                <w:sz w:val="18"/>
                <w:szCs w:val="18"/>
                <w:lang w:val="en-GB"/>
              </w:rPr>
              <w:t>Constraint</w:t>
            </w:r>
          </w:p>
          <w:p w14:paraId="3573E753" w14:textId="77777777" w:rsidR="001135A7" w:rsidRPr="00C62A90" w:rsidRDefault="001135A7" w:rsidP="00BC79B1">
            <w:pPr>
              <w:pStyle w:val="Els-body-text"/>
              <w:jc w:val="center"/>
              <w:rPr>
                <w:sz w:val="18"/>
                <w:szCs w:val="18"/>
                <w:lang w:val="en-GB"/>
              </w:rPr>
            </w:pPr>
            <w:r>
              <w:rPr>
                <w:sz w:val="18"/>
                <w:szCs w:val="18"/>
                <w:lang w:val="en-GB"/>
              </w:rPr>
              <w:t>T</w:t>
            </w:r>
            <w:r w:rsidRPr="00C62A90">
              <w:rPr>
                <w:sz w:val="18"/>
                <w:szCs w:val="18"/>
                <w:lang w:val="en-GB"/>
              </w:rPr>
              <w:t>ype</w:t>
            </w:r>
          </w:p>
        </w:tc>
        <w:tc>
          <w:tcPr>
            <w:tcW w:w="770" w:type="pct"/>
            <w:tcBorders>
              <w:left w:val="nil"/>
              <w:bottom w:val="single" w:sz="4" w:space="0" w:color="auto"/>
              <w:right w:val="nil"/>
            </w:tcBorders>
            <w:vAlign w:val="center"/>
          </w:tcPr>
          <w:p w14:paraId="3A7E1CF1" w14:textId="77777777" w:rsidR="001135A7" w:rsidRPr="00C62A90" w:rsidRDefault="001135A7" w:rsidP="00BC79B1">
            <w:pPr>
              <w:pStyle w:val="Els-body-text"/>
              <w:jc w:val="center"/>
              <w:rPr>
                <w:sz w:val="18"/>
                <w:szCs w:val="18"/>
                <w:lang w:val="en-GB"/>
              </w:rPr>
            </w:pPr>
            <w:r w:rsidRPr="00C62A90">
              <w:rPr>
                <w:sz w:val="18"/>
                <w:szCs w:val="18"/>
                <w:lang w:val="en-GB"/>
              </w:rPr>
              <w:t>Lagrange</w:t>
            </w:r>
          </w:p>
          <w:p w14:paraId="13290F76" w14:textId="77777777" w:rsidR="001135A7" w:rsidRPr="00C62A90" w:rsidRDefault="001135A7" w:rsidP="00BC79B1">
            <w:pPr>
              <w:pStyle w:val="Els-body-text"/>
              <w:jc w:val="center"/>
              <w:rPr>
                <w:sz w:val="18"/>
                <w:szCs w:val="18"/>
                <w:lang w:val="en-GB"/>
              </w:rPr>
            </w:pPr>
            <w:r>
              <w:rPr>
                <w:sz w:val="18"/>
                <w:szCs w:val="18"/>
                <w:lang w:val="en-GB"/>
              </w:rPr>
              <w:t>M</w:t>
            </w:r>
            <w:r w:rsidRPr="00C62A90">
              <w:rPr>
                <w:sz w:val="18"/>
                <w:szCs w:val="18"/>
                <w:lang w:val="en-GB"/>
              </w:rPr>
              <w:t>ultiplier</w:t>
            </w:r>
          </w:p>
        </w:tc>
        <w:tc>
          <w:tcPr>
            <w:tcW w:w="1923" w:type="pct"/>
            <w:tcBorders>
              <w:left w:val="nil"/>
              <w:bottom w:val="single" w:sz="4" w:space="0" w:color="auto"/>
              <w:right w:val="nil"/>
            </w:tcBorders>
            <w:vAlign w:val="center"/>
          </w:tcPr>
          <w:p w14:paraId="2942E767" w14:textId="77777777" w:rsidR="001135A7" w:rsidRPr="00C62A90" w:rsidRDefault="001135A7" w:rsidP="00BC79B1">
            <w:pPr>
              <w:pStyle w:val="Els-body-text"/>
              <w:jc w:val="center"/>
              <w:rPr>
                <w:sz w:val="18"/>
                <w:szCs w:val="18"/>
                <w:lang w:val="en-GB"/>
              </w:rPr>
            </w:pPr>
            <w:r w:rsidRPr="00C62A90">
              <w:rPr>
                <w:sz w:val="18"/>
                <w:szCs w:val="18"/>
                <w:lang w:val="en-GB"/>
              </w:rPr>
              <w:t xml:space="preserve">Verbal </w:t>
            </w:r>
            <w:r>
              <w:rPr>
                <w:sz w:val="18"/>
                <w:szCs w:val="18"/>
                <w:lang w:val="en-GB"/>
              </w:rPr>
              <w:t>R</w:t>
            </w:r>
            <w:r w:rsidRPr="00C62A90">
              <w:rPr>
                <w:sz w:val="18"/>
                <w:szCs w:val="18"/>
                <w:lang w:val="en-GB"/>
              </w:rPr>
              <w:t>ecommendation</w:t>
            </w:r>
          </w:p>
        </w:tc>
      </w:tr>
      <w:tr w:rsidR="00BA77A7" w14:paraId="4A03A018" w14:textId="77777777" w:rsidTr="00BC79B1">
        <w:tc>
          <w:tcPr>
            <w:tcW w:w="656" w:type="pct"/>
            <w:tcBorders>
              <w:left w:val="nil"/>
              <w:bottom w:val="nil"/>
              <w:right w:val="nil"/>
            </w:tcBorders>
            <w:vAlign w:val="center"/>
          </w:tcPr>
          <w:p w14:paraId="47C1B69E" w14:textId="77777777" w:rsidR="001135A7" w:rsidRPr="00C62A90" w:rsidRDefault="001135A7" w:rsidP="00BC79B1">
            <w:pPr>
              <w:pStyle w:val="Els-body-text"/>
              <w:jc w:val="center"/>
              <w:rPr>
                <w:sz w:val="18"/>
                <w:szCs w:val="18"/>
                <w:lang w:val="en-GB"/>
              </w:rPr>
            </w:pPr>
            <w:r w:rsidRPr="00C62A90">
              <w:rPr>
                <w:sz w:val="18"/>
                <w:szCs w:val="18"/>
                <w:lang w:val="en-GB"/>
              </w:rPr>
              <w:t>1</w:t>
            </w:r>
          </w:p>
        </w:tc>
        <w:tc>
          <w:tcPr>
            <w:tcW w:w="815" w:type="pct"/>
            <w:tcBorders>
              <w:left w:val="nil"/>
              <w:bottom w:val="nil"/>
              <w:right w:val="nil"/>
            </w:tcBorders>
            <w:vAlign w:val="center"/>
          </w:tcPr>
          <w:p w14:paraId="6D87A72F" w14:textId="77777777" w:rsidR="001135A7" w:rsidRPr="00C62A90" w:rsidRDefault="001135A7" w:rsidP="00BC79B1">
            <w:pPr>
              <w:pStyle w:val="Els-body-text"/>
              <w:jc w:val="center"/>
              <w:rPr>
                <w:sz w:val="18"/>
                <w:szCs w:val="18"/>
                <w:lang w:val="en-GB"/>
              </w:rPr>
            </w:pPr>
            <w:r w:rsidRPr="00C62A90">
              <w:rPr>
                <w:sz w:val="18"/>
                <w:szCs w:val="18"/>
                <w:lang w:val="en-GB"/>
              </w:rPr>
              <w:t>MV 2</w:t>
            </w:r>
          </w:p>
        </w:tc>
        <w:tc>
          <w:tcPr>
            <w:tcW w:w="836" w:type="pct"/>
            <w:tcBorders>
              <w:left w:val="nil"/>
              <w:bottom w:val="nil"/>
              <w:right w:val="nil"/>
            </w:tcBorders>
            <w:vAlign w:val="center"/>
          </w:tcPr>
          <w:p w14:paraId="0825A379" w14:textId="77777777" w:rsidR="001135A7" w:rsidRPr="00C62A90" w:rsidRDefault="001135A7" w:rsidP="00BC79B1">
            <w:pPr>
              <w:pStyle w:val="Els-body-text"/>
              <w:jc w:val="center"/>
              <w:rPr>
                <w:sz w:val="18"/>
                <w:szCs w:val="18"/>
                <w:lang w:val="en-GB"/>
              </w:rPr>
            </w:pPr>
            <w:r w:rsidRPr="00C62A90">
              <w:rPr>
                <w:sz w:val="18"/>
                <w:szCs w:val="18"/>
                <w:lang w:val="en-GB"/>
              </w:rPr>
              <w:t>HL</w:t>
            </w:r>
          </w:p>
        </w:tc>
        <w:tc>
          <w:tcPr>
            <w:tcW w:w="770" w:type="pct"/>
            <w:tcBorders>
              <w:left w:val="nil"/>
              <w:bottom w:val="nil"/>
              <w:right w:val="nil"/>
            </w:tcBorders>
            <w:vAlign w:val="center"/>
          </w:tcPr>
          <w:p w14:paraId="26FD13ED" w14:textId="3899BCA4" w:rsidR="001135A7" w:rsidRPr="00C62A90" w:rsidRDefault="001135A7" w:rsidP="00BC79B1">
            <w:pPr>
              <w:pStyle w:val="Els-body-text"/>
              <w:jc w:val="center"/>
              <w:rPr>
                <w:sz w:val="18"/>
                <w:szCs w:val="18"/>
                <w:lang w:val="en-GB"/>
              </w:rPr>
            </w:pPr>
            <w:r w:rsidRPr="00C62A90">
              <w:rPr>
                <w:sz w:val="18"/>
                <w:szCs w:val="18"/>
                <w:lang w:val="en-GB"/>
              </w:rPr>
              <w:t>2.4</w:t>
            </w:r>
            <w:r w:rsidR="00830B50">
              <w:rPr>
                <w:sz w:val="18"/>
                <w:szCs w:val="18"/>
                <w:lang w:val="en-GB"/>
              </w:rPr>
              <w:t>·10</w:t>
            </w:r>
            <w:r w:rsidRPr="00830B50">
              <w:rPr>
                <w:sz w:val="18"/>
                <w:szCs w:val="18"/>
                <w:vertAlign w:val="superscript"/>
                <w:lang w:val="en-GB"/>
              </w:rPr>
              <w:t>7</w:t>
            </w:r>
          </w:p>
        </w:tc>
        <w:tc>
          <w:tcPr>
            <w:tcW w:w="1923" w:type="pct"/>
            <w:tcBorders>
              <w:left w:val="nil"/>
              <w:bottom w:val="nil"/>
              <w:right w:val="nil"/>
            </w:tcBorders>
            <w:vAlign w:val="center"/>
          </w:tcPr>
          <w:p w14:paraId="55F24310" w14:textId="77777777" w:rsidR="001135A7" w:rsidRPr="00C62A90" w:rsidRDefault="001135A7" w:rsidP="00BC79B1">
            <w:pPr>
              <w:pStyle w:val="Els-body-text"/>
              <w:jc w:val="center"/>
              <w:rPr>
                <w:sz w:val="18"/>
                <w:szCs w:val="18"/>
                <w:lang w:val="en-GB"/>
              </w:rPr>
            </w:pPr>
            <w:r w:rsidRPr="00C62A90">
              <w:rPr>
                <w:sz w:val="18"/>
                <w:szCs w:val="18"/>
                <w:lang w:val="en-GB"/>
              </w:rPr>
              <w:t>Keep the constraint in place</w:t>
            </w:r>
          </w:p>
        </w:tc>
      </w:tr>
      <w:tr w:rsidR="00BA77A7" w14:paraId="3D8E0204" w14:textId="77777777" w:rsidTr="00BC79B1">
        <w:tc>
          <w:tcPr>
            <w:tcW w:w="656" w:type="pct"/>
            <w:tcBorders>
              <w:top w:val="nil"/>
              <w:left w:val="nil"/>
              <w:bottom w:val="nil"/>
              <w:right w:val="nil"/>
            </w:tcBorders>
            <w:vAlign w:val="center"/>
          </w:tcPr>
          <w:p w14:paraId="0821860C" w14:textId="77777777" w:rsidR="001135A7" w:rsidRPr="00C62A90" w:rsidRDefault="001135A7" w:rsidP="00BC79B1">
            <w:pPr>
              <w:pStyle w:val="Els-body-text"/>
              <w:jc w:val="center"/>
              <w:rPr>
                <w:sz w:val="18"/>
                <w:szCs w:val="18"/>
                <w:lang w:val="en-GB"/>
              </w:rPr>
            </w:pPr>
            <w:r w:rsidRPr="00C62A90">
              <w:rPr>
                <w:sz w:val="18"/>
                <w:szCs w:val="18"/>
                <w:lang w:val="en-GB"/>
              </w:rPr>
              <w:t>2</w:t>
            </w:r>
          </w:p>
        </w:tc>
        <w:tc>
          <w:tcPr>
            <w:tcW w:w="815" w:type="pct"/>
            <w:tcBorders>
              <w:top w:val="nil"/>
              <w:left w:val="nil"/>
              <w:bottom w:val="nil"/>
              <w:right w:val="nil"/>
            </w:tcBorders>
            <w:vAlign w:val="center"/>
          </w:tcPr>
          <w:p w14:paraId="09203F39" w14:textId="77777777" w:rsidR="001135A7" w:rsidRPr="00C62A90" w:rsidRDefault="001135A7" w:rsidP="00BC79B1">
            <w:pPr>
              <w:pStyle w:val="Els-body-text"/>
              <w:jc w:val="center"/>
              <w:rPr>
                <w:sz w:val="18"/>
                <w:szCs w:val="18"/>
                <w:lang w:val="en-GB"/>
              </w:rPr>
            </w:pPr>
            <w:r w:rsidRPr="00C62A90">
              <w:rPr>
                <w:sz w:val="18"/>
                <w:szCs w:val="18"/>
                <w:lang w:val="en-GB"/>
              </w:rPr>
              <w:t>CV 10</w:t>
            </w:r>
          </w:p>
        </w:tc>
        <w:tc>
          <w:tcPr>
            <w:tcW w:w="836" w:type="pct"/>
            <w:tcBorders>
              <w:top w:val="nil"/>
              <w:left w:val="nil"/>
              <w:bottom w:val="nil"/>
              <w:right w:val="nil"/>
            </w:tcBorders>
            <w:vAlign w:val="center"/>
          </w:tcPr>
          <w:p w14:paraId="35261E69" w14:textId="77777777" w:rsidR="001135A7" w:rsidRPr="00C62A90" w:rsidRDefault="001135A7" w:rsidP="00BC79B1">
            <w:pPr>
              <w:pStyle w:val="Els-body-text"/>
              <w:jc w:val="center"/>
              <w:rPr>
                <w:sz w:val="18"/>
                <w:szCs w:val="18"/>
                <w:lang w:val="en-GB"/>
              </w:rPr>
            </w:pPr>
            <w:r w:rsidRPr="00C62A90">
              <w:rPr>
                <w:sz w:val="18"/>
                <w:szCs w:val="18"/>
                <w:lang w:val="en-GB"/>
              </w:rPr>
              <w:t>LL</w:t>
            </w:r>
          </w:p>
        </w:tc>
        <w:tc>
          <w:tcPr>
            <w:tcW w:w="770" w:type="pct"/>
            <w:tcBorders>
              <w:top w:val="nil"/>
              <w:left w:val="nil"/>
              <w:bottom w:val="nil"/>
              <w:right w:val="nil"/>
            </w:tcBorders>
            <w:vAlign w:val="center"/>
          </w:tcPr>
          <w:p w14:paraId="12697E89" w14:textId="0D983966" w:rsidR="001135A7" w:rsidRPr="00C62A90" w:rsidRDefault="001135A7" w:rsidP="00BC79B1">
            <w:pPr>
              <w:pStyle w:val="Els-body-text"/>
              <w:jc w:val="center"/>
              <w:rPr>
                <w:sz w:val="18"/>
                <w:szCs w:val="18"/>
                <w:lang w:val="en-GB"/>
              </w:rPr>
            </w:pPr>
            <w:r w:rsidRPr="00C62A90">
              <w:rPr>
                <w:sz w:val="18"/>
                <w:szCs w:val="18"/>
                <w:lang w:val="en-GB"/>
              </w:rPr>
              <w:t>2.1</w:t>
            </w:r>
            <w:r w:rsidR="00830B50">
              <w:rPr>
                <w:sz w:val="18"/>
                <w:szCs w:val="18"/>
                <w:lang w:val="en-GB"/>
              </w:rPr>
              <w:t>·10</w:t>
            </w:r>
            <w:r w:rsidRPr="00830B50">
              <w:rPr>
                <w:sz w:val="18"/>
                <w:szCs w:val="18"/>
                <w:vertAlign w:val="superscript"/>
                <w:lang w:val="en-GB"/>
              </w:rPr>
              <w:t>7</w:t>
            </w:r>
          </w:p>
        </w:tc>
        <w:tc>
          <w:tcPr>
            <w:tcW w:w="1923" w:type="pct"/>
            <w:tcBorders>
              <w:top w:val="nil"/>
              <w:left w:val="nil"/>
              <w:bottom w:val="nil"/>
              <w:right w:val="nil"/>
            </w:tcBorders>
            <w:vAlign w:val="center"/>
          </w:tcPr>
          <w:p w14:paraId="7427FFD2" w14:textId="77777777" w:rsidR="001135A7" w:rsidRPr="00C62A90" w:rsidRDefault="001135A7" w:rsidP="00BC79B1">
            <w:pPr>
              <w:pStyle w:val="Els-body-text"/>
              <w:jc w:val="center"/>
              <w:rPr>
                <w:sz w:val="18"/>
                <w:szCs w:val="18"/>
                <w:lang w:val="en-GB"/>
              </w:rPr>
            </w:pPr>
            <w:r w:rsidRPr="00C62A90">
              <w:rPr>
                <w:sz w:val="18"/>
                <w:szCs w:val="18"/>
                <w:lang w:val="en-GB"/>
              </w:rPr>
              <w:t>Keep the constraint in place</w:t>
            </w:r>
          </w:p>
        </w:tc>
      </w:tr>
      <w:tr w:rsidR="00BA77A7" w14:paraId="265725F1" w14:textId="77777777" w:rsidTr="00BC79B1">
        <w:tc>
          <w:tcPr>
            <w:tcW w:w="656" w:type="pct"/>
            <w:tcBorders>
              <w:top w:val="nil"/>
              <w:left w:val="nil"/>
              <w:bottom w:val="nil"/>
              <w:right w:val="nil"/>
            </w:tcBorders>
            <w:vAlign w:val="center"/>
          </w:tcPr>
          <w:p w14:paraId="0BF02E7F" w14:textId="77777777" w:rsidR="001135A7" w:rsidRPr="00C62A90" w:rsidRDefault="001135A7" w:rsidP="00BC79B1">
            <w:pPr>
              <w:pStyle w:val="Els-body-text"/>
              <w:jc w:val="center"/>
              <w:rPr>
                <w:sz w:val="18"/>
                <w:szCs w:val="18"/>
                <w:lang w:val="en-GB"/>
              </w:rPr>
            </w:pPr>
            <w:r w:rsidRPr="00C62A90">
              <w:rPr>
                <w:sz w:val="18"/>
                <w:szCs w:val="18"/>
                <w:lang w:val="en-GB"/>
              </w:rPr>
              <w:t>3</w:t>
            </w:r>
          </w:p>
        </w:tc>
        <w:tc>
          <w:tcPr>
            <w:tcW w:w="815" w:type="pct"/>
            <w:tcBorders>
              <w:top w:val="nil"/>
              <w:left w:val="nil"/>
              <w:bottom w:val="nil"/>
              <w:right w:val="nil"/>
            </w:tcBorders>
            <w:vAlign w:val="center"/>
          </w:tcPr>
          <w:p w14:paraId="183465DA" w14:textId="77777777" w:rsidR="001135A7" w:rsidRPr="00C62A90" w:rsidRDefault="001135A7" w:rsidP="00BC79B1">
            <w:pPr>
              <w:pStyle w:val="Els-body-text"/>
              <w:jc w:val="center"/>
              <w:rPr>
                <w:sz w:val="18"/>
                <w:szCs w:val="18"/>
                <w:lang w:val="en-GB"/>
              </w:rPr>
            </w:pPr>
            <w:r w:rsidRPr="00C62A90">
              <w:rPr>
                <w:sz w:val="18"/>
                <w:szCs w:val="18"/>
                <w:lang w:val="en-GB"/>
              </w:rPr>
              <w:t>MV 4</w:t>
            </w:r>
          </w:p>
        </w:tc>
        <w:tc>
          <w:tcPr>
            <w:tcW w:w="836" w:type="pct"/>
            <w:tcBorders>
              <w:top w:val="nil"/>
              <w:left w:val="nil"/>
              <w:bottom w:val="nil"/>
              <w:right w:val="nil"/>
            </w:tcBorders>
            <w:vAlign w:val="center"/>
          </w:tcPr>
          <w:p w14:paraId="2D341A03" w14:textId="77777777" w:rsidR="001135A7" w:rsidRPr="00C62A90" w:rsidRDefault="001135A7" w:rsidP="00BC79B1">
            <w:pPr>
              <w:pStyle w:val="Els-body-text"/>
              <w:jc w:val="center"/>
              <w:rPr>
                <w:sz w:val="18"/>
                <w:szCs w:val="18"/>
                <w:lang w:val="en-GB"/>
              </w:rPr>
            </w:pPr>
            <w:r w:rsidRPr="00C62A90">
              <w:rPr>
                <w:sz w:val="18"/>
                <w:szCs w:val="18"/>
                <w:lang w:val="en-GB"/>
              </w:rPr>
              <w:t>LL</w:t>
            </w:r>
          </w:p>
        </w:tc>
        <w:tc>
          <w:tcPr>
            <w:tcW w:w="770" w:type="pct"/>
            <w:tcBorders>
              <w:top w:val="nil"/>
              <w:left w:val="nil"/>
              <w:bottom w:val="nil"/>
              <w:right w:val="nil"/>
            </w:tcBorders>
            <w:vAlign w:val="center"/>
          </w:tcPr>
          <w:p w14:paraId="42D6B94F" w14:textId="335008EE" w:rsidR="001135A7" w:rsidRPr="00C62A90" w:rsidRDefault="001135A7" w:rsidP="00BC79B1">
            <w:pPr>
              <w:pStyle w:val="Els-body-text"/>
              <w:jc w:val="center"/>
              <w:rPr>
                <w:sz w:val="18"/>
                <w:szCs w:val="18"/>
                <w:lang w:val="en-GB"/>
              </w:rPr>
            </w:pPr>
            <w:r w:rsidRPr="00C62A90">
              <w:rPr>
                <w:sz w:val="18"/>
                <w:szCs w:val="18"/>
                <w:lang w:val="en-GB"/>
              </w:rPr>
              <w:t>8.1</w:t>
            </w:r>
            <w:r w:rsidR="00830B50">
              <w:rPr>
                <w:sz w:val="18"/>
                <w:szCs w:val="18"/>
                <w:lang w:val="en-GB"/>
              </w:rPr>
              <w:t>·10</w:t>
            </w:r>
            <w:r w:rsidRPr="00830B50">
              <w:rPr>
                <w:sz w:val="18"/>
                <w:szCs w:val="18"/>
                <w:vertAlign w:val="superscript"/>
                <w:lang w:val="en-GB"/>
              </w:rPr>
              <w:t>5</w:t>
            </w:r>
          </w:p>
        </w:tc>
        <w:tc>
          <w:tcPr>
            <w:tcW w:w="1923" w:type="pct"/>
            <w:tcBorders>
              <w:top w:val="nil"/>
              <w:left w:val="nil"/>
              <w:bottom w:val="nil"/>
              <w:right w:val="nil"/>
            </w:tcBorders>
            <w:vAlign w:val="center"/>
          </w:tcPr>
          <w:p w14:paraId="428FEBD5" w14:textId="77777777" w:rsidR="001135A7" w:rsidRPr="00C62A90" w:rsidRDefault="001135A7" w:rsidP="00BC79B1">
            <w:pPr>
              <w:pStyle w:val="Els-body-text"/>
              <w:jc w:val="center"/>
              <w:rPr>
                <w:sz w:val="18"/>
                <w:szCs w:val="18"/>
                <w:lang w:val="en-GB"/>
              </w:rPr>
            </w:pPr>
            <w:r w:rsidRPr="00C62A90">
              <w:rPr>
                <w:sz w:val="18"/>
                <w:szCs w:val="18"/>
                <w:lang w:val="en-GB"/>
              </w:rPr>
              <w:t>Keep the constraint in place</w:t>
            </w:r>
          </w:p>
        </w:tc>
      </w:tr>
      <w:tr w:rsidR="00BA77A7" w14:paraId="37BE1515" w14:textId="77777777" w:rsidTr="00BC79B1">
        <w:tc>
          <w:tcPr>
            <w:tcW w:w="656" w:type="pct"/>
            <w:tcBorders>
              <w:top w:val="nil"/>
              <w:left w:val="nil"/>
              <w:bottom w:val="nil"/>
              <w:right w:val="nil"/>
            </w:tcBorders>
            <w:vAlign w:val="center"/>
          </w:tcPr>
          <w:p w14:paraId="7857670A" w14:textId="77777777" w:rsidR="001135A7" w:rsidRPr="00C62A90" w:rsidRDefault="001135A7" w:rsidP="00BC79B1">
            <w:pPr>
              <w:pStyle w:val="Els-body-text"/>
              <w:jc w:val="center"/>
              <w:rPr>
                <w:sz w:val="18"/>
                <w:szCs w:val="18"/>
                <w:lang w:val="en-GB"/>
              </w:rPr>
            </w:pPr>
            <w:r w:rsidRPr="00C62A90">
              <w:rPr>
                <w:sz w:val="18"/>
                <w:szCs w:val="18"/>
                <w:lang w:val="en-GB"/>
              </w:rPr>
              <w:t>4</w:t>
            </w:r>
          </w:p>
        </w:tc>
        <w:tc>
          <w:tcPr>
            <w:tcW w:w="815" w:type="pct"/>
            <w:tcBorders>
              <w:top w:val="nil"/>
              <w:left w:val="nil"/>
              <w:bottom w:val="nil"/>
              <w:right w:val="nil"/>
            </w:tcBorders>
            <w:vAlign w:val="center"/>
          </w:tcPr>
          <w:p w14:paraId="4C18D854" w14:textId="77777777" w:rsidR="001135A7" w:rsidRPr="00C62A90" w:rsidRDefault="001135A7" w:rsidP="00BC79B1">
            <w:pPr>
              <w:pStyle w:val="Els-body-text"/>
              <w:jc w:val="center"/>
              <w:rPr>
                <w:sz w:val="18"/>
                <w:szCs w:val="18"/>
                <w:lang w:val="en-GB"/>
              </w:rPr>
            </w:pPr>
            <w:r w:rsidRPr="00C62A90">
              <w:rPr>
                <w:sz w:val="18"/>
                <w:szCs w:val="18"/>
                <w:lang w:val="en-GB"/>
              </w:rPr>
              <w:t>CV 20</w:t>
            </w:r>
          </w:p>
        </w:tc>
        <w:tc>
          <w:tcPr>
            <w:tcW w:w="836" w:type="pct"/>
            <w:tcBorders>
              <w:top w:val="nil"/>
              <w:left w:val="nil"/>
              <w:bottom w:val="nil"/>
              <w:right w:val="nil"/>
            </w:tcBorders>
            <w:vAlign w:val="center"/>
          </w:tcPr>
          <w:p w14:paraId="702FE55B" w14:textId="77777777" w:rsidR="001135A7" w:rsidRPr="00C62A90" w:rsidRDefault="001135A7" w:rsidP="00BC79B1">
            <w:pPr>
              <w:pStyle w:val="Els-body-text"/>
              <w:jc w:val="center"/>
              <w:rPr>
                <w:sz w:val="18"/>
                <w:szCs w:val="18"/>
                <w:lang w:val="en-GB"/>
              </w:rPr>
            </w:pPr>
            <w:r w:rsidRPr="00C62A90">
              <w:rPr>
                <w:sz w:val="18"/>
                <w:szCs w:val="18"/>
                <w:lang w:val="en-GB"/>
              </w:rPr>
              <w:t>HL</w:t>
            </w:r>
          </w:p>
        </w:tc>
        <w:tc>
          <w:tcPr>
            <w:tcW w:w="770" w:type="pct"/>
            <w:tcBorders>
              <w:top w:val="nil"/>
              <w:left w:val="nil"/>
              <w:bottom w:val="nil"/>
              <w:right w:val="nil"/>
            </w:tcBorders>
            <w:vAlign w:val="center"/>
          </w:tcPr>
          <w:p w14:paraId="787EC1E6" w14:textId="77777777" w:rsidR="001135A7" w:rsidRPr="00C62A90" w:rsidRDefault="001135A7" w:rsidP="00BC79B1">
            <w:pPr>
              <w:pStyle w:val="Els-body-text"/>
              <w:jc w:val="center"/>
              <w:rPr>
                <w:sz w:val="18"/>
                <w:szCs w:val="18"/>
                <w:lang w:val="en-GB"/>
              </w:rPr>
            </w:pPr>
            <w:r w:rsidRPr="00C62A90">
              <w:rPr>
                <w:sz w:val="18"/>
                <w:szCs w:val="18"/>
                <w:lang w:val="en-GB"/>
              </w:rPr>
              <w:t>9,999.0</w:t>
            </w:r>
          </w:p>
        </w:tc>
        <w:tc>
          <w:tcPr>
            <w:tcW w:w="1923" w:type="pct"/>
            <w:tcBorders>
              <w:top w:val="nil"/>
              <w:left w:val="nil"/>
              <w:bottom w:val="nil"/>
              <w:right w:val="nil"/>
            </w:tcBorders>
            <w:vAlign w:val="center"/>
          </w:tcPr>
          <w:p w14:paraId="31E19FD9" w14:textId="77777777" w:rsidR="001135A7" w:rsidRPr="00C62A90" w:rsidRDefault="001135A7" w:rsidP="00BC79B1">
            <w:pPr>
              <w:pStyle w:val="Els-body-text"/>
              <w:jc w:val="center"/>
              <w:rPr>
                <w:sz w:val="18"/>
                <w:szCs w:val="18"/>
                <w:lang w:val="en-GB"/>
              </w:rPr>
            </w:pPr>
            <w:r w:rsidRPr="00C62A90">
              <w:rPr>
                <w:sz w:val="18"/>
                <w:szCs w:val="18"/>
                <w:lang w:val="en-GB"/>
              </w:rPr>
              <w:t>Move the real constraint to the ideal</w:t>
            </w:r>
          </w:p>
        </w:tc>
      </w:tr>
      <w:tr w:rsidR="00BA77A7" w14:paraId="617DF83E" w14:textId="77777777" w:rsidTr="00BC79B1">
        <w:tc>
          <w:tcPr>
            <w:tcW w:w="656" w:type="pct"/>
            <w:tcBorders>
              <w:top w:val="nil"/>
              <w:left w:val="nil"/>
              <w:bottom w:val="nil"/>
              <w:right w:val="nil"/>
            </w:tcBorders>
            <w:vAlign w:val="center"/>
          </w:tcPr>
          <w:p w14:paraId="123BAAE3" w14:textId="77777777" w:rsidR="001135A7" w:rsidRPr="00C62A90" w:rsidRDefault="001135A7" w:rsidP="00BC79B1">
            <w:pPr>
              <w:pStyle w:val="Els-body-text"/>
              <w:jc w:val="center"/>
              <w:rPr>
                <w:sz w:val="18"/>
                <w:szCs w:val="18"/>
                <w:lang w:val="en-GB"/>
              </w:rPr>
            </w:pPr>
            <w:r w:rsidRPr="00C62A90">
              <w:rPr>
                <w:sz w:val="18"/>
                <w:szCs w:val="18"/>
                <w:lang w:val="en-GB"/>
              </w:rPr>
              <w:t>5</w:t>
            </w:r>
          </w:p>
        </w:tc>
        <w:tc>
          <w:tcPr>
            <w:tcW w:w="815" w:type="pct"/>
            <w:tcBorders>
              <w:top w:val="nil"/>
              <w:left w:val="nil"/>
              <w:bottom w:val="nil"/>
              <w:right w:val="nil"/>
            </w:tcBorders>
            <w:vAlign w:val="center"/>
          </w:tcPr>
          <w:p w14:paraId="16177B4B" w14:textId="77777777" w:rsidR="001135A7" w:rsidRPr="00C62A90" w:rsidRDefault="001135A7" w:rsidP="00BC79B1">
            <w:pPr>
              <w:pStyle w:val="Els-body-text"/>
              <w:jc w:val="center"/>
              <w:rPr>
                <w:sz w:val="18"/>
                <w:szCs w:val="18"/>
                <w:lang w:val="en-GB"/>
              </w:rPr>
            </w:pPr>
            <w:r w:rsidRPr="00C62A90">
              <w:rPr>
                <w:sz w:val="18"/>
                <w:szCs w:val="18"/>
                <w:lang w:val="en-GB"/>
              </w:rPr>
              <w:t>CV 8</w:t>
            </w:r>
          </w:p>
        </w:tc>
        <w:tc>
          <w:tcPr>
            <w:tcW w:w="836" w:type="pct"/>
            <w:tcBorders>
              <w:top w:val="nil"/>
              <w:left w:val="nil"/>
              <w:bottom w:val="nil"/>
              <w:right w:val="nil"/>
            </w:tcBorders>
            <w:vAlign w:val="center"/>
          </w:tcPr>
          <w:p w14:paraId="1DE1A1E6" w14:textId="77777777" w:rsidR="001135A7" w:rsidRPr="00C62A90" w:rsidRDefault="001135A7" w:rsidP="00BC79B1">
            <w:pPr>
              <w:pStyle w:val="Els-body-text"/>
              <w:jc w:val="center"/>
              <w:rPr>
                <w:sz w:val="18"/>
                <w:szCs w:val="18"/>
                <w:lang w:val="en-GB"/>
              </w:rPr>
            </w:pPr>
            <w:r w:rsidRPr="00C62A90">
              <w:rPr>
                <w:sz w:val="18"/>
                <w:szCs w:val="18"/>
                <w:lang w:val="en-GB"/>
              </w:rPr>
              <w:t>HL</w:t>
            </w:r>
          </w:p>
        </w:tc>
        <w:tc>
          <w:tcPr>
            <w:tcW w:w="770" w:type="pct"/>
            <w:tcBorders>
              <w:top w:val="nil"/>
              <w:left w:val="nil"/>
              <w:bottom w:val="nil"/>
              <w:right w:val="nil"/>
            </w:tcBorders>
            <w:vAlign w:val="center"/>
          </w:tcPr>
          <w:p w14:paraId="740CAA20" w14:textId="77777777" w:rsidR="001135A7" w:rsidRPr="00C62A90" w:rsidRDefault="001135A7" w:rsidP="00BC79B1">
            <w:pPr>
              <w:pStyle w:val="Els-body-text"/>
              <w:jc w:val="center"/>
              <w:rPr>
                <w:sz w:val="18"/>
                <w:szCs w:val="18"/>
                <w:lang w:val="en-GB"/>
              </w:rPr>
            </w:pPr>
            <w:r w:rsidRPr="00C62A90">
              <w:rPr>
                <w:sz w:val="18"/>
                <w:szCs w:val="18"/>
                <w:lang w:val="en-GB"/>
              </w:rPr>
              <w:t>9,999.0</w:t>
            </w:r>
          </w:p>
        </w:tc>
        <w:tc>
          <w:tcPr>
            <w:tcW w:w="1923" w:type="pct"/>
            <w:tcBorders>
              <w:top w:val="nil"/>
              <w:left w:val="nil"/>
              <w:bottom w:val="nil"/>
              <w:right w:val="nil"/>
            </w:tcBorders>
            <w:vAlign w:val="center"/>
          </w:tcPr>
          <w:p w14:paraId="24E788F5" w14:textId="77777777" w:rsidR="001135A7" w:rsidRPr="00C62A90" w:rsidRDefault="001135A7" w:rsidP="00BC79B1">
            <w:pPr>
              <w:pStyle w:val="Els-body-text"/>
              <w:jc w:val="center"/>
              <w:rPr>
                <w:sz w:val="18"/>
                <w:szCs w:val="18"/>
                <w:lang w:val="en-GB"/>
              </w:rPr>
            </w:pPr>
            <w:r w:rsidRPr="00C62A90">
              <w:rPr>
                <w:sz w:val="18"/>
                <w:szCs w:val="18"/>
                <w:lang w:val="en-GB"/>
              </w:rPr>
              <w:t>Move the real constraint to the ideal</w:t>
            </w:r>
          </w:p>
        </w:tc>
      </w:tr>
      <w:tr w:rsidR="00BA77A7" w14:paraId="1AE1D442" w14:textId="77777777" w:rsidTr="00BC79B1">
        <w:tc>
          <w:tcPr>
            <w:tcW w:w="656" w:type="pct"/>
            <w:tcBorders>
              <w:top w:val="nil"/>
              <w:left w:val="nil"/>
              <w:bottom w:val="nil"/>
              <w:right w:val="nil"/>
            </w:tcBorders>
            <w:vAlign w:val="center"/>
          </w:tcPr>
          <w:p w14:paraId="38A9492D" w14:textId="77777777" w:rsidR="001135A7" w:rsidRPr="00C62A90" w:rsidRDefault="001135A7" w:rsidP="00BC79B1">
            <w:pPr>
              <w:pStyle w:val="Els-body-text"/>
              <w:jc w:val="center"/>
              <w:rPr>
                <w:sz w:val="18"/>
                <w:szCs w:val="18"/>
                <w:lang w:val="en-GB"/>
              </w:rPr>
            </w:pPr>
            <w:r w:rsidRPr="00C62A90">
              <w:rPr>
                <w:sz w:val="18"/>
                <w:szCs w:val="18"/>
                <w:lang w:val="en-GB"/>
              </w:rPr>
              <w:t>6</w:t>
            </w:r>
          </w:p>
        </w:tc>
        <w:tc>
          <w:tcPr>
            <w:tcW w:w="815" w:type="pct"/>
            <w:tcBorders>
              <w:top w:val="nil"/>
              <w:left w:val="nil"/>
              <w:bottom w:val="nil"/>
              <w:right w:val="nil"/>
            </w:tcBorders>
            <w:vAlign w:val="center"/>
          </w:tcPr>
          <w:p w14:paraId="51691757" w14:textId="77777777" w:rsidR="001135A7" w:rsidRPr="00C62A90" w:rsidRDefault="001135A7" w:rsidP="00BC79B1">
            <w:pPr>
              <w:pStyle w:val="Els-body-text"/>
              <w:jc w:val="center"/>
              <w:rPr>
                <w:sz w:val="18"/>
                <w:szCs w:val="18"/>
                <w:lang w:val="en-GB"/>
              </w:rPr>
            </w:pPr>
            <w:r w:rsidRPr="00C62A90">
              <w:rPr>
                <w:sz w:val="18"/>
                <w:szCs w:val="18"/>
                <w:lang w:val="en-GB"/>
              </w:rPr>
              <w:t>CV 14</w:t>
            </w:r>
          </w:p>
        </w:tc>
        <w:tc>
          <w:tcPr>
            <w:tcW w:w="836" w:type="pct"/>
            <w:tcBorders>
              <w:top w:val="nil"/>
              <w:left w:val="nil"/>
              <w:bottom w:val="nil"/>
              <w:right w:val="nil"/>
            </w:tcBorders>
            <w:vAlign w:val="center"/>
          </w:tcPr>
          <w:p w14:paraId="47B15632" w14:textId="77777777" w:rsidR="001135A7" w:rsidRPr="00C62A90" w:rsidRDefault="001135A7" w:rsidP="00BC79B1">
            <w:pPr>
              <w:pStyle w:val="Els-body-text"/>
              <w:jc w:val="center"/>
              <w:rPr>
                <w:sz w:val="18"/>
                <w:szCs w:val="18"/>
                <w:lang w:val="en-GB"/>
              </w:rPr>
            </w:pPr>
            <w:r w:rsidRPr="00C62A90">
              <w:rPr>
                <w:sz w:val="18"/>
                <w:szCs w:val="18"/>
                <w:lang w:val="en-GB"/>
              </w:rPr>
              <w:t>LL</w:t>
            </w:r>
          </w:p>
        </w:tc>
        <w:tc>
          <w:tcPr>
            <w:tcW w:w="770" w:type="pct"/>
            <w:tcBorders>
              <w:top w:val="nil"/>
              <w:left w:val="nil"/>
              <w:bottom w:val="nil"/>
              <w:right w:val="nil"/>
            </w:tcBorders>
            <w:vAlign w:val="center"/>
          </w:tcPr>
          <w:p w14:paraId="7944A416" w14:textId="77777777" w:rsidR="001135A7" w:rsidRPr="00C62A90" w:rsidRDefault="001135A7" w:rsidP="00BC79B1">
            <w:pPr>
              <w:pStyle w:val="Els-body-text"/>
              <w:jc w:val="center"/>
              <w:rPr>
                <w:sz w:val="18"/>
                <w:szCs w:val="18"/>
                <w:lang w:val="en-GB"/>
              </w:rPr>
            </w:pPr>
            <w:r w:rsidRPr="00C62A90">
              <w:rPr>
                <w:sz w:val="18"/>
                <w:szCs w:val="18"/>
                <w:lang w:val="en-GB"/>
              </w:rPr>
              <w:t>1,380.4</w:t>
            </w:r>
          </w:p>
        </w:tc>
        <w:tc>
          <w:tcPr>
            <w:tcW w:w="1923" w:type="pct"/>
            <w:tcBorders>
              <w:top w:val="nil"/>
              <w:left w:val="nil"/>
              <w:bottom w:val="nil"/>
              <w:right w:val="nil"/>
            </w:tcBorders>
            <w:vAlign w:val="center"/>
          </w:tcPr>
          <w:p w14:paraId="5957DDB8" w14:textId="77777777" w:rsidR="001135A7" w:rsidRPr="00C62A90" w:rsidRDefault="001135A7" w:rsidP="00BC79B1">
            <w:pPr>
              <w:pStyle w:val="Els-body-text"/>
              <w:jc w:val="center"/>
              <w:rPr>
                <w:sz w:val="18"/>
                <w:szCs w:val="18"/>
                <w:lang w:val="en-GB"/>
              </w:rPr>
            </w:pPr>
            <w:r w:rsidRPr="00C62A90">
              <w:rPr>
                <w:sz w:val="18"/>
                <w:szCs w:val="18"/>
                <w:lang w:val="en-GB"/>
              </w:rPr>
              <w:t>Keep the constraint in place</w:t>
            </w:r>
          </w:p>
        </w:tc>
      </w:tr>
      <w:tr w:rsidR="00BA77A7" w14:paraId="3079355B" w14:textId="77777777" w:rsidTr="00BC79B1">
        <w:tc>
          <w:tcPr>
            <w:tcW w:w="656" w:type="pct"/>
            <w:tcBorders>
              <w:top w:val="nil"/>
              <w:left w:val="nil"/>
              <w:right w:val="nil"/>
            </w:tcBorders>
            <w:vAlign w:val="center"/>
          </w:tcPr>
          <w:p w14:paraId="6498977B" w14:textId="77777777" w:rsidR="001135A7" w:rsidRPr="00C62A90" w:rsidRDefault="001135A7" w:rsidP="00BC79B1">
            <w:pPr>
              <w:pStyle w:val="Els-body-text"/>
              <w:jc w:val="center"/>
              <w:rPr>
                <w:sz w:val="18"/>
                <w:szCs w:val="18"/>
                <w:lang w:val="en-GB"/>
              </w:rPr>
            </w:pPr>
            <w:r w:rsidRPr="00C62A90">
              <w:rPr>
                <w:sz w:val="18"/>
                <w:szCs w:val="18"/>
                <w:lang w:val="en-GB"/>
              </w:rPr>
              <w:t>7</w:t>
            </w:r>
          </w:p>
        </w:tc>
        <w:tc>
          <w:tcPr>
            <w:tcW w:w="815" w:type="pct"/>
            <w:tcBorders>
              <w:top w:val="nil"/>
              <w:left w:val="nil"/>
              <w:right w:val="nil"/>
            </w:tcBorders>
            <w:vAlign w:val="center"/>
          </w:tcPr>
          <w:p w14:paraId="4CF829AB" w14:textId="77777777" w:rsidR="001135A7" w:rsidRPr="00C62A90" w:rsidRDefault="001135A7" w:rsidP="00BC79B1">
            <w:pPr>
              <w:pStyle w:val="Els-body-text"/>
              <w:jc w:val="center"/>
              <w:rPr>
                <w:sz w:val="18"/>
                <w:szCs w:val="18"/>
                <w:lang w:val="en-GB"/>
              </w:rPr>
            </w:pPr>
            <w:r w:rsidRPr="00C62A90">
              <w:rPr>
                <w:sz w:val="18"/>
                <w:szCs w:val="18"/>
                <w:lang w:val="en-GB"/>
              </w:rPr>
              <w:t>CV 1</w:t>
            </w:r>
          </w:p>
        </w:tc>
        <w:tc>
          <w:tcPr>
            <w:tcW w:w="836" w:type="pct"/>
            <w:tcBorders>
              <w:top w:val="nil"/>
              <w:left w:val="nil"/>
              <w:right w:val="nil"/>
            </w:tcBorders>
            <w:vAlign w:val="center"/>
          </w:tcPr>
          <w:p w14:paraId="676352BF" w14:textId="77777777" w:rsidR="001135A7" w:rsidRPr="00C62A90" w:rsidRDefault="001135A7" w:rsidP="00BC79B1">
            <w:pPr>
              <w:pStyle w:val="Els-body-text"/>
              <w:jc w:val="center"/>
              <w:rPr>
                <w:sz w:val="18"/>
                <w:szCs w:val="18"/>
                <w:lang w:val="en-GB"/>
              </w:rPr>
            </w:pPr>
            <w:r w:rsidRPr="00C62A90">
              <w:rPr>
                <w:sz w:val="18"/>
                <w:szCs w:val="18"/>
                <w:lang w:val="en-GB"/>
              </w:rPr>
              <w:t>HL</w:t>
            </w:r>
          </w:p>
        </w:tc>
        <w:tc>
          <w:tcPr>
            <w:tcW w:w="770" w:type="pct"/>
            <w:tcBorders>
              <w:top w:val="nil"/>
              <w:left w:val="nil"/>
              <w:right w:val="nil"/>
            </w:tcBorders>
            <w:vAlign w:val="center"/>
          </w:tcPr>
          <w:p w14:paraId="686A4A1E" w14:textId="77777777" w:rsidR="001135A7" w:rsidRPr="00C62A90" w:rsidRDefault="001135A7" w:rsidP="00BC79B1">
            <w:pPr>
              <w:pStyle w:val="Els-body-text"/>
              <w:jc w:val="center"/>
              <w:rPr>
                <w:sz w:val="18"/>
                <w:szCs w:val="18"/>
                <w:lang w:val="en-GB"/>
              </w:rPr>
            </w:pPr>
            <w:r w:rsidRPr="00C62A90">
              <w:rPr>
                <w:sz w:val="18"/>
                <w:szCs w:val="18"/>
                <w:lang w:val="en-GB"/>
              </w:rPr>
              <w:t>100.0</w:t>
            </w:r>
          </w:p>
        </w:tc>
        <w:tc>
          <w:tcPr>
            <w:tcW w:w="1923" w:type="pct"/>
            <w:tcBorders>
              <w:top w:val="nil"/>
              <w:left w:val="nil"/>
              <w:right w:val="nil"/>
            </w:tcBorders>
            <w:vAlign w:val="center"/>
          </w:tcPr>
          <w:p w14:paraId="50AA4DD8" w14:textId="77777777" w:rsidR="001135A7" w:rsidRPr="00C62A90" w:rsidRDefault="001135A7" w:rsidP="00BC79B1">
            <w:pPr>
              <w:pStyle w:val="Els-body-text"/>
              <w:jc w:val="center"/>
              <w:rPr>
                <w:b/>
                <w:bCs/>
                <w:sz w:val="18"/>
                <w:szCs w:val="18"/>
                <w:lang w:val="en-GB"/>
              </w:rPr>
            </w:pPr>
            <w:r w:rsidRPr="00C62A90">
              <w:rPr>
                <w:sz w:val="18"/>
                <w:szCs w:val="18"/>
                <w:lang w:val="en-GB"/>
              </w:rPr>
              <w:t>Move the real constraint to the ideal</w:t>
            </w:r>
          </w:p>
        </w:tc>
      </w:tr>
    </w:tbl>
    <w:p w14:paraId="762EECFE" w14:textId="77777777" w:rsidR="001135A7" w:rsidRDefault="001135A7" w:rsidP="00171E3B">
      <w:pPr>
        <w:pStyle w:val="Els-body-text"/>
        <w:spacing w:before="120"/>
        <w:ind w:right="225"/>
        <w:rPr>
          <w:lang w:val="en-GB"/>
        </w:rPr>
      </w:pPr>
      <w:r w:rsidRPr="00706BFE">
        <w:rPr>
          <w:lang w:val="en-GB"/>
        </w:rPr>
        <w:t>Conversely, non-local sensitivity analysis (NSA) approximates the gradient using both the nominal</w:t>
      </w:r>
      <w:r>
        <w:rPr>
          <w:lang w:val="en-GB"/>
        </w:rPr>
        <w:t xml:space="preserve"> </w:t>
      </w:r>
      <w:r w:rsidRPr="00706BFE">
        <w:rPr>
          <w:lang w:val="en-GB"/>
        </w:rPr>
        <w:t>solution and the solution with the real constraint replaced by the corresponding ideal one:</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0"/>
      </w:tblGrid>
      <w:tr w:rsidR="001135A7" w14:paraId="160E7BD6" w14:textId="77777777" w:rsidTr="005E41BB">
        <w:trPr>
          <w:jc w:val="center"/>
        </w:trPr>
        <w:tc>
          <w:tcPr>
            <w:tcW w:w="6516" w:type="dxa"/>
            <w:vAlign w:val="center"/>
          </w:tcPr>
          <w:p w14:paraId="0146D519" w14:textId="77777777" w:rsidR="001135A7" w:rsidRPr="00177574" w:rsidRDefault="00AA3D2F" w:rsidP="009010B6">
            <w:pPr>
              <w:pStyle w:val="Els-body-text"/>
              <w:spacing w:before="120"/>
              <w:jc w:val="center"/>
              <w:rPr>
                <w:sz w:val="16"/>
                <w:szCs w:val="16"/>
                <w:lang w:val="en-GB"/>
              </w:rPr>
            </w:pPr>
            <m:oMathPara>
              <m:oMathParaPr>
                <m:jc m:val="left"/>
              </m:oMathParaPr>
              <m:oMath>
                <m:sSubSup>
                  <m:sSubSupPr>
                    <m:ctrlPr>
                      <w:rPr>
                        <w:rFonts w:ascii="Cambria Math" w:hAnsi="Cambria Math"/>
                        <w:i/>
                        <w:sz w:val="16"/>
                        <w:szCs w:val="16"/>
                        <w:lang w:val="en-GB"/>
                      </w:rPr>
                    </m:ctrlPr>
                  </m:sSubSupPr>
                  <m:e>
                    <m:acc>
                      <m:accPr>
                        <m:chr m:val="̃"/>
                        <m:ctrlPr>
                          <w:rPr>
                            <w:rFonts w:ascii="Cambria Math" w:hAnsi="Cambria Math"/>
                            <w:i/>
                            <w:sz w:val="16"/>
                            <w:szCs w:val="16"/>
                            <w:lang w:val="en-GB"/>
                          </w:rPr>
                        </m:ctrlPr>
                      </m:accPr>
                      <m:e>
                        <m:r>
                          <w:rPr>
                            <w:rFonts w:ascii="Cambria Math" w:hAnsi="Cambria Math"/>
                            <w:sz w:val="16"/>
                            <w:szCs w:val="16"/>
                            <w:lang w:val="en-GB"/>
                          </w:rPr>
                          <m:t>λ</m:t>
                        </m:r>
                      </m:e>
                    </m:acc>
                  </m:e>
                  <m:sub>
                    <m:r>
                      <w:rPr>
                        <w:rFonts w:ascii="Cambria Math" w:hAnsi="Cambria Math"/>
                        <w:sz w:val="16"/>
                        <w:szCs w:val="16"/>
                        <w:lang w:val="en-GB"/>
                      </w:rPr>
                      <m:t>i</m:t>
                    </m:r>
                  </m:sub>
                  <m:sup>
                    <m:r>
                      <w:rPr>
                        <w:rFonts w:ascii="Cambria Math" w:hAnsi="Cambria Math"/>
                        <w:sz w:val="16"/>
                        <w:szCs w:val="16"/>
                        <w:lang w:val="en-GB"/>
                      </w:rPr>
                      <m:t>*</m:t>
                    </m:r>
                  </m:sup>
                </m:sSubSup>
                <m:r>
                  <w:rPr>
                    <w:rFonts w:ascii="Cambria Math" w:hAnsi="Cambria Math"/>
                    <w:sz w:val="16"/>
                    <w:szCs w:val="16"/>
                    <w:lang w:val="en-GB"/>
                  </w:rPr>
                  <m:t>=</m:t>
                </m:r>
                <m:f>
                  <m:fPr>
                    <m:ctrlPr>
                      <w:rPr>
                        <w:rFonts w:ascii="Cambria Math" w:hAnsi="Cambria Math"/>
                        <w:i/>
                        <w:sz w:val="16"/>
                        <w:szCs w:val="16"/>
                        <w:lang w:val="en-GB"/>
                      </w:rPr>
                    </m:ctrlPr>
                  </m:fPr>
                  <m:num>
                    <m:sSub>
                      <m:sSubPr>
                        <m:ctrlPr>
                          <w:rPr>
                            <w:rFonts w:ascii="Cambria Math" w:hAnsi="Cambria Math"/>
                            <w:i/>
                            <w:sz w:val="16"/>
                            <w:szCs w:val="16"/>
                            <w:lang w:val="en-GB"/>
                          </w:rPr>
                        </m:ctrlPr>
                      </m:sSubPr>
                      <m:e>
                        <m:r>
                          <w:rPr>
                            <w:rFonts w:ascii="Cambria Math" w:hAnsi="Cambria Math"/>
                            <w:sz w:val="16"/>
                            <w:szCs w:val="16"/>
                            <w:lang w:val="en-GB"/>
                          </w:rPr>
                          <m:t>J</m:t>
                        </m:r>
                      </m:e>
                      <m:sub>
                        <m:r>
                          <w:rPr>
                            <w:rFonts w:ascii="Cambria Math" w:hAnsi="Cambria Math"/>
                            <w:sz w:val="16"/>
                            <w:szCs w:val="16"/>
                            <w:lang w:val="en-GB"/>
                          </w:rPr>
                          <m:t>real</m:t>
                        </m:r>
                      </m:sub>
                    </m:sSub>
                    <m:d>
                      <m:dPr>
                        <m:ctrlPr>
                          <w:rPr>
                            <w:rFonts w:ascii="Cambria Math" w:hAnsi="Cambria Math"/>
                            <w:i/>
                            <w:sz w:val="16"/>
                            <w:szCs w:val="16"/>
                            <w:lang w:val="en-GB"/>
                          </w:rPr>
                        </m:ctrlPr>
                      </m:dPr>
                      <m:e>
                        <m:sSup>
                          <m:sSupPr>
                            <m:ctrlPr>
                              <w:rPr>
                                <w:rFonts w:ascii="Cambria Math" w:hAnsi="Cambria Math"/>
                                <w:i/>
                                <w:sz w:val="16"/>
                                <w:szCs w:val="16"/>
                                <w:lang w:val="en-GB"/>
                              </w:rPr>
                            </m:ctrlPr>
                          </m:sSupPr>
                          <m:e>
                            <m:r>
                              <w:rPr>
                                <w:rFonts w:ascii="Cambria Math" w:hAnsi="Cambria Math"/>
                                <w:sz w:val="16"/>
                                <w:szCs w:val="16"/>
                                <w:lang w:val="en-GB"/>
                              </w:rPr>
                              <m:t>x</m:t>
                            </m:r>
                          </m:e>
                          <m:sup>
                            <m:r>
                              <w:rPr>
                                <w:rFonts w:ascii="Cambria Math" w:hAnsi="Cambria Math"/>
                                <w:sz w:val="16"/>
                                <w:szCs w:val="16"/>
                                <w:lang w:val="en-GB"/>
                              </w:rPr>
                              <m:t>*</m:t>
                            </m:r>
                          </m:sup>
                        </m:sSup>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J</m:t>
                        </m:r>
                      </m:e>
                      <m:sub>
                        <m:r>
                          <w:rPr>
                            <w:rFonts w:ascii="Cambria Math" w:hAnsi="Cambria Math"/>
                            <w:sz w:val="16"/>
                            <w:szCs w:val="16"/>
                            <w:lang w:val="en-GB"/>
                          </w:rPr>
                          <m:t>ideal</m:t>
                        </m:r>
                        <m:r>
                          <w:rPr>
                            <w:rFonts w:ascii="Cambria Math" w:hAnsi="Cambria Math"/>
                            <w:sz w:val="16"/>
                            <w:szCs w:val="16"/>
                            <w:lang w:val="en-GB"/>
                          </w:rPr>
                          <m:t>,</m:t>
                        </m:r>
                        <m:r>
                          <w:rPr>
                            <w:rFonts w:ascii="Cambria Math" w:hAnsi="Cambria Math"/>
                            <w:sz w:val="16"/>
                            <w:szCs w:val="16"/>
                            <w:lang w:val="en-GB"/>
                          </w:rPr>
                          <m:t>i</m:t>
                        </m:r>
                      </m:sub>
                    </m:sSub>
                    <m:d>
                      <m:dPr>
                        <m:ctrlPr>
                          <w:rPr>
                            <w:rFonts w:ascii="Cambria Math" w:hAnsi="Cambria Math"/>
                            <w:i/>
                            <w:sz w:val="16"/>
                            <w:szCs w:val="16"/>
                            <w:lang w:val="en-GB"/>
                          </w:rPr>
                        </m:ctrlPr>
                      </m:dPr>
                      <m:e>
                        <m:sSup>
                          <m:sSupPr>
                            <m:ctrlPr>
                              <w:rPr>
                                <w:rFonts w:ascii="Cambria Math" w:hAnsi="Cambria Math"/>
                                <w:i/>
                                <w:sz w:val="16"/>
                                <w:szCs w:val="16"/>
                                <w:lang w:val="en-GB"/>
                              </w:rPr>
                            </m:ctrlPr>
                          </m:sSupPr>
                          <m:e>
                            <m:r>
                              <w:rPr>
                                <w:rFonts w:ascii="Cambria Math" w:hAnsi="Cambria Math"/>
                                <w:sz w:val="16"/>
                                <w:szCs w:val="16"/>
                                <w:lang w:val="en-GB"/>
                              </w:rPr>
                              <m:t>x</m:t>
                            </m:r>
                          </m:e>
                          <m:sup>
                            <m:r>
                              <w:rPr>
                                <w:rFonts w:ascii="Cambria Math" w:hAnsi="Cambria Math"/>
                                <w:sz w:val="16"/>
                                <w:szCs w:val="16"/>
                                <w:lang w:val="en-GB"/>
                              </w:rPr>
                              <m:t>*</m:t>
                            </m:r>
                          </m:sup>
                        </m:sSup>
                      </m:e>
                    </m:d>
                  </m:num>
                  <m:den>
                    <m:sSub>
                      <m:sSubPr>
                        <m:ctrlPr>
                          <w:rPr>
                            <w:rFonts w:ascii="Cambria Math" w:hAnsi="Cambria Math"/>
                            <w:i/>
                            <w:sz w:val="16"/>
                            <w:szCs w:val="16"/>
                            <w:lang w:val="en-GB"/>
                          </w:rPr>
                        </m:ctrlPr>
                      </m:sSubPr>
                      <m:e>
                        <m:r>
                          <w:rPr>
                            <w:rFonts w:ascii="Cambria Math" w:hAnsi="Cambria Math"/>
                            <w:sz w:val="16"/>
                            <w:szCs w:val="16"/>
                            <w:lang w:val="en-GB"/>
                          </w:rPr>
                          <m:t>RC</m:t>
                        </m:r>
                      </m:e>
                      <m:sub>
                        <m:r>
                          <w:rPr>
                            <w:rFonts w:ascii="Cambria Math" w:hAnsi="Cambria Math"/>
                            <w:sz w:val="16"/>
                            <w:szCs w:val="16"/>
                            <w:lang w:val="en-GB"/>
                          </w:rPr>
                          <m:t>i</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IC</m:t>
                        </m:r>
                      </m:e>
                      <m:sub>
                        <m:r>
                          <w:rPr>
                            <w:rFonts w:ascii="Cambria Math" w:hAnsi="Cambria Math"/>
                            <w:sz w:val="16"/>
                            <w:szCs w:val="16"/>
                            <w:lang w:val="en-GB"/>
                          </w:rPr>
                          <m:t>i</m:t>
                        </m:r>
                      </m:sub>
                    </m:sSub>
                  </m:den>
                </m:f>
              </m:oMath>
            </m:oMathPara>
          </w:p>
        </w:tc>
        <w:tc>
          <w:tcPr>
            <w:tcW w:w="560" w:type="dxa"/>
            <w:vAlign w:val="center"/>
          </w:tcPr>
          <w:p w14:paraId="1569C746" w14:textId="77777777" w:rsidR="001135A7" w:rsidRDefault="001135A7" w:rsidP="009010B6">
            <w:pPr>
              <w:pStyle w:val="Els-body-text"/>
              <w:spacing w:before="120"/>
              <w:jc w:val="center"/>
              <w:rPr>
                <w:lang w:val="en-GB"/>
              </w:rPr>
            </w:pPr>
            <w:r>
              <w:rPr>
                <w:lang w:val="en-GB"/>
              </w:rPr>
              <w:t>(2)</w:t>
            </w:r>
          </w:p>
        </w:tc>
      </w:tr>
    </w:tbl>
    <w:p w14:paraId="44B17095" w14:textId="77777777" w:rsidR="001135A7" w:rsidRDefault="001135A7" w:rsidP="001135A7">
      <w:pPr>
        <w:pStyle w:val="Els-body-text"/>
        <w:spacing w:before="120"/>
        <w:rPr>
          <w:lang w:val="en-GB"/>
        </w:rPr>
      </w:pPr>
      <w:r w:rsidRPr="00ED1717">
        <w:rPr>
          <w:lang w:val="en-GB"/>
        </w:rPr>
        <w:t>This gives a precise characterization of the suboptimality related to the respective constraint. On</w:t>
      </w:r>
      <w:r>
        <w:rPr>
          <w:lang w:val="en-GB"/>
        </w:rPr>
        <w:t xml:space="preserve"> </w:t>
      </w:r>
      <w:r w:rsidRPr="00ED1717">
        <w:rPr>
          <w:lang w:val="en-GB"/>
        </w:rPr>
        <w:t>the other hand, one additional optimization problem needs to be solved for each real constraint.</w:t>
      </w:r>
    </w:p>
    <w:p w14:paraId="6638F049" w14:textId="77777777" w:rsidR="001135A7" w:rsidRDefault="001135A7" w:rsidP="001135A7">
      <w:pPr>
        <w:pStyle w:val="Els-body-text"/>
        <w:spacing w:before="120"/>
        <w:rPr>
          <w:lang w:val="en-GB"/>
        </w:rPr>
      </w:pPr>
      <w:r w:rsidRPr="001757F0">
        <w:rPr>
          <w:lang w:val="en-GB"/>
        </w:rPr>
        <w:t>We study the optimal operation of the column for 48 hours and explain the procedure on the</w:t>
      </w:r>
      <w:r>
        <w:rPr>
          <w:lang w:val="en-GB"/>
        </w:rPr>
        <w:t xml:space="preserve"> </w:t>
      </w:r>
      <w:r w:rsidRPr="001757F0">
        <w:rPr>
          <w:lang w:val="en-GB"/>
        </w:rPr>
        <w:t>data denoted as Point 26 in Figure 1. From 58 defined constraints (high and low limits of 19 CV</w:t>
      </w:r>
      <w:r>
        <w:rPr>
          <w:lang w:val="en-GB"/>
        </w:rPr>
        <w:t xml:space="preserve"> </w:t>
      </w:r>
      <w:r w:rsidRPr="001757F0">
        <w:rPr>
          <w:lang w:val="en-GB"/>
        </w:rPr>
        <w:t>and 10 MV pairs), eight are saturated, and the corresponding multipliers are non-zero. Among</w:t>
      </w:r>
      <w:r>
        <w:rPr>
          <w:lang w:val="en-GB"/>
        </w:rPr>
        <w:t xml:space="preserve"> </w:t>
      </w:r>
      <w:r w:rsidRPr="001757F0">
        <w:rPr>
          <w:lang w:val="en-GB"/>
        </w:rPr>
        <w:t>these, the constraint CV 7 does not fall into the soft constraint region (violates the high soft limit),</w:t>
      </w:r>
      <w:r>
        <w:rPr>
          <w:lang w:val="en-GB"/>
        </w:rPr>
        <w:t xml:space="preserve"> </w:t>
      </w:r>
      <w:r w:rsidRPr="001757F0">
        <w:rPr>
          <w:lang w:val="en-GB"/>
        </w:rPr>
        <w:t>so it is not considered in further analysis. Therefore, seven constraints remain, and the values of</w:t>
      </w:r>
      <w:r>
        <w:rPr>
          <w:lang w:val="en-GB"/>
        </w:rPr>
        <w:t xml:space="preserve"> </w:t>
      </w:r>
      <w:r w:rsidRPr="001757F0">
        <w:rPr>
          <w:lang w:val="en-GB"/>
        </w:rPr>
        <w:t>their Lagrange multipliers are employed to formulate recommendations.</w:t>
      </w:r>
    </w:p>
    <w:p w14:paraId="3167151C" w14:textId="77777777" w:rsidR="001135A7" w:rsidRDefault="001135A7" w:rsidP="001135A7">
      <w:pPr>
        <w:pStyle w:val="Els-body-text"/>
        <w:spacing w:before="120"/>
        <w:rPr>
          <w:lang w:val="en-GB"/>
        </w:rPr>
      </w:pPr>
      <w:r w:rsidRPr="00A5661C">
        <w:rPr>
          <w:lang w:val="en-GB"/>
        </w:rPr>
        <w:t>In both LSA and NSA approaches, a list of constraints can be produced that is sorted in descending</w:t>
      </w:r>
      <w:r>
        <w:rPr>
          <w:lang w:val="en-GB"/>
        </w:rPr>
        <w:t xml:space="preserve"> </w:t>
      </w:r>
      <w:r w:rsidRPr="00A5661C">
        <w:rPr>
          <w:lang w:val="en-GB"/>
        </w:rPr>
        <w:t>order of Lagrange multipliers (Table 1). It contains the constraint name and its type (HL/LL –</w:t>
      </w:r>
      <w:r>
        <w:rPr>
          <w:lang w:val="en-GB"/>
        </w:rPr>
        <w:t xml:space="preserve"> </w:t>
      </w:r>
      <w:r w:rsidRPr="00A5661C">
        <w:rPr>
          <w:lang w:val="en-GB"/>
        </w:rPr>
        <w:t>high/low limit), the value of the Lagrange multiplier, and a verbal recommendation to process</w:t>
      </w:r>
      <w:r>
        <w:rPr>
          <w:lang w:val="en-GB"/>
        </w:rPr>
        <w:t xml:space="preserve"> </w:t>
      </w:r>
      <w:r w:rsidRPr="00A5661C">
        <w:rPr>
          <w:lang w:val="en-GB"/>
        </w:rPr>
        <w:t>engineers. Based on the characteristics of real and ideal constraints, the verbal recommendation</w:t>
      </w:r>
      <w:r>
        <w:rPr>
          <w:lang w:val="en-GB"/>
        </w:rPr>
        <w:t xml:space="preserve"> </w:t>
      </w:r>
      <w:r w:rsidRPr="00A5661C">
        <w:rPr>
          <w:lang w:val="en-GB"/>
        </w:rPr>
        <w:t>can be as follows:</w:t>
      </w:r>
    </w:p>
    <w:p w14:paraId="5AA19EEC" w14:textId="77777777" w:rsidR="001135A7" w:rsidRDefault="001135A7" w:rsidP="001135A7">
      <w:pPr>
        <w:pStyle w:val="Els-body-text"/>
        <w:numPr>
          <w:ilvl w:val="0"/>
          <w:numId w:val="20"/>
        </w:numPr>
        <w:spacing w:before="120"/>
        <w:rPr>
          <w:lang w:val="en-GB"/>
        </w:rPr>
      </w:pPr>
      <w:r w:rsidRPr="006F2257">
        <w:rPr>
          <w:lang w:val="en-GB"/>
        </w:rPr>
        <w:t>Keep the constraint in place – the Lagrange multiplier is non-zero, but the real constraint is</w:t>
      </w:r>
      <w:r>
        <w:rPr>
          <w:lang w:val="en-GB"/>
        </w:rPr>
        <w:t xml:space="preserve"> </w:t>
      </w:r>
      <w:r w:rsidRPr="006F2257">
        <w:rPr>
          <w:lang w:val="en-GB"/>
        </w:rPr>
        <w:t>the same as the ideal constraint (additional recommendations).</w:t>
      </w:r>
    </w:p>
    <w:p w14:paraId="055AB614" w14:textId="77777777" w:rsidR="001135A7" w:rsidRDefault="001135A7" w:rsidP="001135A7">
      <w:pPr>
        <w:pStyle w:val="Els-body-text"/>
        <w:numPr>
          <w:ilvl w:val="0"/>
          <w:numId w:val="20"/>
        </w:numPr>
        <w:ind w:left="714" w:hanging="357"/>
        <w:rPr>
          <w:lang w:val="en-GB"/>
        </w:rPr>
      </w:pPr>
      <w:r w:rsidRPr="005319BD">
        <w:rPr>
          <w:lang w:val="en-GB"/>
        </w:rPr>
        <w:t>Move the real constraint to the ideal – the Lagrange multiplier is non-zero and the real</w:t>
      </w:r>
      <w:r>
        <w:rPr>
          <w:lang w:val="en-GB"/>
        </w:rPr>
        <w:t xml:space="preserve"> </w:t>
      </w:r>
      <w:r w:rsidRPr="005319BD">
        <w:rPr>
          <w:lang w:val="en-GB"/>
        </w:rPr>
        <w:t>constraint differs from the ideal constraint (real recommendations).</w:t>
      </w:r>
    </w:p>
    <w:p w14:paraId="6209A40C" w14:textId="77777777" w:rsidR="00141628" w:rsidRDefault="001135A7" w:rsidP="00141628">
      <w:pPr>
        <w:pStyle w:val="Els-body-text"/>
        <w:spacing w:before="120"/>
        <w:rPr>
          <w:lang w:val="en-GB"/>
        </w:rPr>
      </w:pPr>
      <w:r w:rsidRPr="00CD03F7">
        <w:rPr>
          <w:lang w:val="en-GB"/>
        </w:rPr>
        <w:t>Both local and non-local sensitivity analyses are distinguished by positive and negative characteristics</w:t>
      </w:r>
      <w:r>
        <w:rPr>
          <w:lang w:val="en-GB"/>
        </w:rPr>
        <w:t xml:space="preserve"> </w:t>
      </w:r>
      <w:r w:rsidRPr="00CD03F7">
        <w:rPr>
          <w:lang w:val="en-GB"/>
        </w:rPr>
        <w:t>that can influence the final recommendations. To determine the applicability of the approaches</w:t>
      </w:r>
      <w:r>
        <w:rPr>
          <w:lang w:val="en-GB"/>
        </w:rPr>
        <w:t xml:space="preserve"> </w:t>
      </w:r>
      <w:r w:rsidRPr="00CD03F7">
        <w:rPr>
          <w:lang w:val="en-GB"/>
        </w:rPr>
        <w:t>in industrial conditions, we compare both using the edit distance method. It produces a</w:t>
      </w:r>
      <w:r>
        <w:rPr>
          <w:lang w:val="en-GB"/>
        </w:rPr>
        <w:t xml:space="preserve"> </w:t>
      </w:r>
      <w:r w:rsidRPr="00CD03F7">
        <w:rPr>
          <w:lang w:val="en-GB"/>
        </w:rPr>
        <w:t>numerical representation indicative of the accuracy in the arrangement of elements within the two</w:t>
      </w:r>
      <w:r>
        <w:rPr>
          <w:lang w:val="en-GB"/>
        </w:rPr>
        <w:t xml:space="preserve"> </w:t>
      </w:r>
      <w:r w:rsidRPr="00CD03F7">
        <w:rPr>
          <w:lang w:val="en-GB"/>
        </w:rPr>
        <w:t xml:space="preserve">lists (recommendations). The chosen method for determining the edit distance is the </w:t>
      </w:r>
      <w:proofErr w:type="spellStart"/>
      <w:r w:rsidRPr="00CD03F7">
        <w:rPr>
          <w:lang w:val="en-GB"/>
        </w:rPr>
        <w:t>Levenshtein</w:t>
      </w:r>
      <w:proofErr w:type="spellEnd"/>
      <w:r>
        <w:rPr>
          <w:lang w:val="en-GB"/>
        </w:rPr>
        <w:t xml:space="preserve"> </w:t>
      </w:r>
      <w:r w:rsidRPr="00CD03F7">
        <w:rPr>
          <w:lang w:val="en-GB"/>
        </w:rPr>
        <w:t>distance (</w:t>
      </w:r>
      <w:proofErr w:type="spellStart"/>
      <w:r w:rsidRPr="00CD03F7">
        <w:rPr>
          <w:lang w:val="en-GB"/>
        </w:rPr>
        <w:t>Levenshtein</w:t>
      </w:r>
      <w:proofErr w:type="spellEnd"/>
      <w:r w:rsidRPr="00CD03F7">
        <w:rPr>
          <w:lang w:val="en-GB"/>
        </w:rPr>
        <w:t>, 1966). The</w:t>
      </w:r>
      <w:r w:rsidR="005B3545">
        <w:rPr>
          <w:lang w:val="en-GB"/>
        </w:rPr>
        <w:t xml:space="preserve"> </w:t>
      </w:r>
      <w:r w:rsidRPr="00CD03F7">
        <w:rPr>
          <w:lang w:val="en-GB"/>
        </w:rPr>
        <w:t>data units under comparison consist of combinations of variable</w:t>
      </w:r>
      <w:r>
        <w:rPr>
          <w:lang w:val="en-GB"/>
        </w:rPr>
        <w:t xml:space="preserve"> </w:t>
      </w:r>
      <w:r w:rsidRPr="00CD03F7">
        <w:rPr>
          <w:lang w:val="en-GB"/>
        </w:rPr>
        <w:t>names (e.g., CV 20, CV 8) + constraint types (e.g., HL – high limit).</w:t>
      </w:r>
    </w:p>
    <w:p w14:paraId="3A95491F" w14:textId="77777777" w:rsidR="00046303" w:rsidRDefault="001135A7" w:rsidP="00046303">
      <w:pPr>
        <w:pStyle w:val="Els-body-text"/>
        <w:spacing w:before="120"/>
        <w:rPr>
          <w:lang w:val="en-GB"/>
        </w:rPr>
      </w:pPr>
      <w:r w:rsidRPr="00337324">
        <w:rPr>
          <w:lang w:val="en-GB"/>
        </w:rPr>
        <w:t>The results in Point 26 can be seen in Table 2, with the edit distance equal to 0.</w:t>
      </w:r>
      <w:r>
        <w:rPr>
          <w:lang w:val="en-GB"/>
        </w:rPr>
        <w:t xml:space="preserve"> M</w:t>
      </w:r>
      <w:r w:rsidRPr="00337324">
        <w:rPr>
          <w:lang w:val="en-GB"/>
        </w:rPr>
        <w:t>oreover,</w:t>
      </w:r>
      <w:r>
        <w:rPr>
          <w:lang w:val="en-GB"/>
        </w:rPr>
        <w:t xml:space="preserve"> </w:t>
      </w:r>
      <w:r w:rsidRPr="00337324">
        <w:rPr>
          <w:lang w:val="en-GB"/>
        </w:rPr>
        <w:t>the edit</w:t>
      </w:r>
      <w:r>
        <w:rPr>
          <w:lang w:val="en-GB"/>
        </w:rPr>
        <w:t xml:space="preserve"> </w:t>
      </w:r>
      <w:r w:rsidRPr="00337324">
        <w:rPr>
          <w:lang w:val="en-GB"/>
        </w:rPr>
        <w:t xml:space="preserve">distance value is zero across the considered time interval. When comparing the </w:t>
      </w:r>
      <w:r w:rsidR="00046303" w:rsidRPr="00337324">
        <w:rPr>
          <w:lang w:val="en-GB"/>
        </w:rPr>
        <w:t>values of Lagrange</w:t>
      </w:r>
      <w:r w:rsidR="00046303">
        <w:rPr>
          <w:lang w:val="en-GB"/>
        </w:rPr>
        <w:t xml:space="preserve"> </w:t>
      </w:r>
      <w:r w:rsidR="00046303" w:rsidRPr="00975840">
        <w:rPr>
          <w:lang w:val="en-GB"/>
        </w:rPr>
        <w:t>multipliers for NSA and LSA, all values practically coincide except for</w:t>
      </w:r>
    </w:p>
    <w:p w14:paraId="2C2898DA" w14:textId="3C1ED151" w:rsidR="00141628" w:rsidRDefault="00141628" w:rsidP="007C6F71">
      <w:pPr>
        <w:pStyle w:val="Els-body-text"/>
        <w:spacing w:before="120"/>
        <w:jc w:val="center"/>
      </w:pPr>
      <w:r>
        <w:rPr>
          <w:noProof/>
          <w:lang w:val="en-GB"/>
        </w:rPr>
        <w:lastRenderedPageBreak/>
        <w:drawing>
          <wp:inline distT="0" distB="0" distL="0" distR="0" wp14:anchorId="7A7515B5" wp14:editId="1CB5A9F2">
            <wp:extent cx="3298680" cy="1800000"/>
            <wp:effectExtent l="0" t="0" r="0" b="0"/>
            <wp:docPr id="12692866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86644"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98680" cy="1800000"/>
                    </a:xfrm>
                    <a:prstGeom prst="rect">
                      <a:avLst/>
                    </a:prstGeom>
                  </pic:spPr>
                </pic:pic>
              </a:graphicData>
            </a:graphic>
          </wp:inline>
        </w:drawing>
      </w:r>
    </w:p>
    <w:p w14:paraId="425B5793" w14:textId="5CC16F62" w:rsidR="00141628" w:rsidRDefault="00141628" w:rsidP="007C6F71">
      <w:pPr>
        <w:pStyle w:val="Didascalia"/>
        <w:spacing w:before="0"/>
        <w:jc w:val="center"/>
        <w:rPr>
          <w:lang w:val="en-GB"/>
        </w:rPr>
      </w:pPr>
      <w:r w:rsidRPr="005B2F9B">
        <w:rPr>
          <w:sz w:val="20"/>
          <w:szCs w:val="22"/>
        </w:rPr>
        <w:t xml:space="preserve">Figure </w:t>
      </w:r>
      <w:r w:rsidRPr="005B2F9B">
        <w:rPr>
          <w:sz w:val="20"/>
          <w:szCs w:val="22"/>
        </w:rPr>
        <w:fldChar w:fldCharType="begin"/>
      </w:r>
      <w:r w:rsidRPr="005B2F9B">
        <w:rPr>
          <w:sz w:val="20"/>
          <w:szCs w:val="22"/>
        </w:rPr>
        <w:instrText xml:space="preserve"> SEQ Figure \* ARABIC </w:instrText>
      </w:r>
      <w:r w:rsidRPr="005B2F9B">
        <w:rPr>
          <w:sz w:val="20"/>
          <w:szCs w:val="22"/>
        </w:rPr>
        <w:fldChar w:fldCharType="separate"/>
      </w:r>
      <w:r w:rsidR="00C61B3A" w:rsidRPr="005B2F9B">
        <w:rPr>
          <w:noProof/>
          <w:sz w:val="20"/>
          <w:szCs w:val="22"/>
        </w:rPr>
        <w:t>1</w:t>
      </w:r>
      <w:r w:rsidRPr="005B2F9B">
        <w:rPr>
          <w:sz w:val="20"/>
          <w:szCs w:val="22"/>
        </w:rPr>
        <w:fldChar w:fldCharType="end"/>
      </w:r>
      <w:r w:rsidRPr="005B2F9B">
        <w:rPr>
          <w:sz w:val="20"/>
          <w:szCs w:val="22"/>
        </w:rPr>
        <w:t>: Long-term loss evolution.</w:t>
      </w:r>
    </w:p>
    <w:p w14:paraId="45814080" w14:textId="7EC12D2D" w:rsidR="001135A7" w:rsidRDefault="001135A7" w:rsidP="00F970DF">
      <w:pPr>
        <w:pStyle w:val="Els-body-text"/>
        <w:keepNext/>
        <w:spacing w:before="120"/>
        <w:rPr>
          <w:lang w:val="en-GB"/>
        </w:rPr>
      </w:pPr>
      <w:r w:rsidRPr="00975840">
        <w:rPr>
          <w:lang w:val="en-GB"/>
        </w:rPr>
        <w:t>the CV 1 high limit (6.8</w:t>
      </w:r>
      <w:r w:rsidR="00EC632F">
        <w:rPr>
          <w:lang w:val="en-GB"/>
        </w:rPr>
        <w:t xml:space="preserve"> </w:t>
      </w:r>
      <w:r w:rsidRPr="00975840">
        <w:rPr>
          <w:lang w:val="en-GB"/>
        </w:rPr>
        <w:t>%</w:t>
      </w:r>
      <w:r>
        <w:rPr>
          <w:lang w:val="en-GB"/>
        </w:rPr>
        <w:t xml:space="preserve"> </w:t>
      </w:r>
      <w:r w:rsidRPr="00975840">
        <w:rPr>
          <w:lang w:val="en-GB"/>
        </w:rPr>
        <w:t>difference). The size of the change from the real to the ideal constraint, which ranges from 0.28 to</w:t>
      </w:r>
      <w:r>
        <w:rPr>
          <w:lang w:val="en-GB"/>
        </w:rPr>
        <w:t xml:space="preserve"> </w:t>
      </w:r>
      <w:r w:rsidRPr="00975840">
        <w:rPr>
          <w:lang w:val="en-GB"/>
        </w:rPr>
        <w:t xml:space="preserve">1.83 </w:t>
      </w:r>
      <w:r w:rsidR="00D25787">
        <w:rPr>
          <w:lang w:val="en-GB"/>
        </w:rPr>
        <w:t>%</w:t>
      </w:r>
      <w:r w:rsidRPr="00975840">
        <w:rPr>
          <w:lang w:val="en-GB"/>
        </w:rPr>
        <w:t>, does not have a noticeable effect on the accuracy of the multipliers. If the differences</w:t>
      </w:r>
      <w:r>
        <w:rPr>
          <w:lang w:val="en-GB"/>
        </w:rPr>
        <w:t xml:space="preserve"> </w:t>
      </w:r>
      <w:r w:rsidRPr="00975840">
        <w:rPr>
          <w:lang w:val="en-GB"/>
        </w:rPr>
        <w:t>were more significant, it can be expected that the structure of the optimal solution would change</w:t>
      </w:r>
      <w:r>
        <w:rPr>
          <w:lang w:val="en-GB"/>
        </w:rPr>
        <w:t xml:space="preserve"> </w:t>
      </w:r>
      <w:r w:rsidRPr="00975840">
        <w:rPr>
          <w:lang w:val="en-GB"/>
        </w:rPr>
        <w:t>substantially, including a possible different order of the multipliers (and recommendations) for</w:t>
      </w:r>
      <w:r>
        <w:rPr>
          <w:lang w:val="en-GB"/>
        </w:rPr>
        <w:t xml:space="preserve"> </w:t>
      </w:r>
      <w:r w:rsidRPr="00975840">
        <w:rPr>
          <w:lang w:val="en-GB"/>
        </w:rPr>
        <w:t>NSA and LSA. Therefore, it would be up to the control engineer to choose the more accurate NSA</w:t>
      </w:r>
      <w:r>
        <w:rPr>
          <w:lang w:val="en-GB"/>
        </w:rPr>
        <w:t xml:space="preserve"> </w:t>
      </w:r>
      <w:r w:rsidRPr="00975840">
        <w:rPr>
          <w:lang w:val="en-GB"/>
        </w:rPr>
        <w:t>method for obtaining recommendations or to rely on the accuracy of the less computationally</w:t>
      </w:r>
      <w:r>
        <w:rPr>
          <w:lang w:val="en-GB"/>
        </w:rPr>
        <w:t xml:space="preserve"> </w:t>
      </w:r>
      <w:r w:rsidRPr="00975840">
        <w:rPr>
          <w:lang w:val="en-GB"/>
        </w:rPr>
        <w:t>demanding LSA.</w:t>
      </w:r>
    </w:p>
    <w:p w14:paraId="0A944E1D" w14:textId="3BB06B41" w:rsidR="001135A7" w:rsidRDefault="001135A7" w:rsidP="001135A7">
      <w:pPr>
        <w:pStyle w:val="Els-body-text"/>
        <w:spacing w:before="120"/>
        <w:rPr>
          <w:lang w:val="en-GB"/>
        </w:rPr>
      </w:pPr>
      <w:r w:rsidRPr="008C797F">
        <w:rPr>
          <w:lang w:val="en-GB"/>
        </w:rPr>
        <w:t>A similar analysis is conducted for the data from the studied time span. We provide graphical</w:t>
      </w:r>
      <w:r>
        <w:rPr>
          <w:lang w:val="en-GB"/>
        </w:rPr>
        <w:t xml:space="preserve"> </w:t>
      </w:r>
      <w:r w:rsidRPr="008C797F">
        <w:rPr>
          <w:lang w:val="en-GB"/>
        </w:rPr>
        <w:t xml:space="preserve">information on the detected long-term losses </w:t>
      </w:r>
      <w:proofErr w:type="spellStart"/>
      <w:r w:rsidRPr="008C797F">
        <w:rPr>
          <w:i/>
          <w:iCs/>
          <w:lang w:val="en-GB"/>
        </w:rPr>
        <w:t>J</w:t>
      </w:r>
      <w:r w:rsidRPr="008C797F">
        <w:rPr>
          <w:i/>
          <w:iCs/>
          <w:vertAlign w:val="subscript"/>
          <w:lang w:val="en-GB"/>
        </w:rPr>
        <w:t>real</w:t>
      </w:r>
      <w:proofErr w:type="spellEnd"/>
      <w:r w:rsidRPr="008C797F">
        <w:rPr>
          <w:i/>
          <w:iCs/>
          <w:lang w:val="en-GB"/>
        </w:rPr>
        <w:t>(x</w:t>
      </w:r>
      <w:r w:rsidRPr="008C797F">
        <w:rPr>
          <w:rFonts w:ascii="Cambria Math" w:hAnsi="Cambria Math" w:cs="Cambria Math"/>
          <w:i/>
          <w:iCs/>
          <w:lang w:val="en-GB"/>
        </w:rPr>
        <w:t>*</w:t>
      </w:r>
      <w:r w:rsidRPr="008C797F">
        <w:rPr>
          <w:i/>
          <w:iCs/>
          <w:lang w:val="en-GB"/>
        </w:rPr>
        <w:t xml:space="preserve">) − </w:t>
      </w:r>
      <w:proofErr w:type="spellStart"/>
      <w:proofErr w:type="gramStart"/>
      <w:r w:rsidRPr="008C797F">
        <w:rPr>
          <w:i/>
          <w:iCs/>
          <w:lang w:val="en-GB"/>
        </w:rPr>
        <w:t>J</w:t>
      </w:r>
      <w:r w:rsidRPr="008C797F">
        <w:rPr>
          <w:i/>
          <w:iCs/>
          <w:vertAlign w:val="subscript"/>
          <w:lang w:val="en-GB"/>
        </w:rPr>
        <w:t>ideal,i</w:t>
      </w:r>
      <w:proofErr w:type="spellEnd"/>
      <w:proofErr w:type="gramEnd"/>
      <w:r w:rsidRPr="008C797F">
        <w:rPr>
          <w:i/>
          <w:iCs/>
          <w:lang w:val="en-GB"/>
        </w:rPr>
        <w:t>(x</w:t>
      </w:r>
      <w:r w:rsidRPr="008C797F">
        <w:rPr>
          <w:rFonts w:ascii="Cambria Math" w:hAnsi="Cambria Math" w:cs="Cambria Math"/>
          <w:i/>
          <w:iCs/>
          <w:lang w:val="en-GB"/>
        </w:rPr>
        <w:t>*</w:t>
      </w:r>
      <w:r w:rsidRPr="008C797F">
        <w:rPr>
          <w:i/>
          <w:iCs/>
          <w:lang w:val="en-GB"/>
        </w:rPr>
        <w:t>)</w:t>
      </w:r>
      <w:r w:rsidRPr="008C797F">
        <w:rPr>
          <w:lang w:val="en-GB"/>
        </w:rPr>
        <w:t>. A process engineer can verify</w:t>
      </w:r>
      <w:r>
        <w:rPr>
          <w:lang w:val="en-GB"/>
        </w:rPr>
        <w:t xml:space="preserve"> </w:t>
      </w:r>
      <w:r w:rsidRPr="008C797F">
        <w:rPr>
          <w:lang w:val="en-GB"/>
        </w:rPr>
        <w:t>the course of the loss from an inefficiently set constraint, including (approximate) loss value and</w:t>
      </w:r>
      <w:r>
        <w:rPr>
          <w:lang w:val="en-GB"/>
        </w:rPr>
        <w:t xml:space="preserve"> </w:t>
      </w:r>
      <w:r w:rsidRPr="008C797F">
        <w:rPr>
          <w:lang w:val="en-GB"/>
        </w:rPr>
        <w:t>the time frame of its duration. Figure 1 shows the loss in a logarithmic scale. The data period is</w:t>
      </w:r>
      <w:r>
        <w:rPr>
          <w:lang w:val="en-GB"/>
        </w:rPr>
        <w:t xml:space="preserve"> </w:t>
      </w:r>
      <w:r w:rsidRPr="008C797F">
        <w:rPr>
          <w:lang w:val="en-GB"/>
        </w:rPr>
        <w:t>an hour.</w:t>
      </w:r>
    </w:p>
    <w:p w14:paraId="76855951" w14:textId="77777777" w:rsidR="001135A7" w:rsidRDefault="001135A7" w:rsidP="001135A7">
      <w:pPr>
        <w:pStyle w:val="Els-body-text"/>
        <w:spacing w:before="120"/>
        <w:rPr>
          <w:lang w:val="en-GB"/>
        </w:rPr>
      </w:pPr>
      <w:r w:rsidRPr="0083377A">
        <w:rPr>
          <w:lang w:val="en-GB"/>
        </w:rPr>
        <w:t>We notice that the operator modified the constraint CV 20 HL for 12 hours of operation and</w:t>
      </w:r>
      <w:r>
        <w:rPr>
          <w:lang w:val="en-GB"/>
        </w:rPr>
        <w:t xml:space="preserve"> </w:t>
      </w:r>
      <w:r w:rsidRPr="0083377A">
        <w:rPr>
          <w:lang w:val="en-GB"/>
        </w:rPr>
        <w:t>then returned to its ideal position. On the other hand, the other two constraints should be</w:t>
      </w:r>
      <w:r>
        <w:rPr>
          <w:lang w:val="en-GB"/>
        </w:rPr>
        <w:t xml:space="preserve"> </w:t>
      </w:r>
      <w:r w:rsidRPr="0083377A">
        <w:rPr>
          <w:lang w:val="en-GB"/>
        </w:rPr>
        <w:t>investigated more closely.</w:t>
      </w:r>
    </w:p>
    <w:p w14:paraId="213DB08C" w14:textId="760BB36B" w:rsidR="001135A7" w:rsidRDefault="001135A7" w:rsidP="001135A7">
      <w:pPr>
        <w:pStyle w:val="Els-body-text"/>
        <w:spacing w:before="120"/>
        <w:rPr>
          <w:lang w:val="en-GB"/>
        </w:rPr>
      </w:pPr>
      <w:r w:rsidRPr="006D7103">
        <w:rPr>
          <w:lang w:val="en-GB"/>
        </w:rPr>
        <w:t>When analy</w:t>
      </w:r>
      <w:r>
        <w:rPr>
          <w:lang w:val="en-GB"/>
        </w:rPr>
        <w:t>s</w:t>
      </w:r>
      <w:r w:rsidRPr="006D7103">
        <w:rPr>
          <w:lang w:val="en-GB"/>
        </w:rPr>
        <w:t>ing the data, several solvers are examined in Python programming language – CPLEX,</w:t>
      </w:r>
      <w:r>
        <w:rPr>
          <w:lang w:val="en-GB"/>
        </w:rPr>
        <w:t xml:space="preserve"> </w:t>
      </w:r>
      <w:r w:rsidRPr="006D7103">
        <w:rPr>
          <w:lang w:val="en-GB"/>
        </w:rPr>
        <w:t xml:space="preserve">CVXOPT, </w:t>
      </w:r>
      <w:proofErr w:type="spellStart"/>
      <w:r w:rsidRPr="006D7103">
        <w:rPr>
          <w:lang w:val="en-GB"/>
        </w:rPr>
        <w:t>Gurobi</w:t>
      </w:r>
      <w:proofErr w:type="spellEnd"/>
      <w:r w:rsidRPr="006D7103">
        <w:rPr>
          <w:lang w:val="en-GB"/>
        </w:rPr>
        <w:t>, MOSEK, OSQP, and Xpress. All these solvers are available within the convex</w:t>
      </w:r>
      <w:r>
        <w:rPr>
          <w:lang w:val="en-GB"/>
        </w:rPr>
        <w:t xml:space="preserve"> </w:t>
      </w:r>
      <w:r w:rsidRPr="006D7103">
        <w:rPr>
          <w:lang w:val="en-GB"/>
        </w:rPr>
        <w:t>optimization model</w:t>
      </w:r>
      <w:r>
        <w:rPr>
          <w:lang w:val="en-GB"/>
        </w:rPr>
        <w:t>l</w:t>
      </w:r>
      <w:r w:rsidRPr="006D7103">
        <w:rPr>
          <w:lang w:val="en-GB"/>
        </w:rPr>
        <w:t>ing framework CVXPY (Diamond and Boyd, 2016). We investigate the</w:t>
      </w:r>
      <w:r>
        <w:rPr>
          <w:lang w:val="en-GB"/>
        </w:rPr>
        <w:t xml:space="preserve"> </w:t>
      </w:r>
      <w:r w:rsidRPr="006D7103">
        <w:rPr>
          <w:lang w:val="en-GB"/>
        </w:rPr>
        <w:t>computation time of the optimization problem and the maximum Python memory allocation. The</w:t>
      </w:r>
      <w:r>
        <w:rPr>
          <w:lang w:val="en-GB"/>
        </w:rPr>
        <w:t xml:space="preserve"> </w:t>
      </w:r>
      <w:r w:rsidRPr="006D7103">
        <w:rPr>
          <w:lang w:val="en-GB"/>
        </w:rPr>
        <w:t>complete calculation time is considered – loading input data, solving the optimization problem,</w:t>
      </w:r>
      <w:r>
        <w:rPr>
          <w:lang w:val="en-GB"/>
        </w:rPr>
        <w:t xml:space="preserve"> </w:t>
      </w:r>
      <w:r w:rsidRPr="006D7103">
        <w:rPr>
          <w:lang w:val="en-GB"/>
        </w:rPr>
        <w:t>and communicating the recommendations to the process engineer. At one operating point (OOP)</w:t>
      </w:r>
      <w:r>
        <w:rPr>
          <w:lang w:val="en-GB"/>
        </w:rPr>
        <w:t xml:space="preserve"> </w:t>
      </w:r>
      <w:r w:rsidRPr="006D7103">
        <w:rPr>
          <w:lang w:val="en-GB"/>
        </w:rPr>
        <w:t>of the local sensitivity analysis, the average calculation time is 6 seconds (initial time information,</w:t>
      </w:r>
      <w:r>
        <w:rPr>
          <w:lang w:val="en-GB"/>
        </w:rPr>
        <w:t xml:space="preserve"> </w:t>
      </w:r>
      <w:r w:rsidRPr="006D7103">
        <w:rPr>
          <w:lang w:val="en-GB"/>
        </w:rPr>
        <w:t>ITI). The time for solving the optimization problem is significantly shorter. The values for individual</w:t>
      </w:r>
      <w:r>
        <w:rPr>
          <w:lang w:val="en-GB"/>
        </w:rPr>
        <w:t xml:space="preserve"> </w:t>
      </w:r>
      <w:r w:rsidRPr="006D7103">
        <w:rPr>
          <w:lang w:val="en-GB"/>
        </w:rPr>
        <w:t>solvers range from 0.013 (</w:t>
      </w:r>
      <w:proofErr w:type="spellStart"/>
      <w:r w:rsidRPr="006D7103">
        <w:rPr>
          <w:lang w:val="en-GB"/>
        </w:rPr>
        <w:t>Gurobi</w:t>
      </w:r>
      <w:proofErr w:type="spellEnd"/>
      <w:r w:rsidRPr="006D7103">
        <w:rPr>
          <w:lang w:val="en-GB"/>
        </w:rPr>
        <w:t>) to 0.138 (CVXOPT) seconds. For a maximum memory</w:t>
      </w:r>
      <w:r>
        <w:rPr>
          <w:lang w:val="en-GB"/>
        </w:rPr>
        <w:t xml:space="preserve"> </w:t>
      </w:r>
      <w:r w:rsidRPr="006D7103">
        <w:rPr>
          <w:lang w:val="en-GB"/>
        </w:rPr>
        <w:t xml:space="preserve">allocation, the optimization solver needs from 12 to 144 </w:t>
      </w:r>
      <w:proofErr w:type="spellStart"/>
      <w:r w:rsidRPr="006D7103">
        <w:rPr>
          <w:lang w:val="en-GB"/>
        </w:rPr>
        <w:t>Kbs</w:t>
      </w:r>
      <w:proofErr w:type="spellEnd"/>
      <w:r w:rsidRPr="006D7103">
        <w:rPr>
          <w:lang w:val="en-GB"/>
        </w:rPr>
        <w:t xml:space="preserve"> (CVXOPT to CPLEX).</w:t>
      </w:r>
    </w:p>
    <w:p w14:paraId="4E3D10FF" w14:textId="64BF02E8" w:rsidR="00C61B3A" w:rsidRDefault="00C61B3A" w:rsidP="00710307">
      <w:pPr>
        <w:pStyle w:val="Didascalia"/>
        <w:keepNext/>
        <w:spacing w:after="0"/>
        <w:rPr>
          <w:sz w:val="20"/>
          <w:szCs w:val="22"/>
          <w:lang w:val="en-GB"/>
        </w:rPr>
      </w:pPr>
      <w:r w:rsidRPr="00C61B3A">
        <w:rPr>
          <w:sz w:val="20"/>
          <w:szCs w:val="22"/>
          <w:lang w:val="en-GB"/>
        </w:rPr>
        <w:t xml:space="preserve">When analysing the entire time interval of data (2 days, 48 data points), one operating point takes about 7 seconds using the </w:t>
      </w:r>
      <w:proofErr w:type="spellStart"/>
      <w:r w:rsidRPr="00C61B3A">
        <w:rPr>
          <w:sz w:val="20"/>
          <w:szCs w:val="22"/>
          <w:lang w:val="en-GB"/>
        </w:rPr>
        <w:t>Gurobi</w:t>
      </w:r>
      <w:proofErr w:type="spellEnd"/>
      <w:r w:rsidRPr="00C61B3A">
        <w:rPr>
          <w:sz w:val="20"/>
          <w:szCs w:val="22"/>
          <w:lang w:val="en-GB"/>
        </w:rPr>
        <w:t xml:space="preserve"> solver. In the case of non-local sensitivity</w:t>
      </w:r>
      <w:r w:rsidR="00EA33EF">
        <w:rPr>
          <w:sz w:val="20"/>
          <w:szCs w:val="22"/>
          <w:lang w:val="en-GB"/>
        </w:rPr>
        <w:t xml:space="preserve"> analysis,</w:t>
      </w:r>
      <w:r w:rsidR="007C6F71">
        <w:rPr>
          <w:sz w:val="20"/>
          <w:szCs w:val="22"/>
          <w:lang w:val="en-GB"/>
        </w:rPr>
        <w:t xml:space="preserve"> </w:t>
      </w:r>
    </w:p>
    <w:tbl>
      <w:tblPr>
        <w:tblStyle w:val="Grigliatabella"/>
        <w:tblpPr w:leftFromText="180" w:rightFromText="180" w:vertAnchor="text" w:horzAnchor="margin" w:tblpX="108" w:tblpY="661"/>
        <w:tblW w:w="485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1169"/>
        <w:gridCol w:w="958"/>
        <w:gridCol w:w="958"/>
        <w:gridCol w:w="1111"/>
        <w:gridCol w:w="708"/>
        <w:gridCol w:w="710"/>
        <w:gridCol w:w="846"/>
      </w:tblGrid>
      <w:tr w:rsidR="00427A80" w:rsidRPr="00D57AEB" w14:paraId="0AE14AD5" w14:textId="77777777" w:rsidTr="008209FF">
        <w:tc>
          <w:tcPr>
            <w:tcW w:w="606" w:type="pct"/>
            <w:vMerge w:val="restart"/>
            <w:tcBorders>
              <w:top w:val="single" w:sz="4" w:space="0" w:color="auto"/>
              <w:bottom w:val="nil"/>
            </w:tcBorders>
            <w:vAlign w:val="center"/>
          </w:tcPr>
          <w:p w14:paraId="7CBF637F" w14:textId="77777777" w:rsidR="00427A80" w:rsidRPr="00D57AEB" w:rsidRDefault="00427A80" w:rsidP="008209FF">
            <w:pPr>
              <w:pStyle w:val="Els-body-text"/>
              <w:jc w:val="center"/>
              <w:rPr>
                <w:sz w:val="18"/>
                <w:szCs w:val="18"/>
                <w:lang w:val="en-GB"/>
              </w:rPr>
            </w:pPr>
            <w:r w:rsidRPr="00D57AEB">
              <w:rPr>
                <w:sz w:val="18"/>
                <w:szCs w:val="18"/>
                <w:lang w:val="en-GB"/>
              </w:rPr>
              <w:t>Priority</w:t>
            </w:r>
          </w:p>
        </w:tc>
        <w:tc>
          <w:tcPr>
            <w:tcW w:w="805" w:type="pct"/>
            <w:vMerge w:val="restart"/>
            <w:tcBorders>
              <w:top w:val="single" w:sz="4" w:space="0" w:color="auto"/>
              <w:bottom w:val="nil"/>
            </w:tcBorders>
            <w:vAlign w:val="center"/>
          </w:tcPr>
          <w:p w14:paraId="5558EFE7" w14:textId="77777777" w:rsidR="00427A80" w:rsidRPr="00D57AEB" w:rsidRDefault="00427A80" w:rsidP="008209FF">
            <w:pPr>
              <w:pStyle w:val="Els-body-text"/>
              <w:jc w:val="center"/>
              <w:rPr>
                <w:sz w:val="18"/>
                <w:szCs w:val="18"/>
                <w:lang w:val="en-GB"/>
              </w:rPr>
            </w:pPr>
            <w:r w:rsidRPr="00D57AEB">
              <w:rPr>
                <w:sz w:val="18"/>
                <w:szCs w:val="18"/>
                <w:lang w:val="en-GB"/>
              </w:rPr>
              <w:t>Constraint</w:t>
            </w:r>
          </w:p>
        </w:tc>
        <w:tc>
          <w:tcPr>
            <w:tcW w:w="1322" w:type="pct"/>
            <w:gridSpan w:val="2"/>
            <w:tcBorders>
              <w:top w:val="single" w:sz="4" w:space="0" w:color="auto"/>
              <w:bottom w:val="nil"/>
            </w:tcBorders>
            <w:vAlign w:val="center"/>
          </w:tcPr>
          <w:p w14:paraId="4FF858FE" w14:textId="77777777" w:rsidR="00427A80" w:rsidRPr="00D57AEB" w:rsidRDefault="00427A80" w:rsidP="008209FF">
            <w:pPr>
              <w:pStyle w:val="Els-body-text"/>
              <w:jc w:val="center"/>
              <w:rPr>
                <w:sz w:val="18"/>
                <w:szCs w:val="18"/>
                <w:lang w:val="en-GB"/>
              </w:rPr>
            </w:pPr>
            <w:r w:rsidRPr="00D57AEB">
              <w:rPr>
                <w:sz w:val="18"/>
                <w:szCs w:val="18"/>
                <w:lang w:val="en-GB"/>
              </w:rPr>
              <w:t>Lagrange Multiplier</w:t>
            </w:r>
          </w:p>
        </w:tc>
        <w:tc>
          <w:tcPr>
            <w:tcW w:w="765" w:type="pct"/>
            <w:vMerge w:val="restart"/>
            <w:tcBorders>
              <w:top w:val="single" w:sz="4" w:space="0" w:color="auto"/>
              <w:bottom w:val="nil"/>
            </w:tcBorders>
            <w:vAlign w:val="center"/>
          </w:tcPr>
          <w:p w14:paraId="057AED95" w14:textId="77777777" w:rsidR="00427A80" w:rsidRPr="00D57AEB" w:rsidRDefault="00427A80" w:rsidP="008209FF">
            <w:pPr>
              <w:pStyle w:val="Els-body-text"/>
              <w:jc w:val="center"/>
              <w:rPr>
                <w:sz w:val="18"/>
                <w:szCs w:val="18"/>
                <w:lang w:val="en-GB"/>
              </w:rPr>
            </w:pPr>
            <w:r w:rsidRPr="00D57AEB">
              <w:rPr>
                <w:sz w:val="18"/>
                <w:szCs w:val="18"/>
                <w:lang w:val="en-GB"/>
              </w:rPr>
              <w:t>Constraint</w:t>
            </w:r>
          </w:p>
          <w:p w14:paraId="57F9106B" w14:textId="77777777" w:rsidR="00427A80" w:rsidRPr="00D57AEB" w:rsidRDefault="00427A80" w:rsidP="008209FF">
            <w:pPr>
              <w:pStyle w:val="Els-body-text"/>
              <w:jc w:val="center"/>
              <w:rPr>
                <w:sz w:val="18"/>
                <w:szCs w:val="18"/>
                <w:lang w:val="en-GB"/>
              </w:rPr>
            </w:pPr>
            <w:r w:rsidRPr="00D57AEB">
              <w:rPr>
                <w:sz w:val="18"/>
                <w:szCs w:val="18"/>
                <w:lang w:val="en-GB"/>
              </w:rPr>
              <w:t>Change</w:t>
            </w:r>
          </w:p>
        </w:tc>
        <w:tc>
          <w:tcPr>
            <w:tcW w:w="983" w:type="pct"/>
            <w:gridSpan w:val="2"/>
            <w:tcBorders>
              <w:top w:val="single" w:sz="4" w:space="0" w:color="auto"/>
              <w:bottom w:val="nil"/>
            </w:tcBorders>
            <w:vAlign w:val="center"/>
          </w:tcPr>
          <w:p w14:paraId="08F7C7EB" w14:textId="77777777" w:rsidR="00427A80" w:rsidRPr="00D57AEB" w:rsidRDefault="00427A80" w:rsidP="008209FF">
            <w:pPr>
              <w:pStyle w:val="Els-body-text"/>
              <w:jc w:val="center"/>
              <w:rPr>
                <w:sz w:val="18"/>
                <w:szCs w:val="18"/>
                <w:lang w:val="en-GB"/>
              </w:rPr>
            </w:pPr>
            <w:r w:rsidRPr="00D57AEB">
              <w:rPr>
                <w:sz w:val="18"/>
                <w:szCs w:val="18"/>
                <w:lang w:val="en-GB"/>
              </w:rPr>
              <w:t>Constraint</w:t>
            </w:r>
          </w:p>
        </w:tc>
        <w:tc>
          <w:tcPr>
            <w:tcW w:w="520" w:type="pct"/>
            <w:tcBorders>
              <w:top w:val="single" w:sz="4" w:space="0" w:color="auto"/>
              <w:bottom w:val="nil"/>
            </w:tcBorders>
            <w:vAlign w:val="center"/>
          </w:tcPr>
          <w:p w14:paraId="24BD3D31" w14:textId="77777777" w:rsidR="00427A80" w:rsidRPr="00D57AEB" w:rsidRDefault="00427A80" w:rsidP="008209FF">
            <w:pPr>
              <w:pStyle w:val="Els-body-text"/>
              <w:jc w:val="center"/>
              <w:rPr>
                <w:sz w:val="18"/>
                <w:szCs w:val="18"/>
                <w:lang w:val="en-GB"/>
              </w:rPr>
            </w:pPr>
            <w:r w:rsidRPr="00D57AEB">
              <w:rPr>
                <w:sz w:val="18"/>
                <w:szCs w:val="18"/>
                <w:lang w:val="en-GB"/>
              </w:rPr>
              <w:t>Edit</w:t>
            </w:r>
          </w:p>
        </w:tc>
      </w:tr>
      <w:tr w:rsidR="00427A80" w:rsidRPr="00D57AEB" w14:paraId="2B5E651A" w14:textId="77777777" w:rsidTr="008209FF">
        <w:tc>
          <w:tcPr>
            <w:tcW w:w="606" w:type="pct"/>
            <w:vMerge/>
            <w:tcBorders>
              <w:top w:val="nil"/>
              <w:bottom w:val="single" w:sz="4" w:space="0" w:color="auto"/>
            </w:tcBorders>
            <w:vAlign w:val="center"/>
          </w:tcPr>
          <w:p w14:paraId="0000928B" w14:textId="77777777" w:rsidR="00427A80" w:rsidRPr="00D57AEB" w:rsidRDefault="00427A80" w:rsidP="008209FF">
            <w:pPr>
              <w:pStyle w:val="Els-body-text"/>
              <w:jc w:val="center"/>
              <w:rPr>
                <w:sz w:val="18"/>
                <w:szCs w:val="18"/>
                <w:lang w:val="en-GB"/>
              </w:rPr>
            </w:pPr>
          </w:p>
        </w:tc>
        <w:tc>
          <w:tcPr>
            <w:tcW w:w="805" w:type="pct"/>
            <w:vMerge/>
            <w:tcBorders>
              <w:top w:val="nil"/>
              <w:bottom w:val="single" w:sz="4" w:space="0" w:color="auto"/>
            </w:tcBorders>
            <w:vAlign w:val="center"/>
          </w:tcPr>
          <w:p w14:paraId="310284B6" w14:textId="77777777" w:rsidR="00427A80" w:rsidRPr="00D57AEB" w:rsidRDefault="00427A80" w:rsidP="008209FF">
            <w:pPr>
              <w:pStyle w:val="Els-body-text"/>
              <w:jc w:val="center"/>
              <w:rPr>
                <w:sz w:val="18"/>
                <w:szCs w:val="18"/>
                <w:lang w:val="en-GB"/>
              </w:rPr>
            </w:pPr>
          </w:p>
        </w:tc>
        <w:tc>
          <w:tcPr>
            <w:tcW w:w="661" w:type="pct"/>
            <w:tcBorders>
              <w:top w:val="nil"/>
              <w:bottom w:val="single" w:sz="4" w:space="0" w:color="auto"/>
            </w:tcBorders>
            <w:vAlign w:val="center"/>
          </w:tcPr>
          <w:p w14:paraId="48AA0605" w14:textId="77777777" w:rsidR="00427A80" w:rsidRPr="00D57AEB" w:rsidRDefault="00427A80" w:rsidP="008209FF">
            <w:pPr>
              <w:pStyle w:val="Els-body-text"/>
              <w:jc w:val="center"/>
              <w:rPr>
                <w:sz w:val="18"/>
                <w:szCs w:val="18"/>
                <w:lang w:val="en-GB"/>
              </w:rPr>
            </w:pPr>
            <w:r w:rsidRPr="00D57AEB">
              <w:rPr>
                <w:sz w:val="18"/>
                <w:szCs w:val="18"/>
                <w:lang w:val="en-GB"/>
              </w:rPr>
              <w:t>NSA</w:t>
            </w:r>
          </w:p>
        </w:tc>
        <w:tc>
          <w:tcPr>
            <w:tcW w:w="661" w:type="pct"/>
            <w:tcBorders>
              <w:top w:val="nil"/>
              <w:bottom w:val="single" w:sz="4" w:space="0" w:color="auto"/>
            </w:tcBorders>
            <w:vAlign w:val="center"/>
          </w:tcPr>
          <w:p w14:paraId="3DB5D585" w14:textId="77777777" w:rsidR="00427A80" w:rsidRPr="00D57AEB" w:rsidRDefault="00427A80" w:rsidP="008209FF">
            <w:pPr>
              <w:pStyle w:val="Els-body-text"/>
              <w:jc w:val="center"/>
              <w:rPr>
                <w:sz w:val="18"/>
                <w:szCs w:val="18"/>
                <w:lang w:val="en-GB"/>
              </w:rPr>
            </w:pPr>
            <w:r w:rsidRPr="00D57AEB">
              <w:rPr>
                <w:sz w:val="18"/>
                <w:szCs w:val="18"/>
                <w:lang w:val="en-GB"/>
              </w:rPr>
              <w:t>LSA</w:t>
            </w:r>
          </w:p>
        </w:tc>
        <w:tc>
          <w:tcPr>
            <w:tcW w:w="765" w:type="pct"/>
            <w:vMerge/>
            <w:tcBorders>
              <w:top w:val="nil"/>
              <w:bottom w:val="single" w:sz="4" w:space="0" w:color="auto"/>
            </w:tcBorders>
            <w:vAlign w:val="center"/>
          </w:tcPr>
          <w:p w14:paraId="03CD11C8" w14:textId="77777777" w:rsidR="00427A80" w:rsidRPr="00D57AEB" w:rsidRDefault="00427A80" w:rsidP="008209FF">
            <w:pPr>
              <w:pStyle w:val="Els-body-text"/>
              <w:jc w:val="center"/>
              <w:rPr>
                <w:sz w:val="18"/>
                <w:szCs w:val="18"/>
                <w:lang w:val="en-GB"/>
              </w:rPr>
            </w:pPr>
          </w:p>
        </w:tc>
        <w:tc>
          <w:tcPr>
            <w:tcW w:w="491" w:type="pct"/>
            <w:tcBorders>
              <w:top w:val="nil"/>
              <w:bottom w:val="single" w:sz="4" w:space="0" w:color="auto"/>
            </w:tcBorders>
            <w:vAlign w:val="center"/>
          </w:tcPr>
          <w:p w14:paraId="6D2FDD8D" w14:textId="77777777" w:rsidR="00427A80" w:rsidRPr="00D57AEB" w:rsidRDefault="00427A80" w:rsidP="008209FF">
            <w:pPr>
              <w:pStyle w:val="Els-body-text"/>
              <w:jc w:val="center"/>
              <w:rPr>
                <w:sz w:val="18"/>
                <w:szCs w:val="18"/>
                <w:lang w:val="en-GB"/>
              </w:rPr>
            </w:pPr>
            <w:r w:rsidRPr="00D57AEB">
              <w:rPr>
                <w:sz w:val="18"/>
                <w:szCs w:val="18"/>
                <w:lang w:val="en-GB"/>
              </w:rPr>
              <w:t>Real</w:t>
            </w:r>
          </w:p>
        </w:tc>
        <w:tc>
          <w:tcPr>
            <w:tcW w:w="491" w:type="pct"/>
            <w:tcBorders>
              <w:top w:val="nil"/>
              <w:bottom w:val="single" w:sz="4" w:space="0" w:color="auto"/>
            </w:tcBorders>
            <w:vAlign w:val="center"/>
          </w:tcPr>
          <w:p w14:paraId="60535764" w14:textId="77777777" w:rsidR="00427A80" w:rsidRPr="00D57AEB" w:rsidRDefault="00427A80" w:rsidP="008209FF">
            <w:pPr>
              <w:pStyle w:val="Els-body-text"/>
              <w:jc w:val="center"/>
              <w:rPr>
                <w:sz w:val="18"/>
                <w:szCs w:val="18"/>
                <w:lang w:val="en-GB"/>
              </w:rPr>
            </w:pPr>
            <w:r w:rsidRPr="00D57AEB">
              <w:rPr>
                <w:sz w:val="18"/>
                <w:szCs w:val="18"/>
                <w:lang w:val="en-GB"/>
              </w:rPr>
              <w:t>Ideal</w:t>
            </w:r>
          </w:p>
        </w:tc>
        <w:tc>
          <w:tcPr>
            <w:tcW w:w="520" w:type="pct"/>
            <w:tcBorders>
              <w:top w:val="nil"/>
              <w:bottom w:val="single" w:sz="4" w:space="0" w:color="auto"/>
            </w:tcBorders>
            <w:vAlign w:val="center"/>
          </w:tcPr>
          <w:p w14:paraId="784C8A31" w14:textId="77777777" w:rsidR="00427A80" w:rsidRPr="00D57AEB" w:rsidRDefault="00427A80" w:rsidP="008209FF">
            <w:pPr>
              <w:pStyle w:val="Els-body-text"/>
              <w:rPr>
                <w:sz w:val="18"/>
                <w:szCs w:val="18"/>
                <w:lang w:val="en-GB"/>
              </w:rPr>
            </w:pPr>
            <w:r w:rsidRPr="00D57AEB">
              <w:rPr>
                <w:sz w:val="18"/>
                <w:szCs w:val="18"/>
                <w:lang w:val="en-GB"/>
              </w:rPr>
              <w:t>Distance</w:t>
            </w:r>
          </w:p>
        </w:tc>
      </w:tr>
      <w:tr w:rsidR="00427A80" w:rsidRPr="00D57AEB" w14:paraId="3581F673" w14:textId="77777777" w:rsidTr="008209FF">
        <w:tc>
          <w:tcPr>
            <w:tcW w:w="606" w:type="pct"/>
            <w:tcBorders>
              <w:top w:val="single" w:sz="4" w:space="0" w:color="auto"/>
            </w:tcBorders>
            <w:vAlign w:val="center"/>
          </w:tcPr>
          <w:p w14:paraId="5F594E1E" w14:textId="77777777" w:rsidR="00427A80" w:rsidRPr="00D57AEB" w:rsidRDefault="00427A80" w:rsidP="008209FF">
            <w:pPr>
              <w:pStyle w:val="Els-body-text"/>
              <w:jc w:val="center"/>
              <w:rPr>
                <w:sz w:val="18"/>
                <w:szCs w:val="18"/>
                <w:lang w:val="en-GB"/>
              </w:rPr>
            </w:pPr>
            <w:r w:rsidRPr="00D57AEB">
              <w:rPr>
                <w:sz w:val="18"/>
                <w:szCs w:val="18"/>
                <w:lang w:val="en-GB"/>
              </w:rPr>
              <w:t>1</w:t>
            </w:r>
          </w:p>
        </w:tc>
        <w:tc>
          <w:tcPr>
            <w:tcW w:w="805" w:type="pct"/>
            <w:tcBorders>
              <w:top w:val="single" w:sz="4" w:space="0" w:color="auto"/>
            </w:tcBorders>
            <w:vAlign w:val="center"/>
          </w:tcPr>
          <w:p w14:paraId="0016AD2B" w14:textId="77777777" w:rsidR="00427A80" w:rsidRPr="00D57AEB" w:rsidRDefault="00427A80" w:rsidP="008209FF">
            <w:pPr>
              <w:pStyle w:val="Els-body-text"/>
              <w:jc w:val="center"/>
              <w:rPr>
                <w:sz w:val="18"/>
                <w:szCs w:val="18"/>
                <w:lang w:val="en-GB"/>
              </w:rPr>
            </w:pPr>
            <w:r w:rsidRPr="00D57AEB">
              <w:rPr>
                <w:sz w:val="18"/>
                <w:szCs w:val="18"/>
                <w:lang w:val="en-GB"/>
              </w:rPr>
              <w:t>MV 20 HL</w:t>
            </w:r>
          </w:p>
        </w:tc>
        <w:tc>
          <w:tcPr>
            <w:tcW w:w="661" w:type="pct"/>
            <w:tcBorders>
              <w:top w:val="single" w:sz="4" w:space="0" w:color="auto"/>
            </w:tcBorders>
            <w:vAlign w:val="center"/>
          </w:tcPr>
          <w:p w14:paraId="00FDFD0D" w14:textId="77777777" w:rsidR="00427A80" w:rsidRPr="00D57AEB" w:rsidRDefault="00427A80" w:rsidP="008209FF">
            <w:pPr>
              <w:pStyle w:val="Els-body-text"/>
              <w:jc w:val="center"/>
              <w:rPr>
                <w:sz w:val="18"/>
                <w:szCs w:val="18"/>
                <w:lang w:val="en-GB"/>
              </w:rPr>
            </w:pPr>
            <w:r w:rsidRPr="00D57AEB">
              <w:rPr>
                <w:sz w:val="18"/>
                <w:szCs w:val="18"/>
                <w:lang w:val="en-GB"/>
              </w:rPr>
              <w:t>9,999.0</w:t>
            </w:r>
          </w:p>
        </w:tc>
        <w:tc>
          <w:tcPr>
            <w:tcW w:w="661" w:type="pct"/>
            <w:tcBorders>
              <w:top w:val="single" w:sz="4" w:space="0" w:color="auto"/>
            </w:tcBorders>
            <w:vAlign w:val="center"/>
          </w:tcPr>
          <w:p w14:paraId="2AE19891" w14:textId="77777777" w:rsidR="00427A80" w:rsidRPr="00D57AEB" w:rsidRDefault="00427A80" w:rsidP="008209FF">
            <w:pPr>
              <w:pStyle w:val="Els-body-text"/>
              <w:jc w:val="center"/>
              <w:rPr>
                <w:sz w:val="18"/>
                <w:szCs w:val="18"/>
                <w:lang w:val="en-GB"/>
              </w:rPr>
            </w:pPr>
            <w:r w:rsidRPr="00D57AEB">
              <w:rPr>
                <w:sz w:val="18"/>
                <w:szCs w:val="18"/>
                <w:lang w:val="en-GB"/>
              </w:rPr>
              <w:t>9,999.0</w:t>
            </w:r>
          </w:p>
        </w:tc>
        <w:tc>
          <w:tcPr>
            <w:tcW w:w="765" w:type="pct"/>
            <w:tcBorders>
              <w:top w:val="single" w:sz="4" w:space="0" w:color="auto"/>
            </w:tcBorders>
            <w:vAlign w:val="center"/>
          </w:tcPr>
          <w:p w14:paraId="2BA6C6B1" w14:textId="77777777" w:rsidR="00427A80" w:rsidRPr="00D57AEB" w:rsidRDefault="00427A80" w:rsidP="008209FF">
            <w:pPr>
              <w:pStyle w:val="Els-body-text"/>
              <w:jc w:val="center"/>
              <w:rPr>
                <w:sz w:val="18"/>
                <w:szCs w:val="18"/>
                <w:lang w:val="en-GB"/>
              </w:rPr>
            </w:pPr>
            <w:r w:rsidRPr="00D57AEB">
              <w:rPr>
                <w:sz w:val="18"/>
                <w:szCs w:val="18"/>
                <w:lang w:val="en-GB"/>
              </w:rPr>
              <w:t>1.0</w:t>
            </w:r>
          </w:p>
        </w:tc>
        <w:tc>
          <w:tcPr>
            <w:tcW w:w="491" w:type="pct"/>
            <w:tcBorders>
              <w:top w:val="single" w:sz="4" w:space="0" w:color="auto"/>
            </w:tcBorders>
            <w:vAlign w:val="center"/>
          </w:tcPr>
          <w:p w14:paraId="38212C33" w14:textId="77777777" w:rsidR="00427A80" w:rsidRPr="00D57AEB" w:rsidRDefault="00427A80" w:rsidP="008209FF">
            <w:pPr>
              <w:pStyle w:val="Els-body-text"/>
              <w:jc w:val="center"/>
              <w:rPr>
                <w:sz w:val="18"/>
                <w:szCs w:val="18"/>
                <w:lang w:val="en-GB"/>
              </w:rPr>
            </w:pPr>
            <w:r w:rsidRPr="00D57AEB">
              <w:rPr>
                <w:sz w:val="18"/>
                <w:szCs w:val="18"/>
                <w:lang w:val="en-GB"/>
              </w:rPr>
              <w:t>368.0</w:t>
            </w:r>
          </w:p>
        </w:tc>
        <w:tc>
          <w:tcPr>
            <w:tcW w:w="491" w:type="pct"/>
            <w:tcBorders>
              <w:top w:val="single" w:sz="4" w:space="0" w:color="auto"/>
            </w:tcBorders>
            <w:vAlign w:val="center"/>
          </w:tcPr>
          <w:p w14:paraId="6BA96755" w14:textId="77777777" w:rsidR="00427A80" w:rsidRPr="00D57AEB" w:rsidRDefault="00427A80" w:rsidP="008209FF">
            <w:pPr>
              <w:pStyle w:val="Els-body-text"/>
              <w:jc w:val="center"/>
              <w:rPr>
                <w:sz w:val="18"/>
                <w:szCs w:val="18"/>
                <w:lang w:val="en-GB"/>
              </w:rPr>
            </w:pPr>
            <w:r w:rsidRPr="00D57AEB">
              <w:rPr>
                <w:sz w:val="18"/>
                <w:szCs w:val="18"/>
                <w:lang w:val="en-GB"/>
              </w:rPr>
              <w:t>369.0</w:t>
            </w:r>
          </w:p>
        </w:tc>
        <w:tc>
          <w:tcPr>
            <w:tcW w:w="520" w:type="pct"/>
            <w:vMerge w:val="restart"/>
            <w:tcBorders>
              <w:top w:val="single" w:sz="4" w:space="0" w:color="auto"/>
            </w:tcBorders>
            <w:vAlign w:val="center"/>
          </w:tcPr>
          <w:p w14:paraId="5CEE1AAB" w14:textId="77777777" w:rsidR="00427A80" w:rsidRPr="00D57AEB" w:rsidRDefault="00427A80" w:rsidP="008209FF">
            <w:pPr>
              <w:pStyle w:val="Els-body-text"/>
              <w:jc w:val="center"/>
              <w:rPr>
                <w:sz w:val="18"/>
                <w:szCs w:val="18"/>
                <w:lang w:val="en-GB"/>
              </w:rPr>
            </w:pPr>
            <w:r w:rsidRPr="00D57AEB">
              <w:rPr>
                <w:sz w:val="18"/>
                <w:szCs w:val="18"/>
                <w:lang w:val="en-GB"/>
              </w:rPr>
              <w:t>0</w:t>
            </w:r>
          </w:p>
        </w:tc>
      </w:tr>
      <w:tr w:rsidR="00427A80" w:rsidRPr="00D57AEB" w14:paraId="70EE6E59" w14:textId="77777777" w:rsidTr="008209FF">
        <w:tc>
          <w:tcPr>
            <w:tcW w:w="606" w:type="pct"/>
            <w:vAlign w:val="center"/>
          </w:tcPr>
          <w:p w14:paraId="55D87BEF" w14:textId="77777777" w:rsidR="00427A80" w:rsidRPr="00D57AEB" w:rsidRDefault="00427A80" w:rsidP="008209FF">
            <w:pPr>
              <w:pStyle w:val="Els-body-text"/>
              <w:jc w:val="center"/>
              <w:rPr>
                <w:sz w:val="18"/>
                <w:szCs w:val="18"/>
                <w:lang w:val="en-GB"/>
              </w:rPr>
            </w:pPr>
            <w:r w:rsidRPr="00D57AEB">
              <w:rPr>
                <w:sz w:val="18"/>
                <w:szCs w:val="18"/>
                <w:lang w:val="en-GB"/>
              </w:rPr>
              <w:t>2</w:t>
            </w:r>
          </w:p>
        </w:tc>
        <w:tc>
          <w:tcPr>
            <w:tcW w:w="805" w:type="pct"/>
            <w:vAlign w:val="center"/>
          </w:tcPr>
          <w:p w14:paraId="6D1757B6" w14:textId="77777777" w:rsidR="00427A80" w:rsidRPr="00D57AEB" w:rsidRDefault="00427A80" w:rsidP="008209FF">
            <w:pPr>
              <w:pStyle w:val="Els-body-text"/>
              <w:jc w:val="center"/>
              <w:rPr>
                <w:sz w:val="18"/>
                <w:szCs w:val="18"/>
                <w:lang w:val="en-GB"/>
              </w:rPr>
            </w:pPr>
            <w:r w:rsidRPr="00D57AEB">
              <w:rPr>
                <w:sz w:val="18"/>
                <w:szCs w:val="18"/>
                <w:lang w:val="en-GB"/>
              </w:rPr>
              <w:t>CV 8 HL</w:t>
            </w:r>
          </w:p>
        </w:tc>
        <w:tc>
          <w:tcPr>
            <w:tcW w:w="661" w:type="pct"/>
            <w:vAlign w:val="center"/>
          </w:tcPr>
          <w:p w14:paraId="338CE3CB" w14:textId="77777777" w:rsidR="00427A80" w:rsidRPr="00D57AEB" w:rsidRDefault="00427A80" w:rsidP="008209FF">
            <w:pPr>
              <w:pStyle w:val="Els-body-text"/>
              <w:jc w:val="center"/>
              <w:rPr>
                <w:sz w:val="18"/>
                <w:szCs w:val="18"/>
                <w:lang w:val="en-GB"/>
              </w:rPr>
            </w:pPr>
            <w:r w:rsidRPr="00D57AEB">
              <w:rPr>
                <w:sz w:val="18"/>
                <w:szCs w:val="18"/>
                <w:lang w:val="en-GB"/>
              </w:rPr>
              <w:t>9,999.0</w:t>
            </w:r>
          </w:p>
        </w:tc>
        <w:tc>
          <w:tcPr>
            <w:tcW w:w="661" w:type="pct"/>
            <w:vAlign w:val="center"/>
          </w:tcPr>
          <w:p w14:paraId="3F0BB432" w14:textId="77777777" w:rsidR="00427A80" w:rsidRPr="00D57AEB" w:rsidRDefault="00427A80" w:rsidP="008209FF">
            <w:pPr>
              <w:pStyle w:val="Els-body-text"/>
              <w:jc w:val="center"/>
              <w:rPr>
                <w:sz w:val="18"/>
                <w:szCs w:val="18"/>
                <w:lang w:val="en-GB"/>
              </w:rPr>
            </w:pPr>
            <w:r w:rsidRPr="00D57AEB">
              <w:rPr>
                <w:sz w:val="18"/>
                <w:szCs w:val="18"/>
                <w:lang w:val="en-GB"/>
              </w:rPr>
              <w:t>9,999.0</w:t>
            </w:r>
          </w:p>
        </w:tc>
        <w:tc>
          <w:tcPr>
            <w:tcW w:w="765" w:type="pct"/>
            <w:vAlign w:val="center"/>
          </w:tcPr>
          <w:p w14:paraId="3F0CA6A6" w14:textId="77777777" w:rsidR="00427A80" w:rsidRPr="00D57AEB" w:rsidRDefault="00427A80" w:rsidP="008209FF">
            <w:pPr>
              <w:pStyle w:val="Els-body-text"/>
              <w:jc w:val="center"/>
              <w:rPr>
                <w:sz w:val="18"/>
                <w:szCs w:val="18"/>
                <w:lang w:val="en-GB"/>
              </w:rPr>
            </w:pPr>
            <w:r w:rsidRPr="00D57AEB">
              <w:rPr>
                <w:sz w:val="18"/>
                <w:szCs w:val="18"/>
                <w:lang w:val="en-GB"/>
              </w:rPr>
              <w:t>10.0</w:t>
            </w:r>
          </w:p>
        </w:tc>
        <w:tc>
          <w:tcPr>
            <w:tcW w:w="491" w:type="pct"/>
            <w:vAlign w:val="center"/>
          </w:tcPr>
          <w:p w14:paraId="636208E4" w14:textId="77777777" w:rsidR="00427A80" w:rsidRPr="00D57AEB" w:rsidRDefault="00427A80" w:rsidP="008209FF">
            <w:pPr>
              <w:pStyle w:val="Els-body-text"/>
              <w:jc w:val="center"/>
              <w:rPr>
                <w:sz w:val="18"/>
                <w:szCs w:val="18"/>
                <w:lang w:val="en-GB"/>
              </w:rPr>
            </w:pPr>
            <w:r w:rsidRPr="00D57AEB">
              <w:rPr>
                <w:sz w:val="18"/>
                <w:szCs w:val="18"/>
                <w:lang w:val="en-GB"/>
              </w:rPr>
              <w:t>316.0</w:t>
            </w:r>
          </w:p>
        </w:tc>
        <w:tc>
          <w:tcPr>
            <w:tcW w:w="491" w:type="pct"/>
            <w:vAlign w:val="center"/>
          </w:tcPr>
          <w:p w14:paraId="42FC03D2" w14:textId="77777777" w:rsidR="00427A80" w:rsidRPr="00D57AEB" w:rsidRDefault="00427A80" w:rsidP="008209FF">
            <w:pPr>
              <w:pStyle w:val="Els-body-text"/>
              <w:jc w:val="center"/>
              <w:rPr>
                <w:sz w:val="18"/>
                <w:szCs w:val="18"/>
                <w:lang w:val="en-GB"/>
              </w:rPr>
            </w:pPr>
            <w:r w:rsidRPr="00D57AEB">
              <w:rPr>
                <w:sz w:val="18"/>
                <w:szCs w:val="18"/>
                <w:lang w:val="en-GB"/>
              </w:rPr>
              <w:t>326.0</w:t>
            </w:r>
          </w:p>
        </w:tc>
        <w:tc>
          <w:tcPr>
            <w:tcW w:w="520" w:type="pct"/>
            <w:vMerge/>
            <w:vAlign w:val="center"/>
          </w:tcPr>
          <w:p w14:paraId="592B65D4" w14:textId="77777777" w:rsidR="00427A80" w:rsidRPr="00D57AEB" w:rsidRDefault="00427A80" w:rsidP="008209FF">
            <w:pPr>
              <w:pStyle w:val="Els-body-text"/>
              <w:jc w:val="center"/>
              <w:rPr>
                <w:sz w:val="18"/>
                <w:szCs w:val="18"/>
                <w:lang w:val="en-GB"/>
              </w:rPr>
            </w:pPr>
          </w:p>
        </w:tc>
      </w:tr>
      <w:tr w:rsidR="00427A80" w:rsidRPr="00D57AEB" w14:paraId="235686EB" w14:textId="77777777" w:rsidTr="008209FF">
        <w:tc>
          <w:tcPr>
            <w:tcW w:w="606" w:type="pct"/>
            <w:vAlign w:val="center"/>
          </w:tcPr>
          <w:p w14:paraId="060C4199" w14:textId="77777777" w:rsidR="00427A80" w:rsidRPr="00D57AEB" w:rsidRDefault="00427A80" w:rsidP="008209FF">
            <w:pPr>
              <w:pStyle w:val="Els-body-text"/>
              <w:jc w:val="center"/>
              <w:rPr>
                <w:sz w:val="18"/>
                <w:szCs w:val="18"/>
                <w:lang w:val="en-GB"/>
              </w:rPr>
            </w:pPr>
            <w:r w:rsidRPr="00D57AEB">
              <w:rPr>
                <w:sz w:val="18"/>
                <w:szCs w:val="18"/>
                <w:lang w:val="en-GB"/>
              </w:rPr>
              <w:t>3</w:t>
            </w:r>
          </w:p>
        </w:tc>
        <w:tc>
          <w:tcPr>
            <w:tcW w:w="805" w:type="pct"/>
            <w:vAlign w:val="center"/>
          </w:tcPr>
          <w:p w14:paraId="1F3D4866" w14:textId="77777777" w:rsidR="00427A80" w:rsidRPr="00D57AEB" w:rsidRDefault="00427A80" w:rsidP="008209FF">
            <w:pPr>
              <w:pStyle w:val="Els-body-text"/>
              <w:jc w:val="center"/>
              <w:rPr>
                <w:sz w:val="18"/>
                <w:szCs w:val="18"/>
                <w:lang w:val="en-GB"/>
              </w:rPr>
            </w:pPr>
            <w:r w:rsidRPr="00D57AEB">
              <w:rPr>
                <w:sz w:val="18"/>
                <w:szCs w:val="18"/>
                <w:lang w:val="en-GB"/>
              </w:rPr>
              <w:t>CV 1 HL</w:t>
            </w:r>
          </w:p>
        </w:tc>
        <w:tc>
          <w:tcPr>
            <w:tcW w:w="661" w:type="pct"/>
            <w:vAlign w:val="center"/>
          </w:tcPr>
          <w:p w14:paraId="0D0F4547" w14:textId="77777777" w:rsidR="00427A80" w:rsidRPr="00D57AEB" w:rsidRDefault="00427A80" w:rsidP="008209FF">
            <w:pPr>
              <w:pStyle w:val="Els-body-text"/>
              <w:jc w:val="center"/>
              <w:rPr>
                <w:sz w:val="18"/>
                <w:szCs w:val="18"/>
                <w:lang w:val="en-GB"/>
              </w:rPr>
            </w:pPr>
            <w:r w:rsidRPr="00D57AEB">
              <w:rPr>
                <w:sz w:val="18"/>
                <w:szCs w:val="18"/>
                <w:lang w:val="en-GB"/>
              </w:rPr>
              <w:t>93.2</w:t>
            </w:r>
          </w:p>
        </w:tc>
        <w:tc>
          <w:tcPr>
            <w:tcW w:w="661" w:type="pct"/>
            <w:vAlign w:val="center"/>
          </w:tcPr>
          <w:p w14:paraId="1DE16E91" w14:textId="77777777" w:rsidR="00427A80" w:rsidRPr="00D57AEB" w:rsidRDefault="00427A80" w:rsidP="008209FF">
            <w:pPr>
              <w:pStyle w:val="Els-body-text"/>
              <w:jc w:val="center"/>
              <w:rPr>
                <w:sz w:val="18"/>
                <w:szCs w:val="18"/>
                <w:lang w:val="en-GB"/>
              </w:rPr>
            </w:pPr>
            <w:r w:rsidRPr="00D57AEB">
              <w:rPr>
                <w:sz w:val="18"/>
                <w:szCs w:val="18"/>
                <w:lang w:val="en-GB"/>
              </w:rPr>
              <w:t>100.0</w:t>
            </w:r>
          </w:p>
        </w:tc>
        <w:tc>
          <w:tcPr>
            <w:tcW w:w="765" w:type="pct"/>
            <w:vAlign w:val="center"/>
          </w:tcPr>
          <w:p w14:paraId="6C5B65DF" w14:textId="77777777" w:rsidR="00427A80" w:rsidRPr="00D57AEB" w:rsidRDefault="00427A80" w:rsidP="008209FF">
            <w:pPr>
              <w:pStyle w:val="Els-body-text"/>
              <w:jc w:val="center"/>
              <w:rPr>
                <w:sz w:val="18"/>
                <w:szCs w:val="18"/>
                <w:lang w:val="en-GB"/>
              </w:rPr>
            </w:pPr>
            <w:r w:rsidRPr="00D57AEB">
              <w:rPr>
                <w:sz w:val="18"/>
                <w:szCs w:val="18"/>
                <w:lang w:val="en-GB"/>
              </w:rPr>
              <w:t>3.5</w:t>
            </w:r>
          </w:p>
        </w:tc>
        <w:tc>
          <w:tcPr>
            <w:tcW w:w="491" w:type="pct"/>
            <w:vAlign w:val="center"/>
          </w:tcPr>
          <w:p w14:paraId="09601ADE" w14:textId="77777777" w:rsidR="00427A80" w:rsidRPr="00D57AEB" w:rsidRDefault="00427A80" w:rsidP="008209FF">
            <w:pPr>
              <w:pStyle w:val="Els-body-text"/>
              <w:jc w:val="center"/>
              <w:rPr>
                <w:sz w:val="18"/>
                <w:szCs w:val="18"/>
                <w:lang w:val="en-GB"/>
              </w:rPr>
            </w:pPr>
            <w:r w:rsidRPr="00D57AEB">
              <w:rPr>
                <w:sz w:val="18"/>
                <w:szCs w:val="18"/>
                <w:lang w:val="en-GB"/>
              </w:rPr>
              <w:t>191.5</w:t>
            </w:r>
          </w:p>
        </w:tc>
        <w:tc>
          <w:tcPr>
            <w:tcW w:w="491" w:type="pct"/>
            <w:vAlign w:val="center"/>
          </w:tcPr>
          <w:p w14:paraId="46F37E0E" w14:textId="77777777" w:rsidR="00427A80" w:rsidRPr="00D57AEB" w:rsidRDefault="00427A80" w:rsidP="008209FF">
            <w:pPr>
              <w:pStyle w:val="Els-body-text"/>
              <w:jc w:val="center"/>
              <w:rPr>
                <w:sz w:val="18"/>
                <w:szCs w:val="18"/>
                <w:lang w:val="en-GB"/>
              </w:rPr>
            </w:pPr>
            <w:r w:rsidRPr="00D57AEB">
              <w:rPr>
                <w:sz w:val="18"/>
                <w:szCs w:val="18"/>
                <w:lang w:val="en-GB"/>
              </w:rPr>
              <w:t>195.0</w:t>
            </w:r>
          </w:p>
        </w:tc>
        <w:tc>
          <w:tcPr>
            <w:tcW w:w="520" w:type="pct"/>
            <w:vMerge/>
            <w:vAlign w:val="center"/>
          </w:tcPr>
          <w:p w14:paraId="0637BCE6" w14:textId="77777777" w:rsidR="00427A80" w:rsidRPr="00D57AEB" w:rsidRDefault="00427A80" w:rsidP="008209FF">
            <w:pPr>
              <w:pStyle w:val="Els-body-text"/>
              <w:keepNext/>
              <w:jc w:val="center"/>
              <w:rPr>
                <w:sz w:val="18"/>
                <w:szCs w:val="18"/>
                <w:lang w:val="en-GB"/>
              </w:rPr>
            </w:pPr>
          </w:p>
        </w:tc>
      </w:tr>
    </w:tbl>
    <w:p w14:paraId="2F757EA3" w14:textId="526076B0" w:rsidR="00C61B3A" w:rsidRDefault="007E237E" w:rsidP="00556EA8">
      <w:pPr>
        <w:pStyle w:val="Els-body-text"/>
        <w:spacing w:before="120"/>
        <w:rPr>
          <w:lang w:val="en-GB"/>
        </w:rPr>
      </w:pPr>
      <w:r>
        <w:t>Table</w:t>
      </w:r>
      <w:r w:rsidR="00C61B3A">
        <w:t xml:space="preserve"> </w:t>
      </w:r>
      <w:r w:rsidR="00C61B3A">
        <w:fldChar w:fldCharType="begin"/>
      </w:r>
      <w:r w:rsidR="00C61B3A">
        <w:instrText xml:space="preserve"> SEQ Figure \* ARABIC </w:instrText>
      </w:r>
      <w:r w:rsidR="00C61B3A">
        <w:fldChar w:fldCharType="separate"/>
      </w:r>
      <w:r w:rsidR="00C61B3A">
        <w:rPr>
          <w:noProof/>
        </w:rPr>
        <w:t>2</w:t>
      </w:r>
      <w:r w:rsidR="00C61B3A">
        <w:fldChar w:fldCharType="end"/>
      </w:r>
      <w:r w:rsidR="00C61B3A">
        <w:t xml:space="preserve">: Edit distance comparison of Lagrange multipliers obtained by local (LSA) and </w:t>
      </w:r>
      <w:r w:rsidR="00556EA8">
        <w:t>non-local (NSA) sensitivity analysis.</w:t>
      </w:r>
    </w:p>
    <w:p w14:paraId="56AAB21D" w14:textId="4F927267" w:rsidR="001135A7" w:rsidRPr="00881A9F" w:rsidRDefault="003E0197" w:rsidP="001135A7">
      <w:pPr>
        <w:pStyle w:val="Els-body-text"/>
        <w:spacing w:before="120"/>
        <w:rPr>
          <w:lang w:val="en-GB"/>
        </w:rPr>
      </w:pPr>
      <w:r w:rsidRPr="007C6F71">
        <w:rPr>
          <w:szCs w:val="22"/>
          <w:lang w:val="en-GB"/>
        </w:rPr>
        <w:lastRenderedPageBreak/>
        <w:t>the overhead for additional optimization calculations is practically negligible as there are</w:t>
      </w:r>
      <w:r>
        <w:rPr>
          <w:lang w:val="en-GB"/>
        </w:rPr>
        <w:t xml:space="preserve"> </w:t>
      </w:r>
      <w:r w:rsidR="001135A7" w:rsidRPr="00881A9F">
        <w:rPr>
          <w:lang w:val="en-GB"/>
        </w:rPr>
        <w:t>on average only three constraints to be investigated. Nevertheless, the local method provides two advantages: sufficient accuracy of recommendation calculations and shorter computation time.</w:t>
      </w:r>
    </w:p>
    <w:p w14:paraId="6D7FF8C5" w14:textId="77777777" w:rsidR="001135A7" w:rsidRPr="00A94774" w:rsidRDefault="001135A7" w:rsidP="001135A7">
      <w:pPr>
        <w:pStyle w:val="Els-1storder-head"/>
        <w:spacing w:after="120"/>
        <w:rPr>
          <w:lang w:val="en-GB"/>
        </w:rPr>
      </w:pPr>
      <w:r w:rsidRPr="00A94774">
        <w:rPr>
          <w:lang w:val="en-GB"/>
        </w:rPr>
        <w:t>Conclusions</w:t>
      </w:r>
    </w:p>
    <w:p w14:paraId="61778F88" w14:textId="77777777" w:rsidR="001135A7" w:rsidRDefault="001135A7" w:rsidP="001135A7">
      <w:pPr>
        <w:pStyle w:val="Els-reference-head"/>
        <w:rPr>
          <w:b w:val="0"/>
          <w:sz w:val="20"/>
          <w:szCs w:val="20"/>
          <w:lang w:val="en-GB"/>
        </w:rPr>
      </w:pPr>
      <w:r w:rsidRPr="00F248B2">
        <w:rPr>
          <w:b w:val="0"/>
          <w:sz w:val="20"/>
          <w:szCs w:val="20"/>
          <w:lang w:val="en-GB"/>
        </w:rPr>
        <w:t>We treated the maintenance problem of advanced process controllers related to constraints on</w:t>
      </w:r>
      <w:r>
        <w:rPr>
          <w:b w:val="0"/>
          <w:sz w:val="20"/>
          <w:szCs w:val="20"/>
          <w:lang w:val="en-GB"/>
        </w:rPr>
        <w:t xml:space="preserve"> </w:t>
      </w:r>
      <w:r w:rsidRPr="00F248B2">
        <w:rPr>
          <w:b w:val="0"/>
          <w:sz w:val="20"/>
          <w:szCs w:val="20"/>
          <w:lang w:val="en-GB"/>
        </w:rPr>
        <w:t>manipulated and controlled variables. The case study investigated the fluid catalytic cracking</w:t>
      </w:r>
      <w:r>
        <w:rPr>
          <w:b w:val="0"/>
          <w:sz w:val="20"/>
          <w:szCs w:val="20"/>
          <w:lang w:val="en-GB"/>
        </w:rPr>
        <w:t xml:space="preserve"> </w:t>
      </w:r>
      <w:r w:rsidRPr="00F248B2">
        <w:rPr>
          <w:b w:val="0"/>
          <w:sz w:val="20"/>
          <w:szCs w:val="20"/>
          <w:lang w:val="en-GB"/>
        </w:rPr>
        <w:t>production unit controlled by the RMPCT Profit controller by Honeywell. The problem comprises</w:t>
      </w:r>
      <w:r>
        <w:rPr>
          <w:b w:val="0"/>
          <w:sz w:val="20"/>
          <w:szCs w:val="20"/>
          <w:lang w:val="en-GB"/>
        </w:rPr>
        <w:t xml:space="preserve"> </w:t>
      </w:r>
      <w:r w:rsidRPr="00F248B2">
        <w:rPr>
          <w:b w:val="0"/>
          <w:sz w:val="20"/>
          <w:szCs w:val="20"/>
          <w:lang w:val="en-GB"/>
        </w:rPr>
        <w:t>47 variables. We applied two sensitivity analysis methods: local using the optimal Lagrange</w:t>
      </w:r>
      <w:r>
        <w:rPr>
          <w:b w:val="0"/>
          <w:sz w:val="20"/>
          <w:szCs w:val="20"/>
          <w:lang w:val="en-GB"/>
        </w:rPr>
        <w:t xml:space="preserve"> </w:t>
      </w:r>
      <w:r w:rsidRPr="00F248B2">
        <w:rPr>
          <w:b w:val="0"/>
          <w:sz w:val="20"/>
          <w:szCs w:val="20"/>
          <w:lang w:val="en-GB"/>
        </w:rPr>
        <w:t>multipliers and non-local based on actual values of ideal and real constraints settings. Edit distance</w:t>
      </w:r>
      <w:r>
        <w:rPr>
          <w:b w:val="0"/>
          <w:sz w:val="20"/>
          <w:szCs w:val="20"/>
          <w:lang w:val="en-GB"/>
        </w:rPr>
        <w:t xml:space="preserve"> </w:t>
      </w:r>
      <w:r w:rsidRPr="00F248B2">
        <w:rPr>
          <w:b w:val="0"/>
          <w:sz w:val="20"/>
          <w:szCs w:val="20"/>
          <w:lang w:val="en-GB"/>
        </w:rPr>
        <w:t>metric was employed to compare both approaches. It was shown that local analysis can be used in</w:t>
      </w:r>
      <w:r>
        <w:rPr>
          <w:b w:val="0"/>
          <w:sz w:val="20"/>
          <w:szCs w:val="20"/>
          <w:lang w:val="en-GB"/>
        </w:rPr>
        <w:t xml:space="preserve"> </w:t>
      </w:r>
      <w:r w:rsidRPr="00F248B2">
        <w:rPr>
          <w:b w:val="0"/>
          <w:sz w:val="20"/>
          <w:szCs w:val="20"/>
          <w:lang w:val="en-GB"/>
        </w:rPr>
        <w:t>industrial conditions as careful constraint tightening by the operators rarely significantly changes</w:t>
      </w:r>
      <w:r>
        <w:rPr>
          <w:b w:val="0"/>
          <w:sz w:val="20"/>
          <w:szCs w:val="20"/>
          <w:lang w:val="en-GB"/>
        </w:rPr>
        <w:t xml:space="preserve"> </w:t>
      </w:r>
      <w:r w:rsidRPr="00F248B2">
        <w:rPr>
          <w:b w:val="0"/>
          <w:sz w:val="20"/>
          <w:szCs w:val="20"/>
          <w:lang w:val="en-GB"/>
        </w:rPr>
        <w:t>the structure of the optimal solution. On the other hand, non-local analysis was not significantly</w:t>
      </w:r>
      <w:r>
        <w:rPr>
          <w:b w:val="0"/>
          <w:sz w:val="20"/>
          <w:szCs w:val="20"/>
          <w:lang w:val="en-GB"/>
        </w:rPr>
        <w:t xml:space="preserve"> </w:t>
      </w:r>
      <w:r w:rsidRPr="00F248B2">
        <w:rPr>
          <w:b w:val="0"/>
          <w:sz w:val="20"/>
          <w:szCs w:val="20"/>
          <w:lang w:val="en-GB"/>
        </w:rPr>
        <w:t>slower for the investigated case study plant</w:t>
      </w:r>
      <w:r>
        <w:rPr>
          <w:b w:val="0"/>
          <w:sz w:val="20"/>
          <w:szCs w:val="20"/>
          <w:lang w:val="en-GB"/>
        </w:rPr>
        <w:t>.</w:t>
      </w:r>
    </w:p>
    <w:p w14:paraId="42CA38E3" w14:textId="77777777" w:rsidR="001135A7" w:rsidRDefault="001135A7" w:rsidP="00E44DA8">
      <w:pPr>
        <w:pStyle w:val="Els-reference-head"/>
        <w:spacing w:before="0" w:after="0"/>
        <w:rPr>
          <w:b w:val="0"/>
          <w:sz w:val="20"/>
          <w:szCs w:val="20"/>
          <w:lang w:val="en-GB"/>
        </w:rPr>
      </w:pPr>
      <w:r w:rsidRPr="00F248B2">
        <w:rPr>
          <w:b w:val="0"/>
          <w:sz w:val="20"/>
          <w:szCs w:val="20"/>
          <w:lang w:val="en-GB"/>
        </w:rPr>
        <w:t>We provide a list of ordered recommendations to process engineers and operators for actual operation</w:t>
      </w:r>
      <w:r>
        <w:rPr>
          <w:b w:val="0"/>
          <w:sz w:val="20"/>
          <w:szCs w:val="20"/>
          <w:lang w:val="en-GB"/>
        </w:rPr>
        <w:t xml:space="preserve"> </w:t>
      </w:r>
      <w:r w:rsidRPr="00F248B2">
        <w:rPr>
          <w:b w:val="0"/>
          <w:sz w:val="20"/>
          <w:szCs w:val="20"/>
          <w:lang w:val="en-GB"/>
        </w:rPr>
        <w:t>or analysis on a longer time window. Open-source tools using Python programming language</w:t>
      </w:r>
      <w:r>
        <w:rPr>
          <w:b w:val="0"/>
          <w:sz w:val="20"/>
          <w:szCs w:val="20"/>
          <w:lang w:val="en-GB"/>
        </w:rPr>
        <w:t xml:space="preserve"> </w:t>
      </w:r>
      <w:r w:rsidRPr="00F248B2">
        <w:rPr>
          <w:b w:val="0"/>
          <w:sz w:val="20"/>
          <w:szCs w:val="20"/>
          <w:lang w:val="en-GB"/>
        </w:rPr>
        <w:t>are proposed and the implemented procedure is used at the refinery. Further profiling of the script</w:t>
      </w:r>
      <w:r>
        <w:rPr>
          <w:b w:val="0"/>
          <w:sz w:val="20"/>
          <w:szCs w:val="20"/>
          <w:lang w:val="en-GB"/>
        </w:rPr>
        <w:t xml:space="preserve"> </w:t>
      </w:r>
      <w:r w:rsidRPr="00F248B2">
        <w:rPr>
          <w:b w:val="0"/>
          <w:sz w:val="20"/>
          <w:szCs w:val="20"/>
          <w:lang w:val="en-GB"/>
        </w:rPr>
        <w:t>will be required to shorten the overall calculation time and to make it possible to analyse longer</w:t>
      </w:r>
      <w:r>
        <w:rPr>
          <w:b w:val="0"/>
          <w:sz w:val="20"/>
          <w:szCs w:val="20"/>
          <w:lang w:val="en-GB"/>
        </w:rPr>
        <w:t xml:space="preserve"> </w:t>
      </w:r>
      <w:r w:rsidRPr="00F248B2">
        <w:rPr>
          <w:b w:val="0"/>
          <w:sz w:val="20"/>
          <w:szCs w:val="20"/>
          <w:lang w:val="en-GB"/>
        </w:rPr>
        <w:t>time intervals of operation.</w:t>
      </w:r>
    </w:p>
    <w:p w14:paraId="62F52631" w14:textId="77777777" w:rsidR="001135A7" w:rsidRPr="005368C1" w:rsidRDefault="001135A7" w:rsidP="001135A7">
      <w:pPr>
        <w:pStyle w:val="Els-reference-head"/>
        <w:rPr>
          <w:lang w:val="en-GB"/>
        </w:rPr>
      </w:pPr>
      <w:r w:rsidRPr="005368C1">
        <w:rPr>
          <w:lang w:val="en-GB"/>
        </w:rPr>
        <w:t>References</w:t>
      </w:r>
    </w:p>
    <w:p w14:paraId="71C71BCF" w14:textId="1CFD6642" w:rsidR="001135A7" w:rsidRPr="004418E9" w:rsidRDefault="00266F5F" w:rsidP="001135A7">
      <w:pPr>
        <w:pStyle w:val="Els-referenceno-number"/>
        <w:ind w:left="0" w:firstLine="0"/>
        <w:rPr>
          <w:sz w:val="16"/>
          <w:szCs w:val="18"/>
          <w:lang w:val="en-US"/>
        </w:rPr>
      </w:pPr>
      <w:r w:rsidRPr="004418E9">
        <w:rPr>
          <w:sz w:val="16"/>
          <w:szCs w:val="18"/>
        </w:rPr>
        <w:t xml:space="preserve">N. </w:t>
      </w:r>
      <w:r w:rsidR="001135A7" w:rsidRPr="004418E9">
        <w:rPr>
          <w:sz w:val="16"/>
          <w:szCs w:val="18"/>
        </w:rPr>
        <w:t>Agarwal,</w:t>
      </w:r>
      <w:r w:rsidRPr="004418E9">
        <w:rPr>
          <w:sz w:val="16"/>
          <w:szCs w:val="18"/>
        </w:rPr>
        <w:t xml:space="preserve"> B.</w:t>
      </w:r>
      <w:r w:rsidR="001135A7" w:rsidRPr="004418E9">
        <w:rPr>
          <w:sz w:val="16"/>
          <w:szCs w:val="18"/>
        </w:rPr>
        <w:t xml:space="preserve"> Huang, </w:t>
      </w:r>
      <w:r w:rsidRPr="004418E9">
        <w:rPr>
          <w:sz w:val="16"/>
          <w:szCs w:val="18"/>
        </w:rPr>
        <w:t xml:space="preserve">E. C. </w:t>
      </w:r>
      <w:r w:rsidR="001135A7" w:rsidRPr="004418E9">
        <w:rPr>
          <w:sz w:val="16"/>
          <w:szCs w:val="18"/>
        </w:rPr>
        <w:t>Tamayo, 2007</w:t>
      </w:r>
      <w:r w:rsidRPr="004418E9">
        <w:rPr>
          <w:sz w:val="16"/>
          <w:szCs w:val="18"/>
        </w:rPr>
        <w:t>,</w:t>
      </w:r>
      <w:r w:rsidR="001135A7" w:rsidRPr="004418E9">
        <w:rPr>
          <w:sz w:val="16"/>
          <w:szCs w:val="18"/>
        </w:rPr>
        <w:t xml:space="preserve"> </w:t>
      </w:r>
      <w:r w:rsidR="001135A7" w:rsidRPr="004418E9">
        <w:rPr>
          <w:sz w:val="16"/>
          <w:szCs w:val="18"/>
          <w:lang w:val="en-US"/>
        </w:rPr>
        <w:t>Assessing model prediction control (MPC) performance. 1. probabilistic approach for constraint analysis</w:t>
      </w:r>
      <w:r w:rsidRPr="004418E9">
        <w:rPr>
          <w:sz w:val="16"/>
          <w:szCs w:val="18"/>
          <w:lang w:val="en-US"/>
        </w:rPr>
        <w:t>,</w:t>
      </w:r>
      <w:r w:rsidR="001135A7" w:rsidRPr="004418E9">
        <w:rPr>
          <w:sz w:val="16"/>
          <w:szCs w:val="18"/>
          <w:lang w:val="en-US"/>
        </w:rPr>
        <w:t xml:space="preserve"> Industrial &amp; Engineering Chemistry Research 46</w:t>
      </w:r>
      <w:r w:rsidR="00454D3C" w:rsidRPr="004418E9">
        <w:rPr>
          <w:sz w:val="16"/>
          <w:szCs w:val="18"/>
          <w:lang w:val="en-US"/>
        </w:rPr>
        <w:t>, 24</w:t>
      </w:r>
      <w:r w:rsidR="001135A7" w:rsidRPr="004418E9">
        <w:rPr>
          <w:sz w:val="16"/>
          <w:szCs w:val="18"/>
          <w:lang w:val="en-US"/>
        </w:rPr>
        <w:t>, 8101–8111</w:t>
      </w:r>
    </w:p>
    <w:p w14:paraId="7E82D79F" w14:textId="29236C27" w:rsidR="001135A7" w:rsidRPr="004418E9" w:rsidRDefault="006E2485" w:rsidP="001135A7">
      <w:pPr>
        <w:pStyle w:val="Els-referenceno-number"/>
        <w:rPr>
          <w:sz w:val="16"/>
          <w:szCs w:val="18"/>
          <w:lang w:val="en-US"/>
        </w:rPr>
      </w:pPr>
      <w:r w:rsidRPr="004418E9">
        <w:rPr>
          <w:sz w:val="16"/>
          <w:szCs w:val="18"/>
          <w:lang w:val="en-US"/>
        </w:rPr>
        <w:t xml:space="preserve">S. K. </w:t>
      </w:r>
      <w:r w:rsidR="001135A7" w:rsidRPr="004418E9">
        <w:rPr>
          <w:sz w:val="16"/>
          <w:szCs w:val="18"/>
          <w:lang w:val="en-US"/>
        </w:rPr>
        <w:t>Arumugasamy,</w:t>
      </w:r>
      <w:r w:rsidRPr="004418E9">
        <w:rPr>
          <w:sz w:val="16"/>
          <w:szCs w:val="18"/>
          <w:lang w:val="en-US"/>
        </w:rPr>
        <w:t xml:space="preserve"> Z.</w:t>
      </w:r>
      <w:r w:rsidR="001135A7" w:rsidRPr="004418E9">
        <w:rPr>
          <w:sz w:val="16"/>
          <w:szCs w:val="18"/>
          <w:lang w:val="en-US"/>
        </w:rPr>
        <w:t xml:space="preserve"> Ahmad, 2012</w:t>
      </w:r>
      <w:r w:rsidRPr="004418E9">
        <w:rPr>
          <w:sz w:val="16"/>
          <w:szCs w:val="18"/>
          <w:lang w:val="en-US"/>
        </w:rPr>
        <w:t>,</w:t>
      </w:r>
      <w:r w:rsidR="001135A7" w:rsidRPr="004418E9">
        <w:rPr>
          <w:sz w:val="16"/>
          <w:szCs w:val="18"/>
          <w:lang w:val="en-US"/>
        </w:rPr>
        <w:t xml:space="preserve"> Model predictive control (MPC) and its current issues in chemical engineering</w:t>
      </w:r>
      <w:r w:rsidR="00F34802" w:rsidRPr="004418E9">
        <w:rPr>
          <w:sz w:val="16"/>
          <w:szCs w:val="18"/>
          <w:lang w:val="en-US"/>
        </w:rPr>
        <w:t>,</w:t>
      </w:r>
      <w:r w:rsidR="001135A7" w:rsidRPr="004418E9">
        <w:rPr>
          <w:sz w:val="16"/>
          <w:szCs w:val="18"/>
          <w:lang w:val="en-US"/>
        </w:rPr>
        <w:t xml:space="preserve"> Chemical Engineering Communications 199</w:t>
      </w:r>
      <w:r w:rsidR="00F34802" w:rsidRPr="004418E9">
        <w:rPr>
          <w:sz w:val="16"/>
          <w:szCs w:val="18"/>
          <w:lang w:val="en-US"/>
        </w:rPr>
        <w:t>,</w:t>
      </w:r>
      <w:r w:rsidR="001135A7" w:rsidRPr="004418E9">
        <w:rPr>
          <w:sz w:val="16"/>
          <w:szCs w:val="18"/>
          <w:lang w:val="en-US"/>
        </w:rPr>
        <w:t xml:space="preserve"> </w:t>
      </w:r>
      <w:r w:rsidR="00F34802" w:rsidRPr="004418E9">
        <w:rPr>
          <w:sz w:val="16"/>
          <w:szCs w:val="18"/>
          <w:lang w:val="en-US"/>
        </w:rPr>
        <w:t>4</w:t>
      </w:r>
      <w:r w:rsidR="001135A7" w:rsidRPr="004418E9">
        <w:rPr>
          <w:sz w:val="16"/>
          <w:szCs w:val="18"/>
          <w:lang w:val="en-US"/>
        </w:rPr>
        <w:t>, 472–511</w:t>
      </w:r>
    </w:p>
    <w:p w14:paraId="7C96DFAD" w14:textId="2E8343D6" w:rsidR="001135A7" w:rsidRPr="004418E9" w:rsidRDefault="00F34802" w:rsidP="001135A7">
      <w:pPr>
        <w:pStyle w:val="Els-referenceno-number"/>
        <w:rPr>
          <w:sz w:val="16"/>
          <w:szCs w:val="18"/>
          <w:lang w:val="en-US"/>
        </w:rPr>
      </w:pPr>
      <w:r w:rsidRPr="004418E9">
        <w:rPr>
          <w:sz w:val="16"/>
          <w:szCs w:val="18"/>
          <w:lang w:val="en-US"/>
        </w:rPr>
        <w:t xml:space="preserve">D. P. </w:t>
      </w:r>
      <w:r w:rsidR="001135A7" w:rsidRPr="004418E9">
        <w:rPr>
          <w:sz w:val="16"/>
          <w:szCs w:val="18"/>
          <w:lang w:val="en-US"/>
        </w:rPr>
        <w:t>Bertsekas, 2009</w:t>
      </w:r>
      <w:r w:rsidRPr="004418E9">
        <w:rPr>
          <w:sz w:val="16"/>
          <w:szCs w:val="18"/>
          <w:lang w:val="en-US"/>
        </w:rPr>
        <w:t>,</w:t>
      </w:r>
      <w:r w:rsidR="001135A7" w:rsidRPr="004418E9">
        <w:rPr>
          <w:sz w:val="16"/>
          <w:szCs w:val="18"/>
          <w:lang w:val="en-US"/>
        </w:rPr>
        <w:t xml:space="preserve"> Convex Optimization Theory</w:t>
      </w:r>
      <w:r w:rsidRPr="004418E9">
        <w:rPr>
          <w:sz w:val="16"/>
          <w:szCs w:val="18"/>
          <w:lang w:val="en-US"/>
        </w:rPr>
        <w:t>,</w:t>
      </w:r>
      <w:r w:rsidR="001135A7" w:rsidRPr="004418E9">
        <w:rPr>
          <w:sz w:val="16"/>
          <w:szCs w:val="18"/>
          <w:lang w:val="en-US"/>
        </w:rPr>
        <w:t xml:space="preserve"> Athena Scientific</w:t>
      </w:r>
    </w:p>
    <w:p w14:paraId="430FE5DC" w14:textId="36FA8A40" w:rsidR="001135A7" w:rsidRPr="004418E9" w:rsidRDefault="00D51429" w:rsidP="001135A7">
      <w:pPr>
        <w:pStyle w:val="Els-referenceno-number"/>
        <w:rPr>
          <w:sz w:val="16"/>
          <w:szCs w:val="18"/>
          <w:lang w:val="en-US"/>
        </w:rPr>
      </w:pPr>
      <w:r w:rsidRPr="004418E9">
        <w:rPr>
          <w:sz w:val="16"/>
          <w:szCs w:val="18"/>
          <w:lang w:val="en-US"/>
        </w:rPr>
        <w:t xml:space="preserve">V. </w:t>
      </w:r>
      <w:r w:rsidR="001135A7" w:rsidRPr="004418E9">
        <w:rPr>
          <w:sz w:val="16"/>
          <w:szCs w:val="18"/>
          <w:lang w:val="en-US"/>
        </w:rPr>
        <w:t>Botelho</w:t>
      </w:r>
      <w:r w:rsidRPr="004418E9">
        <w:rPr>
          <w:sz w:val="16"/>
          <w:szCs w:val="18"/>
          <w:lang w:val="en-US"/>
        </w:rPr>
        <w:t>, J. O.</w:t>
      </w:r>
      <w:r w:rsidR="001135A7" w:rsidRPr="004418E9">
        <w:rPr>
          <w:sz w:val="16"/>
          <w:szCs w:val="18"/>
          <w:lang w:val="en-US"/>
        </w:rPr>
        <w:t xml:space="preserve"> Trierweiler,</w:t>
      </w:r>
      <w:r w:rsidRPr="004418E9">
        <w:rPr>
          <w:sz w:val="16"/>
          <w:szCs w:val="18"/>
          <w:lang w:val="en-US"/>
        </w:rPr>
        <w:t xml:space="preserve"> M.</w:t>
      </w:r>
      <w:r w:rsidR="001135A7" w:rsidRPr="004418E9">
        <w:rPr>
          <w:sz w:val="16"/>
          <w:szCs w:val="18"/>
          <w:lang w:val="en-US"/>
        </w:rPr>
        <w:t xml:space="preserve"> Farenzena,</w:t>
      </w:r>
      <w:r w:rsidRPr="004418E9">
        <w:rPr>
          <w:sz w:val="16"/>
          <w:szCs w:val="18"/>
          <w:lang w:val="en-US"/>
        </w:rPr>
        <w:t xml:space="preserve"> R. </w:t>
      </w:r>
      <w:r w:rsidR="001135A7" w:rsidRPr="004418E9">
        <w:rPr>
          <w:sz w:val="16"/>
          <w:szCs w:val="18"/>
          <w:lang w:val="en-US"/>
        </w:rPr>
        <w:t>Duraiski, 2016</w:t>
      </w:r>
      <w:r w:rsidRPr="004418E9">
        <w:rPr>
          <w:sz w:val="16"/>
          <w:szCs w:val="18"/>
          <w:lang w:val="en-US"/>
        </w:rPr>
        <w:t>,</w:t>
      </w:r>
      <w:r w:rsidR="001135A7" w:rsidRPr="004418E9">
        <w:rPr>
          <w:sz w:val="16"/>
          <w:szCs w:val="18"/>
          <w:lang w:val="en-US"/>
        </w:rPr>
        <w:t xml:space="preserve"> Perspectives and challenges in performance assessment of model predictive control</w:t>
      </w:r>
      <w:r w:rsidRPr="004418E9">
        <w:rPr>
          <w:sz w:val="16"/>
          <w:szCs w:val="18"/>
          <w:lang w:val="en-US"/>
        </w:rPr>
        <w:t>,</w:t>
      </w:r>
      <w:r w:rsidR="001135A7" w:rsidRPr="004418E9">
        <w:rPr>
          <w:sz w:val="16"/>
          <w:szCs w:val="18"/>
          <w:lang w:val="en-US"/>
        </w:rPr>
        <w:t xml:space="preserve"> The Canadian Journal of Chemical Engineering 94</w:t>
      </w:r>
      <w:r w:rsidRPr="004418E9">
        <w:rPr>
          <w:sz w:val="16"/>
          <w:szCs w:val="18"/>
          <w:lang w:val="en-US"/>
        </w:rPr>
        <w:t>,</w:t>
      </w:r>
      <w:r w:rsidR="001135A7" w:rsidRPr="004418E9">
        <w:rPr>
          <w:sz w:val="16"/>
          <w:szCs w:val="18"/>
          <w:lang w:val="en-US"/>
        </w:rPr>
        <w:t xml:space="preserve"> </w:t>
      </w:r>
      <w:r w:rsidRPr="004418E9">
        <w:rPr>
          <w:sz w:val="16"/>
          <w:szCs w:val="18"/>
          <w:lang w:val="en-US"/>
        </w:rPr>
        <w:t>7</w:t>
      </w:r>
      <w:r w:rsidR="001135A7" w:rsidRPr="004418E9">
        <w:rPr>
          <w:sz w:val="16"/>
          <w:szCs w:val="18"/>
          <w:lang w:val="en-US"/>
        </w:rPr>
        <w:t>, 1225–1241</w:t>
      </w:r>
    </w:p>
    <w:p w14:paraId="53F2060F" w14:textId="36B248DE" w:rsidR="001135A7" w:rsidRPr="004418E9" w:rsidRDefault="00F2661B" w:rsidP="001135A7">
      <w:pPr>
        <w:pStyle w:val="Els-referenceno-number"/>
        <w:rPr>
          <w:sz w:val="16"/>
          <w:szCs w:val="18"/>
          <w:lang w:val="en-US"/>
        </w:rPr>
      </w:pPr>
      <w:r w:rsidRPr="004418E9">
        <w:rPr>
          <w:sz w:val="16"/>
          <w:szCs w:val="18"/>
          <w:lang w:val="en-US"/>
        </w:rPr>
        <w:t xml:space="preserve">S. </w:t>
      </w:r>
      <w:r w:rsidR="001135A7" w:rsidRPr="004418E9">
        <w:rPr>
          <w:sz w:val="16"/>
          <w:szCs w:val="18"/>
          <w:lang w:val="en-US"/>
        </w:rPr>
        <w:t>Boy</w:t>
      </w:r>
      <w:r w:rsidRPr="004418E9">
        <w:rPr>
          <w:sz w:val="16"/>
          <w:szCs w:val="18"/>
          <w:lang w:val="en-US"/>
        </w:rPr>
        <w:t>d</w:t>
      </w:r>
      <w:r w:rsidR="001135A7" w:rsidRPr="004418E9">
        <w:rPr>
          <w:sz w:val="16"/>
          <w:szCs w:val="18"/>
          <w:lang w:val="en-US"/>
        </w:rPr>
        <w:t xml:space="preserve">, </w:t>
      </w:r>
      <w:r w:rsidRPr="004418E9">
        <w:rPr>
          <w:sz w:val="16"/>
          <w:szCs w:val="18"/>
          <w:lang w:val="en-US"/>
        </w:rPr>
        <w:t xml:space="preserve">L. </w:t>
      </w:r>
      <w:r w:rsidR="001135A7" w:rsidRPr="004418E9">
        <w:rPr>
          <w:sz w:val="16"/>
          <w:szCs w:val="18"/>
          <w:lang w:val="en-US"/>
        </w:rPr>
        <w:t>Vandenberghe, 2004</w:t>
      </w:r>
      <w:r w:rsidRPr="004418E9">
        <w:rPr>
          <w:sz w:val="16"/>
          <w:szCs w:val="18"/>
          <w:lang w:val="en-US"/>
        </w:rPr>
        <w:t>,</w:t>
      </w:r>
      <w:r w:rsidR="001135A7" w:rsidRPr="004418E9">
        <w:rPr>
          <w:sz w:val="16"/>
          <w:szCs w:val="18"/>
          <w:lang w:val="en-US"/>
        </w:rPr>
        <w:t xml:space="preserve"> Convex Optimization</w:t>
      </w:r>
      <w:r w:rsidRPr="004418E9">
        <w:rPr>
          <w:sz w:val="16"/>
          <w:szCs w:val="18"/>
          <w:lang w:val="en-US"/>
        </w:rPr>
        <w:t>,</w:t>
      </w:r>
      <w:r w:rsidR="001135A7" w:rsidRPr="004418E9">
        <w:rPr>
          <w:sz w:val="16"/>
          <w:szCs w:val="18"/>
          <w:lang w:val="en-US"/>
        </w:rPr>
        <w:t xml:space="preserve"> Cambridge University Press</w:t>
      </w:r>
    </w:p>
    <w:p w14:paraId="06DF3ED3" w14:textId="11607013" w:rsidR="001135A7" w:rsidRPr="004418E9" w:rsidRDefault="000E7092" w:rsidP="001135A7">
      <w:pPr>
        <w:pStyle w:val="Els-referenceno-number"/>
        <w:rPr>
          <w:sz w:val="16"/>
          <w:szCs w:val="18"/>
          <w:lang w:val="en-US"/>
        </w:rPr>
      </w:pPr>
      <w:r w:rsidRPr="004418E9">
        <w:rPr>
          <w:sz w:val="16"/>
          <w:szCs w:val="18"/>
          <w:lang w:val="en-US"/>
        </w:rPr>
        <w:t xml:space="preserve">S. </w:t>
      </w:r>
      <w:r w:rsidR="001135A7" w:rsidRPr="004418E9">
        <w:rPr>
          <w:sz w:val="16"/>
          <w:szCs w:val="18"/>
          <w:lang w:val="en-US"/>
        </w:rPr>
        <w:t xml:space="preserve">Diamond, </w:t>
      </w:r>
      <w:r w:rsidRPr="004418E9">
        <w:rPr>
          <w:sz w:val="16"/>
          <w:szCs w:val="18"/>
          <w:lang w:val="en-US"/>
        </w:rPr>
        <w:t xml:space="preserve">S. </w:t>
      </w:r>
      <w:r w:rsidR="001135A7" w:rsidRPr="004418E9">
        <w:rPr>
          <w:sz w:val="16"/>
          <w:szCs w:val="18"/>
          <w:lang w:val="en-US"/>
        </w:rPr>
        <w:t>Boyd, 2016</w:t>
      </w:r>
      <w:r w:rsidRPr="004418E9">
        <w:rPr>
          <w:sz w:val="16"/>
          <w:szCs w:val="18"/>
          <w:lang w:val="en-US"/>
        </w:rPr>
        <w:t>,</w:t>
      </w:r>
      <w:r w:rsidR="001135A7" w:rsidRPr="004418E9">
        <w:rPr>
          <w:sz w:val="16"/>
          <w:szCs w:val="18"/>
          <w:lang w:val="en-US"/>
        </w:rPr>
        <w:t xml:space="preserve"> CVXPY: A Python-embedded modeling language for convex optimization</w:t>
      </w:r>
      <w:r w:rsidRPr="004418E9">
        <w:rPr>
          <w:sz w:val="16"/>
          <w:szCs w:val="18"/>
          <w:lang w:val="en-US"/>
        </w:rPr>
        <w:t>,</w:t>
      </w:r>
      <w:r w:rsidR="001135A7" w:rsidRPr="004418E9">
        <w:rPr>
          <w:sz w:val="16"/>
          <w:szCs w:val="18"/>
          <w:lang w:val="en-US"/>
        </w:rPr>
        <w:t xml:space="preserve"> Journal of Machine Learning Research 17</w:t>
      </w:r>
      <w:r w:rsidRPr="004418E9">
        <w:rPr>
          <w:sz w:val="16"/>
          <w:szCs w:val="18"/>
          <w:lang w:val="en-US"/>
        </w:rPr>
        <w:t>,</w:t>
      </w:r>
      <w:r w:rsidR="001135A7" w:rsidRPr="004418E9">
        <w:rPr>
          <w:sz w:val="16"/>
          <w:szCs w:val="18"/>
          <w:lang w:val="en-US"/>
        </w:rPr>
        <w:t xml:space="preserve"> </w:t>
      </w:r>
      <w:r w:rsidRPr="004418E9">
        <w:rPr>
          <w:sz w:val="16"/>
          <w:szCs w:val="18"/>
          <w:lang w:val="en-US"/>
        </w:rPr>
        <w:t>83</w:t>
      </w:r>
      <w:r w:rsidR="001135A7" w:rsidRPr="004418E9">
        <w:rPr>
          <w:sz w:val="16"/>
          <w:szCs w:val="18"/>
          <w:lang w:val="en-US"/>
        </w:rPr>
        <w:t>, 1–5</w:t>
      </w:r>
    </w:p>
    <w:p w14:paraId="3D79E22B" w14:textId="0455FF42" w:rsidR="001135A7" w:rsidRPr="004418E9" w:rsidRDefault="008801A0" w:rsidP="001135A7">
      <w:pPr>
        <w:pStyle w:val="Els-referenceno-number"/>
        <w:rPr>
          <w:sz w:val="16"/>
          <w:szCs w:val="18"/>
          <w:lang w:val="en-US"/>
        </w:rPr>
      </w:pPr>
      <w:r w:rsidRPr="004418E9">
        <w:rPr>
          <w:sz w:val="16"/>
          <w:szCs w:val="18"/>
          <w:lang w:val="en-US"/>
        </w:rPr>
        <w:t xml:space="preserve">S. </w:t>
      </w:r>
      <w:r w:rsidR="001135A7" w:rsidRPr="004418E9">
        <w:rPr>
          <w:sz w:val="16"/>
          <w:szCs w:val="18"/>
          <w:lang w:val="en-US"/>
        </w:rPr>
        <w:t xml:space="preserve">Elnawawi, </w:t>
      </w:r>
      <w:r w:rsidRPr="004418E9">
        <w:rPr>
          <w:sz w:val="16"/>
          <w:szCs w:val="18"/>
          <w:lang w:val="en-US"/>
        </w:rPr>
        <w:t xml:space="preserve">L. C. </w:t>
      </w:r>
      <w:r w:rsidR="001135A7" w:rsidRPr="004418E9">
        <w:rPr>
          <w:sz w:val="16"/>
          <w:szCs w:val="18"/>
          <w:lang w:val="en-US"/>
        </w:rPr>
        <w:t>Siang,</w:t>
      </w:r>
      <w:r w:rsidRPr="004418E9">
        <w:rPr>
          <w:sz w:val="16"/>
          <w:szCs w:val="18"/>
          <w:lang w:val="en-US"/>
        </w:rPr>
        <w:t xml:space="preserve"> D. L.</w:t>
      </w:r>
      <w:r w:rsidR="001135A7" w:rsidRPr="004418E9">
        <w:rPr>
          <w:sz w:val="16"/>
          <w:szCs w:val="18"/>
          <w:lang w:val="en-US"/>
        </w:rPr>
        <w:t xml:space="preserve"> O’Connor,</w:t>
      </w:r>
      <w:r w:rsidRPr="004418E9">
        <w:rPr>
          <w:sz w:val="16"/>
          <w:szCs w:val="18"/>
          <w:lang w:val="en-US"/>
        </w:rPr>
        <w:t xml:space="preserve"> R. B.</w:t>
      </w:r>
      <w:r w:rsidR="001135A7" w:rsidRPr="004418E9">
        <w:rPr>
          <w:sz w:val="16"/>
          <w:szCs w:val="18"/>
          <w:lang w:val="en-US"/>
        </w:rPr>
        <w:t xml:space="preserve"> Gopaluni, 2022</w:t>
      </w:r>
      <w:r w:rsidRPr="004418E9">
        <w:rPr>
          <w:sz w:val="16"/>
          <w:szCs w:val="18"/>
          <w:lang w:val="en-US"/>
        </w:rPr>
        <w:t>,</w:t>
      </w:r>
      <w:r w:rsidR="001135A7" w:rsidRPr="004418E9">
        <w:rPr>
          <w:sz w:val="16"/>
          <w:szCs w:val="18"/>
          <w:lang w:val="en-US"/>
        </w:rPr>
        <w:t xml:space="preserve"> Interactive visualization for diagnosis of industrial model predictive controllers with steady-state optimizers</w:t>
      </w:r>
      <w:r w:rsidRPr="004418E9">
        <w:rPr>
          <w:sz w:val="16"/>
          <w:szCs w:val="18"/>
          <w:lang w:val="en-US"/>
        </w:rPr>
        <w:t>,</w:t>
      </w:r>
      <w:r w:rsidR="001135A7" w:rsidRPr="004418E9">
        <w:rPr>
          <w:sz w:val="16"/>
          <w:szCs w:val="18"/>
          <w:lang w:val="en-US"/>
        </w:rPr>
        <w:t xml:space="preserve"> Control Engineering Practice 121, 105056</w:t>
      </w:r>
    </w:p>
    <w:p w14:paraId="07E66A56" w14:textId="5540EC5E" w:rsidR="001135A7" w:rsidRPr="004418E9" w:rsidRDefault="00507A76" w:rsidP="001135A7">
      <w:pPr>
        <w:pStyle w:val="Els-referenceno-number"/>
        <w:rPr>
          <w:sz w:val="16"/>
          <w:szCs w:val="18"/>
          <w:lang w:val="en-US"/>
        </w:rPr>
      </w:pPr>
      <w:r w:rsidRPr="004418E9">
        <w:rPr>
          <w:sz w:val="16"/>
          <w:szCs w:val="18"/>
        </w:rPr>
        <w:t xml:space="preserve">M. G. </w:t>
      </w:r>
      <w:r w:rsidR="001135A7" w:rsidRPr="004418E9">
        <w:rPr>
          <w:sz w:val="16"/>
          <w:szCs w:val="18"/>
        </w:rPr>
        <w:t>Forbes,</w:t>
      </w:r>
      <w:r w:rsidRPr="004418E9">
        <w:rPr>
          <w:sz w:val="16"/>
          <w:szCs w:val="18"/>
        </w:rPr>
        <w:t xml:space="preserve"> R. S.</w:t>
      </w:r>
      <w:r w:rsidR="001135A7" w:rsidRPr="004418E9">
        <w:rPr>
          <w:sz w:val="16"/>
          <w:szCs w:val="18"/>
        </w:rPr>
        <w:t xml:space="preserve"> Patwardhan,</w:t>
      </w:r>
      <w:r w:rsidRPr="004418E9">
        <w:rPr>
          <w:sz w:val="16"/>
          <w:szCs w:val="18"/>
        </w:rPr>
        <w:t xml:space="preserve"> H.</w:t>
      </w:r>
      <w:r w:rsidR="001135A7" w:rsidRPr="004418E9">
        <w:rPr>
          <w:sz w:val="16"/>
          <w:szCs w:val="18"/>
        </w:rPr>
        <w:t xml:space="preserve"> Hamadah,</w:t>
      </w:r>
      <w:r w:rsidRPr="004418E9">
        <w:rPr>
          <w:sz w:val="16"/>
          <w:szCs w:val="18"/>
        </w:rPr>
        <w:t xml:space="preserve"> R. B.</w:t>
      </w:r>
      <w:r w:rsidR="001135A7" w:rsidRPr="004418E9">
        <w:rPr>
          <w:sz w:val="16"/>
          <w:szCs w:val="18"/>
        </w:rPr>
        <w:t xml:space="preserve"> Gopaluni, 2015</w:t>
      </w:r>
      <w:r w:rsidRPr="004418E9">
        <w:rPr>
          <w:sz w:val="16"/>
          <w:szCs w:val="18"/>
        </w:rPr>
        <w:t>,</w:t>
      </w:r>
      <w:r w:rsidR="001135A7" w:rsidRPr="004418E9">
        <w:rPr>
          <w:sz w:val="16"/>
          <w:szCs w:val="18"/>
        </w:rPr>
        <w:t xml:space="preserve"> </w:t>
      </w:r>
      <w:r w:rsidR="001135A7" w:rsidRPr="004418E9">
        <w:rPr>
          <w:sz w:val="16"/>
          <w:szCs w:val="18"/>
          <w:lang w:val="en-US"/>
        </w:rPr>
        <w:t>Model predictive control in industry: Challenges and opportunities</w:t>
      </w:r>
      <w:r w:rsidRPr="004418E9">
        <w:rPr>
          <w:sz w:val="16"/>
          <w:szCs w:val="18"/>
          <w:lang w:val="en-US"/>
        </w:rPr>
        <w:t>,</w:t>
      </w:r>
      <w:r w:rsidR="001135A7" w:rsidRPr="004418E9">
        <w:rPr>
          <w:sz w:val="16"/>
          <w:szCs w:val="18"/>
          <w:lang w:val="en-US"/>
        </w:rPr>
        <w:t xml:space="preserve"> IFAC-PapersOnLine 48</w:t>
      </w:r>
      <w:r w:rsidRPr="004418E9">
        <w:rPr>
          <w:sz w:val="16"/>
          <w:szCs w:val="18"/>
          <w:lang w:val="en-US"/>
        </w:rPr>
        <w:t>,</w:t>
      </w:r>
      <w:r w:rsidR="001135A7" w:rsidRPr="004418E9">
        <w:rPr>
          <w:sz w:val="16"/>
          <w:szCs w:val="18"/>
          <w:lang w:val="en-US"/>
        </w:rPr>
        <w:t xml:space="preserve"> </w:t>
      </w:r>
      <w:r w:rsidRPr="004418E9">
        <w:rPr>
          <w:sz w:val="16"/>
          <w:szCs w:val="18"/>
          <w:lang w:val="en-US"/>
        </w:rPr>
        <w:t>8</w:t>
      </w:r>
      <w:r w:rsidR="001135A7" w:rsidRPr="004418E9">
        <w:rPr>
          <w:sz w:val="16"/>
          <w:szCs w:val="18"/>
          <w:lang w:val="en-US"/>
        </w:rPr>
        <w:t>, 531–538</w:t>
      </w:r>
    </w:p>
    <w:p w14:paraId="2D8A0922" w14:textId="61711AC0" w:rsidR="001135A7" w:rsidRPr="004418E9" w:rsidRDefault="00A76CC9" w:rsidP="001135A7">
      <w:pPr>
        <w:pStyle w:val="Els-referenceno-number"/>
        <w:rPr>
          <w:sz w:val="16"/>
          <w:szCs w:val="18"/>
          <w:lang w:val="en-US"/>
        </w:rPr>
      </w:pPr>
      <w:r w:rsidRPr="004418E9">
        <w:rPr>
          <w:sz w:val="16"/>
          <w:szCs w:val="18"/>
        </w:rPr>
        <w:t xml:space="preserve">J. </w:t>
      </w:r>
      <w:r w:rsidR="001135A7" w:rsidRPr="004418E9">
        <w:rPr>
          <w:sz w:val="16"/>
          <w:szCs w:val="18"/>
        </w:rPr>
        <w:t>Godoy,</w:t>
      </w:r>
      <w:r w:rsidRPr="004418E9">
        <w:rPr>
          <w:sz w:val="16"/>
          <w:szCs w:val="18"/>
        </w:rPr>
        <w:t xml:space="preserve"> A.</w:t>
      </w:r>
      <w:r w:rsidR="001135A7" w:rsidRPr="004418E9">
        <w:rPr>
          <w:sz w:val="16"/>
          <w:szCs w:val="18"/>
        </w:rPr>
        <w:t xml:space="preserve"> Ferramosca, </w:t>
      </w:r>
      <w:r w:rsidRPr="004418E9">
        <w:rPr>
          <w:sz w:val="16"/>
          <w:szCs w:val="18"/>
        </w:rPr>
        <w:t>A.</w:t>
      </w:r>
      <w:r w:rsidR="001135A7" w:rsidRPr="004418E9">
        <w:rPr>
          <w:sz w:val="16"/>
          <w:szCs w:val="18"/>
        </w:rPr>
        <w:t xml:space="preserve"> González, 2017</w:t>
      </w:r>
      <w:r w:rsidRPr="004418E9">
        <w:rPr>
          <w:sz w:val="16"/>
          <w:szCs w:val="18"/>
        </w:rPr>
        <w:t>,</w:t>
      </w:r>
      <w:r w:rsidR="001135A7" w:rsidRPr="004418E9">
        <w:rPr>
          <w:sz w:val="16"/>
          <w:szCs w:val="18"/>
        </w:rPr>
        <w:t xml:space="preserve"> </w:t>
      </w:r>
      <w:r w:rsidR="001135A7" w:rsidRPr="004418E9">
        <w:rPr>
          <w:sz w:val="16"/>
          <w:szCs w:val="18"/>
          <w:lang w:val="en-US"/>
        </w:rPr>
        <w:t>Economic performance assessment and monitoring in LP-DMC type controller applications</w:t>
      </w:r>
      <w:r w:rsidRPr="004418E9">
        <w:rPr>
          <w:sz w:val="16"/>
          <w:szCs w:val="18"/>
          <w:lang w:val="en-US"/>
        </w:rPr>
        <w:t>,</w:t>
      </w:r>
      <w:r w:rsidR="001135A7" w:rsidRPr="004418E9">
        <w:rPr>
          <w:sz w:val="16"/>
          <w:szCs w:val="18"/>
          <w:lang w:val="en-US"/>
        </w:rPr>
        <w:t xml:space="preserve"> Journal of Process Control 57, 26–37</w:t>
      </w:r>
    </w:p>
    <w:p w14:paraId="238D376B" w14:textId="0F414C1A" w:rsidR="001135A7" w:rsidRPr="004418E9" w:rsidRDefault="00E03837" w:rsidP="001135A7">
      <w:pPr>
        <w:pStyle w:val="Els-referenceno-number"/>
        <w:rPr>
          <w:sz w:val="16"/>
          <w:szCs w:val="18"/>
          <w:lang w:val="en-US"/>
        </w:rPr>
      </w:pPr>
      <w:r w:rsidRPr="004418E9">
        <w:rPr>
          <w:sz w:val="16"/>
          <w:szCs w:val="18"/>
        </w:rPr>
        <w:t xml:space="preserve">S. </w:t>
      </w:r>
      <w:r w:rsidR="001135A7" w:rsidRPr="004418E9">
        <w:rPr>
          <w:sz w:val="16"/>
          <w:szCs w:val="18"/>
        </w:rPr>
        <w:t xml:space="preserve">Guerlain, </w:t>
      </w:r>
      <w:r w:rsidRPr="004418E9">
        <w:rPr>
          <w:sz w:val="16"/>
          <w:szCs w:val="18"/>
        </w:rPr>
        <w:t xml:space="preserve">G. A. </w:t>
      </w:r>
      <w:r w:rsidR="001135A7" w:rsidRPr="004418E9">
        <w:rPr>
          <w:sz w:val="16"/>
          <w:szCs w:val="18"/>
        </w:rPr>
        <w:t xml:space="preserve">Jamieson, </w:t>
      </w:r>
      <w:r w:rsidRPr="004418E9">
        <w:rPr>
          <w:sz w:val="16"/>
          <w:szCs w:val="18"/>
        </w:rPr>
        <w:t xml:space="preserve">P. </w:t>
      </w:r>
      <w:r w:rsidR="001135A7" w:rsidRPr="004418E9">
        <w:rPr>
          <w:sz w:val="16"/>
          <w:szCs w:val="18"/>
        </w:rPr>
        <w:t xml:space="preserve">Bullemer, </w:t>
      </w:r>
      <w:r w:rsidRPr="004418E9">
        <w:rPr>
          <w:sz w:val="16"/>
          <w:szCs w:val="18"/>
        </w:rPr>
        <w:t xml:space="preserve">R. </w:t>
      </w:r>
      <w:r w:rsidR="001135A7" w:rsidRPr="004418E9">
        <w:rPr>
          <w:sz w:val="16"/>
          <w:szCs w:val="18"/>
        </w:rPr>
        <w:t>Blair, 2002</w:t>
      </w:r>
      <w:r w:rsidRPr="004418E9">
        <w:rPr>
          <w:sz w:val="16"/>
          <w:szCs w:val="18"/>
        </w:rPr>
        <w:t>,</w:t>
      </w:r>
      <w:r w:rsidR="001135A7" w:rsidRPr="004418E9">
        <w:rPr>
          <w:sz w:val="16"/>
          <w:szCs w:val="18"/>
        </w:rPr>
        <w:t xml:space="preserve"> </w:t>
      </w:r>
      <w:r w:rsidR="001135A7" w:rsidRPr="004418E9">
        <w:rPr>
          <w:sz w:val="16"/>
          <w:szCs w:val="18"/>
          <w:lang w:val="en-US"/>
        </w:rPr>
        <w:t>The MPC elucidator: a case study in the design for human-automation interaction</w:t>
      </w:r>
      <w:r w:rsidRPr="004418E9">
        <w:rPr>
          <w:sz w:val="16"/>
          <w:szCs w:val="18"/>
          <w:lang w:val="en-US"/>
        </w:rPr>
        <w:t>,</w:t>
      </w:r>
      <w:r w:rsidR="001135A7" w:rsidRPr="004418E9">
        <w:rPr>
          <w:sz w:val="16"/>
          <w:szCs w:val="18"/>
          <w:lang w:val="en-US"/>
        </w:rPr>
        <w:t xml:space="preserve"> IEEE Transactions on Systems, Man, and Cybernetics – Part A: Systems and Humans 32</w:t>
      </w:r>
      <w:r w:rsidRPr="004418E9">
        <w:rPr>
          <w:sz w:val="16"/>
          <w:szCs w:val="18"/>
          <w:lang w:val="en-US"/>
        </w:rPr>
        <w:t>,</w:t>
      </w:r>
      <w:r w:rsidR="001135A7" w:rsidRPr="004418E9">
        <w:rPr>
          <w:sz w:val="16"/>
          <w:szCs w:val="18"/>
          <w:lang w:val="en-US"/>
        </w:rPr>
        <w:t xml:space="preserve"> </w:t>
      </w:r>
      <w:r w:rsidRPr="004418E9">
        <w:rPr>
          <w:sz w:val="16"/>
          <w:szCs w:val="18"/>
          <w:lang w:val="en-US"/>
        </w:rPr>
        <w:t>1</w:t>
      </w:r>
      <w:r w:rsidR="001135A7" w:rsidRPr="004418E9">
        <w:rPr>
          <w:sz w:val="16"/>
          <w:szCs w:val="18"/>
          <w:lang w:val="en-US"/>
        </w:rPr>
        <w:t>, 25–40</w:t>
      </w:r>
    </w:p>
    <w:p w14:paraId="7B93C415" w14:textId="4B329359" w:rsidR="001135A7" w:rsidRPr="004418E9" w:rsidRDefault="001135A7" w:rsidP="001135A7">
      <w:pPr>
        <w:pStyle w:val="Els-referenceno-number"/>
        <w:rPr>
          <w:sz w:val="16"/>
          <w:szCs w:val="18"/>
          <w:lang w:val="en-US"/>
        </w:rPr>
      </w:pPr>
      <w:r w:rsidRPr="004418E9">
        <w:rPr>
          <w:sz w:val="16"/>
          <w:szCs w:val="18"/>
          <w:lang w:val="en-US"/>
        </w:rPr>
        <w:t>Honeywell, 2012</w:t>
      </w:r>
      <w:r w:rsidR="002E730A" w:rsidRPr="004418E9">
        <w:rPr>
          <w:sz w:val="16"/>
          <w:szCs w:val="18"/>
          <w:lang w:val="en-US"/>
        </w:rPr>
        <w:t>,</w:t>
      </w:r>
      <w:r w:rsidRPr="004418E9">
        <w:rPr>
          <w:sz w:val="16"/>
          <w:szCs w:val="18"/>
          <w:lang w:val="en-US"/>
        </w:rPr>
        <w:t xml:space="preserve"> Advanced Process Control – Profit Controller</w:t>
      </w:r>
      <w:r w:rsidR="002E730A" w:rsidRPr="004418E9">
        <w:rPr>
          <w:sz w:val="16"/>
          <w:szCs w:val="18"/>
          <w:lang w:val="en-US"/>
        </w:rPr>
        <w:t>,</w:t>
      </w:r>
      <w:r w:rsidRPr="004418E9">
        <w:rPr>
          <w:sz w:val="16"/>
          <w:szCs w:val="18"/>
          <w:lang w:val="en-US"/>
        </w:rPr>
        <w:t xml:space="preserve"> Concepts Reference Guide</w:t>
      </w:r>
      <w:r w:rsidR="002E730A" w:rsidRPr="004418E9">
        <w:rPr>
          <w:sz w:val="16"/>
          <w:szCs w:val="18"/>
          <w:lang w:val="en-US"/>
        </w:rPr>
        <w:t>,</w:t>
      </w:r>
      <w:r w:rsidRPr="004418E9">
        <w:rPr>
          <w:sz w:val="16"/>
          <w:szCs w:val="18"/>
          <w:lang w:val="en-US"/>
        </w:rPr>
        <w:t xml:space="preserve"> Honeywell International Inc.</w:t>
      </w:r>
    </w:p>
    <w:p w14:paraId="6ED64D04" w14:textId="7BBB7300" w:rsidR="001135A7" w:rsidRPr="004418E9" w:rsidRDefault="00D52B52" w:rsidP="001135A7">
      <w:pPr>
        <w:pStyle w:val="Els-referenceno-number"/>
        <w:rPr>
          <w:sz w:val="16"/>
          <w:szCs w:val="18"/>
          <w:lang w:val="en-US"/>
        </w:rPr>
      </w:pPr>
      <w:r w:rsidRPr="004418E9">
        <w:rPr>
          <w:sz w:val="16"/>
          <w:szCs w:val="18"/>
          <w:lang w:val="en-US"/>
        </w:rPr>
        <w:t xml:space="preserve">J. H. </w:t>
      </w:r>
      <w:r w:rsidR="001135A7" w:rsidRPr="004418E9">
        <w:rPr>
          <w:sz w:val="16"/>
          <w:szCs w:val="18"/>
          <w:lang w:val="en-US"/>
        </w:rPr>
        <w:t>Lee, 2011</w:t>
      </w:r>
      <w:r w:rsidRPr="004418E9">
        <w:rPr>
          <w:sz w:val="16"/>
          <w:szCs w:val="18"/>
          <w:lang w:val="en-US"/>
        </w:rPr>
        <w:t>,</w:t>
      </w:r>
      <w:r w:rsidR="001135A7" w:rsidRPr="004418E9">
        <w:rPr>
          <w:sz w:val="16"/>
          <w:szCs w:val="18"/>
          <w:lang w:val="en-US"/>
        </w:rPr>
        <w:t xml:space="preserve"> Model predictive control: Review of the three decades of development</w:t>
      </w:r>
      <w:r w:rsidRPr="004418E9">
        <w:rPr>
          <w:sz w:val="16"/>
          <w:szCs w:val="18"/>
          <w:lang w:val="en-US"/>
        </w:rPr>
        <w:t>,</w:t>
      </w:r>
      <w:r w:rsidR="001135A7" w:rsidRPr="004418E9">
        <w:rPr>
          <w:sz w:val="16"/>
          <w:szCs w:val="18"/>
          <w:lang w:val="en-US"/>
        </w:rPr>
        <w:t xml:space="preserve"> International Journal of Control, Automation and Systems 9</w:t>
      </w:r>
      <w:r w:rsidRPr="004418E9">
        <w:rPr>
          <w:sz w:val="16"/>
          <w:szCs w:val="18"/>
          <w:lang w:val="en-US"/>
        </w:rPr>
        <w:t>,</w:t>
      </w:r>
      <w:r w:rsidR="001135A7" w:rsidRPr="004418E9">
        <w:rPr>
          <w:sz w:val="16"/>
          <w:szCs w:val="18"/>
          <w:lang w:val="en-US"/>
        </w:rPr>
        <w:t xml:space="preserve"> </w:t>
      </w:r>
      <w:r w:rsidRPr="004418E9">
        <w:rPr>
          <w:sz w:val="16"/>
          <w:szCs w:val="18"/>
          <w:lang w:val="en-US"/>
        </w:rPr>
        <w:t>3</w:t>
      </w:r>
      <w:r w:rsidR="001135A7" w:rsidRPr="004418E9">
        <w:rPr>
          <w:sz w:val="16"/>
          <w:szCs w:val="18"/>
          <w:lang w:val="en-US"/>
        </w:rPr>
        <w:t>, 415–424</w:t>
      </w:r>
    </w:p>
    <w:p w14:paraId="2E55882B" w14:textId="198607E2" w:rsidR="001135A7" w:rsidRPr="004418E9" w:rsidRDefault="0001542E" w:rsidP="001135A7">
      <w:pPr>
        <w:pStyle w:val="Els-referenceno-number"/>
        <w:rPr>
          <w:sz w:val="16"/>
          <w:szCs w:val="18"/>
          <w:lang w:val="en-US"/>
        </w:rPr>
      </w:pPr>
      <w:r w:rsidRPr="004418E9">
        <w:rPr>
          <w:sz w:val="16"/>
          <w:szCs w:val="18"/>
        </w:rPr>
        <w:t xml:space="preserve">V. I. </w:t>
      </w:r>
      <w:r w:rsidR="001135A7" w:rsidRPr="004418E9">
        <w:rPr>
          <w:sz w:val="16"/>
          <w:szCs w:val="18"/>
        </w:rPr>
        <w:t>Levenshtein, 1966</w:t>
      </w:r>
      <w:r w:rsidRPr="004418E9">
        <w:rPr>
          <w:sz w:val="16"/>
          <w:szCs w:val="18"/>
        </w:rPr>
        <w:t>,</w:t>
      </w:r>
      <w:r w:rsidR="001135A7" w:rsidRPr="004418E9">
        <w:rPr>
          <w:sz w:val="16"/>
          <w:szCs w:val="18"/>
        </w:rPr>
        <w:t xml:space="preserve"> </w:t>
      </w:r>
      <w:r w:rsidR="001135A7" w:rsidRPr="004418E9">
        <w:rPr>
          <w:sz w:val="16"/>
          <w:szCs w:val="18"/>
          <w:lang w:val="en-US"/>
        </w:rPr>
        <w:t>Binary codes capable of correcting deletions, insertions, and reversals</w:t>
      </w:r>
      <w:r w:rsidRPr="004418E9">
        <w:rPr>
          <w:sz w:val="16"/>
          <w:szCs w:val="18"/>
          <w:lang w:val="en-US"/>
        </w:rPr>
        <w:t>,</w:t>
      </w:r>
      <w:r w:rsidR="001135A7" w:rsidRPr="004418E9">
        <w:rPr>
          <w:sz w:val="16"/>
          <w:szCs w:val="18"/>
          <w:lang w:val="en-US"/>
        </w:rPr>
        <w:t xml:space="preserve"> Soviet Physics Doklady 10</w:t>
      </w:r>
      <w:r w:rsidRPr="004418E9">
        <w:rPr>
          <w:sz w:val="16"/>
          <w:szCs w:val="18"/>
          <w:lang w:val="en-US"/>
        </w:rPr>
        <w:t xml:space="preserve">, </w:t>
      </w:r>
      <w:r w:rsidR="001135A7" w:rsidRPr="004418E9">
        <w:rPr>
          <w:sz w:val="16"/>
          <w:szCs w:val="18"/>
          <w:lang w:val="en-US"/>
        </w:rPr>
        <w:t>8, 707–710</w:t>
      </w:r>
    </w:p>
    <w:p w14:paraId="22559AE3" w14:textId="4C8EE2FA" w:rsidR="001135A7" w:rsidRPr="004418E9" w:rsidRDefault="002069E0" w:rsidP="001135A7">
      <w:pPr>
        <w:pStyle w:val="Els-referenceno-number"/>
        <w:rPr>
          <w:sz w:val="16"/>
          <w:szCs w:val="18"/>
          <w:lang w:val="en-US"/>
        </w:rPr>
      </w:pPr>
      <w:r w:rsidRPr="004418E9">
        <w:rPr>
          <w:sz w:val="16"/>
          <w:szCs w:val="18"/>
          <w:lang w:val="en-US"/>
        </w:rPr>
        <w:t xml:space="preserve">T. J. </w:t>
      </w:r>
      <w:r w:rsidR="001135A7" w:rsidRPr="004418E9">
        <w:rPr>
          <w:sz w:val="16"/>
          <w:szCs w:val="18"/>
          <w:lang w:val="en-US"/>
        </w:rPr>
        <w:t xml:space="preserve">Peterson, </w:t>
      </w:r>
      <w:r w:rsidRPr="004418E9">
        <w:rPr>
          <w:sz w:val="16"/>
          <w:szCs w:val="18"/>
          <w:lang w:val="en-US"/>
        </w:rPr>
        <w:t xml:space="preserve">A. R. </w:t>
      </w:r>
      <w:r w:rsidR="001135A7" w:rsidRPr="004418E9">
        <w:rPr>
          <w:sz w:val="16"/>
          <w:szCs w:val="18"/>
          <w:lang w:val="en-US"/>
        </w:rPr>
        <w:t>Punuru</w:t>
      </w:r>
      <w:r w:rsidRPr="004418E9">
        <w:rPr>
          <w:sz w:val="16"/>
          <w:szCs w:val="18"/>
          <w:lang w:val="en-US"/>
        </w:rPr>
        <w:t xml:space="preserve">, K. F. </w:t>
      </w:r>
      <w:r w:rsidR="001135A7" w:rsidRPr="004418E9">
        <w:rPr>
          <w:sz w:val="16"/>
          <w:szCs w:val="18"/>
          <w:lang w:val="en-US"/>
        </w:rPr>
        <w:t>Emigholz</w:t>
      </w:r>
      <w:r w:rsidRPr="004418E9">
        <w:rPr>
          <w:sz w:val="16"/>
          <w:szCs w:val="18"/>
          <w:lang w:val="en-US"/>
        </w:rPr>
        <w:t xml:space="preserve">, R. K. </w:t>
      </w:r>
      <w:r w:rsidR="001135A7" w:rsidRPr="004418E9">
        <w:rPr>
          <w:sz w:val="16"/>
          <w:szCs w:val="18"/>
          <w:lang w:val="en-US"/>
        </w:rPr>
        <w:t>Wang,</w:t>
      </w:r>
      <w:r w:rsidRPr="004418E9">
        <w:rPr>
          <w:sz w:val="16"/>
          <w:szCs w:val="18"/>
          <w:lang w:val="en-US"/>
        </w:rPr>
        <w:t xml:space="preserve"> D.</w:t>
      </w:r>
      <w:r w:rsidR="001135A7" w:rsidRPr="004418E9">
        <w:rPr>
          <w:sz w:val="16"/>
          <w:szCs w:val="18"/>
          <w:lang w:val="en-US"/>
        </w:rPr>
        <w:t xml:space="preserve"> Barrett-Payton</w:t>
      </w:r>
      <w:r w:rsidRPr="004418E9">
        <w:rPr>
          <w:sz w:val="16"/>
          <w:szCs w:val="18"/>
          <w:lang w:val="en-US"/>
        </w:rPr>
        <w:t xml:space="preserve">, </w:t>
      </w:r>
      <w:r w:rsidR="001135A7" w:rsidRPr="004418E9">
        <w:rPr>
          <w:sz w:val="16"/>
          <w:szCs w:val="18"/>
          <w:lang w:val="en-US"/>
        </w:rPr>
        <w:t>2011</w:t>
      </w:r>
      <w:r w:rsidRPr="004418E9">
        <w:rPr>
          <w:sz w:val="16"/>
          <w:szCs w:val="18"/>
          <w:lang w:val="en-US"/>
        </w:rPr>
        <w:t>,</w:t>
      </w:r>
      <w:r w:rsidR="001135A7" w:rsidRPr="004418E9">
        <w:rPr>
          <w:sz w:val="16"/>
          <w:szCs w:val="18"/>
          <w:lang w:val="en-US"/>
        </w:rPr>
        <w:t xml:space="preserve"> Model predictive controller solution analysis process</w:t>
      </w:r>
      <w:r w:rsidRPr="004418E9">
        <w:rPr>
          <w:sz w:val="16"/>
          <w:szCs w:val="18"/>
          <w:lang w:val="en-US"/>
        </w:rPr>
        <w:t>,</w:t>
      </w:r>
      <w:r w:rsidR="001135A7" w:rsidRPr="004418E9">
        <w:rPr>
          <w:sz w:val="16"/>
          <w:szCs w:val="18"/>
          <w:lang w:val="en-US"/>
        </w:rPr>
        <w:t xml:space="preserve"> US Patent 7,949,417</w:t>
      </w:r>
    </w:p>
    <w:p w14:paraId="4923B1F5" w14:textId="09950380" w:rsidR="001135A7" w:rsidRPr="004418E9" w:rsidRDefault="00B13F77" w:rsidP="001135A7">
      <w:pPr>
        <w:pStyle w:val="Els-referenceno-number"/>
        <w:rPr>
          <w:sz w:val="16"/>
          <w:szCs w:val="18"/>
          <w:lang w:val="en-US"/>
        </w:rPr>
      </w:pPr>
      <w:r w:rsidRPr="004418E9">
        <w:rPr>
          <w:sz w:val="16"/>
          <w:szCs w:val="18"/>
          <w:lang w:val="en-US"/>
        </w:rPr>
        <w:t xml:space="preserve">S. J. </w:t>
      </w:r>
      <w:r w:rsidR="001135A7" w:rsidRPr="004418E9">
        <w:rPr>
          <w:sz w:val="16"/>
          <w:szCs w:val="18"/>
          <w:lang w:val="en-US"/>
        </w:rPr>
        <w:t xml:space="preserve">Qin, </w:t>
      </w:r>
      <w:r w:rsidRPr="004418E9">
        <w:rPr>
          <w:sz w:val="16"/>
          <w:szCs w:val="18"/>
          <w:lang w:val="en-US"/>
        </w:rPr>
        <w:t xml:space="preserve">T. A. </w:t>
      </w:r>
      <w:r w:rsidR="001135A7" w:rsidRPr="004418E9">
        <w:rPr>
          <w:sz w:val="16"/>
          <w:szCs w:val="18"/>
          <w:lang w:val="en-US"/>
        </w:rPr>
        <w:t>Badgwell</w:t>
      </w:r>
      <w:r w:rsidRPr="004418E9">
        <w:rPr>
          <w:sz w:val="16"/>
          <w:szCs w:val="18"/>
          <w:lang w:val="en-US"/>
        </w:rPr>
        <w:t xml:space="preserve">, </w:t>
      </w:r>
      <w:r w:rsidR="001135A7" w:rsidRPr="004418E9">
        <w:rPr>
          <w:sz w:val="16"/>
          <w:szCs w:val="18"/>
          <w:lang w:val="en-US"/>
        </w:rPr>
        <w:t>2003</w:t>
      </w:r>
      <w:r w:rsidRPr="004418E9">
        <w:rPr>
          <w:sz w:val="16"/>
          <w:szCs w:val="18"/>
          <w:lang w:val="en-US"/>
        </w:rPr>
        <w:t>,</w:t>
      </w:r>
      <w:r w:rsidR="001135A7" w:rsidRPr="004418E9">
        <w:rPr>
          <w:sz w:val="16"/>
          <w:szCs w:val="18"/>
          <w:lang w:val="en-US"/>
        </w:rPr>
        <w:t xml:space="preserve"> A survey of industrial model predictive control technology</w:t>
      </w:r>
      <w:r w:rsidRPr="004418E9">
        <w:rPr>
          <w:sz w:val="16"/>
          <w:szCs w:val="18"/>
          <w:lang w:val="en-US"/>
        </w:rPr>
        <w:t>,</w:t>
      </w:r>
      <w:r w:rsidR="001135A7" w:rsidRPr="004418E9">
        <w:rPr>
          <w:sz w:val="16"/>
          <w:szCs w:val="18"/>
          <w:lang w:val="en-US"/>
        </w:rPr>
        <w:t xml:space="preserve"> Control Engineering Practice 11</w:t>
      </w:r>
      <w:r w:rsidRPr="004418E9">
        <w:rPr>
          <w:sz w:val="16"/>
          <w:szCs w:val="18"/>
          <w:lang w:val="en-US"/>
        </w:rPr>
        <w:t xml:space="preserve">, </w:t>
      </w:r>
      <w:r w:rsidR="001135A7" w:rsidRPr="004418E9">
        <w:rPr>
          <w:sz w:val="16"/>
          <w:szCs w:val="18"/>
          <w:lang w:val="en-US"/>
        </w:rPr>
        <w:t>7, 733–764</w:t>
      </w:r>
    </w:p>
    <w:p w14:paraId="796EE662" w14:textId="2945D1D5" w:rsidR="001135A7" w:rsidRPr="004418E9" w:rsidRDefault="00F04B62" w:rsidP="001135A7">
      <w:pPr>
        <w:pStyle w:val="Els-referenceno-number"/>
        <w:rPr>
          <w:sz w:val="16"/>
          <w:szCs w:val="18"/>
          <w:lang w:val="en-US"/>
        </w:rPr>
      </w:pPr>
      <w:r w:rsidRPr="004418E9">
        <w:rPr>
          <w:sz w:val="16"/>
          <w:szCs w:val="18"/>
          <w:lang w:val="en-US"/>
        </w:rPr>
        <w:t xml:space="preserve">M. </w:t>
      </w:r>
      <w:r w:rsidR="001135A7" w:rsidRPr="004418E9">
        <w:rPr>
          <w:sz w:val="16"/>
          <w:szCs w:val="18"/>
          <w:lang w:val="en-US"/>
        </w:rPr>
        <w:t>Schwenzer</w:t>
      </w:r>
      <w:r w:rsidRPr="004418E9">
        <w:rPr>
          <w:sz w:val="16"/>
          <w:szCs w:val="18"/>
          <w:lang w:val="en-US"/>
        </w:rPr>
        <w:t xml:space="preserve">, M. </w:t>
      </w:r>
      <w:r w:rsidR="001135A7" w:rsidRPr="004418E9">
        <w:rPr>
          <w:sz w:val="16"/>
          <w:szCs w:val="18"/>
          <w:lang w:val="en-US"/>
        </w:rPr>
        <w:t>Ay</w:t>
      </w:r>
      <w:r w:rsidRPr="004418E9">
        <w:rPr>
          <w:sz w:val="16"/>
          <w:szCs w:val="18"/>
          <w:lang w:val="en-US"/>
        </w:rPr>
        <w:t xml:space="preserve">, T. </w:t>
      </w:r>
      <w:r w:rsidR="001135A7" w:rsidRPr="004418E9">
        <w:rPr>
          <w:sz w:val="16"/>
          <w:szCs w:val="18"/>
          <w:lang w:val="en-US"/>
        </w:rPr>
        <w:t>Bergs</w:t>
      </w:r>
      <w:r w:rsidRPr="004418E9">
        <w:rPr>
          <w:sz w:val="16"/>
          <w:szCs w:val="18"/>
          <w:lang w:val="en-US"/>
        </w:rPr>
        <w:t xml:space="preserve">, D. </w:t>
      </w:r>
      <w:r w:rsidR="001135A7" w:rsidRPr="004418E9">
        <w:rPr>
          <w:sz w:val="16"/>
          <w:szCs w:val="18"/>
          <w:lang w:val="en-US"/>
        </w:rPr>
        <w:t>Abel</w:t>
      </w:r>
      <w:r w:rsidRPr="004418E9">
        <w:rPr>
          <w:sz w:val="16"/>
          <w:szCs w:val="18"/>
          <w:lang w:val="en-US"/>
        </w:rPr>
        <w:t xml:space="preserve">, </w:t>
      </w:r>
      <w:r w:rsidR="001135A7" w:rsidRPr="004418E9">
        <w:rPr>
          <w:sz w:val="16"/>
          <w:szCs w:val="18"/>
          <w:lang w:val="en-US"/>
        </w:rPr>
        <w:t>2021</w:t>
      </w:r>
      <w:r w:rsidRPr="004418E9">
        <w:rPr>
          <w:sz w:val="16"/>
          <w:szCs w:val="18"/>
          <w:lang w:val="en-US"/>
        </w:rPr>
        <w:t>,</w:t>
      </w:r>
      <w:r w:rsidR="001135A7" w:rsidRPr="004418E9">
        <w:rPr>
          <w:sz w:val="16"/>
          <w:szCs w:val="18"/>
          <w:lang w:val="en-US"/>
        </w:rPr>
        <w:t xml:space="preserve"> Review on model predictive control: an engineering perspective</w:t>
      </w:r>
      <w:r w:rsidRPr="004418E9">
        <w:rPr>
          <w:sz w:val="16"/>
          <w:szCs w:val="18"/>
          <w:lang w:val="en-US"/>
        </w:rPr>
        <w:t>,</w:t>
      </w:r>
      <w:r w:rsidR="001135A7" w:rsidRPr="004418E9">
        <w:rPr>
          <w:sz w:val="16"/>
          <w:szCs w:val="18"/>
          <w:lang w:val="en-US"/>
        </w:rPr>
        <w:t xml:space="preserve"> The International Journal of Advanced Manufacturing Technology 117, 1327–1349</w:t>
      </w:r>
    </w:p>
    <w:p w14:paraId="144DE6C3" w14:textId="074AAF57" w:rsidR="008D2649" w:rsidRPr="005C2CF6" w:rsidRDefault="00A25CB7" w:rsidP="005C2CF6">
      <w:pPr>
        <w:pStyle w:val="Els-referenceno-number"/>
        <w:rPr>
          <w:sz w:val="16"/>
          <w:szCs w:val="18"/>
          <w:lang w:val="en-US"/>
        </w:rPr>
      </w:pPr>
      <w:r w:rsidRPr="004418E9">
        <w:rPr>
          <w:sz w:val="16"/>
          <w:szCs w:val="18"/>
          <w:lang w:val="en-US"/>
        </w:rPr>
        <w:t xml:space="preserve">J. </w:t>
      </w:r>
      <w:r w:rsidR="001135A7" w:rsidRPr="004418E9">
        <w:rPr>
          <w:sz w:val="16"/>
          <w:szCs w:val="18"/>
          <w:lang w:val="en-US"/>
        </w:rPr>
        <w:t>Vargan</w:t>
      </w:r>
      <w:r w:rsidRPr="004418E9">
        <w:rPr>
          <w:sz w:val="16"/>
          <w:szCs w:val="18"/>
          <w:lang w:val="en-US"/>
        </w:rPr>
        <w:t xml:space="preserve">, </w:t>
      </w:r>
      <w:r w:rsidR="001135A7" w:rsidRPr="004418E9">
        <w:rPr>
          <w:sz w:val="16"/>
          <w:szCs w:val="18"/>
          <w:lang w:val="en-US"/>
        </w:rPr>
        <w:t>2023. Optimality analysis of MPC controller</w:t>
      </w:r>
      <w:r w:rsidRPr="004418E9">
        <w:rPr>
          <w:sz w:val="16"/>
          <w:szCs w:val="18"/>
          <w:lang w:val="en-US"/>
        </w:rPr>
        <w:t>,</w:t>
      </w:r>
      <w:r w:rsidR="001135A7" w:rsidRPr="004418E9">
        <w:rPr>
          <w:sz w:val="16"/>
          <w:szCs w:val="18"/>
          <w:lang w:val="en-US"/>
        </w:rPr>
        <w:t xml:space="preserve"> Master thesis, UIAM FCFT STU in Bratislava, Radlinského 9, 812 37 Bratislava</w:t>
      </w:r>
    </w:p>
    <w:sectPr w:rsidR="008D2649" w:rsidRPr="005C2CF6" w:rsidSect="005368C1">
      <w:headerReference w:type="even" r:id="rId10"/>
      <w:headerReference w:type="default" r:id="rId11"/>
      <w:headerReference w:type="first" r:id="rId12"/>
      <w:footerReference w:type="first" r:id="rId13"/>
      <w:type w:val="continuous"/>
      <w:pgSz w:w="11906" w:h="16838" w:code="9"/>
      <w:pgMar w:top="2495" w:right="2155" w:bottom="2269" w:left="2155" w:header="1701" w:footer="1940" w:gutter="0"/>
      <w:cols w:space="720" w:equalWidth="0">
        <w:col w:w="7342"/>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64AFA" w14:textId="77777777" w:rsidR="00AA3D2F" w:rsidRDefault="00AA3D2F">
      <w:r>
        <w:separator/>
      </w:r>
    </w:p>
  </w:endnote>
  <w:endnote w:type="continuationSeparator" w:id="0">
    <w:p w14:paraId="05174CF2" w14:textId="77777777" w:rsidR="00AA3D2F" w:rsidRDefault="00AA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NimbusRomNo9L-Medi">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7C7C" w14:textId="14ACE269" w:rsidR="005368C1" w:rsidRPr="005368C1" w:rsidRDefault="005368C1" w:rsidP="005368C1">
    <w:pPr>
      <w:pStyle w:val="Pidipagina"/>
      <w:spacing w:before="120"/>
      <w:rPr>
        <w:sz w:val="14"/>
        <w:szCs w:val="14"/>
      </w:rPr>
    </w:pPr>
    <w:r>
      <w:rPr>
        <w:sz w:val="14"/>
        <w:szCs w:val="14"/>
      </w:rPr>
      <w:t>Acknowledgments</w:t>
    </w:r>
    <w:r w:rsidRPr="00B530DC">
      <w:rPr>
        <w:sz w:val="14"/>
        <w:szCs w:val="14"/>
      </w:rPr>
      <w:t>: This work is funded by the Slovak Research and Development Agency (project no. APVV-21-0019), by the Scientific Grant Agency of the Slovak Republic (grant no. 1/0691/21), and by the European Commission (grant no. 101079342, Fostering Opportunities Towards Slovak Excellence in Advanced Control for Smart Industries).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62BB" w14:textId="77777777" w:rsidR="00AA3D2F" w:rsidRDefault="00AA3D2F">
      <w:r>
        <w:separator/>
      </w:r>
    </w:p>
  </w:footnote>
  <w:footnote w:type="continuationSeparator" w:id="0">
    <w:p w14:paraId="1ADA99EC" w14:textId="77777777" w:rsidR="00AA3D2F" w:rsidRDefault="00AA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414AA59" w:rsidR="00DD3D9E" w:rsidRDefault="00DD3D9E">
    <w:pPr>
      <w:pStyle w:val="Intestazione"/>
      <w:tabs>
        <w:tab w:val="clear" w:pos="7200"/>
        <w:tab w:val="right" w:pos="7088"/>
      </w:tabs>
    </w:pPr>
    <w:r>
      <w:rPr>
        <w:rStyle w:val="Numeropagina"/>
      </w:rPr>
      <w:tab/>
    </w:r>
    <w:r>
      <w:rPr>
        <w:rStyle w:val="Numeropagina"/>
        <w:i/>
      </w:rPr>
      <w:tab/>
    </w:r>
    <w:r w:rsidR="00D10E22">
      <w:rPr>
        <w:i/>
      </w:rPr>
      <w:fldChar w:fldCharType="begin"/>
    </w:r>
    <w:r>
      <w:rPr>
        <w:i/>
      </w:rPr>
      <w:instrText xml:space="preserve"> MACROBUTTON NoMacro </w:instrText>
    </w:r>
    <w:r w:rsidR="001135A7">
      <w:rPr>
        <w:i/>
      </w:rPr>
      <w:instrText>J</w:instrText>
    </w:r>
    <w:r>
      <w:rPr>
        <w:i/>
      </w:rPr>
      <w:instrText xml:space="preserve">. </w:instrText>
    </w:r>
    <w:r w:rsidR="001135A7">
      <w:rPr>
        <w:i/>
      </w:rPr>
      <w:instrText>Vargan</w:instrText>
    </w:r>
    <w:r>
      <w:rPr>
        <w:i/>
      </w:rPr>
      <w:instrText xml:space="preserve"> et al.</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C6421BD" w:rsidR="00DD3D9E" w:rsidRDefault="00D10E22">
    <w:pPr>
      <w:pStyle w:val="Intestazione"/>
      <w:tabs>
        <w:tab w:val="clear" w:pos="7200"/>
        <w:tab w:val="right" w:pos="7088"/>
      </w:tabs>
      <w:jc w:val="right"/>
      <w:rPr>
        <w:sz w:val="24"/>
      </w:rPr>
    </w:pPr>
    <w:r>
      <w:rPr>
        <w:i/>
      </w:rPr>
      <w:fldChar w:fldCharType="begin"/>
    </w:r>
    <w:r w:rsidR="00DD3D9E">
      <w:rPr>
        <w:i/>
      </w:rPr>
      <w:instrText xml:space="preserve"> MACROBUTTON NoMacro </w:instrText>
    </w:r>
    <w:r w:rsidR="001135A7">
      <w:rPr>
        <w:i/>
      </w:rPr>
      <w:instrText>Steady-state Optimality Analysis of MPC Controllers</w:instrText>
    </w:r>
    <w:r>
      <w:rPr>
        <w:i/>
      </w:rPr>
      <w:fldChar w:fldCharType="end"/>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BAB58EF"/>
    <w:multiLevelType w:val="hybridMultilevel"/>
    <w:tmpl w:val="2826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075040"/>
    <w:multiLevelType w:val="hybridMultilevel"/>
    <w:tmpl w:val="00AE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4"/>
  </w:num>
  <w:num w:numId="8">
    <w:abstractNumId w:val="2"/>
  </w:num>
  <w:num w:numId="9">
    <w:abstractNumId w:val="12"/>
  </w:num>
  <w:num w:numId="10">
    <w:abstractNumId w:val="16"/>
  </w:num>
  <w:num w:numId="11">
    <w:abstractNumId w:val="15"/>
  </w:num>
  <w:num w:numId="12">
    <w:abstractNumId w:val="6"/>
  </w:num>
  <w:num w:numId="13">
    <w:abstractNumId w:val="10"/>
  </w:num>
  <w:num w:numId="14">
    <w:abstractNumId w:val="3"/>
  </w:num>
  <w:num w:numId="15">
    <w:abstractNumId w:val="8"/>
  </w:num>
  <w:num w:numId="16">
    <w:abstractNumId w:val="4"/>
  </w:num>
  <w:num w:numId="17">
    <w:abstractNumId w:val="5"/>
  </w:num>
  <w:num w:numId="18">
    <w:abstractNumId w:val="11"/>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BCA"/>
    <w:rsid w:val="0001542E"/>
    <w:rsid w:val="00035E7B"/>
    <w:rsid w:val="00046303"/>
    <w:rsid w:val="00066716"/>
    <w:rsid w:val="000930CB"/>
    <w:rsid w:val="000D1FB9"/>
    <w:rsid w:val="000D3D9B"/>
    <w:rsid w:val="000E072C"/>
    <w:rsid w:val="000E0A82"/>
    <w:rsid w:val="000E7092"/>
    <w:rsid w:val="000F4989"/>
    <w:rsid w:val="00107C78"/>
    <w:rsid w:val="00110C8B"/>
    <w:rsid w:val="00112A59"/>
    <w:rsid w:val="001135A7"/>
    <w:rsid w:val="001220F7"/>
    <w:rsid w:val="00141628"/>
    <w:rsid w:val="00147660"/>
    <w:rsid w:val="00152557"/>
    <w:rsid w:val="0016032F"/>
    <w:rsid w:val="001643C5"/>
    <w:rsid w:val="00171E3B"/>
    <w:rsid w:val="001823F7"/>
    <w:rsid w:val="001879F6"/>
    <w:rsid w:val="00194020"/>
    <w:rsid w:val="001B6071"/>
    <w:rsid w:val="001C0148"/>
    <w:rsid w:val="001C757E"/>
    <w:rsid w:val="001D432D"/>
    <w:rsid w:val="001E02A6"/>
    <w:rsid w:val="001E11EA"/>
    <w:rsid w:val="001E62AD"/>
    <w:rsid w:val="0020390F"/>
    <w:rsid w:val="002069E0"/>
    <w:rsid w:val="002442E7"/>
    <w:rsid w:val="0024516A"/>
    <w:rsid w:val="00264926"/>
    <w:rsid w:val="00266F5F"/>
    <w:rsid w:val="002C7D5B"/>
    <w:rsid w:val="002E730A"/>
    <w:rsid w:val="003446C2"/>
    <w:rsid w:val="003D1582"/>
    <w:rsid w:val="003D7E4C"/>
    <w:rsid w:val="003E0197"/>
    <w:rsid w:val="003E41C2"/>
    <w:rsid w:val="003F4C12"/>
    <w:rsid w:val="003F5604"/>
    <w:rsid w:val="003F7249"/>
    <w:rsid w:val="00425F3D"/>
    <w:rsid w:val="00427516"/>
    <w:rsid w:val="00427A80"/>
    <w:rsid w:val="0043274E"/>
    <w:rsid w:val="004348B8"/>
    <w:rsid w:val="004418E9"/>
    <w:rsid w:val="00454D3C"/>
    <w:rsid w:val="004558C1"/>
    <w:rsid w:val="0049772C"/>
    <w:rsid w:val="004B423E"/>
    <w:rsid w:val="004F5372"/>
    <w:rsid w:val="00502EDC"/>
    <w:rsid w:val="00507A76"/>
    <w:rsid w:val="00525485"/>
    <w:rsid w:val="005368C1"/>
    <w:rsid w:val="00552EEB"/>
    <w:rsid w:val="00556EA8"/>
    <w:rsid w:val="005A07A7"/>
    <w:rsid w:val="005A1123"/>
    <w:rsid w:val="005B2F9B"/>
    <w:rsid w:val="005B3545"/>
    <w:rsid w:val="005C19B6"/>
    <w:rsid w:val="005C2CF6"/>
    <w:rsid w:val="005E41BB"/>
    <w:rsid w:val="005E5D32"/>
    <w:rsid w:val="00602C6C"/>
    <w:rsid w:val="00636309"/>
    <w:rsid w:val="006426D6"/>
    <w:rsid w:val="00660623"/>
    <w:rsid w:val="0067195A"/>
    <w:rsid w:val="00672E3F"/>
    <w:rsid w:val="00692B67"/>
    <w:rsid w:val="006A69BF"/>
    <w:rsid w:val="006E2485"/>
    <w:rsid w:val="00710307"/>
    <w:rsid w:val="00711DF4"/>
    <w:rsid w:val="00712413"/>
    <w:rsid w:val="00733674"/>
    <w:rsid w:val="00736403"/>
    <w:rsid w:val="007B0555"/>
    <w:rsid w:val="007C6F71"/>
    <w:rsid w:val="007D3060"/>
    <w:rsid w:val="007D70A1"/>
    <w:rsid w:val="007E237E"/>
    <w:rsid w:val="007E6FE1"/>
    <w:rsid w:val="00806FB0"/>
    <w:rsid w:val="008132E8"/>
    <w:rsid w:val="008209FF"/>
    <w:rsid w:val="00823407"/>
    <w:rsid w:val="00830B50"/>
    <w:rsid w:val="00837CE2"/>
    <w:rsid w:val="0085643D"/>
    <w:rsid w:val="008801A0"/>
    <w:rsid w:val="008877CB"/>
    <w:rsid w:val="008A1C33"/>
    <w:rsid w:val="008A56B4"/>
    <w:rsid w:val="008B0184"/>
    <w:rsid w:val="008B1F15"/>
    <w:rsid w:val="008C5D02"/>
    <w:rsid w:val="008D2649"/>
    <w:rsid w:val="008E063C"/>
    <w:rsid w:val="0090568D"/>
    <w:rsid w:val="009125C9"/>
    <w:rsid w:val="00913879"/>
    <w:rsid w:val="00917661"/>
    <w:rsid w:val="00927B0F"/>
    <w:rsid w:val="00944B26"/>
    <w:rsid w:val="009524CF"/>
    <w:rsid w:val="00970E5D"/>
    <w:rsid w:val="0097701C"/>
    <w:rsid w:val="00980A65"/>
    <w:rsid w:val="0098496E"/>
    <w:rsid w:val="009956CA"/>
    <w:rsid w:val="009C236B"/>
    <w:rsid w:val="009D50BF"/>
    <w:rsid w:val="009F69A8"/>
    <w:rsid w:val="00A17011"/>
    <w:rsid w:val="00A25CB7"/>
    <w:rsid w:val="00A25E70"/>
    <w:rsid w:val="00A33765"/>
    <w:rsid w:val="00A427B6"/>
    <w:rsid w:val="00A56057"/>
    <w:rsid w:val="00A63269"/>
    <w:rsid w:val="00A76CC9"/>
    <w:rsid w:val="00A92377"/>
    <w:rsid w:val="00A9689A"/>
    <w:rsid w:val="00AA3D2F"/>
    <w:rsid w:val="00AB29ED"/>
    <w:rsid w:val="00AB3517"/>
    <w:rsid w:val="00AD22FA"/>
    <w:rsid w:val="00AE4BD8"/>
    <w:rsid w:val="00B04B65"/>
    <w:rsid w:val="00B13F77"/>
    <w:rsid w:val="00B372DA"/>
    <w:rsid w:val="00B4388F"/>
    <w:rsid w:val="00B63237"/>
    <w:rsid w:val="00B709B9"/>
    <w:rsid w:val="00B70F82"/>
    <w:rsid w:val="00B9137D"/>
    <w:rsid w:val="00BA77A7"/>
    <w:rsid w:val="00BC79B1"/>
    <w:rsid w:val="00BD65CE"/>
    <w:rsid w:val="00C12258"/>
    <w:rsid w:val="00C17E0B"/>
    <w:rsid w:val="00C61B3A"/>
    <w:rsid w:val="00C960DC"/>
    <w:rsid w:val="00CA15B9"/>
    <w:rsid w:val="00CC20EA"/>
    <w:rsid w:val="00CD0D4A"/>
    <w:rsid w:val="00CD39C7"/>
    <w:rsid w:val="00CD5136"/>
    <w:rsid w:val="00D02C75"/>
    <w:rsid w:val="00D10E22"/>
    <w:rsid w:val="00D13D2C"/>
    <w:rsid w:val="00D25787"/>
    <w:rsid w:val="00D312C7"/>
    <w:rsid w:val="00D450DB"/>
    <w:rsid w:val="00D50A27"/>
    <w:rsid w:val="00D51429"/>
    <w:rsid w:val="00D52B52"/>
    <w:rsid w:val="00D57AEB"/>
    <w:rsid w:val="00D70AA9"/>
    <w:rsid w:val="00D90E51"/>
    <w:rsid w:val="00DA14B1"/>
    <w:rsid w:val="00DC2F94"/>
    <w:rsid w:val="00DD3D9E"/>
    <w:rsid w:val="00DD7908"/>
    <w:rsid w:val="00DE043F"/>
    <w:rsid w:val="00DF3306"/>
    <w:rsid w:val="00E03837"/>
    <w:rsid w:val="00E44DA8"/>
    <w:rsid w:val="00E51D64"/>
    <w:rsid w:val="00E82297"/>
    <w:rsid w:val="00E92FC9"/>
    <w:rsid w:val="00EA33EF"/>
    <w:rsid w:val="00EB7DE3"/>
    <w:rsid w:val="00EC632F"/>
    <w:rsid w:val="00EE1C36"/>
    <w:rsid w:val="00EE5599"/>
    <w:rsid w:val="00EF39FD"/>
    <w:rsid w:val="00EF4ECE"/>
    <w:rsid w:val="00F04B62"/>
    <w:rsid w:val="00F06842"/>
    <w:rsid w:val="00F107FD"/>
    <w:rsid w:val="00F2661B"/>
    <w:rsid w:val="00F34386"/>
    <w:rsid w:val="00F34802"/>
    <w:rsid w:val="00F453D6"/>
    <w:rsid w:val="00F74156"/>
    <w:rsid w:val="00F87417"/>
    <w:rsid w:val="00F909E1"/>
    <w:rsid w:val="00F94517"/>
    <w:rsid w:val="00F970DF"/>
    <w:rsid w:val="00FB3488"/>
    <w:rsid w:val="00FB64A8"/>
    <w:rsid w:val="00FC1794"/>
    <w:rsid w:val="00FD3A26"/>
    <w:rsid w:val="00FF1A7E"/>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E52E94B8-1706-4787-8D4E-F62F8A58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1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2A2F-95A3-4E59-8392-0D741305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3207</Words>
  <Characters>18284</Characters>
  <Application>Microsoft Office Word</Application>
  <DocSecurity>0</DocSecurity>
  <Lines>152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2</cp:revision>
  <cp:lastPrinted>2004-12-17T09:20:00Z</cp:lastPrinted>
  <dcterms:created xsi:type="dcterms:W3CDTF">2024-01-11T10:23:00Z</dcterms:created>
  <dcterms:modified xsi:type="dcterms:W3CDTF">2024-01-11T10:23:00Z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