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A83C803" w:rsidR="00DD3D9E" w:rsidRPr="00B4388F" w:rsidRDefault="00EE2F6F" w:rsidP="00FB5802">
      <w:pPr>
        <w:pStyle w:val="Els-Title"/>
        <w:jc w:val="both"/>
        <w:rPr>
          <w:color w:val="000000" w:themeColor="text1"/>
        </w:rPr>
      </w:pPr>
      <w:bookmarkStart w:id="0" w:name="_GoBack"/>
      <w:bookmarkEnd w:id="0"/>
      <w:r>
        <w:rPr>
          <w:color w:val="000000" w:themeColor="text1"/>
        </w:rPr>
        <w:t>Potentials and limitations of low-carbon steelmaking process: Iron ore reduction with hydrogen in shaft furnace</w:t>
      </w:r>
    </w:p>
    <w:p w14:paraId="144DE680" w14:textId="7E60149F" w:rsidR="00DD3D9E" w:rsidRPr="00072639" w:rsidRDefault="00072639">
      <w:pPr>
        <w:pStyle w:val="Els-Author"/>
        <w:rPr>
          <w:vertAlign w:val="superscript"/>
        </w:rPr>
      </w:pPr>
      <w:r>
        <w:t>Abdallah Skaf</w:t>
      </w:r>
      <w:r>
        <w:rPr>
          <w:vertAlign w:val="superscript"/>
        </w:rPr>
        <w:t>a</w:t>
      </w:r>
      <w:r>
        <w:t>, Ligia Tiruta-Barna</w:t>
      </w:r>
      <w:r>
        <w:rPr>
          <w:vertAlign w:val="superscript"/>
        </w:rPr>
        <w:t>a</w:t>
      </w:r>
      <w:r>
        <w:t>, Aras Ahmadi</w:t>
      </w:r>
      <w:r>
        <w:rPr>
          <w:vertAlign w:val="superscript"/>
        </w:rPr>
        <w:t>a</w:t>
      </w:r>
    </w:p>
    <w:p w14:paraId="144DE682" w14:textId="18697D66" w:rsidR="00DD3D9E" w:rsidRPr="008F1AE3" w:rsidRDefault="008F1AE3" w:rsidP="00A327DF">
      <w:pPr>
        <w:pStyle w:val="Els-Affiliation"/>
        <w:rPr>
          <w:lang w:val="fr-FR"/>
        </w:rPr>
      </w:pPr>
      <w:r w:rsidRPr="008F1AE3">
        <w:rPr>
          <w:vertAlign w:val="superscript"/>
          <w:lang w:val="fr-FR"/>
        </w:rPr>
        <w:t xml:space="preserve">a </w:t>
      </w:r>
      <w:r w:rsidRPr="008F1AE3">
        <w:rPr>
          <w:lang w:val="fr-FR"/>
        </w:rPr>
        <w:t>Toulouse Biotechnology Institute (TBI), Un</w:t>
      </w:r>
      <w:r>
        <w:rPr>
          <w:lang w:val="fr-FR"/>
        </w:rPr>
        <w:t>iversité de Toulouse, CNRS, INRAE, INSA,</w:t>
      </w:r>
      <w:r w:rsidR="00A0733F">
        <w:rPr>
          <w:lang w:val="fr-FR"/>
        </w:rPr>
        <w:t xml:space="preserve"> </w:t>
      </w:r>
      <w:r>
        <w:rPr>
          <w:lang w:val="fr-FR"/>
        </w:rPr>
        <w:t>Toulouse, France</w:t>
      </w:r>
    </w:p>
    <w:p w14:paraId="144DE683" w14:textId="55B75AB0" w:rsidR="008D2649" w:rsidRPr="00A94774" w:rsidRDefault="00EE2F6F" w:rsidP="008D2649">
      <w:pPr>
        <w:pStyle w:val="Els-Affiliation"/>
        <w:spacing w:after="120"/>
      </w:pPr>
      <w:r>
        <w:t>skaf@insa-toulouse.fr</w:t>
      </w:r>
    </w:p>
    <w:p w14:paraId="144DE684" w14:textId="21D548FC" w:rsidR="008D2649" w:rsidRDefault="008D2649" w:rsidP="008D2649">
      <w:pPr>
        <w:pStyle w:val="Els-Abstract"/>
      </w:pPr>
      <w:r>
        <w:t>Abstract</w:t>
      </w:r>
    </w:p>
    <w:p w14:paraId="37836310" w14:textId="4A7C6FF3" w:rsidR="00DE53BD" w:rsidRDefault="005B747F" w:rsidP="00425BAD">
      <w:pPr>
        <w:pStyle w:val="Els-body-text"/>
      </w:pPr>
      <w:r>
        <w:t>A promising future</w:t>
      </w:r>
      <w:r w:rsidR="00425BAD">
        <w:t xml:space="preserve"> approach to </w:t>
      </w:r>
      <w:r w:rsidR="002730B8">
        <w:t>reducing</w:t>
      </w:r>
      <w:r w:rsidR="00425BAD">
        <w:t xml:space="preserve"> CO</w:t>
      </w:r>
      <w:r w:rsidR="00425BAD">
        <w:rPr>
          <w:vertAlign w:val="subscript"/>
        </w:rPr>
        <w:t>2</w:t>
      </w:r>
      <w:r w:rsidR="00425BAD">
        <w:t xml:space="preserve"> emissions in the metallurgical sector is to reduce iron oxides </w:t>
      </w:r>
      <w:r w:rsidR="002730B8">
        <w:t>using</w:t>
      </w:r>
      <w:r w:rsidR="00425BAD">
        <w:t xml:space="preserve"> </w:t>
      </w:r>
      <w:r>
        <w:t xml:space="preserve">renewable </w:t>
      </w:r>
      <w:r w:rsidR="00425BAD">
        <w:t xml:space="preserve">hydrogen in a shaft furnace. Here, the potentials and limitations of iron ore reduction with hydrogen at high and low reduction temperatures </w:t>
      </w:r>
      <w:r w:rsidR="002730B8">
        <w:t>were</w:t>
      </w:r>
      <w:r w:rsidR="00425BAD">
        <w:t xml:space="preserve"> studied through </w:t>
      </w:r>
      <w:r w:rsidR="002730B8">
        <w:t xml:space="preserve">two-level </w:t>
      </w:r>
      <w:r w:rsidR="00425BAD">
        <w:t xml:space="preserve">dynamic modeling: (i) combined </w:t>
      </w:r>
      <w:r w:rsidR="002730B8">
        <w:t xml:space="preserve">modeling of </w:t>
      </w:r>
      <w:r>
        <w:t xml:space="preserve">gas/solid </w:t>
      </w:r>
      <w:r w:rsidR="00425BAD">
        <w:t>reaction, transfer</w:t>
      </w:r>
      <w:r w:rsidR="00FF0A99">
        <w:t xml:space="preserve">, </w:t>
      </w:r>
      <w:r w:rsidR="00425BAD">
        <w:t xml:space="preserve">and diffusion in </w:t>
      </w:r>
      <w:r>
        <w:t xml:space="preserve">porous </w:t>
      </w:r>
      <w:r w:rsidR="00425BAD">
        <w:t xml:space="preserve">iron ore pellet, (ii) modeling of </w:t>
      </w:r>
      <w:r>
        <w:t xml:space="preserve">the </w:t>
      </w:r>
      <w:r w:rsidR="00425BAD">
        <w:t>shaft furnace reactor</w:t>
      </w:r>
      <w:r>
        <w:t xml:space="preserve"> </w:t>
      </w:r>
      <w:r w:rsidR="004D3424">
        <w:t>on</w:t>
      </w:r>
      <w:r>
        <w:t xml:space="preserve"> an industrial scale</w:t>
      </w:r>
      <w:r w:rsidR="00425BAD">
        <w:t xml:space="preserve">. </w:t>
      </w:r>
      <w:r w:rsidR="00E9168C">
        <w:t>A</w:t>
      </w:r>
      <w:r w:rsidR="009A68B8">
        <w:t xml:space="preserve"> transient one-dimensional </w:t>
      </w:r>
      <w:r w:rsidR="00E9168C">
        <w:t xml:space="preserve">reactor </w:t>
      </w:r>
      <w:r w:rsidR="009A68B8">
        <w:t xml:space="preserve">model is </w:t>
      </w:r>
      <w:r w:rsidR="00E9168C">
        <w:t xml:space="preserve">developed and coupled </w:t>
      </w:r>
      <w:r w:rsidR="004D3424">
        <w:t>to</w:t>
      </w:r>
      <w:r w:rsidR="00E9168C">
        <w:t xml:space="preserve"> the pellet model</w:t>
      </w:r>
      <w:r w:rsidR="009A68B8">
        <w:t xml:space="preserve">. </w:t>
      </w:r>
      <w:r w:rsidR="00E9168C">
        <w:t xml:space="preserve">In order to </w:t>
      </w:r>
      <w:r w:rsidR="004D3424">
        <w:t>predict</w:t>
      </w:r>
      <w:r w:rsidR="00E9168C">
        <w:t xml:space="preserve"> the conversion and energy performance of the reactor, the conversion and energy efficiency </w:t>
      </w:r>
      <w:r w:rsidR="004D3424">
        <w:t>were</w:t>
      </w:r>
      <w:r w:rsidR="00E9168C">
        <w:t xml:space="preserve"> established </w:t>
      </w:r>
      <w:r w:rsidR="004D3424">
        <w:t>on</w:t>
      </w:r>
      <w:r w:rsidR="00E9168C">
        <w:t xml:space="preserve"> the scale of an industrial reactor for two contrasted operating conditions: (1) at 900</w:t>
      </w:r>
      <w:r w:rsidR="008167D3">
        <w:t xml:space="preserve"> </w:t>
      </w:r>
      <w:r w:rsidR="00E9168C">
        <w:t xml:space="preserve">°C, which </w:t>
      </w:r>
      <w:r w:rsidR="009B2A8E">
        <w:t>ensures the complete conversion of iron ore into pure iron with rapid conversion kinetics</w:t>
      </w:r>
      <w:r w:rsidR="00E9168C">
        <w:t>, (2) at 550</w:t>
      </w:r>
      <w:r w:rsidR="008167D3">
        <w:t xml:space="preserve"> </w:t>
      </w:r>
      <w:r w:rsidR="00E9168C">
        <w:t>°C, which is</w:t>
      </w:r>
      <w:r w:rsidR="00B12521">
        <w:t xml:space="preserve"> more</w:t>
      </w:r>
      <w:r w:rsidR="00E9168C">
        <w:rPr>
          <w:color w:val="000000" w:themeColor="text1"/>
        </w:rPr>
        <w:t xml:space="preserve"> compatible with</w:t>
      </w:r>
      <w:r w:rsidR="00E9168C">
        <w:rPr>
          <w:lang w:eastAsia="fr-FR"/>
        </w:rPr>
        <w:t xml:space="preserve"> </w:t>
      </w:r>
      <w:r w:rsidR="009B2A8E">
        <w:rPr>
          <w:lang w:eastAsia="fr-FR"/>
        </w:rPr>
        <w:t>the use of</w:t>
      </w:r>
      <w:r w:rsidR="00E9168C">
        <w:rPr>
          <w:color w:val="000000" w:themeColor="text1"/>
        </w:rPr>
        <w:t xml:space="preserve"> renewable</w:t>
      </w:r>
      <w:r w:rsidR="00B12521">
        <w:rPr>
          <w:color w:val="000000" w:themeColor="text1"/>
        </w:rPr>
        <w:t xml:space="preserve"> </w:t>
      </w:r>
      <w:r w:rsidR="00E9168C">
        <w:rPr>
          <w:color w:val="000000" w:themeColor="text1"/>
        </w:rPr>
        <w:t>energ</w:t>
      </w:r>
      <w:r w:rsidR="00B12521">
        <w:rPr>
          <w:color w:val="000000" w:themeColor="text1"/>
        </w:rPr>
        <w:t>y sources</w:t>
      </w:r>
      <w:r w:rsidR="009B2A8E">
        <w:rPr>
          <w:color w:val="000000" w:themeColor="text1"/>
        </w:rPr>
        <w:t xml:space="preserve"> for heating</w:t>
      </w:r>
      <w:r w:rsidR="001355E2">
        <w:rPr>
          <w:color w:val="000000" w:themeColor="text1"/>
        </w:rPr>
        <w:t>.</w:t>
      </w:r>
    </w:p>
    <w:p w14:paraId="5A135B8F" w14:textId="77777777" w:rsidR="00DE53BD" w:rsidRDefault="00DE53BD" w:rsidP="009A68B8">
      <w:pPr>
        <w:pStyle w:val="Els-body-text"/>
      </w:pPr>
    </w:p>
    <w:p w14:paraId="144DE687" w14:textId="298C0C37" w:rsidR="008D2649" w:rsidRDefault="008D2649" w:rsidP="00DE53BD">
      <w:pPr>
        <w:pStyle w:val="Els-body-text"/>
        <w:rPr>
          <w:lang w:val="en-GB"/>
        </w:rPr>
      </w:pPr>
      <w:r>
        <w:rPr>
          <w:b/>
          <w:bCs/>
          <w:lang w:val="en-GB"/>
        </w:rPr>
        <w:t>Keywords</w:t>
      </w:r>
      <w:r>
        <w:rPr>
          <w:lang w:val="en-GB"/>
        </w:rPr>
        <w:t xml:space="preserve">: </w:t>
      </w:r>
      <w:r w:rsidR="004F77D5">
        <w:rPr>
          <w:lang w:val="en-GB"/>
        </w:rPr>
        <w:t>iron ore</w:t>
      </w:r>
      <w:r w:rsidR="001355E2">
        <w:rPr>
          <w:lang w:val="en-GB"/>
        </w:rPr>
        <w:t xml:space="preserve"> direct reduction</w:t>
      </w:r>
      <w:r w:rsidR="004F77D5">
        <w:rPr>
          <w:lang w:val="en-GB"/>
        </w:rPr>
        <w:t xml:space="preserve">, </w:t>
      </w:r>
      <w:r w:rsidR="001355E2">
        <w:rPr>
          <w:lang w:val="en-GB"/>
        </w:rPr>
        <w:t>modeling of gas-solid reaction and diffusion,</w:t>
      </w:r>
      <w:r w:rsidR="00EE1A9C">
        <w:rPr>
          <w:lang w:val="en-GB"/>
        </w:rPr>
        <w:t xml:space="preserve"> </w:t>
      </w:r>
      <w:r w:rsidR="004F77D5">
        <w:rPr>
          <w:lang w:val="en-GB"/>
        </w:rPr>
        <w:t xml:space="preserve">hydrogen, </w:t>
      </w:r>
      <w:r w:rsidR="00B12521">
        <w:rPr>
          <w:lang w:val="en-GB"/>
        </w:rPr>
        <w:t>porous solids</w:t>
      </w:r>
      <w:r>
        <w:rPr>
          <w:lang w:val="en-GB"/>
        </w:rPr>
        <w:t>.</w:t>
      </w:r>
    </w:p>
    <w:p w14:paraId="004FDAAF" w14:textId="5B3EF0D8" w:rsidR="00D75F26" w:rsidRDefault="00BE3893" w:rsidP="00D75F26">
      <w:pPr>
        <w:pStyle w:val="Els-1storder-head"/>
      </w:pPr>
      <w:r>
        <w:t>Introduction</w:t>
      </w:r>
    </w:p>
    <w:p w14:paraId="06FFF776" w14:textId="5CA7AE2A" w:rsidR="004A5632" w:rsidRPr="004A5632" w:rsidRDefault="004A5632" w:rsidP="004A5632">
      <w:pPr>
        <w:pStyle w:val="Els-body-text"/>
      </w:pPr>
      <w:r>
        <w:t>Metallurgy is an em</w:t>
      </w:r>
      <w:r w:rsidR="00D61219">
        <w:t>blematic</w:t>
      </w:r>
      <w:r w:rsidR="00B110D6">
        <w:t xml:space="preserve"> </w:t>
      </w:r>
      <w:r w:rsidR="00D61219">
        <w:t>energy-consumption process in our society. The reduction of iron oxide to metallic iron, steel</w:t>
      </w:r>
      <w:r w:rsidR="004D409D">
        <w:t>,</w:t>
      </w:r>
      <w:r w:rsidR="00D61219">
        <w:t xml:space="preserve"> and </w:t>
      </w:r>
      <w:r w:rsidR="007D03CD">
        <w:t>cast-iron</w:t>
      </w:r>
      <w:r w:rsidR="00D61219">
        <w:t xml:space="preserve"> using coal is the process that gave rise to the industrial revolution, clearly taking advantage of the high energy density contained in cheap coal</w:t>
      </w:r>
      <w:r w:rsidR="00355E1C">
        <w:t xml:space="preserve"> </w:t>
      </w:r>
      <w:r w:rsidR="00D61219">
        <w:t>despite its considerable environmental and societal impacts. The production of 1.7 billion tons of steel per year (2017) results in the release of twice</w:t>
      </w:r>
      <w:r w:rsidR="00EB0370">
        <w:t xml:space="preserve"> </w:t>
      </w:r>
      <w:r w:rsidR="00D61219">
        <w:t>as much</w:t>
      </w:r>
      <w:r w:rsidR="007D03CD">
        <w:t xml:space="preserve"> </w:t>
      </w:r>
      <w:r w:rsidR="00D61219">
        <w:t>CO</w:t>
      </w:r>
      <w:r w:rsidR="00D61219">
        <w:rPr>
          <w:vertAlign w:val="subscript"/>
        </w:rPr>
        <w:t>2</w:t>
      </w:r>
      <w:r w:rsidR="00D61219">
        <w:t xml:space="preserve"> (7 % of global emissions)</w:t>
      </w:r>
      <w:r w:rsidR="004D681C">
        <w:t xml:space="preserve"> </w:t>
      </w:r>
      <w:r w:rsidR="004D681C" w:rsidRPr="001E1599">
        <w:fldChar w:fldCharType="begin"/>
      </w:r>
      <w:r w:rsidR="00F859BD" w:rsidRPr="001E1599">
        <w:instrText xml:space="preserve"> ADDIN ZOTERO_ITEM CSL_CITATION {"citationID":"y0sqhRG0","properties":{"formattedCitation":"({\\i{}Iron &amp; Steel}, s.\\uc0\\u160{}d.)","plainCitation":"(Iron &amp; Steel, s. d.)","noteIndex":0},"citationItems":[{"id":399,"uris":["http://zotero.org/users/local/DJMEkG8Q/items/ZFJDGII5"],"itemData":{"id":399,"type":"webpage","abstract":"Driven by population and GDP growth, global demand for steel may continue to increase, especially because of economic expansion in India, ASEAN countries and Africa, even as demand in China gradually declines.","container-title":"IEA","language":"en-GB","title":"Iron &amp; steel","URL":"https://www.iea.org/energy-system/industry/steel","accessed":{"date-parts":[["2023",11,21]]}}}],"schema":"https://github.com/citation-style-language/schema/raw/master/csl-citation.json"} </w:instrText>
      </w:r>
      <w:r w:rsidR="004D681C" w:rsidRPr="001E1599">
        <w:fldChar w:fldCharType="separate"/>
      </w:r>
      <w:r w:rsidR="00F859BD" w:rsidRPr="001E1599">
        <w:rPr>
          <w:szCs w:val="24"/>
        </w:rPr>
        <w:t>(</w:t>
      </w:r>
      <w:r w:rsidR="00F859BD" w:rsidRPr="001E1599">
        <w:rPr>
          <w:i/>
          <w:iCs/>
          <w:szCs w:val="24"/>
        </w:rPr>
        <w:t>Iron &amp; Steel</w:t>
      </w:r>
      <w:r w:rsidR="00F859BD" w:rsidRPr="001E1599">
        <w:rPr>
          <w:szCs w:val="24"/>
        </w:rPr>
        <w:t>, s. d.)</w:t>
      </w:r>
      <w:r w:rsidR="004D681C" w:rsidRPr="001E1599">
        <w:fldChar w:fldCharType="end"/>
      </w:r>
      <w:r w:rsidR="00D61219" w:rsidRPr="001E1599">
        <w:t>.</w:t>
      </w:r>
      <w:r w:rsidR="00D61219">
        <w:t xml:space="preserve"> The concept of utilizing hydrogen as </w:t>
      </w:r>
      <w:r w:rsidR="00034E59">
        <w:t xml:space="preserve">a </w:t>
      </w:r>
      <w:r w:rsidR="00D61219">
        <w:t xml:space="preserve">reducing agent, as genuinely reviewed </w:t>
      </w:r>
      <w:r w:rsidR="00D61219" w:rsidRPr="001E1599">
        <w:t>in</w:t>
      </w:r>
      <w:r w:rsidR="004D681C" w:rsidRPr="001E1599">
        <w:t xml:space="preserve"> </w:t>
      </w:r>
      <w:r w:rsidR="004D681C" w:rsidRPr="001E1599">
        <w:fldChar w:fldCharType="begin"/>
      </w:r>
      <w:r w:rsidR="00F859BD" w:rsidRPr="001E1599">
        <w:instrText xml:space="preserve"> ADDIN ZOTERO_ITEM CSL_CITATION {"citationID":"CGPAOukH","properties":{"formattedCitation":"(Spreitzer &amp; Schenk, 2019)","plainCitation":"(Spreitzer &amp; Schenk, 2019)","noteIndex":0},"citationItems":[{"id":401,"uris":["http://zotero.org/users/local/DJMEkG8Q/items/U8NCT5T4"],"itemData":{"id":401,"type":"article-journal","abstract":"This review focuses on the reduction of iron oxides using hydrogen as a reducing agent. Due to increasing requirements from environmental issues, a change of process concepts in the iron and steel industry is necessary within the next few years. Currently, crude steel production is mainly based on fossil fuels, and emitting of the climate-relevant gas carbon dioxide is integral. One opportunity to avoid or reduce greenhouse gas emissions is substituting hydrogen for carbon as an energy source and reducing agent. Hydrogen, produced via renewable energies, allows carbon-free reduction and avoids forming harmful greenhouse gases during the reduction process. The thermodynamic and kinetic behaviors of reduction with hydrogen are summarized and discussed in this review. The effects of influencing parameters, such as temperature, type of iron oxide, grain size, etc. are shown and compared with the reduction behavior of iron oxides with carbon monoxide. Different methods to describe the kinetics of the reduction progress and the role of the apparent activation energy are shown and proofed regarding their plausibility.","container-title":"steel research international","DOI":"10.1002/srin.201900108","ISSN":"1869-344X","issue":"10","language":"en","note":"_eprint: https://onlinelibrary.wiley.com/doi/pdf/10.1002/srin.201900108","page":"1900108","source":"Wiley Online Library","title":"Reduction of Iron Oxides with Hydrogen—A Review","volume":"90","author":[{"family":"Spreitzer","given":"Daniel"},{"family":"Schenk","given":"Johannes"}],"issued":{"date-parts":[["2019"]]}}}],"schema":"https://github.com/citation-style-language/schema/raw/master/csl-citation.json"} </w:instrText>
      </w:r>
      <w:r w:rsidR="004D681C" w:rsidRPr="001E1599">
        <w:fldChar w:fldCharType="separate"/>
      </w:r>
      <w:r w:rsidR="00F859BD" w:rsidRPr="001E1599">
        <w:t>(Spreitzer &amp; Schenk, 2019)</w:t>
      </w:r>
      <w:r w:rsidR="004D681C" w:rsidRPr="001E1599">
        <w:fldChar w:fldCharType="end"/>
      </w:r>
      <w:r w:rsidR="00D61219" w:rsidRPr="001E1599">
        <w:t>,</w:t>
      </w:r>
      <w:r w:rsidR="00D61219">
        <w:t xml:space="preserve"> is primarily connected to the concern of climate change because the reduction of iron oxide with hydrogen produces water vapor rather than the carbon dioxide produced by the reduction with the carbon monoxide (coal</w:t>
      </w:r>
      <w:r w:rsidR="00D61219" w:rsidRPr="001E1599">
        <w:t>)</w:t>
      </w:r>
      <w:r w:rsidR="004D681C" w:rsidRPr="001E1599">
        <w:t xml:space="preserve"> </w:t>
      </w:r>
      <w:r w:rsidR="004D681C" w:rsidRPr="001E1599">
        <w:fldChar w:fldCharType="begin"/>
      </w:r>
      <w:r w:rsidR="00F859BD" w:rsidRPr="001E1599">
        <w:instrText xml:space="preserve"> ADDIN ZOTERO_ITEM CSL_CITATION {"citationID":"1VTuBxTx","properties":{"formattedCitation":"(Patisson &amp; Mirgaux, 2020)","plainCitation":"(Patisson &amp; Mirgaux, 2020)","noteIndex":0},"citationItems":[{"id":404,"uris":["http://zotero.org/users/local/DJMEkG8Q/items/SAGKCMQX"],"itemData":{"id":404,"type":"article-journal","abstract":"A new route for making steel from iron ore based on the use of hydrogen to reduce iron oxides is presented, detailed and analyzed. The main advantage of this steelmaking route is the dramatic reduction (90% off) in CO2 emissions compared to those of the current standard blast-furnace route. The first process of the route is the production of hydrogen by water electrolysis using CO2-lean electricity. The challenge is to achieve massive production of H2 in acceptable economic conditions. The second process is the direct reduction of iron ore in a shaft furnace operated with hydrogen only. The third process is the melting of the carbon-free direct reduced iron in an electric arc furnace to produce steel. From mathematical modeling of the direct reduction furnace, we show that complete metallization can be achieved in a reactor smaller than the current shaft furnaces that use syngas made from natural gas. The reduction processes at the scale of the ore pellets are described and modeled using a specific structural kinetic pellet model. Finally, the differences between the reduction by hydrogen and by carbon monoxide are discussed, from the grain scale to the reactor scale. Regarding the kinetics, reduction with hydrogen is definitely faster. Several research and development and innovation projects have very recently been launched that should confirm the viability and performance of this breakthrough and environmentally friendly ironmaking process.","container-title":"Metals","DOI":"10.3390/met10070922","ISSN":"2075-4701","issue":"7","language":"en","license":"http://creativecommons.org/licenses/by/3.0/","note":"number: 7\npublisher: Multidisciplinary Digital Publishing Institute","page":"922","source":"www.mdpi.com","title":"Hydrogen Ironmaking: How It Works","title-short":"Hydrogen Ironmaking","volume":"10","author":[{"family":"Patisson","given":"Fabrice"},{"family":"Mirgaux","given":"Olivier"}],"issued":{"date-parts":[["2020",7]]}}}],"schema":"https://github.com/citation-style-language/schema/raw/master/csl-citation.json"} </w:instrText>
      </w:r>
      <w:r w:rsidR="004D681C" w:rsidRPr="001E1599">
        <w:fldChar w:fldCharType="separate"/>
      </w:r>
      <w:r w:rsidR="00F859BD" w:rsidRPr="001E1599">
        <w:t>(Patisson &amp; Mirgaux, 2020)</w:t>
      </w:r>
      <w:r w:rsidR="004D681C" w:rsidRPr="001E1599">
        <w:fldChar w:fldCharType="end"/>
      </w:r>
      <w:r w:rsidR="00D61219" w:rsidRPr="001E1599">
        <w:t>. Around</w:t>
      </w:r>
      <w:r w:rsidR="00D61219">
        <w:t xml:space="preserve"> 80 % of the world’s pre-reduced iron is produced using a gaseous mixture of hydrogen and carbon monoxide as the reducing gas in a shaft furnace. The first production of pre-reduced iron using pure hydrogen is scheduled for 2025.</w:t>
      </w:r>
      <w:r w:rsidR="003F4385">
        <w:t xml:space="preserve"> </w:t>
      </w:r>
      <w:r w:rsidR="00D61219">
        <w:t xml:space="preserve">Therefore, our aim is to show the potentials and </w:t>
      </w:r>
      <w:r w:rsidR="00D61219">
        <w:lastRenderedPageBreak/>
        <w:t>limitations of such processes using pure hydrogen at pellet and reactor scale when operating at different operating conditions</w:t>
      </w:r>
      <w:r w:rsidR="00034E59">
        <w:t>,</w:t>
      </w:r>
      <w:r w:rsidR="00D61219">
        <w:t xml:space="preserve"> such as the reduction temperatures, iron ore pellet size</w:t>
      </w:r>
      <w:r w:rsidR="00034E59">
        <w:t>,</w:t>
      </w:r>
      <w:r w:rsidR="00D61219">
        <w:t xml:space="preserve"> and water content in the reducing gas.</w:t>
      </w:r>
    </w:p>
    <w:p w14:paraId="144DE699" w14:textId="3EACA0F1" w:rsidR="008D2649" w:rsidRDefault="00980CA1" w:rsidP="008D2649">
      <w:pPr>
        <w:pStyle w:val="Els-1storder-head"/>
      </w:pPr>
      <w:r>
        <w:t>Methods</w:t>
      </w:r>
    </w:p>
    <w:p w14:paraId="7FA70853" w14:textId="3E996424" w:rsidR="00774F91" w:rsidRPr="001E1599" w:rsidRDefault="0020329D" w:rsidP="00774F91">
      <w:pPr>
        <w:pStyle w:val="Els-body-text"/>
      </w:pPr>
      <w:r>
        <w:t xml:space="preserve">In the reactor, the various </w:t>
      </w:r>
      <w:r w:rsidR="009B51A2">
        <w:t xml:space="preserve">mass and energy </w:t>
      </w:r>
      <w:r>
        <w:t xml:space="preserve">transport phenomena are coupled with chemical reactions. In </w:t>
      </w:r>
      <w:r w:rsidR="009B51A2">
        <w:t>order</w:t>
      </w:r>
      <w:r>
        <w:t xml:space="preserve"> to predict the </w:t>
      </w:r>
      <w:r w:rsidR="009B51A2">
        <w:t>process performance</w:t>
      </w:r>
      <w:r>
        <w:t>, a pellet-scale model</w:t>
      </w:r>
      <w:r w:rsidR="00034E59">
        <w:t xml:space="preserve"> </w:t>
      </w:r>
      <w:r>
        <w:t>is first developed to simulate the various transfer, diffusion</w:t>
      </w:r>
      <w:r w:rsidR="00034E59">
        <w:t>,</w:t>
      </w:r>
      <w:r>
        <w:t xml:space="preserve"> and reaction phenomena.</w:t>
      </w:r>
      <w:r w:rsidR="003B4D45">
        <w:t xml:space="preserve"> Then, this model is integrated into the global reactor model that simulates the conversion and thermal behaviors at a large scale</w:t>
      </w:r>
      <w:r w:rsidR="003B4D45" w:rsidRPr="001E1599">
        <w:t>.</w:t>
      </w:r>
      <w:r w:rsidR="00E0295F" w:rsidRPr="001E1599">
        <w:t xml:space="preserve"> The following pellet and reactor models </w:t>
      </w:r>
      <w:r w:rsidR="00CE57E4" w:rsidRPr="001E1599">
        <w:t>consist</w:t>
      </w:r>
      <w:r w:rsidR="00E0295F" w:rsidRPr="001E1599">
        <w:t xml:space="preserve"> of homemade Python scripts.</w:t>
      </w:r>
    </w:p>
    <w:p w14:paraId="144DE69A" w14:textId="6F2328BC" w:rsidR="008D2649" w:rsidRPr="001E1599" w:rsidRDefault="0020329D" w:rsidP="008D2649">
      <w:pPr>
        <w:pStyle w:val="Els-2ndorder-head"/>
      </w:pPr>
      <w:r w:rsidRPr="001E1599">
        <w:t>Pellet</w:t>
      </w:r>
      <w:r w:rsidR="00413C60" w:rsidRPr="001E1599">
        <w:t xml:space="preserve"> model</w:t>
      </w:r>
    </w:p>
    <w:p w14:paraId="5272BF93" w14:textId="15F6FBAD" w:rsidR="00A71BE4" w:rsidRDefault="007B7F19" w:rsidP="008D2649">
      <w:pPr>
        <w:pStyle w:val="Els-body-text"/>
      </w:pPr>
      <w:r>
        <w:t>The</w:t>
      </w:r>
      <w:r w:rsidR="004E5266">
        <w:t xml:space="preserve"> pellet</w:t>
      </w:r>
      <w:r w:rsidR="00E11209">
        <w:t xml:space="preserve"> model is based on the progression of a shrinking core</w:t>
      </w:r>
      <w:r w:rsidR="004E5266">
        <w:t xml:space="preserve"> by involving simultaneously reaction-diffusion phenomena at each reacting solid layer</w:t>
      </w:r>
      <w:r w:rsidR="00E11209">
        <w:t>.</w:t>
      </w:r>
      <w:r w:rsidR="00375DBD">
        <w:t xml:space="preserve"> This model is commonly applied to situations where a chemical reaction </w:t>
      </w:r>
      <w:r w:rsidR="00510218">
        <w:t>occurs</w:t>
      </w:r>
      <w:r w:rsidR="00375DBD">
        <w:t xml:space="preserve"> at the surface of a solid material, and over time, the reaction progresses inward, causing the solid core to "shrink" as the reaction front moves deeper into the material.</w:t>
      </w:r>
      <w:r w:rsidR="006C7164">
        <w:t xml:space="preserve"> When the reactant transforms into another solid material, leaving behind an unreacted solid, the </w:t>
      </w:r>
      <w:r w:rsidR="006B60D6">
        <w:t>u</w:t>
      </w:r>
      <w:r w:rsidR="006C7164">
        <w:t xml:space="preserve">nreacted </w:t>
      </w:r>
      <w:r w:rsidR="006B60D6">
        <w:t>s</w:t>
      </w:r>
      <w:r w:rsidR="006C7164">
        <w:t xml:space="preserve">hrinking </w:t>
      </w:r>
      <w:r w:rsidR="006B60D6">
        <w:t>c</w:t>
      </w:r>
      <w:r w:rsidR="006C7164">
        <w:t xml:space="preserve">ore </w:t>
      </w:r>
      <w:r w:rsidR="006B60D6">
        <w:t>m</w:t>
      </w:r>
      <w:r w:rsidR="006C7164">
        <w:t xml:space="preserve">odel (USCM) is </w:t>
      </w:r>
      <w:r w:rsidR="006C7164" w:rsidRPr="001E1599">
        <w:t>applied</w:t>
      </w:r>
      <w:r w:rsidR="00B85837" w:rsidRPr="001E1599">
        <w:t xml:space="preserve"> </w:t>
      </w:r>
      <w:r w:rsidR="00B85837" w:rsidRPr="001E1599">
        <w:fldChar w:fldCharType="begin"/>
      </w:r>
      <w:r w:rsidR="00F859BD" w:rsidRPr="001E1599">
        <w:instrText xml:space="preserve"> ADDIN ZOTERO_ITEM CSL_CITATION {"citationID":"b0Ukecpv","properties":{"formattedCitation":"(Levenspiel, 1998)","plainCitation":"(Levenspiel, 1998)","noteIndex":0},"citationItems":[{"id":413,"uris":["http://zotero.org/users/local/DJMEkG8Q/items/NT4VMPZP"],"itemData":{"id":413,"type":"book","abstract":"Die 3. überarbeitete Auflage ist ein zuverlässiger und effektiver Fragenkatalog für Studenten. Mit dem Schwerpunkt auf qualitativen Argumenten, einfachen Designmethoden, graphischen Verfahren und der Leistungsstärke der wichtigsten Reaktortypen wird dem Lernenden ein Gefühl für gutes Design vermittelt. Mit über 400 Problemstellungen - 75% sind neues Material - und mehr als 80 anschaulichen Beispielen. Die Vermittlung des Stoffes erfolgt fortschreitend vom Einfachen zum Komplexen. Wo erforderlich, wird erklärt, warum bestimmte Annahmen getroffen wruden, warum ein alternativer Ansatz nicht angewandt wurde und welche Grenzen in echten Situationen bestehen. Ebenso wird eine Reihe neuer Themen behandelt, wie z.B. biochemische Systeme, Reaktoren mit quasi-flüssigen Brennstoffen, Gas-/Flüssigreaktoren etc. (09/98)","ISBN":"978-0-471-25424-9","language":"en","note":"Google-Books-ID: vw48EAAAQBAJ","number-of-pages":"689","publisher":"John Wiley &amp; Sons","source":"Google Books","title":"Chemical Reaction Engineering","author":[{"family":"Levenspiel","given":"Octave"}],"issued":{"date-parts":[["1998",9,1]]}}}],"schema":"https://github.com/citation-style-language/schema/raw/master/csl-citation.json"} </w:instrText>
      </w:r>
      <w:r w:rsidR="00B85837" w:rsidRPr="001E1599">
        <w:fldChar w:fldCharType="separate"/>
      </w:r>
      <w:r w:rsidR="00F859BD" w:rsidRPr="001E1599">
        <w:t>(Levenspiel, 1998)</w:t>
      </w:r>
      <w:r w:rsidR="00B85837" w:rsidRPr="001E1599">
        <w:fldChar w:fldCharType="end"/>
      </w:r>
      <w:r w:rsidR="006C7164" w:rsidRPr="001E1599">
        <w:t>.</w:t>
      </w:r>
      <w:r w:rsidR="00EE3A4C">
        <w:t xml:space="preserve"> Since the reduction of iron oxides </w:t>
      </w:r>
      <w:r w:rsidR="00580299">
        <w:t>with hydrogen</w:t>
      </w:r>
      <w:r>
        <w:t xml:space="preserve"> </w:t>
      </w:r>
      <w:r w:rsidR="00EE3A4C">
        <w:t xml:space="preserve">involves </w:t>
      </w:r>
      <w:r>
        <w:t xml:space="preserve">four </w:t>
      </w:r>
      <w:r w:rsidR="00E43672">
        <w:t>reactions (</w:t>
      </w:r>
      <w:r w:rsidR="00B85837">
        <w:t>R1-</w:t>
      </w:r>
      <w:r>
        <w:t>4</w:t>
      </w:r>
      <w:r w:rsidR="00B85837">
        <w:t xml:space="preserve">) </w:t>
      </w:r>
      <w:r w:rsidR="009819A5">
        <w:t>as a function of</w:t>
      </w:r>
      <w:r>
        <w:t xml:space="preserve"> temperature</w:t>
      </w:r>
      <w:r w:rsidR="00EE3A4C">
        <w:t xml:space="preserve">, </w:t>
      </w:r>
      <w:r w:rsidR="009819A5">
        <w:t xml:space="preserve">the </w:t>
      </w:r>
      <w:r w:rsidR="00EE3A4C">
        <w:t xml:space="preserve">USCM is extended to consider </w:t>
      </w:r>
      <w:r>
        <w:t>a wide range of reduction temperature</w:t>
      </w:r>
      <w:r w:rsidR="009819A5">
        <w:t>s</w:t>
      </w:r>
      <w:r w:rsidR="0045241A">
        <w:t>,</w:t>
      </w:r>
      <w:r>
        <w:t xml:space="preserve"> from low temperatures (T &lt; 570 °C) where </w:t>
      </w:r>
      <w:r w:rsidR="00E43672">
        <w:t>wüstite</w:t>
      </w:r>
      <w:r>
        <w:t xml:space="preserve"> (FeO) is unstable</w:t>
      </w:r>
      <w:r w:rsidR="009819A5">
        <w:t xml:space="preserve"> up</w:t>
      </w:r>
      <w:r>
        <w:t xml:space="preserve"> to higher temperatures</w:t>
      </w:r>
      <w:r w:rsidR="00EE3A4C">
        <w:t>.</w:t>
      </w:r>
      <w:r w:rsidR="00411FBC">
        <w:t xml:space="preserve"> </w:t>
      </w:r>
      <w:r w:rsidR="009819A5">
        <w:t>Consequently</w:t>
      </w:r>
      <w:r>
        <w:t>, the kinetics of chemical reactions are established separately at low and high temperatures with their respective stoichiometries.</w:t>
      </w:r>
    </w:p>
    <w:p w14:paraId="460ECF6C" w14:textId="42AC2CEB" w:rsidR="00B60A9D" w:rsidRDefault="00B60A9D" w:rsidP="00B12521">
      <w:pPr>
        <w:pStyle w:val="Els-body-text"/>
      </w:pPr>
      <w:r>
        <w:t xml:space="preserve">From </w:t>
      </w:r>
      <w:r w:rsidR="009819A5">
        <w:t xml:space="preserve">a </w:t>
      </w:r>
      <w:r>
        <w:t>chemical reaction</w:t>
      </w:r>
      <w:r w:rsidR="009819A5">
        <w:t xml:space="preserve"> perspective</w:t>
      </w:r>
      <w:r>
        <w:t>, first</w:t>
      </w:r>
      <w:r w:rsidR="009819A5">
        <w:t>-</w:t>
      </w:r>
      <w:r>
        <w:t>order reaction rates</w:t>
      </w:r>
      <w:r w:rsidR="00023289">
        <w:t xml:space="preserve"> (R</w:t>
      </w:r>
      <w:r w:rsidR="00023289">
        <w:rPr>
          <w:vertAlign w:val="subscript"/>
        </w:rPr>
        <w:t>i</w:t>
      </w:r>
      <w:r w:rsidR="00023289">
        <w:t>)</w:t>
      </w:r>
      <w:r>
        <w:t>,</w:t>
      </w:r>
      <w:r w:rsidRPr="006B42EE">
        <w:t xml:space="preserve"> </w:t>
      </w:r>
      <w:r>
        <w:t xml:space="preserve">as shown in Eq. (1), are formulated </w:t>
      </w:r>
      <w:r w:rsidR="009819A5">
        <w:t>according to characteristic</w:t>
      </w:r>
      <w:r>
        <w:t xml:space="preserve"> dimensions, </w:t>
      </w:r>
      <w:r w:rsidR="00E43672">
        <w:t>i.e.</w:t>
      </w:r>
      <w:r w:rsidR="00715B85">
        <w:t xml:space="preserve">, </w:t>
      </w:r>
      <w:r>
        <w:t>the radius of the pellet (r</w:t>
      </w:r>
      <w:r w:rsidRPr="00A25BBE">
        <w:rPr>
          <w:vertAlign w:val="subscript"/>
        </w:rPr>
        <w:t>0</w:t>
      </w:r>
      <w:r>
        <w:t xml:space="preserve">) and </w:t>
      </w:r>
      <w:r w:rsidR="009819A5">
        <w:t xml:space="preserve">the </w:t>
      </w:r>
      <w:r>
        <w:t>radius of the corresponding solid layer (</w:t>
      </w:r>
      <w:proofErr w:type="spellStart"/>
      <w:r>
        <w:t>r</w:t>
      </w:r>
      <w:r w:rsidRPr="00A25BBE">
        <w:rPr>
          <w:vertAlign w:val="subscript"/>
        </w:rPr>
        <w:t>i</w:t>
      </w:r>
      <w:proofErr w:type="spellEnd"/>
      <w:r>
        <w:t>), the kinetic constant of reaction (</w:t>
      </w:r>
      <w:proofErr w:type="spellStart"/>
      <w:r>
        <w:t>k</w:t>
      </w:r>
      <w:r w:rsidRPr="00A25BBE">
        <w:rPr>
          <w:vertAlign w:val="subscript"/>
        </w:rPr>
        <w:t>i</w:t>
      </w:r>
      <w:proofErr w:type="spellEnd"/>
      <w:r>
        <w:t>), and the gas concentrations (</w:t>
      </w:r>
      <m:oMath>
        <m:sSub>
          <m:sSubPr>
            <m:ctrlPr>
              <w:rPr>
                <w:rFonts w:ascii="Cambria Math" w:hAnsi="Cambria Math"/>
                <w:i/>
                <w:lang w:val="en-GB"/>
              </w:rPr>
            </m:ctrlPr>
          </m:sSubPr>
          <m:e>
            <m:r>
              <w:rPr>
                <w:rFonts w:ascii="Cambria Math"/>
                <w:lang w:val="en-GB"/>
              </w:rPr>
              <m:t>C</m:t>
            </m:r>
          </m:e>
          <m:sub>
            <m:sSub>
              <m:sSubPr>
                <m:ctrlPr>
                  <w:rPr>
                    <w:rFonts w:ascii="Cambria Math" w:hAnsi="Cambria Math"/>
                    <w:i/>
                    <w:lang w:val="en-GB"/>
                  </w:rPr>
                </m:ctrlPr>
              </m:sSubPr>
              <m:e>
                <m:r>
                  <w:rPr>
                    <w:rFonts w:ascii="Cambria Math"/>
                    <w:lang w:val="en-GB"/>
                  </w:rPr>
                  <m:t>H</m:t>
                </m:r>
              </m:e>
              <m:sub>
                <m:r>
                  <w:rPr>
                    <w:rFonts w:ascii="Cambria Math"/>
                    <w:lang w:val="en-GB"/>
                  </w:rPr>
                  <m:t>2</m:t>
                </m:r>
              </m:sub>
            </m:sSub>
          </m:sub>
        </m:sSub>
      </m:oMath>
      <w:r>
        <w:rPr>
          <w:lang w:val="en-GB"/>
        </w:rPr>
        <w:t xml:space="preserve">, </w:t>
      </w:r>
      <m:oMath>
        <m:sSub>
          <m:sSubPr>
            <m:ctrlPr>
              <w:rPr>
                <w:rFonts w:ascii="Cambria Math" w:hAnsi="Cambria Math"/>
                <w:i/>
                <w:lang w:val="en-GB"/>
              </w:rPr>
            </m:ctrlPr>
          </m:sSubPr>
          <m:e>
            <m:r>
              <w:rPr>
                <w:rFonts w:ascii="Cambria Math"/>
                <w:lang w:val="en-GB"/>
              </w:rPr>
              <m:t>C</m:t>
            </m:r>
          </m:e>
          <m:sub>
            <m:sSub>
              <m:sSubPr>
                <m:ctrlPr>
                  <w:rPr>
                    <w:rFonts w:ascii="Cambria Math" w:hAnsi="Cambria Math"/>
                    <w:i/>
                    <w:lang w:val="en-GB"/>
                  </w:rPr>
                </m:ctrlPr>
              </m:sSubPr>
              <m:e>
                <m:r>
                  <w:rPr>
                    <w:rFonts w:ascii="Cambria Math"/>
                    <w:lang w:val="en-GB"/>
                  </w:rPr>
                  <m:t>H</m:t>
                </m:r>
              </m:e>
              <m:sub>
                <m:r>
                  <w:rPr>
                    <w:rFonts w:ascii="Cambria Math"/>
                    <w:lang w:val="en-GB"/>
                  </w:rPr>
                  <m:t>2</m:t>
                </m:r>
              </m:sub>
            </m:sSub>
            <m:r>
              <w:rPr>
                <w:rFonts w:ascii="Cambria Math"/>
                <w:lang w:val="en-GB"/>
              </w:rPr>
              <m:t>O</m:t>
            </m:r>
          </m:sub>
        </m:sSub>
      </m:oMath>
      <w:r>
        <w:t xml:space="preserve">). Note that reactions </w:t>
      </w:r>
      <w:r w:rsidR="009819A5">
        <w:t>can</w:t>
      </w:r>
      <w:r>
        <w:t xml:space="preserve"> be reversible depending on the chemical equilibrium constant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t>).</w:t>
      </w:r>
      <w:r w:rsidR="00EB32A6">
        <w:t xml:space="preserve"> </w:t>
      </w:r>
      <w:r>
        <w:t>In order to determine the conversion of iron ore pellet</w:t>
      </w:r>
      <w:r w:rsidR="009819A5">
        <w:t>s</w:t>
      </w:r>
      <w:r>
        <w:t>, the dynamic evolution of each solid layer is then determined in terms of solid concentration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s,k</m:t>
            </m:r>
          </m:sub>
        </m:sSub>
      </m:oMath>
      <w:r>
        <w:t>) as a function of reaction rates and stochiometric coefficients (</w:t>
      </w:r>
      <m:oMath>
        <m:sSub>
          <m:sSubPr>
            <m:ctrlPr>
              <w:rPr>
                <w:rFonts w:ascii="Cambria Math" w:hAnsi="Cambria Math"/>
                <w:i/>
                <w:sz w:val="24"/>
                <w:szCs w:val="24"/>
              </w:rPr>
            </m:ctrlPr>
          </m:sSubPr>
          <m:e>
            <m:r>
              <w:rPr>
                <w:rFonts w:ascii="Cambria Math" w:hAnsi="Cambria Math"/>
                <w:sz w:val="24"/>
                <w:szCs w:val="24"/>
              </w:rPr>
              <m:t>ν</m:t>
            </m:r>
          </m:e>
          <m:sub>
            <m:r>
              <w:rPr>
                <w:rFonts w:ascii="Cambria Math" w:hAnsi="Cambria Math"/>
                <w:sz w:val="24"/>
                <w:szCs w:val="24"/>
              </w:rPr>
              <m:t>k,i</m:t>
            </m:r>
          </m:sub>
        </m:sSub>
      </m:oMath>
      <w:r>
        <w:t>) through Eq. (2).</w:t>
      </w:r>
    </w:p>
    <w:p w14:paraId="474206A1" w14:textId="4B052E9F" w:rsidR="00E13287" w:rsidRDefault="00E13287" w:rsidP="00B12521">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E13287" w14:paraId="5AC8252B" w14:textId="77777777" w:rsidTr="00E13287">
        <w:tc>
          <w:tcPr>
            <w:tcW w:w="3538" w:type="dxa"/>
          </w:tcPr>
          <w:p w14:paraId="2D505A58" w14:textId="008FD644" w:rsidR="00E13287" w:rsidRPr="00E13287" w:rsidRDefault="00D949B8" w:rsidP="00E13287">
            <w:pPr>
              <w:pStyle w:val="Els-body-text"/>
              <w:jc w:val="left"/>
            </w:pPr>
            <m:oMathPara>
              <m:oMathParaPr>
                <m:jc m:val="left"/>
              </m:oMathParaPr>
              <m:oMath>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2Fe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3538" w:type="dxa"/>
            <w:vAlign w:val="center"/>
          </w:tcPr>
          <w:p w14:paraId="7EA6A9AC" w14:textId="0171A95C" w:rsidR="00E13287" w:rsidRDefault="00E13287" w:rsidP="00E13287">
            <w:pPr>
              <w:pStyle w:val="Els-body-text"/>
              <w:jc w:val="right"/>
            </w:pPr>
            <w:r w:rsidRPr="00087A39">
              <w:t>(R1)</w:t>
            </w:r>
          </w:p>
        </w:tc>
      </w:tr>
      <w:tr w:rsidR="00E13287" w14:paraId="21585466" w14:textId="77777777" w:rsidTr="00E13287">
        <w:tc>
          <w:tcPr>
            <w:tcW w:w="3538" w:type="dxa"/>
          </w:tcPr>
          <w:p w14:paraId="4B46BBDC" w14:textId="772697DB" w:rsidR="00E13287" w:rsidRPr="00E13287" w:rsidRDefault="00D949B8" w:rsidP="00E13287">
            <w:pPr>
              <w:pStyle w:val="Els-body-text"/>
              <w:jc w:val="left"/>
            </w:pPr>
            <m:oMathPara>
              <m:oMathParaPr>
                <m:jc m:val="left"/>
              </m:oMathParaPr>
              <m:oMath>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→3FeO</m:t>
                </m:r>
                <m:r>
                  <w:rPr>
                    <w:rFonts w:ascii="Cambria Math" w:eastAsiaTheme="minorEastAsia"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3538" w:type="dxa"/>
            <w:vAlign w:val="center"/>
          </w:tcPr>
          <w:p w14:paraId="73A1CD92" w14:textId="53E7B242" w:rsidR="00E13287" w:rsidRDefault="00E13287" w:rsidP="00E13287">
            <w:pPr>
              <w:pStyle w:val="Els-body-text"/>
              <w:jc w:val="right"/>
            </w:pPr>
            <w:r w:rsidRPr="00087A39">
              <w:t>(R2)</w:t>
            </w:r>
          </w:p>
        </w:tc>
      </w:tr>
      <w:tr w:rsidR="00E13287" w14:paraId="398768E3" w14:textId="77777777" w:rsidTr="00E13287">
        <w:tc>
          <w:tcPr>
            <w:tcW w:w="3538" w:type="dxa"/>
          </w:tcPr>
          <w:p w14:paraId="54AA985B" w14:textId="735C7767" w:rsidR="00E13287" w:rsidRPr="00E13287" w:rsidRDefault="00E13287" w:rsidP="00E13287">
            <w:pPr>
              <w:pStyle w:val="Els-body-text"/>
              <w:jc w:val="left"/>
            </w:pPr>
            <m:oMathPara>
              <m:oMathParaPr>
                <m:jc m:val="left"/>
              </m:oMathParaPr>
              <m:oMath>
                <m:r>
                  <w:rPr>
                    <w:rFonts w:ascii="Cambria Math" w:hAnsi="Cambria Math"/>
                  </w:rPr>
                  <m:t>FeO+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→Fe+</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3538" w:type="dxa"/>
            <w:vAlign w:val="center"/>
          </w:tcPr>
          <w:p w14:paraId="2FA3C9F4" w14:textId="5DE5D288" w:rsidR="00E13287" w:rsidRDefault="00E13287" w:rsidP="00E13287">
            <w:pPr>
              <w:pStyle w:val="Els-body-text"/>
              <w:jc w:val="right"/>
            </w:pPr>
            <w:r w:rsidRPr="00087A39">
              <w:t>(R3)</w:t>
            </w:r>
          </w:p>
        </w:tc>
      </w:tr>
      <w:tr w:rsidR="00E13287" w14:paraId="490FEF29" w14:textId="77777777" w:rsidTr="00E13287">
        <w:tc>
          <w:tcPr>
            <w:tcW w:w="3538" w:type="dxa"/>
          </w:tcPr>
          <w:p w14:paraId="1ACF9EBD" w14:textId="3F543F3C" w:rsidR="00E13287" w:rsidRPr="00E13287" w:rsidRDefault="00D949B8" w:rsidP="00E13287">
            <w:pPr>
              <w:pStyle w:val="Els-body-text"/>
              <w:jc w:val="left"/>
            </w:pPr>
            <m:oMathPara>
              <m:oMathParaPr>
                <m:jc m:val="left"/>
              </m:oMathParaPr>
              <m:oMath>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→3Fe+4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3538" w:type="dxa"/>
            <w:vAlign w:val="center"/>
          </w:tcPr>
          <w:p w14:paraId="2A097D12" w14:textId="6907BB5C" w:rsidR="00E13287" w:rsidRDefault="00E13287" w:rsidP="00E13287">
            <w:pPr>
              <w:pStyle w:val="Els-body-text"/>
              <w:jc w:val="right"/>
            </w:pPr>
            <w:r w:rsidRPr="00087A39">
              <w:t>(R4)</w:t>
            </w:r>
          </w:p>
        </w:tc>
      </w:tr>
    </w:tbl>
    <w:p w14:paraId="20DA6554" w14:textId="77777777" w:rsidR="00E13287" w:rsidRDefault="00E13287" w:rsidP="00B12521">
      <w:pPr>
        <w:pStyle w:val="Els-body-text"/>
      </w:pPr>
    </w:p>
    <w:p w14:paraId="2591DBE3" w14:textId="77777777" w:rsidR="000931AF" w:rsidRDefault="000931AF" w:rsidP="008D2649">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92714E" w14:paraId="02D15EE3" w14:textId="77777777" w:rsidTr="00C76606">
        <w:trPr>
          <w:trHeight w:val="660"/>
        </w:trPr>
        <w:tc>
          <w:tcPr>
            <w:tcW w:w="3538" w:type="dxa"/>
            <w:vAlign w:val="bottom"/>
          </w:tcPr>
          <w:p w14:paraId="09AAEAB8" w14:textId="7CFB5B93" w:rsidR="00C76606" w:rsidRPr="00AC0CE8" w:rsidRDefault="00D949B8" w:rsidP="006A3C2D">
            <w:pPr>
              <w:pStyle w:val="Els-body-text"/>
              <w:spacing w:before="120" w:after="120"/>
              <w:jc w:val="right"/>
              <w:rPr>
                <w:lang w:val="en-GB"/>
              </w:rPr>
            </w:pPr>
            <m:oMathPara>
              <m:oMathParaPr>
                <m:jc m:val="left"/>
              </m:oMathParaPr>
              <m:oMath>
                <m:sSub>
                  <m:sSubPr>
                    <m:ctrlPr>
                      <w:rPr>
                        <w:rFonts w:ascii="Cambria Math" w:hAnsi="Cambria Math"/>
                        <w:i/>
                        <w:lang w:val="en-GB"/>
                      </w:rPr>
                    </m:ctrlPr>
                  </m:sSubPr>
                  <m:e>
                    <m:r>
                      <w:rPr>
                        <w:rFonts w:ascii="Cambria Math"/>
                        <w:lang w:val="en-GB"/>
                      </w:rPr>
                      <m:t>R</m:t>
                    </m:r>
                  </m:e>
                  <m:sub>
                    <m:r>
                      <w:rPr>
                        <w:rFonts w:ascii="Cambria Math"/>
                        <w:lang w:val="en-GB"/>
                      </w:rPr>
                      <m:t>i</m:t>
                    </m:r>
                  </m:sub>
                </m:sSub>
                <m:r>
                  <w:rPr>
                    <w:rFonts w:ascii="Cambria Math"/>
                    <w:lang w:val="en-GB"/>
                  </w:rPr>
                  <m:t xml:space="preserve">=3 </m:t>
                </m:r>
                <m:f>
                  <m:fPr>
                    <m:ctrlPr>
                      <w:rPr>
                        <w:rFonts w:ascii="Cambria Math" w:hAnsi="Cambria Math"/>
                        <w:i/>
                        <w:lang w:val="en-GB"/>
                      </w:rPr>
                    </m:ctrlPr>
                  </m:fPr>
                  <m:num>
                    <m:sSup>
                      <m:sSupPr>
                        <m:ctrlPr>
                          <w:rPr>
                            <w:rFonts w:ascii="Cambria Math" w:hAnsi="Cambria Math"/>
                            <w:i/>
                            <w:lang w:val="en-GB"/>
                          </w:rPr>
                        </m:ctrlPr>
                      </m:sSupPr>
                      <m:e>
                        <m:sSub>
                          <m:sSubPr>
                            <m:ctrlPr>
                              <w:rPr>
                                <w:rFonts w:ascii="Cambria Math" w:hAnsi="Cambria Math"/>
                                <w:i/>
                                <w:lang w:val="en-GB"/>
                              </w:rPr>
                            </m:ctrlPr>
                          </m:sSubPr>
                          <m:e>
                            <m:r>
                              <w:rPr>
                                <w:rFonts w:ascii="Cambria Math"/>
                                <w:lang w:val="en-GB"/>
                              </w:rPr>
                              <m:t>r</m:t>
                            </m:r>
                          </m:e>
                          <m:sub>
                            <m:r>
                              <w:rPr>
                                <w:rFonts w:ascii="Cambria Math"/>
                                <w:lang w:val="en-GB"/>
                              </w:rPr>
                              <m:t>i</m:t>
                            </m:r>
                          </m:sub>
                        </m:sSub>
                      </m:e>
                      <m:sup>
                        <m:r>
                          <w:rPr>
                            <w:rFonts w:ascii="Cambria Math"/>
                            <w:lang w:val="en-GB"/>
                          </w:rPr>
                          <m:t>2</m:t>
                        </m:r>
                      </m:sup>
                    </m:sSup>
                  </m:num>
                  <m:den>
                    <m:sSup>
                      <m:sSupPr>
                        <m:ctrlPr>
                          <w:rPr>
                            <w:rFonts w:ascii="Cambria Math" w:hAnsi="Cambria Math"/>
                            <w:i/>
                            <w:lang w:val="en-GB"/>
                          </w:rPr>
                        </m:ctrlPr>
                      </m:sSupPr>
                      <m:e>
                        <m:sSub>
                          <m:sSubPr>
                            <m:ctrlPr>
                              <w:rPr>
                                <w:rFonts w:ascii="Cambria Math" w:hAnsi="Cambria Math"/>
                                <w:i/>
                                <w:lang w:val="en-GB"/>
                              </w:rPr>
                            </m:ctrlPr>
                          </m:sSubPr>
                          <m:e>
                            <m:r>
                              <w:rPr>
                                <w:rFonts w:ascii="Cambria Math"/>
                                <w:lang w:val="en-GB"/>
                              </w:rPr>
                              <m:t>r</m:t>
                            </m:r>
                          </m:e>
                          <m:sub>
                            <m:r>
                              <w:rPr>
                                <w:rFonts w:ascii="Cambria Math"/>
                                <w:lang w:val="en-GB"/>
                              </w:rPr>
                              <m:t>0</m:t>
                            </m:r>
                          </m:sub>
                        </m:sSub>
                      </m:e>
                      <m:sup>
                        <m:r>
                          <w:rPr>
                            <w:rFonts w:ascii="Cambria Math"/>
                            <w:lang w:val="en-GB"/>
                          </w:rPr>
                          <m:t>3</m:t>
                        </m:r>
                      </m:sup>
                    </m:sSup>
                  </m:den>
                </m:f>
                <m:r>
                  <w:rPr>
                    <w:rFonts w:ascii="Cambria Math"/>
                    <w:lang w:val="en-GB"/>
                  </w:rPr>
                  <m:t xml:space="preserve"> </m:t>
                </m:r>
                <m:sSub>
                  <m:sSubPr>
                    <m:ctrlPr>
                      <w:rPr>
                        <w:rFonts w:ascii="Cambria Math" w:hAnsi="Cambria Math"/>
                        <w:i/>
                        <w:lang w:val="en-GB"/>
                      </w:rPr>
                    </m:ctrlPr>
                  </m:sSubPr>
                  <m:e>
                    <m:r>
                      <w:rPr>
                        <w:rFonts w:ascii="Cambria Math"/>
                        <w:lang w:val="en-GB"/>
                      </w:rPr>
                      <m:t>k</m:t>
                    </m:r>
                  </m:e>
                  <m:sub>
                    <m:r>
                      <w:rPr>
                        <w:rFonts w:ascii="Cambria Math"/>
                        <w:lang w:val="en-GB"/>
                      </w:rPr>
                      <m:t>i</m:t>
                    </m:r>
                  </m:sub>
                </m:sSub>
                <m:d>
                  <m:dPr>
                    <m:ctrlPr>
                      <w:rPr>
                        <w:rFonts w:ascii="Cambria Math" w:hAnsi="Cambria Math"/>
                        <w:i/>
                        <w:lang w:val="en-GB"/>
                      </w:rPr>
                    </m:ctrlPr>
                  </m:dPr>
                  <m:e>
                    <m:sSub>
                      <m:sSubPr>
                        <m:ctrlPr>
                          <w:rPr>
                            <w:rFonts w:ascii="Cambria Math" w:hAnsi="Cambria Math"/>
                            <w:i/>
                            <w:lang w:val="en-GB"/>
                          </w:rPr>
                        </m:ctrlPr>
                      </m:sSubPr>
                      <m:e>
                        <m:r>
                          <w:rPr>
                            <w:rFonts w:ascii="Cambria Math"/>
                            <w:lang w:val="en-GB"/>
                          </w:rPr>
                          <m:t>C</m:t>
                        </m:r>
                      </m:e>
                      <m:sub>
                        <m:sSub>
                          <m:sSubPr>
                            <m:ctrlPr>
                              <w:rPr>
                                <w:rFonts w:ascii="Cambria Math" w:hAnsi="Cambria Math"/>
                                <w:i/>
                                <w:lang w:val="en-GB"/>
                              </w:rPr>
                            </m:ctrlPr>
                          </m:sSubPr>
                          <m:e>
                            <m:r>
                              <w:rPr>
                                <w:rFonts w:ascii="Cambria Math"/>
                                <w:lang w:val="en-GB"/>
                              </w:rPr>
                              <m:t>H</m:t>
                            </m:r>
                          </m:e>
                          <m:sub>
                            <m:r>
                              <w:rPr>
                                <w:rFonts w:ascii="Cambria Math"/>
                                <w:lang w:val="en-GB"/>
                              </w:rPr>
                              <m:t>2</m:t>
                            </m:r>
                          </m:sub>
                        </m:sSub>
                      </m:sub>
                    </m:sSub>
                    <m:d>
                      <m:dPr>
                        <m:ctrlPr>
                          <w:rPr>
                            <w:rFonts w:ascii="Cambria Math" w:hAnsi="Cambria Math"/>
                            <w:i/>
                            <w:lang w:val="en-GB"/>
                          </w:rPr>
                        </m:ctrlPr>
                      </m:dPr>
                      <m:e>
                        <m:sSub>
                          <m:sSubPr>
                            <m:ctrlPr>
                              <w:rPr>
                                <w:rFonts w:ascii="Cambria Math" w:hAnsi="Cambria Math"/>
                                <w:i/>
                                <w:lang w:val="en-GB"/>
                              </w:rPr>
                            </m:ctrlPr>
                          </m:sSubPr>
                          <m:e>
                            <m:r>
                              <w:rPr>
                                <w:rFonts w:ascii="Cambria Math"/>
                                <w:lang w:val="en-GB"/>
                              </w:rPr>
                              <m:t>r</m:t>
                            </m:r>
                          </m:e>
                          <m:sub>
                            <m:r>
                              <w:rPr>
                                <w:rFonts w:ascii="Cambria Math"/>
                                <w:lang w:val="en-GB"/>
                              </w:rPr>
                              <m:t>i</m:t>
                            </m:r>
                          </m:sub>
                        </m:sSub>
                      </m:e>
                    </m:d>
                    <m:r>
                      <w:rPr>
                        <w:rFonts w:asci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C</m:t>
                            </m:r>
                          </m:e>
                          <m:sub>
                            <m:sSub>
                              <m:sSubPr>
                                <m:ctrlPr>
                                  <w:rPr>
                                    <w:rFonts w:ascii="Cambria Math" w:hAnsi="Cambria Math"/>
                                    <w:i/>
                                    <w:lang w:val="en-GB"/>
                                  </w:rPr>
                                </m:ctrlPr>
                              </m:sSubPr>
                              <m:e>
                                <m:r>
                                  <w:rPr>
                                    <w:rFonts w:ascii="Cambria Math"/>
                                    <w:lang w:val="en-GB"/>
                                  </w:rPr>
                                  <m:t>H</m:t>
                                </m:r>
                              </m:e>
                              <m:sub>
                                <m:r>
                                  <w:rPr>
                                    <w:rFonts w:ascii="Cambria Math"/>
                                    <w:lang w:val="en-GB"/>
                                  </w:rPr>
                                  <m:t>2</m:t>
                                </m:r>
                              </m:sub>
                            </m:sSub>
                            <m:r>
                              <w:rPr>
                                <w:rFonts w:ascii="Cambria Math"/>
                                <w:lang w:val="en-GB"/>
                              </w:rPr>
                              <m:t>O</m:t>
                            </m:r>
                          </m:sub>
                        </m:sSub>
                        <m:d>
                          <m:dPr>
                            <m:ctrlPr>
                              <w:rPr>
                                <w:rFonts w:ascii="Cambria Math" w:hAnsi="Cambria Math"/>
                                <w:i/>
                                <w:lang w:val="en-GB"/>
                              </w:rPr>
                            </m:ctrlPr>
                          </m:dPr>
                          <m:e>
                            <m:sSub>
                              <m:sSubPr>
                                <m:ctrlPr>
                                  <w:rPr>
                                    <w:rFonts w:ascii="Cambria Math" w:hAnsi="Cambria Math"/>
                                    <w:i/>
                                    <w:lang w:val="en-GB"/>
                                  </w:rPr>
                                </m:ctrlPr>
                              </m:sSubPr>
                              <m:e>
                                <m:r>
                                  <w:rPr>
                                    <w:rFonts w:ascii="Cambria Math"/>
                                    <w:lang w:val="en-GB"/>
                                  </w:rPr>
                                  <m:t>r</m:t>
                                </m:r>
                              </m:e>
                              <m:sub>
                                <m:r>
                                  <w:rPr>
                                    <w:rFonts w:ascii="Cambria Math"/>
                                    <w:lang w:val="en-GB"/>
                                  </w:rPr>
                                  <m:t>i</m:t>
                                </m:r>
                              </m:sub>
                            </m:sSub>
                          </m:e>
                        </m:d>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den>
                    </m:f>
                    <m:r>
                      <w:rPr>
                        <w:rFonts w:ascii="Cambria Math"/>
                        <w:lang w:val="en-GB"/>
                      </w:rPr>
                      <m:t xml:space="preserve"> </m:t>
                    </m:r>
                  </m:e>
                </m:d>
              </m:oMath>
            </m:oMathPara>
          </w:p>
          <w:p w14:paraId="2B85D6F6" w14:textId="77777777" w:rsidR="0092714E" w:rsidRDefault="0092714E" w:rsidP="006A3C2D">
            <w:pPr>
              <w:pStyle w:val="Els-body-text"/>
              <w:jc w:val="right"/>
            </w:pPr>
          </w:p>
        </w:tc>
        <w:tc>
          <w:tcPr>
            <w:tcW w:w="3538" w:type="dxa"/>
            <w:vAlign w:val="center"/>
          </w:tcPr>
          <w:p w14:paraId="48947821" w14:textId="00B0CCE2" w:rsidR="0092714E" w:rsidRDefault="0092714E" w:rsidP="006A3C2D">
            <w:pPr>
              <w:pStyle w:val="Els-body-text"/>
              <w:jc w:val="right"/>
            </w:pPr>
            <w:r w:rsidRPr="00A94774">
              <w:rPr>
                <w:lang w:val="en-GB"/>
              </w:rPr>
              <w:t>(1)</w:t>
            </w:r>
          </w:p>
        </w:tc>
      </w:tr>
    </w:tbl>
    <w:p w14:paraId="036A3164" w14:textId="0FE535AE" w:rsidR="0092714E" w:rsidRDefault="0092714E" w:rsidP="006A3C2D">
      <w:pPr>
        <w:pStyle w:val="Els-body-text"/>
        <w:jc w:val="right"/>
      </w:pPr>
    </w:p>
    <w:tbl>
      <w:tblPr>
        <w:tblStyle w:val="Grigliatabella"/>
        <w:tblW w:w="7093" w:type="dxa"/>
        <w:tblInd w:w="-10" w:type="dxa"/>
        <w:tblLook w:val="04A0" w:firstRow="1" w:lastRow="0" w:firstColumn="1" w:lastColumn="0" w:noHBand="0" w:noVBand="1"/>
      </w:tblPr>
      <w:tblGrid>
        <w:gridCol w:w="3538"/>
        <w:gridCol w:w="3555"/>
      </w:tblGrid>
      <w:tr w:rsidR="006A3C2D" w14:paraId="4A5B5D79" w14:textId="77777777" w:rsidTr="00F74DF1">
        <w:trPr>
          <w:trHeight w:val="660"/>
        </w:trPr>
        <w:tc>
          <w:tcPr>
            <w:tcW w:w="3538" w:type="dxa"/>
            <w:tcBorders>
              <w:top w:val="nil"/>
              <w:left w:val="nil"/>
              <w:bottom w:val="nil"/>
              <w:right w:val="nil"/>
            </w:tcBorders>
            <w:vAlign w:val="center"/>
          </w:tcPr>
          <w:p w14:paraId="5300415D" w14:textId="504BB3A4" w:rsidR="006A3C2D" w:rsidRPr="006A3C2D" w:rsidRDefault="00D949B8" w:rsidP="0078103F">
            <w:pPr>
              <w:pStyle w:val="Els-body-text"/>
              <w:spacing w:before="120" w:after="120"/>
              <w:jc w:val="right"/>
            </w:pPr>
            <m:oMathPara>
              <m:oMathParaPr>
                <m:jc m:val="left"/>
              </m:oMathParaPr>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C</m:t>
                        </m:r>
                      </m:e>
                      <m:sub>
                        <m:r>
                          <w:rPr>
                            <w:rFonts w:ascii="Cambria Math" w:hAnsi="Cambria Math"/>
                          </w:rPr>
                          <m:t>s,k</m:t>
                        </m:r>
                      </m:sub>
                    </m:sSub>
                  </m:num>
                  <m:den>
                    <m:r>
                      <w:rPr>
                        <w:rFonts w:ascii="Cambria Math" w:hAnsi="Cambria Math"/>
                        <w:lang w:val="en-GB"/>
                      </w:rPr>
                      <m:t>∂</m:t>
                    </m:r>
                    <m:r>
                      <w:rPr>
                        <w:rFonts w:ascii="Cambria Math"/>
                        <w:lang w:val="en-GB"/>
                      </w:rPr>
                      <m:t>r</m:t>
                    </m:r>
                  </m:den>
                </m:f>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reactions</m:t>
                    </m:r>
                  </m:sup>
                  <m:e>
                    <m:sSub>
                      <m:sSubPr>
                        <m:ctrlPr>
                          <w:rPr>
                            <w:rFonts w:ascii="Cambria Math" w:hAnsi="Cambria Math"/>
                            <w:i/>
                          </w:rPr>
                        </m:ctrlPr>
                      </m:sSubPr>
                      <m:e>
                        <m:r>
                          <w:rPr>
                            <w:rFonts w:ascii="Cambria Math" w:hAnsi="Cambria Math"/>
                          </w:rPr>
                          <m:t>ν</m:t>
                        </m:r>
                      </m:e>
                      <m:sub>
                        <m:r>
                          <w:rPr>
                            <w:rFonts w:ascii="Cambria Math" w:hAnsi="Cambria Math"/>
                          </w:rPr>
                          <m:t>k,i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e>
                </m:nary>
                <m:r>
                  <w:rPr>
                    <w:rFonts w:ascii="Cambria Math" w:hAnsi="Cambria Math"/>
                  </w:rPr>
                  <m:t xml:space="preserve"> </m:t>
                </m:r>
              </m:oMath>
            </m:oMathPara>
          </w:p>
        </w:tc>
        <w:tc>
          <w:tcPr>
            <w:tcW w:w="3555" w:type="dxa"/>
            <w:tcBorders>
              <w:top w:val="nil"/>
              <w:left w:val="nil"/>
              <w:bottom w:val="nil"/>
              <w:right w:val="nil"/>
            </w:tcBorders>
            <w:vAlign w:val="center"/>
          </w:tcPr>
          <w:p w14:paraId="4BD87708" w14:textId="49BCD921" w:rsidR="006A3C2D" w:rsidRDefault="006A3C2D" w:rsidP="00F74DF1">
            <w:pPr>
              <w:pStyle w:val="Els-body-text"/>
              <w:jc w:val="right"/>
            </w:pPr>
            <w:r w:rsidRPr="00A94774">
              <w:rPr>
                <w:lang w:val="en-GB"/>
              </w:rPr>
              <w:t>(</w:t>
            </w:r>
            <w:r>
              <w:rPr>
                <w:lang w:val="en-GB"/>
              </w:rPr>
              <w:t>2</w:t>
            </w:r>
            <w:r w:rsidRPr="00A94774">
              <w:rPr>
                <w:lang w:val="en-GB"/>
              </w:rPr>
              <w:t>)</w:t>
            </w:r>
          </w:p>
        </w:tc>
      </w:tr>
    </w:tbl>
    <w:p w14:paraId="60BF58EC" w14:textId="5F9A6D97" w:rsidR="005D632E" w:rsidRDefault="00E87A36" w:rsidP="00200D7B">
      <w:pPr>
        <w:pStyle w:val="Els-body-text"/>
      </w:pPr>
      <w:r>
        <w:lastRenderedPageBreak/>
        <w:t>Nonetheless</w:t>
      </w:r>
      <w:r w:rsidR="005D632E">
        <w:t>, calculating reaction rates requires</w:t>
      </w:r>
      <w:r w:rsidR="00820A62">
        <w:t xml:space="preserve"> </w:t>
      </w:r>
      <w:r>
        <w:t>knowledge</w:t>
      </w:r>
      <w:r w:rsidR="005D632E">
        <w:t xml:space="preserve"> of the</w:t>
      </w:r>
      <w:r w:rsidR="00820A62">
        <w:t xml:space="preserve"> pellet’s</w:t>
      </w:r>
      <w:r w:rsidR="005D632E">
        <w:t xml:space="preserve"> radial gas concentration </w:t>
      </w:r>
      <w:r w:rsidR="00D93559">
        <w:t>(</w:t>
      </w:r>
      <m:oMath>
        <m:sSub>
          <m:sSubPr>
            <m:ctrlPr>
              <w:rPr>
                <w:rFonts w:ascii="Cambria Math" w:hAnsi="Cambria Math"/>
                <w:i/>
                <w:lang w:val="en-GB"/>
              </w:rPr>
            </m:ctrlPr>
          </m:sSubPr>
          <m:e>
            <m:r>
              <w:rPr>
                <w:rFonts w:ascii="Cambria Math"/>
                <w:lang w:val="en-GB"/>
              </w:rPr>
              <m:t>C</m:t>
            </m:r>
          </m:e>
          <m:sub>
            <m:r>
              <w:rPr>
                <w:rFonts w:ascii="Cambria Math"/>
                <w:lang w:val="en-GB"/>
              </w:rPr>
              <m:t>j</m:t>
            </m:r>
          </m:sub>
        </m:sSub>
      </m:oMath>
      <w:r w:rsidR="00D93559">
        <w:t>)</w:t>
      </w:r>
      <w:r w:rsidR="005D632E">
        <w:t>. For this purpose, the pseudo</w:t>
      </w:r>
      <w:r w:rsidR="00BB1CEF">
        <w:t>-</w:t>
      </w:r>
      <w:r w:rsidR="005D632E">
        <w:t>steady-state approach for the gas</w:t>
      </w:r>
      <w:r w:rsidR="004D4772">
        <w:t xml:space="preserve"> diffusion</w:t>
      </w:r>
      <w:r w:rsidR="005D632E">
        <w:t xml:space="preserve"> is used</w:t>
      </w:r>
      <w:r w:rsidR="00CB2E05">
        <w:t xml:space="preserve"> </w:t>
      </w:r>
      <w:r>
        <w:t>for each solid layer</w:t>
      </w:r>
      <w:r w:rsidR="009A220C">
        <w:t>,</w:t>
      </w:r>
      <w:r>
        <w:t xml:space="preserve"> </w:t>
      </w:r>
      <w:r w:rsidR="00CB2E05">
        <w:t>as shown in Eq. (</w:t>
      </w:r>
      <w:r w:rsidR="005C28DD">
        <w:t>3</w:t>
      </w:r>
      <w:r w:rsidR="00CB2E05">
        <w:t>)</w:t>
      </w:r>
      <w:r>
        <w:t xml:space="preserve"> assuming a</w:t>
      </w:r>
      <w:r w:rsidR="001355E2">
        <w:t xml:space="preserve"> </w:t>
      </w:r>
      <w:r w:rsidR="00566EDA">
        <w:t>spherical pellet:</w:t>
      </w:r>
    </w:p>
    <w:p w14:paraId="7C58402F" w14:textId="77777777" w:rsidR="00C1778F" w:rsidRDefault="00C1778F" w:rsidP="008D2649">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833717" w14:paraId="0A4B2ACB" w14:textId="77777777" w:rsidTr="004B1E32">
        <w:trPr>
          <w:trHeight w:val="574"/>
        </w:trPr>
        <w:tc>
          <w:tcPr>
            <w:tcW w:w="3538" w:type="dxa"/>
          </w:tcPr>
          <w:p w14:paraId="0C755D81" w14:textId="04098050" w:rsidR="00833717" w:rsidRPr="006134C1" w:rsidRDefault="00D949B8" w:rsidP="00C1778F">
            <w:pPr>
              <w:pStyle w:val="Els-body-text"/>
              <w:spacing w:before="120" w:after="120"/>
            </w:pPr>
            <m:oMathPara>
              <m:oMathParaPr>
                <m:jc m:val="left"/>
              </m:oMathParaPr>
              <m:oMath>
                <m:f>
                  <m:fPr>
                    <m:ctrlPr>
                      <w:rPr>
                        <w:rFonts w:ascii="Cambria Math" w:hAnsi="Cambria Math"/>
                        <w:i/>
                        <w:lang w:val="en-GB"/>
                      </w:rPr>
                    </m:ctrlPr>
                  </m:fPr>
                  <m:num>
                    <m:r>
                      <w:rPr>
                        <w:rFonts w:ascii="Cambria Math"/>
                        <w:lang w:val="en-GB"/>
                      </w:rPr>
                      <m:t>1</m:t>
                    </m:r>
                  </m:num>
                  <m:den>
                    <m:sSup>
                      <m:sSupPr>
                        <m:ctrlPr>
                          <w:rPr>
                            <w:rFonts w:ascii="Cambria Math" w:hAnsi="Cambria Math"/>
                            <w:i/>
                            <w:lang w:val="en-GB"/>
                          </w:rPr>
                        </m:ctrlPr>
                      </m:sSupPr>
                      <m:e>
                        <m:r>
                          <w:rPr>
                            <w:rFonts w:ascii="Cambria Math"/>
                            <w:lang w:val="en-GB"/>
                          </w:rPr>
                          <m:t>r</m:t>
                        </m:r>
                      </m:e>
                      <m:sup>
                        <m:r>
                          <w:rPr>
                            <w:rFonts w:ascii="Cambria Math"/>
                            <w:lang w:val="en-GB"/>
                          </w:rPr>
                          <m:t>2</m:t>
                        </m:r>
                      </m:sup>
                    </m:sSup>
                  </m:den>
                </m:f>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r>
                      <w:rPr>
                        <w:rFonts w:ascii="Cambria Math"/>
                        <w:lang w:val="en-GB"/>
                      </w:rPr>
                      <m:t>r</m:t>
                    </m:r>
                  </m:den>
                </m:f>
                <m:d>
                  <m:dPr>
                    <m:ctrlPr>
                      <w:rPr>
                        <w:rFonts w:ascii="Cambria Math" w:hAnsi="Cambria Math"/>
                        <w:i/>
                        <w:lang w:val="en-GB"/>
                      </w:rPr>
                    </m:ctrlPr>
                  </m:dPr>
                  <m:e>
                    <m:sSup>
                      <m:sSupPr>
                        <m:ctrlPr>
                          <w:rPr>
                            <w:rFonts w:ascii="Cambria Math" w:hAnsi="Cambria Math"/>
                            <w:i/>
                            <w:lang w:val="en-GB"/>
                          </w:rPr>
                        </m:ctrlPr>
                      </m:sSupPr>
                      <m:e>
                        <m:r>
                          <w:rPr>
                            <w:rFonts w:ascii="Cambria Math"/>
                            <w:lang w:val="en-GB"/>
                          </w:rPr>
                          <m:t>r</m:t>
                        </m:r>
                      </m:e>
                      <m:sup>
                        <m:r>
                          <w:rPr>
                            <w:rFonts w:ascii="Cambria Math"/>
                            <w:lang w:val="en-GB"/>
                          </w:rPr>
                          <m:t>2</m:t>
                        </m:r>
                      </m:sup>
                    </m:sSup>
                    <m:sSub>
                      <m:sSubPr>
                        <m:ctrlPr>
                          <w:rPr>
                            <w:rFonts w:ascii="Cambria Math" w:hAnsi="Cambria Math"/>
                            <w:i/>
                            <w:lang w:val="en-GB"/>
                          </w:rPr>
                        </m:ctrlPr>
                      </m:sSubPr>
                      <m:e>
                        <m:r>
                          <w:rPr>
                            <w:rFonts w:ascii="Cambria Math"/>
                            <w:lang w:val="en-GB"/>
                          </w:rPr>
                          <m:t>D</m:t>
                        </m:r>
                      </m:e>
                      <m:sub>
                        <m:r>
                          <w:rPr>
                            <w:rFonts w:ascii="Cambria Math"/>
                            <w:lang w:val="en-GB"/>
                          </w:rPr>
                          <m:t>eff,j</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j</m:t>
                            </m:r>
                          </m:sub>
                        </m:sSub>
                      </m:num>
                      <m:den>
                        <m:r>
                          <w:rPr>
                            <w:rFonts w:ascii="Cambria Math" w:hAnsi="Cambria Math"/>
                            <w:lang w:val="en-GB"/>
                          </w:rPr>
                          <m:t>∂</m:t>
                        </m:r>
                        <m:r>
                          <w:rPr>
                            <w:rFonts w:ascii="Cambria Math"/>
                            <w:lang w:val="en-GB"/>
                          </w:rPr>
                          <m:t>r</m:t>
                        </m:r>
                      </m:den>
                    </m:f>
                  </m:e>
                </m:d>
                <m:r>
                  <w:rPr>
                    <w:rFonts w:ascii="Cambria Math"/>
                    <w:lang w:val="en-GB"/>
                  </w:rPr>
                  <m:t>=0</m:t>
                </m:r>
              </m:oMath>
            </m:oMathPara>
          </w:p>
        </w:tc>
        <w:tc>
          <w:tcPr>
            <w:tcW w:w="3538" w:type="dxa"/>
            <w:vAlign w:val="center"/>
          </w:tcPr>
          <w:p w14:paraId="0D90E26D" w14:textId="6BC0C457" w:rsidR="00833717" w:rsidRDefault="00833717" w:rsidP="00833717">
            <w:pPr>
              <w:pStyle w:val="Els-body-text"/>
              <w:jc w:val="right"/>
            </w:pPr>
            <w:r w:rsidRPr="00A94774">
              <w:rPr>
                <w:lang w:val="en-GB"/>
              </w:rPr>
              <w:t>(</w:t>
            </w:r>
            <w:r w:rsidR="005C28DD">
              <w:rPr>
                <w:lang w:val="en-GB"/>
              </w:rPr>
              <w:t>3</w:t>
            </w:r>
            <w:r w:rsidRPr="00A94774">
              <w:rPr>
                <w:lang w:val="en-GB"/>
              </w:rPr>
              <w:t>)</w:t>
            </w:r>
          </w:p>
        </w:tc>
      </w:tr>
    </w:tbl>
    <w:p w14:paraId="371E07E5" w14:textId="7804CEB1" w:rsidR="00EE3A4C" w:rsidRDefault="00EE3A4C" w:rsidP="008D2649">
      <w:pPr>
        <w:pStyle w:val="Els-body-text"/>
      </w:pPr>
    </w:p>
    <w:p w14:paraId="3E815ED6" w14:textId="2FDD4AFB" w:rsidR="005C28DD" w:rsidRDefault="00EB32A6" w:rsidP="008D2649">
      <w:pPr>
        <w:pStyle w:val="Els-body-text"/>
      </w:pPr>
      <w:r>
        <w:t>Where</w:t>
      </w:r>
      <w:r w:rsidR="00E87A36">
        <w:t xml:space="preserve"> r is the corresponding radius and D</w:t>
      </w:r>
      <w:r w:rsidR="00E87A36" w:rsidRPr="00530D22">
        <w:rPr>
          <w:vertAlign w:val="subscript"/>
        </w:rPr>
        <w:t>eff</w:t>
      </w:r>
      <w:r w:rsidR="00D93559">
        <w:rPr>
          <w:vertAlign w:val="subscript"/>
        </w:rPr>
        <w:t>,j</w:t>
      </w:r>
      <w:r w:rsidR="00E87A36">
        <w:t xml:space="preserve"> is the effective diffusivity of gas </w:t>
      </w:r>
      <w:r w:rsidR="00D93559">
        <w:t xml:space="preserve">j </w:t>
      </w:r>
      <w:r w:rsidR="00E87A36">
        <w:t xml:space="preserve">in </w:t>
      </w:r>
      <w:r w:rsidR="00287FC5">
        <w:t xml:space="preserve">the </w:t>
      </w:r>
      <w:r w:rsidR="00E87A36">
        <w:t>solid layer result</w:t>
      </w:r>
      <w:r w:rsidR="00287FC5">
        <w:t>ing</w:t>
      </w:r>
      <w:r w:rsidR="00E87A36">
        <w:t xml:space="preserve"> from </w:t>
      </w:r>
      <w:r w:rsidR="00B52C54">
        <w:t xml:space="preserve">Bosanquet’s </w:t>
      </w:r>
      <w:r w:rsidR="00E87A36" w:rsidRPr="001E1599">
        <w:t>approach</w:t>
      </w:r>
      <w:r w:rsidR="00B52C54" w:rsidRPr="001E1599">
        <w:t xml:space="preserve"> </w:t>
      </w:r>
      <w:r w:rsidR="00D035FB" w:rsidRPr="001E1599">
        <w:fldChar w:fldCharType="begin"/>
      </w:r>
      <w:r w:rsidR="00F859BD" w:rsidRPr="001E1599">
        <w:instrText xml:space="preserve"> ADDIN ZOTERO_ITEM CSL_CITATION {"citationID":"5kBv7lkt","properties":{"formattedCitation":"(Krishna &amp; Van Baten, 2012)","plainCitation":"(Krishna &amp; Van Baten, 2012)","noteIndex":0},"citationItems":[{"id":421,"uris":["http://zotero.org/users/local/DJMEkG8Q/items/6J3I4TDY"],"itemData":{"id":421,"type":"article-journal","abstract":"Molecular Dynamics (MD) simulations were performed to determine the self-diffusivity, Di,self, of H2, CO2, Ar, Kr, CH4, C2H6, C3H8, and nC4H10 for a variety of pore concentrations within one-dimensional mesopores of 2 nm, 3 nm, 3.4 nm, 4 nm, 5.8 nm, 7.6 nm and 10 nm sizes. The MD simulated values of Di,self are compared with estimations of the commonly used Bosanquet formula 1=Di,self ¼ 1=Di,Kn þ 1= ii,f l, that combines molecule–wall and molecule–molecule interactions:, where Di,Kn is the Knudsen diffusivity, and  ii,f l is the self-diffusivity of species i in the ﬂuid phase at the same molar concentration, ci, as within the mesopores. For components with poor adsorption strength, such as H2, the MD simulated Di,self values are in good agreement with the estimations using the Bosanquet formula for the whole range of pore concentrations. For components with strong adsorption at the pore walls, the MD simulated values are signiﬁcantly lower than the Bosanquet estimations when molecule–wall interactions are dominant. These deviations are traceable to the failure of the Knudsen prescription of diffuse reﬂectance on molecule–wall collisions, because adsorption at the pore walls introduces a bias in the molecular hops. For any given molecule, the Bosanquet estimations tend to be increasingly accurate when the pore diameters are increased.","container-title":"Chemical Engineering Science","DOI":"10.1016/j.ces.2011.11.026","ISSN":"00092509","issue":"1","journalAbbreviation":"Chemical Engineering Science","language":"en","page":"684-688","source":"DOI.org (Crossref)","title":"Investigating the validity of the Bosanquet formula for estimation of diffusivities in mesopores","volume":"69","author":[{"family":"Krishna","given":"Rajamani"},{"family":"Van Baten","given":"Jasper M."}],"issued":{"date-parts":[["2012",2]]}}}],"schema":"https://github.com/citation-style-language/schema/raw/master/csl-citation.json"} </w:instrText>
      </w:r>
      <w:r w:rsidR="00D035FB" w:rsidRPr="001E1599">
        <w:fldChar w:fldCharType="separate"/>
      </w:r>
      <w:r w:rsidR="00F859BD" w:rsidRPr="001E1599">
        <w:t>(Krishna &amp; Van Baten, 2012)</w:t>
      </w:r>
      <w:r w:rsidR="00D035FB" w:rsidRPr="001E1599">
        <w:fldChar w:fldCharType="end"/>
      </w:r>
      <w:r w:rsidR="00E87A36" w:rsidRPr="001E1599">
        <w:t>.</w:t>
      </w:r>
      <w:r w:rsidR="005E5D34">
        <w:t xml:space="preserve"> </w:t>
      </w:r>
      <w:r w:rsidR="005C28DD">
        <w:t xml:space="preserve">At the </w:t>
      </w:r>
      <w:r w:rsidR="00287FC5">
        <w:t xml:space="preserve">pellet </w:t>
      </w:r>
      <w:r w:rsidR="00E87A36">
        <w:t>boundary condition</w:t>
      </w:r>
      <w:r w:rsidR="005C28DD">
        <w:t xml:space="preserve"> (r = r</w:t>
      </w:r>
      <w:r w:rsidR="005C28DD" w:rsidRPr="00530D22">
        <w:rPr>
          <w:vertAlign w:val="subscript"/>
        </w:rPr>
        <w:t>0</w:t>
      </w:r>
      <w:r w:rsidR="005C28DD">
        <w:t>)</w:t>
      </w:r>
      <w:r w:rsidR="00287FC5">
        <w:t>,</w:t>
      </w:r>
      <w:r w:rsidR="005C28DD">
        <w:t xml:space="preserve"> the diffusion is equal </w:t>
      </w:r>
      <w:r w:rsidR="003577F8">
        <w:t xml:space="preserve">to </w:t>
      </w:r>
      <w:r w:rsidR="005C28DD">
        <w:t xml:space="preserve">the amount of mass transfer between the pellet and </w:t>
      </w:r>
      <w:r w:rsidR="003577F8">
        <w:t xml:space="preserve">the bulk </w:t>
      </w:r>
      <w:r w:rsidR="005C28DD">
        <w:t>gas, as formulated in Eq. (4)</w:t>
      </w:r>
      <w:r w:rsidR="001E638B">
        <w:t>,</w:t>
      </w:r>
      <w:r w:rsidR="00E42D80">
        <w:t xml:space="preserve"> where the mass transfer coefficients (</w:t>
      </w:r>
      <m:oMath>
        <m:sSub>
          <m:sSubPr>
            <m:ctrlPr>
              <w:rPr>
                <w:rFonts w:ascii="Cambria Math" w:hAnsi="Cambria Math"/>
                <w:i/>
              </w:rPr>
            </m:ctrlPr>
          </m:sSubPr>
          <m:e>
            <m:r>
              <w:rPr>
                <w:rFonts w:ascii="Cambria Math" w:hAnsi="Cambria Math"/>
              </w:rPr>
              <m:t>k</m:t>
            </m:r>
          </m:e>
          <m:sub>
            <m:r>
              <w:rPr>
                <w:rFonts w:ascii="Cambria Math" w:hAnsi="Cambria Math"/>
              </w:rPr>
              <m:t>m,j</m:t>
            </m:r>
          </m:sub>
        </m:sSub>
      </m:oMath>
      <w:r w:rsidR="00E42D80">
        <w:t xml:space="preserve">) are obtained </w:t>
      </w:r>
      <w:r w:rsidR="00AA63CF">
        <w:t>using</w:t>
      </w:r>
      <w:r w:rsidR="009C0AA1">
        <w:t xml:space="preserve"> </w:t>
      </w:r>
      <w:r w:rsidR="00AA63CF">
        <w:t>Sh</w:t>
      </w:r>
      <w:r w:rsidR="009C0AA1">
        <w:t>erwood</w:t>
      </w:r>
      <w:r w:rsidR="00AA63CF">
        <w:t xml:space="preserve"> correlation for spherical pellet</w:t>
      </w:r>
      <w:r w:rsidR="009C0AA1">
        <w:t xml:space="preserve"> </w:t>
      </w:r>
      <w:r w:rsidR="000F5E48">
        <w:fldChar w:fldCharType="begin"/>
      </w:r>
      <w:r w:rsidR="00F859BD">
        <w:instrText xml:space="preserve"> ADDIN ZOTERO_ITEM CSL_CITATION {"citationID":"VVe9Ug4u","properties":{"formattedCitation":"(E, 1952)","plainCitation":"(E, 1952)","noteIndex":0},"citationItems":[{"id":416,"uris":["http://zotero.org/users/local/DJMEkG8Q/items/2D4Z7F7Q"],"itemData":{"id":416,"type":"article-journal","container-title":"Chem. Eng. Progr","page":"141-180","source":"cir.nii.ac.jp","title":"Evaporation from Drops-I and-II","volume":"48","author":[{"family":"E","given":"Ranz W."}],"issued":{"date-parts":[["1952"]]}}}],"schema":"https://github.com/citation-style-language/schema/raw/master/csl-citation.json"} </w:instrText>
      </w:r>
      <w:r w:rsidR="000F5E48">
        <w:fldChar w:fldCharType="separate"/>
      </w:r>
      <w:r w:rsidR="00F859BD" w:rsidRPr="00F859BD">
        <w:t>(E, 1952)</w:t>
      </w:r>
      <w:r w:rsidR="000F5E48">
        <w:fldChar w:fldCharType="end"/>
      </w:r>
      <w:r w:rsidR="009C0AA1">
        <w:t>.</w:t>
      </w:r>
      <w:r w:rsidR="00AA63CF">
        <w:t xml:space="preserve"> </w:t>
      </w:r>
    </w:p>
    <w:p w14:paraId="730C8345" w14:textId="77777777" w:rsidR="00CF3F26" w:rsidRDefault="00CF3F26" w:rsidP="008D2649">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119"/>
      </w:tblGrid>
      <w:tr w:rsidR="005C28DD" w14:paraId="586FF805" w14:textId="77777777" w:rsidTr="00530D22">
        <w:tc>
          <w:tcPr>
            <w:tcW w:w="4957" w:type="dxa"/>
            <w:vAlign w:val="center"/>
          </w:tcPr>
          <w:p w14:paraId="2F35D844" w14:textId="3A2F3DB0" w:rsidR="005C28DD" w:rsidRPr="00121EC4" w:rsidRDefault="00D949B8" w:rsidP="0067292C">
            <w:pPr>
              <w:pStyle w:val="Els-body-text"/>
              <w:spacing w:before="120" w:after="120"/>
            </w:pPr>
            <m:oMathPara>
              <m:oMathParaPr>
                <m:jc m:val="left"/>
              </m:oMathParaPr>
              <m:oMath>
                <m:sSub>
                  <m:sSubPr>
                    <m:ctrlPr>
                      <w:rPr>
                        <w:rFonts w:ascii="Cambria Math" w:hAnsi="Cambria Math"/>
                        <w:i/>
                        <w:lang w:val="en-GB"/>
                      </w:rPr>
                    </m:ctrlPr>
                  </m:sSubPr>
                  <m:e>
                    <m:r>
                      <w:rPr>
                        <w:rFonts w:ascii="Cambria Math"/>
                        <w:lang w:val="en-GB"/>
                      </w:rPr>
                      <m:t>D</m:t>
                    </m:r>
                  </m:e>
                  <m:sub>
                    <m:r>
                      <w:rPr>
                        <w:rFonts w:ascii="Cambria Math"/>
                        <w:lang w:val="en-GB"/>
                      </w:rPr>
                      <m:t>eff,j</m:t>
                    </m:r>
                  </m:sub>
                </m:sSub>
                <m:d>
                  <m:dPr>
                    <m:ctrlPr>
                      <w:rPr>
                        <w:rFonts w:ascii="Cambria Math" w:eastAsiaTheme="minorEastAsia"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num>
                      <m:den>
                        <m:r>
                          <w:rPr>
                            <w:rFonts w:ascii="Cambria Math" w:hAnsi="Cambria Math"/>
                          </w:rPr>
                          <m:t>∂r</m:t>
                        </m:r>
                      </m:den>
                    </m:f>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m,j</m:t>
                    </m:r>
                  </m:sub>
                </m:sSub>
                <m:d>
                  <m:dPr>
                    <m:ctrlPr>
                      <w:rPr>
                        <w:rFonts w:ascii="Cambria Math" w:hAnsi="Cambria Math"/>
                        <w:i/>
                      </w:rPr>
                    </m:ctrlPr>
                  </m:dPr>
                  <m:e>
                    <m:sSub>
                      <m:sSubPr>
                        <m:ctrlPr>
                          <w:rPr>
                            <w:rFonts w:ascii="Cambria Math" w:eastAsiaTheme="minorEastAsia" w:hAnsi="Cambria Math"/>
                            <w:i/>
                          </w:rPr>
                        </m:ctrlPr>
                      </m:sSubPr>
                      <m:e>
                        <m:r>
                          <w:rPr>
                            <w:rFonts w:ascii="Cambria Math" w:hAnsi="Cambria Math"/>
                          </w:rPr>
                          <m:t>C</m:t>
                        </m:r>
                      </m:e>
                      <m:sub>
                        <m:r>
                          <w:rPr>
                            <w:rFonts w:ascii="Cambria Math" w:eastAsiaTheme="minorEastAsia" w:hAnsi="Cambria Math"/>
                          </w:rPr>
                          <m:t>j,bulk</m:t>
                        </m:r>
                      </m:sub>
                    </m:sSub>
                    <m:r>
                      <w:rPr>
                        <w:rFonts w:ascii="Cambria Math" w:eastAsiaTheme="minorEastAsia" w:hAnsi="Cambria Math"/>
                      </w:rPr>
                      <m:t>-</m:t>
                    </m:r>
                    <m:sSub>
                      <m:sSubPr>
                        <m:ctrlPr>
                          <w:rPr>
                            <w:rFonts w:ascii="Cambria Math" w:eastAsiaTheme="minorEastAsia" w:hAnsi="Cambria Math"/>
                            <w:i/>
                          </w:rPr>
                        </m:ctrlPr>
                      </m:sSubPr>
                      <m:e>
                        <m:r>
                          <w:rPr>
                            <w:rFonts w:ascii="Cambria Math" w:hAnsi="Cambria Math"/>
                          </w:rPr>
                          <m:t>C</m:t>
                        </m:r>
                      </m:e>
                      <m:sub>
                        <m:r>
                          <w:rPr>
                            <w:rFonts w:ascii="Cambria Math" w:eastAsiaTheme="minorEastAsia" w:hAnsi="Cambria Math"/>
                          </w:rPr>
                          <m:t>j</m:t>
                        </m:r>
                      </m:sub>
                    </m:sSub>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0</m:t>
                            </m:r>
                          </m:sub>
                        </m:sSub>
                      </m:e>
                    </m:d>
                    <m:ctrlPr>
                      <w:rPr>
                        <w:rFonts w:ascii="Cambria Math" w:eastAsiaTheme="minorEastAsia" w:hAnsi="Cambria Math"/>
                        <w:i/>
                      </w:rPr>
                    </m:ctrlPr>
                  </m:e>
                </m:d>
              </m:oMath>
            </m:oMathPara>
          </w:p>
        </w:tc>
        <w:tc>
          <w:tcPr>
            <w:tcW w:w="2119" w:type="dxa"/>
            <w:vAlign w:val="center"/>
          </w:tcPr>
          <w:p w14:paraId="3FB68743" w14:textId="0F74FF6B" w:rsidR="005C28DD" w:rsidRDefault="005C28DD" w:rsidP="00530D22">
            <w:pPr>
              <w:pStyle w:val="Els-body-text"/>
              <w:jc w:val="right"/>
            </w:pPr>
            <w:r>
              <w:t>(4)</w:t>
            </w:r>
          </w:p>
        </w:tc>
      </w:tr>
    </w:tbl>
    <w:p w14:paraId="144DE69D" w14:textId="451E0544" w:rsidR="008D2649" w:rsidRDefault="00413C60" w:rsidP="008D2649">
      <w:pPr>
        <w:pStyle w:val="Els-2ndorder-head"/>
      </w:pPr>
      <w:r>
        <w:t>Reactor model</w:t>
      </w:r>
    </w:p>
    <w:p w14:paraId="144DE69F" w14:textId="002F69C4" w:rsidR="008D2649" w:rsidRDefault="00F7659F" w:rsidP="008D2649">
      <w:pPr>
        <w:pStyle w:val="Els-body-text"/>
      </w:pPr>
      <w:r>
        <w:t>The reactor model describes the transport, chemical conversion, and thermal effects involved in a countercurrent vertical furnace where cold solid is supplied at the top whil</w:t>
      </w:r>
      <w:r w:rsidR="00347909">
        <w:t>e the hot gas is injected at the bottom</w:t>
      </w:r>
      <w:r w:rsidR="009C78AC">
        <w:t xml:space="preserve">. The model is based on solving the </w:t>
      </w:r>
      <w:r w:rsidR="007F0F0F">
        <w:t xml:space="preserve">mass and energy </w:t>
      </w:r>
      <w:r w:rsidR="009C78AC">
        <w:t>c</w:t>
      </w:r>
      <w:r w:rsidR="00900156">
        <w:t xml:space="preserve">onservation equations </w:t>
      </w:r>
      <w:r w:rsidR="007F0F0F">
        <w:t xml:space="preserve">by </w:t>
      </w:r>
      <w:r w:rsidR="00172894">
        <w:t xml:space="preserve">including </w:t>
      </w:r>
      <w:r w:rsidR="004E702F">
        <w:t>the pellet model (diffusion</w:t>
      </w:r>
      <w:r w:rsidR="001F0CB5">
        <w:t xml:space="preserve"> and reaction </w:t>
      </w:r>
      <w:r w:rsidR="00900156">
        <w:t>with temperature-dependent kinetics</w:t>
      </w:r>
      <w:r w:rsidR="001F0CB5">
        <w:t>)</w:t>
      </w:r>
      <w:r w:rsidR="00900156">
        <w:t xml:space="preserve">. The model is transient and one-dimensional with respect to the </w:t>
      </w:r>
      <w:r w:rsidR="00FE4DDD">
        <w:t xml:space="preserve">height </w:t>
      </w:r>
      <w:r w:rsidR="00900156">
        <w:t xml:space="preserve">of the reactor. The mass </w:t>
      </w:r>
      <w:r w:rsidR="00121EC4">
        <w:t>balance equations for all gas and solid components</w:t>
      </w:r>
      <w:r w:rsidR="00CD142F">
        <w:t>,</w:t>
      </w:r>
      <w:r w:rsidR="00121EC4">
        <w:t xml:space="preserve"> </w:t>
      </w:r>
      <w:r w:rsidR="001355E2">
        <w:t>as</w:t>
      </w:r>
      <w:r w:rsidR="00121EC4">
        <w:t xml:space="preserve"> well as the</w:t>
      </w:r>
      <w:r w:rsidR="00900156">
        <w:t xml:space="preserve"> energy balance equations </w:t>
      </w:r>
      <w:r w:rsidR="00121EC4">
        <w:t xml:space="preserve">for the gas and solid phases </w:t>
      </w:r>
      <w:r w:rsidR="00900156">
        <w:t xml:space="preserve">are </w:t>
      </w:r>
      <w:r w:rsidR="00121EC4">
        <w:t xml:space="preserve">formulated </w:t>
      </w:r>
      <w:r w:rsidR="007F0F0F">
        <w:t>based on</w:t>
      </w:r>
      <w:r w:rsidR="00900156">
        <w:t xml:space="preserve"> the general convecti</w:t>
      </w:r>
      <w:r w:rsidR="007F0F0F">
        <w:t>on</w:t>
      </w:r>
      <w:r w:rsidR="00900156">
        <w:t>-diffusi</w:t>
      </w:r>
      <w:r w:rsidR="007F0F0F">
        <w:t>on</w:t>
      </w:r>
      <w:r w:rsidR="00900156">
        <w:t xml:space="preserve"> equation </w:t>
      </w:r>
      <w:r w:rsidR="005E5D34">
        <w:t xml:space="preserve">derived from the general continuity </w:t>
      </w:r>
      <w:r w:rsidR="005E5D34" w:rsidRPr="001E1599">
        <w:t xml:space="preserve">equation </w:t>
      </w:r>
      <w:r w:rsidR="00900156" w:rsidRPr="001E1599">
        <w:t>as shown in Eq. (</w:t>
      </w:r>
      <w:r w:rsidR="00121EC4" w:rsidRPr="001E1599">
        <w:t>5</w:t>
      </w:r>
      <w:r w:rsidR="00900156" w:rsidRPr="001E1599">
        <w:t xml:space="preserve">), where the extensity </w:t>
      </w:r>
      <m:oMath>
        <m:r>
          <w:rPr>
            <w:rFonts w:ascii="Cambria Math" w:hAnsi="Cambria Math"/>
          </w:rPr>
          <m:t>θ</m:t>
        </m:r>
      </m:oMath>
      <w:r w:rsidR="00900156" w:rsidRPr="001E1599">
        <w:t xml:space="preserve"> </w:t>
      </w:r>
      <w:r w:rsidR="00FE4DDD" w:rsidRPr="001E1599">
        <w:t xml:space="preserve">consists of </w:t>
      </w:r>
      <w:r w:rsidR="007F0F0F" w:rsidRPr="001E1599">
        <w:t xml:space="preserve">the </w:t>
      </w:r>
      <w:r w:rsidR="00064BF6" w:rsidRPr="001E1599">
        <w:t>mass fraction</w:t>
      </w:r>
      <w:r w:rsidR="00FE4DDD" w:rsidRPr="001E1599">
        <w:t xml:space="preserve"> for the</w:t>
      </w:r>
      <w:r w:rsidR="00900156" w:rsidRPr="001E1599">
        <w:t xml:space="preserve"> mass balance</w:t>
      </w:r>
      <w:r w:rsidR="007F0F0F" w:rsidRPr="001E1599">
        <w:t>s</w:t>
      </w:r>
      <w:r w:rsidR="00FE4DDD" w:rsidRPr="001E1599">
        <w:t xml:space="preserve"> and </w:t>
      </w:r>
      <w:r w:rsidR="007F0F0F" w:rsidRPr="001E1599">
        <w:t xml:space="preserve">the </w:t>
      </w:r>
      <w:r w:rsidR="00064BF6" w:rsidRPr="001E1599">
        <w:t>specific enthalpy</w:t>
      </w:r>
      <w:r w:rsidR="00FE4DDD" w:rsidRPr="001E1599">
        <w:t xml:space="preserve"> for the energy balance</w:t>
      </w:r>
      <w:r w:rsidR="007F0F0F" w:rsidRPr="001E1599">
        <w:t>s</w:t>
      </w:r>
      <w:r w:rsidR="00126712" w:rsidRPr="001E1599">
        <w:t xml:space="preserve"> </w:t>
      </w:r>
      <w:r w:rsidR="00126712" w:rsidRPr="001E1599">
        <w:fldChar w:fldCharType="begin"/>
      </w:r>
      <w:r w:rsidR="00F859BD" w:rsidRPr="001E1599">
        <w:instrText xml:space="preserve"> ADDIN ZOTERO_ITEM CSL_CITATION {"citationID":"boHhLpNq","properties":{"formattedCitation":"(Ranzani Da Costa et al., 2013)","plainCitation":"(Ranzani Da Costa et al., 2013)","noteIndex":0},"citationItems":[{"id":412,"uris":["http://zotero.org/users/local/DJMEkG8Q/items/5QIGICJY"],"itemData":{"id":412,"type":"article-journal","abstract":"In an effort to develop breakthrough technologies that enable drastic reduction in CO2 emissions from steel industry (ULCOS project), the reduction of iron ore by pure hydrogen in a direct reduction shaft furnace was investigated. After experimental and modelling studies, a 2D, axisymmetrical steady-state model called REDUCTOR was developed to simulate a counter-current moving bed reactor in which haematite pellets are reduced by pure hydrogen. This model is based on the numerical solution of the local mass, energy and momentum balances of the gas and solid species by the ﬁnite volume method. A single pellet sub-model was included in the global furnace model to simulate the successive reactions (haematite/magnetite/wustite/iron) involved in the process, using the concept of additive reaction times. The different steps of mass transfer and possible iron sintering at the grain scale were accounted for. The kinetic parameters were derived from reduction experiments carried out in a thermobalance furnace, at different conditions, using small haematite cubes shaped from industrial pellets. Solid characterizations were also performed to further understand the microstructural evolution. First results have shown that the use of hydrogen accelerates the reduction in comparison to CO reaction, making it possible to design a hydrogen-operated shaft reactor quite smaller than current MIDREX and HYL. Globally, the hydrogen steelmaking route based on this new process is technically and environmentally attractive. CO2 emissions would be reduced by more than 80%. Its future is linked to the emergence of the hydrogen economy.","container-title":"Journal of Cleaner Production","DOI":"10.1016/j.jclepro.2012.07.045","ISSN":"09596526","journalAbbreviation":"Journal of Cleaner Production","language":"en","page":"27-35","source":"DOI.org (Crossref)","title":"Modelling a new, low CO2 emissions, hydrogen steelmaking process","volume":"46","author":[{"family":"Ranzani Da Costa","given":"A."},{"family":"Wagner","given":"D."},{"family":"Patisson","given":"F."}],"issued":{"date-parts":[["2013",5]]}}}],"schema":"https://github.com/citation-style-language/schema/raw/master/csl-citation.json"} </w:instrText>
      </w:r>
      <w:r w:rsidR="00126712" w:rsidRPr="001E1599">
        <w:fldChar w:fldCharType="separate"/>
      </w:r>
      <w:r w:rsidR="00F859BD" w:rsidRPr="001E1599">
        <w:t>(Ranzani Da Costa et al., 2013)</w:t>
      </w:r>
      <w:r w:rsidR="00126712" w:rsidRPr="001E1599">
        <w:fldChar w:fldCharType="end"/>
      </w:r>
      <w:r w:rsidR="00900156" w:rsidRPr="001E1599">
        <w:t>.</w:t>
      </w:r>
    </w:p>
    <w:p w14:paraId="5F0A98DC" w14:textId="3A529503" w:rsidR="00A6207B" w:rsidRDefault="00A6207B" w:rsidP="008D2649">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119"/>
      </w:tblGrid>
      <w:tr w:rsidR="005C2976" w14:paraId="0AAE6326" w14:textId="77777777" w:rsidTr="000E523C">
        <w:tc>
          <w:tcPr>
            <w:tcW w:w="4957" w:type="dxa"/>
            <w:vAlign w:val="center"/>
          </w:tcPr>
          <w:p w14:paraId="46D473C6" w14:textId="5E865F0E" w:rsidR="005C2976" w:rsidRPr="005C2976" w:rsidRDefault="00D949B8" w:rsidP="000E523C">
            <w:pPr>
              <w:pStyle w:val="Els-body-text"/>
              <w:spacing w:before="120" w:after="120" w:line="264" w:lineRule="auto"/>
              <w:jc w:val="left"/>
            </w:pPr>
            <m:oMathPara>
              <m:oMathParaPr>
                <m:jc m:val="left"/>
              </m:oMathParaPr>
              <m:oMath>
                <m:f>
                  <m:fPr>
                    <m:ctrlPr>
                      <w:rPr>
                        <w:rFonts w:ascii="Cambria Math" w:hAnsi="Cambria Math"/>
                        <w:i/>
                        <w:lang w:val="en-GB"/>
                      </w:rPr>
                    </m:ctrlPr>
                  </m:fPr>
                  <m:num>
                    <m:r>
                      <w:rPr>
                        <w:rFonts w:ascii="Cambria Math" w:hAnsi="Cambria Math"/>
                        <w:lang w:val="en-GB"/>
                      </w:rPr>
                      <m:t>∂</m:t>
                    </m:r>
                  </m:num>
                  <m:den>
                    <m:r>
                      <w:rPr>
                        <w:rFonts w:ascii="Cambria Math" w:hAnsi="Cambria Math"/>
                        <w:lang w:val="en-GB"/>
                      </w:rPr>
                      <m:t>∂t</m:t>
                    </m:r>
                  </m:den>
                </m:f>
                <m:d>
                  <m:dPr>
                    <m:ctrlPr>
                      <w:rPr>
                        <w:rFonts w:ascii="Cambria Math" w:hAnsi="Cambria Math"/>
                        <w:i/>
                        <w:lang w:val="en-GB"/>
                      </w:rPr>
                    </m:ctrlPr>
                  </m:dPr>
                  <m:e>
                    <m:r>
                      <w:rPr>
                        <w:rFonts w:ascii="Cambria Math" w:hAnsi="Cambria Math"/>
                        <w:lang w:val="en-GB"/>
                      </w:rPr>
                      <m:t>ρθ</m:t>
                    </m:r>
                  </m:e>
                </m:d>
                <m:r>
                  <w:rPr>
                    <w:rFonts w:ascii="Cambria Math"/>
                    <w:lang w:val="en-GB"/>
                  </w:rPr>
                  <m:t>+</m:t>
                </m:r>
                <m:r>
                  <w:rPr>
                    <w:rFonts w:ascii="Cambria Math" w:hAnsi="Cambria Math"/>
                  </w:rPr>
                  <m:t>div</m:t>
                </m:r>
                <m:d>
                  <m:dPr>
                    <m:ctrlPr>
                      <w:rPr>
                        <w:rFonts w:ascii="Cambria Math" w:hAnsi="Cambria Math"/>
                        <w:i/>
                      </w:rPr>
                    </m:ctrlPr>
                  </m:dPr>
                  <m:e>
                    <m:r>
                      <w:rPr>
                        <w:rFonts w:ascii="Cambria Math" w:hAnsi="Cambria Math"/>
                      </w:rPr>
                      <m:t>ρθ</m:t>
                    </m:r>
                    <m:acc>
                      <m:accPr>
                        <m:chr m:val="⃗"/>
                        <m:ctrlPr>
                          <w:rPr>
                            <w:rFonts w:ascii="Cambria Math" w:hAnsi="Cambria Math"/>
                            <w:i/>
                          </w:rPr>
                        </m:ctrlPr>
                      </m:accPr>
                      <m:e>
                        <m:r>
                          <w:rPr>
                            <w:rFonts w:ascii="Cambria Math" w:hAnsi="Cambria Math"/>
                          </w:rPr>
                          <m:t>u</m:t>
                        </m:r>
                      </m:e>
                    </m:acc>
                  </m:e>
                </m:d>
                <m:r>
                  <w:rPr>
                    <w:rFonts w:ascii="Cambria Math"/>
                    <w:lang w:val="en-GB"/>
                  </w:rPr>
                  <m:t>-</m:t>
                </m:r>
                <m:r>
                  <w:rPr>
                    <w:rFonts w:ascii="Cambria Math" w:hAnsi="Cambria Math"/>
                  </w:rPr>
                  <m:t>div</m:t>
                </m:r>
                <m:d>
                  <m:dPr>
                    <m:ctrlPr>
                      <w:rPr>
                        <w:rFonts w:ascii="Cambria Math" w:hAnsi="Cambria Math"/>
                        <w:i/>
                      </w:rPr>
                    </m:ctrlPr>
                  </m:dPr>
                  <m:e>
                    <m:r>
                      <w:rPr>
                        <w:rFonts w:ascii="Cambria Math" w:hAnsi="Cambria Math"/>
                      </w:rPr>
                      <m:t>D.</m:t>
                    </m:r>
                    <m:acc>
                      <m:accPr>
                        <m:chr m:val="⃗"/>
                        <m:ctrlPr>
                          <w:rPr>
                            <w:rFonts w:ascii="Cambria Math" w:hAnsi="Cambria Math"/>
                            <w:i/>
                          </w:rPr>
                        </m:ctrlPr>
                      </m:accPr>
                      <m:e>
                        <m:r>
                          <m:rPr>
                            <m:sty m:val="p"/>
                          </m:rPr>
                          <w:rPr>
                            <w:rFonts w:ascii="Cambria Math" w:hAnsi="Cambria Math"/>
                          </w:rPr>
                          <m:t>∇</m:t>
                        </m:r>
                      </m:e>
                    </m:acc>
                    <m:r>
                      <w:rPr>
                        <w:rFonts w:ascii="Cambria Math" w:hAnsi="Cambria Math"/>
                      </w:rPr>
                      <m:t>θ</m:t>
                    </m:r>
                  </m:e>
                </m:d>
                <m:r>
                  <w:rPr>
                    <w:rFonts w:ascii="Cambria Math" w:hAnsi="Cambria Math"/>
                  </w:rPr>
                  <m:t>=S</m:t>
                </m:r>
              </m:oMath>
            </m:oMathPara>
          </w:p>
        </w:tc>
        <w:tc>
          <w:tcPr>
            <w:tcW w:w="2119" w:type="dxa"/>
            <w:vAlign w:val="center"/>
          </w:tcPr>
          <w:p w14:paraId="5F6A438D" w14:textId="1A6A8FB1" w:rsidR="002C4930" w:rsidRPr="002C4930" w:rsidRDefault="005C2976" w:rsidP="000E523C">
            <w:pPr>
              <w:pStyle w:val="Els-body-text"/>
              <w:jc w:val="right"/>
              <w:rPr>
                <w:lang w:val="en-GB"/>
              </w:rPr>
            </w:pPr>
            <w:r w:rsidRPr="00A94774">
              <w:rPr>
                <w:lang w:val="en-GB"/>
              </w:rPr>
              <w:t>(</w:t>
            </w:r>
            <w:r>
              <w:rPr>
                <w:lang w:val="en-GB"/>
              </w:rPr>
              <w:t>5</w:t>
            </w:r>
            <w:r w:rsidRPr="00A94774">
              <w:rPr>
                <w:lang w:val="en-GB"/>
              </w:rPr>
              <w:t>)</w:t>
            </w:r>
          </w:p>
        </w:tc>
      </w:tr>
    </w:tbl>
    <w:p w14:paraId="1990A72E" w14:textId="77777777" w:rsidR="00FE0CDF" w:rsidRDefault="00FE0CDF" w:rsidP="008D2649">
      <w:pPr>
        <w:pStyle w:val="Els-body-text"/>
      </w:pPr>
    </w:p>
    <w:p w14:paraId="7D76DCF3" w14:textId="348AE519" w:rsidR="002C4930" w:rsidRPr="001E1599" w:rsidRDefault="008E4DC6" w:rsidP="00E178B3">
      <w:pPr>
        <w:pStyle w:val="Els-body-text"/>
      </w:pPr>
      <w:r w:rsidRPr="001E1599">
        <w:t>Where</w:t>
      </w:r>
      <w:r w:rsidR="002C4930" w:rsidRPr="001E1599">
        <w:t xml:space="preserve"> </w:t>
      </w:r>
      <m:oMath>
        <m:r>
          <w:rPr>
            <w:rFonts w:ascii="Cambria Math" w:hAnsi="Cambria Math"/>
            <w:lang w:val="en-GB"/>
          </w:rPr>
          <m:t>ρ</m:t>
        </m:r>
      </m:oMath>
      <w:r w:rsidR="002C4930" w:rsidRPr="001E1599">
        <w:rPr>
          <w:lang w:val="en-GB"/>
        </w:rPr>
        <w:t xml:space="preserve"> is the density, D the dispersion coefficient, and u the velocity</w:t>
      </w:r>
      <w:r w:rsidR="00E0295F" w:rsidRPr="001E1599">
        <w:rPr>
          <w:lang w:val="en-GB"/>
        </w:rPr>
        <w:t>.</w:t>
      </w:r>
      <w:r w:rsidR="002C4930" w:rsidRPr="001E1599">
        <w:t xml:space="preserve"> </w:t>
      </w:r>
    </w:p>
    <w:p w14:paraId="5249C7F5" w14:textId="5B39084C" w:rsidR="00F716D6" w:rsidRDefault="00922695" w:rsidP="00E178B3">
      <w:pPr>
        <w:pStyle w:val="Els-body-text"/>
      </w:pPr>
      <w:r w:rsidRPr="001E1599">
        <w:t>The first three terms in Eq. (5) describe the accumulation, the convection</w:t>
      </w:r>
      <w:r w:rsidR="000C56CC" w:rsidRPr="001E1599">
        <w:t>,</w:t>
      </w:r>
      <w:r w:rsidRPr="001E1599">
        <w:t xml:space="preserve"> and the diffusion, respectively. </w:t>
      </w:r>
      <w:r w:rsidR="003B20AE" w:rsidRPr="001E1599">
        <w:t>S in Eq. (5) is the source term related to the chemical reactions</w:t>
      </w:r>
      <w:r w:rsidR="003B20AE">
        <w:t xml:space="preserve"> involved</w:t>
      </w:r>
      <w:r w:rsidR="000053F2">
        <w:t xml:space="preserve"> both in gas and solid phases.</w:t>
      </w:r>
      <w:r w:rsidR="005E5D34">
        <w:t xml:space="preserve"> The assumptions used here are</w:t>
      </w:r>
      <w:r w:rsidR="00214554">
        <w:t xml:space="preserve">: </w:t>
      </w:r>
      <w:r w:rsidR="00732D5C">
        <w:t xml:space="preserve">(i) </w:t>
      </w:r>
      <w:r w:rsidR="00EE4FA5">
        <w:t xml:space="preserve">Plug flow is considered for both phases; (ii) </w:t>
      </w:r>
      <w:r w:rsidR="00351D5D">
        <w:t>The reactor is assumed</w:t>
      </w:r>
      <w:r w:rsidR="00AD7920">
        <w:t xml:space="preserve"> to be adiabatic; (iii) </w:t>
      </w:r>
      <w:r w:rsidR="00016020">
        <w:t>Uniform pellet temperature, size</w:t>
      </w:r>
      <w:r w:rsidR="00F10505">
        <w:t xml:space="preserve">, </w:t>
      </w:r>
      <w:r w:rsidR="00016020">
        <w:t>and shape at any axial position in the reactor; (iv)</w:t>
      </w:r>
      <w:r w:rsidR="002423A2">
        <w:t xml:space="preserve"> Constant bed porosity; (v): Two distinct sto</w:t>
      </w:r>
      <w:r w:rsidR="00F10505">
        <w:t>i</w:t>
      </w:r>
      <w:r w:rsidR="002423A2">
        <w:t>chiometric, at high and low temperatures, coexist in the reactor depending on the temperature profile; (vi): Two types of heat transfer are considered: conduction and convection.</w:t>
      </w:r>
    </w:p>
    <w:p w14:paraId="5C8B408A" w14:textId="6C97B4CE" w:rsidR="00A703E8" w:rsidRDefault="00930965" w:rsidP="00E178B3">
      <w:pPr>
        <w:pStyle w:val="Els-body-text"/>
      </w:pPr>
      <w:r>
        <w:t xml:space="preserve">In addition, </w:t>
      </w:r>
      <w:r w:rsidR="00EC0786">
        <w:t>by assuming an average bed porosity (</w:t>
      </w:r>
      <m:oMath>
        <m:r>
          <w:rPr>
            <w:rFonts w:ascii="Cambria Math" w:hAnsi="Cambria Math"/>
            <w:sz w:val="24"/>
            <w:szCs w:val="24"/>
          </w:rPr>
          <m:t>ε</m:t>
        </m:r>
      </m:oMath>
      <w:r w:rsidR="00EC0786">
        <w:t xml:space="preserve">), </w:t>
      </w:r>
      <w:r w:rsidR="005E5D34">
        <w:t>and by combining</w:t>
      </w:r>
      <w:r w:rsidR="00F10505">
        <w:t xml:space="preserve"> the</w:t>
      </w:r>
      <w:r w:rsidR="005E5D34">
        <w:t xml:space="preserve"> Ergun </w:t>
      </w:r>
      <w:r w:rsidR="005E5D34" w:rsidRPr="001E1599">
        <w:t>equation</w:t>
      </w:r>
      <w:r w:rsidR="00931946" w:rsidRPr="001E1599">
        <w:t xml:space="preserve"> </w:t>
      </w:r>
      <w:r w:rsidR="008A3E7B" w:rsidRPr="001E1599">
        <w:fldChar w:fldCharType="begin"/>
      </w:r>
      <w:r w:rsidR="008A3E7B" w:rsidRPr="001E1599">
        <w:instrText xml:space="preserve"> ADDIN ZOTERO_ITEM CSL_CITATION {"citationID":"6t29Ot12","properties":{"formattedCitation":"(Wagner, 2008)","plainCitation":"(Wagner, 2008)","noteIndex":0},"citationItems":[{"id":422,"uris":["http://zotero.org/users/local/DJMEkG8Q/items/DGMFD957"],"itemData":{"id":422,"type":"article-journal","note":"publisher: Institut National Polytechnique de Lorraine-INPL","title":"Etude expérimentale et modélisation de la réduction du minerai de fer par l'hydrogène","author":[{"family":"Wagner","given":"Damien"}],"issued":{"date-parts":[["2008"]]}}}],"schema":"https://github.com/citation-style-language/schema/raw/master/csl-citation.json"} </w:instrText>
      </w:r>
      <w:r w:rsidR="008A3E7B" w:rsidRPr="001E1599">
        <w:fldChar w:fldCharType="separate"/>
      </w:r>
      <w:r w:rsidR="008A3E7B" w:rsidRPr="001E1599">
        <w:t>(Wagner, 2008)</w:t>
      </w:r>
      <w:r w:rsidR="008A3E7B" w:rsidRPr="001E1599">
        <w:fldChar w:fldCharType="end"/>
      </w:r>
      <w:r w:rsidR="008A3E7B" w:rsidRPr="001E1599">
        <w:t xml:space="preserve"> </w:t>
      </w:r>
      <w:r w:rsidR="005E5D34" w:rsidRPr="001E1599">
        <w:t>and</w:t>
      </w:r>
      <w:r w:rsidR="005E5D34">
        <w:t xml:space="preserve"> the continuity equation in</w:t>
      </w:r>
      <w:r w:rsidR="00F10505">
        <w:t xml:space="preserve"> the</w:t>
      </w:r>
      <w:r w:rsidR="005E5D34">
        <w:t xml:space="preserve"> gas phase, </w:t>
      </w:r>
      <w:r>
        <w:t>the</w:t>
      </w:r>
      <w:r w:rsidR="005E5D34">
        <w:t xml:space="preserve"> axial</w:t>
      </w:r>
      <w:r>
        <w:t xml:space="preserve"> profile of</w:t>
      </w:r>
      <w:r w:rsidR="009C01F9">
        <w:t xml:space="preserve"> gas velocity </w:t>
      </w:r>
      <w:r w:rsidR="00EC0786">
        <w:t>(u</w:t>
      </w:r>
      <w:r w:rsidR="00EC0786" w:rsidRPr="00904B8C">
        <w:rPr>
          <w:vertAlign w:val="subscript"/>
        </w:rPr>
        <w:t>g</w:t>
      </w:r>
      <w:r w:rsidR="00EC0786">
        <w:t xml:space="preserve">) </w:t>
      </w:r>
      <w:r>
        <w:t xml:space="preserve">and pressure </w:t>
      </w:r>
      <w:r w:rsidR="005E5D34">
        <w:t xml:space="preserve">were established </w:t>
      </w:r>
      <w:r>
        <w:t>in the bed</w:t>
      </w:r>
      <w:r w:rsidR="00BE0C5E">
        <w:t>.</w:t>
      </w:r>
    </w:p>
    <w:p w14:paraId="1300297E" w14:textId="7DDB17A3" w:rsidR="00FE66E0" w:rsidRDefault="00FE66E0" w:rsidP="00E178B3">
      <w:pPr>
        <w:pStyle w:val="Els-body-text"/>
      </w:pPr>
    </w:p>
    <w:p w14:paraId="1C576F6F" w14:textId="00508B7E" w:rsidR="002538C4" w:rsidRDefault="005C74F4" w:rsidP="002538C4">
      <w:pPr>
        <w:pStyle w:val="Els-1storder-head"/>
        <w:spacing w:after="120"/>
        <w:rPr>
          <w:lang w:val="en-GB"/>
        </w:rPr>
      </w:pPr>
      <w:r>
        <w:rPr>
          <w:lang w:val="en-GB"/>
        </w:rPr>
        <w:lastRenderedPageBreak/>
        <w:t>Results and discussion</w:t>
      </w:r>
    </w:p>
    <w:p w14:paraId="5C19E494" w14:textId="49FA89BA" w:rsidR="00BF0022" w:rsidRDefault="00DA3999" w:rsidP="00B12521">
      <w:pPr>
        <w:pStyle w:val="Els-body-text"/>
        <w:rPr>
          <w:lang w:eastAsia="fr-FR"/>
        </w:rPr>
      </w:pPr>
      <w:r>
        <w:rPr>
          <w:lang w:eastAsia="fr-FR"/>
        </w:rPr>
        <w:t>Although high</w:t>
      </w:r>
      <w:r w:rsidR="00922695">
        <w:rPr>
          <w:lang w:eastAsia="fr-FR"/>
        </w:rPr>
        <w:t>er</w:t>
      </w:r>
      <w:r>
        <w:rPr>
          <w:lang w:eastAsia="fr-FR"/>
        </w:rPr>
        <w:t xml:space="preserve"> reduction temperature results in</w:t>
      </w:r>
      <w:r w:rsidR="00F10505">
        <w:rPr>
          <w:lang w:eastAsia="fr-FR"/>
        </w:rPr>
        <w:t xml:space="preserve"> a</w:t>
      </w:r>
      <w:r>
        <w:rPr>
          <w:lang w:eastAsia="fr-FR"/>
        </w:rPr>
        <w:t xml:space="preserve"> higher conversion of iron ore to </w:t>
      </w:r>
      <w:r w:rsidR="00A9296D">
        <w:rPr>
          <w:lang w:eastAsia="fr-FR"/>
        </w:rPr>
        <w:t>pure</w:t>
      </w:r>
      <w:r>
        <w:rPr>
          <w:lang w:eastAsia="fr-FR"/>
        </w:rPr>
        <w:t xml:space="preserve"> iron</w:t>
      </w:r>
      <w:r w:rsidR="00922695">
        <w:rPr>
          <w:lang w:eastAsia="fr-FR"/>
        </w:rPr>
        <w:t xml:space="preserve"> (Fig. 1 (a))</w:t>
      </w:r>
      <w:r>
        <w:rPr>
          <w:lang w:eastAsia="fr-FR"/>
        </w:rPr>
        <w:t xml:space="preserve">, </w:t>
      </w:r>
      <w:r w:rsidR="00A9296D">
        <w:rPr>
          <w:lang w:eastAsia="fr-FR"/>
        </w:rPr>
        <w:t>studying</w:t>
      </w:r>
      <w:r>
        <w:rPr>
          <w:lang w:eastAsia="fr-FR"/>
        </w:rPr>
        <w:t xml:space="preserve"> </w:t>
      </w:r>
      <w:r>
        <w:rPr>
          <w:color w:val="000000" w:themeColor="text1"/>
        </w:rPr>
        <w:t xml:space="preserve">the apparent conversion kinetics for a single iron ore pellet reveals that an </w:t>
      </w:r>
      <w:r w:rsidR="00A9296D">
        <w:rPr>
          <w:color w:val="000000" w:themeColor="text1"/>
        </w:rPr>
        <w:t>optimal</w:t>
      </w:r>
      <w:r>
        <w:rPr>
          <w:color w:val="000000" w:themeColor="text1"/>
        </w:rPr>
        <w:t xml:space="preserve"> conversion kinetics can be found at </w:t>
      </w:r>
      <w:r w:rsidR="00D53AD1">
        <w:rPr>
          <w:color w:val="000000" w:themeColor="text1"/>
        </w:rPr>
        <w:t xml:space="preserve">a </w:t>
      </w:r>
      <w:r>
        <w:rPr>
          <w:color w:val="000000" w:themeColor="text1"/>
        </w:rPr>
        <w:t xml:space="preserve">lower temperature </w:t>
      </w:r>
      <w:r w:rsidR="00D53AD1">
        <w:rPr>
          <w:color w:val="000000" w:themeColor="text1"/>
        </w:rPr>
        <w:t>(</w:t>
      </w:r>
      <w:r>
        <w:rPr>
          <w:color w:val="000000" w:themeColor="text1"/>
        </w:rPr>
        <w:t>5</w:t>
      </w:r>
      <w:r w:rsidR="00922695">
        <w:rPr>
          <w:color w:val="000000" w:themeColor="text1"/>
        </w:rPr>
        <w:t>5</w:t>
      </w:r>
      <w:r>
        <w:rPr>
          <w:color w:val="000000" w:themeColor="text1"/>
        </w:rPr>
        <w:t>0</w:t>
      </w:r>
      <w:r w:rsidR="0068355C">
        <w:rPr>
          <w:color w:val="000000" w:themeColor="text1"/>
        </w:rPr>
        <w:t xml:space="preserve"> </w:t>
      </w:r>
      <w:r>
        <w:rPr>
          <w:color w:val="000000" w:themeColor="text1"/>
        </w:rPr>
        <w:t>°C</w:t>
      </w:r>
      <w:r w:rsidR="00732095">
        <w:rPr>
          <w:color w:val="000000" w:themeColor="text1"/>
        </w:rPr>
        <w:t>)</w:t>
      </w:r>
      <w:r w:rsidR="00B228A4">
        <w:rPr>
          <w:color w:val="000000" w:themeColor="text1"/>
        </w:rPr>
        <w:t xml:space="preserve"> </w:t>
      </w:r>
      <w:r w:rsidR="00B228A4" w:rsidRPr="001E1599">
        <w:rPr>
          <w:color w:val="000000" w:themeColor="text1"/>
        </w:rPr>
        <w:fldChar w:fldCharType="begin"/>
      </w:r>
      <w:r w:rsidR="00F859BD" w:rsidRPr="001E1599">
        <w:rPr>
          <w:color w:val="000000" w:themeColor="text1"/>
        </w:rPr>
        <w:instrText xml:space="preserve"> ADDIN ZOTERO_ITEM CSL_CITATION {"citationID":"322PMl0u","properties":{"formattedCitation":"(Pescott, 1976)","plainCitation":"(Pescott, 1976)","noteIndex":0},"citationItems":[{"id":415,"uris":["http://zotero.org/users/local/DJMEkG8Q/items/Y3DTEXMY"],"itemData":{"id":415,"type":"article-journal","container-title":"Rapport interne de la société British Steel","journalAbbreviation":"Rapport interne de la société British Steel","title":"Kinetics of the gaseous direct reduction of iron ores in multi-component gas mixtures","author":[{"family":"Pescott","given":"ER"}],"issued":{"date-parts":[["1976"]]}}}],"schema":"https://github.com/citation-style-language/schema/raw/master/csl-citation.json"} </w:instrText>
      </w:r>
      <w:r w:rsidR="00B228A4" w:rsidRPr="001E1599">
        <w:rPr>
          <w:color w:val="000000" w:themeColor="text1"/>
        </w:rPr>
        <w:fldChar w:fldCharType="separate"/>
      </w:r>
      <w:r w:rsidR="00F859BD" w:rsidRPr="001E1599">
        <w:t>(Pescott, 1976)</w:t>
      </w:r>
      <w:r w:rsidR="00B228A4" w:rsidRPr="001E1599">
        <w:rPr>
          <w:color w:val="000000" w:themeColor="text1"/>
        </w:rPr>
        <w:fldChar w:fldCharType="end"/>
      </w:r>
      <w:r w:rsidR="00B228A4" w:rsidRPr="001E1599">
        <w:rPr>
          <w:color w:val="000000" w:themeColor="text1"/>
        </w:rPr>
        <w:t xml:space="preserve">. </w:t>
      </w:r>
      <w:r w:rsidRPr="001E1599">
        <w:rPr>
          <w:color w:val="000000" w:themeColor="text1"/>
        </w:rPr>
        <w:t>The latter</w:t>
      </w:r>
      <w:r>
        <w:rPr>
          <w:color w:val="000000" w:themeColor="text1"/>
        </w:rPr>
        <w:t xml:space="preserve"> is potentially compatible with</w:t>
      </w:r>
      <w:r w:rsidR="00A72770">
        <w:rPr>
          <w:lang w:eastAsia="fr-FR"/>
        </w:rPr>
        <w:t xml:space="preserve"> alternative low-tech </w:t>
      </w:r>
      <w:r w:rsidR="00922695">
        <w:rPr>
          <w:lang w:eastAsia="fr-FR"/>
        </w:rPr>
        <w:t xml:space="preserve">heating </w:t>
      </w:r>
      <w:r w:rsidR="00A9296D">
        <w:rPr>
          <w:lang w:eastAsia="fr-FR"/>
        </w:rPr>
        <w:t xml:space="preserve">solutions </w:t>
      </w:r>
      <w:r w:rsidR="00A72770">
        <w:rPr>
          <w:color w:val="000000" w:themeColor="text1"/>
        </w:rPr>
        <w:t xml:space="preserve">using renewable </w:t>
      </w:r>
      <w:r w:rsidR="00A9296D">
        <w:rPr>
          <w:color w:val="000000" w:themeColor="text1"/>
        </w:rPr>
        <w:t>flow</w:t>
      </w:r>
      <w:r w:rsidR="00A72770">
        <w:rPr>
          <w:color w:val="000000" w:themeColor="text1"/>
        </w:rPr>
        <w:t xml:space="preserve"> energ</w:t>
      </w:r>
      <w:r w:rsidR="00A9296D">
        <w:rPr>
          <w:color w:val="000000" w:themeColor="text1"/>
        </w:rPr>
        <w:t>ies</w:t>
      </w:r>
      <w:r>
        <w:rPr>
          <w:color w:val="000000" w:themeColor="text1"/>
        </w:rPr>
        <w:t xml:space="preserve">. </w:t>
      </w:r>
      <w:r w:rsidR="00A72770">
        <w:rPr>
          <w:color w:val="000000" w:themeColor="text1"/>
        </w:rPr>
        <w:t xml:space="preserve">Therefore, here </w:t>
      </w:r>
      <w:r w:rsidR="00A72770">
        <w:rPr>
          <w:lang w:eastAsia="fr-FR"/>
        </w:rPr>
        <w:t>t</w:t>
      </w:r>
      <w:r w:rsidR="00691139" w:rsidRPr="00691139">
        <w:rPr>
          <w:lang w:eastAsia="fr-FR"/>
        </w:rPr>
        <w:t>he influence of main operating parameters such as hot gas inlet temperature</w:t>
      </w:r>
      <w:r w:rsidR="005578CE">
        <w:rPr>
          <w:lang w:eastAsia="fr-FR"/>
        </w:rPr>
        <w:t xml:space="preserve"> and water vapor content</w:t>
      </w:r>
      <w:r w:rsidR="00691139" w:rsidRPr="00691139">
        <w:rPr>
          <w:lang w:eastAsia="fr-FR"/>
        </w:rPr>
        <w:t xml:space="preserve"> on the conversion</w:t>
      </w:r>
      <w:r w:rsidR="005578CE">
        <w:rPr>
          <w:lang w:eastAsia="fr-FR"/>
        </w:rPr>
        <w:t xml:space="preserve"> and temperature profile </w:t>
      </w:r>
      <w:r w:rsidR="00A9296D">
        <w:rPr>
          <w:lang w:eastAsia="fr-FR"/>
        </w:rPr>
        <w:t>was</w:t>
      </w:r>
      <w:r w:rsidR="00691139" w:rsidRPr="00691139">
        <w:rPr>
          <w:lang w:eastAsia="fr-FR"/>
        </w:rPr>
        <w:t xml:space="preserve"> studied</w:t>
      </w:r>
      <w:r w:rsidR="005578CE">
        <w:rPr>
          <w:lang w:eastAsia="fr-FR"/>
        </w:rPr>
        <w:t xml:space="preserve"> </w:t>
      </w:r>
      <w:r w:rsidR="00922695">
        <w:rPr>
          <w:lang w:eastAsia="fr-FR"/>
        </w:rPr>
        <w:t xml:space="preserve">to establish the </w:t>
      </w:r>
      <w:r w:rsidR="00A9296D">
        <w:rPr>
          <w:lang w:eastAsia="fr-FR"/>
        </w:rPr>
        <w:t>actual</w:t>
      </w:r>
      <w:r w:rsidR="00691139" w:rsidRPr="00691139">
        <w:rPr>
          <w:lang w:eastAsia="fr-FR"/>
        </w:rPr>
        <w:t xml:space="preserve"> conversion and energy </w:t>
      </w:r>
      <w:r>
        <w:rPr>
          <w:lang w:eastAsia="fr-FR"/>
        </w:rPr>
        <w:t>efficiency</w:t>
      </w:r>
      <w:r w:rsidRPr="00691139">
        <w:rPr>
          <w:lang w:eastAsia="fr-FR"/>
        </w:rPr>
        <w:t xml:space="preserve"> </w:t>
      </w:r>
      <w:r w:rsidR="00A9296D">
        <w:rPr>
          <w:lang w:eastAsia="fr-FR"/>
        </w:rPr>
        <w:t>on</w:t>
      </w:r>
      <w:r w:rsidR="00922695">
        <w:rPr>
          <w:lang w:eastAsia="fr-FR"/>
        </w:rPr>
        <w:t xml:space="preserve"> the scale of</w:t>
      </w:r>
      <w:r w:rsidRPr="00691139">
        <w:rPr>
          <w:lang w:eastAsia="fr-FR"/>
        </w:rPr>
        <w:t xml:space="preserve"> </w:t>
      </w:r>
      <w:r w:rsidR="00691139" w:rsidRPr="00691139">
        <w:rPr>
          <w:lang w:eastAsia="fr-FR"/>
        </w:rPr>
        <w:t>an industrial reactor</w:t>
      </w:r>
      <w:r w:rsidR="005578CE">
        <w:rPr>
          <w:lang w:eastAsia="fr-FR"/>
        </w:rPr>
        <w:t>.</w:t>
      </w:r>
      <w:r w:rsidR="00D078DB">
        <w:rPr>
          <w:lang w:eastAsia="fr-FR"/>
        </w:rPr>
        <w:t xml:space="preserve"> </w:t>
      </w:r>
    </w:p>
    <w:p w14:paraId="47662008" w14:textId="0A03A50D" w:rsidR="00DB1794" w:rsidRPr="004067C5" w:rsidRDefault="00B47879" w:rsidP="00B12521">
      <w:pPr>
        <w:pStyle w:val="Els-body-text"/>
        <w:rPr>
          <w:lang w:eastAsia="fr-FR"/>
        </w:rPr>
      </w:pPr>
      <w:r>
        <w:rPr>
          <w:lang w:eastAsia="fr-FR"/>
        </w:rPr>
        <w:t>F</w:t>
      </w:r>
      <w:r w:rsidR="00831F2D">
        <w:rPr>
          <w:lang w:eastAsia="fr-FR"/>
        </w:rPr>
        <w:t>igure 1. shows that</w:t>
      </w:r>
      <w:r w:rsidR="00574547">
        <w:rPr>
          <w:lang w:eastAsia="fr-FR"/>
        </w:rPr>
        <w:t xml:space="preserve"> based on a water vapor content of 2 % in the inlet gas, </w:t>
      </w:r>
      <w:r w:rsidR="00013990">
        <w:rPr>
          <w:lang w:eastAsia="fr-FR"/>
        </w:rPr>
        <w:t>when the inlet gas temperature decreases from 900</w:t>
      </w:r>
      <w:r w:rsidR="0068355C">
        <w:rPr>
          <w:lang w:eastAsia="fr-FR"/>
        </w:rPr>
        <w:t xml:space="preserve"> </w:t>
      </w:r>
      <w:r w:rsidR="00013990">
        <w:rPr>
          <w:lang w:eastAsia="fr-FR"/>
        </w:rPr>
        <w:t xml:space="preserve">°C to 550 °C, </w:t>
      </w:r>
      <w:r w:rsidR="00831F2D">
        <w:rPr>
          <w:lang w:eastAsia="fr-FR"/>
        </w:rPr>
        <w:t xml:space="preserve">the conversion decreases from 100 % to 54 % </w:t>
      </w:r>
      <w:r w:rsidR="00013990">
        <w:rPr>
          <w:lang w:eastAsia="fr-FR"/>
        </w:rPr>
        <w:t xml:space="preserve">while </w:t>
      </w:r>
      <w:r w:rsidR="00831F2D">
        <w:rPr>
          <w:lang w:eastAsia="fr-FR"/>
        </w:rPr>
        <w:t xml:space="preserve">the </w:t>
      </w:r>
      <w:r w:rsidR="00013990">
        <w:rPr>
          <w:lang w:eastAsia="fr-FR"/>
        </w:rPr>
        <w:t xml:space="preserve">energy </w:t>
      </w:r>
      <w:r w:rsidR="00831F2D">
        <w:rPr>
          <w:lang w:eastAsia="fr-FR"/>
        </w:rPr>
        <w:t xml:space="preserve">consumption </w:t>
      </w:r>
      <w:r w:rsidR="00013990">
        <w:rPr>
          <w:lang w:eastAsia="fr-FR"/>
        </w:rPr>
        <w:t xml:space="preserve">for heating is reduced </w:t>
      </w:r>
      <w:r w:rsidR="00831F2D">
        <w:rPr>
          <w:lang w:eastAsia="fr-FR"/>
        </w:rPr>
        <w:t>by 47 %.</w:t>
      </w:r>
      <w:r w:rsidR="008B14B3">
        <w:rPr>
          <w:lang w:eastAsia="fr-FR"/>
        </w:rPr>
        <w:t xml:space="preserve"> In </w:t>
      </w:r>
      <w:r w:rsidR="00F762F2">
        <w:rPr>
          <w:lang w:eastAsia="fr-FR"/>
        </w:rPr>
        <w:t>addition,</w:t>
      </w:r>
      <w:r w:rsidR="008B14B3">
        <w:rPr>
          <w:lang w:eastAsia="fr-FR"/>
        </w:rPr>
        <w:t xml:space="preserve"> </w:t>
      </w:r>
      <w:r w:rsidR="00013990">
        <w:rPr>
          <w:lang w:eastAsia="fr-FR"/>
        </w:rPr>
        <w:t xml:space="preserve">an increase </w:t>
      </w:r>
      <w:r>
        <w:rPr>
          <w:lang w:eastAsia="fr-FR"/>
        </w:rPr>
        <w:t>in</w:t>
      </w:r>
      <w:r w:rsidR="008B14B3">
        <w:rPr>
          <w:lang w:eastAsia="fr-FR"/>
        </w:rPr>
        <w:t xml:space="preserve"> water vapor content</w:t>
      </w:r>
      <w:r>
        <w:rPr>
          <w:lang w:eastAsia="fr-FR"/>
        </w:rPr>
        <w:t xml:space="preserve"> markedly affects</w:t>
      </w:r>
      <w:r w:rsidR="00013990">
        <w:rPr>
          <w:lang w:eastAsia="fr-FR"/>
        </w:rPr>
        <w:t xml:space="preserve"> </w:t>
      </w:r>
      <w:r w:rsidR="008B14B3">
        <w:rPr>
          <w:lang w:eastAsia="fr-FR"/>
        </w:rPr>
        <w:t xml:space="preserve">the conversion even at high temperatures: no complete conversion for a </w:t>
      </w:r>
      <w:r w:rsidR="007C1A03">
        <w:rPr>
          <w:lang w:eastAsia="fr-FR"/>
        </w:rPr>
        <w:t>temperature</w:t>
      </w:r>
      <w:r w:rsidR="008B14B3">
        <w:rPr>
          <w:lang w:eastAsia="fr-FR"/>
        </w:rPr>
        <w:t xml:space="preserve"> of 900</w:t>
      </w:r>
      <w:r w:rsidR="00C0760E">
        <w:rPr>
          <w:lang w:eastAsia="fr-FR"/>
        </w:rPr>
        <w:t xml:space="preserve"> </w:t>
      </w:r>
      <w:r w:rsidR="008B14B3">
        <w:rPr>
          <w:lang w:eastAsia="fr-FR"/>
        </w:rPr>
        <w:t>°C and 550 °C</w:t>
      </w:r>
      <w:r w:rsidR="004334EE">
        <w:rPr>
          <w:lang w:eastAsia="fr-FR"/>
        </w:rPr>
        <w:t xml:space="preserve"> with a water vapor content of 10</w:t>
      </w:r>
      <w:r w:rsidR="003658E4">
        <w:rPr>
          <w:lang w:eastAsia="fr-FR"/>
        </w:rPr>
        <w:t xml:space="preserve"> </w:t>
      </w:r>
      <w:r w:rsidR="004334EE">
        <w:rPr>
          <w:lang w:eastAsia="fr-FR"/>
        </w:rPr>
        <w:t>%</w:t>
      </w:r>
      <w:r w:rsidR="00013990">
        <w:rPr>
          <w:lang w:eastAsia="fr-FR"/>
        </w:rPr>
        <w:t xml:space="preserve"> in the inlet gas</w:t>
      </w:r>
      <w:r w:rsidR="004334EE">
        <w:rPr>
          <w:lang w:eastAsia="fr-FR"/>
        </w:rPr>
        <w:t>.</w:t>
      </w:r>
      <w:r w:rsidR="00F2112E">
        <w:rPr>
          <w:lang w:eastAsia="fr-FR"/>
        </w:rPr>
        <w:t xml:space="preserve"> </w:t>
      </w:r>
    </w:p>
    <w:p w14:paraId="6408DC41" w14:textId="5F00CC0B" w:rsidR="00777AAA" w:rsidRPr="001E1599" w:rsidRDefault="00C37C80" w:rsidP="00C37C80">
      <w:pPr>
        <w:pStyle w:val="Els-body-text"/>
        <w:keepNext/>
      </w:pPr>
      <w:r w:rsidRPr="001E1599">
        <w:rPr>
          <w:noProof/>
        </w:rPr>
        <w:drawing>
          <wp:inline distT="0" distB="0" distL="0" distR="0" wp14:anchorId="3CA0B3AA" wp14:editId="268F2D07">
            <wp:extent cx="4546121" cy="2559050"/>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con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9164" cy="2560763"/>
                    </a:xfrm>
                    <a:prstGeom prst="rect">
                      <a:avLst/>
                    </a:prstGeom>
                  </pic:spPr>
                </pic:pic>
              </a:graphicData>
            </a:graphic>
          </wp:inline>
        </w:drawing>
      </w:r>
    </w:p>
    <w:p w14:paraId="021EA6E9" w14:textId="78F40D76" w:rsidR="003C3363" w:rsidRPr="003C3363" w:rsidRDefault="00777AAA" w:rsidP="00EE71BF">
      <w:pPr>
        <w:pStyle w:val="Didascalia"/>
        <w:jc w:val="center"/>
      </w:pPr>
      <w:r w:rsidRPr="001E1599">
        <w:rPr>
          <w:b/>
        </w:rPr>
        <w:t xml:space="preserve">Figure </w:t>
      </w:r>
      <w:r w:rsidRPr="001E1599">
        <w:rPr>
          <w:b/>
        </w:rPr>
        <w:fldChar w:fldCharType="begin"/>
      </w:r>
      <w:r w:rsidRPr="001E1599">
        <w:rPr>
          <w:b/>
        </w:rPr>
        <w:instrText xml:space="preserve"> SEQ Figure \* ARABIC </w:instrText>
      </w:r>
      <w:r w:rsidRPr="001E1599">
        <w:rPr>
          <w:b/>
        </w:rPr>
        <w:fldChar w:fldCharType="separate"/>
      </w:r>
      <w:r w:rsidR="00824ADB" w:rsidRPr="001E1599">
        <w:rPr>
          <w:b/>
          <w:noProof/>
        </w:rPr>
        <w:t>1</w:t>
      </w:r>
      <w:r w:rsidRPr="001E1599">
        <w:rPr>
          <w:b/>
        </w:rPr>
        <w:fldChar w:fldCharType="end"/>
      </w:r>
      <w:r w:rsidRPr="001E1599">
        <w:rPr>
          <w:b/>
        </w:rPr>
        <w:t>.</w:t>
      </w:r>
      <w:r w:rsidRPr="001E1599">
        <w:t xml:space="preserve"> (a)</w:t>
      </w:r>
      <w:r w:rsidR="00FE659B" w:rsidRPr="001E1599">
        <w:t>:</w:t>
      </w:r>
      <w:r w:rsidRPr="001E1599">
        <w:t xml:space="preserve"> </w:t>
      </w:r>
      <w:r w:rsidR="004F7D37" w:rsidRPr="001E1599">
        <w:t xml:space="preserve">Reduction curves for </w:t>
      </w:r>
      <w:r w:rsidR="00E07DA9" w:rsidRPr="001E1599">
        <w:t>different inlet gas temperature</w:t>
      </w:r>
      <w:r w:rsidR="00424485" w:rsidRPr="001E1599">
        <w:t>s</w:t>
      </w:r>
      <w:r w:rsidR="00E07DA9" w:rsidRPr="001E1599">
        <w:t xml:space="preserve"> and water vapor content.      </w:t>
      </w:r>
      <w:r w:rsidRPr="001E1599">
        <w:t>(b)</w:t>
      </w:r>
      <w:r w:rsidR="00FE659B" w:rsidRPr="001E1599">
        <w:t>:</w:t>
      </w:r>
      <w:r w:rsidRPr="001E1599">
        <w:t xml:space="preserve"> </w:t>
      </w:r>
      <w:r w:rsidR="00E07DA9" w:rsidRPr="001E1599">
        <w:t>Temperature profile in the reactor for different inlet gas temperature</w:t>
      </w:r>
      <w:r w:rsidR="00424485" w:rsidRPr="001E1599">
        <w:t>s</w:t>
      </w:r>
      <w:r w:rsidRPr="001E1599">
        <w:t>.</w:t>
      </w:r>
    </w:p>
    <w:p w14:paraId="16B690E2" w14:textId="106557B4" w:rsidR="00236B5D" w:rsidRPr="001E1599" w:rsidRDefault="008976CC" w:rsidP="00494437">
      <w:pPr>
        <w:pStyle w:val="Els-body-text"/>
        <w:rPr>
          <w:lang w:eastAsia="fr-FR"/>
        </w:rPr>
      </w:pPr>
      <w:r>
        <w:rPr>
          <w:lang w:eastAsia="fr-FR"/>
        </w:rPr>
        <w:t>F</w:t>
      </w:r>
      <w:r w:rsidR="00D709A3">
        <w:rPr>
          <w:lang w:eastAsia="fr-FR"/>
        </w:rPr>
        <w:t xml:space="preserve">igure 1. (b) shows that with an inlet gas temperature of 900 °C, the temperature is uniform in the reactor within 3 meters of the gas inlet. </w:t>
      </w:r>
      <w:r w:rsidR="00013990">
        <w:rPr>
          <w:lang w:eastAsia="fr-FR"/>
        </w:rPr>
        <w:t xml:space="preserve">The hot gas </w:t>
      </w:r>
      <w:r w:rsidR="00D709A3">
        <w:rPr>
          <w:lang w:eastAsia="fr-FR"/>
        </w:rPr>
        <w:t>provides an energy input to compensate the energy required for endothermic reduction reactions with hydrogen</w:t>
      </w:r>
      <w:r w:rsidR="00494437">
        <w:rPr>
          <w:lang w:eastAsia="fr-FR"/>
        </w:rPr>
        <w:t xml:space="preserve">. The temperature profile at 550 °C coincides with the </w:t>
      </w:r>
      <w:r w:rsidR="008725BB">
        <w:rPr>
          <w:lang w:eastAsia="fr-FR"/>
        </w:rPr>
        <w:t xml:space="preserve">shape of the </w:t>
      </w:r>
      <w:r w:rsidR="00494437">
        <w:rPr>
          <w:lang w:eastAsia="fr-FR"/>
        </w:rPr>
        <w:t xml:space="preserve">reduction </w:t>
      </w:r>
      <w:r w:rsidR="008725BB">
        <w:rPr>
          <w:lang w:eastAsia="fr-FR"/>
        </w:rPr>
        <w:t xml:space="preserve">curve </w:t>
      </w:r>
      <w:r w:rsidR="00494437">
        <w:rPr>
          <w:lang w:eastAsia="fr-FR"/>
        </w:rPr>
        <w:t>at this</w:t>
      </w:r>
      <w:r w:rsidR="009B3DA9">
        <w:rPr>
          <w:lang w:eastAsia="fr-FR"/>
        </w:rPr>
        <w:t xml:space="preserve"> </w:t>
      </w:r>
      <w:r w:rsidR="00494437">
        <w:rPr>
          <w:lang w:eastAsia="fr-FR"/>
        </w:rPr>
        <w:t xml:space="preserve">temperature. In fact, the kinetics are strongly </w:t>
      </w:r>
      <w:r w:rsidR="009B3DA9">
        <w:rPr>
          <w:lang w:eastAsia="fr-FR"/>
        </w:rPr>
        <w:t xml:space="preserve">affected at </w:t>
      </w:r>
      <w:r w:rsidR="008A1809">
        <w:rPr>
          <w:lang w:eastAsia="fr-FR"/>
        </w:rPr>
        <w:t xml:space="preserve">lower </w:t>
      </w:r>
      <w:r w:rsidR="009B3DA9">
        <w:rPr>
          <w:lang w:eastAsia="fr-FR"/>
        </w:rPr>
        <w:t>temperature</w:t>
      </w:r>
      <w:r w:rsidR="008A1809">
        <w:rPr>
          <w:lang w:eastAsia="fr-FR"/>
        </w:rPr>
        <w:t xml:space="preserve">s and </w:t>
      </w:r>
      <w:r w:rsidR="00865FD6">
        <w:rPr>
          <w:lang w:eastAsia="fr-FR"/>
        </w:rPr>
        <w:t xml:space="preserve">also </w:t>
      </w:r>
      <w:r w:rsidR="008A1809">
        <w:rPr>
          <w:lang w:eastAsia="fr-FR"/>
        </w:rPr>
        <w:t xml:space="preserve">by a progressive formation of water vapor through chemical reactions that </w:t>
      </w:r>
      <w:r w:rsidR="00C0430D" w:rsidRPr="001E1599">
        <w:rPr>
          <w:lang w:eastAsia="fr-FR"/>
        </w:rPr>
        <w:t xml:space="preserve">significantly limit </w:t>
      </w:r>
      <w:r w:rsidR="008A1809" w:rsidRPr="001E1599">
        <w:rPr>
          <w:lang w:eastAsia="fr-FR"/>
        </w:rPr>
        <w:t>the conversion</w:t>
      </w:r>
      <w:r w:rsidR="009B3DA9" w:rsidRPr="001E1599">
        <w:rPr>
          <w:lang w:eastAsia="fr-FR"/>
        </w:rPr>
        <w:t>.</w:t>
      </w:r>
    </w:p>
    <w:p w14:paraId="622A6B5A" w14:textId="4802C07C" w:rsidR="005F5E09" w:rsidRDefault="005F5E09" w:rsidP="00494437">
      <w:pPr>
        <w:pStyle w:val="Els-body-text"/>
        <w:rPr>
          <w:lang w:eastAsia="fr-FR"/>
        </w:rPr>
      </w:pPr>
      <w:r w:rsidRPr="001E1599">
        <w:rPr>
          <w:lang w:eastAsia="fr-FR"/>
        </w:rPr>
        <w:t>In comparison with the iron oxide reduction performance of a conventional shaft furnace operating with a gaseous mixture consisting mainly of hydrogen and carbon monoxide</w:t>
      </w:r>
      <w:r w:rsidR="00CE57E4" w:rsidRPr="001E1599">
        <w:rPr>
          <w:lang w:eastAsia="fr-FR"/>
        </w:rPr>
        <w:t xml:space="preserve"> (50% H</w:t>
      </w:r>
      <w:r w:rsidR="00CE57E4" w:rsidRPr="001E1599">
        <w:rPr>
          <w:vertAlign w:val="subscript"/>
          <w:lang w:eastAsia="fr-FR"/>
        </w:rPr>
        <w:t>2</w:t>
      </w:r>
      <w:r w:rsidR="00CE57E4" w:rsidRPr="001E1599">
        <w:rPr>
          <w:lang w:eastAsia="fr-FR"/>
        </w:rPr>
        <w:t>, 32% CO, 9% CH</w:t>
      </w:r>
      <w:r w:rsidR="00CE57E4" w:rsidRPr="001E1599">
        <w:rPr>
          <w:vertAlign w:val="subscript"/>
          <w:lang w:eastAsia="fr-FR"/>
        </w:rPr>
        <w:t>4</w:t>
      </w:r>
      <w:r w:rsidR="00CE57E4" w:rsidRPr="001E1599">
        <w:rPr>
          <w:lang w:eastAsia="fr-FR"/>
        </w:rPr>
        <w:t>, 4% H</w:t>
      </w:r>
      <w:r w:rsidR="00CE57E4" w:rsidRPr="001E1599">
        <w:rPr>
          <w:vertAlign w:val="subscript"/>
          <w:lang w:eastAsia="fr-FR"/>
        </w:rPr>
        <w:t>2</w:t>
      </w:r>
      <w:r w:rsidR="00CE57E4" w:rsidRPr="001E1599">
        <w:rPr>
          <w:lang w:eastAsia="fr-FR"/>
        </w:rPr>
        <w:t>O, 2% CO</w:t>
      </w:r>
      <w:r w:rsidR="00CE57E4" w:rsidRPr="001E1599">
        <w:rPr>
          <w:vertAlign w:val="subscript"/>
          <w:lang w:eastAsia="fr-FR"/>
        </w:rPr>
        <w:t>2</w:t>
      </w:r>
      <w:r w:rsidR="00CE57E4" w:rsidRPr="001E1599">
        <w:rPr>
          <w:lang w:eastAsia="fr-FR"/>
        </w:rPr>
        <w:t>)</w:t>
      </w:r>
      <w:r w:rsidR="00025C27" w:rsidRPr="001E1599">
        <w:rPr>
          <w:lang w:eastAsia="fr-FR"/>
        </w:rPr>
        <w:t xml:space="preserve"> </w:t>
      </w:r>
      <w:r w:rsidRPr="001E1599">
        <w:rPr>
          <w:lang w:eastAsia="fr-FR"/>
        </w:rPr>
        <w:t>: (i) a complete conversion is obtained with a more compact reactor in the case where pure hydrogen is used, this fact</w:t>
      </w:r>
      <w:r w:rsidR="00A029AA" w:rsidRPr="001E1599">
        <w:rPr>
          <w:lang w:eastAsia="fr-FR"/>
        </w:rPr>
        <w:t xml:space="preserve"> </w:t>
      </w:r>
      <w:r w:rsidRPr="001E1599">
        <w:rPr>
          <w:lang w:eastAsia="fr-FR"/>
        </w:rPr>
        <w:t>due to the more efficient kinetics; (ii) zero CO</w:t>
      </w:r>
      <w:r w:rsidR="00AC6368" w:rsidRPr="001E1599">
        <w:rPr>
          <w:vertAlign w:val="subscript"/>
          <w:lang w:eastAsia="fr-FR"/>
        </w:rPr>
        <w:t>2</w:t>
      </w:r>
      <w:r w:rsidRPr="001E1599">
        <w:rPr>
          <w:lang w:eastAsia="fr-FR"/>
        </w:rPr>
        <w:t xml:space="preserve"> emissions in a hydrogen reactor since there is no </w:t>
      </w:r>
      <w:r w:rsidR="000B2F45" w:rsidRPr="001E1599">
        <w:rPr>
          <w:lang w:eastAsia="fr-FR"/>
        </w:rPr>
        <w:t xml:space="preserve">direct </w:t>
      </w:r>
      <w:r w:rsidRPr="001E1599">
        <w:rPr>
          <w:lang w:eastAsia="fr-FR"/>
        </w:rPr>
        <w:t>CO</w:t>
      </w:r>
      <w:r w:rsidR="00AC6368" w:rsidRPr="001E1599">
        <w:rPr>
          <w:vertAlign w:val="subscript"/>
          <w:lang w:eastAsia="fr-FR"/>
        </w:rPr>
        <w:t>2</w:t>
      </w:r>
      <w:r w:rsidRPr="001E1599">
        <w:rPr>
          <w:lang w:eastAsia="fr-FR"/>
        </w:rPr>
        <w:t xml:space="preserve"> production; (iii) </w:t>
      </w:r>
      <w:r w:rsidR="000B2F45" w:rsidRPr="001E1599">
        <w:rPr>
          <w:lang w:eastAsia="fr-FR"/>
        </w:rPr>
        <w:t xml:space="preserve">almost </w:t>
      </w:r>
      <w:r w:rsidRPr="001E1599">
        <w:rPr>
          <w:lang w:eastAsia="fr-FR"/>
        </w:rPr>
        <w:t xml:space="preserve">the same order of </w:t>
      </w:r>
      <w:r w:rsidR="000B2F45" w:rsidRPr="001E1599">
        <w:rPr>
          <w:lang w:eastAsia="fr-FR"/>
        </w:rPr>
        <w:t xml:space="preserve">magnitude of </w:t>
      </w:r>
      <w:r w:rsidR="00AC6368" w:rsidRPr="001E1599">
        <w:rPr>
          <w:lang w:eastAsia="fr-FR"/>
        </w:rPr>
        <w:t>energy</w:t>
      </w:r>
      <w:r w:rsidRPr="001E1599">
        <w:rPr>
          <w:lang w:eastAsia="fr-FR"/>
        </w:rPr>
        <w:t xml:space="preserve"> </w:t>
      </w:r>
      <w:r w:rsidR="000B2F45" w:rsidRPr="001E1599">
        <w:rPr>
          <w:lang w:eastAsia="fr-FR"/>
        </w:rPr>
        <w:t xml:space="preserve">consumption </w:t>
      </w:r>
      <w:r w:rsidRPr="001E1599">
        <w:rPr>
          <w:lang w:eastAsia="fr-FR"/>
        </w:rPr>
        <w:t xml:space="preserve">is </w:t>
      </w:r>
      <w:r w:rsidR="000B2F45" w:rsidRPr="001E1599">
        <w:rPr>
          <w:lang w:eastAsia="fr-FR"/>
        </w:rPr>
        <w:t>observed (4% smaller energy consumption using pure hydrogen as the reducing agent)</w:t>
      </w:r>
      <w:r w:rsidRPr="001E1599">
        <w:rPr>
          <w:lang w:eastAsia="fr-FR"/>
        </w:rPr>
        <w:t xml:space="preserve">, </w:t>
      </w:r>
      <w:r w:rsidR="000B2F45" w:rsidRPr="001E1599">
        <w:rPr>
          <w:lang w:eastAsia="fr-FR"/>
        </w:rPr>
        <w:lastRenderedPageBreak/>
        <w:t>note</w:t>
      </w:r>
      <w:r w:rsidRPr="001E1599">
        <w:rPr>
          <w:lang w:eastAsia="fr-FR"/>
        </w:rPr>
        <w:t xml:space="preserve"> that the </w:t>
      </w:r>
      <w:r w:rsidR="000B2F45" w:rsidRPr="001E1599">
        <w:rPr>
          <w:lang w:eastAsia="fr-FR"/>
        </w:rPr>
        <w:t>reduction</w:t>
      </w:r>
      <w:r w:rsidRPr="001E1599">
        <w:rPr>
          <w:lang w:eastAsia="fr-FR"/>
        </w:rPr>
        <w:t xml:space="preserve"> with </w:t>
      </w:r>
      <w:r w:rsidR="000B2F45" w:rsidRPr="001E1599">
        <w:rPr>
          <w:lang w:eastAsia="fr-FR"/>
        </w:rPr>
        <w:t xml:space="preserve">pure </w:t>
      </w:r>
      <w:r w:rsidRPr="001E1599">
        <w:rPr>
          <w:lang w:eastAsia="fr-FR"/>
        </w:rPr>
        <w:t xml:space="preserve">hydrogen is endothermic </w:t>
      </w:r>
      <w:r w:rsidR="000B2F45" w:rsidRPr="001E1599">
        <w:rPr>
          <w:lang w:eastAsia="fr-FR"/>
        </w:rPr>
        <w:t>while</w:t>
      </w:r>
      <w:r w:rsidRPr="001E1599">
        <w:rPr>
          <w:lang w:eastAsia="fr-FR"/>
        </w:rPr>
        <w:t xml:space="preserve"> </w:t>
      </w:r>
      <w:r w:rsidR="000B2F45" w:rsidRPr="001E1599">
        <w:rPr>
          <w:lang w:eastAsia="fr-FR"/>
        </w:rPr>
        <w:t xml:space="preserve">in </w:t>
      </w:r>
      <w:r w:rsidR="009E028D" w:rsidRPr="001E1599">
        <w:rPr>
          <w:lang w:eastAsia="fr-FR"/>
        </w:rPr>
        <w:t xml:space="preserve">conventional shaft furnace operating </w:t>
      </w:r>
      <w:r w:rsidR="000B2F45" w:rsidRPr="001E1599">
        <w:rPr>
          <w:lang w:eastAsia="fr-FR"/>
        </w:rPr>
        <w:t>with syngas</w:t>
      </w:r>
      <w:r w:rsidR="009E028D" w:rsidRPr="001E1599">
        <w:rPr>
          <w:lang w:eastAsia="fr-FR"/>
        </w:rPr>
        <w:t xml:space="preserve"> involves also</w:t>
      </w:r>
      <w:r w:rsidR="000B2F45" w:rsidRPr="001E1599">
        <w:rPr>
          <w:lang w:eastAsia="fr-FR"/>
        </w:rPr>
        <w:t xml:space="preserve"> </w:t>
      </w:r>
      <w:r w:rsidR="009E028D" w:rsidRPr="001E1599">
        <w:rPr>
          <w:lang w:eastAsia="fr-FR"/>
        </w:rPr>
        <w:t>exothermic</w:t>
      </w:r>
      <w:r w:rsidR="000B2F45" w:rsidRPr="001E1599">
        <w:rPr>
          <w:lang w:eastAsia="fr-FR"/>
        </w:rPr>
        <w:t xml:space="preserve"> combustion reactions</w:t>
      </w:r>
      <w:r w:rsidRPr="001E1599">
        <w:rPr>
          <w:lang w:eastAsia="fr-FR"/>
        </w:rPr>
        <w:t>.</w:t>
      </w:r>
    </w:p>
    <w:p w14:paraId="144DE6AE" w14:textId="5726750A" w:rsidR="008D2649" w:rsidRDefault="00180988" w:rsidP="00C14D81">
      <w:pPr>
        <w:pStyle w:val="Els-1storder-head"/>
        <w:spacing w:after="120"/>
        <w:jc w:val="left"/>
        <w:rPr>
          <w:lang w:val="en-GB"/>
        </w:rPr>
      </w:pPr>
      <w:r>
        <w:rPr>
          <w:lang w:val="en-GB"/>
        </w:rPr>
        <w:t>Conclusions</w:t>
      </w:r>
    </w:p>
    <w:p w14:paraId="7964DD8A" w14:textId="6E4C2BCB" w:rsidR="00392AE2" w:rsidRPr="00AC7067" w:rsidRDefault="00CE568B" w:rsidP="00AC7067">
      <w:pPr>
        <w:jc w:val="both"/>
        <w:rPr>
          <w:lang w:val="en-US" w:eastAsia="fr-FR"/>
        </w:rPr>
      </w:pPr>
      <w:r>
        <w:t>The m</w:t>
      </w:r>
      <w:r w:rsidR="00300CC6">
        <w:t>odel-based studies provided in this work</w:t>
      </w:r>
      <w:r w:rsidR="00706674" w:rsidRPr="00BE549A">
        <w:t xml:space="preserve"> </w:t>
      </w:r>
      <w:r>
        <w:t>helped</w:t>
      </w:r>
      <w:r w:rsidR="00706674" w:rsidRPr="00BE549A">
        <w:t xml:space="preserve"> to </w:t>
      </w:r>
      <w:r w:rsidR="001F0CB5">
        <w:t>understand</w:t>
      </w:r>
      <w:r w:rsidR="001F0CB5" w:rsidRPr="00BE549A">
        <w:t xml:space="preserve"> </w:t>
      </w:r>
      <w:r w:rsidR="00706674" w:rsidRPr="00BE549A">
        <w:t xml:space="preserve">the potentials and limitations of </w:t>
      </w:r>
      <w:r>
        <w:t xml:space="preserve">direct </w:t>
      </w:r>
      <w:r w:rsidR="00300CC6">
        <w:t xml:space="preserve">iron ore </w:t>
      </w:r>
      <w:r w:rsidR="00706674" w:rsidRPr="00BE549A">
        <w:t>reduction with hydrogen</w:t>
      </w:r>
      <w:r w:rsidR="00300CC6">
        <w:t xml:space="preserve"> at </w:t>
      </w:r>
      <w:r>
        <w:t xml:space="preserve">a </w:t>
      </w:r>
      <w:r w:rsidR="00300CC6">
        <w:t xml:space="preserve">real </w:t>
      </w:r>
      <w:r w:rsidR="00300CC6" w:rsidRPr="00BE549A">
        <w:t xml:space="preserve">reactor </w:t>
      </w:r>
      <w:r w:rsidR="00300CC6">
        <w:t>scale</w:t>
      </w:r>
      <w:r w:rsidR="00BE549A" w:rsidRPr="00BE549A">
        <w:t>.</w:t>
      </w:r>
      <w:r w:rsidR="00BE549A">
        <w:rPr>
          <w:lang w:val="en-US" w:eastAsia="fr-FR"/>
        </w:rPr>
        <w:t xml:space="preserve"> </w:t>
      </w:r>
      <w:r w:rsidR="00BE549A" w:rsidRPr="00BE549A">
        <w:rPr>
          <w:lang w:val="en-US" w:eastAsia="fr-FR"/>
        </w:rPr>
        <w:t xml:space="preserve">By comparing a reactor </w:t>
      </w:r>
      <w:r>
        <w:rPr>
          <w:lang w:val="en-US" w:eastAsia="fr-FR"/>
        </w:rPr>
        <w:t>fueled</w:t>
      </w:r>
      <w:r w:rsidRPr="00BE549A">
        <w:rPr>
          <w:lang w:val="en-US" w:eastAsia="fr-FR"/>
        </w:rPr>
        <w:t xml:space="preserve"> </w:t>
      </w:r>
      <w:r w:rsidR="00BE549A" w:rsidRPr="00BE549A">
        <w:rPr>
          <w:lang w:val="en-US" w:eastAsia="fr-FR"/>
        </w:rPr>
        <w:t>with pure hydrogen at 550</w:t>
      </w:r>
      <w:r w:rsidR="00BE549A">
        <w:rPr>
          <w:lang w:val="en-US" w:eastAsia="fr-FR"/>
        </w:rPr>
        <w:t xml:space="preserve"> </w:t>
      </w:r>
      <w:r w:rsidR="00BE549A" w:rsidRPr="00BE549A">
        <w:rPr>
          <w:lang w:val="en-US" w:eastAsia="fr-FR"/>
        </w:rPr>
        <w:t xml:space="preserve">°C with the same reactor </w:t>
      </w:r>
      <w:r>
        <w:rPr>
          <w:lang w:val="en-US" w:eastAsia="fr-FR"/>
        </w:rPr>
        <w:t>fueled</w:t>
      </w:r>
      <w:r w:rsidR="00BE549A" w:rsidRPr="00BE549A">
        <w:rPr>
          <w:lang w:val="en-US" w:eastAsia="fr-FR"/>
        </w:rPr>
        <w:t xml:space="preserve"> at 900</w:t>
      </w:r>
      <w:r w:rsidR="00BE549A">
        <w:rPr>
          <w:lang w:val="en-US" w:eastAsia="fr-FR"/>
        </w:rPr>
        <w:t xml:space="preserve"> </w:t>
      </w:r>
      <w:r w:rsidR="00BE549A" w:rsidRPr="00BE549A">
        <w:rPr>
          <w:lang w:val="en-US" w:eastAsia="fr-FR"/>
        </w:rPr>
        <w:t xml:space="preserve">°C, the following </w:t>
      </w:r>
      <w:r>
        <w:rPr>
          <w:lang w:val="en-US" w:eastAsia="fr-FR"/>
        </w:rPr>
        <w:t>main</w:t>
      </w:r>
      <w:r w:rsidRPr="00BE549A">
        <w:rPr>
          <w:lang w:val="en-US" w:eastAsia="fr-FR"/>
        </w:rPr>
        <w:t xml:space="preserve"> </w:t>
      </w:r>
      <w:r w:rsidR="00BE549A" w:rsidRPr="00BE549A">
        <w:rPr>
          <w:lang w:val="en-US" w:eastAsia="fr-FR"/>
        </w:rPr>
        <w:t xml:space="preserve">observations </w:t>
      </w:r>
      <w:r>
        <w:rPr>
          <w:lang w:val="en-US" w:eastAsia="fr-FR"/>
        </w:rPr>
        <w:t>were</w:t>
      </w:r>
      <w:r w:rsidR="00BE549A" w:rsidRPr="00BE549A">
        <w:rPr>
          <w:lang w:val="en-US" w:eastAsia="fr-FR"/>
        </w:rPr>
        <w:t xml:space="preserve"> made: (i) </w:t>
      </w:r>
      <w:r w:rsidR="0021587F">
        <w:rPr>
          <w:lang w:val="en-US" w:eastAsia="fr-FR"/>
        </w:rPr>
        <w:t>A</w:t>
      </w:r>
      <w:r w:rsidR="00BE549A" w:rsidRPr="00BE549A">
        <w:rPr>
          <w:lang w:val="en-US" w:eastAsia="fr-FR"/>
        </w:rPr>
        <w:t xml:space="preserve">lthough the thermal requirement for heating decreases by 47 % when </w:t>
      </w:r>
      <w:r>
        <w:rPr>
          <w:lang w:val="en-US" w:eastAsia="fr-FR"/>
        </w:rPr>
        <w:t xml:space="preserve">it </w:t>
      </w:r>
      <w:r w:rsidR="00BE549A" w:rsidRPr="00BE549A">
        <w:rPr>
          <w:lang w:val="en-US" w:eastAsia="fr-FR"/>
        </w:rPr>
        <w:t>operat</w:t>
      </w:r>
      <w:r>
        <w:rPr>
          <w:lang w:val="en-US" w:eastAsia="fr-FR"/>
        </w:rPr>
        <w:t>es</w:t>
      </w:r>
      <w:r w:rsidR="00BE549A" w:rsidRPr="00BE549A">
        <w:rPr>
          <w:lang w:val="en-US" w:eastAsia="fr-FR"/>
        </w:rPr>
        <w:t xml:space="preserve"> at 550</w:t>
      </w:r>
      <w:r w:rsidR="00BE549A">
        <w:rPr>
          <w:lang w:val="en-US" w:eastAsia="fr-FR"/>
        </w:rPr>
        <w:t xml:space="preserve"> </w:t>
      </w:r>
      <w:r w:rsidR="00BE549A" w:rsidRPr="00BE549A">
        <w:rPr>
          <w:lang w:val="en-US" w:eastAsia="fr-FR"/>
        </w:rPr>
        <w:t xml:space="preserve">°C, conversion </w:t>
      </w:r>
      <w:r>
        <w:rPr>
          <w:lang w:val="en-US" w:eastAsia="fr-FR"/>
        </w:rPr>
        <w:t>drops</w:t>
      </w:r>
      <w:r w:rsidRPr="00BE549A">
        <w:rPr>
          <w:lang w:val="en-US" w:eastAsia="fr-FR"/>
        </w:rPr>
        <w:t xml:space="preserve"> </w:t>
      </w:r>
      <w:r w:rsidR="00BE549A" w:rsidRPr="00BE549A">
        <w:rPr>
          <w:lang w:val="en-US" w:eastAsia="fr-FR"/>
        </w:rPr>
        <w:t>from 100</w:t>
      </w:r>
      <w:r w:rsidR="00BE549A">
        <w:rPr>
          <w:lang w:val="en-US" w:eastAsia="fr-FR"/>
        </w:rPr>
        <w:t xml:space="preserve"> </w:t>
      </w:r>
      <w:r w:rsidR="00BE549A" w:rsidRPr="00BE549A">
        <w:rPr>
          <w:lang w:val="en-US" w:eastAsia="fr-FR"/>
        </w:rPr>
        <w:t>% to 54</w:t>
      </w:r>
      <w:r w:rsidR="00BE549A">
        <w:rPr>
          <w:lang w:val="en-US" w:eastAsia="fr-FR"/>
        </w:rPr>
        <w:t xml:space="preserve"> </w:t>
      </w:r>
      <w:r w:rsidR="00BE549A" w:rsidRPr="00BE549A">
        <w:rPr>
          <w:lang w:val="en-US" w:eastAsia="fr-FR"/>
        </w:rPr>
        <w:t xml:space="preserve">% for </w:t>
      </w:r>
      <w:r w:rsidRPr="00BE549A">
        <w:rPr>
          <w:lang w:val="en-US" w:eastAsia="fr-FR"/>
        </w:rPr>
        <w:t>10</w:t>
      </w:r>
      <w:r>
        <w:rPr>
          <w:lang w:val="en-US" w:eastAsia="fr-FR"/>
        </w:rPr>
        <w:t xml:space="preserve"> </w:t>
      </w:r>
      <w:r w:rsidRPr="00BE549A">
        <w:rPr>
          <w:lang w:val="en-US" w:eastAsia="fr-FR"/>
        </w:rPr>
        <w:t xml:space="preserve">mm </w:t>
      </w:r>
      <w:r w:rsidR="00BE549A" w:rsidRPr="00BE549A">
        <w:rPr>
          <w:lang w:val="en-US" w:eastAsia="fr-FR"/>
        </w:rPr>
        <w:t>iron ore pellets, (ii) temperature profile</w:t>
      </w:r>
      <w:r w:rsidR="00300CC6">
        <w:rPr>
          <w:lang w:val="en-US" w:eastAsia="fr-FR"/>
        </w:rPr>
        <w:t xml:space="preserve"> and conversion </w:t>
      </w:r>
      <w:r w:rsidR="00C159FA">
        <w:rPr>
          <w:lang w:val="en-US" w:eastAsia="fr-FR"/>
        </w:rPr>
        <w:t>are</w:t>
      </w:r>
      <w:r w:rsidR="00300CC6">
        <w:rPr>
          <w:lang w:val="en-US" w:eastAsia="fr-FR"/>
        </w:rPr>
        <w:t xml:space="preserve"> greatly affected at lower temperatures due to loss of conversion kinetics</w:t>
      </w:r>
      <w:r w:rsidR="00BE549A" w:rsidRPr="00BE549A">
        <w:rPr>
          <w:lang w:val="en-US" w:eastAsia="fr-FR"/>
        </w:rPr>
        <w:t>, (iii) the</w:t>
      </w:r>
      <w:r w:rsidR="00300CC6">
        <w:rPr>
          <w:lang w:val="en-US" w:eastAsia="fr-FR"/>
        </w:rPr>
        <w:t xml:space="preserve"> presence of</w:t>
      </w:r>
      <w:r w:rsidR="00BE549A" w:rsidRPr="00BE549A">
        <w:rPr>
          <w:lang w:val="en-US" w:eastAsia="fr-FR"/>
        </w:rPr>
        <w:t xml:space="preserve"> water vapor in </w:t>
      </w:r>
      <w:r w:rsidR="00C159FA">
        <w:rPr>
          <w:lang w:val="en-US" w:eastAsia="fr-FR"/>
        </w:rPr>
        <w:t xml:space="preserve">the </w:t>
      </w:r>
      <w:r w:rsidR="00BE549A" w:rsidRPr="00BE549A">
        <w:rPr>
          <w:lang w:val="en-US" w:eastAsia="fr-FR"/>
        </w:rPr>
        <w:t xml:space="preserve">gas </w:t>
      </w:r>
      <w:r w:rsidR="00300CC6">
        <w:rPr>
          <w:lang w:val="en-US" w:eastAsia="fr-FR"/>
        </w:rPr>
        <w:t>becomes</w:t>
      </w:r>
      <w:r w:rsidR="00BE549A" w:rsidRPr="00BE549A">
        <w:rPr>
          <w:lang w:val="en-US" w:eastAsia="fr-FR"/>
        </w:rPr>
        <w:t xml:space="preserve"> </w:t>
      </w:r>
      <w:r w:rsidR="00300CC6">
        <w:rPr>
          <w:lang w:val="en-US" w:eastAsia="fr-FR"/>
        </w:rPr>
        <w:t>the main</w:t>
      </w:r>
      <w:r w:rsidR="00BE549A" w:rsidRPr="00BE549A">
        <w:rPr>
          <w:lang w:val="en-US" w:eastAsia="fr-FR"/>
        </w:rPr>
        <w:t xml:space="preserve"> thermochemical barrier for the final conversion </w:t>
      </w:r>
      <w:r w:rsidR="00300CC6">
        <w:rPr>
          <w:lang w:val="en-US" w:eastAsia="fr-FR"/>
        </w:rPr>
        <w:t xml:space="preserve">of magnetite </w:t>
      </w:r>
      <w:r w:rsidR="00BE549A" w:rsidRPr="00BE549A">
        <w:rPr>
          <w:lang w:val="en-US" w:eastAsia="fr-FR"/>
        </w:rPr>
        <w:t xml:space="preserve">to </w:t>
      </w:r>
      <w:r w:rsidR="00C159FA">
        <w:rPr>
          <w:lang w:val="en-US" w:eastAsia="fr-FR"/>
        </w:rPr>
        <w:t>pure</w:t>
      </w:r>
      <w:r w:rsidR="00300CC6" w:rsidRPr="00BE549A">
        <w:rPr>
          <w:lang w:val="en-US" w:eastAsia="fr-FR"/>
        </w:rPr>
        <w:t xml:space="preserve"> </w:t>
      </w:r>
      <w:r w:rsidR="00BE549A" w:rsidRPr="00BE549A">
        <w:rPr>
          <w:lang w:val="en-US" w:eastAsia="fr-FR"/>
        </w:rPr>
        <w:t xml:space="preserve">iron at lower </w:t>
      </w:r>
      <w:r w:rsidR="00300CC6">
        <w:rPr>
          <w:lang w:val="en-US" w:eastAsia="fr-FR"/>
        </w:rPr>
        <w:t xml:space="preserve">operating </w:t>
      </w:r>
      <w:r w:rsidR="00BE549A" w:rsidRPr="00BE549A">
        <w:rPr>
          <w:lang w:val="en-US" w:eastAsia="fr-FR"/>
        </w:rPr>
        <w:t>temperatures.</w:t>
      </w:r>
    </w:p>
    <w:p w14:paraId="144DE6BF" w14:textId="608D0AD6" w:rsidR="008D2649" w:rsidRPr="00745451" w:rsidRDefault="008D2649" w:rsidP="008D2649">
      <w:pPr>
        <w:pStyle w:val="Els-reference-head"/>
      </w:pPr>
      <w:r w:rsidRPr="00745451">
        <w:t>References</w:t>
      </w:r>
    </w:p>
    <w:p w14:paraId="7A8A2508" w14:textId="77777777" w:rsidR="008A3E7B" w:rsidRPr="00745451" w:rsidRDefault="00126712" w:rsidP="008A3E7B">
      <w:pPr>
        <w:pStyle w:val="Bibliografia"/>
        <w:rPr>
          <w:sz w:val="18"/>
          <w:lang w:val="fr-FR"/>
        </w:rPr>
      </w:pPr>
      <w:r w:rsidRPr="00745451">
        <w:rPr>
          <w:lang w:val="en-US"/>
        </w:rPr>
        <w:fldChar w:fldCharType="begin"/>
      </w:r>
      <w:r w:rsidR="00F859BD" w:rsidRPr="00745451">
        <w:rPr>
          <w:lang w:val="en-US"/>
        </w:rPr>
        <w:instrText xml:space="preserve"> ADDIN ZOTERO_BIBL {"uncited":[],"omitted":[],"custom":[]} CSL_BIBLIOGRAPHY </w:instrText>
      </w:r>
      <w:r w:rsidRPr="00745451">
        <w:rPr>
          <w:lang w:val="en-US"/>
        </w:rPr>
        <w:fldChar w:fldCharType="separate"/>
      </w:r>
      <w:r w:rsidR="008A3E7B" w:rsidRPr="00745451">
        <w:rPr>
          <w:sz w:val="18"/>
        </w:rPr>
        <w:t xml:space="preserve">E, R. W. (1952). Evaporation from Drops-I and-II. </w:t>
      </w:r>
      <w:r w:rsidR="008A3E7B" w:rsidRPr="00745451">
        <w:rPr>
          <w:i/>
          <w:iCs/>
          <w:sz w:val="18"/>
          <w:lang w:val="fr-FR"/>
        </w:rPr>
        <w:t>Chem. Eng. Progr</w:t>
      </w:r>
      <w:r w:rsidR="008A3E7B" w:rsidRPr="00745451">
        <w:rPr>
          <w:sz w:val="18"/>
          <w:lang w:val="fr-FR"/>
        </w:rPr>
        <w:t xml:space="preserve">, </w:t>
      </w:r>
      <w:r w:rsidR="008A3E7B" w:rsidRPr="00745451">
        <w:rPr>
          <w:i/>
          <w:iCs/>
          <w:sz w:val="18"/>
          <w:lang w:val="fr-FR"/>
        </w:rPr>
        <w:t>48</w:t>
      </w:r>
      <w:r w:rsidR="008A3E7B" w:rsidRPr="00745451">
        <w:rPr>
          <w:sz w:val="18"/>
          <w:lang w:val="fr-FR"/>
        </w:rPr>
        <w:t>, 141‑180.</w:t>
      </w:r>
    </w:p>
    <w:p w14:paraId="20BB9DBE" w14:textId="77777777" w:rsidR="008A3E7B" w:rsidRPr="00745451" w:rsidRDefault="008A3E7B" w:rsidP="008A3E7B">
      <w:pPr>
        <w:pStyle w:val="Bibliografia"/>
        <w:rPr>
          <w:sz w:val="18"/>
          <w:lang w:val="fr-FR"/>
        </w:rPr>
      </w:pPr>
      <w:r w:rsidRPr="00745451">
        <w:rPr>
          <w:i/>
          <w:iCs/>
          <w:sz w:val="18"/>
          <w:lang w:val="fr-FR"/>
        </w:rPr>
        <w:t>Iron &amp; steel</w:t>
      </w:r>
      <w:r w:rsidRPr="00745451">
        <w:rPr>
          <w:sz w:val="18"/>
          <w:lang w:val="fr-FR"/>
        </w:rPr>
        <w:t>. (s. d.). IEA. Consulté 21 novembre 2023, à l’adresse https://www.iea.org/energy-system/industry/steel</w:t>
      </w:r>
    </w:p>
    <w:p w14:paraId="589F42FC" w14:textId="77777777" w:rsidR="008A3E7B" w:rsidRPr="00745451" w:rsidRDefault="008A3E7B" w:rsidP="008A3E7B">
      <w:pPr>
        <w:pStyle w:val="Bibliografia"/>
        <w:rPr>
          <w:sz w:val="18"/>
        </w:rPr>
      </w:pPr>
      <w:r w:rsidRPr="00745451">
        <w:rPr>
          <w:sz w:val="18"/>
        </w:rPr>
        <w:t xml:space="preserve">Krishna, R., &amp; Van Baten, J. M. (2012). Investigating the validity of the Bosanquet formula for estimation of diffusivities in mesopores. </w:t>
      </w:r>
      <w:r w:rsidRPr="00745451">
        <w:rPr>
          <w:i/>
          <w:iCs/>
          <w:sz w:val="18"/>
        </w:rPr>
        <w:t>Chemical Engineering Science</w:t>
      </w:r>
      <w:r w:rsidRPr="00745451">
        <w:rPr>
          <w:sz w:val="18"/>
        </w:rPr>
        <w:t xml:space="preserve">, </w:t>
      </w:r>
      <w:r w:rsidRPr="00745451">
        <w:rPr>
          <w:i/>
          <w:iCs/>
          <w:sz w:val="18"/>
        </w:rPr>
        <w:t>69</w:t>
      </w:r>
      <w:r w:rsidRPr="00745451">
        <w:rPr>
          <w:sz w:val="18"/>
        </w:rPr>
        <w:t>(1), 684‑688. https://doi.org/10.1016/j.ces.2011.11.026</w:t>
      </w:r>
    </w:p>
    <w:p w14:paraId="70D9A9E4" w14:textId="77777777" w:rsidR="008A3E7B" w:rsidRPr="00745451" w:rsidRDefault="008A3E7B" w:rsidP="008A3E7B">
      <w:pPr>
        <w:pStyle w:val="Bibliografia"/>
        <w:rPr>
          <w:sz w:val="18"/>
        </w:rPr>
      </w:pPr>
      <w:r w:rsidRPr="00745451">
        <w:rPr>
          <w:sz w:val="18"/>
        </w:rPr>
        <w:t xml:space="preserve">Levenspiel, O. (1998). </w:t>
      </w:r>
      <w:r w:rsidRPr="00745451">
        <w:rPr>
          <w:i/>
          <w:iCs/>
          <w:sz w:val="18"/>
        </w:rPr>
        <w:t>Chemical Reaction Engineering</w:t>
      </w:r>
      <w:r w:rsidRPr="00745451">
        <w:rPr>
          <w:sz w:val="18"/>
        </w:rPr>
        <w:t>. John Wiley &amp; Sons.</w:t>
      </w:r>
    </w:p>
    <w:p w14:paraId="695782B1" w14:textId="77777777" w:rsidR="008A3E7B" w:rsidRPr="00745451" w:rsidRDefault="008A3E7B" w:rsidP="008A3E7B">
      <w:pPr>
        <w:pStyle w:val="Bibliografia"/>
        <w:rPr>
          <w:sz w:val="18"/>
        </w:rPr>
      </w:pPr>
      <w:r w:rsidRPr="00745451">
        <w:rPr>
          <w:sz w:val="18"/>
        </w:rPr>
        <w:t xml:space="preserve">Patisson, F., &amp; Mirgaux, O. (2020). Hydrogen Ironmaking : How It Works. </w:t>
      </w:r>
      <w:r w:rsidRPr="00745451">
        <w:rPr>
          <w:i/>
          <w:iCs/>
          <w:sz w:val="18"/>
        </w:rPr>
        <w:t>Metals</w:t>
      </w:r>
      <w:r w:rsidRPr="00745451">
        <w:rPr>
          <w:sz w:val="18"/>
        </w:rPr>
        <w:t xml:space="preserve">, </w:t>
      </w:r>
      <w:r w:rsidRPr="00745451">
        <w:rPr>
          <w:i/>
          <w:iCs/>
          <w:sz w:val="18"/>
        </w:rPr>
        <w:t>10</w:t>
      </w:r>
      <w:r w:rsidRPr="00745451">
        <w:rPr>
          <w:sz w:val="18"/>
        </w:rPr>
        <w:t>(7), Article 7. https://doi.org/10.3390/met10070922</w:t>
      </w:r>
    </w:p>
    <w:p w14:paraId="5D3DABAC" w14:textId="77777777" w:rsidR="008A3E7B" w:rsidRPr="00745451" w:rsidRDefault="008A3E7B" w:rsidP="008A3E7B">
      <w:pPr>
        <w:pStyle w:val="Bibliografia"/>
        <w:rPr>
          <w:sz w:val="18"/>
          <w:lang w:val="fr-FR"/>
        </w:rPr>
      </w:pPr>
      <w:r w:rsidRPr="00745451">
        <w:rPr>
          <w:sz w:val="18"/>
        </w:rPr>
        <w:t xml:space="preserve">Pescott, E. (1976). Kinetics of the gaseous direct reduction of iron ores in multi-component gas mixtures. </w:t>
      </w:r>
      <w:r w:rsidRPr="00745451">
        <w:rPr>
          <w:i/>
          <w:iCs/>
          <w:sz w:val="18"/>
          <w:lang w:val="fr-FR"/>
        </w:rPr>
        <w:t>Rapport interne de la société British Steel</w:t>
      </w:r>
      <w:r w:rsidRPr="00745451">
        <w:rPr>
          <w:sz w:val="18"/>
          <w:lang w:val="fr-FR"/>
        </w:rPr>
        <w:t>.</w:t>
      </w:r>
    </w:p>
    <w:p w14:paraId="21EFCA7D" w14:textId="77777777" w:rsidR="008A3E7B" w:rsidRPr="00745451" w:rsidRDefault="008A3E7B" w:rsidP="008A3E7B">
      <w:pPr>
        <w:pStyle w:val="Bibliografia"/>
        <w:rPr>
          <w:sz w:val="18"/>
        </w:rPr>
      </w:pPr>
      <w:r w:rsidRPr="00745451">
        <w:rPr>
          <w:sz w:val="18"/>
          <w:lang w:val="fr-FR"/>
        </w:rPr>
        <w:t xml:space="preserve">Ranzani Da Costa, A., Wagner, D., &amp; Patisson, F. (2013). </w:t>
      </w:r>
      <w:r w:rsidRPr="00745451">
        <w:rPr>
          <w:sz w:val="18"/>
        </w:rPr>
        <w:t xml:space="preserve">Modelling a new, low CO2 emissions, hydrogen steelmaking process. </w:t>
      </w:r>
      <w:r w:rsidRPr="00745451">
        <w:rPr>
          <w:i/>
          <w:iCs/>
          <w:sz w:val="18"/>
        </w:rPr>
        <w:t>Journal of Cleaner Production</w:t>
      </w:r>
      <w:r w:rsidRPr="00745451">
        <w:rPr>
          <w:sz w:val="18"/>
        </w:rPr>
        <w:t xml:space="preserve">, </w:t>
      </w:r>
      <w:r w:rsidRPr="00745451">
        <w:rPr>
          <w:i/>
          <w:iCs/>
          <w:sz w:val="18"/>
        </w:rPr>
        <w:t>46</w:t>
      </w:r>
      <w:r w:rsidRPr="00745451">
        <w:rPr>
          <w:sz w:val="18"/>
        </w:rPr>
        <w:t>, 27‑35. https://doi.org/10.1016/j.jclepro.2012.07.045</w:t>
      </w:r>
    </w:p>
    <w:p w14:paraId="0737F18F" w14:textId="77777777" w:rsidR="008A3E7B" w:rsidRPr="00745451" w:rsidRDefault="008A3E7B" w:rsidP="008A3E7B">
      <w:pPr>
        <w:pStyle w:val="Bibliografia"/>
        <w:rPr>
          <w:sz w:val="18"/>
          <w:lang w:val="fr-FR"/>
        </w:rPr>
      </w:pPr>
      <w:r w:rsidRPr="00745451">
        <w:rPr>
          <w:sz w:val="18"/>
        </w:rPr>
        <w:t xml:space="preserve">Spreitzer, D., &amp; Schenk, J. (2019). Reduction of Iron Oxides with Hydrogen—A Review. </w:t>
      </w:r>
      <w:r w:rsidRPr="00745451">
        <w:rPr>
          <w:i/>
          <w:iCs/>
          <w:sz w:val="18"/>
          <w:lang w:val="fr-FR"/>
        </w:rPr>
        <w:t>Steel Research International</w:t>
      </w:r>
      <w:r w:rsidRPr="00745451">
        <w:rPr>
          <w:sz w:val="18"/>
          <w:lang w:val="fr-FR"/>
        </w:rPr>
        <w:t xml:space="preserve">, </w:t>
      </w:r>
      <w:r w:rsidRPr="00745451">
        <w:rPr>
          <w:i/>
          <w:iCs/>
          <w:sz w:val="18"/>
          <w:lang w:val="fr-FR"/>
        </w:rPr>
        <w:t>90</w:t>
      </w:r>
      <w:r w:rsidRPr="00745451">
        <w:rPr>
          <w:sz w:val="18"/>
          <w:lang w:val="fr-FR"/>
        </w:rPr>
        <w:t>(10), 1900108. https://doi.org/10.1002/srin.201900108</w:t>
      </w:r>
    </w:p>
    <w:p w14:paraId="67760090" w14:textId="350079C4" w:rsidR="00AC7067" w:rsidRPr="00745451" w:rsidRDefault="008A3E7B" w:rsidP="00AC7067">
      <w:pPr>
        <w:pStyle w:val="Bibliografia"/>
        <w:rPr>
          <w:sz w:val="18"/>
          <w:lang w:val="fr-FR"/>
        </w:rPr>
      </w:pPr>
      <w:r w:rsidRPr="00745451">
        <w:rPr>
          <w:sz w:val="18"/>
          <w:lang w:val="fr-FR"/>
        </w:rPr>
        <w:t xml:space="preserve">Wagner, D. (2008). </w:t>
      </w:r>
      <w:r w:rsidRPr="00745451">
        <w:rPr>
          <w:i/>
          <w:iCs/>
          <w:sz w:val="18"/>
          <w:lang w:val="fr-FR"/>
        </w:rPr>
        <w:t>Etude expérimentale et modélisation de la réduction du minerai de fer par l’hydrogène</w:t>
      </w:r>
      <w:r w:rsidRPr="00745451">
        <w:rPr>
          <w:sz w:val="18"/>
          <w:lang w:val="fr-FR"/>
        </w:rPr>
        <w:t>.</w:t>
      </w:r>
    </w:p>
    <w:p w14:paraId="18D07BAE" w14:textId="112572D8" w:rsidR="008D2649" w:rsidRPr="00AC7067" w:rsidRDefault="00126712" w:rsidP="00AC7067">
      <w:pPr>
        <w:pStyle w:val="Els-referenceno-number"/>
        <w:rPr>
          <w:lang w:val="en-US"/>
        </w:rPr>
      </w:pPr>
      <w:r w:rsidRPr="00745451">
        <w:rPr>
          <w:lang w:val="en-US"/>
        </w:rPr>
        <w:fldChar w:fldCharType="end"/>
      </w:r>
    </w:p>
    <w:sectPr w:rsidR="008D2649" w:rsidRPr="00AC7067"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C1CF7" w14:textId="77777777" w:rsidR="00D949B8" w:rsidRDefault="00D949B8">
      <w:r>
        <w:separator/>
      </w:r>
    </w:p>
  </w:endnote>
  <w:endnote w:type="continuationSeparator" w:id="0">
    <w:p w14:paraId="331BAB18" w14:textId="77777777" w:rsidR="00D949B8" w:rsidRDefault="00D9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6E0F" w14:textId="77777777" w:rsidR="00D949B8" w:rsidRDefault="00D949B8">
      <w:r>
        <w:separator/>
      </w:r>
    </w:p>
  </w:footnote>
  <w:footnote w:type="continuationSeparator" w:id="0">
    <w:p w14:paraId="60DE99CD" w14:textId="77777777" w:rsidR="00D949B8" w:rsidRDefault="00D9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E9168C" w:rsidRDefault="00E9168C">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E9168C" w:rsidRDefault="00E9168C">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E9168C" w:rsidRPr="00FF6043" w:rsidRDefault="00E9168C"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Pr="00FF6043">
      <w:rPr>
        <w:color w:val="auto"/>
        <w:sz w:val="20"/>
        <w:szCs w:val="20"/>
      </w:rPr>
      <w:t>Flavio Manenti, Gintaras V. Reklaitis (Eds.), B</w:t>
    </w:r>
    <w:r w:rsidRPr="00FF6043">
      <w:rPr>
        <w:noProof/>
        <w:sz w:val="20"/>
        <w:szCs w:val="20"/>
      </w:rPr>
      <w:t xml:space="preserve">ook of Abstract of the </w:t>
    </w:r>
    <w:r w:rsidRPr="00FF6043">
      <w:rPr>
        <w:rStyle w:val="underline1"/>
        <w:sz w:val="20"/>
        <w:szCs w:val="20"/>
        <w:u w:val="none"/>
      </w:rPr>
      <w:t>34</w:t>
    </w:r>
    <w:r w:rsidRPr="00FF6043">
      <w:rPr>
        <w:rStyle w:val="underline1"/>
        <w:sz w:val="20"/>
        <w:szCs w:val="20"/>
        <w:u w:val="none"/>
        <w:vertAlign w:val="superscript"/>
      </w:rPr>
      <w:t>th</w:t>
    </w:r>
    <w:r w:rsidRPr="00FF6043">
      <w:rPr>
        <w:rStyle w:val="underline1"/>
        <w:sz w:val="20"/>
        <w:szCs w:val="20"/>
        <w:u w:val="none"/>
      </w:rPr>
      <w:t xml:space="preserve"> European Symposium on Computer Aided Process Engineering / 15</w:t>
    </w:r>
    <w:r w:rsidRPr="00FF6043">
      <w:rPr>
        <w:rStyle w:val="underline1"/>
        <w:sz w:val="20"/>
        <w:szCs w:val="20"/>
        <w:u w:val="none"/>
        <w:vertAlign w:val="superscript"/>
      </w:rPr>
      <w:t>th</w:t>
    </w:r>
    <w:r w:rsidRPr="00FF6043">
      <w:rPr>
        <w:rStyle w:val="underline1"/>
        <w:sz w:val="20"/>
        <w:szCs w:val="20"/>
        <w:u w:val="none"/>
      </w:rPr>
      <w:t xml:space="preserve"> International Symposium on Process Systems Engineerin</w:t>
    </w:r>
    <w:r w:rsidRPr="00FF6043">
      <w:rPr>
        <w:rStyle w:val="underline1"/>
        <w:sz w:val="20"/>
        <w:szCs w:val="20"/>
      </w:rPr>
      <w:t>g</w:t>
    </w:r>
    <w:r w:rsidRPr="00FF6043">
      <w:rPr>
        <w:noProof/>
        <w:sz w:val="20"/>
        <w:szCs w:val="20"/>
      </w:rPr>
      <w:t xml:space="preserve"> (ESCAPE34/PSE24), June 2-6, 2024,</w:t>
    </w:r>
    <w:r w:rsidRPr="00FF6043">
      <w:rPr>
        <w:sz w:val="20"/>
        <w:szCs w:val="20"/>
      </w:rPr>
      <w:t xml:space="preserve"> Florence</w:t>
    </w:r>
    <w:r w:rsidRPr="00FF6043">
      <w:rPr>
        <w:noProof/>
        <w:sz w:val="20"/>
        <w:szCs w:val="20"/>
      </w:rPr>
      <w:t>, Italy</w:t>
    </w:r>
    <w:r>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BDE7E89"/>
    <w:multiLevelType w:val="hybridMultilevel"/>
    <w:tmpl w:val="71648EB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3F2"/>
    <w:rsid w:val="00013990"/>
    <w:rsid w:val="00015F07"/>
    <w:rsid w:val="00016020"/>
    <w:rsid w:val="00023289"/>
    <w:rsid w:val="0002514D"/>
    <w:rsid w:val="00025C27"/>
    <w:rsid w:val="00026AC3"/>
    <w:rsid w:val="00031C9D"/>
    <w:rsid w:val="00034E59"/>
    <w:rsid w:val="000473BB"/>
    <w:rsid w:val="00064BF6"/>
    <w:rsid w:val="00072639"/>
    <w:rsid w:val="00074340"/>
    <w:rsid w:val="0007742C"/>
    <w:rsid w:val="00087A39"/>
    <w:rsid w:val="000931AF"/>
    <w:rsid w:val="000A2F91"/>
    <w:rsid w:val="000A7D8B"/>
    <w:rsid w:val="000B0F9F"/>
    <w:rsid w:val="000B2F45"/>
    <w:rsid w:val="000B5A11"/>
    <w:rsid w:val="000B6139"/>
    <w:rsid w:val="000C56CC"/>
    <w:rsid w:val="000D3D9B"/>
    <w:rsid w:val="000D6BB6"/>
    <w:rsid w:val="000E523C"/>
    <w:rsid w:val="000F52A8"/>
    <w:rsid w:val="000F5E48"/>
    <w:rsid w:val="001003A6"/>
    <w:rsid w:val="00100EF9"/>
    <w:rsid w:val="00121EC4"/>
    <w:rsid w:val="00126712"/>
    <w:rsid w:val="001355E2"/>
    <w:rsid w:val="00146A2B"/>
    <w:rsid w:val="001521FF"/>
    <w:rsid w:val="00152EEE"/>
    <w:rsid w:val="0016032F"/>
    <w:rsid w:val="001668B2"/>
    <w:rsid w:val="00172894"/>
    <w:rsid w:val="00173039"/>
    <w:rsid w:val="00180988"/>
    <w:rsid w:val="00186B38"/>
    <w:rsid w:val="00187252"/>
    <w:rsid w:val="001875E3"/>
    <w:rsid w:val="001879F6"/>
    <w:rsid w:val="001A5F9B"/>
    <w:rsid w:val="001B05A0"/>
    <w:rsid w:val="001B0F10"/>
    <w:rsid w:val="001B15B9"/>
    <w:rsid w:val="001B1DE3"/>
    <w:rsid w:val="001C0148"/>
    <w:rsid w:val="001C06B6"/>
    <w:rsid w:val="001C0BBB"/>
    <w:rsid w:val="001C757E"/>
    <w:rsid w:val="001D3D43"/>
    <w:rsid w:val="001D4CF8"/>
    <w:rsid w:val="001D54AB"/>
    <w:rsid w:val="001E1599"/>
    <w:rsid w:val="001E2060"/>
    <w:rsid w:val="001E35C1"/>
    <w:rsid w:val="001E3C55"/>
    <w:rsid w:val="001E638B"/>
    <w:rsid w:val="001E644F"/>
    <w:rsid w:val="001E7139"/>
    <w:rsid w:val="001F0CB5"/>
    <w:rsid w:val="001F2C8B"/>
    <w:rsid w:val="001F624A"/>
    <w:rsid w:val="00200D7B"/>
    <w:rsid w:val="0020329D"/>
    <w:rsid w:val="0020390F"/>
    <w:rsid w:val="00204894"/>
    <w:rsid w:val="00207424"/>
    <w:rsid w:val="00214554"/>
    <w:rsid w:val="002155A1"/>
    <w:rsid w:val="0021587F"/>
    <w:rsid w:val="0022108D"/>
    <w:rsid w:val="00225373"/>
    <w:rsid w:val="00236B5D"/>
    <w:rsid w:val="002423A2"/>
    <w:rsid w:val="0024291E"/>
    <w:rsid w:val="00242AE8"/>
    <w:rsid w:val="00244A51"/>
    <w:rsid w:val="0025158F"/>
    <w:rsid w:val="002538C4"/>
    <w:rsid w:val="00264040"/>
    <w:rsid w:val="00264926"/>
    <w:rsid w:val="002730B8"/>
    <w:rsid w:val="00273B1B"/>
    <w:rsid w:val="00287FC5"/>
    <w:rsid w:val="002A7A31"/>
    <w:rsid w:val="002C4930"/>
    <w:rsid w:val="002C5D58"/>
    <w:rsid w:val="002E46E1"/>
    <w:rsid w:val="002E535A"/>
    <w:rsid w:val="002F3922"/>
    <w:rsid w:val="00300CC6"/>
    <w:rsid w:val="00303F5F"/>
    <w:rsid w:val="0030625D"/>
    <w:rsid w:val="00313084"/>
    <w:rsid w:val="003229C0"/>
    <w:rsid w:val="00325304"/>
    <w:rsid w:val="00325C57"/>
    <w:rsid w:val="00330672"/>
    <w:rsid w:val="0033444A"/>
    <w:rsid w:val="00335F00"/>
    <w:rsid w:val="00340672"/>
    <w:rsid w:val="00340EDD"/>
    <w:rsid w:val="00344D01"/>
    <w:rsid w:val="00347909"/>
    <w:rsid w:val="00351D5D"/>
    <w:rsid w:val="00353675"/>
    <w:rsid w:val="00355E1C"/>
    <w:rsid w:val="003577F8"/>
    <w:rsid w:val="00362A76"/>
    <w:rsid w:val="003658E4"/>
    <w:rsid w:val="00375DBD"/>
    <w:rsid w:val="00383D53"/>
    <w:rsid w:val="00386B13"/>
    <w:rsid w:val="00387007"/>
    <w:rsid w:val="00392AE2"/>
    <w:rsid w:val="00397348"/>
    <w:rsid w:val="003A4DFE"/>
    <w:rsid w:val="003B009B"/>
    <w:rsid w:val="003B0264"/>
    <w:rsid w:val="003B20AE"/>
    <w:rsid w:val="003B3C00"/>
    <w:rsid w:val="003B4D45"/>
    <w:rsid w:val="003B6AAE"/>
    <w:rsid w:val="003C3250"/>
    <w:rsid w:val="003C3363"/>
    <w:rsid w:val="003C4A3D"/>
    <w:rsid w:val="003D1582"/>
    <w:rsid w:val="003D47CA"/>
    <w:rsid w:val="003D718C"/>
    <w:rsid w:val="003D7E4C"/>
    <w:rsid w:val="003E41C2"/>
    <w:rsid w:val="003E5AB2"/>
    <w:rsid w:val="003F03B5"/>
    <w:rsid w:val="003F4385"/>
    <w:rsid w:val="004040E5"/>
    <w:rsid w:val="00405618"/>
    <w:rsid w:val="004067C5"/>
    <w:rsid w:val="00411FBC"/>
    <w:rsid w:val="00413C60"/>
    <w:rsid w:val="0041423A"/>
    <w:rsid w:val="00415474"/>
    <w:rsid w:val="00424485"/>
    <w:rsid w:val="00425BAD"/>
    <w:rsid w:val="004334EE"/>
    <w:rsid w:val="0045241A"/>
    <w:rsid w:val="004564F2"/>
    <w:rsid w:val="004628E9"/>
    <w:rsid w:val="00462D1A"/>
    <w:rsid w:val="00473F7B"/>
    <w:rsid w:val="00494437"/>
    <w:rsid w:val="0049772C"/>
    <w:rsid w:val="004A17C3"/>
    <w:rsid w:val="004A5632"/>
    <w:rsid w:val="004B1E32"/>
    <w:rsid w:val="004D3424"/>
    <w:rsid w:val="004D409D"/>
    <w:rsid w:val="004D4772"/>
    <w:rsid w:val="004D681C"/>
    <w:rsid w:val="004E5266"/>
    <w:rsid w:val="004E702F"/>
    <w:rsid w:val="004E771A"/>
    <w:rsid w:val="004F77D5"/>
    <w:rsid w:val="004F7D37"/>
    <w:rsid w:val="0050468E"/>
    <w:rsid w:val="00507CB7"/>
    <w:rsid w:val="00510218"/>
    <w:rsid w:val="005145B6"/>
    <w:rsid w:val="00530D22"/>
    <w:rsid w:val="005362D7"/>
    <w:rsid w:val="00544205"/>
    <w:rsid w:val="00552EEB"/>
    <w:rsid w:val="005578CE"/>
    <w:rsid w:val="00566EDA"/>
    <w:rsid w:val="00567D93"/>
    <w:rsid w:val="00574547"/>
    <w:rsid w:val="00580299"/>
    <w:rsid w:val="00582C37"/>
    <w:rsid w:val="005A6791"/>
    <w:rsid w:val="005B0A8D"/>
    <w:rsid w:val="005B2450"/>
    <w:rsid w:val="005B69DE"/>
    <w:rsid w:val="005B747F"/>
    <w:rsid w:val="005C28DD"/>
    <w:rsid w:val="005C2976"/>
    <w:rsid w:val="005C46C2"/>
    <w:rsid w:val="005C74F4"/>
    <w:rsid w:val="005D4384"/>
    <w:rsid w:val="005D4FC3"/>
    <w:rsid w:val="005D632E"/>
    <w:rsid w:val="005E5D34"/>
    <w:rsid w:val="005F5E09"/>
    <w:rsid w:val="00603188"/>
    <w:rsid w:val="00607E2F"/>
    <w:rsid w:val="006134C1"/>
    <w:rsid w:val="00617D71"/>
    <w:rsid w:val="0062578C"/>
    <w:rsid w:val="006278F1"/>
    <w:rsid w:val="00633281"/>
    <w:rsid w:val="006404B6"/>
    <w:rsid w:val="00644E6D"/>
    <w:rsid w:val="0067292C"/>
    <w:rsid w:val="0068355C"/>
    <w:rsid w:val="00683A13"/>
    <w:rsid w:val="00686C72"/>
    <w:rsid w:val="00686E12"/>
    <w:rsid w:val="0068782F"/>
    <w:rsid w:val="00691139"/>
    <w:rsid w:val="006A27C8"/>
    <w:rsid w:val="006A3C2D"/>
    <w:rsid w:val="006A69BF"/>
    <w:rsid w:val="006B0B90"/>
    <w:rsid w:val="006B42EE"/>
    <w:rsid w:val="006B60D6"/>
    <w:rsid w:val="006C11D1"/>
    <w:rsid w:val="006C3CDF"/>
    <w:rsid w:val="006C7164"/>
    <w:rsid w:val="006C7F1F"/>
    <w:rsid w:val="006D0226"/>
    <w:rsid w:val="006D3542"/>
    <w:rsid w:val="006E1A8A"/>
    <w:rsid w:val="006F6C2E"/>
    <w:rsid w:val="0070104E"/>
    <w:rsid w:val="007058F4"/>
    <w:rsid w:val="00706674"/>
    <w:rsid w:val="00711DF4"/>
    <w:rsid w:val="00715B85"/>
    <w:rsid w:val="00717E06"/>
    <w:rsid w:val="00726276"/>
    <w:rsid w:val="00732095"/>
    <w:rsid w:val="00732D5C"/>
    <w:rsid w:val="00733A5C"/>
    <w:rsid w:val="00737C97"/>
    <w:rsid w:val="00745451"/>
    <w:rsid w:val="00746486"/>
    <w:rsid w:val="00747111"/>
    <w:rsid w:val="00747EE8"/>
    <w:rsid w:val="00755302"/>
    <w:rsid w:val="00761D41"/>
    <w:rsid w:val="00774F91"/>
    <w:rsid w:val="00775AAA"/>
    <w:rsid w:val="007764E3"/>
    <w:rsid w:val="00777AAA"/>
    <w:rsid w:val="0078103F"/>
    <w:rsid w:val="00792768"/>
    <w:rsid w:val="007953CF"/>
    <w:rsid w:val="007961B4"/>
    <w:rsid w:val="007964D4"/>
    <w:rsid w:val="007A2CC8"/>
    <w:rsid w:val="007B7CD2"/>
    <w:rsid w:val="007B7F19"/>
    <w:rsid w:val="007C1A03"/>
    <w:rsid w:val="007C252F"/>
    <w:rsid w:val="007C79B6"/>
    <w:rsid w:val="007C7D82"/>
    <w:rsid w:val="007D03CD"/>
    <w:rsid w:val="007D70A1"/>
    <w:rsid w:val="007F0038"/>
    <w:rsid w:val="007F0F0F"/>
    <w:rsid w:val="00800578"/>
    <w:rsid w:val="008036D2"/>
    <w:rsid w:val="00804ACA"/>
    <w:rsid w:val="008132E8"/>
    <w:rsid w:val="008167D3"/>
    <w:rsid w:val="00820A62"/>
    <w:rsid w:val="008229AF"/>
    <w:rsid w:val="00823407"/>
    <w:rsid w:val="00824ADB"/>
    <w:rsid w:val="00831F2D"/>
    <w:rsid w:val="00833717"/>
    <w:rsid w:val="00837189"/>
    <w:rsid w:val="00855782"/>
    <w:rsid w:val="00865FD6"/>
    <w:rsid w:val="00866A59"/>
    <w:rsid w:val="008725BB"/>
    <w:rsid w:val="00891E61"/>
    <w:rsid w:val="008976CC"/>
    <w:rsid w:val="008A1809"/>
    <w:rsid w:val="008A3E7B"/>
    <w:rsid w:val="008B0184"/>
    <w:rsid w:val="008B14B3"/>
    <w:rsid w:val="008B1BB1"/>
    <w:rsid w:val="008B75A6"/>
    <w:rsid w:val="008C1A18"/>
    <w:rsid w:val="008C5D02"/>
    <w:rsid w:val="008D02B0"/>
    <w:rsid w:val="008D2649"/>
    <w:rsid w:val="008D4EEB"/>
    <w:rsid w:val="008E4DC6"/>
    <w:rsid w:val="008F1AE3"/>
    <w:rsid w:val="00900156"/>
    <w:rsid w:val="009016A8"/>
    <w:rsid w:val="00904B8C"/>
    <w:rsid w:val="0090568D"/>
    <w:rsid w:val="0090616C"/>
    <w:rsid w:val="00906792"/>
    <w:rsid w:val="00910F88"/>
    <w:rsid w:val="009125C9"/>
    <w:rsid w:val="00913879"/>
    <w:rsid w:val="00914AB8"/>
    <w:rsid w:val="00917661"/>
    <w:rsid w:val="0092140B"/>
    <w:rsid w:val="00922695"/>
    <w:rsid w:val="0092714E"/>
    <w:rsid w:val="00930965"/>
    <w:rsid w:val="00931946"/>
    <w:rsid w:val="009411D1"/>
    <w:rsid w:val="00970E5D"/>
    <w:rsid w:val="00971325"/>
    <w:rsid w:val="009737C7"/>
    <w:rsid w:val="00976D80"/>
    <w:rsid w:val="0097701C"/>
    <w:rsid w:val="00980A65"/>
    <w:rsid w:val="00980CA1"/>
    <w:rsid w:val="009813B0"/>
    <w:rsid w:val="009819A5"/>
    <w:rsid w:val="00985E42"/>
    <w:rsid w:val="009873CB"/>
    <w:rsid w:val="00987455"/>
    <w:rsid w:val="00992D9B"/>
    <w:rsid w:val="0099693D"/>
    <w:rsid w:val="009A220C"/>
    <w:rsid w:val="009A68B8"/>
    <w:rsid w:val="009B2A8E"/>
    <w:rsid w:val="009B3DA9"/>
    <w:rsid w:val="009B51A2"/>
    <w:rsid w:val="009B6B70"/>
    <w:rsid w:val="009C01F9"/>
    <w:rsid w:val="009C0AA1"/>
    <w:rsid w:val="009C0CDF"/>
    <w:rsid w:val="009C48B1"/>
    <w:rsid w:val="009C78AC"/>
    <w:rsid w:val="009E028D"/>
    <w:rsid w:val="009F09FF"/>
    <w:rsid w:val="009F22A8"/>
    <w:rsid w:val="009F3524"/>
    <w:rsid w:val="00A00CAA"/>
    <w:rsid w:val="00A01974"/>
    <w:rsid w:val="00A02761"/>
    <w:rsid w:val="00A029AA"/>
    <w:rsid w:val="00A051DF"/>
    <w:rsid w:val="00A0733F"/>
    <w:rsid w:val="00A108C2"/>
    <w:rsid w:val="00A135D6"/>
    <w:rsid w:val="00A14F3E"/>
    <w:rsid w:val="00A238EE"/>
    <w:rsid w:val="00A25BBE"/>
    <w:rsid w:val="00A25E70"/>
    <w:rsid w:val="00A327DF"/>
    <w:rsid w:val="00A33765"/>
    <w:rsid w:val="00A35361"/>
    <w:rsid w:val="00A43630"/>
    <w:rsid w:val="00A4372D"/>
    <w:rsid w:val="00A455EE"/>
    <w:rsid w:val="00A53763"/>
    <w:rsid w:val="00A55161"/>
    <w:rsid w:val="00A6207B"/>
    <w:rsid w:val="00A63269"/>
    <w:rsid w:val="00A703E8"/>
    <w:rsid w:val="00A71BE4"/>
    <w:rsid w:val="00A72770"/>
    <w:rsid w:val="00A877D8"/>
    <w:rsid w:val="00A92377"/>
    <w:rsid w:val="00A9296D"/>
    <w:rsid w:val="00A974DF"/>
    <w:rsid w:val="00A97ADB"/>
    <w:rsid w:val="00AA2E69"/>
    <w:rsid w:val="00AA63CF"/>
    <w:rsid w:val="00AB29ED"/>
    <w:rsid w:val="00AB6C3F"/>
    <w:rsid w:val="00AC0CE8"/>
    <w:rsid w:val="00AC6368"/>
    <w:rsid w:val="00AC7067"/>
    <w:rsid w:val="00AD0770"/>
    <w:rsid w:val="00AD0B5F"/>
    <w:rsid w:val="00AD3CB0"/>
    <w:rsid w:val="00AD6BD1"/>
    <w:rsid w:val="00AD7920"/>
    <w:rsid w:val="00AE1884"/>
    <w:rsid w:val="00AE2CB9"/>
    <w:rsid w:val="00AE4BD8"/>
    <w:rsid w:val="00AE5D61"/>
    <w:rsid w:val="00AE790F"/>
    <w:rsid w:val="00AF0D79"/>
    <w:rsid w:val="00AF50CF"/>
    <w:rsid w:val="00B0007F"/>
    <w:rsid w:val="00B006FC"/>
    <w:rsid w:val="00B058BD"/>
    <w:rsid w:val="00B110D6"/>
    <w:rsid w:val="00B12521"/>
    <w:rsid w:val="00B228A4"/>
    <w:rsid w:val="00B4388F"/>
    <w:rsid w:val="00B474FC"/>
    <w:rsid w:val="00B47879"/>
    <w:rsid w:val="00B52C54"/>
    <w:rsid w:val="00B60A9D"/>
    <w:rsid w:val="00B60C17"/>
    <w:rsid w:val="00B62894"/>
    <w:rsid w:val="00B63237"/>
    <w:rsid w:val="00B673A1"/>
    <w:rsid w:val="00B71DF5"/>
    <w:rsid w:val="00B83DD2"/>
    <w:rsid w:val="00B85155"/>
    <w:rsid w:val="00B85837"/>
    <w:rsid w:val="00BA657A"/>
    <w:rsid w:val="00BB1CEF"/>
    <w:rsid w:val="00BC761B"/>
    <w:rsid w:val="00BC774D"/>
    <w:rsid w:val="00BD227E"/>
    <w:rsid w:val="00BD5C18"/>
    <w:rsid w:val="00BE0C5E"/>
    <w:rsid w:val="00BE3893"/>
    <w:rsid w:val="00BE44CF"/>
    <w:rsid w:val="00BE4615"/>
    <w:rsid w:val="00BE549A"/>
    <w:rsid w:val="00BE566B"/>
    <w:rsid w:val="00BE6AAF"/>
    <w:rsid w:val="00BE79CD"/>
    <w:rsid w:val="00BF0022"/>
    <w:rsid w:val="00BF44BB"/>
    <w:rsid w:val="00C0430D"/>
    <w:rsid w:val="00C0760E"/>
    <w:rsid w:val="00C14D81"/>
    <w:rsid w:val="00C159FA"/>
    <w:rsid w:val="00C1778F"/>
    <w:rsid w:val="00C230BE"/>
    <w:rsid w:val="00C32119"/>
    <w:rsid w:val="00C35A9C"/>
    <w:rsid w:val="00C37C80"/>
    <w:rsid w:val="00C41E24"/>
    <w:rsid w:val="00C46993"/>
    <w:rsid w:val="00C54B05"/>
    <w:rsid w:val="00C663C9"/>
    <w:rsid w:val="00C7235C"/>
    <w:rsid w:val="00C750E1"/>
    <w:rsid w:val="00C76215"/>
    <w:rsid w:val="00C76606"/>
    <w:rsid w:val="00C8115C"/>
    <w:rsid w:val="00C81F1C"/>
    <w:rsid w:val="00C91DC3"/>
    <w:rsid w:val="00C92B8B"/>
    <w:rsid w:val="00C960DC"/>
    <w:rsid w:val="00CB2E05"/>
    <w:rsid w:val="00CB6E4E"/>
    <w:rsid w:val="00CC0DD5"/>
    <w:rsid w:val="00CD142F"/>
    <w:rsid w:val="00CD22A4"/>
    <w:rsid w:val="00CD3FC7"/>
    <w:rsid w:val="00CD5D31"/>
    <w:rsid w:val="00CE46B7"/>
    <w:rsid w:val="00CE48CC"/>
    <w:rsid w:val="00CE568B"/>
    <w:rsid w:val="00CE57E4"/>
    <w:rsid w:val="00CF3F26"/>
    <w:rsid w:val="00D02C75"/>
    <w:rsid w:val="00D035FB"/>
    <w:rsid w:val="00D078DB"/>
    <w:rsid w:val="00D10E22"/>
    <w:rsid w:val="00D139D9"/>
    <w:rsid w:val="00D13D2C"/>
    <w:rsid w:val="00D21286"/>
    <w:rsid w:val="00D22165"/>
    <w:rsid w:val="00D26DA7"/>
    <w:rsid w:val="00D31823"/>
    <w:rsid w:val="00D31998"/>
    <w:rsid w:val="00D46B2F"/>
    <w:rsid w:val="00D53AD1"/>
    <w:rsid w:val="00D61219"/>
    <w:rsid w:val="00D61C86"/>
    <w:rsid w:val="00D63ADB"/>
    <w:rsid w:val="00D653D5"/>
    <w:rsid w:val="00D709A3"/>
    <w:rsid w:val="00D7496F"/>
    <w:rsid w:val="00D75F26"/>
    <w:rsid w:val="00D845F2"/>
    <w:rsid w:val="00D864FB"/>
    <w:rsid w:val="00D93559"/>
    <w:rsid w:val="00D949B8"/>
    <w:rsid w:val="00DA3999"/>
    <w:rsid w:val="00DA3F31"/>
    <w:rsid w:val="00DB136C"/>
    <w:rsid w:val="00DB1794"/>
    <w:rsid w:val="00DB2D8C"/>
    <w:rsid w:val="00DB492E"/>
    <w:rsid w:val="00DB7E96"/>
    <w:rsid w:val="00DC2F94"/>
    <w:rsid w:val="00DC49DA"/>
    <w:rsid w:val="00DC785A"/>
    <w:rsid w:val="00DD1BEC"/>
    <w:rsid w:val="00DD1E18"/>
    <w:rsid w:val="00DD3D9E"/>
    <w:rsid w:val="00DD736E"/>
    <w:rsid w:val="00DD7908"/>
    <w:rsid w:val="00DD7B5D"/>
    <w:rsid w:val="00DE53BD"/>
    <w:rsid w:val="00DE7736"/>
    <w:rsid w:val="00DF2BB3"/>
    <w:rsid w:val="00E0295F"/>
    <w:rsid w:val="00E03978"/>
    <w:rsid w:val="00E07DA9"/>
    <w:rsid w:val="00E11209"/>
    <w:rsid w:val="00E13287"/>
    <w:rsid w:val="00E14357"/>
    <w:rsid w:val="00E178B3"/>
    <w:rsid w:val="00E26BDF"/>
    <w:rsid w:val="00E26CCB"/>
    <w:rsid w:val="00E34973"/>
    <w:rsid w:val="00E42D80"/>
    <w:rsid w:val="00E433C6"/>
    <w:rsid w:val="00E43672"/>
    <w:rsid w:val="00E56187"/>
    <w:rsid w:val="00E61C04"/>
    <w:rsid w:val="00E630E2"/>
    <w:rsid w:val="00E75D71"/>
    <w:rsid w:val="00E7708A"/>
    <w:rsid w:val="00E81D67"/>
    <w:rsid w:val="00E82297"/>
    <w:rsid w:val="00E83599"/>
    <w:rsid w:val="00E84B36"/>
    <w:rsid w:val="00E85063"/>
    <w:rsid w:val="00E87A36"/>
    <w:rsid w:val="00E9168C"/>
    <w:rsid w:val="00EA150F"/>
    <w:rsid w:val="00EA51CA"/>
    <w:rsid w:val="00EB0370"/>
    <w:rsid w:val="00EB32A6"/>
    <w:rsid w:val="00EB3C77"/>
    <w:rsid w:val="00EC0786"/>
    <w:rsid w:val="00EC1BAF"/>
    <w:rsid w:val="00ED4F3B"/>
    <w:rsid w:val="00ED57A4"/>
    <w:rsid w:val="00ED7864"/>
    <w:rsid w:val="00EE1A9C"/>
    <w:rsid w:val="00EE2551"/>
    <w:rsid w:val="00EE2F6F"/>
    <w:rsid w:val="00EE3A4C"/>
    <w:rsid w:val="00EE4FA5"/>
    <w:rsid w:val="00EE71BF"/>
    <w:rsid w:val="00EE7EAE"/>
    <w:rsid w:val="00EF2788"/>
    <w:rsid w:val="00EF39FD"/>
    <w:rsid w:val="00F06842"/>
    <w:rsid w:val="00F10505"/>
    <w:rsid w:val="00F107FD"/>
    <w:rsid w:val="00F2112E"/>
    <w:rsid w:val="00F267E3"/>
    <w:rsid w:val="00F365EB"/>
    <w:rsid w:val="00F62A10"/>
    <w:rsid w:val="00F70497"/>
    <w:rsid w:val="00F716D6"/>
    <w:rsid w:val="00F72F67"/>
    <w:rsid w:val="00F74DF1"/>
    <w:rsid w:val="00F762F2"/>
    <w:rsid w:val="00F7659F"/>
    <w:rsid w:val="00F83347"/>
    <w:rsid w:val="00F859BD"/>
    <w:rsid w:val="00FA0802"/>
    <w:rsid w:val="00FA7492"/>
    <w:rsid w:val="00FB5802"/>
    <w:rsid w:val="00FB6057"/>
    <w:rsid w:val="00FB64A8"/>
    <w:rsid w:val="00FB7376"/>
    <w:rsid w:val="00FC5741"/>
    <w:rsid w:val="00FD3AAE"/>
    <w:rsid w:val="00FE0CDF"/>
    <w:rsid w:val="00FE1068"/>
    <w:rsid w:val="00FE1FFC"/>
    <w:rsid w:val="00FE2AF2"/>
    <w:rsid w:val="00FE4DDD"/>
    <w:rsid w:val="00FE659B"/>
    <w:rsid w:val="00FE66E0"/>
    <w:rsid w:val="00FF0A99"/>
    <w:rsid w:val="00FF1999"/>
    <w:rsid w:val="00FF1F72"/>
    <w:rsid w:val="00FF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900156"/>
    <w:rPr>
      <w:color w:val="808080"/>
    </w:rPr>
  </w:style>
  <w:style w:type="table" w:styleId="Grigliatabella">
    <w:name w:val="Table Grid"/>
    <w:basedOn w:val="Tabellanormale"/>
    <w:uiPriority w:val="39"/>
    <w:rsid w:val="0083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unhideWhenUsed/>
    <w:rsid w:val="00126712"/>
    <w:pPr>
      <w:spacing w:line="480" w:lineRule="auto"/>
      <w:ind w:left="720" w:hanging="720"/>
    </w:pPr>
  </w:style>
  <w:style w:type="paragraph" w:styleId="Nessunaspaziatura">
    <w:name w:val="No Spacing"/>
    <w:uiPriority w:val="1"/>
    <w:qFormat/>
    <w:rsid w:val="004E5266"/>
    <w:rPr>
      <w:rFonts w:asciiTheme="minorHAnsi" w:eastAsiaTheme="minorHAnsi" w:hAnsiTheme="minorHAnsi" w:cstheme="minorBidi"/>
      <w:sz w:val="22"/>
      <w:szCs w:val="22"/>
      <w:lang w:val="fr-FR" w:eastAsia="en-US"/>
    </w:rPr>
  </w:style>
  <w:style w:type="paragraph" w:styleId="Revisione">
    <w:name w:val="Revision"/>
    <w:hidden/>
    <w:uiPriority w:val="99"/>
    <w:semiHidden/>
    <w:rsid w:val="001E71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4B5C-E4F8-4A75-89D2-F217CAED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5</Pages>
  <Words>3930</Words>
  <Characters>22401</Characters>
  <Application>Microsoft Office Word</Application>
  <DocSecurity>0</DocSecurity>
  <Lines>186</Lines>
  <Paragraphs>52</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2023-11-27T08:10:00Z</cp:lastPrinted>
  <dcterms:created xsi:type="dcterms:W3CDTF">2023-12-12T08:20:00Z</dcterms:created>
  <dcterms:modified xsi:type="dcterms:W3CDTF">2023-12-12T08:20:00Z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id="yNiNGKYy"/&gt;&lt;style id="http://www.zotero.org/styles/apa" locale="fr-FR" hasBibliography="1" bibliographyStyleHasBeenSet="1"/&gt;&lt;prefs&gt;&lt;pref name="fieldType" value="Field"/&gt;&lt;/prefs&gt;&lt;/data&gt;</vt:lpwstr>
  </property>
</Properties>
</file>