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3C1AA231" w:rsidR="00DD3D9E" w:rsidRPr="00E47186" w:rsidRDefault="0078747B" w:rsidP="00B25294">
      <w:pPr>
        <w:pStyle w:val="Els-Title"/>
        <w:widowControl w:val="0"/>
        <w:suppressAutoHyphens w:val="0"/>
        <w:rPr>
          <w:color w:val="000000" w:themeColor="text1"/>
        </w:rPr>
      </w:pPr>
      <w:r w:rsidRPr="00E47186">
        <w:rPr>
          <w:color w:val="000000" w:themeColor="text1"/>
        </w:rPr>
        <w:t xml:space="preserve">Innovative </w:t>
      </w:r>
      <w:r w:rsidR="0098383B" w:rsidRPr="00E47186">
        <w:rPr>
          <w:color w:val="000000" w:themeColor="text1"/>
        </w:rPr>
        <w:t xml:space="preserve">Structure of a Liquefied Natural Gas </w:t>
      </w:r>
      <w:r w:rsidRPr="00E47186">
        <w:rPr>
          <w:color w:val="000000" w:themeColor="text1"/>
        </w:rPr>
        <w:t xml:space="preserve">(LNG) </w:t>
      </w:r>
      <w:r w:rsidR="0098383B" w:rsidRPr="00E47186">
        <w:rPr>
          <w:color w:val="000000" w:themeColor="text1"/>
        </w:rPr>
        <w:t xml:space="preserve">Process by Mixed Fluid Cascade Using Solar Renewable Energy, Photovoltaic Panels </w:t>
      </w:r>
      <w:r w:rsidRPr="00E47186">
        <w:rPr>
          <w:color w:val="000000" w:themeColor="text1"/>
        </w:rPr>
        <w:t xml:space="preserve">(PV), and </w:t>
      </w:r>
      <w:r w:rsidR="0098383B" w:rsidRPr="00E47186">
        <w:rPr>
          <w:color w:val="000000" w:themeColor="text1"/>
        </w:rPr>
        <w:t>Absorption Refrigeration System</w:t>
      </w:r>
    </w:p>
    <w:p w14:paraId="144DE680" w14:textId="03282475" w:rsidR="00DD3D9E" w:rsidRPr="00E47186" w:rsidRDefault="005E7E77" w:rsidP="00B25294">
      <w:pPr>
        <w:pStyle w:val="Els-Author"/>
        <w:keepNext w:val="0"/>
        <w:widowControl w:val="0"/>
        <w:suppressAutoHyphens w:val="0"/>
        <w:spacing w:after="120"/>
      </w:pPr>
      <w:r w:rsidRPr="00E47186">
        <w:t>Masoud Taghavi</w:t>
      </w:r>
      <w:r w:rsidRPr="00E47186">
        <w:rPr>
          <w:vertAlign w:val="superscript"/>
        </w:rPr>
        <w:t>a,b</w:t>
      </w:r>
      <w:r w:rsidRPr="00E47186">
        <w:t>, Ha-Jun Yoon</w:t>
      </w:r>
      <w:r w:rsidRPr="00E47186">
        <w:rPr>
          <w:vertAlign w:val="superscript"/>
        </w:rPr>
        <w:t>a</w:t>
      </w:r>
      <w:r w:rsidRPr="00E47186">
        <w:t>, Jung-Ung Choi</w:t>
      </w:r>
      <w:r w:rsidRPr="00E47186">
        <w:rPr>
          <w:vertAlign w:val="superscript"/>
        </w:rPr>
        <w:t>a</w:t>
      </w:r>
      <w:r w:rsidRPr="00E47186">
        <w:t>, Chul-Jin Lee</w:t>
      </w:r>
      <w:r w:rsidRPr="00E47186">
        <w:rPr>
          <w:vertAlign w:val="superscript"/>
        </w:rPr>
        <w:t>a,b,*</w:t>
      </w:r>
    </w:p>
    <w:p w14:paraId="144DE681" w14:textId="0A839148" w:rsidR="00DD3D9E" w:rsidRPr="00E47186" w:rsidRDefault="005E7E77" w:rsidP="00B25294">
      <w:pPr>
        <w:pStyle w:val="Els-Affiliation"/>
        <w:widowControl w:val="0"/>
        <w:suppressAutoHyphens w:val="0"/>
      </w:pPr>
      <w:r w:rsidRPr="00E47186">
        <w:rPr>
          <w:vertAlign w:val="superscript"/>
        </w:rPr>
        <w:t xml:space="preserve">a </w:t>
      </w:r>
      <w:r w:rsidRPr="00E47186">
        <w:t>School of Chemical Engineering and Materials Science, Chung-Ang University, 84 Heukseok-ro, Dongjak-gu, Seoul 06974, Republic of Korea</w:t>
      </w:r>
    </w:p>
    <w:p w14:paraId="144DE682" w14:textId="2F322257" w:rsidR="00DD3D9E" w:rsidRPr="00E47186" w:rsidRDefault="005E7E77" w:rsidP="00B25294">
      <w:pPr>
        <w:pStyle w:val="Els-Affiliation"/>
        <w:widowControl w:val="0"/>
        <w:suppressAutoHyphens w:val="0"/>
        <w:rPr>
          <w:lang w:val="en-US"/>
        </w:rPr>
      </w:pPr>
      <w:r w:rsidRPr="00E47186">
        <w:rPr>
          <w:vertAlign w:val="superscript"/>
        </w:rPr>
        <w:t>b</w:t>
      </w:r>
      <w:r w:rsidRPr="00E47186">
        <w:t xml:space="preserve"> Department of Intelligent Energy and Industry, Chung-Ang University, 84 Heukseok-ro, Dongjak-gu, Seoul 06974, Republic of Korea</w:t>
      </w:r>
    </w:p>
    <w:p w14:paraId="144DE683" w14:textId="3CFCE950" w:rsidR="008D2649" w:rsidRPr="00E47186" w:rsidRDefault="005E7E77" w:rsidP="00B25294">
      <w:pPr>
        <w:pStyle w:val="Els-Affiliation"/>
        <w:widowControl w:val="0"/>
        <w:suppressAutoHyphens w:val="0"/>
      </w:pPr>
      <w:r w:rsidRPr="00E47186">
        <w:t xml:space="preserve">*Corresponding author: </w:t>
      </w:r>
      <w:hyperlink r:id="rId8" w:history="1">
        <w:r w:rsidRPr="00E47186">
          <w:rPr>
            <w:rStyle w:val="Hyperlink"/>
          </w:rPr>
          <w:t>cjlee@cau.ac.kr</w:t>
        </w:r>
      </w:hyperlink>
      <w:r w:rsidRPr="00E47186">
        <w:t xml:space="preserve"> </w:t>
      </w:r>
    </w:p>
    <w:p w14:paraId="5398429C" w14:textId="77777777" w:rsidR="00765997" w:rsidRPr="00E47186" w:rsidRDefault="00765997" w:rsidP="00B25294">
      <w:pPr>
        <w:pStyle w:val="Els-body-text"/>
        <w:widowControl w:val="0"/>
      </w:pPr>
    </w:p>
    <w:p w14:paraId="144DE684" w14:textId="0DFD905F" w:rsidR="008D2649" w:rsidRPr="00E47186" w:rsidRDefault="008D2649" w:rsidP="00B25294">
      <w:pPr>
        <w:pStyle w:val="Els-Abstract"/>
        <w:keepNext w:val="0"/>
        <w:widowControl w:val="0"/>
        <w:suppressAutoHyphens w:val="0"/>
        <w:rPr>
          <w:rFonts w:asciiTheme="majorBidi" w:hAnsiTheme="majorBidi" w:cstheme="majorBidi"/>
          <w:sz w:val="20"/>
        </w:rPr>
      </w:pPr>
      <w:r w:rsidRPr="00E47186">
        <w:rPr>
          <w:rFonts w:asciiTheme="majorBidi" w:hAnsiTheme="majorBidi" w:cstheme="majorBidi"/>
          <w:sz w:val="20"/>
        </w:rPr>
        <w:t>Abstract</w:t>
      </w:r>
    </w:p>
    <w:p w14:paraId="1B05DDEF" w14:textId="0A83E907" w:rsidR="007A6749" w:rsidRPr="00A31B25" w:rsidRDefault="007A6749" w:rsidP="00B25294">
      <w:pPr>
        <w:pStyle w:val="Els-body-text"/>
        <w:widowControl w:val="0"/>
        <w:rPr>
          <w:rFonts w:asciiTheme="majorBidi" w:hAnsiTheme="majorBidi" w:cstheme="majorBidi"/>
        </w:rPr>
      </w:pPr>
      <w:r w:rsidRPr="00A31B25">
        <w:rPr>
          <w:rFonts w:asciiTheme="majorBidi" w:hAnsiTheme="majorBidi" w:cstheme="majorBidi"/>
        </w:rPr>
        <w:t>Among the principal industrial approaches for conveying natural gas, aside from pipeline transportation, is the liquefaction of natural gas</w:t>
      </w:r>
      <w:r w:rsidR="00A869FE" w:rsidRPr="00A31B25">
        <w:rPr>
          <w:rFonts w:asciiTheme="majorBidi" w:hAnsiTheme="majorBidi" w:cstheme="majorBidi"/>
        </w:rPr>
        <w:t xml:space="preserve"> (LNG)</w:t>
      </w:r>
      <w:r w:rsidRPr="00A31B25">
        <w:rPr>
          <w:rFonts w:asciiTheme="majorBidi" w:hAnsiTheme="majorBidi" w:cstheme="majorBidi"/>
        </w:rPr>
        <w:t>. In recent years, a significant portion of natural gas imports has been done through the transportation of LNG. The economic viability of an LNG venture is substantially influenced by the pivotal role of the liquefaction procedure in determining its financial returns. Conversely, a paramount concern within LNG plants revolves around enhancing the energy efficiency of the liquefaction procedures. In this research, an Innovative structure of a liquefied natural gas process by mixed fluid cascade using solar renewable energy, photovoltaic panels (PV), and absorption refrigeration system is presented and evaluated. This structure relies on substituting the vapor compression refrigeration cycle with the absorption refrigeration system. The required power of the cycle is 19.</w:t>
      </w:r>
      <w:r w:rsidR="00DC6BB5" w:rsidRPr="00A31B25">
        <w:rPr>
          <w:rFonts w:asciiTheme="majorBidi" w:hAnsiTheme="majorBidi" w:cstheme="majorBidi"/>
        </w:rPr>
        <w:t>37</w:t>
      </w:r>
      <w:r w:rsidRPr="00A31B25">
        <w:rPr>
          <w:rFonts w:asciiTheme="majorBidi" w:hAnsiTheme="majorBidi" w:cstheme="majorBidi"/>
        </w:rPr>
        <w:t xml:space="preserve"> MW</w:t>
      </w:r>
      <w:r w:rsidRPr="00A31B25">
        <w:rPr>
          <w:rFonts w:asciiTheme="majorBidi" w:hAnsiTheme="majorBidi" w:cstheme="majorBidi"/>
          <w:lang w:eastAsia="ko-KR" w:bidi="fa-IR"/>
        </w:rPr>
        <w:t xml:space="preserve"> and is </w:t>
      </w:r>
      <w:r w:rsidRPr="00A31B25">
        <w:rPr>
          <w:rFonts w:asciiTheme="majorBidi" w:hAnsiTheme="majorBidi" w:cstheme="majorBidi"/>
        </w:rPr>
        <w:t xml:space="preserve">provided by renewable solar energy and PV, and the absorption refrigeration system derives its necessary heat load from the existing surplus heat within the facility. Aspen HYSYS V12.1 software, a conventional chemical process simulator, performs process simulation. Also, the design and simulation of </w:t>
      </w:r>
      <w:r w:rsidR="00E13340" w:rsidRPr="00A31B25">
        <w:rPr>
          <w:rFonts w:asciiTheme="majorBidi" w:hAnsiTheme="majorBidi" w:cstheme="majorBidi"/>
        </w:rPr>
        <w:t xml:space="preserve">PV </w:t>
      </w:r>
      <w:r w:rsidRPr="00A31B25">
        <w:rPr>
          <w:rFonts w:asciiTheme="majorBidi" w:hAnsiTheme="majorBidi" w:cstheme="majorBidi"/>
        </w:rPr>
        <w:t xml:space="preserve">were performed using the PVsyst 7.3.1 software, with the weather conditions in </w:t>
      </w:r>
      <w:proofErr w:type="spellStart"/>
      <w:r w:rsidRPr="00A31B25">
        <w:rPr>
          <w:rFonts w:asciiTheme="majorBidi" w:hAnsiTheme="majorBidi" w:cstheme="majorBidi"/>
        </w:rPr>
        <w:t>Rafsanjan</w:t>
      </w:r>
      <w:proofErr w:type="spellEnd"/>
      <w:r w:rsidRPr="00A31B25">
        <w:rPr>
          <w:rFonts w:asciiTheme="majorBidi" w:hAnsiTheme="majorBidi" w:cstheme="majorBidi"/>
        </w:rPr>
        <w:t xml:space="preserve"> City, Kerman Province, in Iran. To supply the part of cycle power, out of 3 modules of AXITEC AC-550MBT and 157 inverters Canadian Solar CS-125KTL have been used. The highest and lowest of </w:t>
      </w:r>
      <w:r w:rsidR="00067B1A" w:rsidRPr="00A31B25">
        <w:rPr>
          <w:rFonts w:asciiTheme="majorBidi" w:hAnsiTheme="majorBidi" w:cstheme="majorBidi"/>
        </w:rPr>
        <w:t>performance ratio (PR)</w:t>
      </w:r>
      <w:r w:rsidRPr="00A31B25">
        <w:rPr>
          <w:rFonts w:asciiTheme="majorBidi" w:hAnsiTheme="majorBidi" w:cstheme="majorBidi"/>
        </w:rPr>
        <w:t xml:space="preserve"> were 89.6</w:t>
      </w:r>
      <w:r w:rsidR="00D77510" w:rsidRPr="00A31B25">
        <w:rPr>
          <w:rFonts w:asciiTheme="majorBidi" w:hAnsiTheme="majorBidi" w:cstheme="majorBidi"/>
        </w:rPr>
        <w:t xml:space="preserve"> </w:t>
      </w:r>
      <w:r w:rsidRPr="00A31B25">
        <w:rPr>
          <w:rFonts w:asciiTheme="majorBidi" w:hAnsiTheme="majorBidi" w:cstheme="majorBidi"/>
        </w:rPr>
        <w:t xml:space="preserve">% in January and </w:t>
      </w:r>
      <w:r w:rsidR="000E2A70" w:rsidRPr="00A31B25">
        <w:rPr>
          <w:rFonts w:asciiTheme="majorBidi" w:hAnsiTheme="majorBidi" w:cstheme="majorBidi"/>
        </w:rPr>
        <w:t>78.9</w:t>
      </w:r>
      <w:r w:rsidR="00D77510" w:rsidRPr="00A31B25">
        <w:rPr>
          <w:rFonts w:asciiTheme="majorBidi" w:hAnsiTheme="majorBidi" w:cstheme="majorBidi"/>
        </w:rPr>
        <w:t xml:space="preserve"> </w:t>
      </w:r>
      <w:r w:rsidRPr="00A31B25">
        <w:rPr>
          <w:rFonts w:asciiTheme="majorBidi" w:hAnsiTheme="majorBidi" w:cstheme="majorBidi"/>
        </w:rPr>
        <w:t xml:space="preserve">% in </w:t>
      </w:r>
      <w:r w:rsidR="000E2A70" w:rsidRPr="00A31B25">
        <w:rPr>
          <w:rFonts w:asciiTheme="majorBidi" w:hAnsiTheme="majorBidi" w:cstheme="majorBidi"/>
        </w:rPr>
        <w:t>July</w:t>
      </w:r>
      <w:r w:rsidRPr="00A31B25">
        <w:rPr>
          <w:rFonts w:asciiTheme="majorBidi" w:hAnsiTheme="majorBidi" w:cstheme="majorBidi"/>
        </w:rPr>
        <w:t>, respectively.</w:t>
      </w:r>
      <w:r w:rsidR="00A869FE" w:rsidRPr="00A31B25">
        <w:rPr>
          <w:rFonts w:asciiTheme="majorBidi" w:hAnsiTheme="majorBidi" w:cstheme="majorBidi"/>
        </w:rPr>
        <w:t xml:space="preserve"> </w:t>
      </w:r>
      <w:r w:rsidR="00A620A5" w:rsidRPr="00A31B25">
        <w:rPr>
          <w:rFonts w:asciiTheme="majorBidi" w:hAnsiTheme="majorBidi" w:cstheme="majorBidi"/>
        </w:rPr>
        <w:t xml:space="preserve">Also, </w:t>
      </w:r>
      <w:bookmarkStart w:id="0" w:name="_Hlk151145734"/>
      <w:r w:rsidR="00A620A5" w:rsidRPr="00A31B25">
        <w:rPr>
          <w:rFonts w:asciiTheme="majorBidi" w:hAnsiTheme="majorBidi" w:cstheme="majorBidi"/>
        </w:rPr>
        <w:t>t</w:t>
      </w:r>
      <w:r w:rsidRPr="00A31B25">
        <w:rPr>
          <w:rFonts w:asciiTheme="majorBidi" w:hAnsiTheme="majorBidi" w:cstheme="majorBidi"/>
        </w:rPr>
        <w:t>he highest and lowest of available energy were 3</w:t>
      </w:r>
      <w:r w:rsidR="0032543C" w:rsidRPr="00A31B25">
        <w:rPr>
          <w:rFonts w:asciiTheme="majorBidi" w:hAnsiTheme="majorBidi" w:cstheme="majorBidi"/>
        </w:rPr>
        <w:t>,</w:t>
      </w:r>
      <w:r w:rsidRPr="00A31B25">
        <w:rPr>
          <w:rFonts w:asciiTheme="majorBidi" w:hAnsiTheme="majorBidi" w:cstheme="majorBidi"/>
        </w:rPr>
        <w:t>726.8 in September and 3</w:t>
      </w:r>
      <w:r w:rsidR="0032543C" w:rsidRPr="00A31B25">
        <w:rPr>
          <w:rFonts w:asciiTheme="majorBidi" w:hAnsiTheme="majorBidi" w:cstheme="majorBidi"/>
        </w:rPr>
        <w:t>,</w:t>
      </w:r>
      <w:r w:rsidRPr="00A31B25">
        <w:rPr>
          <w:rFonts w:asciiTheme="majorBidi" w:hAnsiTheme="majorBidi" w:cstheme="majorBidi"/>
        </w:rPr>
        <w:t>304.6 MWh in February</w:t>
      </w:r>
      <w:bookmarkEnd w:id="0"/>
      <w:r w:rsidRPr="00A31B25">
        <w:rPr>
          <w:rFonts w:asciiTheme="majorBidi" w:hAnsiTheme="majorBidi" w:cstheme="majorBidi"/>
        </w:rPr>
        <w:t xml:space="preserve">, respectively. </w:t>
      </w:r>
      <w:r w:rsidR="00A620A5" w:rsidRPr="00A31B25">
        <w:rPr>
          <w:rFonts w:asciiTheme="majorBidi" w:hAnsiTheme="majorBidi" w:cstheme="majorBidi"/>
        </w:rPr>
        <w:t>Additionally, t</w:t>
      </w:r>
      <w:r w:rsidRPr="00A31B25">
        <w:rPr>
          <w:rFonts w:asciiTheme="majorBidi" w:hAnsiTheme="majorBidi" w:cstheme="majorBidi"/>
        </w:rPr>
        <w:t>he maximum and minimum losses due to mismatch were recorded in September and February in the amount of 83.</w:t>
      </w:r>
      <w:r w:rsidR="00A620A5" w:rsidRPr="00A31B25">
        <w:rPr>
          <w:rFonts w:asciiTheme="majorBidi" w:hAnsiTheme="majorBidi" w:cstheme="majorBidi"/>
        </w:rPr>
        <w:t>79</w:t>
      </w:r>
      <w:r w:rsidRPr="00A31B25">
        <w:rPr>
          <w:rFonts w:asciiTheme="majorBidi" w:hAnsiTheme="majorBidi" w:cstheme="majorBidi"/>
        </w:rPr>
        <w:t xml:space="preserve"> and 72.7</w:t>
      </w:r>
      <w:r w:rsidR="00A620A5" w:rsidRPr="00A31B25">
        <w:rPr>
          <w:rFonts w:asciiTheme="majorBidi" w:hAnsiTheme="majorBidi" w:cstheme="majorBidi"/>
        </w:rPr>
        <w:t>7</w:t>
      </w:r>
      <w:r w:rsidRPr="00A31B25">
        <w:rPr>
          <w:rFonts w:asciiTheme="majorBidi" w:hAnsiTheme="majorBidi" w:cstheme="majorBidi"/>
        </w:rPr>
        <w:t xml:space="preserve"> MWh, respectively. </w:t>
      </w:r>
      <w:r w:rsidR="00A620A5" w:rsidRPr="00A31B25">
        <w:rPr>
          <w:rFonts w:asciiTheme="majorBidi" w:hAnsiTheme="majorBidi" w:cstheme="majorBidi"/>
        </w:rPr>
        <w:t>T</w:t>
      </w:r>
      <w:r w:rsidRPr="00A31B25">
        <w:rPr>
          <w:rFonts w:asciiTheme="majorBidi" w:hAnsiTheme="majorBidi" w:cstheme="majorBidi"/>
        </w:rPr>
        <w:t xml:space="preserve">he ammonia-water cycle has a coefficient of performance (COP) at a value of 0.48. </w:t>
      </w:r>
      <w:r w:rsidR="00A620A5" w:rsidRPr="00A31B25">
        <w:rPr>
          <w:rFonts w:asciiTheme="majorBidi" w:hAnsiTheme="majorBidi" w:cstheme="majorBidi"/>
        </w:rPr>
        <w:t>As well as t</w:t>
      </w:r>
      <w:r w:rsidRPr="00A31B25">
        <w:rPr>
          <w:rFonts w:asciiTheme="majorBidi" w:hAnsiTheme="majorBidi" w:cstheme="majorBidi"/>
        </w:rPr>
        <w:t xml:space="preserve">he presented </w:t>
      </w:r>
      <w:r w:rsidR="000008ED" w:rsidRPr="00A31B25">
        <w:rPr>
          <w:rFonts w:asciiTheme="majorBidi" w:hAnsiTheme="majorBidi" w:cstheme="majorBidi"/>
        </w:rPr>
        <w:t>i</w:t>
      </w:r>
      <w:r w:rsidRPr="00A31B25">
        <w:rPr>
          <w:rFonts w:asciiTheme="majorBidi" w:hAnsiTheme="majorBidi" w:cstheme="majorBidi"/>
        </w:rPr>
        <w:t xml:space="preserve">nnovative structure displays a specific </w:t>
      </w:r>
      <w:r w:rsidR="000008ED" w:rsidRPr="00A31B25">
        <w:rPr>
          <w:rFonts w:asciiTheme="majorBidi" w:hAnsiTheme="majorBidi" w:cstheme="majorBidi"/>
        </w:rPr>
        <w:t>energy</w:t>
      </w:r>
      <w:r w:rsidRPr="00A31B25">
        <w:rPr>
          <w:rFonts w:asciiTheme="majorBidi" w:hAnsiTheme="majorBidi" w:cstheme="majorBidi"/>
        </w:rPr>
        <w:t xml:space="preserve"> consumption (S</w:t>
      </w:r>
      <w:r w:rsidR="000008ED" w:rsidRPr="00A31B25">
        <w:rPr>
          <w:rFonts w:asciiTheme="majorBidi" w:hAnsiTheme="majorBidi" w:cstheme="majorBidi"/>
        </w:rPr>
        <w:t>E</w:t>
      </w:r>
      <w:r w:rsidRPr="00A31B25">
        <w:rPr>
          <w:rFonts w:asciiTheme="majorBidi" w:hAnsiTheme="majorBidi" w:cstheme="majorBidi"/>
        </w:rPr>
        <w:t>C) of 0.172 kWh/</w:t>
      </w:r>
      <w:proofErr w:type="spellStart"/>
      <w:r w:rsidRPr="00A31B25">
        <w:rPr>
          <w:rFonts w:asciiTheme="majorBidi" w:hAnsiTheme="majorBidi" w:cstheme="majorBidi"/>
        </w:rPr>
        <w:t>kgLNG</w:t>
      </w:r>
      <w:proofErr w:type="spellEnd"/>
      <w:r w:rsidRPr="00A31B25">
        <w:rPr>
          <w:rFonts w:asciiTheme="majorBidi" w:hAnsiTheme="majorBidi" w:cstheme="majorBidi"/>
        </w:rPr>
        <w:t>, illustrating a 30</w:t>
      </w:r>
      <w:r w:rsidR="00D77510" w:rsidRPr="00A31B25">
        <w:rPr>
          <w:rFonts w:asciiTheme="majorBidi" w:hAnsiTheme="majorBidi" w:cstheme="majorBidi"/>
        </w:rPr>
        <w:t xml:space="preserve"> </w:t>
      </w:r>
      <w:r w:rsidRPr="00A31B25">
        <w:rPr>
          <w:rFonts w:asciiTheme="majorBidi" w:hAnsiTheme="majorBidi" w:cstheme="majorBidi"/>
        </w:rPr>
        <w:t>% decrease in energy usage.</w:t>
      </w:r>
      <w:r w:rsidR="000E2A70" w:rsidRPr="00A31B25">
        <w:rPr>
          <w:rFonts w:asciiTheme="majorBidi" w:hAnsiTheme="majorBidi" w:cstheme="majorBidi"/>
        </w:rPr>
        <w:t xml:space="preserve"> </w:t>
      </w:r>
      <w:r w:rsidR="000008ED" w:rsidRPr="00A31B25">
        <w:rPr>
          <w:rFonts w:asciiTheme="majorBidi" w:hAnsiTheme="majorBidi" w:cstheme="majorBidi"/>
        </w:rPr>
        <w:t>Also, t</w:t>
      </w:r>
      <w:r w:rsidRPr="00A31B25">
        <w:rPr>
          <w:rFonts w:asciiTheme="majorBidi" w:hAnsiTheme="majorBidi" w:cstheme="majorBidi"/>
        </w:rPr>
        <w:t xml:space="preserve">he presented </w:t>
      </w:r>
      <w:r w:rsidR="000008ED" w:rsidRPr="00A31B25">
        <w:rPr>
          <w:rFonts w:asciiTheme="majorBidi" w:hAnsiTheme="majorBidi" w:cstheme="majorBidi"/>
        </w:rPr>
        <w:t>novel</w:t>
      </w:r>
      <w:r w:rsidRPr="00A31B25">
        <w:rPr>
          <w:rFonts w:asciiTheme="majorBidi" w:hAnsiTheme="majorBidi" w:cstheme="majorBidi"/>
        </w:rPr>
        <w:t xml:space="preserve"> </w:t>
      </w:r>
      <w:r w:rsidR="000008ED" w:rsidRPr="00A31B25">
        <w:rPr>
          <w:rFonts w:asciiTheme="majorBidi" w:hAnsiTheme="majorBidi" w:cstheme="majorBidi"/>
        </w:rPr>
        <w:t>system</w:t>
      </w:r>
      <w:r w:rsidRPr="00A31B25">
        <w:rPr>
          <w:rFonts w:asciiTheme="majorBidi" w:hAnsiTheme="majorBidi" w:cstheme="majorBidi"/>
        </w:rPr>
        <w:t xml:space="preserve"> offers the potential to achieve a reduction of up to 31</w:t>
      </w:r>
      <w:r w:rsidR="00D77510" w:rsidRPr="00A31B25">
        <w:rPr>
          <w:rFonts w:asciiTheme="majorBidi" w:hAnsiTheme="majorBidi" w:cstheme="majorBidi"/>
        </w:rPr>
        <w:t xml:space="preserve"> </w:t>
      </w:r>
      <w:r w:rsidRPr="00A31B25">
        <w:rPr>
          <w:rFonts w:asciiTheme="majorBidi" w:hAnsiTheme="majorBidi" w:cstheme="majorBidi"/>
        </w:rPr>
        <w:t>% in the necessary heat transfer area.</w:t>
      </w:r>
    </w:p>
    <w:p w14:paraId="472FC0A0" w14:textId="77777777" w:rsidR="00765997" w:rsidRPr="00E47186" w:rsidRDefault="00765997" w:rsidP="00B25294">
      <w:pPr>
        <w:pStyle w:val="Els-body-text"/>
        <w:widowControl w:val="0"/>
        <w:spacing w:after="120"/>
        <w:rPr>
          <w:rFonts w:asciiTheme="majorBidi" w:hAnsiTheme="majorBidi" w:cstheme="majorBidi"/>
        </w:rPr>
      </w:pPr>
    </w:p>
    <w:p w14:paraId="144DE687" w14:textId="3DC0D7D9" w:rsidR="008D2649" w:rsidRPr="00E47186" w:rsidRDefault="008D2649" w:rsidP="00B25294">
      <w:pPr>
        <w:pStyle w:val="Els-body-text"/>
        <w:widowControl w:val="0"/>
        <w:spacing w:after="120"/>
        <w:rPr>
          <w:rFonts w:asciiTheme="majorBidi" w:hAnsiTheme="majorBidi" w:cstheme="majorBidi"/>
          <w:lang w:val="en-GB"/>
        </w:rPr>
      </w:pPr>
      <w:r w:rsidRPr="00E47186">
        <w:rPr>
          <w:rFonts w:asciiTheme="majorBidi" w:hAnsiTheme="majorBidi" w:cstheme="majorBidi"/>
          <w:b/>
          <w:bCs/>
          <w:lang w:val="en-GB"/>
        </w:rPr>
        <w:t>Keywords</w:t>
      </w:r>
      <w:r w:rsidRPr="00E47186">
        <w:rPr>
          <w:rFonts w:asciiTheme="majorBidi" w:hAnsiTheme="majorBidi" w:cstheme="majorBidi"/>
          <w:lang w:val="en-GB"/>
        </w:rPr>
        <w:t xml:space="preserve">: </w:t>
      </w:r>
      <w:r w:rsidR="00105544" w:rsidRPr="00E47186">
        <w:rPr>
          <w:rFonts w:asciiTheme="majorBidi" w:hAnsiTheme="majorBidi" w:cstheme="majorBidi"/>
          <w:lang w:val="en-GB"/>
        </w:rPr>
        <w:t>Process integration, liquefied natural gas, solar energy, photovoltaic panels (PV), absorption refrigeration system.</w:t>
      </w:r>
    </w:p>
    <w:p w14:paraId="144DE689" w14:textId="61E607C9" w:rsidR="008D2649" w:rsidRPr="00E47186" w:rsidRDefault="00B31ED1" w:rsidP="00B25294">
      <w:pPr>
        <w:pStyle w:val="Els-1storder-head"/>
        <w:keepNext w:val="0"/>
        <w:widowControl w:val="0"/>
        <w:suppressAutoHyphens w:val="0"/>
        <w:spacing w:before="0" w:after="0" w:line="240" w:lineRule="auto"/>
        <w:rPr>
          <w:rFonts w:asciiTheme="majorBidi" w:hAnsiTheme="majorBidi" w:cstheme="majorBidi"/>
          <w:sz w:val="20"/>
        </w:rPr>
      </w:pPr>
      <w:r w:rsidRPr="00E47186">
        <w:rPr>
          <w:rFonts w:asciiTheme="majorBidi" w:hAnsiTheme="majorBidi" w:cstheme="majorBidi"/>
          <w:sz w:val="20"/>
        </w:rPr>
        <w:lastRenderedPageBreak/>
        <w:t>Introduction</w:t>
      </w:r>
    </w:p>
    <w:p w14:paraId="5FE2F169" w14:textId="42A626AE" w:rsidR="005B3800" w:rsidRPr="00E47186" w:rsidRDefault="007610BA" w:rsidP="00B25294">
      <w:pPr>
        <w:pStyle w:val="Els-body-text"/>
        <w:widowControl w:val="0"/>
        <w:rPr>
          <w:rFonts w:asciiTheme="majorBidi" w:hAnsiTheme="majorBidi" w:cstheme="majorBidi"/>
        </w:rPr>
      </w:pPr>
      <w:r w:rsidRPr="00E47186">
        <w:rPr>
          <w:rFonts w:asciiTheme="majorBidi" w:hAnsiTheme="majorBidi" w:cstheme="majorBidi"/>
        </w:rPr>
        <w:t>The exponential surge in energy and environmental challenges over recent decades can be attributed to the swift expansion of commercial domains and the global economy</w:t>
      </w:r>
      <w:r w:rsidR="0078653D" w:rsidRPr="00E47186">
        <w:rPr>
          <w:rFonts w:asciiTheme="majorBidi" w:hAnsiTheme="majorBidi" w:cstheme="majorBidi"/>
        </w:rPr>
        <w:t xml:space="preserve"> </w:t>
      </w:r>
      <w:r w:rsidR="0078653D" w:rsidRPr="00E47186">
        <w:rPr>
          <w:rFonts w:asciiTheme="majorBidi" w:hAnsiTheme="majorBidi" w:cstheme="majorBidi"/>
        </w:rPr>
        <w:fldChar w:fldCharType="begin" w:fldLock="1"/>
      </w:r>
      <w:r w:rsidR="00B160E9" w:rsidRPr="00E47186">
        <w:rPr>
          <w:rFonts w:asciiTheme="majorBidi" w:hAnsiTheme="majorBidi" w:cstheme="majorBidi"/>
        </w:rPr>
        <w:instrText>ADDIN CSL_CITATION {"citationItems":[{"id":"ITEM-1","itemData":{"DOI":"10.1016/j.jclepro.2021.127226","ISSN":"09596526","author":[{"dropping-particle":"","family":"Ebrahimi","given":"Armin","non-dropping-particle":"","parse-names":false,"suffix":""},{"dropping-particle":"","family":"Ghorbani","given":"Bahram","non-dropping-particle":"","parse-names":false,"suffix":""},{"dropping-particle":"","family":"Taghavi","given":"Masoud","non-dropping-particle":"","parse-names":false,"suffix":""}],"container-title":"Journal of Cleaner Production","id":"ITEM-1","issued":{"date-parts":[["2021","7"]]},"page":"127226","title":"Pinch and exergy evaluation of a liquid nitrogen cryogenic energy storage structure using air separation unit, liquefaction hybrid process, and Kalina power cycle","type":"article-journal","volume":"305"},"uris":["http://www.mendeley.com/documents/?uuid=fc1df516-17a3-46b6-8a71-2737b6933877"]}],"mendeley":{"formattedCitation":"(Ebrahimi et al., 2021)","plainTextFormattedCitation":"(Ebrahimi et al., 2021)","previouslyFormattedCitation":"(Ebrahimi et al., 2021)"},"properties":{"noteIndex":0},"schema":"https://github.com/citation-style-language/schema/raw/master/csl-citation.json"}</w:instrText>
      </w:r>
      <w:r w:rsidR="0078653D" w:rsidRPr="00E47186">
        <w:rPr>
          <w:rFonts w:asciiTheme="majorBidi" w:hAnsiTheme="majorBidi" w:cstheme="majorBidi"/>
        </w:rPr>
        <w:fldChar w:fldCharType="separate"/>
      </w:r>
      <w:r w:rsidR="0078653D" w:rsidRPr="00E47186">
        <w:rPr>
          <w:rFonts w:asciiTheme="majorBidi" w:hAnsiTheme="majorBidi" w:cstheme="majorBidi"/>
          <w:noProof/>
        </w:rPr>
        <w:t>(Ebrahimi et al., 2021)</w:t>
      </w:r>
      <w:r w:rsidR="0078653D" w:rsidRPr="00E47186">
        <w:rPr>
          <w:rFonts w:asciiTheme="majorBidi" w:hAnsiTheme="majorBidi" w:cstheme="majorBidi"/>
        </w:rPr>
        <w:fldChar w:fldCharType="end"/>
      </w:r>
      <w:r w:rsidRPr="00E47186">
        <w:rPr>
          <w:rFonts w:asciiTheme="majorBidi" w:hAnsiTheme="majorBidi" w:cstheme="majorBidi"/>
        </w:rPr>
        <w:t>.</w:t>
      </w:r>
      <w:r w:rsidR="000B6378" w:rsidRPr="00E47186">
        <w:rPr>
          <w:rFonts w:asciiTheme="majorBidi" w:hAnsiTheme="majorBidi" w:cstheme="majorBidi"/>
        </w:rPr>
        <w:t xml:space="preserve"> </w:t>
      </w:r>
      <w:r w:rsidRPr="00E47186">
        <w:rPr>
          <w:rFonts w:asciiTheme="majorBidi" w:hAnsiTheme="majorBidi" w:cstheme="majorBidi"/>
        </w:rPr>
        <w:t>Environmentalists have expressed profound concern for decades regarding the substantial threats posed to global ecosystem sustainability by climate change and ozone layer degradation</w:t>
      </w:r>
      <w:r w:rsidR="00B160E9" w:rsidRPr="00E47186">
        <w:rPr>
          <w:rFonts w:asciiTheme="majorBidi" w:hAnsiTheme="majorBidi" w:cstheme="majorBidi"/>
        </w:rPr>
        <w:t xml:space="preserve"> </w:t>
      </w:r>
      <w:r w:rsidR="00B160E9" w:rsidRPr="00E47186">
        <w:rPr>
          <w:rFonts w:asciiTheme="majorBidi" w:hAnsiTheme="majorBidi" w:cstheme="majorBidi"/>
        </w:rPr>
        <w:fldChar w:fldCharType="begin" w:fldLock="1"/>
      </w:r>
      <w:r w:rsidR="009C2040" w:rsidRPr="00E47186">
        <w:rPr>
          <w:rFonts w:asciiTheme="majorBidi" w:hAnsiTheme="majorBidi" w:cstheme="majorBidi"/>
        </w:rPr>
        <w:instrText>ADDIN CSL_CITATION {"citationItems":[{"id":"ITEM-1","itemData":{"DOI":"10.1016/j.energy.2021.121051","ISSN":"03605442","author":[{"dropping-particle":"","family":"Ghorbani","given":"Bahram","non-dropping-particle":"","parse-names":false,"suffix":""},{"dropping-particle":"","family":"Salehi","given":"Gholamreza","non-dropping-particle":"","parse-names":false,"suffix":""},{"dropping-particle":"","family":"Ebrahimi","given":"Armin","non-dropping-particle":"","parse-names":false,"suffix":""},{"dropping-particle":"","family":"Taghavi","given":"Masoud","non-dropping-particle":"","parse-names":false,"suffix":""}],"container-title":"Energy","id":"ITEM-1","issued":{"date-parts":[["2021","10"]]},"page":"121051","title":"Energy, exergy and pinch analyses of a novel energy storage structure using post-combustion CO2 separation unit, dual pressure Linde-Hampson liquefaction system, two-stage organic Rankine cycle and geothermal energy","type":"article-journal","volume":"233"},"uris":["http://www.mendeley.com/documents/?uuid=f99104ff-2084-4341-b983-c074fea746e4"]}],"mendeley":{"formattedCitation":"(Ghorbani et al., 2021)","plainTextFormattedCitation":"(Ghorbani et al., 2021)","previouslyFormattedCitation":"(Ghorbani et al., 2021)"},"properties":{"noteIndex":0},"schema":"https://github.com/citation-style-language/schema/raw/master/csl-citation.json"}</w:instrText>
      </w:r>
      <w:r w:rsidR="00B160E9" w:rsidRPr="00E47186">
        <w:rPr>
          <w:rFonts w:asciiTheme="majorBidi" w:hAnsiTheme="majorBidi" w:cstheme="majorBidi"/>
        </w:rPr>
        <w:fldChar w:fldCharType="separate"/>
      </w:r>
      <w:r w:rsidR="00B160E9" w:rsidRPr="00E47186">
        <w:rPr>
          <w:rFonts w:asciiTheme="majorBidi" w:hAnsiTheme="majorBidi" w:cstheme="majorBidi"/>
          <w:noProof/>
        </w:rPr>
        <w:t>(Ghorbani et al., 2021</w:t>
      </w:r>
      <w:r w:rsidR="00C60A80">
        <w:rPr>
          <w:rFonts w:asciiTheme="majorBidi" w:hAnsiTheme="majorBidi" w:cstheme="majorBidi"/>
          <w:noProof/>
        </w:rPr>
        <w:t xml:space="preserve"> and Taghavi and Lee, 2024</w:t>
      </w:r>
      <w:r w:rsidR="00B160E9" w:rsidRPr="00E47186">
        <w:rPr>
          <w:rFonts w:asciiTheme="majorBidi" w:hAnsiTheme="majorBidi" w:cstheme="majorBidi"/>
          <w:noProof/>
        </w:rPr>
        <w:t>)</w:t>
      </w:r>
      <w:r w:rsidR="00B160E9" w:rsidRPr="00E47186">
        <w:rPr>
          <w:rFonts w:asciiTheme="majorBidi" w:hAnsiTheme="majorBidi" w:cstheme="majorBidi"/>
        </w:rPr>
        <w:fldChar w:fldCharType="end"/>
      </w:r>
      <w:r w:rsidRPr="00E47186">
        <w:rPr>
          <w:rFonts w:asciiTheme="majorBidi" w:hAnsiTheme="majorBidi" w:cstheme="majorBidi"/>
        </w:rPr>
        <w:t>.</w:t>
      </w:r>
      <w:r w:rsidR="00634453" w:rsidRPr="00E47186">
        <w:rPr>
          <w:rFonts w:asciiTheme="majorBidi" w:hAnsiTheme="majorBidi" w:cstheme="majorBidi"/>
        </w:rPr>
        <w:t xml:space="preserve"> </w:t>
      </w:r>
      <w:r w:rsidRPr="00E47186">
        <w:rPr>
          <w:rFonts w:asciiTheme="majorBidi" w:hAnsiTheme="majorBidi" w:cstheme="majorBidi"/>
        </w:rPr>
        <w:t>LNG transportation, comprising 32</w:t>
      </w:r>
      <w:r w:rsidR="001F431F">
        <w:rPr>
          <w:rFonts w:asciiTheme="majorBidi" w:hAnsiTheme="majorBidi" w:cstheme="majorBidi"/>
        </w:rPr>
        <w:t xml:space="preserve"> </w:t>
      </w:r>
      <w:r w:rsidRPr="00E47186">
        <w:rPr>
          <w:rFonts w:asciiTheme="majorBidi" w:hAnsiTheme="majorBidi" w:cstheme="majorBidi"/>
        </w:rPr>
        <w:t xml:space="preserve">% of natural gas imports in 2012, stands as a pivotal industrial approach for natural gas conveyance, distinct from the predominant pipeline mode </w:t>
      </w:r>
      <w:r w:rsidRPr="00E47186">
        <w:rPr>
          <w:rFonts w:asciiTheme="majorBidi" w:hAnsiTheme="majorBidi" w:cstheme="majorBidi"/>
        </w:rPr>
        <w:fldChar w:fldCharType="begin" w:fldLock="1"/>
      </w:r>
      <w:r w:rsidR="00342420" w:rsidRPr="00E47186">
        <w:rPr>
          <w:rFonts w:asciiTheme="majorBidi" w:hAnsiTheme="majorBidi" w:cstheme="majorBidi"/>
        </w:rPr>
        <w:instrText>ADDIN CSL_CITATION {"citationItems":[{"id":"ITEM-1","itemData":{"DOI":"10.1016/j.applthermaleng.2015.12.032","ISSN":"13594311","author":[{"dropping-particle":"","family":"Mehrpooya","given":"Mehdi","non-dropping-particle":"","parse-names":false,"suffix":""},{"dropping-particle":"","family":"Omidi","given":"Mehdi","non-dropping-particle":"","parse-names":false,"suffix":""},{"dropping-particle":"","family":"Vatani","given":"Ali","non-dropping-particle":"","parse-names":false,"suffix":""}],"container-title":"Applied Thermal Engineering","id":"ITEM-1","issued":{"date-parts":[["2016","4"]]},"page":"591-604","title":"Novel mixed fluid cascade natural gas liquefaction process configuration using absorption refrigeration system","type":"article-journal","volume":"98"},"uris":["http://www.mendeley.com/documents/?uuid=9aec8acd-e1b1-4c32-b85e-4fe56a1fc394"]}],"mendeley":{"formattedCitation":"(Mehrpooya et al., 2016)","plainTextFormattedCitation":"(Mehrpooya et al., 2016)","previouslyFormattedCitation":"(Mehrpooya et al., 2016)"},"properties":{"noteIndex":0},"schema":"https://github.com/citation-style-language/schema/raw/master/csl-citation.json"}</w:instrText>
      </w:r>
      <w:r w:rsidRPr="00E47186">
        <w:rPr>
          <w:rFonts w:asciiTheme="majorBidi" w:hAnsiTheme="majorBidi" w:cstheme="majorBidi"/>
        </w:rPr>
        <w:fldChar w:fldCharType="separate"/>
      </w:r>
      <w:r w:rsidR="003A027D" w:rsidRPr="00E47186">
        <w:rPr>
          <w:rFonts w:asciiTheme="majorBidi" w:hAnsiTheme="majorBidi" w:cstheme="majorBidi"/>
          <w:noProof/>
        </w:rPr>
        <w:t>(Mehrpooya et al., 2016)</w:t>
      </w:r>
      <w:r w:rsidRPr="00E47186">
        <w:rPr>
          <w:rFonts w:asciiTheme="majorBidi" w:hAnsiTheme="majorBidi" w:cstheme="majorBidi"/>
        </w:rPr>
        <w:fldChar w:fldCharType="end"/>
      </w:r>
      <w:r w:rsidRPr="00E47186">
        <w:rPr>
          <w:rFonts w:asciiTheme="majorBidi" w:hAnsiTheme="majorBidi" w:cstheme="majorBidi"/>
        </w:rPr>
        <w:t>.</w:t>
      </w:r>
      <w:r w:rsidR="00634453" w:rsidRPr="00E47186">
        <w:rPr>
          <w:rFonts w:asciiTheme="majorBidi" w:hAnsiTheme="majorBidi" w:cstheme="majorBidi"/>
        </w:rPr>
        <w:t xml:space="preserve"> </w:t>
      </w:r>
      <w:r w:rsidRPr="00E47186">
        <w:rPr>
          <w:rFonts w:asciiTheme="majorBidi" w:hAnsiTheme="majorBidi" w:cstheme="majorBidi"/>
        </w:rPr>
        <w:t>The economic viability of an LNG project hinges significantly on the efficacy of the liquefaction process. Enhancing energy efficiency is paramount within LNG plants, given the substantial energy consumption inherent in liquefying and sub-cooling natural gas to temperatures below -160 °C. The predominant contributor to this energy demand lies in the compression refrigeration cycles (CRCs).</w:t>
      </w:r>
      <w:r w:rsidR="00634453" w:rsidRPr="00E47186">
        <w:rPr>
          <w:rFonts w:asciiTheme="majorBidi" w:hAnsiTheme="majorBidi" w:cstheme="majorBidi"/>
        </w:rPr>
        <w:t xml:space="preserve"> </w:t>
      </w:r>
      <w:r w:rsidR="00774A1F" w:rsidRPr="00E47186">
        <w:rPr>
          <w:rFonts w:asciiTheme="majorBidi" w:hAnsiTheme="majorBidi" w:cstheme="majorBidi"/>
        </w:rPr>
        <w:t xml:space="preserve">The utilization of the Mixed Fluid Cascade (MFC) process is prevalent in high-capacity LNG plants. The Linde and Statoil MFC methodology incorporates three refrigeration cycles employing a blend of methane, ethane, propane, or nitrogen as refrigerants. These cycles facilitate pre-cooling (around -25 °C), liquefaction (approximately -86 °C), and sub-cooling (about -160 °C) stages in the natural gas processing </w:t>
      </w:r>
      <w:r w:rsidR="00774A1F" w:rsidRPr="00E47186">
        <w:rPr>
          <w:rFonts w:asciiTheme="majorBidi" w:hAnsiTheme="majorBidi" w:cstheme="majorBidi"/>
        </w:rPr>
        <w:fldChar w:fldCharType="begin" w:fldLock="1"/>
      </w:r>
      <w:r w:rsidR="00342420" w:rsidRPr="00E47186">
        <w:rPr>
          <w:rFonts w:asciiTheme="majorBidi" w:hAnsiTheme="majorBidi" w:cstheme="majorBidi"/>
        </w:rPr>
        <w:instrText>ADDIN CSL_CITATION {"citationItems":[{"id":"ITEM-1","itemData":{"DOI":"10.1016/j.jclepro.2018.01.109","ISSN":"09596526","author":[{"dropping-particle":"","family":"Ghorbani","given":"Bahram","non-dropping-particle":"","parse-names":false,"suffix":""},{"dropping-particle":"","family":"Mehrpooya","given":"Mehdi","non-dropping-particle":"","parse-names":false,"suffix":""},{"dropping-particle":"","family":"Shirmohammadi","given":"Reza","non-dropping-particle":"","parse-names":false,"suffix":""},{"dropping-particle":"","family":"Hamedi","given":"Mohammad-Hossein","non-dropping-particle":"","parse-names":false,"suffix":""}],"container-title":"Journal of Cleaner Production","id":"ITEM-1","issued":{"date-parts":[["2018","4"]]},"page":"495-514","title":"A comprehensive approach toward utilizing mixed refrigerant and absorption refrigeration systems in an integrated cryogenic refrigeration process","type":"article-journal","volume":"179"},"uris":["http://www.mendeley.com/documents/?uuid=5c4a4425-7bcb-4bce-9b27-cb8457d23939"]}],"mendeley":{"formattedCitation":"(Ghorbani et al., 2018)","plainTextFormattedCitation":"(Ghorbani et al., 2018)","previouslyFormattedCitation":"(Ghorbani et al., 2018)"},"properties":{"noteIndex":0},"schema":"https://github.com/citation-style-language/schema/raw/master/csl-citation.json"}</w:instrText>
      </w:r>
      <w:r w:rsidR="00774A1F" w:rsidRPr="00E47186">
        <w:rPr>
          <w:rFonts w:asciiTheme="majorBidi" w:hAnsiTheme="majorBidi" w:cstheme="majorBidi"/>
        </w:rPr>
        <w:fldChar w:fldCharType="separate"/>
      </w:r>
      <w:r w:rsidR="003A027D" w:rsidRPr="00E47186">
        <w:rPr>
          <w:rFonts w:asciiTheme="majorBidi" w:hAnsiTheme="majorBidi" w:cstheme="majorBidi"/>
          <w:noProof/>
        </w:rPr>
        <w:t>(Ghorbani et al., 2018)</w:t>
      </w:r>
      <w:r w:rsidR="00774A1F" w:rsidRPr="00E47186">
        <w:rPr>
          <w:rFonts w:asciiTheme="majorBidi" w:hAnsiTheme="majorBidi" w:cstheme="majorBidi"/>
        </w:rPr>
        <w:fldChar w:fldCharType="end"/>
      </w:r>
      <w:r w:rsidR="00774A1F" w:rsidRPr="00E47186">
        <w:rPr>
          <w:rFonts w:asciiTheme="majorBidi" w:hAnsiTheme="majorBidi" w:cstheme="majorBidi"/>
        </w:rPr>
        <w:t>.</w:t>
      </w:r>
      <w:r w:rsidR="005B3800" w:rsidRPr="00E47186">
        <w:rPr>
          <w:rFonts w:asciiTheme="majorBidi" w:hAnsiTheme="majorBidi" w:cstheme="majorBidi"/>
        </w:rPr>
        <w:t xml:space="preserve"> In this paper, a novel structure of a LNG process is presented, employing a mixed fluid cascade using solar renewable energy, PV, and an absorption refrigeration system. The process is simulated using Aspen HYSYS V12.1 software</w:t>
      </w:r>
      <w:r w:rsidR="00D14B21" w:rsidRPr="00E47186">
        <w:rPr>
          <w:rFonts w:asciiTheme="majorBidi" w:hAnsiTheme="majorBidi" w:cstheme="majorBidi"/>
        </w:rPr>
        <w:t xml:space="preserve"> and Peng Robinson thermodynamic equation of states</w:t>
      </w:r>
      <w:r w:rsidR="005B3800" w:rsidRPr="00E47186">
        <w:rPr>
          <w:rFonts w:asciiTheme="majorBidi" w:hAnsiTheme="majorBidi" w:cstheme="majorBidi"/>
        </w:rPr>
        <w:t>, while photovoltaic panels are simulated using PVsyst 7.3.1 software.</w:t>
      </w:r>
    </w:p>
    <w:p w14:paraId="7E9BBC02" w14:textId="77777777" w:rsidR="007610BA" w:rsidRPr="00E47186" w:rsidRDefault="007610BA" w:rsidP="00B25294">
      <w:pPr>
        <w:pStyle w:val="Els-body-text"/>
        <w:widowControl w:val="0"/>
        <w:rPr>
          <w:rFonts w:asciiTheme="majorBidi" w:hAnsiTheme="majorBidi" w:cstheme="majorBidi"/>
        </w:rPr>
      </w:pPr>
    </w:p>
    <w:p w14:paraId="344BC399" w14:textId="159395FE" w:rsidR="00F310F1" w:rsidRPr="00E47186" w:rsidRDefault="00F310F1" w:rsidP="00B25294">
      <w:pPr>
        <w:pStyle w:val="Els-1storder-head"/>
        <w:keepNext w:val="0"/>
        <w:widowControl w:val="0"/>
        <w:suppressAutoHyphens w:val="0"/>
        <w:spacing w:before="0" w:after="0" w:line="240" w:lineRule="auto"/>
        <w:rPr>
          <w:rFonts w:asciiTheme="majorBidi" w:hAnsiTheme="majorBidi" w:cstheme="majorBidi"/>
          <w:sz w:val="20"/>
        </w:rPr>
      </w:pPr>
      <w:r w:rsidRPr="00E47186">
        <w:rPr>
          <w:rFonts w:asciiTheme="majorBidi" w:hAnsiTheme="majorBidi" w:cstheme="majorBidi"/>
          <w:sz w:val="20"/>
        </w:rPr>
        <w:t>Process description</w:t>
      </w:r>
    </w:p>
    <w:p w14:paraId="3CB34014" w14:textId="1B969E93" w:rsidR="005B3800" w:rsidRPr="00E47186" w:rsidRDefault="008545E9" w:rsidP="00B25294">
      <w:pPr>
        <w:pStyle w:val="Els-body-text"/>
        <w:widowControl w:val="0"/>
        <w:rPr>
          <w:rFonts w:asciiTheme="majorBidi" w:hAnsiTheme="majorBidi" w:cstheme="majorBidi"/>
        </w:rPr>
      </w:pPr>
      <w:r w:rsidRPr="00E47186">
        <w:rPr>
          <w:rFonts w:asciiTheme="majorBidi" w:hAnsiTheme="majorBidi" w:cstheme="majorBidi"/>
        </w:rPr>
        <w:t>Ammonia-water emerges as an efficient working fluid, reaching -60 °C in the Absorption Refrigeration Cycle (ARC). In the ARC, a pump elevates solution pressure, aiding the refrigerant's separation</w:t>
      </w:r>
      <w:r w:rsidR="00C60A80">
        <w:rPr>
          <w:rFonts w:asciiTheme="majorBidi" w:hAnsiTheme="majorBidi" w:cstheme="majorBidi"/>
        </w:rPr>
        <w:t xml:space="preserve"> </w:t>
      </w:r>
      <w:r w:rsidR="00C60A80" w:rsidRPr="00E47186">
        <w:rPr>
          <w:rFonts w:asciiTheme="majorBidi" w:hAnsiTheme="majorBidi" w:cstheme="majorBidi"/>
        </w:rPr>
        <w:fldChar w:fldCharType="begin" w:fldLock="1"/>
      </w:r>
      <w:r w:rsidR="00C60A80" w:rsidRPr="00E47186">
        <w:rPr>
          <w:rFonts w:asciiTheme="majorBidi" w:hAnsiTheme="majorBidi" w:cstheme="majorBidi"/>
        </w:rPr>
        <w:instrText>ADDIN CSL_CITATION {"citationItems":[{"id":"ITEM-1","itemData":{"DOI":"10.1016/j.jclepro.2021.127612","ISSN":"09596526","author":[{"dropping-particle":"","family":"Chen","given":"Jianjun","non-dropping-particle":"","parse-names":false,"suffix":""},{"dropping-particle":"","family":"Li","given":"Dan","non-dropping-particle":"","parse-names":false,"suffix":""},{"dropping-particle":"","family":"Klemeš","given":"Jiří Jaromír","non-dropping-particle":"","parse-names":false,"suffix":""},{"dropping-particle":"","family":"Qian","given":"Yu","non-dropping-particle":"","parse-names":false,"suffix":""},{"dropping-particle":"","family":"Yang","given":"Siyu","non-dropping-particle":"","parse-names":false,"suffix":""}],"container-title":"Journal of Cleaner Production","id":"ITEM-1","issued":{"date-parts":[["2021","9"]]},"page":"127612","title":"A sustainable syngas cryogenic separation process combined with ammonia absorption refrigeration pre-cooling cycle","type":"article-journal","volume":"313"},"uris":["http://www.mendeley.com/documents/?uuid=4039ff7e-ce67-408c-a342-b4cb09d642eb"]}],"mendeley":{"formattedCitation":"(Chen et al., 2021)","plainTextFormattedCitation":"(Chen et al., 2021)","previouslyFormattedCitation":"(Chen et al., 2021)"},"properties":{"noteIndex":0},"schema":"https://github.com/citation-style-language/schema/raw/master/csl-citation.json"}</w:instrText>
      </w:r>
      <w:r w:rsidR="00C60A80" w:rsidRPr="00E47186">
        <w:rPr>
          <w:rFonts w:asciiTheme="majorBidi" w:hAnsiTheme="majorBidi" w:cstheme="majorBidi"/>
        </w:rPr>
        <w:fldChar w:fldCharType="separate"/>
      </w:r>
      <w:r w:rsidR="00C60A80" w:rsidRPr="00E47186">
        <w:rPr>
          <w:rFonts w:asciiTheme="majorBidi" w:hAnsiTheme="majorBidi" w:cstheme="majorBidi"/>
          <w:noProof/>
        </w:rPr>
        <w:t>(Chen et al., 2021)</w:t>
      </w:r>
      <w:r w:rsidR="00C60A80" w:rsidRPr="00E47186">
        <w:rPr>
          <w:rFonts w:asciiTheme="majorBidi" w:hAnsiTheme="majorBidi" w:cstheme="majorBidi"/>
        </w:rPr>
        <w:fldChar w:fldCharType="end"/>
      </w:r>
      <w:r w:rsidRPr="00E47186">
        <w:rPr>
          <w:rFonts w:asciiTheme="majorBidi" w:hAnsiTheme="majorBidi" w:cstheme="majorBidi"/>
        </w:rPr>
        <w:t>. Essential cooling in the condenser utilizes ambient air or cooling water</w:t>
      </w:r>
      <w:r w:rsidR="009C2040" w:rsidRPr="00E47186">
        <w:rPr>
          <w:rFonts w:asciiTheme="majorBidi" w:hAnsiTheme="majorBidi" w:cstheme="majorBidi"/>
        </w:rPr>
        <w:t xml:space="preserve"> </w:t>
      </w:r>
      <w:r w:rsidR="009C2040" w:rsidRPr="00E47186">
        <w:rPr>
          <w:rFonts w:asciiTheme="majorBidi" w:hAnsiTheme="majorBidi" w:cstheme="majorBidi"/>
        </w:rPr>
        <w:fldChar w:fldCharType="begin" w:fldLock="1"/>
      </w:r>
      <w:r w:rsidR="00752E75" w:rsidRPr="00E47186">
        <w:rPr>
          <w:rFonts w:asciiTheme="majorBidi" w:hAnsiTheme="majorBidi" w:cstheme="majorBidi"/>
        </w:rPr>
        <w:instrText>ADDIN CSL_CITATION {"citationItems":[{"id":"ITEM-1","itemData":{"DOI":"10.1016/j.ijhydene.2023.03.405","ISSN":"03603199","author":[{"dropping-particle":"","family":"Hunt","given":"Julian David","non-dropping-particle":"","parse-names":false,"suffix":""},{"dropping-particle":"","family":"Montanari","given":"Pedro Marin","non-dropping-particle":"","parse-names":false,"suffix":""},{"dropping-particle":"","family":"Hummes","given":"Diego Nieto","non-dropping-particle":"","parse-names":false,"suffix":""},{"dropping-particle":"","family":"Taghavi","given":"Masoud","non-dropping-particle":"","parse-names":false,"suffix":""},{"dropping-particle":"","family":"Zakeri","given":"Behanm","non-dropping-particle":"","parse-names":false,"suffix":""},{"dropping-particle":"","family":"Romero","given":"Oldrich Joel","non-dropping-particle":"","parse-names":false,"suffix":""},{"dropping-particle":"","family":"Zhou","given":"Wenji","non-dropping-particle":"","parse-names":false,"suffix":""},{"dropping-particle":"de","family":"Freitas","given":"Marcos Aurélio Vasconcelos","non-dropping-particle":"","parse-names":false,"suffix":""},{"dropping-particle":"","family":"José de Castro","given":"Nivalde","non-dropping-particle":"","parse-names":false,"suffix":""},{"dropping-particle":"","family":"Schneider","given":"Paulo Smith","non-dropping-particle":"","parse-names":false,"suffix":""},{"dropping-particle":"","family":"Wada","given":"Yoshihide","non-dropping-particle":"","parse-names":false,"suffix":""}],"container-title":"International Journal of Hydrogen Energy","id":"ITEM-1","issued":{"date-parts":[["2023","4"]]},"title":"Solid air hydrogen liquefaction, the missing link of the hydrogen economy","type":"article-journal"},"uris":["http://www.mendeley.com/documents/?uuid=9b0d9c7b-deaa-4e3d-8166-033a3eead203"]}],"mendeley":{"formattedCitation":"(Hunt et al., 2023)","plainTextFormattedCitation":"(Hunt et al., 2023)","previouslyFormattedCitation":"(Hunt et al., 2023)"},"properties":{"noteIndex":0},"schema":"https://github.com/citation-style-language/schema/raw/master/csl-citation.json"}</w:instrText>
      </w:r>
      <w:r w:rsidR="009C2040" w:rsidRPr="00E47186">
        <w:rPr>
          <w:rFonts w:asciiTheme="majorBidi" w:hAnsiTheme="majorBidi" w:cstheme="majorBidi"/>
        </w:rPr>
        <w:fldChar w:fldCharType="separate"/>
      </w:r>
      <w:r w:rsidR="009C2040" w:rsidRPr="00E47186">
        <w:rPr>
          <w:rFonts w:asciiTheme="majorBidi" w:hAnsiTheme="majorBidi" w:cstheme="majorBidi"/>
          <w:noProof/>
        </w:rPr>
        <w:t>(Hunt et al., 2023)</w:t>
      </w:r>
      <w:r w:rsidR="009C2040" w:rsidRPr="00E47186">
        <w:rPr>
          <w:rFonts w:asciiTheme="majorBidi" w:hAnsiTheme="majorBidi" w:cstheme="majorBidi"/>
        </w:rPr>
        <w:fldChar w:fldCharType="end"/>
      </w:r>
      <w:r w:rsidRPr="00E47186">
        <w:rPr>
          <w:rFonts w:asciiTheme="majorBidi" w:hAnsiTheme="majorBidi" w:cstheme="majorBidi"/>
        </w:rPr>
        <w:t xml:space="preserve">. Waste heat from turbines and boilers, including gas discharge, drives the energy-intensive separation process. This waste heat is used to generate low-pressure steam (T=180 °C and P=4.5 bar), fueling the separation of ammonia from water in the generator. Effectively utilizing waste heat in an ARC proves practical and feasible for low to medium temperature heat sources </w:t>
      </w:r>
      <w:r w:rsidRPr="00E47186">
        <w:rPr>
          <w:rFonts w:asciiTheme="majorBidi" w:hAnsiTheme="majorBidi" w:cstheme="majorBidi"/>
        </w:rPr>
        <w:fldChar w:fldCharType="begin" w:fldLock="1"/>
      </w:r>
      <w:r w:rsidR="00F438A0" w:rsidRPr="00E47186">
        <w:rPr>
          <w:rFonts w:asciiTheme="majorBidi" w:hAnsiTheme="majorBidi" w:cstheme="majorBidi"/>
        </w:rPr>
        <w:instrText>ADDIN CSL_CITATION {"citationItems":[{"id":"ITEM-1","itemData":{"DOI":"10.1016/j.applthermaleng.2014.02.065","ISSN":"13594311","author":[{"dropping-particle":"","family":"Táboas","given":"Francisco","non-dropping-particle":"","parse-names":false,"suffix":""},{"dropping-particle":"","family":"Bourouis","given":"Mahmoud","non-dropping-particle":"","parse-names":false,"suffix":""},{"dropping-particle":"","family":"Vallès","given":"Manel","non-dropping-particle":"","parse-names":false,"suffix":""}],"container-title":"Applied Thermal Engineering","id":"ITEM-1","issue":"1-2","issued":{"date-parts":[["2014","5"]]},"page":"603-611","title":"Analysis of ammonia/water and ammonia/salt mixture absorption cycles for refrigeration purposes in fishing ships","type":"article-journal","volume":"66"},"uris":["http://www.mendeley.com/documents/?uuid=80f734b3-7758-4e5c-aeca-774f16a9a0e4"]}],"mendeley":{"formattedCitation":"(Táboas et al., 2014)","plainTextFormattedCitation":"(Táboas et al., 2014)","previouslyFormattedCitation":"(Táboas et al., 2014)"},"properties":{"noteIndex":0},"schema":"https://github.com/citation-style-language/schema/raw/master/csl-citation.json"}</w:instrText>
      </w:r>
      <w:r w:rsidRPr="00E47186">
        <w:rPr>
          <w:rFonts w:asciiTheme="majorBidi" w:hAnsiTheme="majorBidi" w:cstheme="majorBidi"/>
        </w:rPr>
        <w:fldChar w:fldCharType="separate"/>
      </w:r>
      <w:r w:rsidRPr="00E47186">
        <w:rPr>
          <w:rFonts w:asciiTheme="majorBidi" w:hAnsiTheme="majorBidi" w:cstheme="majorBidi"/>
          <w:noProof/>
        </w:rPr>
        <w:t>(Táboas et al., 2014)</w:t>
      </w:r>
      <w:r w:rsidRPr="00E47186">
        <w:rPr>
          <w:rFonts w:asciiTheme="majorBidi" w:hAnsiTheme="majorBidi" w:cstheme="majorBidi"/>
        </w:rPr>
        <w:fldChar w:fldCharType="end"/>
      </w:r>
      <w:r w:rsidRPr="00E47186">
        <w:rPr>
          <w:rFonts w:asciiTheme="majorBidi" w:hAnsiTheme="majorBidi" w:cstheme="majorBidi"/>
        </w:rPr>
        <w:t xml:space="preserve">. </w:t>
      </w:r>
      <w:r w:rsidR="005B3800" w:rsidRPr="00E47186">
        <w:rPr>
          <w:rFonts w:asciiTheme="majorBidi" w:hAnsiTheme="majorBidi" w:cstheme="majorBidi"/>
        </w:rPr>
        <w:t xml:space="preserve">Table </w:t>
      </w:r>
      <w:r w:rsidR="00D14B21" w:rsidRPr="00E47186">
        <w:rPr>
          <w:rFonts w:asciiTheme="majorBidi" w:hAnsiTheme="majorBidi" w:cstheme="majorBidi"/>
        </w:rPr>
        <w:t>1</w:t>
      </w:r>
      <w:r w:rsidR="005B3800" w:rsidRPr="00E47186">
        <w:rPr>
          <w:rFonts w:asciiTheme="majorBidi" w:hAnsiTheme="majorBidi" w:cstheme="majorBidi"/>
        </w:rPr>
        <w:t xml:space="preserve"> presents the molar composition data for the input streams used in simulating the developed structure.</w:t>
      </w:r>
      <w:r w:rsidR="00D14B21" w:rsidRPr="00E47186">
        <w:rPr>
          <w:rFonts w:asciiTheme="majorBidi" w:hAnsiTheme="majorBidi" w:cstheme="majorBidi"/>
        </w:rPr>
        <w:t xml:space="preserve"> Also, the </w:t>
      </w:r>
      <w:r w:rsidR="00D14B21" w:rsidRPr="00E47186">
        <w:rPr>
          <w:rFonts w:asciiTheme="majorBidi" w:hAnsiTheme="majorBidi" w:cstheme="majorBidi"/>
          <w:lang w:val="en-GB"/>
        </w:rPr>
        <w:t>process flow diagram (PFD) of the mixed fluid cascade cycle</w:t>
      </w:r>
      <w:r w:rsidR="00D14B21" w:rsidRPr="00E47186">
        <w:rPr>
          <w:rFonts w:asciiTheme="majorBidi" w:hAnsiTheme="majorBidi" w:cstheme="majorBidi"/>
        </w:rPr>
        <w:t xml:space="preserve"> illustrated in Fig</w:t>
      </w:r>
      <w:r w:rsidR="00887B72" w:rsidRPr="00E47186">
        <w:rPr>
          <w:rFonts w:asciiTheme="majorBidi" w:hAnsiTheme="majorBidi" w:cstheme="majorBidi"/>
        </w:rPr>
        <w:t>.</w:t>
      </w:r>
      <w:r w:rsidR="00D14B21" w:rsidRPr="00E47186">
        <w:rPr>
          <w:rFonts w:asciiTheme="majorBidi" w:hAnsiTheme="majorBidi" w:cstheme="majorBidi"/>
        </w:rPr>
        <w:t xml:space="preserve"> 1.  </w:t>
      </w:r>
    </w:p>
    <w:p w14:paraId="230A51EA" w14:textId="0B0E3B13" w:rsidR="005B3800" w:rsidRPr="00E47186" w:rsidRDefault="005B3800" w:rsidP="00B25294">
      <w:pPr>
        <w:pStyle w:val="Els-body-text"/>
        <w:widowControl w:val="0"/>
        <w:rPr>
          <w:rFonts w:asciiTheme="majorBidi" w:hAnsiTheme="majorBidi" w:cstheme="majorBidi"/>
        </w:rPr>
      </w:pPr>
    </w:p>
    <w:p w14:paraId="3BFD1049" w14:textId="5161F919" w:rsidR="005B3800" w:rsidRPr="00E47186" w:rsidRDefault="005B3800" w:rsidP="00B25294">
      <w:pPr>
        <w:pStyle w:val="Els-body-text"/>
        <w:widowControl w:val="0"/>
        <w:rPr>
          <w:rFonts w:asciiTheme="majorBidi" w:hAnsiTheme="majorBidi" w:cstheme="majorBidi"/>
        </w:rPr>
      </w:pPr>
      <w:r w:rsidRPr="00E47186">
        <w:rPr>
          <w:rFonts w:asciiTheme="majorBidi" w:hAnsiTheme="majorBidi" w:cstheme="majorBidi"/>
          <w:b/>
          <w:bCs/>
        </w:rPr>
        <w:t xml:space="preserve">Table </w:t>
      </w:r>
      <w:r w:rsidR="00D14B21" w:rsidRPr="00E47186">
        <w:rPr>
          <w:rFonts w:asciiTheme="majorBidi" w:hAnsiTheme="majorBidi" w:cstheme="majorBidi"/>
          <w:b/>
          <w:bCs/>
        </w:rPr>
        <w:t>1</w:t>
      </w:r>
      <w:r w:rsidRPr="00E47186">
        <w:rPr>
          <w:rFonts w:asciiTheme="majorBidi" w:hAnsiTheme="majorBidi" w:cstheme="majorBidi"/>
          <w:b/>
          <w:bCs/>
        </w:rPr>
        <w:t>.</w:t>
      </w:r>
      <w:r w:rsidRPr="00E47186">
        <w:rPr>
          <w:rFonts w:asciiTheme="majorBidi" w:hAnsiTheme="majorBidi" w:cstheme="majorBidi"/>
        </w:rPr>
        <w:t xml:space="preserve"> Molar composition for the integrated structure.</w:t>
      </w: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644"/>
        <w:gridCol w:w="650"/>
        <w:gridCol w:w="650"/>
        <w:gridCol w:w="650"/>
        <w:gridCol w:w="797"/>
        <w:gridCol w:w="797"/>
        <w:gridCol w:w="871"/>
        <w:gridCol w:w="650"/>
        <w:gridCol w:w="650"/>
      </w:tblGrid>
      <w:tr w:rsidR="00D14B21" w:rsidRPr="00E47186" w14:paraId="688DBEF2" w14:textId="0C66FAB2" w:rsidTr="00B41D2D">
        <w:trPr>
          <w:cantSplit/>
          <w:trHeight w:val="360"/>
        </w:trPr>
        <w:tc>
          <w:tcPr>
            <w:tcW w:w="718" w:type="dxa"/>
            <w:tcBorders>
              <w:top w:val="single" w:sz="4" w:space="0" w:color="auto"/>
              <w:bottom w:val="single" w:sz="4" w:space="0" w:color="auto"/>
            </w:tcBorders>
            <w:vAlign w:val="center"/>
          </w:tcPr>
          <w:p w14:paraId="23FF8511" w14:textId="59A29480"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Str.</w:t>
            </w:r>
          </w:p>
        </w:tc>
        <w:tc>
          <w:tcPr>
            <w:tcW w:w="644" w:type="dxa"/>
            <w:tcBorders>
              <w:top w:val="single" w:sz="4" w:space="0" w:color="auto"/>
              <w:bottom w:val="single" w:sz="4" w:space="0" w:color="auto"/>
            </w:tcBorders>
            <w:vAlign w:val="center"/>
          </w:tcPr>
          <w:p w14:paraId="1CA0A5B5" w14:textId="13DB90B3"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N</w:t>
            </w:r>
            <w:r w:rsidRPr="00E47186">
              <w:rPr>
                <w:rFonts w:asciiTheme="majorBidi" w:hAnsiTheme="majorBidi" w:cstheme="majorBidi"/>
                <w:b/>
                <w:bCs/>
                <w:sz w:val="19"/>
                <w:szCs w:val="19"/>
                <w:vertAlign w:val="subscript"/>
              </w:rPr>
              <w:t>2</w:t>
            </w:r>
          </w:p>
        </w:tc>
        <w:tc>
          <w:tcPr>
            <w:tcW w:w="650" w:type="dxa"/>
            <w:tcBorders>
              <w:top w:val="single" w:sz="4" w:space="0" w:color="auto"/>
              <w:bottom w:val="single" w:sz="4" w:space="0" w:color="auto"/>
            </w:tcBorders>
            <w:vAlign w:val="center"/>
          </w:tcPr>
          <w:p w14:paraId="5A01E3FF" w14:textId="268BF3C4"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CH</w:t>
            </w:r>
            <w:r w:rsidRPr="00E47186">
              <w:rPr>
                <w:rFonts w:asciiTheme="majorBidi" w:hAnsiTheme="majorBidi" w:cstheme="majorBidi"/>
                <w:b/>
                <w:bCs/>
                <w:sz w:val="19"/>
                <w:szCs w:val="19"/>
                <w:vertAlign w:val="subscript"/>
              </w:rPr>
              <w:t>4</w:t>
            </w:r>
          </w:p>
        </w:tc>
        <w:tc>
          <w:tcPr>
            <w:tcW w:w="650" w:type="dxa"/>
            <w:tcBorders>
              <w:top w:val="single" w:sz="4" w:space="0" w:color="auto"/>
              <w:bottom w:val="single" w:sz="4" w:space="0" w:color="auto"/>
            </w:tcBorders>
            <w:vAlign w:val="center"/>
          </w:tcPr>
          <w:p w14:paraId="1594A646" w14:textId="6F2EC09F" w:rsidR="00D14B21" w:rsidRPr="00E47186" w:rsidRDefault="00D14B21" w:rsidP="00B25294">
            <w:pPr>
              <w:pStyle w:val="Els-body-text"/>
              <w:widowControl w:val="0"/>
              <w:jc w:val="center"/>
              <w:rPr>
                <w:rFonts w:asciiTheme="majorBidi" w:hAnsiTheme="majorBidi" w:cstheme="majorBidi"/>
                <w:b/>
                <w:bCs/>
                <w:sz w:val="19"/>
                <w:szCs w:val="19"/>
                <w:lang w:eastAsia="ko-KR"/>
              </w:rPr>
            </w:pPr>
            <w:r w:rsidRPr="00E47186">
              <w:rPr>
                <w:rFonts w:asciiTheme="majorBidi" w:hAnsiTheme="majorBidi" w:cstheme="majorBidi"/>
                <w:b/>
                <w:bCs/>
                <w:sz w:val="19"/>
                <w:szCs w:val="19"/>
              </w:rPr>
              <w:t>C</w:t>
            </w:r>
            <w:r w:rsidRPr="00E47186">
              <w:rPr>
                <w:rFonts w:asciiTheme="majorBidi" w:hAnsiTheme="majorBidi" w:cstheme="majorBidi"/>
                <w:b/>
                <w:bCs/>
                <w:sz w:val="19"/>
                <w:szCs w:val="19"/>
                <w:vertAlign w:val="subscript"/>
              </w:rPr>
              <w:t>2</w:t>
            </w:r>
            <w:r w:rsidRPr="00E47186">
              <w:rPr>
                <w:rFonts w:asciiTheme="majorBidi" w:hAnsiTheme="majorBidi" w:cstheme="majorBidi"/>
                <w:b/>
                <w:bCs/>
                <w:sz w:val="19"/>
                <w:szCs w:val="19"/>
              </w:rPr>
              <w:t>H</w:t>
            </w:r>
            <w:r w:rsidRPr="00E47186">
              <w:rPr>
                <w:rFonts w:asciiTheme="majorBidi" w:hAnsiTheme="majorBidi" w:cstheme="majorBidi"/>
                <w:b/>
                <w:bCs/>
                <w:sz w:val="19"/>
                <w:szCs w:val="19"/>
                <w:vertAlign w:val="subscript"/>
              </w:rPr>
              <w:t>6</w:t>
            </w:r>
          </w:p>
        </w:tc>
        <w:tc>
          <w:tcPr>
            <w:tcW w:w="650" w:type="dxa"/>
            <w:tcBorders>
              <w:top w:val="single" w:sz="4" w:space="0" w:color="auto"/>
              <w:bottom w:val="single" w:sz="4" w:space="0" w:color="auto"/>
            </w:tcBorders>
            <w:vAlign w:val="center"/>
          </w:tcPr>
          <w:p w14:paraId="7089FEB9" w14:textId="25FA4B7B"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C</w:t>
            </w:r>
            <w:r w:rsidRPr="00E47186">
              <w:rPr>
                <w:rFonts w:asciiTheme="majorBidi" w:hAnsiTheme="majorBidi" w:cstheme="majorBidi"/>
                <w:b/>
                <w:bCs/>
                <w:sz w:val="19"/>
                <w:szCs w:val="19"/>
                <w:vertAlign w:val="subscript"/>
              </w:rPr>
              <w:t>3</w:t>
            </w:r>
            <w:r w:rsidRPr="00E47186">
              <w:rPr>
                <w:rFonts w:asciiTheme="majorBidi" w:hAnsiTheme="majorBidi" w:cstheme="majorBidi"/>
                <w:b/>
                <w:bCs/>
                <w:sz w:val="19"/>
                <w:szCs w:val="19"/>
              </w:rPr>
              <w:t>H</w:t>
            </w:r>
            <w:r w:rsidRPr="00E47186">
              <w:rPr>
                <w:rFonts w:asciiTheme="majorBidi" w:hAnsiTheme="majorBidi" w:cstheme="majorBidi"/>
                <w:b/>
                <w:bCs/>
                <w:sz w:val="19"/>
                <w:szCs w:val="19"/>
                <w:vertAlign w:val="subscript"/>
              </w:rPr>
              <w:t>8</w:t>
            </w:r>
          </w:p>
        </w:tc>
        <w:tc>
          <w:tcPr>
            <w:tcW w:w="797" w:type="dxa"/>
            <w:tcBorders>
              <w:top w:val="single" w:sz="4" w:space="0" w:color="auto"/>
              <w:bottom w:val="single" w:sz="4" w:space="0" w:color="auto"/>
            </w:tcBorders>
            <w:vAlign w:val="center"/>
          </w:tcPr>
          <w:p w14:paraId="78FDF452" w14:textId="5D8306F1"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n-Butane</w:t>
            </w:r>
          </w:p>
        </w:tc>
        <w:tc>
          <w:tcPr>
            <w:tcW w:w="797" w:type="dxa"/>
            <w:tcBorders>
              <w:top w:val="single" w:sz="4" w:space="0" w:color="auto"/>
              <w:bottom w:val="single" w:sz="4" w:space="0" w:color="auto"/>
            </w:tcBorders>
            <w:vAlign w:val="center"/>
          </w:tcPr>
          <w:p w14:paraId="4192DAF6" w14:textId="1516142A" w:rsidR="00D14B21" w:rsidRPr="00E47186" w:rsidRDefault="00D14B21" w:rsidP="00B25294">
            <w:pPr>
              <w:pStyle w:val="Els-body-text"/>
              <w:widowControl w:val="0"/>
              <w:jc w:val="center"/>
              <w:rPr>
                <w:rFonts w:asciiTheme="majorBidi" w:hAnsiTheme="majorBidi" w:cstheme="majorBidi"/>
                <w:b/>
                <w:bCs/>
                <w:sz w:val="19"/>
                <w:szCs w:val="19"/>
              </w:rPr>
            </w:pPr>
            <w:proofErr w:type="spellStart"/>
            <w:r w:rsidRPr="00E47186">
              <w:rPr>
                <w:rFonts w:asciiTheme="majorBidi" w:hAnsiTheme="majorBidi" w:cstheme="majorBidi"/>
                <w:b/>
                <w:bCs/>
                <w:sz w:val="19"/>
                <w:szCs w:val="19"/>
              </w:rPr>
              <w:t>i</w:t>
            </w:r>
            <w:proofErr w:type="spellEnd"/>
            <w:r w:rsidRPr="00E47186">
              <w:rPr>
                <w:rFonts w:asciiTheme="majorBidi" w:hAnsiTheme="majorBidi" w:cstheme="majorBidi"/>
                <w:b/>
                <w:bCs/>
                <w:sz w:val="19"/>
                <w:szCs w:val="19"/>
              </w:rPr>
              <w:t>-Butane</w:t>
            </w:r>
          </w:p>
        </w:tc>
        <w:tc>
          <w:tcPr>
            <w:tcW w:w="871" w:type="dxa"/>
            <w:tcBorders>
              <w:top w:val="single" w:sz="4" w:space="0" w:color="auto"/>
              <w:bottom w:val="single" w:sz="4" w:space="0" w:color="auto"/>
            </w:tcBorders>
            <w:vAlign w:val="center"/>
          </w:tcPr>
          <w:p w14:paraId="39E6DBDF" w14:textId="326D9DEB" w:rsidR="00D14B21" w:rsidRPr="00E47186" w:rsidRDefault="00D14B21" w:rsidP="00B25294">
            <w:pPr>
              <w:pStyle w:val="Els-body-text"/>
              <w:widowControl w:val="0"/>
              <w:jc w:val="center"/>
              <w:rPr>
                <w:rFonts w:asciiTheme="majorBidi" w:hAnsiTheme="majorBidi" w:cstheme="majorBidi"/>
                <w:b/>
                <w:bCs/>
                <w:sz w:val="19"/>
                <w:szCs w:val="19"/>
              </w:rPr>
            </w:pPr>
            <w:proofErr w:type="spellStart"/>
            <w:r w:rsidRPr="00E47186">
              <w:rPr>
                <w:rFonts w:asciiTheme="majorBidi" w:hAnsiTheme="majorBidi" w:cstheme="majorBidi"/>
                <w:b/>
                <w:bCs/>
                <w:sz w:val="19"/>
                <w:szCs w:val="19"/>
              </w:rPr>
              <w:t>i</w:t>
            </w:r>
            <w:proofErr w:type="spellEnd"/>
            <w:r w:rsidRPr="00E47186">
              <w:rPr>
                <w:rFonts w:asciiTheme="majorBidi" w:hAnsiTheme="majorBidi" w:cstheme="majorBidi"/>
                <w:b/>
                <w:bCs/>
                <w:sz w:val="19"/>
                <w:szCs w:val="19"/>
              </w:rPr>
              <w:t>-Pentane</w:t>
            </w:r>
          </w:p>
        </w:tc>
        <w:tc>
          <w:tcPr>
            <w:tcW w:w="650" w:type="dxa"/>
            <w:tcBorders>
              <w:top w:val="single" w:sz="4" w:space="0" w:color="auto"/>
              <w:bottom w:val="single" w:sz="4" w:space="0" w:color="auto"/>
            </w:tcBorders>
            <w:vAlign w:val="center"/>
          </w:tcPr>
          <w:p w14:paraId="3D81449C" w14:textId="78C9CAAE"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H</w:t>
            </w:r>
            <w:r w:rsidRPr="00E47186">
              <w:rPr>
                <w:rFonts w:asciiTheme="majorBidi" w:hAnsiTheme="majorBidi" w:cstheme="majorBidi"/>
                <w:b/>
                <w:bCs/>
                <w:sz w:val="19"/>
                <w:szCs w:val="19"/>
                <w:vertAlign w:val="subscript"/>
              </w:rPr>
              <w:t>2</w:t>
            </w:r>
            <w:r w:rsidRPr="00E47186">
              <w:rPr>
                <w:rFonts w:asciiTheme="majorBidi" w:hAnsiTheme="majorBidi" w:cstheme="majorBidi"/>
                <w:b/>
                <w:bCs/>
                <w:sz w:val="19"/>
                <w:szCs w:val="19"/>
              </w:rPr>
              <w:t>O</w:t>
            </w:r>
          </w:p>
        </w:tc>
        <w:tc>
          <w:tcPr>
            <w:tcW w:w="650" w:type="dxa"/>
            <w:tcBorders>
              <w:top w:val="single" w:sz="4" w:space="0" w:color="auto"/>
              <w:bottom w:val="single" w:sz="4" w:space="0" w:color="auto"/>
            </w:tcBorders>
            <w:vAlign w:val="center"/>
          </w:tcPr>
          <w:p w14:paraId="65AC3C67" w14:textId="03299150" w:rsidR="00D14B21" w:rsidRPr="00E47186" w:rsidRDefault="00D14B21" w:rsidP="00B25294">
            <w:pPr>
              <w:pStyle w:val="Els-body-text"/>
              <w:widowControl w:val="0"/>
              <w:jc w:val="center"/>
              <w:rPr>
                <w:rFonts w:asciiTheme="majorBidi" w:hAnsiTheme="majorBidi" w:cstheme="majorBidi"/>
                <w:b/>
                <w:bCs/>
                <w:sz w:val="19"/>
                <w:szCs w:val="19"/>
              </w:rPr>
            </w:pPr>
            <w:r w:rsidRPr="00E47186">
              <w:rPr>
                <w:rFonts w:asciiTheme="majorBidi" w:hAnsiTheme="majorBidi" w:cstheme="majorBidi"/>
                <w:b/>
                <w:bCs/>
                <w:sz w:val="19"/>
                <w:szCs w:val="19"/>
              </w:rPr>
              <w:t>NH</w:t>
            </w:r>
            <w:r w:rsidRPr="00E47186">
              <w:rPr>
                <w:rFonts w:asciiTheme="majorBidi" w:hAnsiTheme="majorBidi" w:cstheme="majorBidi"/>
                <w:b/>
                <w:bCs/>
                <w:sz w:val="19"/>
                <w:szCs w:val="19"/>
                <w:vertAlign w:val="subscript"/>
              </w:rPr>
              <w:t>3</w:t>
            </w:r>
          </w:p>
        </w:tc>
      </w:tr>
      <w:tr w:rsidR="00D14B21" w:rsidRPr="00E47186" w14:paraId="45611C89" w14:textId="1B962F09" w:rsidTr="00B41D2D">
        <w:tc>
          <w:tcPr>
            <w:tcW w:w="718" w:type="dxa"/>
            <w:tcBorders>
              <w:top w:val="single" w:sz="4" w:space="0" w:color="auto"/>
            </w:tcBorders>
            <w:vAlign w:val="center"/>
          </w:tcPr>
          <w:p w14:paraId="20E327F4" w14:textId="5497A17F"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A1</w:t>
            </w:r>
          </w:p>
        </w:tc>
        <w:tc>
          <w:tcPr>
            <w:tcW w:w="644" w:type="dxa"/>
            <w:tcBorders>
              <w:top w:val="single" w:sz="4" w:space="0" w:color="auto"/>
            </w:tcBorders>
            <w:vAlign w:val="center"/>
          </w:tcPr>
          <w:p w14:paraId="45806D8B" w14:textId="195A35B9"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0.040</w:t>
            </w:r>
          </w:p>
        </w:tc>
        <w:tc>
          <w:tcPr>
            <w:tcW w:w="650" w:type="dxa"/>
            <w:tcBorders>
              <w:top w:val="single" w:sz="4" w:space="0" w:color="auto"/>
            </w:tcBorders>
            <w:vAlign w:val="center"/>
          </w:tcPr>
          <w:p w14:paraId="6AF74649" w14:textId="110C0174"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0.875</w:t>
            </w:r>
          </w:p>
        </w:tc>
        <w:tc>
          <w:tcPr>
            <w:tcW w:w="650" w:type="dxa"/>
            <w:tcBorders>
              <w:top w:val="single" w:sz="4" w:space="0" w:color="auto"/>
            </w:tcBorders>
            <w:vAlign w:val="center"/>
          </w:tcPr>
          <w:p w14:paraId="2B5041BA" w14:textId="0099387D"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0.055</w:t>
            </w:r>
          </w:p>
        </w:tc>
        <w:tc>
          <w:tcPr>
            <w:tcW w:w="650" w:type="dxa"/>
            <w:tcBorders>
              <w:top w:val="single" w:sz="4" w:space="0" w:color="auto"/>
            </w:tcBorders>
            <w:vAlign w:val="center"/>
          </w:tcPr>
          <w:p w14:paraId="42726D71" w14:textId="3C80CDA5"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0.021</w:t>
            </w:r>
          </w:p>
        </w:tc>
        <w:tc>
          <w:tcPr>
            <w:tcW w:w="797" w:type="dxa"/>
            <w:tcBorders>
              <w:top w:val="single" w:sz="4" w:space="0" w:color="auto"/>
            </w:tcBorders>
            <w:vAlign w:val="center"/>
          </w:tcPr>
          <w:p w14:paraId="3ADD5EBE" w14:textId="1957059F"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0.005</w:t>
            </w:r>
          </w:p>
        </w:tc>
        <w:tc>
          <w:tcPr>
            <w:tcW w:w="797" w:type="dxa"/>
            <w:tcBorders>
              <w:top w:val="single" w:sz="4" w:space="0" w:color="auto"/>
            </w:tcBorders>
            <w:vAlign w:val="center"/>
          </w:tcPr>
          <w:p w14:paraId="59887EEE" w14:textId="0BCCCAE7"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0.003</w:t>
            </w:r>
          </w:p>
        </w:tc>
        <w:tc>
          <w:tcPr>
            <w:tcW w:w="871" w:type="dxa"/>
            <w:tcBorders>
              <w:top w:val="single" w:sz="4" w:space="0" w:color="auto"/>
            </w:tcBorders>
            <w:vAlign w:val="center"/>
          </w:tcPr>
          <w:p w14:paraId="647A5D7B" w14:textId="2F10FDB7"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0.001</w:t>
            </w:r>
          </w:p>
        </w:tc>
        <w:tc>
          <w:tcPr>
            <w:tcW w:w="650" w:type="dxa"/>
            <w:tcBorders>
              <w:top w:val="single" w:sz="4" w:space="0" w:color="auto"/>
            </w:tcBorders>
            <w:vAlign w:val="center"/>
          </w:tcPr>
          <w:p w14:paraId="4F69944F" w14:textId="7080A679"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Borders>
              <w:top w:val="single" w:sz="4" w:space="0" w:color="auto"/>
            </w:tcBorders>
            <w:vAlign w:val="center"/>
          </w:tcPr>
          <w:p w14:paraId="6B972A28" w14:textId="127F5B55"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r>
      <w:tr w:rsidR="00D14B21" w:rsidRPr="00E47186" w14:paraId="349D92F6" w14:textId="21394216" w:rsidTr="00B41D2D">
        <w:tc>
          <w:tcPr>
            <w:tcW w:w="718" w:type="dxa"/>
            <w:vAlign w:val="center"/>
          </w:tcPr>
          <w:p w14:paraId="21A37625" w14:textId="4B711AD3"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A6</w:t>
            </w:r>
          </w:p>
        </w:tc>
        <w:tc>
          <w:tcPr>
            <w:tcW w:w="644" w:type="dxa"/>
            <w:vAlign w:val="center"/>
          </w:tcPr>
          <w:p w14:paraId="16F81EDE" w14:textId="32C8D817"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0.370</w:t>
            </w:r>
          </w:p>
        </w:tc>
        <w:tc>
          <w:tcPr>
            <w:tcW w:w="650" w:type="dxa"/>
            <w:vAlign w:val="center"/>
          </w:tcPr>
          <w:p w14:paraId="47C4F1AE" w14:textId="3274A5FB"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0.629</w:t>
            </w:r>
          </w:p>
        </w:tc>
        <w:tc>
          <w:tcPr>
            <w:tcW w:w="650" w:type="dxa"/>
            <w:vAlign w:val="center"/>
          </w:tcPr>
          <w:p w14:paraId="6978818A" w14:textId="401057D7"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7BBC5725" w14:textId="6E934F33"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03681A22" w14:textId="245247EC"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4BBF4F36" w14:textId="039DEDE6"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vAlign w:val="center"/>
          </w:tcPr>
          <w:p w14:paraId="054EA1B0" w14:textId="5CBC36C4"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58C0FD01" w14:textId="42C1CECB"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2CA8FBB8" w14:textId="797CC5EB"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r>
      <w:tr w:rsidR="00D14B21" w:rsidRPr="00E47186" w14:paraId="5663246D" w14:textId="69CD7E62" w:rsidTr="00B41D2D">
        <w:tc>
          <w:tcPr>
            <w:tcW w:w="718" w:type="dxa"/>
            <w:vAlign w:val="center"/>
          </w:tcPr>
          <w:p w14:paraId="1CB3FFC6" w14:textId="2B61EE42"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A7</w:t>
            </w:r>
          </w:p>
        </w:tc>
        <w:tc>
          <w:tcPr>
            <w:tcW w:w="644" w:type="dxa"/>
            <w:vAlign w:val="center"/>
          </w:tcPr>
          <w:p w14:paraId="40681B22" w14:textId="2597A1E4"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0.015</w:t>
            </w:r>
          </w:p>
        </w:tc>
        <w:tc>
          <w:tcPr>
            <w:tcW w:w="650" w:type="dxa"/>
            <w:vAlign w:val="center"/>
          </w:tcPr>
          <w:p w14:paraId="74E5B6C6" w14:textId="39718227"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0.893</w:t>
            </w:r>
          </w:p>
        </w:tc>
        <w:tc>
          <w:tcPr>
            <w:tcW w:w="650" w:type="dxa"/>
            <w:vAlign w:val="center"/>
          </w:tcPr>
          <w:p w14:paraId="2BA1B873" w14:textId="05A2139E"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0.059</w:t>
            </w:r>
          </w:p>
        </w:tc>
        <w:tc>
          <w:tcPr>
            <w:tcW w:w="650" w:type="dxa"/>
            <w:vAlign w:val="center"/>
          </w:tcPr>
          <w:p w14:paraId="5A8E9D3E" w14:textId="5E9C81E0"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0.022</w:t>
            </w:r>
          </w:p>
        </w:tc>
        <w:tc>
          <w:tcPr>
            <w:tcW w:w="797" w:type="dxa"/>
            <w:vAlign w:val="center"/>
          </w:tcPr>
          <w:p w14:paraId="2C333874" w14:textId="54460967"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0.005</w:t>
            </w:r>
          </w:p>
        </w:tc>
        <w:tc>
          <w:tcPr>
            <w:tcW w:w="797" w:type="dxa"/>
            <w:vAlign w:val="center"/>
          </w:tcPr>
          <w:p w14:paraId="44098751" w14:textId="1F6A42E0"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0.003</w:t>
            </w:r>
          </w:p>
        </w:tc>
        <w:tc>
          <w:tcPr>
            <w:tcW w:w="871" w:type="dxa"/>
            <w:vAlign w:val="center"/>
          </w:tcPr>
          <w:p w14:paraId="3C990BB6" w14:textId="0CEE5DE4"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0.001</w:t>
            </w:r>
          </w:p>
        </w:tc>
        <w:tc>
          <w:tcPr>
            <w:tcW w:w="650" w:type="dxa"/>
            <w:vAlign w:val="center"/>
          </w:tcPr>
          <w:p w14:paraId="4E7E4F20" w14:textId="2027167E"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0B766CD1" w14:textId="1696A3F6" w:rsidR="00EE08EC" w:rsidRPr="00E47186" w:rsidRDefault="00EE08EC"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r>
      <w:tr w:rsidR="00E10E4A" w:rsidRPr="00E47186" w14:paraId="060AA879" w14:textId="77777777" w:rsidTr="00B41D2D">
        <w:tc>
          <w:tcPr>
            <w:tcW w:w="718" w:type="dxa"/>
            <w:vAlign w:val="center"/>
          </w:tcPr>
          <w:p w14:paraId="73B26FC6" w14:textId="34381580"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A9</w:t>
            </w:r>
          </w:p>
        </w:tc>
        <w:tc>
          <w:tcPr>
            <w:tcW w:w="644" w:type="dxa"/>
            <w:vAlign w:val="center"/>
          </w:tcPr>
          <w:p w14:paraId="1F770714" w14:textId="260F9B88"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34573F64" w14:textId="3FCE7D35"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1227B0DA" w14:textId="6FA63B0F"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17B866A7" w14:textId="5734A25D"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1846C4C6" w14:textId="1945A3A0"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6DF7AAEE" w14:textId="1FA302CD"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vAlign w:val="center"/>
          </w:tcPr>
          <w:p w14:paraId="516565D8" w14:textId="4BAF2580"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3A00F333" w14:textId="7DEAD2A4"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0.750</w:t>
            </w:r>
          </w:p>
        </w:tc>
        <w:tc>
          <w:tcPr>
            <w:tcW w:w="650" w:type="dxa"/>
            <w:vAlign w:val="center"/>
          </w:tcPr>
          <w:p w14:paraId="517EBC4D" w14:textId="349FE19A"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0.250</w:t>
            </w:r>
          </w:p>
        </w:tc>
      </w:tr>
      <w:tr w:rsidR="00E10E4A" w:rsidRPr="00E47186" w14:paraId="41937764" w14:textId="77777777" w:rsidTr="00B41D2D">
        <w:tc>
          <w:tcPr>
            <w:tcW w:w="718" w:type="dxa"/>
            <w:vAlign w:val="center"/>
          </w:tcPr>
          <w:p w14:paraId="3BB85C1D" w14:textId="0E52F9E2"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A11</w:t>
            </w:r>
          </w:p>
        </w:tc>
        <w:tc>
          <w:tcPr>
            <w:tcW w:w="644" w:type="dxa"/>
            <w:vAlign w:val="center"/>
          </w:tcPr>
          <w:p w14:paraId="2AB2A9FD" w14:textId="79BA3D37"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23302681" w14:textId="2ACCEFA8"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0941E34E" w14:textId="50F8C2D4"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3FB9E2E7" w14:textId="1147A7E8"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5942A144" w14:textId="1A961C02"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6C319660" w14:textId="76F32EEB"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vAlign w:val="center"/>
          </w:tcPr>
          <w:p w14:paraId="4562D790" w14:textId="604099FB"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7BF47E5C" w14:textId="112EF878"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0.933</w:t>
            </w:r>
          </w:p>
        </w:tc>
        <w:tc>
          <w:tcPr>
            <w:tcW w:w="650" w:type="dxa"/>
            <w:vAlign w:val="center"/>
          </w:tcPr>
          <w:p w14:paraId="6DA08176" w14:textId="6E98A1B6"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0.066</w:t>
            </w:r>
          </w:p>
        </w:tc>
      </w:tr>
      <w:tr w:rsidR="00E10E4A" w:rsidRPr="00E47186" w14:paraId="0867C8AE" w14:textId="59394107" w:rsidTr="00B41D2D">
        <w:tc>
          <w:tcPr>
            <w:tcW w:w="718" w:type="dxa"/>
            <w:vAlign w:val="center"/>
          </w:tcPr>
          <w:p w14:paraId="1B2793B0" w14:textId="677CF018"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A14</w:t>
            </w:r>
          </w:p>
        </w:tc>
        <w:tc>
          <w:tcPr>
            <w:tcW w:w="644" w:type="dxa"/>
            <w:vAlign w:val="center"/>
          </w:tcPr>
          <w:p w14:paraId="5859984F" w14:textId="78CB501A"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0034F295" w14:textId="1312BD67"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0A4AF67B" w14:textId="72571182"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08919FD9" w14:textId="0501368B"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55ADF41D" w14:textId="0BBD4455"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vAlign w:val="center"/>
          </w:tcPr>
          <w:p w14:paraId="0D7AE3CA" w14:textId="6A5BD67E"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vAlign w:val="center"/>
          </w:tcPr>
          <w:p w14:paraId="3E817B66" w14:textId="296015D7"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620E98B1" w14:textId="691AA926"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0.001</w:t>
            </w:r>
          </w:p>
        </w:tc>
        <w:tc>
          <w:tcPr>
            <w:tcW w:w="650" w:type="dxa"/>
            <w:vAlign w:val="center"/>
          </w:tcPr>
          <w:p w14:paraId="04807EBE" w14:textId="03137E75" w:rsidR="00E10E4A" w:rsidRPr="00E47186" w:rsidRDefault="00E10E4A"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0.999</w:t>
            </w:r>
          </w:p>
        </w:tc>
      </w:tr>
      <w:tr w:rsidR="002F09A8" w:rsidRPr="00E47186" w14:paraId="33339516" w14:textId="77777777" w:rsidTr="00B41D2D">
        <w:tc>
          <w:tcPr>
            <w:tcW w:w="718" w:type="dxa"/>
            <w:vAlign w:val="center"/>
          </w:tcPr>
          <w:p w14:paraId="71904A94" w14:textId="5CCEB352"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A16</w:t>
            </w:r>
          </w:p>
        </w:tc>
        <w:tc>
          <w:tcPr>
            <w:tcW w:w="644" w:type="dxa"/>
          </w:tcPr>
          <w:p w14:paraId="478A0A46" w14:textId="27D5C7CB"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15B8F8AC" w14:textId="1B49A5B6"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74289EC5" w14:textId="700ABE7E"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555FE5EC" w14:textId="369BF523"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tcPr>
          <w:p w14:paraId="5B048066" w14:textId="2C185E83"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tcPr>
          <w:p w14:paraId="56BEB7F3" w14:textId="7A38BED9"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tcPr>
          <w:p w14:paraId="6DA3B885" w14:textId="3912E642"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3CEABEF4" w14:textId="7785ADFA"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0.233</w:t>
            </w:r>
          </w:p>
        </w:tc>
        <w:tc>
          <w:tcPr>
            <w:tcW w:w="650" w:type="dxa"/>
            <w:vAlign w:val="center"/>
          </w:tcPr>
          <w:p w14:paraId="14AC5B34" w14:textId="7C2CA906"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0.766</w:t>
            </w:r>
          </w:p>
        </w:tc>
      </w:tr>
      <w:tr w:rsidR="002F09A8" w:rsidRPr="00E47186" w14:paraId="10DA14B5" w14:textId="77777777" w:rsidTr="00B41D2D">
        <w:tc>
          <w:tcPr>
            <w:tcW w:w="718" w:type="dxa"/>
            <w:vAlign w:val="center"/>
          </w:tcPr>
          <w:p w14:paraId="60961B41" w14:textId="7EF35932"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A17</w:t>
            </w:r>
          </w:p>
        </w:tc>
        <w:tc>
          <w:tcPr>
            <w:tcW w:w="644" w:type="dxa"/>
          </w:tcPr>
          <w:p w14:paraId="79A06ACC" w14:textId="4F5E6D98"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1A2DFA50" w14:textId="7366EFFC"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70E89F9C" w14:textId="673ADEE8"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274007A1" w14:textId="1817FEBB"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tcPr>
          <w:p w14:paraId="5E716AF3" w14:textId="3DEE82DC"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tcPr>
          <w:p w14:paraId="4020E6B6" w14:textId="6DFE8005"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tcPr>
          <w:p w14:paraId="493FA650" w14:textId="2518332B"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29DC2EDE" w14:textId="7CEA4A3E"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0.001</w:t>
            </w:r>
          </w:p>
        </w:tc>
        <w:tc>
          <w:tcPr>
            <w:tcW w:w="650" w:type="dxa"/>
            <w:vAlign w:val="center"/>
          </w:tcPr>
          <w:p w14:paraId="7EFED263" w14:textId="6933F317"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0.999</w:t>
            </w:r>
          </w:p>
        </w:tc>
      </w:tr>
      <w:tr w:rsidR="002F09A8" w:rsidRPr="00E47186" w14:paraId="7BD0B76B" w14:textId="77777777" w:rsidTr="00B41D2D">
        <w:tc>
          <w:tcPr>
            <w:tcW w:w="718" w:type="dxa"/>
            <w:vAlign w:val="center"/>
          </w:tcPr>
          <w:p w14:paraId="12C52845" w14:textId="3DBDF021"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A22</w:t>
            </w:r>
          </w:p>
        </w:tc>
        <w:tc>
          <w:tcPr>
            <w:tcW w:w="644" w:type="dxa"/>
          </w:tcPr>
          <w:p w14:paraId="30A68B6D" w14:textId="749F388E"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003F9C75" w14:textId="4F119194"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2361EF66" w14:textId="5886634A"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Pr>
          <w:p w14:paraId="7F29ED0D" w14:textId="6B941C8E"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tcPr>
          <w:p w14:paraId="06780184" w14:textId="021EFF67"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797" w:type="dxa"/>
          </w:tcPr>
          <w:p w14:paraId="44DEC6BF" w14:textId="57823407"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tcPr>
          <w:p w14:paraId="317B6428" w14:textId="2C6FAD26"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vAlign w:val="center"/>
          </w:tcPr>
          <w:p w14:paraId="65BE130B" w14:textId="5B844776"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0.739</w:t>
            </w:r>
          </w:p>
        </w:tc>
        <w:tc>
          <w:tcPr>
            <w:tcW w:w="650" w:type="dxa"/>
            <w:vAlign w:val="center"/>
          </w:tcPr>
          <w:p w14:paraId="47ED75E5" w14:textId="02A689A5" w:rsidR="002F09A8"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0.260</w:t>
            </w:r>
          </w:p>
        </w:tc>
      </w:tr>
      <w:tr w:rsidR="00E10E4A" w:rsidRPr="00E47186" w14:paraId="6E1B9C58" w14:textId="77777777" w:rsidTr="00B41D2D">
        <w:tc>
          <w:tcPr>
            <w:tcW w:w="718" w:type="dxa"/>
            <w:tcBorders>
              <w:bottom w:val="single" w:sz="4" w:space="0" w:color="auto"/>
            </w:tcBorders>
            <w:vAlign w:val="center"/>
          </w:tcPr>
          <w:p w14:paraId="0F7DA9B0" w14:textId="78BC83ED"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A24</w:t>
            </w:r>
          </w:p>
        </w:tc>
        <w:tc>
          <w:tcPr>
            <w:tcW w:w="644" w:type="dxa"/>
            <w:tcBorders>
              <w:bottom w:val="single" w:sz="4" w:space="0" w:color="auto"/>
            </w:tcBorders>
            <w:vAlign w:val="center"/>
          </w:tcPr>
          <w:p w14:paraId="62E36E12" w14:textId="731E02F2"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Borders>
              <w:bottom w:val="single" w:sz="4" w:space="0" w:color="auto"/>
            </w:tcBorders>
            <w:vAlign w:val="center"/>
          </w:tcPr>
          <w:p w14:paraId="4A029E07" w14:textId="4E58D5A3"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0.126</w:t>
            </w:r>
          </w:p>
        </w:tc>
        <w:tc>
          <w:tcPr>
            <w:tcW w:w="650" w:type="dxa"/>
            <w:tcBorders>
              <w:bottom w:val="single" w:sz="4" w:space="0" w:color="auto"/>
            </w:tcBorders>
            <w:vAlign w:val="center"/>
          </w:tcPr>
          <w:p w14:paraId="61754530" w14:textId="0483142D"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0.329</w:t>
            </w:r>
          </w:p>
        </w:tc>
        <w:tc>
          <w:tcPr>
            <w:tcW w:w="650" w:type="dxa"/>
            <w:tcBorders>
              <w:bottom w:val="single" w:sz="4" w:space="0" w:color="auto"/>
            </w:tcBorders>
            <w:vAlign w:val="center"/>
          </w:tcPr>
          <w:p w14:paraId="6AEC29B0" w14:textId="197B67A5"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0.277</w:t>
            </w:r>
          </w:p>
        </w:tc>
        <w:tc>
          <w:tcPr>
            <w:tcW w:w="797" w:type="dxa"/>
            <w:tcBorders>
              <w:bottom w:val="single" w:sz="4" w:space="0" w:color="auto"/>
            </w:tcBorders>
            <w:vAlign w:val="center"/>
          </w:tcPr>
          <w:p w14:paraId="01082A52" w14:textId="5BADAB19"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0.266</w:t>
            </w:r>
          </w:p>
        </w:tc>
        <w:tc>
          <w:tcPr>
            <w:tcW w:w="797" w:type="dxa"/>
            <w:tcBorders>
              <w:bottom w:val="single" w:sz="4" w:space="0" w:color="auto"/>
            </w:tcBorders>
            <w:vAlign w:val="center"/>
          </w:tcPr>
          <w:p w14:paraId="314C3620" w14:textId="3089C183"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871" w:type="dxa"/>
            <w:tcBorders>
              <w:bottom w:val="single" w:sz="4" w:space="0" w:color="auto"/>
            </w:tcBorders>
            <w:vAlign w:val="center"/>
          </w:tcPr>
          <w:p w14:paraId="53C53527" w14:textId="2FD199DB"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Borders>
              <w:bottom w:val="single" w:sz="4" w:space="0" w:color="auto"/>
            </w:tcBorders>
            <w:vAlign w:val="center"/>
          </w:tcPr>
          <w:p w14:paraId="4F95021B" w14:textId="1708232E"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c>
          <w:tcPr>
            <w:tcW w:w="650" w:type="dxa"/>
            <w:tcBorders>
              <w:bottom w:val="single" w:sz="4" w:space="0" w:color="auto"/>
            </w:tcBorders>
            <w:vAlign w:val="center"/>
          </w:tcPr>
          <w:p w14:paraId="227E9B61" w14:textId="2E3A4D2A" w:rsidR="00E10E4A" w:rsidRPr="00E47186" w:rsidRDefault="002F09A8" w:rsidP="00B25294">
            <w:pPr>
              <w:pStyle w:val="Els-body-text"/>
              <w:widowControl w:val="0"/>
              <w:jc w:val="center"/>
              <w:rPr>
                <w:rFonts w:asciiTheme="majorBidi" w:hAnsiTheme="majorBidi" w:cstheme="majorBidi"/>
                <w:sz w:val="19"/>
                <w:szCs w:val="19"/>
              </w:rPr>
            </w:pPr>
            <w:r w:rsidRPr="00E47186">
              <w:rPr>
                <w:rFonts w:asciiTheme="majorBidi" w:hAnsiTheme="majorBidi" w:cstheme="majorBidi"/>
                <w:sz w:val="19"/>
                <w:szCs w:val="19"/>
              </w:rPr>
              <w:t>0</w:t>
            </w:r>
          </w:p>
        </w:tc>
      </w:tr>
    </w:tbl>
    <w:p w14:paraId="4DF34F9C" w14:textId="27F33501" w:rsidR="00E63AB5" w:rsidRPr="00E47186" w:rsidRDefault="000332CC" w:rsidP="00B25294">
      <w:pPr>
        <w:pStyle w:val="Els-body-text"/>
        <w:widowControl w:val="0"/>
        <w:jc w:val="center"/>
        <w:rPr>
          <w:rFonts w:asciiTheme="majorBidi" w:hAnsiTheme="majorBidi" w:cstheme="majorBidi"/>
        </w:rPr>
      </w:pPr>
      <w:r w:rsidRPr="00E47186">
        <w:object w:dxaOrig="17347" w:dyaOrig="10493" w14:anchorId="61B4B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4pt;height:176.85pt" o:ole="">
            <v:imagedata r:id="rId9" o:title=""/>
          </v:shape>
          <o:OLEObject Type="Embed" ProgID="Visio.Drawing.15" ShapeID="_x0000_i1025" DrawAspect="Content" ObjectID="_1765642033" r:id="rId10"/>
        </w:object>
      </w:r>
    </w:p>
    <w:p w14:paraId="2B0B6169" w14:textId="6DF916A7" w:rsidR="00F310F1" w:rsidRPr="00E47186" w:rsidRDefault="00F310F1" w:rsidP="00B25294">
      <w:pPr>
        <w:pStyle w:val="Els-body-text"/>
        <w:widowControl w:val="0"/>
        <w:rPr>
          <w:rFonts w:asciiTheme="majorBidi" w:hAnsiTheme="majorBidi" w:cstheme="majorBidi"/>
          <w:lang w:val="en-GB"/>
        </w:rPr>
      </w:pPr>
      <w:r w:rsidRPr="00E47186">
        <w:rPr>
          <w:rFonts w:asciiTheme="majorBidi" w:hAnsiTheme="majorBidi" w:cstheme="majorBidi"/>
          <w:b/>
          <w:bCs/>
          <w:lang w:val="en-GB"/>
        </w:rPr>
        <w:t>Fig. 1.</w:t>
      </w:r>
      <w:r w:rsidRPr="00E47186">
        <w:rPr>
          <w:rFonts w:asciiTheme="majorBidi" w:hAnsiTheme="majorBidi" w:cstheme="majorBidi"/>
          <w:lang w:val="en-GB"/>
        </w:rPr>
        <w:t xml:space="preserve"> The process flow diagram (PFD) of the mixed fluid cascade cycle. Modified from reference </w:t>
      </w:r>
      <w:r w:rsidRPr="00E47186">
        <w:rPr>
          <w:rFonts w:asciiTheme="majorBidi" w:hAnsiTheme="majorBidi" w:cstheme="majorBidi"/>
          <w:lang w:val="en-GB"/>
        </w:rPr>
        <w:fldChar w:fldCharType="begin" w:fldLock="1"/>
      </w:r>
      <w:r w:rsidR="00342420" w:rsidRPr="00E47186">
        <w:rPr>
          <w:rFonts w:asciiTheme="majorBidi" w:hAnsiTheme="majorBidi" w:cstheme="majorBidi"/>
          <w:lang w:val="en-GB"/>
        </w:rPr>
        <w:instrText>ADDIN CSL_CITATION {"citationItems":[{"id":"ITEM-1","itemData":{"DOI":"10.1016/j.applthermaleng.2015.12.032","ISSN":"13594311","author":[{"dropping-particle":"","family":"Mehrpooya","given":"Mehdi","non-dropping-particle":"","parse-names":false,"suffix":""},{"dropping-particle":"","family":"Omidi","given":"Mehdi","non-dropping-particle":"","parse-names":false,"suffix":""},{"dropping-particle":"","family":"Vatani","given":"Ali","non-dropping-particle":"","parse-names":false,"suffix":""}],"container-title":"Applied Thermal Engineering","id":"ITEM-1","issued":{"date-parts":[["2016","4"]]},"page":"591-604","title":"Novel mixed fluid cascade natural gas liquefaction process configuration using absorption refrigeration system","type":"article-journal","volume":"98"},"uris":["http://www.mendeley.com/documents/?uuid=9aec8acd-e1b1-4c32-b85e-4fe56a1fc394"]}],"mendeley":{"formattedCitation":"(Mehrpooya et al., 2016)","plainTextFormattedCitation":"(Mehrpooya et al., 2016)","previouslyFormattedCitation":"(Mehrpooya et al., 2016)"},"properties":{"noteIndex":0},"schema":"https://github.com/citation-style-language/schema/raw/master/csl-citation.json"}</w:instrText>
      </w:r>
      <w:r w:rsidRPr="00E47186">
        <w:rPr>
          <w:rFonts w:asciiTheme="majorBidi" w:hAnsiTheme="majorBidi" w:cstheme="majorBidi"/>
          <w:lang w:val="en-GB"/>
        </w:rPr>
        <w:fldChar w:fldCharType="separate"/>
      </w:r>
      <w:r w:rsidR="003A027D" w:rsidRPr="00E47186">
        <w:rPr>
          <w:rFonts w:asciiTheme="majorBidi" w:hAnsiTheme="majorBidi" w:cstheme="majorBidi"/>
          <w:noProof/>
          <w:lang w:val="en-GB"/>
        </w:rPr>
        <w:t>(Mehrpooya et al., 2016)</w:t>
      </w:r>
      <w:r w:rsidRPr="00E47186">
        <w:rPr>
          <w:rFonts w:asciiTheme="majorBidi" w:hAnsiTheme="majorBidi" w:cstheme="majorBidi"/>
          <w:lang w:val="en-GB"/>
        </w:rPr>
        <w:fldChar w:fldCharType="end"/>
      </w:r>
      <w:r w:rsidRPr="00E47186">
        <w:rPr>
          <w:rFonts w:asciiTheme="majorBidi" w:hAnsiTheme="majorBidi" w:cstheme="majorBidi"/>
          <w:lang w:val="en-GB"/>
        </w:rPr>
        <w:t>.</w:t>
      </w:r>
    </w:p>
    <w:p w14:paraId="584555E1" w14:textId="77777777" w:rsidR="007610BA" w:rsidRPr="00E47186" w:rsidRDefault="007610BA" w:rsidP="00B25294">
      <w:pPr>
        <w:pStyle w:val="Els-body-text"/>
        <w:widowControl w:val="0"/>
        <w:rPr>
          <w:rFonts w:asciiTheme="majorBidi" w:hAnsiTheme="majorBidi" w:cstheme="majorBidi"/>
          <w:rtl/>
          <w:lang w:bidi="fa-IR"/>
        </w:rPr>
      </w:pPr>
    </w:p>
    <w:p w14:paraId="40EF3707" w14:textId="7B58B0CE" w:rsidR="004C0247" w:rsidRPr="00E47186" w:rsidRDefault="004C0247" w:rsidP="00B25294">
      <w:pPr>
        <w:widowControl w:val="0"/>
        <w:jc w:val="both"/>
        <w:rPr>
          <w:rFonts w:asciiTheme="majorBidi" w:hAnsiTheme="majorBidi" w:cstheme="majorBidi"/>
          <w:color w:val="000000" w:themeColor="text1"/>
        </w:rPr>
      </w:pPr>
      <w:r w:rsidRPr="00E47186">
        <w:rPr>
          <w:rFonts w:asciiTheme="majorBidi" w:hAnsiTheme="majorBidi" w:cstheme="majorBidi"/>
          <w:color w:val="000000" w:themeColor="text1"/>
        </w:rPr>
        <w:t xml:space="preserve">The thermodynamic details of </w:t>
      </w:r>
      <w:r w:rsidR="00A84A3D" w:rsidRPr="00E47186">
        <w:rPr>
          <w:rFonts w:asciiTheme="majorBidi" w:hAnsiTheme="majorBidi" w:cstheme="majorBidi"/>
          <w:color w:val="000000" w:themeColor="text1"/>
        </w:rPr>
        <w:t xml:space="preserve">compressors </w:t>
      </w:r>
      <w:r w:rsidR="001F38E1">
        <w:rPr>
          <w:rFonts w:asciiTheme="majorBidi" w:hAnsiTheme="majorBidi" w:cstheme="majorBidi"/>
          <w:color w:val="000000" w:themeColor="text1"/>
        </w:rPr>
        <w:t xml:space="preserve">(C) </w:t>
      </w:r>
      <w:r w:rsidR="00A84A3D" w:rsidRPr="00E47186">
        <w:rPr>
          <w:rFonts w:asciiTheme="majorBidi" w:hAnsiTheme="majorBidi" w:cstheme="majorBidi"/>
          <w:color w:val="000000" w:themeColor="text1"/>
        </w:rPr>
        <w:t xml:space="preserve">and pump </w:t>
      </w:r>
      <w:r w:rsidR="001F38E1">
        <w:rPr>
          <w:rFonts w:asciiTheme="majorBidi" w:hAnsiTheme="majorBidi" w:cstheme="majorBidi"/>
          <w:color w:val="000000" w:themeColor="text1"/>
        </w:rPr>
        <w:t xml:space="preserve">(P) </w:t>
      </w:r>
      <w:r w:rsidRPr="00E47186">
        <w:rPr>
          <w:rFonts w:asciiTheme="majorBidi" w:hAnsiTheme="majorBidi" w:cstheme="majorBidi"/>
          <w:color w:val="000000" w:themeColor="text1"/>
        </w:rPr>
        <w:t xml:space="preserve">utilized in the </w:t>
      </w:r>
      <w:r w:rsidR="00BB7A80" w:rsidRPr="00E47186">
        <w:rPr>
          <w:rFonts w:asciiTheme="majorBidi" w:hAnsiTheme="majorBidi" w:cstheme="majorBidi"/>
        </w:rPr>
        <w:t>mixed fluid cascade cycle</w:t>
      </w:r>
      <w:r w:rsidRPr="00E47186">
        <w:rPr>
          <w:rFonts w:asciiTheme="majorBidi" w:hAnsiTheme="majorBidi" w:cstheme="majorBidi"/>
          <w:color w:val="000000" w:themeColor="text1"/>
        </w:rPr>
        <w:t xml:space="preserve"> is detailed in Table </w:t>
      </w:r>
      <w:r w:rsidR="0078399F" w:rsidRPr="00E47186">
        <w:rPr>
          <w:rFonts w:asciiTheme="majorBidi" w:hAnsiTheme="majorBidi" w:cstheme="majorBidi"/>
          <w:color w:val="000000" w:themeColor="text1"/>
        </w:rPr>
        <w:t>2</w:t>
      </w:r>
      <w:r w:rsidR="00A84A3D" w:rsidRPr="00E47186">
        <w:rPr>
          <w:rFonts w:asciiTheme="majorBidi" w:hAnsiTheme="majorBidi" w:cstheme="majorBidi"/>
          <w:color w:val="000000" w:themeColor="text1"/>
        </w:rPr>
        <w:t>.</w:t>
      </w:r>
    </w:p>
    <w:p w14:paraId="341ED58B" w14:textId="77777777" w:rsidR="004C0247" w:rsidRPr="00E47186" w:rsidRDefault="004C0247" w:rsidP="00B25294">
      <w:pPr>
        <w:widowControl w:val="0"/>
        <w:jc w:val="both"/>
        <w:rPr>
          <w:rFonts w:asciiTheme="majorBidi" w:hAnsiTheme="majorBidi" w:cstheme="majorBidi"/>
          <w:color w:val="000000" w:themeColor="text1"/>
        </w:rPr>
      </w:pPr>
    </w:p>
    <w:p w14:paraId="1DF312B6" w14:textId="535A7669" w:rsidR="004C0247" w:rsidRPr="00E47186" w:rsidRDefault="004C0247" w:rsidP="00B25294">
      <w:pPr>
        <w:widowControl w:val="0"/>
        <w:jc w:val="both"/>
        <w:rPr>
          <w:rFonts w:asciiTheme="majorBidi" w:hAnsiTheme="majorBidi" w:cstheme="majorBidi"/>
          <w:b/>
          <w:bCs/>
          <w:color w:val="000000" w:themeColor="text1"/>
        </w:rPr>
      </w:pPr>
      <w:r w:rsidRPr="00E47186">
        <w:rPr>
          <w:rFonts w:asciiTheme="majorBidi" w:hAnsiTheme="majorBidi" w:cstheme="majorBidi"/>
          <w:b/>
          <w:bCs/>
          <w:color w:val="000000" w:themeColor="text1"/>
        </w:rPr>
        <w:t xml:space="preserve">Table </w:t>
      </w:r>
      <w:r w:rsidR="0078399F" w:rsidRPr="00E47186">
        <w:rPr>
          <w:rFonts w:asciiTheme="majorBidi" w:hAnsiTheme="majorBidi" w:cstheme="majorBidi"/>
          <w:b/>
          <w:bCs/>
          <w:color w:val="000000" w:themeColor="text1"/>
        </w:rPr>
        <w:t>2</w:t>
      </w:r>
      <w:r w:rsidRPr="00E47186">
        <w:rPr>
          <w:rFonts w:asciiTheme="majorBidi" w:hAnsiTheme="majorBidi" w:cstheme="majorBidi"/>
          <w:b/>
          <w:bCs/>
          <w:color w:val="000000" w:themeColor="text1"/>
        </w:rPr>
        <w:t xml:space="preserve">. </w:t>
      </w:r>
      <w:r w:rsidRPr="00E47186">
        <w:rPr>
          <w:rFonts w:asciiTheme="majorBidi" w:hAnsiTheme="majorBidi" w:cstheme="majorBidi"/>
          <w:color w:val="000000" w:themeColor="text1"/>
        </w:rPr>
        <w:t xml:space="preserve">Operational specifications the thermodynamic details of </w:t>
      </w:r>
      <w:r w:rsidR="008218EF" w:rsidRPr="008218EF">
        <w:rPr>
          <w:rFonts w:asciiTheme="majorBidi" w:hAnsiTheme="majorBidi" w:cstheme="majorBidi"/>
          <w:color w:val="000000" w:themeColor="text1"/>
        </w:rPr>
        <w:t xml:space="preserve">compressors (C) and pump (P) </w:t>
      </w:r>
      <w:r w:rsidRPr="00E47186">
        <w:rPr>
          <w:rFonts w:asciiTheme="majorBidi" w:hAnsiTheme="majorBidi" w:cstheme="majorBidi"/>
          <w:color w:val="000000" w:themeColor="text1"/>
        </w:rPr>
        <w:t xml:space="preserve">in the </w:t>
      </w:r>
      <w:r w:rsidR="00BB7A80" w:rsidRPr="00E47186">
        <w:rPr>
          <w:rFonts w:asciiTheme="majorBidi" w:hAnsiTheme="majorBidi" w:cstheme="majorBidi"/>
        </w:rPr>
        <w:t>mixed fluid cascade cycle</w:t>
      </w:r>
      <w:r w:rsidRPr="00E47186">
        <w:rPr>
          <w:rFonts w:asciiTheme="majorBidi" w:hAnsiTheme="majorBidi" w:cstheme="majorBidi"/>
          <w:color w:val="000000" w:themeColor="text1"/>
        </w:rPr>
        <w:t>.</w:t>
      </w:r>
    </w:p>
    <w:tbl>
      <w:tblPr>
        <w:tblStyle w:val="TableGrid"/>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2"/>
        <w:gridCol w:w="1334"/>
        <w:gridCol w:w="1406"/>
        <w:gridCol w:w="1377"/>
      </w:tblGrid>
      <w:tr w:rsidR="004C0247" w:rsidRPr="00E47186" w14:paraId="37592E98" w14:textId="77777777" w:rsidTr="00B41D2D">
        <w:tc>
          <w:tcPr>
            <w:tcW w:w="1418" w:type="dxa"/>
            <w:tcBorders>
              <w:top w:val="single" w:sz="4" w:space="0" w:color="auto"/>
              <w:bottom w:val="single" w:sz="4" w:space="0" w:color="auto"/>
            </w:tcBorders>
            <w:shd w:val="clear" w:color="auto" w:fill="auto"/>
            <w:vAlign w:val="center"/>
          </w:tcPr>
          <w:p w14:paraId="11218219" w14:textId="3979C3F8" w:rsidR="004C0247" w:rsidRPr="00E47186" w:rsidRDefault="00A84A3D" w:rsidP="00B25294">
            <w:pPr>
              <w:widowControl w:val="0"/>
              <w:jc w:val="center"/>
              <w:rPr>
                <w:rFonts w:asciiTheme="majorBidi" w:hAnsiTheme="majorBidi" w:cstheme="majorBidi"/>
                <w:b/>
                <w:bCs/>
                <w:sz w:val="20"/>
                <w:szCs w:val="20"/>
              </w:rPr>
            </w:pPr>
            <w:r w:rsidRPr="00E47186">
              <w:rPr>
                <w:rFonts w:asciiTheme="majorBidi" w:hAnsiTheme="majorBidi" w:cstheme="majorBidi"/>
                <w:b/>
                <w:bCs/>
                <w:sz w:val="20"/>
                <w:szCs w:val="20"/>
              </w:rPr>
              <w:t>Equipment</w:t>
            </w:r>
          </w:p>
        </w:tc>
        <w:tc>
          <w:tcPr>
            <w:tcW w:w="1552" w:type="dxa"/>
            <w:tcBorders>
              <w:top w:val="single" w:sz="4" w:space="0" w:color="auto"/>
              <w:bottom w:val="single" w:sz="4" w:space="0" w:color="auto"/>
            </w:tcBorders>
            <w:shd w:val="clear" w:color="auto" w:fill="auto"/>
            <w:vAlign w:val="center"/>
          </w:tcPr>
          <w:p w14:paraId="4D88B27A" w14:textId="77777777" w:rsidR="004C0247" w:rsidRPr="00E47186" w:rsidRDefault="004C0247" w:rsidP="00B25294">
            <w:pPr>
              <w:widowControl w:val="0"/>
              <w:jc w:val="center"/>
              <w:rPr>
                <w:rFonts w:asciiTheme="majorBidi" w:hAnsiTheme="majorBidi" w:cstheme="majorBidi"/>
                <w:b/>
                <w:bCs/>
                <w:sz w:val="20"/>
                <w:szCs w:val="20"/>
              </w:rPr>
            </w:pPr>
            <w:r w:rsidRPr="00E47186">
              <w:rPr>
                <w:rFonts w:asciiTheme="majorBidi" w:hAnsiTheme="majorBidi" w:cstheme="majorBidi"/>
                <w:b/>
                <w:bCs/>
                <w:sz w:val="20"/>
                <w:szCs w:val="20"/>
              </w:rPr>
              <w:t>Adiabatic Efficiency (%)</w:t>
            </w:r>
          </w:p>
        </w:tc>
        <w:tc>
          <w:tcPr>
            <w:tcW w:w="1334" w:type="dxa"/>
            <w:tcBorders>
              <w:top w:val="single" w:sz="4" w:space="0" w:color="auto"/>
              <w:bottom w:val="single" w:sz="4" w:space="0" w:color="auto"/>
            </w:tcBorders>
            <w:shd w:val="clear" w:color="auto" w:fill="auto"/>
            <w:vAlign w:val="center"/>
          </w:tcPr>
          <w:p w14:paraId="1033D168" w14:textId="77777777" w:rsidR="004C0247" w:rsidRPr="00E47186" w:rsidRDefault="004C0247" w:rsidP="00B25294">
            <w:pPr>
              <w:widowControl w:val="0"/>
              <w:jc w:val="center"/>
              <w:rPr>
                <w:rFonts w:asciiTheme="majorBidi" w:hAnsiTheme="majorBidi" w:cstheme="majorBidi"/>
                <w:b/>
                <w:bCs/>
                <w:sz w:val="20"/>
                <w:szCs w:val="20"/>
              </w:rPr>
            </w:pPr>
            <w:r w:rsidRPr="00E47186">
              <w:rPr>
                <w:rFonts w:asciiTheme="majorBidi" w:hAnsiTheme="majorBidi" w:cstheme="majorBidi"/>
                <w:b/>
                <w:bCs/>
                <w:sz w:val="20"/>
                <w:szCs w:val="20"/>
              </w:rPr>
              <w:t>Power (kW)</w:t>
            </w:r>
          </w:p>
        </w:tc>
        <w:tc>
          <w:tcPr>
            <w:tcW w:w="1406" w:type="dxa"/>
            <w:tcBorders>
              <w:top w:val="single" w:sz="4" w:space="0" w:color="auto"/>
              <w:bottom w:val="single" w:sz="4" w:space="0" w:color="auto"/>
            </w:tcBorders>
            <w:shd w:val="clear" w:color="auto" w:fill="auto"/>
            <w:vAlign w:val="center"/>
          </w:tcPr>
          <w:p w14:paraId="2EF54984" w14:textId="77777777" w:rsidR="004C0247" w:rsidRPr="00E47186" w:rsidRDefault="004C0247" w:rsidP="00B25294">
            <w:pPr>
              <w:widowControl w:val="0"/>
              <w:jc w:val="center"/>
              <w:rPr>
                <w:rFonts w:asciiTheme="majorBidi" w:hAnsiTheme="majorBidi" w:cstheme="majorBidi"/>
                <w:b/>
                <w:bCs/>
                <w:sz w:val="20"/>
                <w:szCs w:val="20"/>
              </w:rPr>
            </w:pPr>
            <w:r w:rsidRPr="00E47186">
              <w:rPr>
                <w:rFonts w:asciiTheme="majorBidi" w:hAnsiTheme="majorBidi" w:cstheme="majorBidi"/>
                <w:b/>
                <w:bCs/>
                <w:sz w:val="20"/>
                <w:szCs w:val="20"/>
              </w:rPr>
              <w:t>ΔP (kPa)</w:t>
            </w:r>
          </w:p>
        </w:tc>
        <w:tc>
          <w:tcPr>
            <w:tcW w:w="1377" w:type="dxa"/>
            <w:tcBorders>
              <w:top w:val="single" w:sz="4" w:space="0" w:color="auto"/>
              <w:bottom w:val="single" w:sz="4" w:space="0" w:color="auto"/>
            </w:tcBorders>
            <w:shd w:val="clear" w:color="auto" w:fill="auto"/>
            <w:vAlign w:val="center"/>
          </w:tcPr>
          <w:p w14:paraId="1312126A" w14:textId="77777777" w:rsidR="004C0247" w:rsidRPr="00E47186" w:rsidRDefault="004C0247" w:rsidP="00B25294">
            <w:pPr>
              <w:widowControl w:val="0"/>
              <w:jc w:val="center"/>
              <w:rPr>
                <w:rFonts w:asciiTheme="majorBidi" w:hAnsiTheme="majorBidi" w:cstheme="majorBidi"/>
                <w:b/>
                <w:bCs/>
                <w:sz w:val="20"/>
                <w:szCs w:val="20"/>
              </w:rPr>
            </w:pPr>
            <w:r w:rsidRPr="00E47186">
              <w:rPr>
                <w:rFonts w:asciiTheme="majorBidi" w:hAnsiTheme="majorBidi" w:cstheme="majorBidi"/>
                <w:b/>
                <w:bCs/>
                <w:sz w:val="20"/>
                <w:szCs w:val="20"/>
              </w:rPr>
              <w:t>Pressure Ratio (−)</w:t>
            </w:r>
          </w:p>
        </w:tc>
      </w:tr>
      <w:tr w:rsidR="00F83A69" w:rsidRPr="00E47186" w14:paraId="2C3E45FA" w14:textId="77777777" w:rsidTr="00B41D2D">
        <w:tc>
          <w:tcPr>
            <w:tcW w:w="1418" w:type="dxa"/>
            <w:tcBorders>
              <w:top w:val="single" w:sz="4" w:space="0" w:color="auto"/>
            </w:tcBorders>
            <w:shd w:val="clear" w:color="auto" w:fill="auto"/>
            <w:vAlign w:val="center"/>
          </w:tcPr>
          <w:p w14:paraId="735D5EFF" w14:textId="77777777"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C1</w:t>
            </w:r>
          </w:p>
        </w:tc>
        <w:tc>
          <w:tcPr>
            <w:tcW w:w="1552" w:type="dxa"/>
            <w:tcBorders>
              <w:top w:val="single" w:sz="4" w:space="0" w:color="auto"/>
            </w:tcBorders>
            <w:shd w:val="clear" w:color="auto" w:fill="auto"/>
            <w:vAlign w:val="center"/>
          </w:tcPr>
          <w:p w14:paraId="60125E69" w14:textId="06FD581E"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80.00</w:t>
            </w:r>
          </w:p>
        </w:tc>
        <w:tc>
          <w:tcPr>
            <w:tcW w:w="1334" w:type="dxa"/>
            <w:tcBorders>
              <w:top w:val="single" w:sz="4" w:space="0" w:color="auto"/>
            </w:tcBorders>
            <w:shd w:val="clear" w:color="auto" w:fill="auto"/>
            <w:vAlign w:val="center"/>
          </w:tcPr>
          <w:p w14:paraId="3BBCD310" w14:textId="3A49267F"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7</w:t>
            </w:r>
            <w:r w:rsidR="00342420" w:rsidRPr="00E47186">
              <w:rPr>
                <w:rFonts w:asciiTheme="majorBidi" w:hAnsiTheme="majorBidi" w:cstheme="majorBidi"/>
                <w:sz w:val="20"/>
                <w:szCs w:val="20"/>
              </w:rPr>
              <w:t>,</w:t>
            </w:r>
            <w:r w:rsidRPr="00E47186">
              <w:rPr>
                <w:rFonts w:asciiTheme="majorBidi" w:hAnsiTheme="majorBidi" w:cstheme="majorBidi"/>
                <w:sz w:val="20"/>
                <w:szCs w:val="20"/>
              </w:rPr>
              <w:t>149.75</w:t>
            </w:r>
          </w:p>
        </w:tc>
        <w:tc>
          <w:tcPr>
            <w:tcW w:w="1406" w:type="dxa"/>
            <w:tcBorders>
              <w:top w:val="single" w:sz="4" w:space="0" w:color="auto"/>
            </w:tcBorders>
            <w:shd w:val="clear" w:color="auto" w:fill="auto"/>
            <w:vAlign w:val="center"/>
          </w:tcPr>
          <w:p w14:paraId="55F9DC63" w14:textId="54702812"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3</w:t>
            </w:r>
            <w:r w:rsidR="00342420" w:rsidRPr="00E47186">
              <w:rPr>
                <w:rFonts w:asciiTheme="majorBidi" w:hAnsiTheme="majorBidi" w:cstheme="majorBidi"/>
                <w:sz w:val="20"/>
                <w:szCs w:val="20"/>
              </w:rPr>
              <w:t>,</w:t>
            </w:r>
            <w:r w:rsidRPr="00E47186">
              <w:rPr>
                <w:rFonts w:asciiTheme="majorBidi" w:hAnsiTheme="majorBidi" w:cstheme="majorBidi"/>
                <w:sz w:val="20"/>
                <w:szCs w:val="20"/>
              </w:rPr>
              <w:t>037</w:t>
            </w:r>
          </w:p>
        </w:tc>
        <w:tc>
          <w:tcPr>
            <w:tcW w:w="1377" w:type="dxa"/>
            <w:tcBorders>
              <w:top w:val="single" w:sz="4" w:space="0" w:color="auto"/>
            </w:tcBorders>
            <w:shd w:val="clear" w:color="auto" w:fill="auto"/>
            <w:vAlign w:val="center"/>
          </w:tcPr>
          <w:p w14:paraId="6D88980E" w14:textId="3E898D0E"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9.603</w:t>
            </w:r>
          </w:p>
        </w:tc>
      </w:tr>
      <w:tr w:rsidR="00F83A69" w:rsidRPr="00E47186" w14:paraId="40C2618E" w14:textId="77777777" w:rsidTr="00B41D2D">
        <w:tc>
          <w:tcPr>
            <w:tcW w:w="1418" w:type="dxa"/>
            <w:shd w:val="clear" w:color="auto" w:fill="auto"/>
          </w:tcPr>
          <w:p w14:paraId="6C0F4915" w14:textId="77777777"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C2</w:t>
            </w:r>
          </w:p>
        </w:tc>
        <w:tc>
          <w:tcPr>
            <w:tcW w:w="1552" w:type="dxa"/>
            <w:shd w:val="clear" w:color="auto" w:fill="auto"/>
            <w:vAlign w:val="center"/>
          </w:tcPr>
          <w:p w14:paraId="21738C7D" w14:textId="173251B6"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80.00</w:t>
            </w:r>
          </w:p>
        </w:tc>
        <w:tc>
          <w:tcPr>
            <w:tcW w:w="1334" w:type="dxa"/>
            <w:shd w:val="clear" w:color="auto" w:fill="auto"/>
            <w:vAlign w:val="center"/>
          </w:tcPr>
          <w:p w14:paraId="68E15393" w14:textId="341A3121"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11</w:t>
            </w:r>
            <w:r w:rsidR="00342420" w:rsidRPr="00E47186">
              <w:rPr>
                <w:rFonts w:asciiTheme="majorBidi" w:hAnsiTheme="majorBidi" w:cstheme="majorBidi"/>
                <w:sz w:val="20"/>
                <w:szCs w:val="20"/>
              </w:rPr>
              <w:t>,</w:t>
            </w:r>
            <w:r w:rsidRPr="00E47186">
              <w:rPr>
                <w:rFonts w:asciiTheme="majorBidi" w:hAnsiTheme="majorBidi" w:cstheme="majorBidi"/>
                <w:sz w:val="20"/>
                <w:szCs w:val="20"/>
              </w:rPr>
              <w:t>977.6</w:t>
            </w:r>
          </w:p>
        </w:tc>
        <w:tc>
          <w:tcPr>
            <w:tcW w:w="1406" w:type="dxa"/>
            <w:shd w:val="clear" w:color="auto" w:fill="auto"/>
            <w:vAlign w:val="center"/>
          </w:tcPr>
          <w:p w14:paraId="27502923" w14:textId="7F1E9CBE"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2</w:t>
            </w:r>
            <w:r w:rsidR="00342420" w:rsidRPr="00E47186">
              <w:rPr>
                <w:rFonts w:asciiTheme="majorBidi" w:hAnsiTheme="majorBidi" w:cstheme="majorBidi"/>
                <w:sz w:val="20"/>
                <w:szCs w:val="20"/>
              </w:rPr>
              <w:t>,</w:t>
            </w:r>
            <w:r w:rsidRPr="00E47186">
              <w:rPr>
                <w:rFonts w:asciiTheme="majorBidi" w:hAnsiTheme="majorBidi" w:cstheme="majorBidi"/>
                <w:sz w:val="20"/>
                <w:szCs w:val="20"/>
              </w:rPr>
              <w:t>481</w:t>
            </w:r>
          </w:p>
        </w:tc>
        <w:tc>
          <w:tcPr>
            <w:tcW w:w="1377" w:type="dxa"/>
            <w:shd w:val="clear" w:color="auto" w:fill="auto"/>
            <w:vAlign w:val="center"/>
          </w:tcPr>
          <w:p w14:paraId="4946EB6C" w14:textId="1EF0A4CE" w:rsidR="00F83A69" w:rsidRPr="00E47186" w:rsidRDefault="00F83A69"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9.015</w:t>
            </w:r>
          </w:p>
        </w:tc>
      </w:tr>
      <w:tr w:rsidR="00766F0F" w:rsidRPr="00E47186" w14:paraId="2640C7FD" w14:textId="77777777" w:rsidTr="00B41D2D">
        <w:tc>
          <w:tcPr>
            <w:tcW w:w="1418" w:type="dxa"/>
            <w:tcBorders>
              <w:bottom w:val="single" w:sz="4" w:space="0" w:color="auto"/>
            </w:tcBorders>
            <w:shd w:val="clear" w:color="auto" w:fill="auto"/>
            <w:vAlign w:val="center"/>
          </w:tcPr>
          <w:p w14:paraId="0F702535" w14:textId="77777777" w:rsidR="00766F0F" w:rsidRPr="00E47186" w:rsidRDefault="00766F0F"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P1</w:t>
            </w:r>
          </w:p>
        </w:tc>
        <w:tc>
          <w:tcPr>
            <w:tcW w:w="1552" w:type="dxa"/>
            <w:tcBorders>
              <w:bottom w:val="single" w:sz="4" w:space="0" w:color="auto"/>
            </w:tcBorders>
            <w:shd w:val="clear" w:color="auto" w:fill="auto"/>
            <w:vAlign w:val="center"/>
          </w:tcPr>
          <w:p w14:paraId="5C50223E" w14:textId="77777777" w:rsidR="00766F0F" w:rsidRPr="00E47186" w:rsidRDefault="00766F0F"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90.00</w:t>
            </w:r>
          </w:p>
        </w:tc>
        <w:tc>
          <w:tcPr>
            <w:tcW w:w="1334" w:type="dxa"/>
            <w:tcBorders>
              <w:bottom w:val="single" w:sz="4" w:space="0" w:color="auto"/>
            </w:tcBorders>
            <w:shd w:val="clear" w:color="auto" w:fill="auto"/>
            <w:vAlign w:val="center"/>
          </w:tcPr>
          <w:p w14:paraId="093E8303" w14:textId="62495146" w:rsidR="00766F0F" w:rsidRPr="00E47186" w:rsidRDefault="00766F0F"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243.3</w:t>
            </w:r>
          </w:p>
        </w:tc>
        <w:tc>
          <w:tcPr>
            <w:tcW w:w="1406" w:type="dxa"/>
            <w:tcBorders>
              <w:bottom w:val="single" w:sz="4" w:space="0" w:color="auto"/>
            </w:tcBorders>
            <w:shd w:val="clear" w:color="auto" w:fill="auto"/>
            <w:vAlign w:val="center"/>
          </w:tcPr>
          <w:p w14:paraId="3E34BF70" w14:textId="513F2942" w:rsidR="00766F0F" w:rsidRPr="00E47186" w:rsidRDefault="00766F0F"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1</w:t>
            </w:r>
            <w:r w:rsidR="00342420" w:rsidRPr="00E47186">
              <w:rPr>
                <w:rFonts w:asciiTheme="majorBidi" w:hAnsiTheme="majorBidi" w:cstheme="majorBidi"/>
                <w:sz w:val="20"/>
                <w:szCs w:val="20"/>
              </w:rPr>
              <w:t>,</w:t>
            </w:r>
            <w:r w:rsidRPr="00E47186">
              <w:rPr>
                <w:rFonts w:asciiTheme="majorBidi" w:hAnsiTheme="majorBidi" w:cstheme="majorBidi"/>
                <w:sz w:val="20"/>
                <w:szCs w:val="20"/>
              </w:rPr>
              <w:t>180</w:t>
            </w:r>
          </w:p>
        </w:tc>
        <w:tc>
          <w:tcPr>
            <w:tcW w:w="1377" w:type="dxa"/>
            <w:tcBorders>
              <w:bottom w:val="single" w:sz="4" w:space="0" w:color="auto"/>
            </w:tcBorders>
            <w:shd w:val="clear" w:color="auto" w:fill="auto"/>
            <w:vAlign w:val="center"/>
          </w:tcPr>
          <w:p w14:paraId="08A1121E" w14:textId="21146002" w:rsidR="00766F0F" w:rsidRPr="00E47186" w:rsidRDefault="00766F0F" w:rsidP="00B25294">
            <w:pPr>
              <w:widowControl w:val="0"/>
              <w:jc w:val="center"/>
              <w:rPr>
                <w:rFonts w:asciiTheme="majorBidi" w:hAnsiTheme="majorBidi" w:cstheme="majorBidi"/>
                <w:sz w:val="20"/>
                <w:szCs w:val="20"/>
              </w:rPr>
            </w:pPr>
            <w:r w:rsidRPr="00E47186">
              <w:rPr>
                <w:rFonts w:asciiTheme="majorBidi" w:hAnsiTheme="majorBidi" w:cstheme="majorBidi"/>
                <w:sz w:val="20"/>
                <w:szCs w:val="20"/>
              </w:rPr>
              <w:t>10.83</w:t>
            </w:r>
          </w:p>
        </w:tc>
      </w:tr>
    </w:tbl>
    <w:p w14:paraId="03E0F57C" w14:textId="77777777" w:rsidR="004C0247" w:rsidRPr="00E47186" w:rsidRDefault="004C0247" w:rsidP="00B25294">
      <w:pPr>
        <w:widowControl w:val="0"/>
        <w:jc w:val="both"/>
        <w:rPr>
          <w:rFonts w:asciiTheme="majorBidi" w:hAnsiTheme="majorBidi" w:cstheme="majorBidi"/>
          <w:rtl/>
          <w:lang w:bidi="fa-IR"/>
        </w:rPr>
      </w:pPr>
    </w:p>
    <w:p w14:paraId="45F614F6" w14:textId="2261DB1B" w:rsidR="00C22A79" w:rsidRPr="00E47186" w:rsidRDefault="00C22A79" w:rsidP="00B25294">
      <w:pPr>
        <w:pStyle w:val="Els-1storder-head"/>
        <w:keepNext w:val="0"/>
        <w:widowControl w:val="0"/>
        <w:suppressAutoHyphens w:val="0"/>
        <w:spacing w:before="0" w:after="0" w:line="240" w:lineRule="auto"/>
        <w:rPr>
          <w:rFonts w:asciiTheme="majorBidi" w:hAnsiTheme="majorBidi" w:cstheme="majorBidi"/>
          <w:sz w:val="20"/>
          <w:lang w:val="en-GB"/>
        </w:rPr>
      </w:pPr>
      <w:r w:rsidRPr="00E47186">
        <w:rPr>
          <w:rFonts w:asciiTheme="majorBidi" w:hAnsiTheme="majorBidi" w:cstheme="majorBidi"/>
          <w:sz w:val="20"/>
          <w:lang w:val="en-GB"/>
        </w:rPr>
        <w:t>Simulation and design</w:t>
      </w:r>
      <w:r w:rsidR="009B0215" w:rsidRPr="00E47186">
        <w:rPr>
          <w:rFonts w:asciiTheme="majorBidi" w:hAnsiTheme="majorBidi" w:cstheme="majorBidi"/>
          <w:sz w:val="20"/>
          <w:lang w:val="en-GB"/>
        </w:rPr>
        <w:t xml:space="preserve"> of photovoltaic panels (PV)</w:t>
      </w:r>
    </w:p>
    <w:p w14:paraId="67540FC8" w14:textId="0F2236C8" w:rsidR="00342420" w:rsidRPr="00E47186" w:rsidRDefault="00E7015D" w:rsidP="00B25294">
      <w:pPr>
        <w:widowControl w:val="0"/>
        <w:jc w:val="both"/>
        <w:rPr>
          <w:rFonts w:asciiTheme="majorBidi" w:hAnsiTheme="majorBidi" w:cstheme="majorBidi"/>
        </w:rPr>
      </w:pPr>
      <w:r w:rsidRPr="00E47186">
        <w:rPr>
          <w:rFonts w:asciiTheme="majorBidi" w:hAnsiTheme="majorBidi" w:cstheme="majorBidi"/>
        </w:rPr>
        <w:t xml:space="preserve">Amidst rising global energy needs, solar power, especially photovoltaic cells, emerges as a crucial player in harnessing renewable energy through the photovoltaic effect </w:t>
      </w:r>
      <w:r w:rsidR="00342420" w:rsidRPr="00E47186">
        <w:rPr>
          <w:rFonts w:asciiTheme="majorBidi" w:hAnsiTheme="majorBidi" w:cstheme="majorBidi"/>
        </w:rPr>
        <w:fldChar w:fldCharType="begin" w:fldLock="1"/>
      </w:r>
      <w:r w:rsidR="00342420" w:rsidRPr="00E47186">
        <w:rPr>
          <w:rFonts w:asciiTheme="majorBidi" w:hAnsiTheme="majorBidi" w:cstheme="majorBidi"/>
        </w:rPr>
        <w:instrText>ADDIN CSL_CITATION {"citationItems":[{"id":"ITEM-1","itemData":{"DOI":"10.14445/22315381/IJETT-V70I8P242","ISSN":"22315381","author":[{"dropping-particle":"","family":"Soonmin","given":"Ho","non-dropping-particle":"","parse-names":false,"suffix":""},{"dropping-particle":"","family":"Taghavi","given":"Masoud","non-dropping-particle":"","parse-names":false,"suffix":""}],"container-title":"International Journal of Engineering Trends and Technology","id":"ITEM-1","issue":"8","issued":{"date-parts":[["2022","8","31"]]},"page":"408-422","title":"Solar Energy Development: Study Cases in Iran and Malaysia","type":"article-journal","volume":"70"},"uris":["http://www.mendeley.com/documents/?uuid=27529c47-6025-4fe3-84fa-7d920c0cb354"]}],"mendeley":{"formattedCitation":"(Soonmin &amp; Taghavi, 2022)","plainTextFormattedCitation":"(Soonmin &amp; Taghavi, 2022)","previouslyFormattedCitation":"(Soonmin &amp; Taghavi, 2022)"},"properties":{"noteIndex":0},"schema":"https://github.com/citation-style-language/schema/raw/master/csl-citation.json"}</w:instrText>
      </w:r>
      <w:r w:rsidR="00342420" w:rsidRPr="00E47186">
        <w:rPr>
          <w:rFonts w:asciiTheme="majorBidi" w:hAnsiTheme="majorBidi" w:cstheme="majorBidi"/>
        </w:rPr>
        <w:fldChar w:fldCharType="separate"/>
      </w:r>
      <w:r w:rsidR="00342420" w:rsidRPr="00E47186">
        <w:rPr>
          <w:rFonts w:asciiTheme="majorBidi" w:hAnsiTheme="majorBidi" w:cstheme="majorBidi"/>
          <w:noProof/>
        </w:rPr>
        <w:t>(Soonmin &amp; Taghavi, 2022)</w:t>
      </w:r>
      <w:r w:rsidR="00342420" w:rsidRPr="00E47186">
        <w:rPr>
          <w:rFonts w:asciiTheme="majorBidi" w:hAnsiTheme="majorBidi" w:cstheme="majorBidi"/>
        </w:rPr>
        <w:fldChar w:fldCharType="end"/>
      </w:r>
      <w:r w:rsidR="00342420" w:rsidRPr="00E47186">
        <w:rPr>
          <w:rFonts w:asciiTheme="majorBidi" w:hAnsiTheme="majorBidi" w:cstheme="majorBidi"/>
        </w:rPr>
        <w:t>. The International Energy Agency (IEA) prescribes key performance parameters, crucial for on-grid PV system assessment</w:t>
      </w:r>
      <w:r w:rsidR="005B4EBB" w:rsidRPr="00E47186">
        <w:rPr>
          <w:rFonts w:asciiTheme="majorBidi" w:hAnsiTheme="majorBidi" w:cstheme="majorBidi"/>
        </w:rPr>
        <w:t xml:space="preserve"> </w:t>
      </w:r>
      <w:r w:rsidR="005B4EBB" w:rsidRPr="00E47186">
        <w:rPr>
          <w:rFonts w:asciiTheme="majorBidi" w:hAnsiTheme="majorBidi" w:cstheme="majorBidi"/>
        </w:rPr>
        <w:fldChar w:fldCharType="begin" w:fldLock="1"/>
      </w:r>
      <w:r w:rsidR="00667C11" w:rsidRPr="00E47186">
        <w:rPr>
          <w:rFonts w:asciiTheme="majorBidi" w:hAnsiTheme="majorBidi" w:cstheme="majorBidi"/>
        </w:rPr>
        <w:instrText>ADDIN CSL_CITATION {"citationItems":[{"id":"ITEM-1","itemData":{"DOI":"10.1002/ese3.1211","ISSN":"2050-0505","author":[{"dropping-particle":"","family":"Ebrahimi","given":"Armin","non-dropping-particle":"","parse-names":false,"suffix":""},{"dropping-particle":"","family":"Ghorbani","given":"Bahram","non-dropping-particle":"","parse-names":false,"suffix":""},{"dropping-particle":"","family":"Taghavi","given":"Masoud","non-dropping-particle":"","parse-names":false,"suffix":""}],"container-title":"Energy Science &amp; Engineering","id":"ITEM-1","issue":"8","issued":{"date-parts":[["2022","8","21"]]},"page":"3167-3188","title":"Novel integrated structure consisting of CO 2 capture cycle, heat pump unit, Kalina power, and ejector refrigeration systems for liquid CO 2 storage using renewable energies","type":"article-journal","volume":"10"},"uris":["http://www.mendeley.com/documents/?uuid=6ba51234-ce9b-4ce5-a6b1-b9edf59011c0"]}],"mendeley":{"formattedCitation":"(Ebrahimi et al., 2022)","plainTextFormattedCitation":"(Ebrahimi et al., 2022)","previouslyFormattedCitation":"(Ebrahimi et al., 2022)"},"properties":{"noteIndex":0},"schema":"https://github.com/citation-style-language/schema/raw/master/csl-citation.json"}</w:instrText>
      </w:r>
      <w:r w:rsidR="005B4EBB" w:rsidRPr="00E47186">
        <w:rPr>
          <w:rFonts w:asciiTheme="majorBidi" w:hAnsiTheme="majorBidi" w:cstheme="majorBidi"/>
        </w:rPr>
        <w:fldChar w:fldCharType="separate"/>
      </w:r>
      <w:r w:rsidR="005B4EBB" w:rsidRPr="00E47186">
        <w:rPr>
          <w:rFonts w:asciiTheme="majorBidi" w:hAnsiTheme="majorBidi" w:cstheme="majorBidi"/>
          <w:noProof/>
        </w:rPr>
        <w:t>(Ebrahimi et al., 2022)</w:t>
      </w:r>
      <w:r w:rsidR="005B4EBB" w:rsidRPr="00E47186">
        <w:rPr>
          <w:rFonts w:asciiTheme="majorBidi" w:hAnsiTheme="majorBidi" w:cstheme="majorBidi"/>
        </w:rPr>
        <w:fldChar w:fldCharType="end"/>
      </w:r>
      <w:r w:rsidR="00342420" w:rsidRPr="00E47186">
        <w:rPr>
          <w:rFonts w:asciiTheme="majorBidi" w:hAnsiTheme="majorBidi" w:cstheme="majorBidi"/>
        </w:rPr>
        <w:t>. A vital metric, the final system yield (YF), gauges on-grid energy production over a specified period, computed by dividing the AC energy by the PV unit's maximum power under standard test conditions (STC)</w:t>
      </w:r>
      <w:r w:rsidR="002E7ABD" w:rsidRPr="00E47186">
        <w:rPr>
          <w:rFonts w:asciiTheme="majorBidi" w:hAnsiTheme="majorBidi" w:cstheme="majorBidi"/>
        </w:rPr>
        <w:t xml:space="preserve"> and presented in Eq. 1</w:t>
      </w:r>
      <w:r w:rsidR="00342420" w:rsidRPr="00E47186">
        <w:rPr>
          <w:rFonts w:asciiTheme="majorBidi" w:hAnsiTheme="majorBidi" w:cstheme="majorBidi"/>
        </w:rPr>
        <w:t xml:space="preserve"> </w:t>
      </w:r>
      <w:r w:rsidR="00342420" w:rsidRPr="00E47186">
        <w:rPr>
          <w:rFonts w:asciiTheme="majorBidi" w:hAnsiTheme="majorBidi" w:cstheme="majorBidi"/>
        </w:rPr>
        <w:fldChar w:fldCharType="begin" w:fldLock="1"/>
      </w:r>
      <w:r w:rsidR="00342420" w:rsidRPr="00E47186">
        <w:rPr>
          <w:rFonts w:asciiTheme="majorBidi" w:hAnsiTheme="majorBidi" w:cstheme="majorBidi"/>
        </w:rPr>
        <w:instrText>ADDIN CSL_CITATION {"citationItems":[{"id":"ITEM-1","itemData":{"DOI":"10.1007/s10973-021-10769-4","ISSN":"1388-6150","author":[{"dropping-particle":"","family":"Afrouzy","given":"Zahra Alizadeh","non-dropping-particle":"","parse-names":false,"suffix":""},{"dropping-particle":"","family":"Taghavi","given":"Masoud","non-dropping-particle":"","parse-names":false,"suffix":""}],"container-title":"Journal of Thermal Analysis and Calorimetry","id":"ITEM-1","issue":"3","issued":{"date-parts":[["2021","8","26"]]},"page":"1509-1536","title":"Thermo-economic analysis of a novel integrated structure for liquefied natural gas production using photovoltaic panels","type":"article-journal","volume":"145"},"uris":["http://www.mendeley.com/documents/?uuid=679b4b81-1654-4c10-82a5-49d2ffc07fe5"]}],"mendeley":{"formattedCitation":"(Afrouzy &amp; Taghavi, 2021)","plainTextFormattedCitation":"(Afrouzy &amp; Taghavi, 2021)","previouslyFormattedCitation":"(Afrouzy &amp; Taghavi, 2021)"},"properties":{"noteIndex":0},"schema":"https://github.com/citation-style-language/schema/raw/master/csl-citation.json"}</w:instrText>
      </w:r>
      <w:r w:rsidR="00342420" w:rsidRPr="00E47186">
        <w:rPr>
          <w:rFonts w:asciiTheme="majorBidi" w:hAnsiTheme="majorBidi" w:cstheme="majorBidi"/>
        </w:rPr>
        <w:fldChar w:fldCharType="separate"/>
      </w:r>
      <w:r w:rsidR="00342420" w:rsidRPr="00E47186">
        <w:rPr>
          <w:rFonts w:asciiTheme="majorBidi" w:hAnsiTheme="majorBidi" w:cstheme="majorBidi"/>
          <w:noProof/>
        </w:rPr>
        <w:t>(Afrouzy &amp; Taghavi, 2021)</w:t>
      </w:r>
      <w:r w:rsidR="00342420" w:rsidRPr="00E47186">
        <w:rPr>
          <w:rFonts w:asciiTheme="majorBidi" w:hAnsiTheme="majorBidi" w:cstheme="majorBidi"/>
        </w:rPr>
        <w:fldChar w:fldCharType="end"/>
      </w:r>
      <w:r w:rsidR="00342420" w:rsidRPr="00E47186">
        <w:rPr>
          <w:rFonts w:asciiTheme="majorBidi" w:hAnsiTheme="majorBidi" w:cstheme="majorBidi"/>
        </w:rPr>
        <w:t>.</w:t>
      </w:r>
      <w:r w:rsidR="002E7ABD" w:rsidRPr="00E47186">
        <w:rPr>
          <w:rFonts w:asciiTheme="majorBidi" w:hAnsiTheme="majorBidi" w:cstheme="majorBidi"/>
        </w:rPr>
        <w:t xml:space="preserve"> The PV system's performance is gauged by crucial metrics: YF (final yield) in kWh/</w:t>
      </w:r>
      <w:proofErr w:type="spellStart"/>
      <w:r w:rsidR="002E7ABD" w:rsidRPr="00E47186">
        <w:rPr>
          <w:rFonts w:asciiTheme="majorBidi" w:hAnsiTheme="majorBidi" w:cstheme="majorBidi"/>
        </w:rPr>
        <w:t>kWp</w:t>
      </w:r>
      <w:proofErr w:type="spellEnd"/>
      <w:r w:rsidR="002E7ABD" w:rsidRPr="00E47186">
        <w:rPr>
          <w:rFonts w:asciiTheme="majorBidi" w:hAnsiTheme="majorBidi" w:cstheme="majorBidi"/>
        </w:rPr>
        <w:t>, E</w:t>
      </w:r>
      <w:r w:rsidR="002E7ABD" w:rsidRPr="00E47186">
        <w:rPr>
          <w:rFonts w:asciiTheme="majorBidi" w:hAnsiTheme="majorBidi" w:cstheme="majorBidi"/>
          <w:vertAlign w:val="subscript"/>
        </w:rPr>
        <w:t>AC</w:t>
      </w:r>
      <w:r w:rsidR="002E7ABD" w:rsidRPr="00E47186">
        <w:rPr>
          <w:rFonts w:asciiTheme="majorBidi" w:hAnsiTheme="majorBidi" w:cstheme="majorBidi"/>
        </w:rPr>
        <w:t xml:space="preserve"> (energy yield) in kWh/</w:t>
      </w:r>
      <w:proofErr w:type="spellStart"/>
      <w:r w:rsidR="002E7ABD" w:rsidRPr="00E47186">
        <w:rPr>
          <w:rFonts w:asciiTheme="majorBidi" w:hAnsiTheme="majorBidi" w:cstheme="majorBidi"/>
        </w:rPr>
        <w:t>kWp</w:t>
      </w:r>
      <w:proofErr w:type="spellEnd"/>
      <w:r w:rsidR="002E7ABD" w:rsidRPr="00E47186">
        <w:rPr>
          <w:rFonts w:asciiTheme="majorBidi" w:hAnsiTheme="majorBidi" w:cstheme="majorBidi"/>
        </w:rPr>
        <w:t>, P</w:t>
      </w:r>
      <w:r w:rsidR="002E7ABD" w:rsidRPr="00E47186">
        <w:rPr>
          <w:rFonts w:asciiTheme="majorBidi" w:hAnsiTheme="majorBidi" w:cstheme="majorBidi"/>
          <w:vertAlign w:val="subscript"/>
        </w:rPr>
        <w:t>PV</w:t>
      </w:r>
      <w:r w:rsidR="002E7ABD" w:rsidRPr="00E47186">
        <w:rPr>
          <w:rFonts w:asciiTheme="majorBidi" w:hAnsiTheme="majorBidi" w:cstheme="majorBidi"/>
        </w:rPr>
        <w:t xml:space="preserve"> (peak power output) under STC, and YR (reference yield) by Eq. 2 </w:t>
      </w:r>
      <w:r w:rsidR="002E7ABD" w:rsidRPr="00E47186">
        <w:rPr>
          <w:rFonts w:asciiTheme="majorBidi" w:hAnsiTheme="majorBidi" w:cstheme="majorBidi"/>
        </w:rPr>
        <w:fldChar w:fldCharType="begin" w:fldLock="1"/>
      </w:r>
      <w:r w:rsidR="008545E9" w:rsidRPr="00E47186">
        <w:rPr>
          <w:rFonts w:asciiTheme="majorBidi" w:hAnsiTheme="majorBidi" w:cstheme="majorBidi"/>
        </w:rPr>
        <w:instrText>ADDIN CSL_CITATION {"citationItems":[{"id":"ITEM-1","itemData":{"DOI":"10.22044/rera.2022.11899.1122","abstract":"The present study economically evaluates a combined hydrogen liquefaction configuration using combined heat and power system, photovoltaic cells unit and liquid air energy recovery for precooling under climatic states of Yazd, Iran. The LAC recovery is used to precool hydrogen. Moreover, the cascade refrigeration systems with helium and hydrogen refrigerants are employed to supply refrigeration and liquefaction. The rest of the power required for refrigeration cycles to liquefy hydrogen is supplied by PVC unit. This integrated structure generates liquid hydrogen by receiving 5559 kW of power from PVC unit, 60.79 kg/h of natural gas, 8000 kg/h of liquid air and 1028 kg/h of gaseous hydrogen as inputs. The annualized cost of the configuration is applied to economically evaluate the hydrogen liquefaction system using renewable energies. The developed integrated structure is economically evaluated by HYSYS V10 software and m-file code in the MATLAB package. The economic research results of the hybrid cycle indicate the period of return, prime price of liquid hydrogen production and additive value are 4.249 years, 5.432 USD/kg LH2 and 1.567 USD/kg LH2, respectively. The economic sensitivity examination of the combined system reveals POR increases from 2.295 to 13.97 years and net annual profit decreases from 32.66 to 5.366 MMUSD/year by increasing the gaseous hydrogen cost from 1.4 to 3.4 USD/kg LH2. Moreover, POR increases from 2.753 to 25.07 years and levelized cost of product increases from 5.02 to 7.488 US$/kg LH2 by increasing the capital cost from 52.5 to 217.5 MMUSD.","author":[{"dropping-particle":"","family":"Taghavi","given":"Masoud","non-dropping-particle":"","parse-names":false,"suffix":""},{"dropping-particle":"","family":"Salarian","given":"Hesamoddin","non-dropping-particle":"","parse-names":false,"suffix":""},{"dropping-particle":"","family":"Ghorbani","given":"Bahram","non-dropping-particle":"","parse-names":false,"suffix":""}],"container-title":"Renewable Energy Research and Applications (RERA)","id":"ITEM-1","issue":"1","issued":{"date-parts":[["2023"]]},"page":"125-143","title":"Economic Evaluation of a Hybrid Hydrogen Liquefaction System Utilizing Liquid Air Cold Recovery and Renewable Energies","type":"article-journal","volume":"4"},"uris":["http://www.mendeley.com/documents/?uuid=84327507-0d08-4924-b1aa-92c8abd5839f"]}],"mendeley":{"formattedCitation":"(Taghavi et al., 2023)","plainTextFormattedCitation":"(Taghavi et al., 2023)","previouslyFormattedCitation":"(Taghavi et al., 2023)"},"properties":{"noteIndex":0},"schema":"https://github.com/citation-style-language/schema/raw/master/csl-citation.json"}</w:instrText>
      </w:r>
      <w:r w:rsidR="002E7ABD" w:rsidRPr="00E47186">
        <w:rPr>
          <w:rFonts w:asciiTheme="majorBidi" w:hAnsiTheme="majorBidi" w:cstheme="majorBidi"/>
        </w:rPr>
        <w:fldChar w:fldCharType="separate"/>
      </w:r>
      <w:r w:rsidR="002E7ABD" w:rsidRPr="00E47186">
        <w:rPr>
          <w:rFonts w:asciiTheme="majorBidi" w:hAnsiTheme="majorBidi" w:cstheme="majorBidi"/>
          <w:noProof/>
        </w:rPr>
        <w:t>(Taghavi et al., 2023)</w:t>
      </w:r>
      <w:r w:rsidR="002E7ABD" w:rsidRPr="00E47186">
        <w:rPr>
          <w:rFonts w:asciiTheme="majorBidi" w:hAnsiTheme="majorBidi" w:cstheme="majorBidi"/>
        </w:rPr>
        <w:fldChar w:fldCharType="end"/>
      </w:r>
      <w:r w:rsidR="002E7ABD" w:rsidRPr="00E47186">
        <w:rPr>
          <w:rFonts w:asciiTheme="majorBidi" w:hAnsiTheme="majorBidi" w:cstheme="majorBidi"/>
        </w:rPr>
        <w:t xml:space="preserve">. YA represents DC energy per kWh of nominal power per </w:t>
      </w:r>
      <w:proofErr w:type="spellStart"/>
      <w:r w:rsidR="002E7ABD" w:rsidRPr="00E47186">
        <w:rPr>
          <w:rFonts w:asciiTheme="majorBidi" w:hAnsiTheme="majorBidi" w:cstheme="majorBidi"/>
        </w:rPr>
        <w:t>kWp</w:t>
      </w:r>
      <w:proofErr w:type="spellEnd"/>
      <w:r w:rsidR="002E7ABD" w:rsidRPr="00E47186">
        <w:rPr>
          <w:rFonts w:asciiTheme="majorBidi" w:hAnsiTheme="majorBidi" w:cstheme="majorBidi"/>
        </w:rPr>
        <w:t xml:space="preserve"> under STC. PR gauges final yield against reference yield. Total energy loss is calculated using Eq. 5. Array absorber loss, obtained by Eq. 6, is the deviation between reference and array yield. Inverter efficiency (Eq. 7) is AC power produced divided by PV array's DC power output. PV system efficiency (Eq. 8) is the product of PV module and inverter efficiency</w:t>
      </w:r>
      <w:r w:rsidR="006106F3" w:rsidRPr="00E47186">
        <w:rPr>
          <w:rFonts w:asciiTheme="majorBidi" w:hAnsiTheme="majorBidi" w:cstheme="majorBidi"/>
        </w:rPr>
        <w:t xml:space="preserve"> </w:t>
      </w:r>
      <w:r w:rsidR="006106F3" w:rsidRPr="00E47186">
        <w:rPr>
          <w:rFonts w:asciiTheme="majorBidi" w:hAnsiTheme="majorBidi" w:cstheme="majorBidi"/>
        </w:rPr>
        <w:fldChar w:fldCharType="begin" w:fldLock="1"/>
      </w:r>
      <w:r w:rsidR="0078653D" w:rsidRPr="00E47186">
        <w:rPr>
          <w:rFonts w:asciiTheme="majorBidi" w:hAnsiTheme="majorBidi" w:cstheme="majorBidi"/>
        </w:rPr>
        <w:instrText>ADDIN CSL_CITATION {"citationItems":[{"id":"ITEM-1","itemData":{"DOI":"10.1016/j.jclepro.2021.128821","ISSN":"09596526","author":[{"dropping-particle":"","family":"Taghavi","given":"Masoud","non-dropping-particle":"","parse-names":false,"suffix":""},{"dropping-particle":"","family":"Salarian","given":"Hesamoddin","non-dropping-particle":"","parse-names":false,"suffix":""},{"dropping-particle":"","family":"Ghorbani","given":"Bahram","non-dropping-particle":"","parse-names":false,"suffix":""}],"container-title":"Journal of Cleaner Production","id":"ITEM-1","issued":{"date-parts":[["2021","10"]]},"page":"128821","title":"Thermodynamic and exergy evaluation of a novel integrated hydrogen liquefaction structure using liquid air cold energy recovery, solid oxide fuel cell and photovoltaic panels","type":"article-journal","volume":"320"},"uris":["http://www.mendeley.com/documents/?uuid=ce6ae29e-545d-4a5e-a319-a350a20de721"]}],"mendeley":{"formattedCitation":"(Taghavi et al., 2021)","plainTextFormattedCitation":"(Taghavi et al., 2021)","previouslyFormattedCitation":"(Taghavi et al., 2021)"},"properties":{"noteIndex":0},"schema":"https://github.com/citation-style-language/schema/raw/master/csl-citation.json"}</w:instrText>
      </w:r>
      <w:r w:rsidR="006106F3" w:rsidRPr="00E47186">
        <w:rPr>
          <w:rFonts w:asciiTheme="majorBidi" w:hAnsiTheme="majorBidi" w:cstheme="majorBidi"/>
        </w:rPr>
        <w:fldChar w:fldCharType="separate"/>
      </w:r>
      <w:r w:rsidR="006106F3" w:rsidRPr="00E47186">
        <w:rPr>
          <w:rFonts w:asciiTheme="majorBidi" w:hAnsiTheme="majorBidi" w:cstheme="majorBidi"/>
          <w:noProof/>
        </w:rPr>
        <w:t>(Taghavi et al., 2021)</w:t>
      </w:r>
      <w:r w:rsidR="006106F3" w:rsidRPr="00E47186">
        <w:rPr>
          <w:rFonts w:asciiTheme="majorBidi" w:hAnsiTheme="majorBidi" w:cstheme="majorBidi"/>
        </w:rPr>
        <w:fldChar w:fldCharType="end"/>
      </w:r>
      <w:r w:rsidR="002E7ABD" w:rsidRPr="00E47186">
        <w:rPr>
          <w:rFonts w:asciiTheme="majorBidi" w:hAnsiTheme="majorBidi" w:cstheme="majorBidi"/>
        </w:rPr>
        <w:t>.</w:t>
      </w:r>
    </w:p>
    <w:tbl>
      <w:tblPr>
        <w:tblStyle w:val="TableGrid"/>
        <w:tblW w:w="7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713"/>
      </w:tblGrid>
      <w:tr w:rsidR="00C22A79" w:rsidRPr="00561CB5" w14:paraId="30DA4356" w14:textId="77777777" w:rsidTr="00E7015D">
        <w:trPr>
          <w:jc w:val="center"/>
        </w:trPr>
        <w:tc>
          <w:tcPr>
            <w:tcW w:w="6374" w:type="dxa"/>
            <w:vAlign w:val="center"/>
          </w:tcPr>
          <w:p w14:paraId="4363C82F" w14:textId="4F3A8590" w:rsidR="00C22A79" w:rsidRPr="00561CB5" w:rsidRDefault="00000000" w:rsidP="00B25294">
            <w:pPr>
              <w:widowControl w:val="0"/>
              <w:spacing w:before="120"/>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F</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E</m:t>
                    </m:r>
                  </m:e>
                  <m:sub>
                    <m:r>
                      <w:rPr>
                        <w:rFonts w:ascii="Cambria Math" w:hAnsi="Cambria Math" w:cstheme="majorBidi"/>
                        <w:sz w:val="20"/>
                        <w:szCs w:val="20"/>
                      </w:rPr>
                      <m:t>AC</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PV</m:t>
                    </m:r>
                  </m:sub>
                </m:sSub>
              </m:oMath>
            </m:oMathPara>
          </w:p>
        </w:tc>
        <w:tc>
          <w:tcPr>
            <w:tcW w:w="713" w:type="dxa"/>
            <w:vAlign w:val="center"/>
          </w:tcPr>
          <w:p w14:paraId="66038A37"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(1)</w:t>
            </w:r>
          </w:p>
        </w:tc>
      </w:tr>
      <w:tr w:rsidR="00C22A79" w:rsidRPr="00561CB5" w14:paraId="6CCBD901" w14:textId="77777777" w:rsidTr="00E7015D">
        <w:trPr>
          <w:jc w:val="center"/>
        </w:trPr>
        <w:tc>
          <w:tcPr>
            <w:tcW w:w="6374" w:type="dxa"/>
            <w:vAlign w:val="center"/>
          </w:tcPr>
          <w:p w14:paraId="407884DF" w14:textId="7C0E532F" w:rsidR="00C22A79" w:rsidRPr="00561CB5" w:rsidRDefault="00000000" w:rsidP="00B25294">
            <w:pPr>
              <w:widowControl w:val="0"/>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R</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H</m:t>
                    </m:r>
                  </m:e>
                  <m:sub>
                    <m:r>
                      <w:rPr>
                        <w:rFonts w:ascii="Cambria Math" w:hAnsi="Cambria Math" w:cstheme="majorBidi"/>
                        <w:sz w:val="20"/>
                        <w:szCs w:val="20"/>
                      </w:rPr>
                      <m:t>t</m:t>
                    </m:r>
                  </m:sub>
                </m:sSub>
                <m:d>
                  <m:dPr>
                    <m:ctrlPr>
                      <w:rPr>
                        <w:rFonts w:ascii="Cambria Math" w:hAnsi="Cambria Math" w:cstheme="majorBidi"/>
                        <w:i/>
                        <w:sz w:val="20"/>
                        <w:szCs w:val="20"/>
                      </w:rPr>
                    </m:ctrlPr>
                  </m:dPr>
                  <m:e>
                    <m:r>
                      <w:rPr>
                        <w:rFonts w:ascii="Cambria Math" w:hAnsi="Cambria Math" w:cstheme="majorBidi"/>
                        <w:sz w:val="20"/>
                        <w:szCs w:val="20"/>
                      </w:rPr>
                      <m:t xml:space="preserve">kWh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G</m:t>
                    </m:r>
                  </m:e>
                  <m:sub>
                    <m:r>
                      <w:rPr>
                        <w:rFonts w:ascii="Cambria Math" w:hAnsi="Cambria Math" w:cstheme="majorBidi"/>
                        <w:sz w:val="20"/>
                        <w:szCs w:val="20"/>
                      </w:rPr>
                      <m:t>o</m:t>
                    </m:r>
                  </m:sub>
                </m:sSub>
                <m:d>
                  <m:dPr>
                    <m:ctrlPr>
                      <w:rPr>
                        <w:rFonts w:ascii="Cambria Math" w:hAnsi="Cambria Math" w:cstheme="majorBidi"/>
                        <w:i/>
                        <w:sz w:val="20"/>
                        <w:szCs w:val="20"/>
                      </w:rPr>
                    </m:ctrlPr>
                  </m:dPr>
                  <m:e>
                    <m:r>
                      <w:rPr>
                        <w:rFonts w:ascii="Cambria Math" w:hAnsi="Cambria Math" w:cstheme="majorBidi"/>
                        <w:sz w:val="20"/>
                        <w:szCs w:val="20"/>
                      </w:rPr>
                      <m:t xml:space="preserve">kW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e>
                </m:d>
              </m:oMath>
            </m:oMathPara>
          </w:p>
        </w:tc>
        <w:tc>
          <w:tcPr>
            <w:tcW w:w="713" w:type="dxa"/>
            <w:vAlign w:val="center"/>
          </w:tcPr>
          <w:p w14:paraId="6A8E3673"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(2)</w:t>
            </w:r>
          </w:p>
        </w:tc>
      </w:tr>
      <w:tr w:rsidR="00C22A79" w:rsidRPr="00561CB5" w14:paraId="5470BBB5" w14:textId="77777777" w:rsidTr="00E7015D">
        <w:trPr>
          <w:jc w:val="center"/>
        </w:trPr>
        <w:tc>
          <w:tcPr>
            <w:tcW w:w="6374" w:type="dxa"/>
            <w:vAlign w:val="center"/>
          </w:tcPr>
          <w:p w14:paraId="3182A172" w14:textId="3DB7045E" w:rsidR="00C22A79" w:rsidRPr="00561CB5" w:rsidRDefault="00000000" w:rsidP="00B25294">
            <w:pPr>
              <w:widowControl w:val="0"/>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A</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E</m:t>
                    </m:r>
                  </m:e>
                  <m:sub>
                    <m:r>
                      <w:rPr>
                        <w:rFonts w:ascii="Cambria Math" w:hAnsi="Cambria Math" w:cstheme="majorBidi"/>
                        <w:sz w:val="20"/>
                        <w:szCs w:val="20"/>
                      </w:rPr>
                      <m:t>DC</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O</m:t>
                    </m:r>
                  </m:sub>
                </m:sSub>
              </m:oMath>
            </m:oMathPara>
          </w:p>
        </w:tc>
        <w:tc>
          <w:tcPr>
            <w:tcW w:w="713" w:type="dxa"/>
            <w:vAlign w:val="center"/>
          </w:tcPr>
          <w:p w14:paraId="7B7862BC"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(3)</w:t>
            </w:r>
          </w:p>
        </w:tc>
      </w:tr>
      <w:tr w:rsidR="00C22A79" w:rsidRPr="00561CB5" w14:paraId="49170857" w14:textId="77777777" w:rsidTr="00E7015D">
        <w:trPr>
          <w:jc w:val="center"/>
        </w:trPr>
        <w:tc>
          <w:tcPr>
            <w:tcW w:w="6374" w:type="dxa"/>
            <w:vAlign w:val="center"/>
          </w:tcPr>
          <w:p w14:paraId="76D436FC" w14:textId="359EFD44" w:rsidR="00C22A79" w:rsidRPr="00561CB5" w:rsidRDefault="00C22A79" w:rsidP="00B25294">
            <w:pPr>
              <w:widowControl w:val="0"/>
              <w:rPr>
                <w:rFonts w:asciiTheme="majorBidi" w:hAnsiTheme="majorBidi" w:cstheme="majorBidi"/>
                <w:sz w:val="20"/>
                <w:szCs w:val="20"/>
              </w:rPr>
            </w:pPr>
            <m:oMathPara>
              <m:oMathParaPr>
                <m:jc m:val="left"/>
              </m:oMathParaPr>
              <m:oMath>
                <m:r>
                  <w:rPr>
                    <w:rFonts w:ascii="Cambria Math" w:hAnsi="Cambria Math" w:cstheme="majorBidi"/>
                    <w:sz w:val="20"/>
                    <w:szCs w:val="20"/>
                  </w:rPr>
                  <m:t>PR=</m:t>
                </m:r>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F</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R</m:t>
                    </m:r>
                  </m:sub>
                </m:sSub>
              </m:oMath>
            </m:oMathPara>
          </w:p>
        </w:tc>
        <w:tc>
          <w:tcPr>
            <w:tcW w:w="713" w:type="dxa"/>
            <w:vAlign w:val="center"/>
          </w:tcPr>
          <w:p w14:paraId="464E68CB"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(4)</w:t>
            </w:r>
          </w:p>
        </w:tc>
      </w:tr>
      <w:tr w:rsidR="00C22A79" w:rsidRPr="00561CB5" w14:paraId="5062DC54" w14:textId="77777777" w:rsidTr="00E7015D">
        <w:trPr>
          <w:jc w:val="center"/>
        </w:trPr>
        <w:tc>
          <w:tcPr>
            <w:tcW w:w="6374" w:type="dxa"/>
            <w:vAlign w:val="center"/>
          </w:tcPr>
          <w:p w14:paraId="279F014D" w14:textId="77777777" w:rsidR="00C22A79" w:rsidRPr="00561CB5" w:rsidRDefault="00C22A79" w:rsidP="00B25294">
            <w:pPr>
              <w:widowControl w:val="0"/>
              <w:rPr>
                <w:rFonts w:asciiTheme="majorBidi" w:hAnsiTheme="majorBidi" w:cstheme="majorBidi"/>
                <w:sz w:val="20"/>
                <w:szCs w:val="20"/>
              </w:rPr>
            </w:pPr>
            <m:oMathPara>
              <m:oMathParaPr>
                <m:jc m:val="left"/>
              </m:oMathParaPr>
              <m:oMath>
                <m:r>
                  <w:rPr>
                    <w:rFonts w:ascii="Cambria Math" w:hAnsi="Cambria Math" w:cstheme="majorBidi"/>
                    <w:sz w:val="20"/>
                    <w:szCs w:val="20"/>
                  </w:rPr>
                  <w:lastRenderedPageBreak/>
                  <m:t>L=</m:t>
                </m:r>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R</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F</m:t>
                    </m:r>
                  </m:sub>
                </m:sSub>
              </m:oMath>
            </m:oMathPara>
          </w:p>
        </w:tc>
        <w:tc>
          <w:tcPr>
            <w:tcW w:w="713" w:type="dxa"/>
            <w:vAlign w:val="center"/>
          </w:tcPr>
          <w:p w14:paraId="1A01C157"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(5)</w:t>
            </w:r>
          </w:p>
        </w:tc>
      </w:tr>
      <w:tr w:rsidR="00C22A79" w:rsidRPr="00561CB5" w14:paraId="12C2E9DC" w14:textId="77777777" w:rsidTr="00E7015D">
        <w:trPr>
          <w:jc w:val="center"/>
        </w:trPr>
        <w:tc>
          <w:tcPr>
            <w:tcW w:w="6374" w:type="dxa"/>
            <w:vAlign w:val="center"/>
          </w:tcPr>
          <w:p w14:paraId="795EB114" w14:textId="77777777" w:rsidR="00C22A79" w:rsidRPr="00561CB5" w:rsidRDefault="00000000" w:rsidP="00B25294">
            <w:pPr>
              <w:widowControl w:val="0"/>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L</m:t>
                    </m:r>
                  </m:e>
                  <m:sub>
                    <m:r>
                      <w:rPr>
                        <w:rFonts w:ascii="Cambria Math" w:hAnsi="Cambria Math" w:cstheme="majorBidi"/>
                        <w:sz w:val="20"/>
                        <w:szCs w:val="20"/>
                      </w:rPr>
                      <m:t>C</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R</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Y</m:t>
                    </m:r>
                  </m:e>
                  <m:sub>
                    <m:r>
                      <w:rPr>
                        <w:rFonts w:ascii="Cambria Math" w:hAnsi="Cambria Math" w:cstheme="majorBidi"/>
                        <w:sz w:val="20"/>
                        <w:szCs w:val="20"/>
                      </w:rPr>
                      <m:t>F</m:t>
                    </m:r>
                  </m:sub>
                </m:sSub>
              </m:oMath>
            </m:oMathPara>
          </w:p>
        </w:tc>
        <w:tc>
          <w:tcPr>
            <w:tcW w:w="713" w:type="dxa"/>
            <w:vAlign w:val="center"/>
          </w:tcPr>
          <w:p w14:paraId="40BC4C2B"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(6)</w:t>
            </w:r>
          </w:p>
        </w:tc>
      </w:tr>
      <w:tr w:rsidR="00C22A79" w:rsidRPr="00561CB5" w14:paraId="6A6EABD7" w14:textId="77777777" w:rsidTr="00E7015D">
        <w:trPr>
          <w:jc w:val="center"/>
        </w:trPr>
        <w:tc>
          <w:tcPr>
            <w:tcW w:w="6374" w:type="dxa"/>
            <w:vAlign w:val="center"/>
          </w:tcPr>
          <w:p w14:paraId="3D95A306" w14:textId="197AA59D" w:rsidR="00C22A79" w:rsidRPr="00561CB5" w:rsidRDefault="00000000" w:rsidP="00B25294">
            <w:pPr>
              <w:widowControl w:val="0"/>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inv</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AC</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DC</m:t>
                    </m:r>
                  </m:sub>
                </m:sSub>
              </m:oMath>
            </m:oMathPara>
          </w:p>
        </w:tc>
        <w:tc>
          <w:tcPr>
            <w:tcW w:w="713" w:type="dxa"/>
            <w:vAlign w:val="center"/>
          </w:tcPr>
          <w:p w14:paraId="309BF765"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(7)</w:t>
            </w:r>
          </w:p>
        </w:tc>
      </w:tr>
      <w:tr w:rsidR="00C22A79" w:rsidRPr="00561CB5" w14:paraId="7B8C9F2A" w14:textId="77777777" w:rsidTr="00E7015D">
        <w:trPr>
          <w:jc w:val="center"/>
        </w:trPr>
        <w:tc>
          <w:tcPr>
            <w:tcW w:w="6374" w:type="dxa"/>
            <w:vAlign w:val="center"/>
          </w:tcPr>
          <w:p w14:paraId="07D187B7" w14:textId="77777777" w:rsidR="00C22A79" w:rsidRPr="00561CB5" w:rsidRDefault="00000000" w:rsidP="00B25294">
            <w:pPr>
              <w:widowControl w:val="0"/>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system</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PV</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inv</m:t>
                    </m:r>
                  </m:sub>
                </m:sSub>
              </m:oMath>
            </m:oMathPara>
          </w:p>
        </w:tc>
        <w:tc>
          <w:tcPr>
            <w:tcW w:w="713" w:type="dxa"/>
            <w:vAlign w:val="center"/>
          </w:tcPr>
          <w:p w14:paraId="0C5031A1" w14:textId="77777777" w:rsidR="00C22A79" w:rsidRPr="00561CB5" w:rsidRDefault="00C22A79" w:rsidP="00B25294">
            <w:pPr>
              <w:widowControl w:val="0"/>
              <w:jc w:val="right"/>
              <w:rPr>
                <w:rFonts w:asciiTheme="majorBidi" w:hAnsiTheme="majorBidi" w:cstheme="majorBidi"/>
                <w:sz w:val="20"/>
                <w:szCs w:val="20"/>
              </w:rPr>
            </w:pPr>
            <w:r w:rsidRPr="00561CB5">
              <w:rPr>
                <w:rFonts w:asciiTheme="majorBidi" w:hAnsiTheme="majorBidi" w:cstheme="majorBidi"/>
                <w:sz w:val="20"/>
                <w:szCs w:val="20"/>
              </w:rPr>
              <w:t>(8)</w:t>
            </w:r>
          </w:p>
        </w:tc>
      </w:tr>
    </w:tbl>
    <w:p w14:paraId="7B8B5410" w14:textId="77777777" w:rsidR="007610BA" w:rsidRPr="00E47186" w:rsidRDefault="007610BA" w:rsidP="00B25294">
      <w:pPr>
        <w:pStyle w:val="Els-body-text"/>
        <w:widowControl w:val="0"/>
        <w:rPr>
          <w:rFonts w:asciiTheme="majorBidi" w:hAnsiTheme="majorBidi" w:cstheme="majorBidi"/>
        </w:rPr>
      </w:pPr>
    </w:p>
    <w:p w14:paraId="61DDEDBB" w14:textId="77777777" w:rsidR="00C22A79" w:rsidRPr="00E47186" w:rsidRDefault="00C22A79" w:rsidP="00B25294">
      <w:pPr>
        <w:pStyle w:val="Els-1storder-head"/>
        <w:keepNext w:val="0"/>
        <w:widowControl w:val="0"/>
        <w:suppressAutoHyphens w:val="0"/>
        <w:spacing w:before="0" w:after="0" w:line="240" w:lineRule="auto"/>
        <w:rPr>
          <w:rFonts w:asciiTheme="majorBidi" w:hAnsiTheme="majorBidi" w:cstheme="majorBidi"/>
          <w:sz w:val="20"/>
          <w:lang w:val="en-GB"/>
        </w:rPr>
      </w:pPr>
      <w:r w:rsidRPr="00E47186">
        <w:rPr>
          <w:rFonts w:asciiTheme="majorBidi" w:hAnsiTheme="majorBidi" w:cstheme="majorBidi"/>
          <w:sz w:val="20"/>
          <w:lang w:val="en-GB"/>
        </w:rPr>
        <w:t>Result and discussion</w:t>
      </w:r>
    </w:p>
    <w:p w14:paraId="3D9648A4" w14:textId="45C0593E" w:rsidR="00667C11" w:rsidRPr="00E47186" w:rsidRDefault="009A43FA" w:rsidP="00B25294">
      <w:pPr>
        <w:widowControl w:val="0"/>
        <w:jc w:val="both"/>
        <w:rPr>
          <w:rFonts w:asciiTheme="majorBidi" w:hAnsiTheme="majorBidi" w:cstheme="majorBidi"/>
        </w:rPr>
      </w:pPr>
      <w:r w:rsidRPr="00E47186">
        <w:rPr>
          <w:rFonts w:asciiTheme="majorBidi" w:hAnsiTheme="majorBidi" w:cstheme="majorBidi"/>
        </w:rPr>
        <w:t xml:space="preserve">PVsyst 7.3.1 software modelled photovoltaic panels for </w:t>
      </w:r>
      <w:proofErr w:type="spellStart"/>
      <w:r w:rsidRPr="00E47186">
        <w:rPr>
          <w:rFonts w:asciiTheme="majorBidi" w:hAnsiTheme="majorBidi" w:cstheme="majorBidi"/>
        </w:rPr>
        <w:t>Rafsanjan</w:t>
      </w:r>
      <w:proofErr w:type="spellEnd"/>
      <w:r w:rsidRPr="00E47186">
        <w:rPr>
          <w:rFonts w:asciiTheme="majorBidi" w:hAnsiTheme="majorBidi" w:cstheme="majorBidi"/>
        </w:rPr>
        <w:t xml:space="preserve"> City, Iran (latitude 30.4015, longitude 55.9945, altitude 1,519 m), considering local weather conditions.</w:t>
      </w:r>
      <w:r w:rsidR="005003B5" w:rsidRPr="00E47186">
        <w:rPr>
          <w:rFonts w:asciiTheme="majorBidi" w:hAnsiTheme="majorBidi" w:cstheme="majorBidi"/>
        </w:rPr>
        <w:t xml:space="preserve"> It shares borders with </w:t>
      </w:r>
      <w:proofErr w:type="spellStart"/>
      <w:r w:rsidR="005003B5" w:rsidRPr="00E47186">
        <w:rPr>
          <w:rFonts w:asciiTheme="majorBidi" w:hAnsiTheme="majorBidi" w:cstheme="majorBidi"/>
        </w:rPr>
        <w:t>Bafgh</w:t>
      </w:r>
      <w:proofErr w:type="spellEnd"/>
      <w:r w:rsidR="005003B5" w:rsidRPr="00E47186">
        <w:rPr>
          <w:rFonts w:asciiTheme="majorBidi" w:hAnsiTheme="majorBidi" w:cstheme="majorBidi"/>
        </w:rPr>
        <w:t xml:space="preserve"> to the north, </w:t>
      </w:r>
      <w:proofErr w:type="spellStart"/>
      <w:r w:rsidR="005003B5" w:rsidRPr="00E47186">
        <w:rPr>
          <w:rFonts w:asciiTheme="majorBidi" w:hAnsiTheme="majorBidi" w:cstheme="majorBidi"/>
        </w:rPr>
        <w:t>Shahrebabak</w:t>
      </w:r>
      <w:proofErr w:type="spellEnd"/>
      <w:r w:rsidR="005003B5" w:rsidRPr="00E47186">
        <w:rPr>
          <w:rFonts w:asciiTheme="majorBidi" w:hAnsiTheme="majorBidi" w:cstheme="majorBidi"/>
        </w:rPr>
        <w:t xml:space="preserve"> to the west, </w:t>
      </w:r>
      <w:proofErr w:type="spellStart"/>
      <w:r w:rsidR="005003B5" w:rsidRPr="00E47186">
        <w:rPr>
          <w:rFonts w:asciiTheme="majorBidi" w:hAnsiTheme="majorBidi" w:cstheme="majorBidi"/>
        </w:rPr>
        <w:t>Sirjan</w:t>
      </w:r>
      <w:proofErr w:type="spellEnd"/>
      <w:r w:rsidR="005003B5" w:rsidRPr="00E47186">
        <w:rPr>
          <w:rFonts w:asciiTheme="majorBidi" w:hAnsiTheme="majorBidi" w:cstheme="majorBidi"/>
        </w:rPr>
        <w:t xml:space="preserve"> to the south, and Kerman to the east. </w:t>
      </w:r>
      <w:r w:rsidR="00667C11" w:rsidRPr="00E47186">
        <w:rPr>
          <w:rFonts w:asciiTheme="majorBidi" w:hAnsiTheme="majorBidi" w:cstheme="majorBidi"/>
        </w:rPr>
        <w:t>Fig</w:t>
      </w:r>
      <w:r w:rsidR="00B9080B" w:rsidRPr="00E47186">
        <w:rPr>
          <w:rFonts w:asciiTheme="majorBidi" w:hAnsiTheme="majorBidi" w:cstheme="majorBidi"/>
        </w:rPr>
        <w:t>.</w:t>
      </w:r>
      <w:r w:rsidR="00667C11" w:rsidRPr="00E47186">
        <w:rPr>
          <w:rFonts w:asciiTheme="majorBidi" w:hAnsiTheme="majorBidi" w:cstheme="majorBidi"/>
        </w:rPr>
        <w:t xml:space="preserve"> </w:t>
      </w:r>
      <w:r w:rsidR="00B9080B" w:rsidRPr="00E47186">
        <w:rPr>
          <w:rFonts w:asciiTheme="majorBidi" w:hAnsiTheme="majorBidi" w:cstheme="majorBidi"/>
        </w:rPr>
        <w:t>2</w:t>
      </w:r>
      <w:r w:rsidR="00667C11" w:rsidRPr="00E47186">
        <w:rPr>
          <w:rFonts w:asciiTheme="majorBidi" w:hAnsiTheme="majorBidi" w:cstheme="majorBidi"/>
        </w:rPr>
        <w:t xml:space="preserve"> contrasts monthly yield and energy output between the reference </w:t>
      </w:r>
      <w:r w:rsidR="00667C11" w:rsidRPr="00E47186">
        <w:rPr>
          <w:rFonts w:asciiTheme="majorBidi" w:hAnsiTheme="majorBidi" w:cstheme="majorBidi"/>
        </w:rPr>
        <w:fldChar w:fldCharType="begin" w:fldLock="1"/>
      </w:r>
      <w:r w:rsidR="00667C11" w:rsidRPr="00E47186">
        <w:rPr>
          <w:rFonts w:asciiTheme="majorBidi" w:hAnsiTheme="majorBidi" w:cstheme="majorBidi"/>
        </w:rPr>
        <w:instrText>ADDIN CSL_CITATION {"citationItems":[{"id":"ITEM-1","itemData":{"DOI":"10.1007/s10973-021-10769-4","ISSN":"1388-6150","author":[{"dropping-particle":"","family":"Afrouzy","given":"Zahra Alizadeh","non-dropping-particle":"","parse-names":false,"suffix":""},{"dropping-particle":"","family":"Taghavi","given":"Masoud","non-dropping-particle":"","parse-names":false,"suffix":""}],"container-title":"Journal of Thermal Analysis and Calorimetry","id":"ITEM-1","issue":"3","issued":{"date-parts":[["2021","8","26"]]},"page":"1509-1536","title":"Thermo-economic analysis of a novel integrated structure for liquefied natural gas production using photovoltaic panels","type":"article-journal","volume":"145"},"uris":["http://www.mendeley.com/documents/?uuid=679b4b81-1654-4c10-82a5-49d2ffc07fe5"]}],"mendeley":{"formattedCitation":"(Afrouzy &amp; Taghavi, 2021)","plainTextFormattedCitation":"(Afrouzy &amp; Taghavi, 2021)","previouslyFormattedCitation":"(Afrouzy &amp; Taghavi, 2021)"},"properties":{"noteIndex":0},"schema":"https://github.com/citation-style-language/schema/raw/master/csl-citation.json"}</w:instrText>
      </w:r>
      <w:r w:rsidR="00667C11" w:rsidRPr="00E47186">
        <w:rPr>
          <w:rFonts w:asciiTheme="majorBidi" w:hAnsiTheme="majorBidi" w:cstheme="majorBidi"/>
        </w:rPr>
        <w:fldChar w:fldCharType="separate"/>
      </w:r>
      <w:r w:rsidR="00667C11" w:rsidRPr="00E47186">
        <w:rPr>
          <w:rFonts w:asciiTheme="majorBidi" w:hAnsiTheme="majorBidi" w:cstheme="majorBidi"/>
          <w:noProof/>
        </w:rPr>
        <w:t>(Afrouzy &amp; Taghavi, 2021)</w:t>
      </w:r>
      <w:r w:rsidR="00667C11" w:rsidRPr="00E47186">
        <w:rPr>
          <w:rFonts w:asciiTheme="majorBidi" w:hAnsiTheme="majorBidi" w:cstheme="majorBidi"/>
        </w:rPr>
        <w:fldChar w:fldCharType="end"/>
      </w:r>
      <w:r w:rsidR="00667C11" w:rsidRPr="00E47186">
        <w:rPr>
          <w:rFonts w:asciiTheme="majorBidi" w:hAnsiTheme="majorBidi" w:cstheme="majorBidi"/>
        </w:rPr>
        <w:t xml:space="preserve"> and proposed models.</w:t>
      </w:r>
    </w:p>
    <w:p w14:paraId="081D74D4" w14:textId="6D179DD6" w:rsidR="00FC0324" w:rsidRPr="00E47186" w:rsidRDefault="00FC0324" w:rsidP="00B25294">
      <w:pPr>
        <w:widowControl w:val="0"/>
        <w:jc w:val="both"/>
        <w:rPr>
          <w:rFonts w:asciiTheme="majorBidi" w:hAnsiTheme="majorBidi" w:cstheme="majorBidi"/>
        </w:rPr>
      </w:pPr>
    </w:p>
    <w:p w14:paraId="64DCE3D5" w14:textId="77777777" w:rsidR="00FC0324" w:rsidRPr="00E47186" w:rsidRDefault="00FC0324" w:rsidP="00B25294">
      <w:pPr>
        <w:widowControl w:val="0"/>
        <w:jc w:val="center"/>
        <w:rPr>
          <w:rFonts w:asciiTheme="majorBidi" w:hAnsiTheme="majorBidi" w:cstheme="majorBidi"/>
        </w:rPr>
      </w:pPr>
      <w:r w:rsidRPr="00E47186">
        <w:rPr>
          <w:rFonts w:asciiTheme="majorBidi" w:hAnsiTheme="majorBidi" w:cstheme="majorBidi"/>
          <w:noProof/>
        </w:rPr>
        <w:drawing>
          <wp:inline distT="0" distB="0" distL="0" distR="0" wp14:anchorId="5F333354" wp14:editId="51CE7039">
            <wp:extent cx="3420000" cy="1980000"/>
            <wp:effectExtent l="0" t="0" r="9525" b="1270"/>
            <wp:docPr id="1938553930"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1D5DB7" w14:textId="65A953F1" w:rsidR="00FC0324" w:rsidRPr="00E47186" w:rsidRDefault="00667C11" w:rsidP="00B25294">
      <w:pPr>
        <w:widowControl w:val="0"/>
        <w:spacing w:before="120"/>
        <w:jc w:val="both"/>
        <w:rPr>
          <w:rFonts w:asciiTheme="majorBidi" w:hAnsiTheme="majorBidi" w:cstheme="majorBidi"/>
          <w:b/>
          <w:bCs/>
        </w:rPr>
      </w:pPr>
      <w:r w:rsidRPr="00E47186">
        <w:rPr>
          <w:rFonts w:asciiTheme="majorBidi" w:hAnsiTheme="majorBidi" w:cstheme="majorBidi"/>
          <w:b/>
          <w:bCs/>
        </w:rPr>
        <w:t xml:space="preserve">Fig. </w:t>
      </w:r>
      <w:r w:rsidR="00B9080B" w:rsidRPr="00E47186">
        <w:rPr>
          <w:rFonts w:asciiTheme="majorBidi" w:hAnsiTheme="majorBidi" w:cstheme="majorBidi"/>
          <w:b/>
          <w:bCs/>
        </w:rPr>
        <w:t>2</w:t>
      </w:r>
      <w:r w:rsidRPr="00E47186">
        <w:rPr>
          <w:rFonts w:asciiTheme="majorBidi" w:hAnsiTheme="majorBidi" w:cstheme="majorBidi"/>
          <w:b/>
          <w:bCs/>
        </w:rPr>
        <w:t>.</w:t>
      </w:r>
      <w:r w:rsidRPr="00E47186">
        <w:rPr>
          <w:rFonts w:asciiTheme="majorBidi" w:hAnsiTheme="majorBidi" w:cstheme="majorBidi"/>
        </w:rPr>
        <w:t xml:space="preserve"> Presents monthly yield and energy production for reference </w:t>
      </w:r>
      <w:r w:rsidRPr="00E47186">
        <w:rPr>
          <w:rFonts w:asciiTheme="majorBidi" w:hAnsiTheme="majorBidi" w:cstheme="majorBidi"/>
        </w:rPr>
        <w:fldChar w:fldCharType="begin" w:fldLock="1"/>
      </w:r>
      <w:r w:rsidRPr="00E47186">
        <w:rPr>
          <w:rFonts w:asciiTheme="majorBidi" w:hAnsiTheme="majorBidi" w:cstheme="majorBidi"/>
        </w:rPr>
        <w:instrText>ADDIN CSL_CITATION {"citationItems":[{"id":"ITEM-1","itemData":{"DOI":"10.1007/s10973-021-10769-4","ISSN":"1388-6150","author":[{"dropping-particle":"","family":"Afrouzy","given":"Zahra Alizadeh","non-dropping-particle":"","parse-names":false,"suffix":""},{"dropping-particle":"","family":"Taghavi","given":"Masoud","non-dropping-particle":"","parse-names":false,"suffix":""}],"container-title":"Journal of Thermal Analysis and Calorimetry","id":"ITEM-1","issue":"3","issued":{"date-parts":[["2021","8","26"]]},"page":"1509-1536","title":"Thermo-economic analysis of a novel integrated structure for liquefied natural gas production using photovoltaic panels","type":"article-journal","volume":"145"},"uris":["http://www.mendeley.com/documents/?uuid=679b4b81-1654-4c10-82a5-49d2ffc07fe5"]}],"mendeley":{"formattedCitation":"(Afrouzy &amp; Taghavi, 2021)","plainTextFormattedCitation":"(Afrouzy &amp; Taghavi, 2021)"},"properties":{"noteIndex":0},"schema":"https://github.com/citation-style-language/schema/raw/master/csl-citation.json"}</w:instrText>
      </w:r>
      <w:r w:rsidRPr="00E47186">
        <w:rPr>
          <w:rFonts w:asciiTheme="majorBidi" w:hAnsiTheme="majorBidi" w:cstheme="majorBidi"/>
        </w:rPr>
        <w:fldChar w:fldCharType="separate"/>
      </w:r>
      <w:r w:rsidRPr="00E47186">
        <w:rPr>
          <w:rFonts w:asciiTheme="majorBidi" w:hAnsiTheme="majorBidi" w:cstheme="majorBidi"/>
          <w:noProof/>
        </w:rPr>
        <w:t>(Afrouzy &amp; Taghavi, 2021)</w:t>
      </w:r>
      <w:r w:rsidRPr="00E47186">
        <w:rPr>
          <w:rFonts w:asciiTheme="majorBidi" w:hAnsiTheme="majorBidi" w:cstheme="majorBidi"/>
        </w:rPr>
        <w:fldChar w:fldCharType="end"/>
      </w:r>
      <w:r w:rsidRPr="00E47186">
        <w:rPr>
          <w:rFonts w:asciiTheme="majorBidi" w:hAnsiTheme="majorBidi" w:cstheme="majorBidi"/>
        </w:rPr>
        <w:t xml:space="preserve"> and proposed models.</w:t>
      </w:r>
    </w:p>
    <w:p w14:paraId="46A0E835" w14:textId="77777777" w:rsidR="00FC0324" w:rsidRPr="00E47186" w:rsidRDefault="00FC0324" w:rsidP="00B25294">
      <w:pPr>
        <w:widowControl w:val="0"/>
        <w:jc w:val="both"/>
        <w:rPr>
          <w:rFonts w:asciiTheme="majorBidi" w:hAnsiTheme="majorBidi" w:cstheme="majorBidi"/>
        </w:rPr>
      </w:pPr>
    </w:p>
    <w:p w14:paraId="6C106330" w14:textId="77777777" w:rsidR="00B25294" w:rsidRDefault="00EA4BF0" w:rsidP="00B25294">
      <w:pPr>
        <w:widowControl w:val="0"/>
        <w:jc w:val="both"/>
        <w:rPr>
          <w:rFonts w:asciiTheme="majorBidi" w:hAnsiTheme="majorBidi" w:cstheme="majorBidi"/>
        </w:rPr>
      </w:pPr>
      <w:bookmarkStart w:id="1" w:name="_Hlk151045933"/>
      <w:r w:rsidRPr="00E47186">
        <w:rPr>
          <w:rFonts w:asciiTheme="majorBidi" w:hAnsiTheme="majorBidi" w:cstheme="majorBidi"/>
        </w:rPr>
        <w:t>Analyse location specifics and meteorological data for precise modelling. The study used fixed-tilt panels with a 32º slope angle in the PV system</w:t>
      </w:r>
      <w:r w:rsidR="00F50DF2" w:rsidRPr="00E47186">
        <w:rPr>
          <w:rFonts w:asciiTheme="majorBidi" w:hAnsiTheme="majorBidi" w:cstheme="majorBidi"/>
        </w:rPr>
        <w:t xml:space="preserve">. </w:t>
      </w:r>
      <w:r w:rsidRPr="00E47186">
        <w:rPr>
          <w:rFonts w:asciiTheme="majorBidi" w:hAnsiTheme="majorBidi" w:cstheme="majorBidi"/>
        </w:rPr>
        <w:t xml:space="preserve">According to the photovoltaic simulations, </w:t>
      </w:r>
      <w:proofErr w:type="spellStart"/>
      <w:r w:rsidRPr="00E47186">
        <w:rPr>
          <w:rFonts w:asciiTheme="majorBidi" w:hAnsiTheme="majorBidi" w:cstheme="majorBidi"/>
        </w:rPr>
        <w:t>Rafsanjan's</w:t>
      </w:r>
      <w:proofErr w:type="spellEnd"/>
      <w:r w:rsidRPr="00E47186">
        <w:rPr>
          <w:rFonts w:asciiTheme="majorBidi" w:hAnsiTheme="majorBidi" w:cstheme="majorBidi"/>
        </w:rPr>
        <w:t xml:space="preserve"> monthly average global radiation spans </w:t>
      </w:r>
      <w:r w:rsidR="00F50DF2" w:rsidRPr="00E47186">
        <w:rPr>
          <w:rFonts w:asciiTheme="majorBidi" w:hAnsiTheme="majorBidi" w:cstheme="majorBidi"/>
        </w:rPr>
        <w:t>117.5</w:t>
      </w:r>
      <w:r w:rsidRPr="00E47186">
        <w:rPr>
          <w:rFonts w:asciiTheme="majorBidi" w:hAnsiTheme="majorBidi" w:cstheme="majorBidi"/>
        </w:rPr>
        <w:t xml:space="preserve"> kWh/m² (December) to </w:t>
      </w:r>
      <w:r w:rsidR="00F50DF2" w:rsidRPr="00E47186">
        <w:rPr>
          <w:rFonts w:asciiTheme="majorBidi" w:hAnsiTheme="majorBidi" w:cstheme="majorBidi"/>
        </w:rPr>
        <w:t>253.4</w:t>
      </w:r>
      <w:r w:rsidRPr="00E47186">
        <w:rPr>
          <w:rFonts w:asciiTheme="majorBidi" w:hAnsiTheme="majorBidi" w:cstheme="majorBidi"/>
        </w:rPr>
        <w:t xml:space="preserve"> kWh/m² (June)</w:t>
      </w:r>
      <w:r w:rsidR="00F50DF2" w:rsidRPr="00E47186">
        <w:rPr>
          <w:rFonts w:asciiTheme="majorBidi" w:hAnsiTheme="majorBidi" w:cstheme="majorBidi"/>
        </w:rPr>
        <w:t xml:space="preserve">. </w:t>
      </w:r>
      <w:r w:rsidRPr="00E47186">
        <w:rPr>
          <w:rFonts w:asciiTheme="majorBidi" w:hAnsiTheme="majorBidi" w:cstheme="majorBidi"/>
        </w:rPr>
        <w:t xml:space="preserve">In July, the hottest month, the temperature averages </w:t>
      </w:r>
      <w:r w:rsidR="00F50DF2" w:rsidRPr="00E47186">
        <w:rPr>
          <w:rFonts w:asciiTheme="majorBidi" w:hAnsiTheme="majorBidi" w:cstheme="majorBidi"/>
        </w:rPr>
        <w:t>41.77</w:t>
      </w:r>
      <w:r w:rsidRPr="00E47186">
        <w:rPr>
          <w:rFonts w:asciiTheme="majorBidi" w:hAnsiTheme="majorBidi" w:cstheme="majorBidi"/>
        </w:rPr>
        <w:t xml:space="preserve"> </w:t>
      </w:r>
      <w:r w:rsidR="00F50DF2" w:rsidRPr="00E47186">
        <w:rPr>
          <w:rFonts w:asciiTheme="majorBidi" w:hAnsiTheme="majorBidi" w:cstheme="majorBidi"/>
        </w:rPr>
        <w:t>°C</w:t>
      </w:r>
      <w:r w:rsidRPr="00E47186">
        <w:rPr>
          <w:rFonts w:asciiTheme="majorBidi" w:hAnsiTheme="majorBidi" w:cstheme="majorBidi"/>
        </w:rPr>
        <w:t xml:space="preserve">, while January, the coldest, sees </w:t>
      </w:r>
      <w:r w:rsidR="00F50DF2" w:rsidRPr="00E47186">
        <w:rPr>
          <w:rFonts w:asciiTheme="majorBidi" w:hAnsiTheme="majorBidi" w:cstheme="majorBidi"/>
        </w:rPr>
        <w:t>2.566 °C</w:t>
      </w:r>
      <w:r w:rsidRPr="00E47186">
        <w:rPr>
          <w:rFonts w:asciiTheme="majorBidi" w:hAnsiTheme="majorBidi" w:cstheme="majorBidi"/>
        </w:rPr>
        <w:t xml:space="preserve">. </w:t>
      </w:r>
      <w:proofErr w:type="spellStart"/>
      <w:r w:rsidRPr="00E47186">
        <w:rPr>
          <w:rFonts w:asciiTheme="majorBidi" w:hAnsiTheme="majorBidi" w:cstheme="majorBidi"/>
        </w:rPr>
        <w:t>Rafsanjan's</w:t>
      </w:r>
      <w:proofErr w:type="spellEnd"/>
      <w:r w:rsidRPr="00E47186">
        <w:rPr>
          <w:rFonts w:asciiTheme="majorBidi" w:hAnsiTheme="majorBidi" w:cstheme="majorBidi"/>
        </w:rPr>
        <w:t xml:space="preserve"> annual average environmental temperature is </w:t>
      </w:r>
      <w:r w:rsidR="00F50DF2" w:rsidRPr="00E47186">
        <w:rPr>
          <w:rFonts w:asciiTheme="majorBidi" w:hAnsiTheme="majorBidi" w:cstheme="majorBidi"/>
        </w:rPr>
        <w:t>29.43 °C</w:t>
      </w:r>
      <w:bookmarkEnd w:id="1"/>
      <w:r w:rsidR="00F50DF2" w:rsidRPr="00E47186">
        <w:rPr>
          <w:rFonts w:asciiTheme="majorBidi" w:hAnsiTheme="majorBidi" w:cstheme="majorBidi"/>
        </w:rPr>
        <w:t xml:space="preserve">. </w:t>
      </w:r>
      <w:r w:rsidR="00572D3D" w:rsidRPr="00E47186">
        <w:rPr>
          <w:rFonts w:asciiTheme="majorBidi" w:hAnsiTheme="majorBidi" w:cstheme="majorBidi"/>
        </w:rPr>
        <w:t>Table 3 outlines the details of the examined PV system.</w:t>
      </w:r>
      <w:r w:rsidR="00B25294">
        <w:rPr>
          <w:rFonts w:asciiTheme="majorBidi" w:hAnsiTheme="majorBidi" w:cstheme="majorBidi"/>
        </w:rPr>
        <w:t xml:space="preserve"> </w:t>
      </w:r>
      <w:r w:rsidR="00B25294" w:rsidRPr="00E47186">
        <w:rPr>
          <w:rFonts w:asciiTheme="majorBidi" w:hAnsiTheme="majorBidi" w:cstheme="majorBidi"/>
        </w:rPr>
        <w:t>Fig. 3 illustrates the performance ratio (PR), array energy output, and grid-injected energy.</w:t>
      </w:r>
    </w:p>
    <w:p w14:paraId="51B218F7" w14:textId="77777777" w:rsidR="00B915E8" w:rsidRPr="00E47186" w:rsidRDefault="00B915E8" w:rsidP="00B25294">
      <w:pPr>
        <w:widowControl w:val="0"/>
        <w:jc w:val="both"/>
        <w:rPr>
          <w:rFonts w:asciiTheme="majorBidi" w:hAnsiTheme="majorBidi" w:cstheme="majorBidi"/>
        </w:rPr>
      </w:pPr>
    </w:p>
    <w:p w14:paraId="6381B226" w14:textId="37D80A96" w:rsidR="00572D3D" w:rsidRPr="00E47186" w:rsidRDefault="00572D3D" w:rsidP="00B25294">
      <w:pPr>
        <w:widowControl w:val="0"/>
        <w:jc w:val="both"/>
        <w:rPr>
          <w:rFonts w:asciiTheme="majorBidi" w:hAnsiTheme="majorBidi" w:cstheme="majorBidi"/>
        </w:rPr>
      </w:pPr>
      <w:r w:rsidRPr="00E47186">
        <w:rPr>
          <w:rFonts w:asciiTheme="majorBidi" w:hAnsiTheme="majorBidi" w:cstheme="majorBidi"/>
          <w:b/>
          <w:bCs/>
        </w:rPr>
        <w:t>Table 3.</w:t>
      </w:r>
      <w:r w:rsidRPr="00E47186">
        <w:rPr>
          <w:rFonts w:asciiTheme="majorBidi" w:hAnsiTheme="majorBidi" w:cstheme="majorBidi"/>
        </w:rPr>
        <w:t xml:space="preserve"> Characteristics of investigated PV system.</w:t>
      </w:r>
    </w:p>
    <w:tbl>
      <w:tblPr>
        <w:tblW w:w="7047" w:type="dxa"/>
        <w:jc w:val="center"/>
        <w:tblCellMar>
          <w:left w:w="0" w:type="dxa"/>
          <w:right w:w="0" w:type="dxa"/>
        </w:tblCellMar>
        <w:tblLook w:val="04A0" w:firstRow="1" w:lastRow="0" w:firstColumn="1" w:lastColumn="0" w:noHBand="0" w:noVBand="1"/>
      </w:tblPr>
      <w:tblGrid>
        <w:gridCol w:w="4531"/>
        <w:gridCol w:w="2516"/>
      </w:tblGrid>
      <w:tr w:rsidR="0079591C" w:rsidRPr="00E47186" w14:paraId="3DC1F24F" w14:textId="77777777" w:rsidTr="0079591C">
        <w:trPr>
          <w:trHeight w:val="231"/>
          <w:jc w:val="center"/>
        </w:trPr>
        <w:tc>
          <w:tcPr>
            <w:tcW w:w="7047" w:type="dxa"/>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C6AF190"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b/>
                <w:bCs/>
                <w:lang w:val="en-US"/>
              </w:rPr>
              <w:t>PV module characteristics</w:t>
            </w:r>
          </w:p>
        </w:tc>
      </w:tr>
      <w:tr w:rsidR="0079591C" w:rsidRPr="00E47186" w14:paraId="6725A36F" w14:textId="77777777" w:rsidTr="0079591C">
        <w:trPr>
          <w:trHeight w:val="231"/>
          <w:jc w:val="center"/>
        </w:trPr>
        <w:tc>
          <w:tcPr>
            <w:tcW w:w="4531" w:type="dxa"/>
            <w:tcBorders>
              <w:top w:val="single" w:sz="4" w:space="0" w:color="auto"/>
            </w:tcBorders>
            <w:shd w:val="clear" w:color="auto" w:fill="auto"/>
            <w:tcMar>
              <w:top w:w="15" w:type="dxa"/>
              <w:left w:w="108" w:type="dxa"/>
              <w:bottom w:w="0" w:type="dxa"/>
              <w:right w:w="108" w:type="dxa"/>
            </w:tcMar>
            <w:vAlign w:val="center"/>
            <w:hideMark/>
          </w:tcPr>
          <w:p w14:paraId="5479A819" w14:textId="36A86AEB"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Length</w:t>
            </w:r>
            <w:r w:rsidR="00012172">
              <w:rPr>
                <w:rFonts w:asciiTheme="majorBidi" w:hAnsiTheme="majorBidi" w:cstheme="majorBidi"/>
                <w:lang w:val="en-US"/>
              </w:rPr>
              <w:t xml:space="preserve"> </w:t>
            </w:r>
            <w:r w:rsidRPr="0079591C">
              <w:rPr>
                <w:rFonts w:asciiTheme="majorBidi" w:hAnsiTheme="majorBidi" w:cstheme="majorBidi"/>
                <w:lang w:val="en-US"/>
              </w:rPr>
              <w:t>×</w:t>
            </w:r>
            <w:r w:rsidR="00012172">
              <w:rPr>
                <w:rFonts w:asciiTheme="majorBidi" w:hAnsiTheme="majorBidi" w:cstheme="majorBidi"/>
                <w:lang w:val="en-US"/>
              </w:rPr>
              <w:t xml:space="preserve"> </w:t>
            </w:r>
            <w:r w:rsidRPr="0079591C">
              <w:rPr>
                <w:rFonts w:asciiTheme="majorBidi" w:hAnsiTheme="majorBidi" w:cstheme="majorBidi"/>
                <w:lang w:val="en-US"/>
              </w:rPr>
              <w:t>Width</w:t>
            </w:r>
            <w:r w:rsidR="00012172">
              <w:rPr>
                <w:rFonts w:asciiTheme="majorBidi" w:hAnsiTheme="majorBidi" w:cstheme="majorBidi"/>
                <w:lang w:val="en-US"/>
              </w:rPr>
              <w:t xml:space="preserve"> </w:t>
            </w:r>
            <w:r w:rsidRPr="0079591C">
              <w:rPr>
                <w:rFonts w:asciiTheme="majorBidi" w:hAnsiTheme="majorBidi" w:cstheme="majorBidi"/>
                <w:lang w:val="en-US"/>
              </w:rPr>
              <w:t>×</w:t>
            </w:r>
            <w:r w:rsidR="00012172">
              <w:rPr>
                <w:rFonts w:asciiTheme="majorBidi" w:hAnsiTheme="majorBidi" w:cstheme="majorBidi"/>
                <w:lang w:val="en-US"/>
              </w:rPr>
              <w:t xml:space="preserve"> </w:t>
            </w:r>
            <w:r w:rsidRPr="0079591C">
              <w:rPr>
                <w:rFonts w:asciiTheme="majorBidi" w:hAnsiTheme="majorBidi" w:cstheme="majorBidi"/>
                <w:lang w:val="en-US"/>
              </w:rPr>
              <w:t>Thickness (mm</w:t>
            </w:r>
            <w:proofErr w:type="gramStart"/>
            <w:r w:rsidRPr="0079591C">
              <w:rPr>
                <w:rFonts w:asciiTheme="majorBidi" w:hAnsiTheme="majorBidi" w:cstheme="majorBidi"/>
                <w:lang w:val="en-US"/>
              </w:rPr>
              <w:t>)</w:t>
            </w:r>
            <w:r w:rsidR="00012172">
              <w:rPr>
                <w:rFonts w:asciiTheme="majorBidi" w:hAnsiTheme="majorBidi" w:cstheme="majorBidi"/>
                <w:lang w:val="en-US"/>
              </w:rPr>
              <w:t xml:space="preserve"> </w:t>
            </w:r>
            <w:r w:rsidR="00B25294">
              <w:rPr>
                <w:rFonts w:asciiTheme="majorBidi" w:hAnsiTheme="majorBidi" w:cstheme="majorBidi"/>
                <w:lang w:val="en-US"/>
              </w:rPr>
              <w:t>;</w:t>
            </w:r>
            <w:proofErr w:type="gramEnd"/>
            <w:r w:rsidR="00B25294">
              <w:rPr>
                <w:rFonts w:asciiTheme="majorBidi" w:hAnsiTheme="majorBidi" w:cstheme="majorBidi"/>
                <w:lang w:val="en-US"/>
              </w:rPr>
              <w:t xml:space="preserve"> </w:t>
            </w:r>
            <w:r w:rsidR="00A01C60" w:rsidRPr="0079591C">
              <w:rPr>
                <w:rFonts w:asciiTheme="majorBidi" w:hAnsiTheme="majorBidi" w:cstheme="majorBidi"/>
                <w:lang w:val="en-US"/>
              </w:rPr>
              <w:t>Weight (kg)</w:t>
            </w:r>
          </w:p>
        </w:tc>
        <w:tc>
          <w:tcPr>
            <w:tcW w:w="2516" w:type="dxa"/>
            <w:tcBorders>
              <w:top w:val="single" w:sz="4" w:space="0" w:color="auto"/>
            </w:tcBorders>
            <w:shd w:val="clear" w:color="auto" w:fill="auto"/>
            <w:tcMar>
              <w:top w:w="15" w:type="dxa"/>
              <w:left w:w="108" w:type="dxa"/>
              <w:bottom w:w="0" w:type="dxa"/>
              <w:right w:w="108" w:type="dxa"/>
            </w:tcMar>
            <w:vAlign w:val="center"/>
            <w:hideMark/>
          </w:tcPr>
          <w:p w14:paraId="5A32BA65" w14:textId="429F8AE9" w:rsidR="0079591C" w:rsidRPr="0079591C" w:rsidRDefault="002242C4" w:rsidP="00B25294">
            <w:pPr>
              <w:widowControl w:val="0"/>
              <w:jc w:val="both"/>
              <w:rPr>
                <w:rFonts w:asciiTheme="majorBidi" w:hAnsiTheme="majorBidi" w:cstheme="majorBidi"/>
                <w:lang w:val="en-US"/>
              </w:rPr>
            </w:pPr>
            <w:r w:rsidRPr="00E47186">
              <w:rPr>
                <w:rFonts w:asciiTheme="majorBidi" w:hAnsiTheme="majorBidi" w:cstheme="majorBidi"/>
                <w:lang w:val="en-US"/>
              </w:rPr>
              <w:t>2,278</w:t>
            </w:r>
            <w:r w:rsidR="0079591C" w:rsidRPr="0079591C">
              <w:rPr>
                <w:rFonts w:asciiTheme="majorBidi" w:hAnsiTheme="majorBidi" w:cstheme="majorBidi"/>
                <w:lang w:val="en-US"/>
              </w:rPr>
              <w:t xml:space="preserve"> × </w:t>
            </w:r>
            <w:r w:rsidRPr="00E47186">
              <w:rPr>
                <w:rFonts w:asciiTheme="majorBidi" w:hAnsiTheme="majorBidi" w:cstheme="majorBidi"/>
                <w:lang w:val="en-US"/>
              </w:rPr>
              <w:t>1,134</w:t>
            </w:r>
            <w:r w:rsidR="0079591C" w:rsidRPr="0079591C">
              <w:rPr>
                <w:rFonts w:asciiTheme="majorBidi" w:hAnsiTheme="majorBidi" w:cstheme="majorBidi"/>
                <w:lang w:val="en-US"/>
              </w:rPr>
              <w:t xml:space="preserve"> × </w:t>
            </w:r>
            <w:proofErr w:type="gramStart"/>
            <w:r w:rsidR="0079591C" w:rsidRPr="0079591C">
              <w:rPr>
                <w:rFonts w:asciiTheme="majorBidi" w:hAnsiTheme="majorBidi" w:cstheme="majorBidi"/>
                <w:lang w:val="en-US"/>
              </w:rPr>
              <w:t>35</w:t>
            </w:r>
            <w:r w:rsidR="00012172">
              <w:rPr>
                <w:rFonts w:asciiTheme="majorBidi" w:hAnsiTheme="majorBidi" w:cstheme="majorBidi"/>
                <w:lang w:val="en-US"/>
              </w:rPr>
              <w:t xml:space="preserve"> </w:t>
            </w:r>
            <w:r w:rsidR="00B25294">
              <w:rPr>
                <w:rFonts w:asciiTheme="majorBidi" w:hAnsiTheme="majorBidi" w:cstheme="majorBidi"/>
                <w:lang w:val="en-US"/>
              </w:rPr>
              <w:t>;</w:t>
            </w:r>
            <w:proofErr w:type="gramEnd"/>
            <w:r w:rsidR="00A01C60" w:rsidRPr="00E47186">
              <w:rPr>
                <w:rFonts w:asciiTheme="majorBidi" w:hAnsiTheme="majorBidi" w:cstheme="majorBidi"/>
                <w:lang w:val="en-US"/>
              </w:rPr>
              <w:t xml:space="preserve"> 28.5</w:t>
            </w:r>
          </w:p>
        </w:tc>
      </w:tr>
      <w:tr w:rsidR="0079591C" w:rsidRPr="00E47186" w14:paraId="5291DE9F" w14:textId="77777777" w:rsidTr="0079591C">
        <w:trPr>
          <w:trHeight w:val="231"/>
          <w:jc w:val="center"/>
        </w:trPr>
        <w:tc>
          <w:tcPr>
            <w:tcW w:w="4531" w:type="dxa"/>
            <w:shd w:val="clear" w:color="auto" w:fill="auto"/>
            <w:tcMar>
              <w:top w:w="15" w:type="dxa"/>
              <w:left w:w="108" w:type="dxa"/>
              <w:bottom w:w="0" w:type="dxa"/>
              <w:right w:w="108" w:type="dxa"/>
            </w:tcMar>
            <w:vAlign w:val="center"/>
            <w:hideMark/>
          </w:tcPr>
          <w:p w14:paraId="00A11BAF"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Number of Module</w:t>
            </w:r>
          </w:p>
        </w:tc>
        <w:tc>
          <w:tcPr>
            <w:tcW w:w="2516" w:type="dxa"/>
            <w:shd w:val="clear" w:color="auto" w:fill="auto"/>
            <w:tcMar>
              <w:top w:w="15" w:type="dxa"/>
              <w:left w:w="108" w:type="dxa"/>
              <w:bottom w:w="0" w:type="dxa"/>
              <w:right w:w="108" w:type="dxa"/>
            </w:tcMar>
            <w:vAlign w:val="center"/>
            <w:hideMark/>
          </w:tcPr>
          <w:p w14:paraId="3FAFB3CF" w14:textId="5DCA8448" w:rsidR="0079591C" w:rsidRPr="0079591C" w:rsidRDefault="00B915E8" w:rsidP="00B25294">
            <w:pPr>
              <w:widowControl w:val="0"/>
              <w:jc w:val="both"/>
              <w:rPr>
                <w:rFonts w:asciiTheme="majorBidi" w:hAnsiTheme="majorBidi" w:cstheme="majorBidi"/>
                <w:lang w:val="en-US"/>
              </w:rPr>
            </w:pPr>
            <w:r w:rsidRPr="00E47186">
              <w:rPr>
                <w:rFonts w:asciiTheme="majorBidi" w:hAnsiTheme="majorBidi" w:cstheme="majorBidi"/>
              </w:rPr>
              <w:t>3</w:t>
            </w:r>
          </w:p>
        </w:tc>
      </w:tr>
      <w:tr w:rsidR="0079591C" w:rsidRPr="00E47186" w14:paraId="228ECEFF" w14:textId="77777777" w:rsidTr="0079591C">
        <w:trPr>
          <w:trHeight w:val="231"/>
          <w:jc w:val="center"/>
        </w:trPr>
        <w:tc>
          <w:tcPr>
            <w:tcW w:w="4531" w:type="dxa"/>
            <w:shd w:val="clear" w:color="auto" w:fill="auto"/>
            <w:tcMar>
              <w:top w:w="15" w:type="dxa"/>
              <w:left w:w="108" w:type="dxa"/>
              <w:bottom w:w="0" w:type="dxa"/>
              <w:right w:w="108" w:type="dxa"/>
            </w:tcMar>
            <w:vAlign w:val="center"/>
            <w:hideMark/>
          </w:tcPr>
          <w:p w14:paraId="41165792"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Manufacturer</w:t>
            </w:r>
          </w:p>
        </w:tc>
        <w:tc>
          <w:tcPr>
            <w:tcW w:w="2516" w:type="dxa"/>
            <w:shd w:val="clear" w:color="auto" w:fill="auto"/>
            <w:tcMar>
              <w:top w:w="15" w:type="dxa"/>
              <w:left w:w="108" w:type="dxa"/>
              <w:bottom w:w="0" w:type="dxa"/>
              <w:right w:w="108" w:type="dxa"/>
            </w:tcMar>
            <w:vAlign w:val="center"/>
            <w:hideMark/>
          </w:tcPr>
          <w:p w14:paraId="112A65C4" w14:textId="22D033AC" w:rsidR="0079591C" w:rsidRPr="0079591C" w:rsidRDefault="002242C4" w:rsidP="00B25294">
            <w:pPr>
              <w:widowControl w:val="0"/>
              <w:jc w:val="both"/>
              <w:rPr>
                <w:rFonts w:asciiTheme="majorBidi" w:hAnsiTheme="majorBidi" w:cstheme="majorBidi"/>
                <w:lang w:val="en-US"/>
              </w:rPr>
            </w:pPr>
            <w:proofErr w:type="spellStart"/>
            <w:r w:rsidRPr="00E47186">
              <w:rPr>
                <w:rFonts w:asciiTheme="majorBidi" w:hAnsiTheme="majorBidi" w:cstheme="majorBidi"/>
              </w:rPr>
              <w:t>Axitec</w:t>
            </w:r>
            <w:proofErr w:type="spellEnd"/>
            <w:r w:rsidRPr="00E47186">
              <w:rPr>
                <w:rFonts w:asciiTheme="majorBidi" w:hAnsiTheme="majorBidi" w:cstheme="majorBidi"/>
              </w:rPr>
              <w:t xml:space="preserve"> Energy</w:t>
            </w:r>
          </w:p>
        </w:tc>
      </w:tr>
      <w:tr w:rsidR="0079591C" w:rsidRPr="00E47186" w14:paraId="6E444C9D" w14:textId="77777777" w:rsidTr="003A4878">
        <w:trPr>
          <w:trHeight w:val="42"/>
          <w:jc w:val="center"/>
        </w:trPr>
        <w:tc>
          <w:tcPr>
            <w:tcW w:w="4531" w:type="dxa"/>
            <w:tcBorders>
              <w:bottom w:val="single" w:sz="4" w:space="0" w:color="auto"/>
            </w:tcBorders>
            <w:shd w:val="clear" w:color="auto" w:fill="auto"/>
            <w:tcMar>
              <w:top w:w="15" w:type="dxa"/>
              <w:left w:w="108" w:type="dxa"/>
              <w:bottom w:w="0" w:type="dxa"/>
              <w:right w:w="108" w:type="dxa"/>
            </w:tcMar>
            <w:vAlign w:val="center"/>
            <w:hideMark/>
          </w:tcPr>
          <w:p w14:paraId="5BA7C85A"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Description and details</w:t>
            </w:r>
          </w:p>
        </w:tc>
        <w:tc>
          <w:tcPr>
            <w:tcW w:w="2516" w:type="dxa"/>
            <w:tcBorders>
              <w:bottom w:val="single" w:sz="4" w:space="0" w:color="auto"/>
            </w:tcBorders>
            <w:shd w:val="clear" w:color="auto" w:fill="auto"/>
            <w:tcMar>
              <w:top w:w="15" w:type="dxa"/>
              <w:left w:w="108" w:type="dxa"/>
              <w:bottom w:w="0" w:type="dxa"/>
              <w:right w:w="108" w:type="dxa"/>
            </w:tcMar>
            <w:vAlign w:val="center"/>
            <w:hideMark/>
          </w:tcPr>
          <w:p w14:paraId="4EBE1BFB" w14:textId="2D8C1973" w:rsidR="0079591C" w:rsidRPr="0079591C" w:rsidRDefault="002242C4" w:rsidP="00B25294">
            <w:pPr>
              <w:widowControl w:val="0"/>
              <w:jc w:val="both"/>
              <w:rPr>
                <w:rFonts w:asciiTheme="majorBidi" w:hAnsiTheme="majorBidi" w:cstheme="majorBidi"/>
                <w:lang w:val="en-US"/>
              </w:rPr>
            </w:pPr>
            <w:r w:rsidRPr="00E47186">
              <w:rPr>
                <w:rFonts w:asciiTheme="majorBidi" w:hAnsiTheme="majorBidi" w:cstheme="majorBidi"/>
              </w:rPr>
              <w:t xml:space="preserve">AXITEC </w:t>
            </w:r>
            <w:r w:rsidR="00B915E8" w:rsidRPr="00E47186">
              <w:rPr>
                <w:rFonts w:asciiTheme="majorBidi" w:hAnsiTheme="majorBidi" w:cstheme="majorBidi"/>
              </w:rPr>
              <w:t>AC-550MBT</w:t>
            </w:r>
            <w:r w:rsidRPr="00E47186">
              <w:rPr>
                <w:rFonts w:asciiTheme="majorBidi" w:hAnsiTheme="majorBidi" w:cstheme="majorBidi"/>
              </w:rPr>
              <w:t>/144</w:t>
            </w:r>
          </w:p>
        </w:tc>
      </w:tr>
      <w:tr w:rsidR="0079591C" w:rsidRPr="00E47186" w14:paraId="15D05C1E" w14:textId="77777777" w:rsidTr="0079591C">
        <w:trPr>
          <w:trHeight w:val="231"/>
          <w:jc w:val="center"/>
        </w:trPr>
        <w:tc>
          <w:tcPr>
            <w:tcW w:w="7047" w:type="dxa"/>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D3C1A78"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b/>
                <w:bCs/>
                <w:lang w:val="en-US"/>
              </w:rPr>
              <w:t>PV inverter characteristics</w:t>
            </w:r>
          </w:p>
        </w:tc>
      </w:tr>
      <w:tr w:rsidR="0079591C" w:rsidRPr="00E47186" w14:paraId="1DD0D0CF" w14:textId="77777777" w:rsidTr="0079591C">
        <w:trPr>
          <w:trHeight w:val="231"/>
          <w:jc w:val="center"/>
        </w:trPr>
        <w:tc>
          <w:tcPr>
            <w:tcW w:w="4531" w:type="dxa"/>
            <w:tcBorders>
              <w:top w:val="single" w:sz="4" w:space="0" w:color="auto"/>
            </w:tcBorders>
            <w:shd w:val="clear" w:color="auto" w:fill="auto"/>
            <w:tcMar>
              <w:top w:w="15" w:type="dxa"/>
              <w:left w:w="108" w:type="dxa"/>
              <w:bottom w:w="0" w:type="dxa"/>
              <w:right w:w="108" w:type="dxa"/>
            </w:tcMar>
            <w:vAlign w:val="center"/>
            <w:hideMark/>
          </w:tcPr>
          <w:p w14:paraId="756A9B4D" w14:textId="39C78790" w:rsidR="0079591C" w:rsidRPr="0079591C" w:rsidRDefault="0079591C" w:rsidP="00B25294">
            <w:pPr>
              <w:widowControl w:val="0"/>
              <w:jc w:val="both"/>
              <w:rPr>
                <w:rFonts w:asciiTheme="majorBidi" w:hAnsiTheme="majorBidi" w:cstheme="majorBidi"/>
                <w:lang w:val="en-US" w:eastAsia="ko-KR"/>
              </w:rPr>
            </w:pPr>
            <w:r w:rsidRPr="0079591C">
              <w:rPr>
                <w:rFonts w:asciiTheme="majorBidi" w:hAnsiTheme="majorBidi" w:cstheme="majorBidi"/>
                <w:lang w:val="en-US"/>
              </w:rPr>
              <w:t>Length × Width × Thickness (mm</w:t>
            </w:r>
            <w:proofErr w:type="gramStart"/>
            <w:r w:rsidRPr="0079591C">
              <w:rPr>
                <w:rFonts w:asciiTheme="majorBidi" w:hAnsiTheme="majorBidi" w:cstheme="majorBidi"/>
                <w:lang w:val="en-US"/>
              </w:rPr>
              <w:t>)</w:t>
            </w:r>
            <w:r w:rsidR="00A01C60" w:rsidRPr="00E47186">
              <w:rPr>
                <w:rFonts w:asciiTheme="majorBidi" w:hAnsiTheme="majorBidi" w:cstheme="majorBidi"/>
                <w:lang w:val="en-US" w:eastAsia="ko-KR"/>
              </w:rPr>
              <w:t xml:space="preserve"> </w:t>
            </w:r>
            <w:r w:rsidR="00012172">
              <w:rPr>
                <w:rFonts w:asciiTheme="majorBidi" w:hAnsiTheme="majorBidi" w:cstheme="majorBidi"/>
                <w:lang w:val="en-US" w:eastAsia="ko-KR"/>
              </w:rPr>
              <w:t>;</w:t>
            </w:r>
            <w:proofErr w:type="gramEnd"/>
            <w:r w:rsidR="00A01C60" w:rsidRPr="00E47186">
              <w:rPr>
                <w:rFonts w:asciiTheme="majorBidi" w:hAnsiTheme="majorBidi" w:cstheme="majorBidi"/>
                <w:lang w:val="en-US" w:eastAsia="ko-KR"/>
              </w:rPr>
              <w:t xml:space="preserve"> </w:t>
            </w:r>
            <w:r w:rsidR="00A01C60" w:rsidRPr="0079591C">
              <w:rPr>
                <w:rFonts w:asciiTheme="majorBidi" w:hAnsiTheme="majorBidi" w:cstheme="majorBidi"/>
                <w:lang w:val="en-US"/>
              </w:rPr>
              <w:t>Weight (kg)</w:t>
            </w:r>
          </w:p>
        </w:tc>
        <w:tc>
          <w:tcPr>
            <w:tcW w:w="2516" w:type="dxa"/>
            <w:tcBorders>
              <w:top w:val="single" w:sz="4" w:space="0" w:color="auto"/>
            </w:tcBorders>
            <w:shd w:val="clear" w:color="auto" w:fill="auto"/>
            <w:tcMar>
              <w:top w:w="15" w:type="dxa"/>
              <w:left w:w="108" w:type="dxa"/>
              <w:bottom w:w="0" w:type="dxa"/>
              <w:right w:w="108" w:type="dxa"/>
            </w:tcMar>
            <w:vAlign w:val="center"/>
            <w:hideMark/>
          </w:tcPr>
          <w:p w14:paraId="15D4BFDA" w14:textId="7063E044" w:rsidR="0079591C" w:rsidRPr="0079591C" w:rsidRDefault="002242C4" w:rsidP="00B25294">
            <w:pPr>
              <w:widowControl w:val="0"/>
              <w:jc w:val="both"/>
              <w:rPr>
                <w:rFonts w:asciiTheme="majorBidi" w:hAnsiTheme="majorBidi" w:cstheme="majorBidi"/>
                <w:lang w:val="en-US"/>
              </w:rPr>
            </w:pPr>
            <w:r w:rsidRPr="00E47186">
              <w:rPr>
                <w:rFonts w:asciiTheme="majorBidi" w:hAnsiTheme="majorBidi" w:cstheme="majorBidi"/>
                <w:lang w:val="en-US"/>
              </w:rPr>
              <w:t>714</w:t>
            </w:r>
            <w:r w:rsidR="0079591C" w:rsidRPr="0079591C">
              <w:rPr>
                <w:rFonts w:asciiTheme="majorBidi" w:hAnsiTheme="majorBidi" w:cstheme="majorBidi"/>
                <w:lang w:val="en-US"/>
              </w:rPr>
              <w:t xml:space="preserve"> × </w:t>
            </w:r>
            <w:r w:rsidRPr="00E47186">
              <w:rPr>
                <w:rFonts w:asciiTheme="majorBidi" w:hAnsiTheme="majorBidi" w:cstheme="majorBidi"/>
                <w:lang w:val="en-US"/>
              </w:rPr>
              <w:t>1,176</w:t>
            </w:r>
            <w:r w:rsidR="0079591C" w:rsidRPr="0079591C">
              <w:rPr>
                <w:rFonts w:asciiTheme="majorBidi" w:hAnsiTheme="majorBidi" w:cstheme="majorBidi"/>
                <w:lang w:val="en-US"/>
              </w:rPr>
              <w:t xml:space="preserve"> × </w:t>
            </w:r>
            <w:proofErr w:type="gramStart"/>
            <w:r w:rsidRPr="00E47186">
              <w:rPr>
                <w:rFonts w:asciiTheme="majorBidi" w:hAnsiTheme="majorBidi" w:cstheme="majorBidi"/>
                <w:lang w:val="en-US"/>
              </w:rPr>
              <w:t>315</w:t>
            </w:r>
            <w:r w:rsidR="00A01C60" w:rsidRPr="00E47186">
              <w:rPr>
                <w:rFonts w:asciiTheme="majorBidi" w:hAnsiTheme="majorBidi" w:cstheme="majorBidi"/>
                <w:lang w:val="en-US"/>
              </w:rPr>
              <w:t xml:space="preserve"> </w:t>
            </w:r>
            <w:r w:rsidR="00012172">
              <w:rPr>
                <w:rFonts w:asciiTheme="majorBidi" w:hAnsiTheme="majorBidi" w:cstheme="majorBidi"/>
                <w:lang w:val="en-US"/>
              </w:rPr>
              <w:t>;</w:t>
            </w:r>
            <w:proofErr w:type="gramEnd"/>
            <w:r w:rsidR="00A01C60" w:rsidRPr="00E47186">
              <w:rPr>
                <w:rFonts w:asciiTheme="majorBidi" w:hAnsiTheme="majorBidi" w:cstheme="majorBidi"/>
                <w:lang w:val="en-US"/>
              </w:rPr>
              <w:t xml:space="preserve"> 84</w:t>
            </w:r>
          </w:p>
        </w:tc>
      </w:tr>
      <w:tr w:rsidR="0079591C" w:rsidRPr="00E47186" w14:paraId="0299A173" w14:textId="77777777" w:rsidTr="0079591C">
        <w:trPr>
          <w:trHeight w:val="231"/>
          <w:jc w:val="center"/>
        </w:trPr>
        <w:tc>
          <w:tcPr>
            <w:tcW w:w="4531" w:type="dxa"/>
            <w:shd w:val="clear" w:color="auto" w:fill="auto"/>
            <w:tcMar>
              <w:top w:w="15" w:type="dxa"/>
              <w:left w:w="108" w:type="dxa"/>
              <w:bottom w:w="0" w:type="dxa"/>
              <w:right w:w="108" w:type="dxa"/>
            </w:tcMar>
            <w:vAlign w:val="center"/>
            <w:hideMark/>
          </w:tcPr>
          <w:p w14:paraId="5C1B7087"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Number of Inverter</w:t>
            </w:r>
          </w:p>
        </w:tc>
        <w:tc>
          <w:tcPr>
            <w:tcW w:w="2516" w:type="dxa"/>
            <w:shd w:val="clear" w:color="auto" w:fill="auto"/>
            <w:tcMar>
              <w:top w:w="15" w:type="dxa"/>
              <w:left w:w="108" w:type="dxa"/>
              <w:bottom w:w="0" w:type="dxa"/>
              <w:right w:w="108" w:type="dxa"/>
            </w:tcMar>
            <w:vAlign w:val="center"/>
            <w:hideMark/>
          </w:tcPr>
          <w:p w14:paraId="23B8C63C" w14:textId="3C282E17" w:rsidR="0079591C" w:rsidRPr="0079591C" w:rsidRDefault="00B915E8" w:rsidP="00B25294">
            <w:pPr>
              <w:widowControl w:val="0"/>
              <w:jc w:val="both"/>
              <w:rPr>
                <w:rFonts w:asciiTheme="majorBidi" w:hAnsiTheme="majorBidi" w:cstheme="majorBidi"/>
                <w:lang w:val="en-US"/>
              </w:rPr>
            </w:pPr>
            <w:r w:rsidRPr="00E47186">
              <w:rPr>
                <w:rFonts w:asciiTheme="majorBidi" w:hAnsiTheme="majorBidi" w:cstheme="majorBidi"/>
              </w:rPr>
              <w:t>157</w:t>
            </w:r>
          </w:p>
        </w:tc>
      </w:tr>
      <w:tr w:rsidR="0079591C" w:rsidRPr="00E47186" w14:paraId="55F334D9" w14:textId="77777777" w:rsidTr="0079591C">
        <w:trPr>
          <w:trHeight w:val="231"/>
          <w:jc w:val="center"/>
        </w:trPr>
        <w:tc>
          <w:tcPr>
            <w:tcW w:w="4531" w:type="dxa"/>
            <w:shd w:val="clear" w:color="auto" w:fill="auto"/>
            <w:tcMar>
              <w:top w:w="15" w:type="dxa"/>
              <w:left w:w="108" w:type="dxa"/>
              <w:bottom w:w="0" w:type="dxa"/>
              <w:right w:w="108" w:type="dxa"/>
            </w:tcMar>
            <w:vAlign w:val="center"/>
            <w:hideMark/>
          </w:tcPr>
          <w:p w14:paraId="5AD36E5A"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Manufacturer</w:t>
            </w:r>
          </w:p>
        </w:tc>
        <w:tc>
          <w:tcPr>
            <w:tcW w:w="2516" w:type="dxa"/>
            <w:shd w:val="clear" w:color="auto" w:fill="auto"/>
            <w:tcMar>
              <w:top w:w="15" w:type="dxa"/>
              <w:left w:w="108" w:type="dxa"/>
              <w:bottom w:w="0" w:type="dxa"/>
              <w:right w:w="108" w:type="dxa"/>
            </w:tcMar>
            <w:vAlign w:val="center"/>
            <w:hideMark/>
          </w:tcPr>
          <w:p w14:paraId="7C3D47AA" w14:textId="553DF322" w:rsidR="0079591C" w:rsidRPr="0079591C" w:rsidRDefault="00B915E8" w:rsidP="00B25294">
            <w:pPr>
              <w:widowControl w:val="0"/>
              <w:jc w:val="both"/>
              <w:rPr>
                <w:rFonts w:asciiTheme="majorBidi" w:hAnsiTheme="majorBidi" w:cstheme="majorBidi"/>
                <w:lang w:val="en-US"/>
              </w:rPr>
            </w:pPr>
            <w:r w:rsidRPr="00E47186">
              <w:rPr>
                <w:rFonts w:asciiTheme="majorBidi" w:hAnsiTheme="majorBidi" w:cstheme="majorBidi"/>
              </w:rPr>
              <w:t>Canadian Solar</w:t>
            </w:r>
            <w:r w:rsidR="002242C4" w:rsidRPr="00E47186">
              <w:rPr>
                <w:rFonts w:asciiTheme="majorBidi" w:hAnsiTheme="majorBidi" w:cstheme="majorBidi"/>
              </w:rPr>
              <w:t xml:space="preserve"> Inc.</w:t>
            </w:r>
          </w:p>
        </w:tc>
      </w:tr>
      <w:tr w:rsidR="0079591C" w:rsidRPr="00E47186" w14:paraId="2B7868F6" w14:textId="77777777" w:rsidTr="0079591C">
        <w:trPr>
          <w:trHeight w:val="231"/>
          <w:jc w:val="center"/>
        </w:trPr>
        <w:tc>
          <w:tcPr>
            <w:tcW w:w="4531" w:type="dxa"/>
            <w:tcBorders>
              <w:bottom w:val="single" w:sz="4" w:space="0" w:color="auto"/>
            </w:tcBorders>
            <w:shd w:val="clear" w:color="auto" w:fill="auto"/>
            <w:tcMar>
              <w:top w:w="15" w:type="dxa"/>
              <w:left w:w="108" w:type="dxa"/>
              <w:bottom w:w="0" w:type="dxa"/>
              <w:right w:w="108" w:type="dxa"/>
            </w:tcMar>
            <w:vAlign w:val="center"/>
            <w:hideMark/>
          </w:tcPr>
          <w:p w14:paraId="6E3F5ED7" w14:textId="77777777" w:rsidR="0079591C" w:rsidRPr="0079591C" w:rsidRDefault="0079591C" w:rsidP="00B25294">
            <w:pPr>
              <w:widowControl w:val="0"/>
              <w:jc w:val="both"/>
              <w:rPr>
                <w:rFonts w:asciiTheme="majorBidi" w:hAnsiTheme="majorBidi" w:cstheme="majorBidi"/>
                <w:lang w:val="en-US"/>
              </w:rPr>
            </w:pPr>
            <w:r w:rsidRPr="0079591C">
              <w:rPr>
                <w:rFonts w:asciiTheme="majorBidi" w:hAnsiTheme="majorBidi" w:cstheme="majorBidi"/>
                <w:lang w:val="en-US"/>
              </w:rPr>
              <w:t>Description and details</w:t>
            </w:r>
          </w:p>
        </w:tc>
        <w:tc>
          <w:tcPr>
            <w:tcW w:w="2516" w:type="dxa"/>
            <w:tcBorders>
              <w:bottom w:val="single" w:sz="4" w:space="0" w:color="auto"/>
            </w:tcBorders>
            <w:shd w:val="clear" w:color="auto" w:fill="auto"/>
            <w:tcMar>
              <w:top w:w="15" w:type="dxa"/>
              <w:left w:w="108" w:type="dxa"/>
              <w:bottom w:w="0" w:type="dxa"/>
              <w:right w:w="108" w:type="dxa"/>
            </w:tcMar>
            <w:vAlign w:val="center"/>
            <w:hideMark/>
          </w:tcPr>
          <w:p w14:paraId="10266188" w14:textId="59CB1449" w:rsidR="0079591C" w:rsidRPr="0079591C" w:rsidRDefault="00B915E8" w:rsidP="00B25294">
            <w:pPr>
              <w:widowControl w:val="0"/>
              <w:jc w:val="both"/>
              <w:rPr>
                <w:rFonts w:asciiTheme="majorBidi" w:hAnsiTheme="majorBidi" w:cstheme="majorBidi"/>
                <w:lang w:val="en-US"/>
              </w:rPr>
            </w:pPr>
            <w:r w:rsidRPr="00E47186">
              <w:rPr>
                <w:rFonts w:asciiTheme="majorBidi" w:hAnsiTheme="majorBidi" w:cstheme="majorBidi"/>
              </w:rPr>
              <w:t>CS-125KT</w:t>
            </w:r>
            <w:r w:rsidR="002242C4" w:rsidRPr="00E47186">
              <w:rPr>
                <w:rFonts w:asciiTheme="majorBidi" w:hAnsiTheme="majorBidi" w:cstheme="majorBidi"/>
              </w:rPr>
              <w:t>L-GI-E</w:t>
            </w:r>
          </w:p>
        </w:tc>
      </w:tr>
    </w:tbl>
    <w:p w14:paraId="40B980F0" w14:textId="5A7B364A" w:rsidR="005A112E" w:rsidRPr="00E47186" w:rsidRDefault="0065211E" w:rsidP="00B25294">
      <w:pPr>
        <w:widowControl w:val="0"/>
        <w:jc w:val="center"/>
        <w:rPr>
          <w:rFonts w:asciiTheme="majorBidi" w:hAnsiTheme="majorBidi" w:cstheme="majorBidi"/>
        </w:rPr>
      </w:pPr>
      <w:r w:rsidRPr="00E47186">
        <w:rPr>
          <w:rFonts w:asciiTheme="majorBidi" w:hAnsiTheme="majorBidi" w:cstheme="majorBidi"/>
          <w:noProof/>
        </w:rPr>
        <w:lastRenderedPageBreak/>
        <w:drawing>
          <wp:inline distT="0" distB="0" distL="0" distR="0" wp14:anchorId="43DEA0EE" wp14:editId="544E1BF8">
            <wp:extent cx="3420000" cy="1800000"/>
            <wp:effectExtent l="0" t="0" r="9525" b="10160"/>
            <wp:docPr id="164452929" name="Chart 2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9448F0" w14:textId="6863A5D6" w:rsidR="005A112E" w:rsidRPr="00E47186" w:rsidRDefault="005A112E" w:rsidP="00B25294">
      <w:pPr>
        <w:widowControl w:val="0"/>
        <w:spacing w:before="120"/>
        <w:jc w:val="both"/>
        <w:rPr>
          <w:rFonts w:asciiTheme="majorBidi" w:hAnsiTheme="majorBidi" w:cstheme="majorBidi"/>
        </w:rPr>
      </w:pPr>
      <w:r w:rsidRPr="00E47186">
        <w:rPr>
          <w:rFonts w:asciiTheme="majorBidi" w:hAnsiTheme="majorBidi" w:cstheme="majorBidi"/>
          <w:b/>
          <w:bCs/>
        </w:rPr>
        <w:t xml:space="preserve">Fig. </w:t>
      </w:r>
      <w:r w:rsidR="00B9080B" w:rsidRPr="00E47186">
        <w:rPr>
          <w:rFonts w:asciiTheme="majorBidi" w:hAnsiTheme="majorBidi" w:cstheme="majorBidi"/>
          <w:b/>
          <w:bCs/>
        </w:rPr>
        <w:t>3</w:t>
      </w:r>
      <w:r w:rsidRPr="00E47186">
        <w:rPr>
          <w:rFonts w:asciiTheme="majorBidi" w:hAnsiTheme="majorBidi" w:cstheme="majorBidi"/>
          <w:b/>
          <w:bCs/>
        </w:rPr>
        <w:t>.</w:t>
      </w:r>
      <w:r w:rsidRPr="00E47186">
        <w:rPr>
          <w:rFonts w:asciiTheme="majorBidi" w:hAnsiTheme="majorBidi" w:cstheme="majorBidi"/>
        </w:rPr>
        <w:t xml:space="preserve"> Monthly array energy production and energy injected into the grid and PR.</w:t>
      </w:r>
    </w:p>
    <w:p w14:paraId="76F9428C" w14:textId="560235B2" w:rsidR="005A112E" w:rsidRPr="00E47186" w:rsidRDefault="005A112E" w:rsidP="00B25294">
      <w:pPr>
        <w:pStyle w:val="Els-body-text"/>
        <w:widowControl w:val="0"/>
        <w:rPr>
          <w:rFonts w:asciiTheme="majorBidi" w:hAnsiTheme="majorBidi" w:cstheme="majorBidi"/>
          <w:lang w:val="en-GB"/>
        </w:rPr>
      </w:pPr>
    </w:p>
    <w:p w14:paraId="28C3085D" w14:textId="1184BF1C" w:rsidR="005A112E" w:rsidRPr="00E47186" w:rsidRDefault="00AC43B6" w:rsidP="00B25294">
      <w:pPr>
        <w:widowControl w:val="0"/>
        <w:jc w:val="both"/>
        <w:rPr>
          <w:rFonts w:asciiTheme="majorBidi" w:hAnsiTheme="majorBidi" w:cstheme="majorBidi"/>
        </w:rPr>
      </w:pPr>
      <w:r w:rsidRPr="00E47186">
        <w:rPr>
          <w:rFonts w:asciiTheme="majorBidi" w:hAnsiTheme="majorBidi" w:cstheme="majorBidi"/>
        </w:rPr>
        <w:t>Fig. 3 showcases monthly solar energy injection for various systems throughout the year.</w:t>
      </w:r>
      <w:r w:rsidR="00E47186">
        <w:rPr>
          <w:rFonts w:asciiTheme="majorBidi" w:hAnsiTheme="majorBidi" w:cstheme="majorBidi"/>
        </w:rPr>
        <w:t xml:space="preserve"> </w:t>
      </w:r>
      <w:r w:rsidRPr="00E47186">
        <w:rPr>
          <w:rFonts w:asciiTheme="majorBidi" w:hAnsiTheme="majorBidi" w:cstheme="majorBidi"/>
        </w:rPr>
        <w:t>The highest PR was 89.</w:t>
      </w:r>
      <w:r w:rsidR="00D003B2">
        <w:rPr>
          <w:rFonts w:asciiTheme="majorBidi" w:hAnsiTheme="majorBidi" w:cstheme="majorBidi"/>
        </w:rPr>
        <w:t>6</w:t>
      </w:r>
      <w:r w:rsidR="001F431F">
        <w:rPr>
          <w:rFonts w:asciiTheme="majorBidi" w:hAnsiTheme="majorBidi" w:cstheme="majorBidi"/>
        </w:rPr>
        <w:t xml:space="preserve"> </w:t>
      </w:r>
      <w:r w:rsidRPr="00E47186">
        <w:rPr>
          <w:rFonts w:asciiTheme="majorBidi" w:hAnsiTheme="majorBidi" w:cstheme="majorBidi"/>
        </w:rPr>
        <w:t>% in January, while July recorded the lowest at 78.9</w:t>
      </w:r>
      <w:r w:rsidR="001F431F">
        <w:rPr>
          <w:rFonts w:asciiTheme="majorBidi" w:hAnsiTheme="majorBidi" w:cstheme="majorBidi"/>
        </w:rPr>
        <w:t xml:space="preserve"> </w:t>
      </w:r>
      <w:r w:rsidRPr="00E47186">
        <w:rPr>
          <w:rFonts w:asciiTheme="majorBidi" w:hAnsiTheme="majorBidi" w:cstheme="majorBidi"/>
        </w:rPr>
        <w:t xml:space="preserve">%. </w:t>
      </w:r>
      <w:r w:rsidR="005A112E" w:rsidRPr="00E47186">
        <w:rPr>
          <w:rFonts w:asciiTheme="majorBidi" w:hAnsiTheme="majorBidi" w:cstheme="majorBidi"/>
        </w:rPr>
        <w:t xml:space="preserve">Fig. </w:t>
      </w:r>
      <w:r w:rsidR="006F015A" w:rsidRPr="00E47186">
        <w:rPr>
          <w:rFonts w:asciiTheme="majorBidi" w:hAnsiTheme="majorBidi" w:cstheme="majorBidi"/>
        </w:rPr>
        <w:t>4</w:t>
      </w:r>
      <w:r w:rsidR="005A112E" w:rsidRPr="00E47186">
        <w:rPr>
          <w:rFonts w:asciiTheme="majorBidi" w:hAnsiTheme="majorBidi" w:cstheme="majorBidi"/>
        </w:rPr>
        <w:t xml:space="preserve"> </w:t>
      </w:r>
      <w:r w:rsidRPr="00E47186">
        <w:rPr>
          <w:rFonts w:asciiTheme="majorBidi" w:hAnsiTheme="majorBidi" w:cstheme="majorBidi"/>
        </w:rPr>
        <w:t>shows</w:t>
      </w:r>
      <w:r w:rsidR="005A112E" w:rsidRPr="00E47186">
        <w:rPr>
          <w:rFonts w:asciiTheme="majorBidi" w:hAnsiTheme="majorBidi" w:cstheme="majorBidi"/>
        </w:rPr>
        <w:t xml:space="preserve"> losses </w:t>
      </w:r>
      <w:r w:rsidRPr="00E47186">
        <w:rPr>
          <w:rFonts w:asciiTheme="majorBidi" w:hAnsiTheme="majorBidi" w:cstheme="majorBidi"/>
        </w:rPr>
        <w:t xml:space="preserve">of PV system </w:t>
      </w:r>
      <w:r w:rsidR="005A112E" w:rsidRPr="00E47186">
        <w:rPr>
          <w:rFonts w:asciiTheme="majorBidi" w:hAnsiTheme="majorBidi" w:cstheme="majorBidi"/>
        </w:rPr>
        <w:t>during the year based on simulations.</w:t>
      </w:r>
    </w:p>
    <w:p w14:paraId="4F2E1692" w14:textId="3624BAD4" w:rsidR="005A112E" w:rsidRPr="00E47186" w:rsidRDefault="005A112E" w:rsidP="00B25294">
      <w:pPr>
        <w:pStyle w:val="Els-body-text"/>
        <w:widowControl w:val="0"/>
        <w:rPr>
          <w:rFonts w:asciiTheme="majorBidi" w:hAnsiTheme="majorBidi" w:cstheme="majorBidi"/>
          <w:lang w:val="en-GB"/>
        </w:rPr>
      </w:pPr>
    </w:p>
    <w:p w14:paraId="70E81A0C" w14:textId="51CAB851" w:rsidR="005A112E" w:rsidRPr="00E47186" w:rsidRDefault="00CB3611" w:rsidP="00B25294">
      <w:pPr>
        <w:widowControl w:val="0"/>
        <w:jc w:val="center"/>
        <w:rPr>
          <w:rFonts w:cstheme="majorBidi"/>
        </w:rPr>
      </w:pPr>
      <w:r w:rsidRPr="00E47186">
        <w:rPr>
          <w:noProof/>
        </w:rPr>
        <w:drawing>
          <wp:inline distT="0" distB="0" distL="0" distR="0" wp14:anchorId="690DDE1B" wp14:editId="0D9B6B10">
            <wp:extent cx="3420000" cy="1800000"/>
            <wp:effectExtent l="0" t="0" r="9525" b="10160"/>
            <wp:docPr id="2126381173" name="Chart 2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3C344D" w14:textId="1BB3C8FF" w:rsidR="005A112E" w:rsidRPr="00E47186" w:rsidRDefault="002F3F52" w:rsidP="00B25294">
      <w:pPr>
        <w:widowControl w:val="0"/>
        <w:spacing w:before="120"/>
        <w:rPr>
          <w:rFonts w:cstheme="majorBidi"/>
          <w:b/>
          <w:bCs/>
        </w:rPr>
      </w:pPr>
      <w:r w:rsidRPr="00E47186">
        <w:rPr>
          <w:rFonts w:cstheme="majorBidi"/>
          <w:b/>
          <w:bCs/>
        </w:rPr>
        <w:t>Fig. 4.</w:t>
      </w:r>
      <w:r w:rsidRPr="00E47186">
        <w:rPr>
          <w:rFonts w:cstheme="majorBidi"/>
        </w:rPr>
        <w:t xml:space="preserve"> Schematic illustrates system losses throughout the entire year in </w:t>
      </w:r>
      <w:proofErr w:type="spellStart"/>
      <w:r w:rsidRPr="00E47186">
        <w:rPr>
          <w:rFonts w:cstheme="majorBidi"/>
        </w:rPr>
        <w:t>Rafsanjan</w:t>
      </w:r>
      <w:proofErr w:type="spellEnd"/>
      <w:r w:rsidRPr="00E47186">
        <w:rPr>
          <w:rFonts w:cstheme="majorBidi"/>
        </w:rPr>
        <w:t>.</w:t>
      </w:r>
    </w:p>
    <w:p w14:paraId="58A03C8B" w14:textId="163F84E7" w:rsidR="005A112E" w:rsidRPr="00E47186" w:rsidRDefault="005A112E" w:rsidP="00B25294">
      <w:pPr>
        <w:pStyle w:val="Els-body-text"/>
        <w:widowControl w:val="0"/>
        <w:rPr>
          <w:rFonts w:asciiTheme="majorBidi" w:hAnsiTheme="majorBidi" w:cstheme="majorBidi"/>
          <w:lang w:val="en-GB"/>
        </w:rPr>
      </w:pPr>
    </w:p>
    <w:p w14:paraId="35F0029B" w14:textId="67F4DBF6" w:rsidR="00D00B81" w:rsidRPr="00E47186" w:rsidRDefault="00D00B81" w:rsidP="00B25294">
      <w:pPr>
        <w:widowControl w:val="0"/>
        <w:jc w:val="both"/>
        <w:rPr>
          <w:rFonts w:cstheme="majorBidi"/>
          <w:rtl/>
        </w:rPr>
      </w:pPr>
      <w:r w:rsidRPr="00E47186">
        <w:rPr>
          <w:rFonts w:cstheme="majorBidi"/>
        </w:rPr>
        <w:t>In September, the mismatch loss peaked at 83</w:t>
      </w:r>
      <w:r w:rsidR="00944C20">
        <w:rPr>
          <w:rFonts w:cstheme="majorBidi"/>
        </w:rPr>
        <w:t>.</w:t>
      </w:r>
      <w:r w:rsidR="00ED5BD8">
        <w:rPr>
          <w:rFonts w:cstheme="majorBidi"/>
        </w:rPr>
        <w:t>79</w:t>
      </w:r>
      <w:r w:rsidRPr="00E47186">
        <w:rPr>
          <w:rFonts w:cstheme="majorBidi"/>
        </w:rPr>
        <w:t xml:space="preserve"> MWh, while it reached its lowest point in </w:t>
      </w:r>
      <w:r w:rsidR="00944C20">
        <w:rPr>
          <w:rFonts w:cstheme="majorBidi"/>
        </w:rPr>
        <w:t>February</w:t>
      </w:r>
      <w:r w:rsidRPr="00E47186">
        <w:rPr>
          <w:rFonts w:cstheme="majorBidi"/>
        </w:rPr>
        <w:t xml:space="preserve"> at </w:t>
      </w:r>
      <w:r w:rsidR="00944C20">
        <w:rPr>
          <w:rFonts w:cstheme="majorBidi"/>
        </w:rPr>
        <w:t>72.77</w:t>
      </w:r>
      <w:r w:rsidRPr="00E47186">
        <w:rPr>
          <w:rFonts w:cstheme="majorBidi"/>
        </w:rPr>
        <w:t xml:space="preserve"> MWh.</w:t>
      </w:r>
    </w:p>
    <w:p w14:paraId="3CD6B7C9" w14:textId="5410AB64" w:rsidR="007610BA" w:rsidRPr="00E47186" w:rsidRDefault="007610BA" w:rsidP="00B25294">
      <w:pPr>
        <w:pStyle w:val="Els-body-text"/>
        <w:widowControl w:val="0"/>
        <w:rPr>
          <w:rFonts w:asciiTheme="majorBidi" w:hAnsiTheme="majorBidi" w:cstheme="majorBidi"/>
        </w:rPr>
      </w:pPr>
    </w:p>
    <w:p w14:paraId="7C124FBA" w14:textId="77777777" w:rsidR="00C22A79" w:rsidRPr="00E47186" w:rsidRDefault="00C22A79" w:rsidP="00B25294">
      <w:pPr>
        <w:pStyle w:val="Els-1storder-head"/>
        <w:keepNext w:val="0"/>
        <w:widowControl w:val="0"/>
        <w:suppressAutoHyphens w:val="0"/>
        <w:spacing w:before="0" w:after="0" w:line="240" w:lineRule="auto"/>
        <w:rPr>
          <w:rFonts w:asciiTheme="majorBidi" w:hAnsiTheme="majorBidi" w:cstheme="majorBidi"/>
          <w:sz w:val="20"/>
          <w:lang w:val="en-GB"/>
        </w:rPr>
      </w:pPr>
      <w:r w:rsidRPr="00E47186">
        <w:rPr>
          <w:rFonts w:asciiTheme="majorBidi" w:hAnsiTheme="majorBidi" w:cstheme="majorBidi"/>
          <w:sz w:val="20"/>
          <w:lang w:val="en-GB"/>
        </w:rPr>
        <w:t>Conclusions</w:t>
      </w:r>
    </w:p>
    <w:p w14:paraId="2E72A346" w14:textId="5A2E8A98" w:rsidR="007610BA" w:rsidRDefault="0030280D" w:rsidP="00B25294">
      <w:pPr>
        <w:widowControl w:val="0"/>
        <w:jc w:val="both"/>
        <w:rPr>
          <w:rFonts w:cstheme="majorBidi"/>
        </w:rPr>
      </w:pPr>
      <w:r w:rsidRPr="0030280D">
        <w:rPr>
          <w:rFonts w:cstheme="majorBidi"/>
        </w:rPr>
        <w:t xml:space="preserve">Incorporating absorption refrigeration cycles in the mixed fluid cascade LNG process aims to reduce electrical power consumption </w:t>
      </w:r>
      <w:r>
        <w:rPr>
          <w:rFonts w:cstheme="majorBidi"/>
        </w:rPr>
        <w:t>by</w:t>
      </w:r>
      <w:r w:rsidRPr="0030280D">
        <w:rPr>
          <w:rFonts w:cstheme="majorBidi"/>
        </w:rPr>
        <w:t xml:space="preserve"> utilizing plant waste heat.</w:t>
      </w:r>
      <w:r w:rsidR="006243B6">
        <w:rPr>
          <w:rFonts w:cstheme="majorBidi"/>
        </w:rPr>
        <w:t xml:space="preserve"> </w:t>
      </w:r>
      <w:r>
        <w:rPr>
          <w:rFonts w:cstheme="majorBidi"/>
        </w:rPr>
        <w:t>In this research, t</w:t>
      </w:r>
      <w:r w:rsidRPr="0030280D">
        <w:rPr>
          <w:rFonts w:cstheme="majorBidi"/>
        </w:rPr>
        <w:t>he ARC replace</w:t>
      </w:r>
      <w:r>
        <w:rPr>
          <w:rFonts w:cstheme="majorBidi"/>
        </w:rPr>
        <w:t>d</w:t>
      </w:r>
      <w:r w:rsidRPr="0030280D">
        <w:rPr>
          <w:rFonts w:cstheme="majorBidi"/>
        </w:rPr>
        <w:t xml:space="preserve"> the pre-cooling compression refrigeration cycle</w:t>
      </w:r>
      <w:r>
        <w:rPr>
          <w:rFonts w:cstheme="majorBidi"/>
        </w:rPr>
        <w:t>.</w:t>
      </w:r>
      <w:r w:rsidR="006243B6">
        <w:rPr>
          <w:rFonts w:cstheme="majorBidi" w:hint="eastAsia"/>
          <w:lang w:eastAsia="ko-KR"/>
        </w:rPr>
        <w:t xml:space="preserve"> </w:t>
      </w:r>
      <w:r w:rsidR="006243B6" w:rsidRPr="006243B6">
        <w:rPr>
          <w:rFonts w:cstheme="majorBidi"/>
          <w:lang w:eastAsia="ko-KR"/>
        </w:rPr>
        <w:t xml:space="preserve">Also, renewable solar energy was used to supply the electricity required for the cycle </w:t>
      </w:r>
      <w:r w:rsidR="00D97B0E">
        <w:rPr>
          <w:rFonts w:cstheme="majorBidi"/>
          <w:lang w:eastAsia="ko-KR"/>
        </w:rPr>
        <w:t xml:space="preserve">the amount of </w:t>
      </w:r>
      <w:r w:rsidR="00D97B0E" w:rsidRPr="00D97B0E">
        <w:rPr>
          <w:rFonts w:cstheme="majorBidi"/>
          <w:lang w:eastAsia="ko-KR"/>
        </w:rPr>
        <w:t>19.37 MW</w:t>
      </w:r>
      <w:r w:rsidR="00D97B0E">
        <w:rPr>
          <w:rFonts w:cstheme="majorBidi"/>
          <w:lang w:eastAsia="ko-KR"/>
        </w:rPr>
        <w:t xml:space="preserve"> </w:t>
      </w:r>
      <w:r w:rsidR="006243B6" w:rsidRPr="006243B6">
        <w:rPr>
          <w:rFonts w:cstheme="majorBidi"/>
          <w:lang w:eastAsia="ko-KR"/>
        </w:rPr>
        <w:t xml:space="preserve">using </w:t>
      </w:r>
      <w:r w:rsidR="006243B6">
        <w:rPr>
          <w:rFonts w:cstheme="majorBidi"/>
          <w:lang w:eastAsia="ko-KR"/>
        </w:rPr>
        <w:t>PV</w:t>
      </w:r>
      <w:r w:rsidR="006243B6" w:rsidRPr="006243B6">
        <w:rPr>
          <w:rFonts w:cstheme="majorBidi"/>
          <w:lang w:eastAsia="ko-KR"/>
        </w:rPr>
        <w:t>.</w:t>
      </w:r>
      <w:r w:rsidR="006243B6">
        <w:rPr>
          <w:rFonts w:cstheme="majorBidi"/>
          <w:lang w:eastAsia="ko-KR"/>
        </w:rPr>
        <w:t xml:space="preserve"> </w:t>
      </w:r>
      <w:r w:rsidR="006243B6" w:rsidRPr="006243B6">
        <w:rPr>
          <w:rFonts w:cstheme="majorBidi"/>
        </w:rPr>
        <w:t xml:space="preserve">The main results of the developed </w:t>
      </w:r>
      <w:r w:rsidR="006243B6">
        <w:rPr>
          <w:rFonts w:cstheme="majorBidi"/>
        </w:rPr>
        <w:t>process</w:t>
      </w:r>
      <w:r w:rsidR="006243B6" w:rsidRPr="006243B6">
        <w:rPr>
          <w:rFonts w:cstheme="majorBidi"/>
        </w:rPr>
        <w:t xml:space="preserve"> analysis are presented as follows</w:t>
      </w:r>
      <w:r w:rsidR="006243B6">
        <w:rPr>
          <w:rFonts w:cstheme="majorBidi"/>
        </w:rPr>
        <w:t>:</w:t>
      </w:r>
    </w:p>
    <w:p w14:paraId="52315CA7" w14:textId="008BAFF9" w:rsidR="00B760A2" w:rsidRPr="00B760A2" w:rsidRDefault="00B760A2" w:rsidP="00B25294">
      <w:pPr>
        <w:pStyle w:val="ListParagraph"/>
        <w:widowControl w:val="0"/>
        <w:numPr>
          <w:ilvl w:val="0"/>
          <w:numId w:val="27"/>
        </w:numPr>
        <w:ind w:left="284" w:hanging="284"/>
        <w:jc w:val="both"/>
        <w:rPr>
          <w:rFonts w:asciiTheme="majorBidi" w:hAnsiTheme="majorBidi" w:cstheme="majorBidi"/>
          <w:sz w:val="20"/>
          <w:szCs w:val="20"/>
        </w:rPr>
      </w:pPr>
      <w:r w:rsidRPr="00B760A2">
        <w:rPr>
          <w:rFonts w:asciiTheme="majorBidi" w:hAnsiTheme="majorBidi" w:cstheme="majorBidi"/>
          <w:sz w:val="20"/>
          <w:szCs w:val="20"/>
        </w:rPr>
        <w:t>Specific energy consumption was 0.172 kWh/</w:t>
      </w:r>
      <w:proofErr w:type="spellStart"/>
      <w:r w:rsidRPr="00B760A2">
        <w:rPr>
          <w:rFonts w:asciiTheme="majorBidi" w:hAnsiTheme="majorBidi" w:cstheme="majorBidi"/>
          <w:sz w:val="20"/>
          <w:szCs w:val="20"/>
        </w:rPr>
        <w:t>kgLNG</w:t>
      </w:r>
      <w:proofErr w:type="spellEnd"/>
      <w:r w:rsidRPr="00B760A2">
        <w:rPr>
          <w:rFonts w:asciiTheme="majorBidi" w:hAnsiTheme="majorBidi" w:cstheme="majorBidi"/>
          <w:sz w:val="20"/>
          <w:szCs w:val="20"/>
        </w:rPr>
        <w:t>, signaling a 30</w:t>
      </w:r>
      <w:r w:rsidR="001F431F">
        <w:rPr>
          <w:rFonts w:asciiTheme="majorBidi" w:hAnsiTheme="majorBidi" w:cstheme="majorBidi"/>
          <w:sz w:val="20"/>
          <w:szCs w:val="20"/>
        </w:rPr>
        <w:t xml:space="preserve"> </w:t>
      </w:r>
      <w:r w:rsidRPr="00B760A2">
        <w:rPr>
          <w:rFonts w:asciiTheme="majorBidi" w:hAnsiTheme="majorBidi" w:cstheme="majorBidi"/>
          <w:sz w:val="20"/>
          <w:szCs w:val="20"/>
        </w:rPr>
        <w:t>% consumption reduction; modified process reduces heat transfer area by up to 31</w:t>
      </w:r>
      <w:r w:rsidR="001F431F">
        <w:rPr>
          <w:rFonts w:asciiTheme="majorBidi" w:hAnsiTheme="majorBidi" w:cstheme="majorBidi"/>
          <w:sz w:val="20"/>
          <w:szCs w:val="20"/>
        </w:rPr>
        <w:t xml:space="preserve"> </w:t>
      </w:r>
      <w:r w:rsidRPr="00B760A2">
        <w:rPr>
          <w:rFonts w:asciiTheme="majorBidi" w:hAnsiTheme="majorBidi" w:cstheme="majorBidi"/>
          <w:sz w:val="20"/>
          <w:szCs w:val="20"/>
        </w:rPr>
        <w:t>%.</w:t>
      </w:r>
    </w:p>
    <w:p w14:paraId="18E5BF6D" w14:textId="53804FCB" w:rsidR="00B760A2" w:rsidRDefault="00B760A2" w:rsidP="00B25294">
      <w:pPr>
        <w:pStyle w:val="ListParagraph"/>
        <w:widowControl w:val="0"/>
        <w:numPr>
          <w:ilvl w:val="0"/>
          <w:numId w:val="27"/>
        </w:numPr>
        <w:ind w:left="284" w:hanging="284"/>
        <w:jc w:val="both"/>
        <w:rPr>
          <w:rFonts w:asciiTheme="majorBidi" w:hAnsiTheme="majorBidi" w:cstheme="majorBidi"/>
          <w:sz w:val="20"/>
          <w:szCs w:val="20"/>
        </w:rPr>
      </w:pPr>
      <w:r w:rsidRPr="00B760A2">
        <w:rPr>
          <w:rFonts w:asciiTheme="majorBidi" w:hAnsiTheme="majorBidi" w:cstheme="majorBidi"/>
          <w:sz w:val="20"/>
          <w:szCs w:val="20"/>
        </w:rPr>
        <w:t>Coefficient of performance</w:t>
      </w:r>
      <w:r>
        <w:rPr>
          <w:rFonts w:asciiTheme="majorBidi" w:hAnsiTheme="majorBidi" w:cstheme="majorBidi"/>
          <w:sz w:val="20"/>
          <w:szCs w:val="20"/>
        </w:rPr>
        <w:t xml:space="preserve"> (COP) </w:t>
      </w:r>
      <w:r w:rsidR="00D07A43">
        <w:rPr>
          <w:rFonts w:asciiTheme="majorBidi" w:hAnsiTheme="majorBidi" w:cstheme="majorBidi"/>
          <w:sz w:val="20"/>
          <w:szCs w:val="20"/>
        </w:rPr>
        <w:t>of NH</w:t>
      </w:r>
      <w:r w:rsidR="00D07A43" w:rsidRPr="00D07A43">
        <w:rPr>
          <w:rFonts w:asciiTheme="majorBidi" w:hAnsiTheme="majorBidi" w:cstheme="majorBidi"/>
          <w:sz w:val="20"/>
          <w:szCs w:val="20"/>
          <w:vertAlign w:val="subscript"/>
        </w:rPr>
        <w:t>3</w:t>
      </w:r>
      <w:r w:rsidR="00D07A43">
        <w:rPr>
          <w:rFonts w:asciiTheme="majorBidi" w:hAnsiTheme="majorBidi" w:cstheme="majorBidi"/>
          <w:sz w:val="20"/>
          <w:szCs w:val="20"/>
        </w:rPr>
        <w:t>-H</w:t>
      </w:r>
      <w:r w:rsidR="00D07A43" w:rsidRPr="00D07A43">
        <w:rPr>
          <w:rFonts w:asciiTheme="majorBidi" w:hAnsiTheme="majorBidi" w:cstheme="majorBidi"/>
          <w:sz w:val="20"/>
          <w:szCs w:val="20"/>
          <w:vertAlign w:val="subscript"/>
        </w:rPr>
        <w:t>2</w:t>
      </w:r>
      <w:r w:rsidR="00D07A43">
        <w:rPr>
          <w:rFonts w:asciiTheme="majorBidi" w:hAnsiTheme="majorBidi" w:cstheme="majorBidi"/>
          <w:sz w:val="20"/>
          <w:szCs w:val="20"/>
        </w:rPr>
        <w:t xml:space="preserve">O </w:t>
      </w:r>
      <w:r>
        <w:rPr>
          <w:rFonts w:asciiTheme="majorBidi" w:hAnsiTheme="majorBidi" w:cstheme="majorBidi"/>
          <w:sz w:val="20"/>
          <w:szCs w:val="20"/>
        </w:rPr>
        <w:t>was</w:t>
      </w:r>
      <w:r w:rsidRPr="00B760A2">
        <w:rPr>
          <w:rFonts w:asciiTheme="majorBidi" w:hAnsiTheme="majorBidi" w:cstheme="majorBidi"/>
          <w:sz w:val="20"/>
          <w:szCs w:val="20"/>
        </w:rPr>
        <w:t xml:space="preserve"> 0.48, revealing cycle efficiency.</w:t>
      </w:r>
    </w:p>
    <w:p w14:paraId="2436CFED" w14:textId="0174FFF3" w:rsidR="00B760A2" w:rsidRDefault="00A31B25" w:rsidP="00B25294">
      <w:pPr>
        <w:pStyle w:val="ListParagraph"/>
        <w:widowControl w:val="0"/>
        <w:numPr>
          <w:ilvl w:val="0"/>
          <w:numId w:val="27"/>
        </w:numPr>
        <w:ind w:left="284" w:hanging="284"/>
        <w:jc w:val="both"/>
        <w:rPr>
          <w:rFonts w:asciiTheme="majorBidi" w:hAnsiTheme="majorBidi" w:cstheme="majorBidi"/>
          <w:sz w:val="20"/>
          <w:szCs w:val="20"/>
        </w:rPr>
      </w:pPr>
      <w:r w:rsidRPr="00A31B25">
        <w:rPr>
          <w:rFonts w:asciiTheme="majorBidi" w:hAnsiTheme="majorBidi" w:cstheme="majorBidi"/>
          <w:sz w:val="20"/>
          <w:szCs w:val="20"/>
        </w:rPr>
        <w:t>Achieving a peak PR of 89.6</w:t>
      </w:r>
      <w:r w:rsidR="001F431F">
        <w:rPr>
          <w:rFonts w:asciiTheme="majorBidi" w:hAnsiTheme="majorBidi" w:cstheme="majorBidi"/>
          <w:sz w:val="20"/>
          <w:szCs w:val="20"/>
        </w:rPr>
        <w:t xml:space="preserve"> </w:t>
      </w:r>
      <w:r w:rsidRPr="00A31B25">
        <w:rPr>
          <w:rFonts w:asciiTheme="majorBidi" w:hAnsiTheme="majorBidi" w:cstheme="majorBidi"/>
          <w:sz w:val="20"/>
          <w:szCs w:val="20"/>
        </w:rPr>
        <w:t>% in January and minimizing losses to 72.78 MWh in February, the system demonstrates robust efficiency.</w:t>
      </w:r>
    </w:p>
    <w:p w14:paraId="7C3BB042" w14:textId="7AEB9043" w:rsidR="00B760A2" w:rsidRPr="00C60A80" w:rsidRDefault="00A31B25" w:rsidP="00B25294">
      <w:pPr>
        <w:pStyle w:val="ListParagraph"/>
        <w:widowControl w:val="0"/>
        <w:numPr>
          <w:ilvl w:val="0"/>
          <w:numId w:val="27"/>
        </w:numPr>
        <w:spacing w:after="0"/>
        <w:ind w:left="284" w:hanging="284"/>
        <w:jc w:val="both"/>
        <w:rPr>
          <w:rFonts w:asciiTheme="majorBidi" w:hAnsiTheme="majorBidi" w:cstheme="majorBidi"/>
          <w:sz w:val="20"/>
          <w:szCs w:val="20"/>
        </w:rPr>
      </w:pPr>
      <w:r>
        <w:rPr>
          <w:rFonts w:asciiTheme="majorBidi" w:hAnsiTheme="majorBidi" w:cstheme="majorBidi"/>
          <w:sz w:val="20"/>
          <w:szCs w:val="20"/>
        </w:rPr>
        <w:lastRenderedPageBreak/>
        <w:t>T</w:t>
      </w:r>
      <w:r w:rsidRPr="00A31B25">
        <w:rPr>
          <w:rFonts w:asciiTheme="majorBidi" w:hAnsiTheme="majorBidi" w:cstheme="majorBidi"/>
          <w:sz w:val="20"/>
          <w:szCs w:val="20"/>
        </w:rPr>
        <w:t>he highest available energy was in September (3,726.8 MWh) and the lowest was (3,304.6 MWh) in February, which showed that the power generation is sufficient for the cycle.</w:t>
      </w:r>
    </w:p>
    <w:p w14:paraId="2C76A07F" w14:textId="77777777" w:rsidR="00A31B25" w:rsidRPr="00C60A80" w:rsidRDefault="00A31B25" w:rsidP="00B25294">
      <w:pPr>
        <w:widowControl w:val="0"/>
        <w:jc w:val="both"/>
        <w:rPr>
          <w:rFonts w:cstheme="majorBidi"/>
        </w:rPr>
      </w:pPr>
    </w:p>
    <w:p w14:paraId="41018779" w14:textId="77777777" w:rsidR="00C22A79" w:rsidRPr="00C60A80" w:rsidRDefault="00C22A79" w:rsidP="00B25294">
      <w:pPr>
        <w:pStyle w:val="Els-reference-head"/>
        <w:keepNext w:val="0"/>
        <w:widowControl w:val="0"/>
        <w:spacing w:before="0" w:after="0"/>
        <w:rPr>
          <w:rFonts w:asciiTheme="majorBidi" w:hAnsiTheme="majorBidi" w:cstheme="majorBidi"/>
          <w:sz w:val="20"/>
          <w:szCs w:val="20"/>
        </w:rPr>
      </w:pPr>
      <w:r w:rsidRPr="00C60A80">
        <w:rPr>
          <w:rFonts w:asciiTheme="majorBidi" w:hAnsiTheme="majorBidi" w:cstheme="majorBidi"/>
          <w:sz w:val="20"/>
          <w:szCs w:val="20"/>
        </w:rPr>
        <w:t>References</w:t>
      </w:r>
    </w:p>
    <w:p w14:paraId="612642F8" w14:textId="7511F5F6" w:rsidR="00667C11" w:rsidRPr="00C60A80" w:rsidRDefault="00170E8B" w:rsidP="00B25294">
      <w:pPr>
        <w:widowControl w:val="0"/>
        <w:autoSpaceDE w:val="0"/>
        <w:autoSpaceDN w:val="0"/>
        <w:adjustRightInd w:val="0"/>
        <w:ind w:left="284" w:hanging="284"/>
        <w:jc w:val="both"/>
        <w:rPr>
          <w:noProof/>
        </w:rPr>
      </w:pPr>
      <w:r w:rsidRPr="00E47186">
        <w:rPr>
          <w:rFonts w:asciiTheme="majorBidi" w:eastAsia="Malgun Gothic" w:hAnsiTheme="majorBidi" w:cstheme="majorBidi"/>
          <w:lang w:eastAsia="ko-KR"/>
        </w:rPr>
        <w:fldChar w:fldCharType="begin" w:fldLock="1"/>
      </w:r>
      <w:r w:rsidRPr="00C60A80">
        <w:rPr>
          <w:rFonts w:asciiTheme="majorBidi" w:eastAsia="Malgun Gothic" w:hAnsiTheme="majorBidi" w:cstheme="majorBidi"/>
          <w:lang w:eastAsia="ko-KR"/>
        </w:rPr>
        <w:instrText xml:space="preserve">ADDIN Mendeley Bibliography CSL_BIBLIOGRAPHY </w:instrText>
      </w:r>
      <w:r w:rsidRPr="00E47186">
        <w:rPr>
          <w:rFonts w:asciiTheme="majorBidi" w:eastAsia="Malgun Gothic" w:hAnsiTheme="majorBidi" w:cstheme="majorBidi"/>
          <w:lang w:eastAsia="ko-KR"/>
        </w:rPr>
        <w:fldChar w:fldCharType="separate"/>
      </w:r>
      <w:r w:rsidR="00667C11" w:rsidRPr="00C60A80">
        <w:rPr>
          <w:noProof/>
        </w:rPr>
        <w:t xml:space="preserve">Afrouzy, Z. A., &amp; Taghavi, M. (2021). Thermo-economic analysis of a novel integrated structure for liquefied natural gas production using photovoltaic panels. </w:t>
      </w:r>
      <w:r w:rsidR="00667C11" w:rsidRPr="00C60A80">
        <w:rPr>
          <w:i/>
          <w:iCs/>
          <w:noProof/>
        </w:rPr>
        <w:t>Journal of Thermal Analysis and Calorimetry</w:t>
      </w:r>
      <w:r w:rsidR="00667C11" w:rsidRPr="00C60A80">
        <w:rPr>
          <w:noProof/>
        </w:rPr>
        <w:t xml:space="preserve">, </w:t>
      </w:r>
      <w:r w:rsidR="00667C11" w:rsidRPr="00C60A80">
        <w:rPr>
          <w:i/>
          <w:iCs/>
          <w:noProof/>
        </w:rPr>
        <w:t>145</w:t>
      </w:r>
      <w:r w:rsidR="00667C11" w:rsidRPr="00C60A80">
        <w:rPr>
          <w:noProof/>
        </w:rPr>
        <w:t xml:space="preserve">(3), 1509–1536. </w:t>
      </w:r>
    </w:p>
    <w:p w14:paraId="13E4013C" w14:textId="7500EA19" w:rsidR="00667C11" w:rsidRPr="00C60A80" w:rsidRDefault="00667C11" w:rsidP="00B25294">
      <w:pPr>
        <w:widowControl w:val="0"/>
        <w:autoSpaceDE w:val="0"/>
        <w:autoSpaceDN w:val="0"/>
        <w:adjustRightInd w:val="0"/>
        <w:ind w:left="284" w:hanging="284"/>
        <w:jc w:val="both"/>
        <w:rPr>
          <w:noProof/>
        </w:rPr>
      </w:pPr>
      <w:r w:rsidRPr="00C60A80">
        <w:rPr>
          <w:noProof/>
        </w:rPr>
        <w:t xml:space="preserve">Chen, J., Li, D., Klemeš, J. J., Qian, Y., &amp; Yang, S. (2021). A sustainable syngas cryogenic separation process combined with ammonia absorption refrigeration pre-cooling cycle. </w:t>
      </w:r>
      <w:r w:rsidRPr="00C60A80">
        <w:rPr>
          <w:i/>
          <w:iCs/>
          <w:noProof/>
        </w:rPr>
        <w:t>Journal of Cleaner Production</w:t>
      </w:r>
      <w:r w:rsidRPr="00C60A80">
        <w:rPr>
          <w:noProof/>
        </w:rPr>
        <w:t xml:space="preserve">, </w:t>
      </w:r>
      <w:r w:rsidRPr="00C60A80">
        <w:rPr>
          <w:i/>
          <w:iCs/>
          <w:noProof/>
        </w:rPr>
        <w:t>313</w:t>
      </w:r>
      <w:r w:rsidRPr="00C60A80">
        <w:rPr>
          <w:noProof/>
        </w:rPr>
        <w:t xml:space="preserve">, 127612. </w:t>
      </w:r>
    </w:p>
    <w:p w14:paraId="2D1005CF" w14:textId="3F21B765" w:rsidR="00667C11" w:rsidRPr="00C60A80" w:rsidRDefault="00667C11" w:rsidP="00B25294">
      <w:pPr>
        <w:widowControl w:val="0"/>
        <w:autoSpaceDE w:val="0"/>
        <w:autoSpaceDN w:val="0"/>
        <w:adjustRightInd w:val="0"/>
        <w:ind w:left="284" w:hanging="284"/>
        <w:jc w:val="both"/>
        <w:rPr>
          <w:noProof/>
        </w:rPr>
      </w:pPr>
      <w:r w:rsidRPr="00C60A80">
        <w:rPr>
          <w:noProof/>
        </w:rPr>
        <w:t xml:space="preserve">Ebrahimi, A., Ghorbani, B., &amp; Taghavi, M. (2021). Pinch and exergy evaluation of a liquid nitrogen cryogenic energy storage structure using air separation unit, liquefaction hybrid process, and Kalina power cycle. </w:t>
      </w:r>
      <w:r w:rsidRPr="00C60A80">
        <w:rPr>
          <w:i/>
          <w:iCs/>
          <w:noProof/>
        </w:rPr>
        <w:t>Journal of Cleaner Production</w:t>
      </w:r>
      <w:r w:rsidRPr="00C60A80">
        <w:rPr>
          <w:noProof/>
        </w:rPr>
        <w:t xml:space="preserve">, </w:t>
      </w:r>
      <w:r w:rsidRPr="00C60A80">
        <w:rPr>
          <w:i/>
          <w:iCs/>
          <w:noProof/>
        </w:rPr>
        <w:t>305</w:t>
      </w:r>
      <w:r w:rsidRPr="00C60A80">
        <w:rPr>
          <w:noProof/>
        </w:rPr>
        <w:t xml:space="preserve">, 127226. </w:t>
      </w:r>
    </w:p>
    <w:p w14:paraId="5ABB93B7" w14:textId="2DEFD5E7" w:rsidR="00667C11" w:rsidRPr="00C60A80" w:rsidRDefault="00667C11" w:rsidP="00B25294">
      <w:pPr>
        <w:widowControl w:val="0"/>
        <w:autoSpaceDE w:val="0"/>
        <w:autoSpaceDN w:val="0"/>
        <w:adjustRightInd w:val="0"/>
        <w:ind w:left="284" w:hanging="284"/>
        <w:jc w:val="both"/>
        <w:rPr>
          <w:noProof/>
        </w:rPr>
      </w:pPr>
      <w:r w:rsidRPr="00C60A80">
        <w:rPr>
          <w:noProof/>
        </w:rPr>
        <w:t>Ebrahimi, A., Ghorbani, B., &amp; Taghavi, M. (2022). Novel integrated structure consisting of CO</w:t>
      </w:r>
      <w:r w:rsidRPr="00C60A80">
        <w:rPr>
          <w:noProof/>
          <w:vertAlign w:val="subscript"/>
        </w:rPr>
        <w:t>2</w:t>
      </w:r>
      <w:r w:rsidRPr="00C60A80">
        <w:rPr>
          <w:noProof/>
        </w:rPr>
        <w:t xml:space="preserve"> capture cycle, heat pump unit, Kalina power, and ejector refrigeration systems for liquid CO</w:t>
      </w:r>
      <w:r w:rsidRPr="00C60A80">
        <w:rPr>
          <w:noProof/>
          <w:vertAlign w:val="subscript"/>
        </w:rPr>
        <w:t>2</w:t>
      </w:r>
      <w:r w:rsidRPr="00C60A80">
        <w:rPr>
          <w:noProof/>
        </w:rPr>
        <w:t xml:space="preserve"> storage using renewable energies. </w:t>
      </w:r>
      <w:r w:rsidRPr="00C60A80">
        <w:rPr>
          <w:i/>
          <w:iCs/>
          <w:noProof/>
        </w:rPr>
        <w:t>Energy Science &amp; Engineering</w:t>
      </w:r>
      <w:r w:rsidRPr="00C60A80">
        <w:rPr>
          <w:noProof/>
        </w:rPr>
        <w:t xml:space="preserve">, </w:t>
      </w:r>
      <w:r w:rsidRPr="00C60A80">
        <w:rPr>
          <w:i/>
          <w:iCs/>
          <w:noProof/>
        </w:rPr>
        <w:t>10</w:t>
      </w:r>
      <w:r w:rsidRPr="00C60A80">
        <w:rPr>
          <w:noProof/>
        </w:rPr>
        <w:t xml:space="preserve">(8), 3167–3188. </w:t>
      </w:r>
    </w:p>
    <w:p w14:paraId="691EB230" w14:textId="19337A7F" w:rsidR="00667C11" w:rsidRPr="00C60A80" w:rsidRDefault="00667C11" w:rsidP="00B25294">
      <w:pPr>
        <w:widowControl w:val="0"/>
        <w:autoSpaceDE w:val="0"/>
        <w:autoSpaceDN w:val="0"/>
        <w:adjustRightInd w:val="0"/>
        <w:ind w:left="284" w:hanging="284"/>
        <w:jc w:val="both"/>
        <w:rPr>
          <w:noProof/>
        </w:rPr>
      </w:pPr>
      <w:r w:rsidRPr="00C60A80">
        <w:rPr>
          <w:noProof/>
        </w:rPr>
        <w:t xml:space="preserve">Ghorbani, B., Mehrpooya, M., Shirmohammadi, R., &amp; Hamedi, M.-H. (2018). A comprehensive approach toward utilizing mixed refrigerant and absorption refrigeration systems in an integrated cryogenic refrigeration process. </w:t>
      </w:r>
      <w:r w:rsidRPr="00C60A80">
        <w:rPr>
          <w:i/>
          <w:iCs/>
          <w:noProof/>
        </w:rPr>
        <w:t>Journal of Cleaner Production</w:t>
      </w:r>
      <w:r w:rsidRPr="00C60A80">
        <w:rPr>
          <w:noProof/>
        </w:rPr>
        <w:t xml:space="preserve">, </w:t>
      </w:r>
      <w:r w:rsidRPr="00C60A80">
        <w:rPr>
          <w:i/>
          <w:iCs/>
          <w:noProof/>
        </w:rPr>
        <w:t>179</w:t>
      </w:r>
      <w:r w:rsidRPr="00C60A80">
        <w:rPr>
          <w:noProof/>
        </w:rPr>
        <w:t xml:space="preserve">, 495–514. </w:t>
      </w:r>
    </w:p>
    <w:p w14:paraId="6EEF0F26" w14:textId="62D3E672" w:rsidR="00667C11" w:rsidRPr="00C60A80" w:rsidRDefault="00667C11" w:rsidP="00175D33">
      <w:pPr>
        <w:widowControl w:val="0"/>
        <w:autoSpaceDE w:val="0"/>
        <w:autoSpaceDN w:val="0"/>
        <w:adjustRightInd w:val="0"/>
        <w:ind w:left="284" w:hanging="284"/>
        <w:jc w:val="both"/>
        <w:rPr>
          <w:noProof/>
        </w:rPr>
      </w:pPr>
      <w:r w:rsidRPr="00C60A80">
        <w:rPr>
          <w:noProof/>
        </w:rPr>
        <w:t>Ghorbani, B., Salehi, G., Ebrahimi, A., &amp; Taghavi, M. (2021). Energy, exergy and pinch analyses of a novel energy storage structure using post-combustion CO</w:t>
      </w:r>
      <w:r w:rsidRPr="00C60A80">
        <w:rPr>
          <w:noProof/>
          <w:vertAlign w:val="subscript"/>
        </w:rPr>
        <w:t>2</w:t>
      </w:r>
      <w:r w:rsidRPr="00C60A80">
        <w:rPr>
          <w:noProof/>
        </w:rPr>
        <w:t xml:space="preserve"> separation unit, dual pressure Linde-Hampson liquefaction system, two-stage organic Rankine cycle and geothermal energy. </w:t>
      </w:r>
      <w:r w:rsidRPr="00C60A80">
        <w:rPr>
          <w:i/>
          <w:iCs/>
          <w:noProof/>
        </w:rPr>
        <w:t>Energy</w:t>
      </w:r>
      <w:r w:rsidRPr="00C60A80">
        <w:rPr>
          <w:noProof/>
        </w:rPr>
        <w:t xml:space="preserve">, </w:t>
      </w:r>
      <w:r w:rsidRPr="00C60A80">
        <w:rPr>
          <w:i/>
          <w:iCs/>
          <w:noProof/>
        </w:rPr>
        <w:t>233</w:t>
      </w:r>
      <w:r w:rsidRPr="00C60A80">
        <w:rPr>
          <w:noProof/>
        </w:rPr>
        <w:t>, 121051.</w:t>
      </w:r>
    </w:p>
    <w:p w14:paraId="64250B61" w14:textId="23E1943C" w:rsidR="00667C11" w:rsidRPr="00C60A80" w:rsidRDefault="00667C11" w:rsidP="00B25294">
      <w:pPr>
        <w:widowControl w:val="0"/>
        <w:autoSpaceDE w:val="0"/>
        <w:autoSpaceDN w:val="0"/>
        <w:adjustRightInd w:val="0"/>
        <w:ind w:left="284" w:hanging="284"/>
        <w:jc w:val="both"/>
        <w:rPr>
          <w:noProof/>
        </w:rPr>
      </w:pPr>
      <w:r w:rsidRPr="00C60A80">
        <w:rPr>
          <w:noProof/>
        </w:rPr>
        <w:t xml:space="preserve">Hunt, J. D., Montanari, P. M., Hummes, D. N., Taghavi, M., Zakeri, B., Romero, O. J., Zhou, W., Freitas, M. A. V. de, José de Castro, N., Schneider, P. S., &amp; Wada, Y. (2023). Solid air hydrogen liquefaction, the missing link of the hydrogen economy. </w:t>
      </w:r>
      <w:r w:rsidRPr="00C60A80">
        <w:rPr>
          <w:i/>
          <w:iCs/>
          <w:noProof/>
        </w:rPr>
        <w:t>International Journal of Hydrogen Energy</w:t>
      </w:r>
      <w:r w:rsidR="008960BE" w:rsidRPr="00C60A80">
        <w:rPr>
          <w:i/>
          <w:iCs/>
          <w:noProof/>
        </w:rPr>
        <w:t>, 48(75),</w:t>
      </w:r>
      <w:r w:rsidR="008960BE" w:rsidRPr="00C60A80">
        <w:rPr>
          <w:noProof/>
        </w:rPr>
        <w:t xml:space="preserve"> 29198–29208</w:t>
      </w:r>
      <w:r w:rsidRPr="00C60A80">
        <w:rPr>
          <w:noProof/>
        </w:rPr>
        <w:t xml:space="preserve">. </w:t>
      </w:r>
    </w:p>
    <w:p w14:paraId="37C07EB5" w14:textId="502B84D6" w:rsidR="00667C11" w:rsidRPr="00C60A80" w:rsidRDefault="00667C11" w:rsidP="00B25294">
      <w:pPr>
        <w:widowControl w:val="0"/>
        <w:autoSpaceDE w:val="0"/>
        <w:autoSpaceDN w:val="0"/>
        <w:adjustRightInd w:val="0"/>
        <w:ind w:left="284" w:hanging="284"/>
        <w:jc w:val="both"/>
        <w:rPr>
          <w:noProof/>
        </w:rPr>
      </w:pPr>
      <w:r w:rsidRPr="00C60A80">
        <w:rPr>
          <w:noProof/>
        </w:rPr>
        <w:t xml:space="preserve">Mehrpooya, M., Omidi, M., &amp; Vatani, A. (2016). Novel mixed fluid cascade natural gas liquefaction process configuration using absorption refrigeration system. </w:t>
      </w:r>
      <w:r w:rsidRPr="00C60A80">
        <w:rPr>
          <w:i/>
          <w:iCs/>
          <w:noProof/>
        </w:rPr>
        <w:t>Applied Thermal Engineering</w:t>
      </w:r>
      <w:r w:rsidRPr="00C60A80">
        <w:rPr>
          <w:noProof/>
        </w:rPr>
        <w:t xml:space="preserve">, </w:t>
      </w:r>
      <w:r w:rsidRPr="00C60A80">
        <w:rPr>
          <w:i/>
          <w:iCs/>
          <w:noProof/>
        </w:rPr>
        <w:t>98</w:t>
      </w:r>
      <w:r w:rsidRPr="00C60A80">
        <w:rPr>
          <w:noProof/>
        </w:rPr>
        <w:t xml:space="preserve">, 591–604. </w:t>
      </w:r>
    </w:p>
    <w:p w14:paraId="6EC9C92E" w14:textId="0EDD0593" w:rsidR="00667C11" w:rsidRPr="00C60A80" w:rsidRDefault="00667C11" w:rsidP="00B25294">
      <w:pPr>
        <w:widowControl w:val="0"/>
        <w:autoSpaceDE w:val="0"/>
        <w:autoSpaceDN w:val="0"/>
        <w:adjustRightInd w:val="0"/>
        <w:ind w:left="284" w:hanging="284"/>
        <w:jc w:val="both"/>
        <w:rPr>
          <w:noProof/>
        </w:rPr>
      </w:pPr>
      <w:r w:rsidRPr="00C60A80">
        <w:rPr>
          <w:noProof/>
        </w:rPr>
        <w:t xml:space="preserve">Soonmin, H., &amp; Taghavi, M. (2022). Solar Energy Development: Study Cases in Iran and Malaysia. </w:t>
      </w:r>
      <w:r w:rsidRPr="00C60A80">
        <w:rPr>
          <w:i/>
          <w:iCs/>
          <w:noProof/>
        </w:rPr>
        <w:t>International Journal of Engineering Trends and Technology</w:t>
      </w:r>
      <w:r w:rsidRPr="00C60A80">
        <w:rPr>
          <w:noProof/>
        </w:rPr>
        <w:t xml:space="preserve">, </w:t>
      </w:r>
      <w:r w:rsidRPr="00C60A80">
        <w:rPr>
          <w:i/>
          <w:iCs/>
          <w:noProof/>
        </w:rPr>
        <w:t>70</w:t>
      </w:r>
      <w:r w:rsidRPr="00C60A80">
        <w:rPr>
          <w:noProof/>
        </w:rPr>
        <w:t xml:space="preserve">(8), 408–422. </w:t>
      </w:r>
    </w:p>
    <w:p w14:paraId="4E37EB56" w14:textId="200096D8" w:rsidR="00667C11" w:rsidRPr="00C60A80" w:rsidRDefault="00667C11" w:rsidP="00B25294">
      <w:pPr>
        <w:widowControl w:val="0"/>
        <w:autoSpaceDE w:val="0"/>
        <w:autoSpaceDN w:val="0"/>
        <w:adjustRightInd w:val="0"/>
        <w:ind w:left="284" w:hanging="284"/>
        <w:jc w:val="both"/>
        <w:rPr>
          <w:noProof/>
        </w:rPr>
      </w:pPr>
      <w:r w:rsidRPr="00C60A80">
        <w:rPr>
          <w:noProof/>
        </w:rPr>
        <w:t xml:space="preserve">Táboas, F., Bourouis, M., &amp; Vallès, M. (2014). Analysis of ammonia/water and ammonia/salt mixture absorption cycles for refrigeration purposes in fishing ships. </w:t>
      </w:r>
      <w:r w:rsidRPr="00C60A80">
        <w:rPr>
          <w:i/>
          <w:iCs/>
          <w:noProof/>
        </w:rPr>
        <w:t>Applied Thermal Engineering</w:t>
      </w:r>
      <w:r w:rsidRPr="00C60A80">
        <w:rPr>
          <w:noProof/>
        </w:rPr>
        <w:t xml:space="preserve">, </w:t>
      </w:r>
      <w:r w:rsidRPr="00C60A80">
        <w:rPr>
          <w:i/>
          <w:iCs/>
          <w:noProof/>
        </w:rPr>
        <w:t>66</w:t>
      </w:r>
      <w:r w:rsidRPr="00C60A80">
        <w:rPr>
          <w:noProof/>
        </w:rPr>
        <w:t>(1–2), 603–611.</w:t>
      </w:r>
    </w:p>
    <w:p w14:paraId="28C74087" w14:textId="10FF7C71" w:rsidR="00C60A80" w:rsidRPr="00C60A80" w:rsidRDefault="00C60A80" w:rsidP="00B25294">
      <w:pPr>
        <w:widowControl w:val="0"/>
        <w:autoSpaceDE w:val="0"/>
        <w:autoSpaceDN w:val="0"/>
        <w:adjustRightInd w:val="0"/>
        <w:ind w:left="284" w:hanging="284"/>
        <w:jc w:val="both"/>
        <w:rPr>
          <w:noProof/>
        </w:rPr>
      </w:pPr>
      <w:r w:rsidRPr="00C60A80">
        <w:rPr>
          <w:noProof/>
        </w:rPr>
        <w:t xml:space="preserve">Taghavi, M., &amp; Lee, C. J. (2024). Development of novel hydrogen liquefaction structures based on waste heat recovery in diffusion-absorption refrigeration and power generation units. </w:t>
      </w:r>
      <w:r w:rsidRPr="00C60A80">
        <w:rPr>
          <w:i/>
          <w:iCs/>
          <w:noProof/>
        </w:rPr>
        <w:t>Energy Conversion and Management</w:t>
      </w:r>
      <w:r w:rsidRPr="00C60A80">
        <w:rPr>
          <w:noProof/>
        </w:rPr>
        <w:t xml:space="preserve">, Accepted 30 Dec 2023. </w:t>
      </w:r>
    </w:p>
    <w:p w14:paraId="524C255F" w14:textId="51A7962A" w:rsidR="00667C11" w:rsidRPr="00C60A80" w:rsidRDefault="00667C11" w:rsidP="00B25294">
      <w:pPr>
        <w:widowControl w:val="0"/>
        <w:autoSpaceDE w:val="0"/>
        <w:autoSpaceDN w:val="0"/>
        <w:adjustRightInd w:val="0"/>
        <w:ind w:left="284" w:hanging="284"/>
        <w:jc w:val="both"/>
        <w:rPr>
          <w:noProof/>
        </w:rPr>
      </w:pPr>
      <w:r w:rsidRPr="00C60A80">
        <w:rPr>
          <w:noProof/>
        </w:rPr>
        <w:t xml:space="preserve">Taghavi, M., Salarian, H., &amp; Ghorbani, B. (2021). Thermodynamic and exergy evaluation of a novel integrated hydrogen liquefaction structure using liquid air cold energy recovery, solid oxide fuel cell and photovoltaic panels. </w:t>
      </w:r>
      <w:r w:rsidRPr="00C60A80">
        <w:rPr>
          <w:i/>
          <w:iCs/>
          <w:noProof/>
        </w:rPr>
        <w:t>Journal of Cleaner Production</w:t>
      </w:r>
      <w:r w:rsidRPr="00C60A80">
        <w:rPr>
          <w:noProof/>
        </w:rPr>
        <w:t xml:space="preserve">, </w:t>
      </w:r>
      <w:r w:rsidRPr="00C60A80">
        <w:rPr>
          <w:i/>
          <w:iCs/>
          <w:noProof/>
        </w:rPr>
        <w:t>320</w:t>
      </w:r>
      <w:r w:rsidRPr="00C60A80">
        <w:rPr>
          <w:noProof/>
        </w:rPr>
        <w:t xml:space="preserve">, 128821. </w:t>
      </w:r>
    </w:p>
    <w:p w14:paraId="7ACB2C61" w14:textId="10DF658D" w:rsidR="00175D33" w:rsidRPr="00175D33" w:rsidRDefault="00667C11" w:rsidP="00175D33">
      <w:pPr>
        <w:widowControl w:val="0"/>
        <w:autoSpaceDE w:val="0"/>
        <w:autoSpaceDN w:val="0"/>
        <w:adjustRightInd w:val="0"/>
        <w:ind w:left="284" w:hanging="284"/>
        <w:jc w:val="both"/>
        <w:rPr>
          <w:rFonts w:asciiTheme="majorBidi" w:eastAsia="Malgun Gothic" w:hAnsiTheme="majorBidi" w:cstheme="majorBidi"/>
          <w:sz w:val="18"/>
          <w:szCs w:val="18"/>
          <w:lang w:eastAsia="ko-KR"/>
        </w:rPr>
      </w:pPr>
      <w:r w:rsidRPr="00C60A80">
        <w:rPr>
          <w:noProof/>
        </w:rPr>
        <w:t xml:space="preserve">Taghavi, M., Salarian, H., &amp; Ghorbani, B. (2023). Economic Evaluation of a Hybrid Hydrogen Liquefaction System Utilizing Liquid Air Cold Recovery and Renewable Energies. </w:t>
      </w:r>
      <w:r w:rsidRPr="00C60A80">
        <w:rPr>
          <w:i/>
          <w:iCs/>
          <w:noProof/>
        </w:rPr>
        <w:t>Renewable Energy Research and Applications (RERA)</w:t>
      </w:r>
      <w:r w:rsidRPr="00C60A80">
        <w:rPr>
          <w:noProof/>
        </w:rPr>
        <w:t xml:space="preserve">, </w:t>
      </w:r>
      <w:r w:rsidRPr="00C60A80">
        <w:rPr>
          <w:i/>
          <w:iCs/>
          <w:noProof/>
        </w:rPr>
        <w:t>4</w:t>
      </w:r>
      <w:r w:rsidRPr="00C60A80">
        <w:rPr>
          <w:noProof/>
        </w:rPr>
        <w:t>(1), 125–143.</w:t>
      </w:r>
      <w:r w:rsidR="00170E8B" w:rsidRPr="00E47186">
        <w:rPr>
          <w:rFonts w:asciiTheme="majorBidi" w:eastAsia="Malgun Gothic" w:hAnsiTheme="majorBidi" w:cstheme="majorBidi"/>
          <w:sz w:val="18"/>
          <w:szCs w:val="18"/>
          <w:lang w:eastAsia="ko-KR"/>
        </w:rPr>
        <w:fldChar w:fldCharType="end"/>
      </w:r>
    </w:p>
    <w:sectPr w:rsidR="00175D33" w:rsidRPr="00175D33"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D9851" w14:textId="77777777" w:rsidR="00451773" w:rsidRDefault="00451773">
      <w:r>
        <w:separator/>
      </w:r>
    </w:p>
  </w:endnote>
  <w:endnote w:type="continuationSeparator" w:id="0">
    <w:p w14:paraId="2F0AF697" w14:textId="77777777" w:rsidR="00451773" w:rsidRDefault="0045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DA9D2" w14:textId="77777777" w:rsidR="00451773" w:rsidRDefault="00451773">
      <w:r>
        <w:separator/>
      </w:r>
    </w:p>
  </w:footnote>
  <w:footnote w:type="continuationSeparator" w:id="0">
    <w:p w14:paraId="4F24681A" w14:textId="77777777" w:rsidR="00451773" w:rsidRDefault="00451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5874044" w:rsidR="00DD3D9E" w:rsidRDefault="00DD3D9E">
    <w:pPr>
      <w:pStyle w:val="Header"/>
      <w:tabs>
        <w:tab w:val="clear" w:pos="7200"/>
        <w:tab w:val="right" w:pos="7088"/>
      </w:tabs>
    </w:pPr>
    <w:r>
      <w:rPr>
        <w:rStyle w:val="PageNumber"/>
      </w:rPr>
      <w:tab/>
    </w:r>
    <w:r>
      <w:rPr>
        <w:rStyle w:val="PageNumber"/>
        <w:i/>
      </w:rPr>
      <w:tab/>
    </w:r>
    <w:r w:rsidR="008F4BE7">
      <w:rPr>
        <w:i/>
      </w:rPr>
      <w:t>M. Taghavi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16787A0F" w:rsidR="00DD3D9E" w:rsidRDefault="008F4BE7" w:rsidP="00E47186">
    <w:pPr>
      <w:pStyle w:val="Header"/>
      <w:tabs>
        <w:tab w:val="clear" w:pos="7200"/>
        <w:tab w:val="right" w:pos="7088"/>
      </w:tabs>
      <w:rPr>
        <w:sz w:val="24"/>
      </w:rPr>
    </w:pPr>
    <w:r w:rsidRPr="008F4BE7">
      <w:rPr>
        <w:i/>
      </w:rPr>
      <w:t>Innovative structure of a liquefied natural gas (LNG) process by mixed fluid cascade using solar renewable energy, photovoltaic panels (PV), and absorption refrigeration system</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F823004"/>
    <w:multiLevelType w:val="hybridMultilevel"/>
    <w:tmpl w:val="7080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433C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E712A4"/>
    <w:multiLevelType w:val="hybridMultilevel"/>
    <w:tmpl w:val="7CFE9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C1D79"/>
    <w:multiLevelType w:val="hybridMultilevel"/>
    <w:tmpl w:val="A9FE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5"/>
  </w:num>
  <w:num w:numId="2" w16cid:durableId="47382885">
    <w:abstractNumId w:val="15"/>
  </w:num>
  <w:num w:numId="3" w16cid:durableId="967853731">
    <w:abstractNumId w:val="15"/>
  </w:num>
  <w:num w:numId="4" w16cid:durableId="1739282265">
    <w:abstractNumId w:val="15"/>
  </w:num>
  <w:num w:numId="5" w16cid:durableId="698892343">
    <w:abstractNumId w:val="0"/>
  </w:num>
  <w:num w:numId="6" w16cid:durableId="1660883641">
    <w:abstractNumId w:val="7"/>
  </w:num>
  <w:num w:numId="7" w16cid:durableId="1863349795">
    <w:abstractNumId w:val="16"/>
  </w:num>
  <w:num w:numId="8" w16cid:durableId="1750734252">
    <w:abstractNumId w:val="2"/>
  </w:num>
  <w:num w:numId="9" w16cid:durableId="203061615">
    <w:abstractNumId w:val="14"/>
  </w:num>
  <w:num w:numId="10" w16cid:durableId="1478497114">
    <w:abstractNumId w:val="18"/>
  </w:num>
  <w:num w:numId="11" w16cid:durableId="1896693444">
    <w:abstractNumId w:val="17"/>
  </w:num>
  <w:num w:numId="12" w16cid:durableId="774787662">
    <w:abstractNumId w:val="6"/>
  </w:num>
  <w:num w:numId="13" w16cid:durableId="1525900646">
    <w:abstractNumId w:val="12"/>
  </w:num>
  <w:num w:numId="14" w16cid:durableId="1455515963">
    <w:abstractNumId w:val="3"/>
  </w:num>
  <w:num w:numId="15" w16cid:durableId="446657998">
    <w:abstractNumId w:val="8"/>
  </w:num>
  <w:num w:numId="16" w16cid:durableId="322592235">
    <w:abstractNumId w:val="4"/>
  </w:num>
  <w:num w:numId="17" w16cid:durableId="596719075">
    <w:abstractNumId w:val="5"/>
  </w:num>
  <w:num w:numId="18" w16cid:durableId="886648604">
    <w:abstractNumId w:val="13"/>
  </w:num>
  <w:num w:numId="19" w16cid:durableId="2022706279">
    <w:abstractNumId w:val="9"/>
  </w:num>
  <w:num w:numId="20" w16cid:durableId="105924663">
    <w:abstractNumId w:val="5"/>
  </w:num>
  <w:num w:numId="21" w16cid:durableId="1112171137">
    <w:abstractNumId w:val="5"/>
  </w:num>
  <w:num w:numId="22" w16cid:durableId="807825493">
    <w:abstractNumId w:val="5"/>
  </w:num>
  <w:num w:numId="23" w16cid:durableId="287014161">
    <w:abstractNumId w:val="10"/>
  </w:num>
  <w:num w:numId="24" w16cid:durableId="883444086">
    <w:abstractNumId w:val="5"/>
  </w:num>
  <w:num w:numId="25" w16cid:durableId="2138837269">
    <w:abstractNumId w:val="5"/>
  </w:num>
  <w:num w:numId="26" w16cid:durableId="2007708933">
    <w:abstractNumId w:val="11"/>
  </w:num>
  <w:num w:numId="27" w16cid:durableId="1861385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8ED"/>
    <w:rsid w:val="00012172"/>
    <w:rsid w:val="00017955"/>
    <w:rsid w:val="000332CC"/>
    <w:rsid w:val="00067B1A"/>
    <w:rsid w:val="000A5CF5"/>
    <w:rsid w:val="000B2D45"/>
    <w:rsid w:val="000B4173"/>
    <w:rsid w:val="000B6378"/>
    <w:rsid w:val="000D3D9B"/>
    <w:rsid w:val="000D7333"/>
    <w:rsid w:val="000E2A70"/>
    <w:rsid w:val="000E3A76"/>
    <w:rsid w:val="00105544"/>
    <w:rsid w:val="0012750F"/>
    <w:rsid w:val="001346FD"/>
    <w:rsid w:val="0015768D"/>
    <w:rsid w:val="0016032F"/>
    <w:rsid w:val="00170E8B"/>
    <w:rsid w:val="00175D33"/>
    <w:rsid w:val="0017732C"/>
    <w:rsid w:val="001879F6"/>
    <w:rsid w:val="00195C35"/>
    <w:rsid w:val="001B233E"/>
    <w:rsid w:val="001C0148"/>
    <w:rsid w:val="001C72F7"/>
    <w:rsid w:val="001C757E"/>
    <w:rsid w:val="001E3E7C"/>
    <w:rsid w:val="001E6825"/>
    <w:rsid w:val="001F38E1"/>
    <w:rsid w:val="001F431F"/>
    <w:rsid w:val="001F58F3"/>
    <w:rsid w:val="001F601B"/>
    <w:rsid w:val="0020390F"/>
    <w:rsid w:val="00203AD9"/>
    <w:rsid w:val="00220C76"/>
    <w:rsid w:val="002242C4"/>
    <w:rsid w:val="002573F9"/>
    <w:rsid w:val="00263C0E"/>
    <w:rsid w:val="00264926"/>
    <w:rsid w:val="002906C4"/>
    <w:rsid w:val="002B5976"/>
    <w:rsid w:val="002E3982"/>
    <w:rsid w:val="002E39D9"/>
    <w:rsid w:val="002E7ABD"/>
    <w:rsid w:val="002F09A8"/>
    <w:rsid w:val="002F3F52"/>
    <w:rsid w:val="002F435F"/>
    <w:rsid w:val="0030280D"/>
    <w:rsid w:val="00320046"/>
    <w:rsid w:val="00320A0F"/>
    <w:rsid w:val="00320CBB"/>
    <w:rsid w:val="0032543C"/>
    <w:rsid w:val="00342420"/>
    <w:rsid w:val="00372D53"/>
    <w:rsid w:val="00373F05"/>
    <w:rsid w:val="003A027D"/>
    <w:rsid w:val="003A0FD9"/>
    <w:rsid w:val="003A4878"/>
    <w:rsid w:val="003B1E86"/>
    <w:rsid w:val="003C0CBF"/>
    <w:rsid w:val="003D1582"/>
    <w:rsid w:val="003D7E4C"/>
    <w:rsid w:val="003E41C2"/>
    <w:rsid w:val="003F5CB5"/>
    <w:rsid w:val="004034D4"/>
    <w:rsid w:val="00415E4A"/>
    <w:rsid w:val="00431A1B"/>
    <w:rsid w:val="00433851"/>
    <w:rsid w:val="00436666"/>
    <w:rsid w:val="004431E2"/>
    <w:rsid w:val="004471CF"/>
    <w:rsid w:val="00451773"/>
    <w:rsid w:val="00465BAA"/>
    <w:rsid w:val="00475CFE"/>
    <w:rsid w:val="00477033"/>
    <w:rsid w:val="0049772C"/>
    <w:rsid w:val="004977B4"/>
    <w:rsid w:val="004B3F89"/>
    <w:rsid w:val="004C0247"/>
    <w:rsid w:val="004E080E"/>
    <w:rsid w:val="004F1B4D"/>
    <w:rsid w:val="005003B5"/>
    <w:rsid w:val="00515D98"/>
    <w:rsid w:val="00526B8B"/>
    <w:rsid w:val="00552EEB"/>
    <w:rsid w:val="00561CB5"/>
    <w:rsid w:val="00572D3D"/>
    <w:rsid w:val="005743DC"/>
    <w:rsid w:val="00585B9C"/>
    <w:rsid w:val="00587B5A"/>
    <w:rsid w:val="005A112E"/>
    <w:rsid w:val="005B3800"/>
    <w:rsid w:val="005B4EBB"/>
    <w:rsid w:val="005C34C6"/>
    <w:rsid w:val="005E7E77"/>
    <w:rsid w:val="005F61AC"/>
    <w:rsid w:val="0060054A"/>
    <w:rsid w:val="006106F3"/>
    <w:rsid w:val="00612A7C"/>
    <w:rsid w:val="006243B6"/>
    <w:rsid w:val="00634453"/>
    <w:rsid w:val="00640428"/>
    <w:rsid w:val="0065211E"/>
    <w:rsid w:val="00653031"/>
    <w:rsid w:val="00661179"/>
    <w:rsid w:val="00667C11"/>
    <w:rsid w:val="006751A0"/>
    <w:rsid w:val="006A69BF"/>
    <w:rsid w:val="006A75B6"/>
    <w:rsid w:val="006F015A"/>
    <w:rsid w:val="00711DF4"/>
    <w:rsid w:val="007223E8"/>
    <w:rsid w:val="007256AA"/>
    <w:rsid w:val="007370DF"/>
    <w:rsid w:val="00752E75"/>
    <w:rsid w:val="007610BA"/>
    <w:rsid w:val="007620CC"/>
    <w:rsid w:val="0076237A"/>
    <w:rsid w:val="00765997"/>
    <w:rsid w:val="00766F0F"/>
    <w:rsid w:val="00774A1F"/>
    <w:rsid w:val="0078399F"/>
    <w:rsid w:val="0078653D"/>
    <w:rsid w:val="0078747B"/>
    <w:rsid w:val="00792370"/>
    <w:rsid w:val="0079591C"/>
    <w:rsid w:val="007A20C7"/>
    <w:rsid w:val="007A6749"/>
    <w:rsid w:val="007D70A1"/>
    <w:rsid w:val="007E300B"/>
    <w:rsid w:val="008132E8"/>
    <w:rsid w:val="008218EF"/>
    <w:rsid w:val="00823407"/>
    <w:rsid w:val="00826EE4"/>
    <w:rsid w:val="008545E9"/>
    <w:rsid w:val="00876806"/>
    <w:rsid w:val="0087738F"/>
    <w:rsid w:val="00885CFA"/>
    <w:rsid w:val="00887B72"/>
    <w:rsid w:val="008960BE"/>
    <w:rsid w:val="008A5F56"/>
    <w:rsid w:val="008A5F5A"/>
    <w:rsid w:val="008B0184"/>
    <w:rsid w:val="008C5D02"/>
    <w:rsid w:val="008D2649"/>
    <w:rsid w:val="008E0E6E"/>
    <w:rsid w:val="008E54B5"/>
    <w:rsid w:val="008F1508"/>
    <w:rsid w:val="008F4BE7"/>
    <w:rsid w:val="0090568D"/>
    <w:rsid w:val="009125C9"/>
    <w:rsid w:val="00913879"/>
    <w:rsid w:val="00913B50"/>
    <w:rsid w:val="00916749"/>
    <w:rsid w:val="00917661"/>
    <w:rsid w:val="00944C20"/>
    <w:rsid w:val="009534B5"/>
    <w:rsid w:val="00955B00"/>
    <w:rsid w:val="00960858"/>
    <w:rsid w:val="00967295"/>
    <w:rsid w:val="00970E5D"/>
    <w:rsid w:val="0097701C"/>
    <w:rsid w:val="00980A65"/>
    <w:rsid w:val="0098383B"/>
    <w:rsid w:val="009A43FA"/>
    <w:rsid w:val="009B0215"/>
    <w:rsid w:val="009C2040"/>
    <w:rsid w:val="009D4140"/>
    <w:rsid w:val="00A01C60"/>
    <w:rsid w:val="00A25E70"/>
    <w:rsid w:val="00A31B25"/>
    <w:rsid w:val="00A33765"/>
    <w:rsid w:val="00A4411B"/>
    <w:rsid w:val="00A620A5"/>
    <w:rsid w:val="00A63269"/>
    <w:rsid w:val="00A75055"/>
    <w:rsid w:val="00A77B27"/>
    <w:rsid w:val="00A84A3D"/>
    <w:rsid w:val="00A869FE"/>
    <w:rsid w:val="00A92377"/>
    <w:rsid w:val="00AA3AA8"/>
    <w:rsid w:val="00AB29ED"/>
    <w:rsid w:val="00AC31CD"/>
    <w:rsid w:val="00AC43B6"/>
    <w:rsid w:val="00AC684A"/>
    <w:rsid w:val="00AD1B3E"/>
    <w:rsid w:val="00AE16CE"/>
    <w:rsid w:val="00AE2F2F"/>
    <w:rsid w:val="00AE4BD8"/>
    <w:rsid w:val="00AF508E"/>
    <w:rsid w:val="00B160E9"/>
    <w:rsid w:val="00B25294"/>
    <w:rsid w:val="00B300BC"/>
    <w:rsid w:val="00B31E39"/>
    <w:rsid w:val="00B31ED1"/>
    <w:rsid w:val="00B41D2D"/>
    <w:rsid w:val="00B4388F"/>
    <w:rsid w:val="00B63237"/>
    <w:rsid w:val="00B63465"/>
    <w:rsid w:val="00B7371B"/>
    <w:rsid w:val="00B760A2"/>
    <w:rsid w:val="00B9080B"/>
    <w:rsid w:val="00B915E8"/>
    <w:rsid w:val="00B93C6E"/>
    <w:rsid w:val="00BB2796"/>
    <w:rsid w:val="00BB7A80"/>
    <w:rsid w:val="00BF53DF"/>
    <w:rsid w:val="00C04926"/>
    <w:rsid w:val="00C22A79"/>
    <w:rsid w:val="00C402E7"/>
    <w:rsid w:val="00C43680"/>
    <w:rsid w:val="00C53030"/>
    <w:rsid w:val="00C60A80"/>
    <w:rsid w:val="00C64A78"/>
    <w:rsid w:val="00C65989"/>
    <w:rsid w:val="00C76B50"/>
    <w:rsid w:val="00C960DC"/>
    <w:rsid w:val="00CA7C95"/>
    <w:rsid w:val="00CB3611"/>
    <w:rsid w:val="00CF3A3A"/>
    <w:rsid w:val="00D003B2"/>
    <w:rsid w:val="00D00B81"/>
    <w:rsid w:val="00D02C75"/>
    <w:rsid w:val="00D07A43"/>
    <w:rsid w:val="00D10E22"/>
    <w:rsid w:val="00D13D2C"/>
    <w:rsid w:val="00D14B21"/>
    <w:rsid w:val="00D61FEF"/>
    <w:rsid w:val="00D7525D"/>
    <w:rsid w:val="00D77510"/>
    <w:rsid w:val="00D97B0E"/>
    <w:rsid w:val="00DC2F94"/>
    <w:rsid w:val="00DC4E50"/>
    <w:rsid w:val="00DC6071"/>
    <w:rsid w:val="00DC6BB5"/>
    <w:rsid w:val="00DD3D9E"/>
    <w:rsid w:val="00DD7908"/>
    <w:rsid w:val="00DE5779"/>
    <w:rsid w:val="00DE68FB"/>
    <w:rsid w:val="00DF57B4"/>
    <w:rsid w:val="00E10E4A"/>
    <w:rsid w:val="00E13340"/>
    <w:rsid w:val="00E36AD5"/>
    <w:rsid w:val="00E47186"/>
    <w:rsid w:val="00E63AB5"/>
    <w:rsid w:val="00E66C58"/>
    <w:rsid w:val="00E7015D"/>
    <w:rsid w:val="00E82297"/>
    <w:rsid w:val="00EA4BF0"/>
    <w:rsid w:val="00EC1D30"/>
    <w:rsid w:val="00ED5BD8"/>
    <w:rsid w:val="00EE08EC"/>
    <w:rsid w:val="00EE6178"/>
    <w:rsid w:val="00EF39FD"/>
    <w:rsid w:val="00F06842"/>
    <w:rsid w:val="00F107FD"/>
    <w:rsid w:val="00F310F1"/>
    <w:rsid w:val="00F438A0"/>
    <w:rsid w:val="00F50DF2"/>
    <w:rsid w:val="00F83A69"/>
    <w:rsid w:val="00F87A72"/>
    <w:rsid w:val="00FB024B"/>
    <w:rsid w:val="00FB0822"/>
    <w:rsid w:val="00FB64A8"/>
    <w:rsid w:val="00FC0324"/>
    <w:rsid w:val="00FD5B44"/>
    <w:rsid w:val="00FE5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5E7E77"/>
    <w:rPr>
      <w:color w:val="605E5C"/>
      <w:shd w:val="clear" w:color="auto" w:fill="E1DFDD"/>
    </w:rPr>
  </w:style>
  <w:style w:type="paragraph" w:styleId="ListParagraph">
    <w:name w:val="List Paragraph"/>
    <w:basedOn w:val="Normal"/>
    <w:uiPriority w:val="34"/>
    <w:qFormat/>
    <w:rsid w:val="003A0FD9"/>
    <w:pPr>
      <w:spacing w:after="160" w:line="259" w:lineRule="auto"/>
      <w:ind w:left="720"/>
      <w:contextualSpacing/>
    </w:pPr>
    <w:rPr>
      <w:rFonts w:asciiTheme="minorHAnsi" w:hAnsiTheme="minorHAnsi" w:cstheme="minorBidi"/>
      <w:kern w:val="2"/>
      <w:sz w:val="22"/>
      <w:szCs w:val="22"/>
      <w:lang w:val="en-US"/>
      <w14:ligatures w14:val="standardContextual"/>
    </w:rPr>
  </w:style>
  <w:style w:type="table" w:styleId="TableGrid">
    <w:name w:val="Table Grid"/>
    <w:basedOn w:val="TableNormal"/>
    <w:uiPriority w:val="59"/>
    <w:rsid w:val="00916749"/>
    <w:rPr>
      <w:rFonts w:asciiTheme="minorHAnsi"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19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jlee@cau.ac.kr" TargetMode="Externa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rash\Desktop\Masoud%20Taghavi\_CAU\_paper\08_ESCAPE%2034_Italy\PVsyst_Rafsanjan_19692%20kW.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rash\Desktop\Masoud%20Taghavi\_CAU\_paper\08_ESCAPE%2034_Italy\PVsyst_Rafsanjan_19692%20kW.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rash\Desktop\Masoud%20Taghavi\_CAU\_paper\08_ESCAPE%2034_Italy\PVsyst_Rafsanjan_19692%20k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38385826771653"/>
          <c:y val="0.10366369493069565"/>
          <c:w val="0.76918307086614168"/>
          <c:h val="0.74460994681015025"/>
        </c:manualLayout>
      </c:layout>
      <c:barChart>
        <c:barDir val="col"/>
        <c:grouping val="clustered"/>
        <c:varyColors val="0"/>
        <c:ser>
          <c:idx val="0"/>
          <c:order val="0"/>
          <c:tx>
            <c:v>Present study</c:v>
          </c:tx>
          <c:spPr>
            <a:pattFill prst="wdUpDiag">
              <a:fgClr>
                <a:srgbClr val="006600"/>
              </a:fgClr>
              <a:bgClr>
                <a:schemeClr val="bg1"/>
              </a:bgClr>
            </a:pattFill>
            <a:ln>
              <a:solidFill>
                <a:srgbClr val="00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Validation!$A$1:$A$12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Validation!$E$1:$E$12</c:f>
              <c:numCache>
                <c:formatCode>General</c:formatCode>
                <c:ptCount val="12"/>
                <c:pt idx="0">
                  <c:v>172.98</c:v>
                </c:pt>
                <c:pt idx="1">
                  <c:v>167.72</c:v>
                </c:pt>
                <c:pt idx="2">
                  <c:v>181.66</c:v>
                </c:pt>
                <c:pt idx="3">
                  <c:v>178.20000000000002</c:v>
                </c:pt>
                <c:pt idx="4">
                  <c:v>172.98</c:v>
                </c:pt>
                <c:pt idx="5">
                  <c:v>174.60000000000002</c:v>
                </c:pt>
                <c:pt idx="6">
                  <c:v>173.91</c:v>
                </c:pt>
                <c:pt idx="7">
                  <c:v>181.35</c:v>
                </c:pt>
                <c:pt idx="8">
                  <c:v>189.29999999999998</c:v>
                </c:pt>
                <c:pt idx="9">
                  <c:v>188.79</c:v>
                </c:pt>
                <c:pt idx="10">
                  <c:v>176.1</c:v>
                </c:pt>
                <c:pt idx="11">
                  <c:v>171.74</c:v>
                </c:pt>
              </c:numCache>
            </c:numRef>
          </c:val>
          <c:extLst>
            <c:ext xmlns:c16="http://schemas.microsoft.com/office/drawing/2014/chart" uri="{C3380CC4-5D6E-409C-BE32-E72D297353CC}">
              <c16:uniqueId val="{00000000-8F4A-4F76-B3AB-8BA2E27566DD}"/>
            </c:ext>
          </c:extLst>
        </c:ser>
        <c:ser>
          <c:idx val="1"/>
          <c:order val="1"/>
          <c:tx>
            <c:v>Afrouzy et al, 2021</c:v>
          </c:tx>
          <c:spPr>
            <a:solidFill>
              <a:srgbClr val="FF9900"/>
            </a:solidFill>
            <a:ln>
              <a:solidFill>
                <a:srgbClr val="FF99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Validation!$A$1:$A$12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Validation!$J$1:$J$12</c:f>
              <c:numCache>
                <c:formatCode>General</c:formatCode>
                <c:ptCount val="12"/>
                <c:pt idx="0">
                  <c:v>137.32999999999998</c:v>
                </c:pt>
                <c:pt idx="1">
                  <c:v>133.84</c:v>
                </c:pt>
                <c:pt idx="2">
                  <c:v>159.03</c:v>
                </c:pt>
                <c:pt idx="3">
                  <c:v>144</c:v>
                </c:pt>
                <c:pt idx="4">
                  <c:v>136.71</c:v>
                </c:pt>
                <c:pt idx="5">
                  <c:v>119.7</c:v>
                </c:pt>
                <c:pt idx="6">
                  <c:v>127.1</c:v>
                </c:pt>
                <c:pt idx="7">
                  <c:v>141.04999999999998</c:v>
                </c:pt>
                <c:pt idx="8">
                  <c:v>145.80000000000001</c:v>
                </c:pt>
                <c:pt idx="9">
                  <c:v>133.60999999999999</c:v>
                </c:pt>
                <c:pt idx="10">
                  <c:v>115.8</c:v>
                </c:pt>
                <c:pt idx="11">
                  <c:v>126.48</c:v>
                </c:pt>
              </c:numCache>
            </c:numRef>
          </c:val>
          <c:extLst>
            <c:ext xmlns:c16="http://schemas.microsoft.com/office/drawing/2014/chart" uri="{C3380CC4-5D6E-409C-BE32-E72D297353CC}">
              <c16:uniqueId val="{00000001-8F4A-4F76-B3AB-8BA2E27566DD}"/>
            </c:ext>
          </c:extLst>
        </c:ser>
        <c:dLbls>
          <c:showLegendKey val="0"/>
          <c:showVal val="0"/>
          <c:showCatName val="0"/>
          <c:showSerName val="0"/>
          <c:showPercent val="0"/>
          <c:showBubbleSize val="0"/>
        </c:dLbls>
        <c:gapWidth val="150"/>
        <c:axId val="176961792"/>
        <c:axId val="176976640"/>
      </c:barChart>
      <c:lineChart>
        <c:grouping val="standard"/>
        <c:varyColors val="0"/>
        <c:ser>
          <c:idx val="2"/>
          <c:order val="2"/>
          <c:tx>
            <c:v>Present study</c:v>
          </c:tx>
          <c:spPr>
            <a:ln w="12700" cap="rnd">
              <a:solidFill>
                <a:srgbClr val="0000FF"/>
              </a:solidFill>
              <a:round/>
            </a:ln>
            <a:effectLst>
              <a:outerShdw blurRad="40000" dist="23000" dir="5400000" rotWithShape="0">
                <a:srgbClr val="000000">
                  <a:alpha val="35000"/>
                </a:srgbClr>
              </a:outerShdw>
            </a:effectLst>
          </c:spPr>
          <c:marker>
            <c:symbol val="circle"/>
            <c:size val="6"/>
            <c:spPr>
              <a:solidFill>
                <a:srgbClr val="0000FF"/>
              </a:solidFill>
              <a:ln w="9525">
                <a:solidFill>
                  <a:srgbClr val="0000FF"/>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Validation!$A$1:$A$12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Validation!$F$1:$F$12</c:f>
              <c:numCache>
                <c:formatCode>General</c:formatCode>
                <c:ptCount val="12"/>
                <c:pt idx="0">
                  <c:v>89.6</c:v>
                </c:pt>
                <c:pt idx="1">
                  <c:v>88.5</c:v>
                </c:pt>
                <c:pt idx="2">
                  <c:v>85.8</c:v>
                </c:pt>
                <c:pt idx="3">
                  <c:v>83.6</c:v>
                </c:pt>
                <c:pt idx="4">
                  <c:v>81.8</c:v>
                </c:pt>
                <c:pt idx="5">
                  <c:v>79.400000000000006</c:v>
                </c:pt>
                <c:pt idx="6">
                  <c:v>78.900000000000006</c:v>
                </c:pt>
                <c:pt idx="7">
                  <c:v>79.2</c:v>
                </c:pt>
                <c:pt idx="8">
                  <c:v>80</c:v>
                </c:pt>
                <c:pt idx="9">
                  <c:v>83.4</c:v>
                </c:pt>
                <c:pt idx="10">
                  <c:v>87</c:v>
                </c:pt>
                <c:pt idx="11">
                  <c:v>89.3</c:v>
                </c:pt>
              </c:numCache>
            </c:numRef>
          </c:val>
          <c:smooth val="0"/>
          <c:extLst>
            <c:ext xmlns:c16="http://schemas.microsoft.com/office/drawing/2014/chart" uri="{C3380CC4-5D6E-409C-BE32-E72D297353CC}">
              <c16:uniqueId val="{00000002-8F4A-4F76-B3AB-8BA2E27566DD}"/>
            </c:ext>
          </c:extLst>
        </c:ser>
        <c:ser>
          <c:idx val="3"/>
          <c:order val="3"/>
          <c:tx>
            <c:v>Afrouzy et al, 2021</c:v>
          </c:tx>
          <c:spPr>
            <a:ln w="19050" cap="rnd">
              <a:solidFill>
                <a:srgbClr val="FF0000"/>
              </a:solidFill>
              <a:prstDash val="sysDot"/>
              <a:round/>
            </a:ln>
            <a:effectLst>
              <a:outerShdw blurRad="40000" dist="23000" dir="5400000" rotWithShape="0">
                <a:srgbClr val="000000">
                  <a:alpha val="35000"/>
                </a:srgbClr>
              </a:outerShdw>
            </a:effectLst>
          </c:spPr>
          <c:marker>
            <c:symbol val="circle"/>
            <c:size val="6"/>
            <c:spPr>
              <a:solidFill>
                <a:srgbClr val="FF0000"/>
              </a:solidFill>
              <a:ln w="9525">
                <a:solidFill>
                  <a:srgbClr val="FF0000"/>
                </a:solidFill>
                <a:prstDash val="sysDot"/>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Validation!$A$1:$A$12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Validation!$K$1:$K$12</c:f>
              <c:numCache>
                <c:formatCode>General</c:formatCode>
                <c:ptCount val="12"/>
                <c:pt idx="0">
                  <c:v>80.5</c:v>
                </c:pt>
                <c:pt idx="1">
                  <c:v>79.599999999999994</c:v>
                </c:pt>
                <c:pt idx="2">
                  <c:v>78.599999999999994</c:v>
                </c:pt>
                <c:pt idx="3">
                  <c:v>79.8</c:v>
                </c:pt>
                <c:pt idx="4">
                  <c:v>80.599999999999994</c:v>
                </c:pt>
                <c:pt idx="5">
                  <c:v>82.3</c:v>
                </c:pt>
                <c:pt idx="6">
                  <c:v>82.1</c:v>
                </c:pt>
                <c:pt idx="7">
                  <c:v>81.5</c:v>
                </c:pt>
                <c:pt idx="8">
                  <c:v>80.7</c:v>
                </c:pt>
                <c:pt idx="9">
                  <c:v>81</c:v>
                </c:pt>
                <c:pt idx="10">
                  <c:v>81.5</c:v>
                </c:pt>
                <c:pt idx="11">
                  <c:v>81.2</c:v>
                </c:pt>
              </c:numCache>
            </c:numRef>
          </c:val>
          <c:smooth val="0"/>
          <c:extLst>
            <c:ext xmlns:c16="http://schemas.microsoft.com/office/drawing/2014/chart" uri="{C3380CC4-5D6E-409C-BE32-E72D297353CC}">
              <c16:uniqueId val="{00000003-8F4A-4F76-B3AB-8BA2E27566DD}"/>
            </c:ext>
          </c:extLst>
        </c:ser>
        <c:dLbls>
          <c:showLegendKey val="0"/>
          <c:showVal val="0"/>
          <c:showCatName val="0"/>
          <c:showSerName val="0"/>
          <c:showPercent val="0"/>
          <c:showBubbleSize val="0"/>
        </c:dLbls>
        <c:marker val="1"/>
        <c:smooth val="0"/>
        <c:axId val="1549443248"/>
        <c:axId val="1549436176"/>
      </c:lineChart>
      <c:catAx>
        <c:axId val="176961792"/>
        <c:scaling>
          <c:orientation val="minMax"/>
        </c:scaling>
        <c:delete val="0"/>
        <c:axPos val="b"/>
        <c:title>
          <c:tx>
            <c:rich>
              <a:bodyPr rot="0" vert="horz"/>
              <a:lstStyle/>
              <a:p>
                <a:pPr>
                  <a:defRPr/>
                </a:pPr>
                <a:r>
                  <a:rPr lang="en-US"/>
                  <a:t>Month</a:t>
                </a:r>
              </a:p>
            </c:rich>
          </c:tx>
          <c:layout>
            <c:manualLayout>
              <c:xMode val="edge"/>
              <c:yMode val="edge"/>
              <c:x val="0.46209133138956154"/>
              <c:y val="0.93241612523532424"/>
            </c:manualLayout>
          </c:layout>
          <c:overlay val="0"/>
          <c:spPr>
            <a:noFill/>
            <a:ln>
              <a:noFill/>
            </a:ln>
            <a:effectLst/>
          </c:spPr>
        </c:title>
        <c:numFmt formatCode="General" sourceLinked="0"/>
        <c:majorTickMark val="none"/>
        <c:minorTickMark val="out"/>
        <c:tickLblPos val="nextTo"/>
        <c:spPr>
          <a:noFill/>
          <a:ln w="12700" cap="flat" cmpd="sng" algn="ctr">
            <a:solidFill>
              <a:schemeClr val="tx1"/>
            </a:solidFill>
            <a:round/>
          </a:ln>
          <a:effectLst/>
        </c:spPr>
        <c:txPr>
          <a:bodyPr rot="-60000000" vert="horz"/>
          <a:lstStyle/>
          <a:p>
            <a:pPr>
              <a:defRPr/>
            </a:pPr>
            <a:endParaRPr lang="en-US"/>
          </a:p>
        </c:txPr>
        <c:crossAx val="176976640"/>
        <c:crosses val="autoZero"/>
        <c:auto val="1"/>
        <c:lblAlgn val="ctr"/>
        <c:lblOffset val="100"/>
        <c:noMultiLvlLbl val="0"/>
      </c:catAx>
      <c:valAx>
        <c:axId val="176976640"/>
        <c:scaling>
          <c:orientation val="minMax"/>
          <c:max val="260"/>
          <c:min val="0"/>
        </c:scaling>
        <c:delete val="0"/>
        <c:axPos val="l"/>
        <c:title>
          <c:tx>
            <c:rich>
              <a:bodyPr rot="-5400000" vert="horz"/>
              <a:lstStyle/>
              <a:p>
                <a:pPr>
                  <a:defRPr sz="600"/>
                </a:pPr>
                <a:r>
                  <a:rPr lang="en-US" sz="600"/>
                  <a:t>Monthy Energy Production (kWh/kWp/month)</a:t>
                </a:r>
              </a:p>
            </c:rich>
          </c:tx>
          <c:layout>
            <c:manualLayout>
              <c:xMode val="edge"/>
              <c:yMode val="edge"/>
              <c:x val="4.4829119866712794E-3"/>
              <c:y val="9.6414166150066385E-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176961792"/>
        <c:crosses val="autoZero"/>
        <c:crossBetween val="between"/>
        <c:majorUnit val="40"/>
      </c:valAx>
      <c:valAx>
        <c:axId val="1549436176"/>
        <c:scaling>
          <c:orientation val="minMax"/>
          <c:min val="0"/>
        </c:scaling>
        <c:delete val="0"/>
        <c:axPos val="r"/>
        <c:title>
          <c:tx>
            <c:rich>
              <a:bodyPr/>
              <a:lstStyle/>
              <a:p>
                <a:pPr>
                  <a:defRPr sz="600"/>
                </a:pPr>
                <a:r>
                  <a:rPr lang="en-US" sz="600"/>
                  <a:t>Performance Ratio (%)</a:t>
                </a:r>
              </a:p>
            </c:rich>
          </c:tx>
          <c:overlay val="0"/>
        </c:title>
        <c:numFmt formatCode="General" sourceLinked="1"/>
        <c:majorTickMark val="out"/>
        <c:minorTickMark val="none"/>
        <c:tickLblPos val="nextTo"/>
        <c:spPr>
          <a:ln>
            <a:solidFill>
              <a:schemeClr val="tx1"/>
            </a:solidFill>
          </a:ln>
        </c:spPr>
        <c:crossAx val="1549443248"/>
        <c:crosses val="max"/>
        <c:crossBetween val="between"/>
        <c:majorUnit val="10"/>
      </c:valAx>
      <c:catAx>
        <c:axId val="1549443248"/>
        <c:scaling>
          <c:orientation val="minMax"/>
        </c:scaling>
        <c:delete val="1"/>
        <c:axPos val="b"/>
        <c:numFmt formatCode="General" sourceLinked="1"/>
        <c:majorTickMark val="out"/>
        <c:minorTickMark val="none"/>
        <c:tickLblPos val="nextTo"/>
        <c:crossAx val="1549436176"/>
        <c:crosses val="autoZero"/>
        <c:auto val="1"/>
        <c:lblAlgn val="ctr"/>
        <c:lblOffset val="100"/>
        <c:noMultiLvlLbl val="0"/>
      </c:catAx>
      <c:spPr>
        <a:noFill/>
        <a:ln>
          <a:solidFill>
            <a:schemeClr val="tx1"/>
          </a:solidFill>
        </a:ln>
        <a:effectLst/>
      </c:spPr>
    </c:plotArea>
    <c:legend>
      <c:legendPos val="t"/>
      <c:layout>
        <c:manualLayout>
          <c:xMode val="edge"/>
          <c:yMode val="edge"/>
          <c:x val="0.10189402887139108"/>
          <c:y val="0"/>
          <c:w val="0.80870800524934383"/>
          <c:h val="9.9158051042208567E-2"/>
        </c:manualLayout>
      </c:layout>
      <c:overlay val="0"/>
      <c:spPr>
        <a:noFill/>
        <a:ln>
          <a:noFill/>
        </a:ln>
        <a:effectLst/>
      </c:spPr>
      <c:txPr>
        <a:bodyPr rot="0" vert="horz"/>
        <a:lstStyle/>
        <a:p>
          <a:pPr>
            <a:defRPr sz="700"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i="1">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84202253269872"/>
          <c:y val="0.202260101010101"/>
          <c:w val="0.67889690668889235"/>
          <c:h val="0.58740202020202015"/>
        </c:manualLayout>
      </c:layout>
      <c:barChart>
        <c:barDir val="col"/>
        <c:grouping val="clustered"/>
        <c:varyColors val="0"/>
        <c:ser>
          <c:idx val="0"/>
          <c:order val="0"/>
          <c:tx>
            <c:v>Energy injected to the Grid (MWh)</c:v>
          </c:tx>
          <c:spPr>
            <a:pattFill prst="wdUpDiag">
              <a:fgClr>
                <a:srgbClr val="006600"/>
              </a:fgClr>
              <a:bgClr>
                <a:schemeClr val="bg1"/>
              </a:bgClr>
            </a:pattFill>
            <a:ln>
              <a:solidFill>
                <a:srgbClr val="00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Sheet2!$C$1:$C$12</c:f>
              <c:numCache>
                <c:formatCode>General</c:formatCode>
                <c:ptCount val="12"/>
                <c:pt idx="0">
                  <c:v>3407.26</c:v>
                </c:pt>
                <c:pt idx="1">
                  <c:v>3304.6950000000002</c:v>
                </c:pt>
                <c:pt idx="2">
                  <c:v>3579.1869999999999</c:v>
                </c:pt>
                <c:pt idx="3">
                  <c:v>3508.87</c:v>
                </c:pt>
                <c:pt idx="4">
                  <c:v>3408.0729999999999</c:v>
                </c:pt>
                <c:pt idx="5">
                  <c:v>3436.5010000000002</c:v>
                </c:pt>
                <c:pt idx="6">
                  <c:v>3427.7539999999999</c:v>
                </c:pt>
                <c:pt idx="7">
                  <c:v>3572.692</c:v>
                </c:pt>
                <c:pt idx="8">
                  <c:v>3726.8470000000002</c:v>
                </c:pt>
                <c:pt idx="9">
                  <c:v>3717.7579999999998</c:v>
                </c:pt>
                <c:pt idx="10">
                  <c:v>3466.3310000000001</c:v>
                </c:pt>
                <c:pt idx="11">
                  <c:v>3381.3980000000001</c:v>
                </c:pt>
              </c:numCache>
            </c:numRef>
          </c:val>
          <c:extLst>
            <c:ext xmlns:c16="http://schemas.microsoft.com/office/drawing/2014/chart" uri="{C3380CC4-5D6E-409C-BE32-E72D297353CC}">
              <c16:uniqueId val="{00000000-169F-4E7B-BFF2-8AEFB014F8B5}"/>
            </c:ext>
          </c:extLst>
        </c:ser>
        <c:dLbls>
          <c:showLegendKey val="0"/>
          <c:showVal val="0"/>
          <c:showCatName val="0"/>
          <c:showSerName val="0"/>
          <c:showPercent val="0"/>
          <c:showBubbleSize val="0"/>
        </c:dLbls>
        <c:gapWidth val="150"/>
        <c:axId val="177153920"/>
        <c:axId val="177168768"/>
      </c:barChart>
      <c:lineChart>
        <c:grouping val="stacked"/>
        <c:varyColors val="0"/>
        <c:ser>
          <c:idx val="1"/>
          <c:order val="1"/>
          <c:tx>
            <c:v>Array output Energy (MWh)</c:v>
          </c:tx>
          <c:spPr>
            <a:ln w="12700" cap="rnd">
              <a:solidFill>
                <a:srgbClr val="0000FF"/>
              </a:solidFill>
              <a:round/>
            </a:ln>
            <a:effectLst>
              <a:outerShdw blurRad="40000" dist="23000" dir="5400000" rotWithShape="0">
                <a:srgbClr val="000000">
                  <a:alpha val="35000"/>
                </a:srgbClr>
              </a:outerShdw>
            </a:effectLst>
          </c:spPr>
          <c:marker>
            <c:symbol val="circle"/>
            <c:size val="6"/>
            <c:spPr>
              <a:solidFill>
                <a:srgbClr val="0000FF"/>
              </a:solidFill>
              <a:ln w="9525">
                <a:solidFill>
                  <a:srgbClr val="0000FF"/>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Sheet2!$A$1:$A$12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Sheet2!$D$1:$D$12</c:f>
              <c:numCache>
                <c:formatCode>General</c:formatCode>
                <c:ptCount val="12"/>
                <c:pt idx="0">
                  <c:v>3453</c:v>
                </c:pt>
                <c:pt idx="1">
                  <c:v>3350</c:v>
                </c:pt>
                <c:pt idx="2">
                  <c:v>3639</c:v>
                </c:pt>
                <c:pt idx="3">
                  <c:v>3576</c:v>
                </c:pt>
                <c:pt idx="4">
                  <c:v>3482</c:v>
                </c:pt>
                <c:pt idx="5">
                  <c:v>3538</c:v>
                </c:pt>
                <c:pt idx="6">
                  <c:v>3541</c:v>
                </c:pt>
                <c:pt idx="7">
                  <c:v>3693</c:v>
                </c:pt>
                <c:pt idx="8">
                  <c:v>3849</c:v>
                </c:pt>
                <c:pt idx="9">
                  <c:v>3791</c:v>
                </c:pt>
                <c:pt idx="10">
                  <c:v>3519</c:v>
                </c:pt>
                <c:pt idx="11">
                  <c:v>3427</c:v>
                </c:pt>
              </c:numCache>
            </c:numRef>
          </c:val>
          <c:smooth val="0"/>
          <c:extLst>
            <c:ext xmlns:c16="http://schemas.microsoft.com/office/drawing/2014/chart" uri="{C3380CC4-5D6E-409C-BE32-E72D297353CC}">
              <c16:uniqueId val="{00000001-169F-4E7B-BFF2-8AEFB014F8B5}"/>
            </c:ext>
          </c:extLst>
        </c:ser>
        <c:dLbls>
          <c:showLegendKey val="0"/>
          <c:showVal val="0"/>
          <c:showCatName val="0"/>
          <c:showSerName val="0"/>
          <c:showPercent val="0"/>
          <c:showBubbleSize val="0"/>
        </c:dLbls>
        <c:marker val="1"/>
        <c:smooth val="0"/>
        <c:axId val="177153920"/>
        <c:axId val="177168768"/>
      </c:lineChart>
      <c:lineChart>
        <c:grouping val="stacked"/>
        <c:varyColors val="0"/>
        <c:ser>
          <c:idx val="2"/>
          <c:order val="2"/>
          <c:tx>
            <c:strRef>
              <c:f>Sheet2!$K$4</c:f>
              <c:strCache>
                <c:ptCount val="1"/>
                <c:pt idx="0">
                  <c:v>PR</c:v>
                </c:pt>
              </c:strCache>
            </c:strRef>
          </c:tx>
          <c:spPr>
            <a:ln w="15875" cap="rnd">
              <a:solidFill>
                <a:srgbClr val="FF0000"/>
              </a:solidFill>
              <a:prstDash val="sysDash"/>
              <a:round/>
            </a:ln>
            <a:effectLst>
              <a:outerShdw blurRad="40000" dist="23000" dir="5400000" rotWithShape="0">
                <a:srgbClr val="000000">
                  <a:alpha val="35000"/>
                </a:srgbClr>
              </a:outerShdw>
            </a:effectLst>
          </c:spPr>
          <c:marker>
            <c:symbol val="circle"/>
            <c:size val="6"/>
            <c:spPr>
              <a:solidFill>
                <a:srgbClr val="FF0000"/>
              </a:solidFill>
              <a:ln w="9525">
                <a:solidFill>
                  <a:srgbClr val="FF0000"/>
                </a:solidFill>
                <a:prstDash val="sysDash"/>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Sheet2!$A$1:$A$12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Sheet2!$F$1:$F$12</c:f>
              <c:numCache>
                <c:formatCode>General</c:formatCode>
                <c:ptCount val="12"/>
                <c:pt idx="0">
                  <c:v>89.6</c:v>
                </c:pt>
                <c:pt idx="1">
                  <c:v>88.5</c:v>
                </c:pt>
                <c:pt idx="2">
                  <c:v>85.8</c:v>
                </c:pt>
                <c:pt idx="3">
                  <c:v>83.6</c:v>
                </c:pt>
                <c:pt idx="4">
                  <c:v>81.8</c:v>
                </c:pt>
                <c:pt idx="5">
                  <c:v>79.400000000000006</c:v>
                </c:pt>
                <c:pt idx="6">
                  <c:v>78.900000000000006</c:v>
                </c:pt>
                <c:pt idx="7">
                  <c:v>79.2</c:v>
                </c:pt>
                <c:pt idx="8">
                  <c:v>80</c:v>
                </c:pt>
                <c:pt idx="9">
                  <c:v>83.4</c:v>
                </c:pt>
                <c:pt idx="10">
                  <c:v>87</c:v>
                </c:pt>
                <c:pt idx="11">
                  <c:v>89.3</c:v>
                </c:pt>
              </c:numCache>
            </c:numRef>
          </c:val>
          <c:smooth val="0"/>
          <c:extLst>
            <c:ext xmlns:c16="http://schemas.microsoft.com/office/drawing/2014/chart" uri="{C3380CC4-5D6E-409C-BE32-E72D297353CC}">
              <c16:uniqueId val="{00000002-169F-4E7B-BFF2-8AEFB014F8B5}"/>
            </c:ext>
          </c:extLst>
        </c:ser>
        <c:dLbls>
          <c:showLegendKey val="0"/>
          <c:showVal val="0"/>
          <c:showCatName val="0"/>
          <c:showSerName val="0"/>
          <c:showPercent val="0"/>
          <c:showBubbleSize val="0"/>
        </c:dLbls>
        <c:marker val="1"/>
        <c:smooth val="0"/>
        <c:axId val="177184768"/>
        <c:axId val="177170688"/>
      </c:lineChart>
      <c:catAx>
        <c:axId val="177153920"/>
        <c:scaling>
          <c:orientation val="minMax"/>
        </c:scaling>
        <c:delete val="0"/>
        <c:axPos val="b"/>
        <c:title>
          <c:tx>
            <c:rich>
              <a:bodyPr rot="0" vert="horz"/>
              <a:lstStyle/>
              <a:p>
                <a:pPr>
                  <a:defRPr/>
                </a:pPr>
                <a:r>
                  <a:rPr lang="en-US"/>
                  <a:t>Month</a:t>
                </a:r>
              </a:p>
            </c:rich>
          </c:tx>
          <c:layout>
            <c:manualLayout>
              <c:xMode val="edge"/>
              <c:yMode val="edge"/>
              <c:x val="0.47427713723028186"/>
              <c:y val="0.94248089618168363"/>
            </c:manualLayout>
          </c:layout>
          <c:overlay val="0"/>
          <c:spPr>
            <a:noFill/>
            <a:ln>
              <a:noFill/>
            </a:ln>
            <a:effectLst/>
          </c:spPr>
        </c:title>
        <c:numFmt formatCode="General" sourceLinked="0"/>
        <c:majorTickMark val="none"/>
        <c:minorTickMark val="out"/>
        <c:tickLblPos val="nextTo"/>
        <c:spPr>
          <a:noFill/>
          <a:ln w="12700" cap="flat" cmpd="sng" algn="ctr">
            <a:solidFill>
              <a:schemeClr val="tx1"/>
            </a:solidFill>
            <a:round/>
          </a:ln>
          <a:effectLst/>
        </c:spPr>
        <c:txPr>
          <a:bodyPr rot="-60000000" vert="horz"/>
          <a:lstStyle/>
          <a:p>
            <a:pPr>
              <a:defRPr/>
            </a:pPr>
            <a:endParaRPr lang="en-US"/>
          </a:p>
        </c:txPr>
        <c:crossAx val="177168768"/>
        <c:crosses val="autoZero"/>
        <c:auto val="1"/>
        <c:lblAlgn val="ctr"/>
        <c:lblOffset val="100"/>
        <c:noMultiLvlLbl val="0"/>
      </c:catAx>
      <c:valAx>
        <c:axId val="177168768"/>
        <c:scaling>
          <c:orientation val="minMax"/>
          <c:max val="5000"/>
          <c:min val="0"/>
        </c:scaling>
        <c:delete val="0"/>
        <c:axPos val="l"/>
        <c:title>
          <c:tx>
            <c:rich>
              <a:bodyPr rot="-5400000" vert="horz"/>
              <a:lstStyle/>
              <a:p>
                <a:pPr>
                  <a:defRPr/>
                </a:pPr>
                <a:r>
                  <a:rPr lang="en-US"/>
                  <a:t>Grid and Array Energy (MWh)</a:t>
                </a:r>
              </a:p>
            </c:rich>
          </c:tx>
          <c:layout>
            <c:manualLayout>
              <c:xMode val="edge"/>
              <c:yMode val="edge"/>
              <c:x val="3.3777114907990261E-4"/>
              <c:y val="0.15839774615329047"/>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177153920"/>
        <c:crosses val="autoZero"/>
        <c:crossBetween val="between"/>
        <c:majorUnit val="1000"/>
      </c:valAx>
      <c:valAx>
        <c:axId val="177170688"/>
        <c:scaling>
          <c:orientation val="minMax"/>
        </c:scaling>
        <c:delete val="0"/>
        <c:axPos val="r"/>
        <c:title>
          <c:tx>
            <c:rich>
              <a:bodyPr rot="-5400000" vert="horz"/>
              <a:lstStyle/>
              <a:p>
                <a:pPr>
                  <a:defRPr/>
                </a:pPr>
                <a:r>
                  <a:rPr lang="en-US"/>
                  <a:t>Performance Ratio (%)</a:t>
                </a:r>
              </a:p>
            </c:rich>
          </c:tx>
          <c:layout>
            <c:manualLayout>
              <c:xMode val="edge"/>
              <c:yMode val="edge"/>
              <c:x val="0.94409355806921191"/>
              <c:y val="0.17863939393939393"/>
            </c:manualLayout>
          </c:layout>
          <c:overlay val="0"/>
        </c:title>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177184768"/>
        <c:crosses val="max"/>
        <c:crossBetween val="between"/>
      </c:valAx>
      <c:catAx>
        <c:axId val="177184768"/>
        <c:scaling>
          <c:orientation val="minMax"/>
        </c:scaling>
        <c:delete val="1"/>
        <c:axPos val="b"/>
        <c:numFmt formatCode="General" sourceLinked="1"/>
        <c:majorTickMark val="out"/>
        <c:minorTickMark val="none"/>
        <c:tickLblPos val="nextTo"/>
        <c:crossAx val="177170688"/>
        <c:crosses val="autoZero"/>
        <c:auto val="1"/>
        <c:lblAlgn val="ctr"/>
        <c:lblOffset val="100"/>
        <c:noMultiLvlLbl val="0"/>
      </c:catAx>
      <c:spPr>
        <a:noFill/>
        <a:ln>
          <a:solidFill>
            <a:schemeClr val="tx1"/>
          </a:solidFill>
        </a:ln>
        <a:effectLst/>
      </c:spPr>
    </c:plotArea>
    <c:legend>
      <c:legendPos val="b"/>
      <c:layout>
        <c:manualLayout>
          <c:xMode val="edge"/>
          <c:yMode val="edge"/>
          <c:x val="0.15291524507929827"/>
          <c:y val="5.1919191919191782E-3"/>
          <c:w val="0.74025186630244999"/>
          <c:h val="0.19945454545454547"/>
        </c:manualLayout>
      </c:layout>
      <c:overlay val="0"/>
      <c:txPr>
        <a:bodyPr/>
        <a:lstStyle/>
        <a:p>
          <a:pPr>
            <a:defRPr sz="800"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4412172942961"/>
          <c:y val="0.11167777777777779"/>
          <c:w val="0.76601460649379294"/>
          <c:h val="0.73482446349113351"/>
        </c:manualLayout>
      </c:layout>
      <c:barChart>
        <c:barDir val="col"/>
        <c:grouping val="clustered"/>
        <c:varyColors val="0"/>
        <c:ser>
          <c:idx val="0"/>
          <c:order val="0"/>
          <c:tx>
            <c:v>Module quality Loss</c:v>
          </c:tx>
          <c:spPr>
            <a:solidFill>
              <a:srgbClr val="FF0000"/>
            </a:solidFill>
            <a:ln>
              <a:solidFill>
                <a:srgbClr val="FF0000"/>
              </a:solid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cat>
            <c:strRef>
              <c:f>Sheet5!$A$1:$A$12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Sheet5!$B$1:$B$12</c:f>
              <c:numCache>
                <c:formatCode>General</c:formatCode>
                <c:ptCount val="12"/>
                <c:pt idx="0">
                  <c:v>7.9370000000000003</c:v>
                </c:pt>
                <c:pt idx="1">
                  <c:v>7.702</c:v>
                </c:pt>
                <c:pt idx="2">
                  <c:v>8.3710000000000004</c:v>
                </c:pt>
                <c:pt idx="3">
                  <c:v>8.2240000000000002</c:v>
                </c:pt>
                <c:pt idx="4">
                  <c:v>8.0030000000000001</c:v>
                </c:pt>
                <c:pt idx="5">
                  <c:v>8.1359999999999992</c:v>
                </c:pt>
                <c:pt idx="6">
                  <c:v>8.1430000000000007</c:v>
                </c:pt>
                <c:pt idx="7">
                  <c:v>8.4969999999999999</c:v>
                </c:pt>
                <c:pt idx="8">
                  <c:v>8.8680000000000003</c:v>
                </c:pt>
                <c:pt idx="9">
                  <c:v>8.7260000000000009</c:v>
                </c:pt>
                <c:pt idx="10">
                  <c:v>8.0980000000000008</c:v>
                </c:pt>
                <c:pt idx="11">
                  <c:v>7.8780000000000001</c:v>
                </c:pt>
              </c:numCache>
            </c:numRef>
          </c:val>
          <c:extLst>
            <c:ext xmlns:c16="http://schemas.microsoft.com/office/drawing/2014/chart" uri="{C3380CC4-5D6E-409C-BE32-E72D297353CC}">
              <c16:uniqueId val="{00000000-D616-4B89-BD81-3696A42093A5}"/>
            </c:ext>
          </c:extLst>
        </c:ser>
        <c:ser>
          <c:idx val="3"/>
          <c:order val="3"/>
          <c:tx>
            <c:v>Inverter Loss</c:v>
          </c:tx>
          <c:spPr>
            <a:pattFill prst="wdUpDiag">
              <a:fgClr>
                <a:srgbClr val="800080"/>
              </a:fgClr>
              <a:bgClr>
                <a:schemeClr val="bg1"/>
              </a:bgClr>
            </a:pattFill>
            <a:ln>
              <a:solidFill>
                <a:srgbClr val="800080"/>
              </a:solid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cat>
            <c:strRef>
              <c:f>Sheet5!$A$1:$A$12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Sheet5!$E$1:$E$12</c:f>
              <c:numCache>
                <c:formatCode>General</c:formatCode>
                <c:ptCount val="12"/>
                <c:pt idx="0">
                  <c:v>46.4</c:v>
                </c:pt>
                <c:pt idx="1">
                  <c:v>45.3</c:v>
                </c:pt>
                <c:pt idx="2">
                  <c:v>59.9</c:v>
                </c:pt>
                <c:pt idx="3">
                  <c:v>66.900000000000006</c:v>
                </c:pt>
                <c:pt idx="4">
                  <c:v>74.2</c:v>
                </c:pt>
                <c:pt idx="5">
                  <c:v>101.3</c:v>
                </c:pt>
                <c:pt idx="6">
                  <c:v>113.6</c:v>
                </c:pt>
                <c:pt idx="7">
                  <c:v>119.8</c:v>
                </c:pt>
                <c:pt idx="8">
                  <c:v>122.6</c:v>
                </c:pt>
                <c:pt idx="9">
                  <c:v>73.2</c:v>
                </c:pt>
                <c:pt idx="10">
                  <c:v>52.8</c:v>
                </c:pt>
                <c:pt idx="11">
                  <c:v>45.7</c:v>
                </c:pt>
              </c:numCache>
            </c:numRef>
          </c:val>
          <c:extLst>
            <c:ext xmlns:c16="http://schemas.microsoft.com/office/drawing/2014/chart" uri="{C3380CC4-5D6E-409C-BE32-E72D297353CC}">
              <c16:uniqueId val="{00000001-D616-4B89-BD81-3696A42093A5}"/>
            </c:ext>
          </c:extLst>
        </c:ser>
        <c:dLbls>
          <c:showLegendKey val="0"/>
          <c:showVal val="0"/>
          <c:showCatName val="0"/>
          <c:showSerName val="0"/>
          <c:showPercent val="0"/>
          <c:showBubbleSize val="0"/>
        </c:dLbls>
        <c:gapWidth val="125"/>
        <c:overlap val="-21"/>
        <c:axId val="176761472"/>
        <c:axId val="176767744"/>
      </c:barChart>
      <c:lineChart>
        <c:grouping val="stacked"/>
        <c:varyColors val="0"/>
        <c:ser>
          <c:idx val="1"/>
          <c:order val="1"/>
          <c:tx>
            <c:v>Mismatch Loss</c:v>
          </c:tx>
          <c:spPr>
            <a:ln w="12700">
              <a:solidFill>
                <a:srgbClr val="0000FF"/>
              </a:solidFill>
            </a:ln>
            <a:effectLst>
              <a:outerShdw blurRad="40000" dist="23000" dir="5400000" rotWithShape="0">
                <a:srgbClr val="000000">
                  <a:alpha val="35000"/>
                </a:srgbClr>
              </a:outerShdw>
            </a:effectLst>
          </c:spPr>
          <c:marker>
            <c:spPr>
              <a:solidFill>
                <a:srgbClr val="0000FF"/>
              </a:solidFill>
              <a:ln>
                <a:solidFill>
                  <a:srgbClr val="0000FF"/>
                </a:solidFill>
              </a:ln>
            </c:spPr>
          </c:marker>
          <c:cat>
            <c:strRef>
              <c:f>Sheet5!$A$1:$A$12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Sheet5!$C$1:$C$12</c:f>
              <c:numCache>
                <c:formatCode>General</c:formatCode>
                <c:ptCount val="12"/>
                <c:pt idx="0">
                  <c:v>75</c:v>
                </c:pt>
                <c:pt idx="1">
                  <c:v>72.78</c:v>
                </c:pt>
                <c:pt idx="2">
                  <c:v>79.099999999999994</c:v>
                </c:pt>
                <c:pt idx="3">
                  <c:v>77.72</c:v>
                </c:pt>
                <c:pt idx="4">
                  <c:v>75.62</c:v>
                </c:pt>
                <c:pt idx="5">
                  <c:v>76.88</c:v>
                </c:pt>
                <c:pt idx="6">
                  <c:v>76.94</c:v>
                </c:pt>
                <c:pt idx="7">
                  <c:v>80.3</c:v>
                </c:pt>
                <c:pt idx="8">
                  <c:v>83.8</c:v>
                </c:pt>
                <c:pt idx="9">
                  <c:v>82.45</c:v>
                </c:pt>
                <c:pt idx="10">
                  <c:v>76.53</c:v>
                </c:pt>
                <c:pt idx="11">
                  <c:v>74.44</c:v>
                </c:pt>
              </c:numCache>
            </c:numRef>
          </c:val>
          <c:smooth val="0"/>
          <c:extLst>
            <c:ext xmlns:c16="http://schemas.microsoft.com/office/drawing/2014/chart" uri="{C3380CC4-5D6E-409C-BE32-E72D297353CC}">
              <c16:uniqueId val="{00000002-D616-4B89-BD81-3696A42093A5}"/>
            </c:ext>
          </c:extLst>
        </c:ser>
        <c:dLbls>
          <c:showLegendKey val="0"/>
          <c:showVal val="0"/>
          <c:showCatName val="0"/>
          <c:showSerName val="0"/>
          <c:showPercent val="0"/>
          <c:showBubbleSize val="0"/>
        </c:dLbls>
        <c:marker val="1"/>
        <c:smooth val="0"/>
        <c:axId val="176761472"/>
        <c:axId val="176767744"/>
      </c:lineChart>
      <c:lineChart>
        <c:grouping val="stacked"/>
        <c:varyColors val="0"/>
        <c:ser>
          <c:idx val="2"/>
          <c:order val="2"/>
          <c:tx>
            <c:v>Ohmic wiring Loss</c:v>
          </c:tx>
          <c:spPr>
            <a:ln w="15875">
              <a:solidFill>
                <a:srgbClr val="006600"/>
              </a:solidFill>
              <a:prstDash val="sysDash"/>
            </a:ln>
            <a:effectLst>
              <a:outerShdw blurRad="40000" dist="23000" dir="5400000" rotWithShape="0">
                <a:srgbClr val="000000">
                  <a:alpha val="35000"/>
                </a:srgbClr>
              </a:outerShdw>
            </a:effectLst>
          </c:spPr>
          <c:marker>
            <c:spPr>
              <a:solidFill>
                <a:srgbClr val="006600"/>
              </a:solidFill>
              <a:ln>
                <a:solidFill>
                  <a:srgbClr val="006600"/>
                </a:solidFill>
                <a:prstDash val="sysDash"/>
              </a:ln>
            </c:spPr>
          </c:marker>
          <c:cat>
            <c:strRef>
              <c:f>Sheet5!$A$1:$A$12</c:f>
              <c:strCache>
                <c:ptCount val="12"/>
                <c:pt idx="0">
                  <c:v>Jan</c:v>
                </c:pt>
                <c:pt idx="1">
                  <c:v>Feb</c:v>
                </c:pt>
                <c:pt idx="2">
                  <c:v>Mar</c:v>
                </c:pt>
                <c:pt idx="3">
                  <c:v>Apr</c:v>
                </c:pt>
                <c:pt idx="4">
                  <c:v>May </c:v>
                </c:pt>
                <c:pt idx="5">
                  <c:v>Jun</c:v>
                </c:pt>
                <c:pt idx="6">
                  <c:v>Jul</c:v>
                </c:pt>
                <c:pt idx="7">
                  <c:v>Aug</c:v>
                </c:pt>
                <c:pt idx="8">
                  <c:v>Sep </c:v>
                </c:pt>
                <c:pt idx="9">
                  <c:v>Oct</c:v>
                </c:pt>
                <c:pt idx="10">
                  <c:v>Nov</c:v>
                </c:pt>
                <c:pt idx="11">
                  <c:v>Dec </c:v>
                </c:pt>
              </c:strCache>
            </c:strRef>
          </c:cat>
          <c:val>
            <c:numRef>
              <c:f>Sheet5!$D$1:$D$12</c:f>
              <c:numCache>
                <c:formatCode>General</c:formatCode>
                <c:ptCount val="12"/>
                <c:pt idx="0">
                  <c:v>42.76</c:v>
                </c:pt>
                <c:pt idx="1">
                  <c:v>42.92</c:v>
                </c:pt>
                <c:pt idx="2">
                  <c:v>48.55</c:v>
                </c:pt>
                <c:pt idx="3">
                  <c:v>47.36</c:v>
                </c:pt>
                <c:pt idx="4">
                  <c:v>43.23</c:v>
                </c:pt>
                <c:pt idx="5">
                  <c:v>46.47</c:v>
                </c:pt>
                <c:pt idx="6">
                  <c:v>45.69</c:v>
                </c:pt>
                <c:pt idx="7">
                  <c:v>50.84</c:v>
                </c:pt>
                <c:pt idx="8">
                  <c:v>57.05</c:v>
                </c:pt>
                <c:pt idx="9">
                  <c:v>53.05</c:v>
                </c:pt>
                <c:pt idx="10">
                  <c:v>48.48</c:v>
                </c:pt>
                <c:pt idx="11">
                  <c:v>43.25</c:v>
                </c:pt>
              </c:numCache>
            </c:numRef>
          </c:val>
          <c:smooth val="0"/>
          <c:extLst>
            <c:ext xmlns:c16="http://schemas.microsoft.com/office/drawing/2014/chart" uri="{C3380CC4-5D6E-409C-BE32-E72D297353CC}">
              <c16:uniqueId val="{00000003-D616-4B89-BD81-3696A42093A5}"/>
            </c:ext>
          </c:extLst>
        </c:ser>
        <c:dLbls>
          <c:showLegendKey val="0"/>
          <c:showVal val="0"/>
          <c:showCatName val="0"/>
          <c:showSerName val="0"/>
          <c:showPercent val="0"/>
          <c:showBubbleSize val="0"/>
        </c:dLbls>
        <c:marker val="1"/>
        <c:smooth val="0"/>
        <c:axId val="1071539503"/>
        <c:axId val="1071535759"/>
      </c:lineChart>
      <c:catAx>
        <c:axId val="176761472"/>
        <c:scaling>
          <c:orientation val="minMax"/>
        </c:scaling>
        <c:delete val="0"/>
        <c:axPos val="b"/>
        <c:title>
          <c:tx>
            <c:rich>
              <a:bodyPr rot="0" vert="horz"/>
              <a:lstStyle/>
              <a:p>
                <a:pPr>
                  <a:defRPr sz="800"/>
                </a:pPr>
                <a:r>
                  <a:rPr lang="en-US" sz="800"/>
                  <a:t>Month</a:t>
                </a:r>
              </a:p>
            </c:rich>
          </c:tx>
          <c:layout>
            <c:manualLayout>
              <c:xMode val="edge"/>
              <c:yMode val="edge"/>
              <c:x val="0.46542502821414211"/>
              <c:y val="0.92174470814624743"/>
            </c:manualLayout>
          </c:layout>
          <c:overlay val="0"/>
          <c:spPr>
            <a:noFill/>
            <a:ln>
              <a:noFill/>
            </a:ln>
            <a:effectLst/>
          </c:spPr>
        </c:title>
        <c:numFmt formatCode="General" sourceLinked="0"/>
        <c:majorTickMark val="none"/>
        <c:minorTickMark val="out"/>
        <c:tickLblPos val="nextTo"/>
        <c:spPr>
          <a:noFill/>
          <a:ln w="12700" cap="flat" cmpd="sng" algn="ctr">
            <a:solidFill>
              <a:schemeClr val="tx1"/>
            </a:solidFill>
            <a:round/>
          </a:ln>
          <a:effectLst/>
        </c:spPr>
        <c:txPr>
          <a:bodyPr rot="-60000000" vert="horz"/>
          <a:lstStyle/>
          <a:p>
            <a:pPr>
              <a:defRPr sz="800"/>
            </a:pPr>
            <a:endParaRPr lang="en-US"/>
          </a:p>
        </c:txPr>
        <c:crossAx val="176767744"/>
        <c:crosses val="autoZero"/>
        <c:auto val="1"/>
        <c:lblAlgn val="ctr"/>
        <c:lblOffset val="100"/>
        <c:noMultiLvlLbl val="0"/>
      </c:catAx>
      <c:valAx>
        <c:axId val="176767744"/>
        <c:scaling>
          <c:orientation val="minMax"/>
        </c:scaling>
        <c:delete val="0"/>
        <c:axPos val="l"/>
        <c:title>
          <c:tx>
            <c:rich>
              <a:bodyPr rot="-5400000" vert="horz"/>
              <a:lstStyle/>
              <a:p>
                <a:pPr>
                  <a:defRPr sz="800"/>
                </a:pPr>
                <a:r>
                  <a:rPr lang="en-US" sz="800"/>
                  <a:t>System Losses (MWh)</a:t>
                </a:r>
              </a:p>
            </c:rich>
          </c:tx>
          <c:layout>
            <c:manualLayout>
              <c:xMode val="edge"/>
              <c:yMode val="edge"/>
              <c:x val="2.3035699924696044E-3"/>
              <c:y val="0.20756616784934345"/>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vert="horz"/>
          <a:lstStyle/>
          <a:p>
            <a:pPr>
              <a:defRPr sz="800"/>
            </a:pPr>
            <a:endParaRPr lang="en-US"/>
          </a:p>
        </c:txPr>
        <c:crossAx val="176761472"/>
        <c:crosses val="autoZero"/>
        <c:crossBetween val="between"/>
        <c:majorUnit val="30"/>
      </c:valAx>
      <c:valAx>
        <c:axId val="1071535759"/>
        <c:scaling>
          <c:orientation val="minMax"/>
        </c:scaling>
        <c:delete val="0"/>
        <c:axPos val="r"/>
        <c:title>
          <c:tx>
            <c:rich>
              <a:bodyPr/>
              <a:lstStyle/>
              <a:p>
                <a:pPr>
                  <a:defRPr sz="800"/>
                </a:pPr>
                <a:r>
                  <a:rPr lang="en-US" sz="800"/>
                  <a:t>Ohmic Losses (MWh)</a:t>
                </a:r>
              </a:p>
            </c:rich>
          </c:tx>
          <c:layout>
            <c:manualLayout>
              <c:xMode val="edge"/>
              <c:yMode val="edge"/>
              <c:x val="0.94828218033701306"/>
              <c:y val="0.2160525877177476"/>
            </c:manualLayout>
          </c:layout>
          <c:overlay val="0"/>
        </c:title>
        <c:numFmt formatCode="General" sourceLinked="1"/>
        <c:majorTickMark val="out"/>
        <c:minorTickMark val="none"/>
        <c:tickLblPos val="nextTo"/>
        <c:txPr>
          <a:bodyPr/>
          <a:lstStyle/>
          <a:p>
            <a:pPr>
              <a:defRPr sz="800"/>
            </a:pPr>
            <a:endParaRPr lang="en-US"/>
          </a:p>
        </c:txPr>
        <c:crossAx val="1071539503"/>
        <c:crosses val="max"/>
        <c:crossBetween val="between"/>
      </c:valAx>
      <c:catAx>
        <c:axId val="1071539503"/>
        <c:scaling>
          <c:orientation val="minMax"/>
        </c:scaling>
        <c:delete val="1"/>
        <c:axPos val="b"/>
        <c:numFmt formatCode="General" sourceLinked="1"/>
        <c:majorTickMark val="out"/>
        <c:minorTickMark val="none"/>
        <c:tickLblPos val="nextTo"/>
        <c:crossAx val="1071535759"/>
        <c:crosses val="autoZero"/>
        <c:auto val="1"/>
        <c:lblAlgn val="ctr"/>
        <c:lblOffset val="100"/>
        <c:noMultiLvlLbl val="0"/>
      </c:catAx>
      <c:spPr>
        <a:noFill/>
        <a:ln>
          <a:solidFill>
            <a:schemeClr val="tx1"/>
          </a:solidFill>
        </a:ln>
        <a:effectLst/>
      </c:spPr>
    </c:plotArea>
    <c:legend>
      <c:legendPos val="b"/>
      <c:layout>
        <c:manualLayout>
          <c:xMode val="edge"/>
          <c:yMode val="edge"/>
          <c:x val="0.12870870033338089"/>
          <c:y val="9.0213936933097021E-3"/>
          <c:w val="0.85634688476955212"/>
          <c:h val="8.7839393939393939E-2"/>
        </c:manualLayout>
      </c:layout>
      <c:overlay val="0"/>
      <c:spPr>
        <a:noFill/>
        <a:ln>
          <a:noFill/>
        </a:ln>
        <a:effectLst/>
      </c:spPr>
      <c:txPr>
        <a:bodyPr rot="0" vert="horz"/>
        <a:lstStyle/>
        <a:p>
          <a:pPr>
            <a:defRPr sz="700"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0.14406</cdr:x>
      <cdr:y>0.29951</cdr:y>
    </cdr:from>
    <cdr:to>
      <cdr:x>0.22013</cdr:x>
      <cdr:y>0.41525</cdr:y>
    </cdr:to>
    <cdr:cxnSp macro="">
      <cdr:nvCxnSpPr>
        <cdr:cNvPr id="2" name="Straight Arrow Connector 1">
          <a:extLst xmlns:a="http://schemas.openxmlformats.org/drawingml/2006/main">
            <a:ext uri="{FF2B5EF4-FFF2-40B4-BE49-F238E27FC236}">
              <a16:creationId xmlns:a16="http://schemas.microsoft.com/office/drawing/2014/main" id="{6E0095AD-34E7-3DF0-B624-5B12D96E1B17}"/>
            </a:ext>
          </a:extLst>
        </cdr:cNvPr>
        <cdr:cNvCxnSpPr/>
      </cdr:nvCxnSpPr>
      <cdr:spPr>
        <a:xfrm xmlns:a="http://schemas.openxmlformats.org/drawingml/2006/main" flipH="1" flipV="1">
          <a:off x="439093" y="593002"/>
          <a:ext cx="231849" cy="22917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0.83633</cdr:x>
      <cdr:y>0.21446</cdr:y>
    </cdr:from>
    <cdr:to>
      <cdr:x>0.91306</cdr:x>
      <cdr:y>0.21565</cdr:y>
    </cdr:to>
    <cdr:cxnSp macro="">
      <cdr:nvCxnSpPr>
        <cdr:cNvPr id="6" name="Straight Arrow Connector 5">
          <a:extLst xmlns:a="http://schemas.openxmlformats.org/drawingml/2006/main">
            <a:ext uri="{FF2B5EF4-FFF2-40B4-BE49-F238E27FC236}">
              <a16:creationId xmlns:a16="http://schemas.microsoft.com/office/drawing/2014/main" id="{A551142C-1AB2-541A-4A56-4C17B3233F32}"/>
            </a:ext>
          </a:extLst>
        </cdr:cNvPr>
        <cdr:cNvCxnSpPr/>
      </cdr:nvCxnSpPr>
      <cdr:spPr>
        <a:xfrm xmlns:a="http://schemas.openxmlformats.org/drawingml/2006/main">
          <a:off x="4775234" y="799063"/>
          <a:ext cx="438111" cy="4466"/>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0.84073</cdr:x>
      <cdr:y>0.24242</cdr:y>
    </cdr:from>
    <cdr:to>
      <cdr:x>0.86545</cdr:x>
      <cdr:y>0.31398</cdr:y>
    </cdr:to>
    <cdr:cxnSp macro="">
      <cdr:nvCxnSpPr>
        <cdr:cNvPr id="2" name="Straight Arrow Connector 1">
          <a:extLst xmlns:a="http://schemas.openxmlformats.org/drawingml/2006/main">
            <a:ext uri="{FF2B5EF4-FFF2-40B4-BE49-F238E27FC236}">
              <a16:creationId xmlns:a16="http://schemas.microsoft.com/office/drawing/2014/main" id="{C9E1201A-5729-B042-A6D9-C01F1A42A4E0}"/>
            </a:ext>
          </a:extLst>
        </cdr:cNvPr>
        <cdr:cNvCxnSpPr/>
      </cdr:nvCxnSpPr>
      <cdr:spPr>
        <a:xfrm xmlns:a="http://schemas.openxmlformats.org/drawingml/2006/main" flipV="1">
          <a:off x="2554791" y="479985"/>
          <a:ext cx="75131" cy="14169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0.82449</cdr:x>
      <cdr:y>0.2109</cdr:y>
    </cdr:from>
    <cdr:to>
      <cdr:x>0.88619</cdr:x>
      <cdr:y>0.26696</cdr:y>
    </cdr:to>
    <cdr:cxnSp macro="">
      <cdr:nvCxnSpPr>
        <cdr:cNvPr id="2" name="Straight Arrow Connector 1"/>
        <cdr:cNvCxnSpPr/>
      </cdr:nvCxnSpPr>
      <cdr:spPr>
        <a:xfrm xmlns:a="http://schemas.openxmlformats.org/drawingml/2006/main" flipV="1">
          <a:off x="2542349" y="417558"/>
          <a:ext cx="190280" cy="110997"/>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0.13199</cdr:x>
      <cdr:y>0.3951</cdr:y>
    </cdr:from>
    <cdr:to>
      <cdr:x>0.19369</cdr:x>
      <cdr:y>0.46717</cdr:y>
    </cdr:to>
    <cdr:cxnSp macro="">
      <cdr:nvCxnSpPr>
        <cdr:cNvPr id="5" name="Straight Arrow Connector 4"/>
        <cdr:cNvCxnSpPr/>
      </cdr:nvCxnSpPr>
      <cdr:spPr>
        <a:xfrm xmlns:a="http://schemas.openxmlformats.org/drawingml/2006/main" flipH="1" flipV="1">
          <a:off x="406987" y="782261"/>
          <a:ext cx="190280" cy="142710"/>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0.12513</cdr:x>
      <cdr:y>0.57396</cdr:y>
    </cdr:from>
    <cdr:to>
      <cdr:x>0.14417</cdr:x>
      <cdr:y>0.64288</cdr:y>
    </cdr:to>
    <cdr:cxnSp macro="">
      <cdr:nvCxnSpPr>
        <cdr:cNvPr id="8" name="Straight Arrow Connector 7"/>
        <cdr:cNvCxnSpPr/>
      </cdr:nvCxnSpPr>
      <cdr:spPr>
        <a:xfrm xmlns:a="http://schemas.openxmlformats.org/drawingml/2006/main" flipH="1" flipV="1">
          <a:off x="427879" y="1032893"/>
          <a:ext cx="65102" cy="124022"/>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1452</TotalTime>
  <Pages>6</Pages>
  <Words>5227</Words>
  <Characters>29800</Characters>
  <Application>Microsoft Office Word</Application>
  <DocSecurity>0</DocSecurity>
  <Lines>248</Lines>
  <Paragraphs>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34958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마스우드타가뷔</cp:lastModifiedBy>
  <cp:revision>213</cp:revision>
  <cp:lastPrinted>2004-12-17T09:20:00Z</cp:lastPrinted>
  <dcterms:created xsi:type="dcterms:W3CDTF">2023-11-02T08:06:00Z</dcterms:created>
  <dcterms:modified xsi:type="dcterms:W3CDTF">2024-01-01T10:21:00Z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endeley Document_1">
    <vt:lpwstr>True</vt:lpwstr>
  </property>
  <property fmtid="{D5CDD505-2E9C-101B-9397-08002B2CF9AE}" pid="11" name="Mendeley Unique User Id_1">
    <vt:lpwstr>446f7300-c0ee-35aa-87c3-bff0a69c952c</vt:lpwstr>
  </property>
  <property fmtid="{D5CDD505-2E9C-101B-9397-08002B2CF9AE}" pid="12" name="Mendeley Citation Style_1">
    <vt:lpwstr>http://www.zotero.org/styles/apa</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http://www.zotero.org/styles/harvard-cite-them-right</vt:lpwstr>
  </property>
  <property fmtid="{D5CDD505-2E9C-101B-9397-08002B2CF9AE}" pid="24" name="Mendeley Recent Style Name 5_1">
    <vt:lpwstr>Cite Them Right 12th edition - Harvard</vt:lpwstr>
  </property>
  <property fmtid="{D5CDD505-2E9C-101B-9397-08002B2CF9AE}" pid="25" name="Mendeley Recent Style Id 6_1">
    <vt:lpwstr>http://www.zotero.org/styles/energy-conversion-and-management</vt:lpwstr>
  </property>
  <property fmtid="{D5CDD505-2E9C-101B-9397-08002B2CF9AE}" pid="26" name="Mendeley Recent Style Name 6_1">
    <vt:lpwstr>Energy Conversion and Management</vt:lpwstr>
  </property>
  <property fmtid="{D5CDD505-2E9C-101B-9397-08002B2CF9AE}" pid="27" name="Mendeley Recent Style Id 7_1">
    <vt:lpwstr>http://www.zotero.org/styles/ieee</vt:lpwstr>
  </property>
  <property fmtid="{D5CDD505-2E9C-101B-9397-08002B2CF9AE}" pid="28" name="Mendeley Recent Style Name 7_1">
    <vt:lpwstr>IEEE</vt:lpwstr>
  </property>
  <property fmtid="{D5CDD505-2E9C-101B-9397-08002B2CF9AE}" pid="29" name="Mendeley Recent Style Id 8_1">
    <vt:lpwstr>http://www.zotero.org/styles/modern-humanities-research-association</vt:lpwstr>
  </property>
  <property fmtid="{D5CDD505-2E9C-101B-9397-08002B2CF9AE}" pid="30" name="Mendeley Recent Style Name 8_1">
    <vt:lpwstr>Modern Humanities Research Association 3rd edition (note with bibliography)</vt:lpwstr>
  </property>
  <property fmtid="{D5CDD505-2E9C-101B-9397-08002B2CF9AE}" pid="31" name="Mendeley Recent Style Id 9_1">
    <vt:lpwstr>http://www.zotero.org/styles/renewable-and-sustainable-energy-reviews</vt:lpwstr>
  </property>
  <property fmtid="{D5CDD505-2E9C-101B-9397-08002B2CF9AE}" pid="32" name="Mendeley Recent Style Name 9_1">
    <vt:lpwstr>Renewable and Sustainable Energy Reviews</vt:lpwstr>
  </property>
</Properties>
</file>