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D370096" w:rsidR="00DD3D9E" w:rsidRPr="00B4388F" w:rsidRDefault="00EA7ABE">
      <w:pPr>
        <w:pStyle w:val="Els-Title"/>
        <w:rPr>
          <w:color w:val="000000" w:themeColor="text1"/>
        </w:rPr>
      </w:pPr>
      <w:r>
        <w:rPr>
          <w:color w:val="000000" w:themeColor="text1"/>
        </w:rPr>
        <w:t>Scenario Reduction Methods for Risk-Averse Demand Response Scheduling under Price Uncertainty</w:t>
      </w:r>
    </w:p>
    <w:p w14:paraId="144DE680" w14:textId="1CF563B7" w:rsidR="00DD3D9E" w:rsidRPr="00EA7ABE" w:rsidRDefault="00EA7ABE">
      <w:pPr>
        <w:pStyle w:val="Els-Author"/>
      </w:pPr>
      <w:r w:rsidRPr="00EA7ABE">
        <w:t>Sonja H. M. Germscheid</w:t>
      </w:r>
      <w:r>
        <w:t>,</w:t>
      </w:r>
      <w:r w:rsidRPr="00EA7ABE">
        <w:rPr>
          <w:vertAlign w:val="superscript"/>
        </w:rPr>
        <w:t>a,b</w:t>
      </w:r>
      <w:r w:rsidRPr="00EA7ABE">
        <w:t xml:space="preserve"> Alexander Mitsos</w:t>
      </w:r>
      <w:r>
        <w:t>,</w:t>
      </w:r>
      <w:r w:rsidRPr="00EA7ABE">
        <w:rPr>
          <w:vertAlign w:val="superscript"/>
        </w:rPr>
        <w:t>c,a,d</w:t>
      </w:r>
      <w:r w:rsidRPr="00EA7ABE">
        <w:t xml:space="preserve">  Manuel Dahmen</w:t>
      </w:r>
      <w:r w:rsidRPr="00EA7ABE">
        <w:rPr>
          <w:vertAlign w:val="superscript"/>
        </w:rPr>
        <w:t>a</w:t>
      </w:r>
      <w:r>
        <w:rPr>
          <w:vertAlign w:val="superscript"/>
        </w:rPr>
        <w:t>,</w:t>
      </w:r>
      <w:r>
        <w:t>*</w:t>
      </w:r>
    </w:p>
    <w:p w14:paraId="47148721" w14:textId="77777777" w:rsidR="00EA7ABE" w:rsidRPr="00EA7ABE" w:rsidRDefault="00EA7ABE" w:rsidP="00EA7ABE">
      <w:pPr>
        <w:pStyle w:val="Els-Affiliation"/>
      </w:pPr>
      <w:r w:rsidRPr="00EA7ABE">
        <w:rPr>
          <w:vertAlign w:val="superscript"/>
        </w:rPr>
        <w:t>a</w:t>
      </w:r>
      <w:r w:rsidRPr="00EA7ABE">
        <w:t>Forschungszentrum Jülich GmbH, Institute of Energy and Climate Research, Energy Systems Engineering (IEK-10), Jülich 52425, Germany</w:t>
      </w:r>
    </w:p>
    <w:p w14:paraId="7990D507" w14:textId="77777777" w:rsidR="00EA7ABE" w:rsidRPr="00EA7ABE" w:rsidRDefault="00EA7ABE" w:rsidP="00EA7ABE">
      <w:pPr>
        <w:pStyle w:val="Els-Affiliation"/>
      </w:pPr>
      <w:r w:rsidRPr="00EA7ABE">
        <w:rPr>
          <w:vertAlign w:val="superscript"/>
        </w:rPr>
        <w:t>b</w:t>
      </w:r>
      <w:r w:rsidRPr="00EA7ABE">
        <w:t>RWTH Aachen University, Aachen 52062, Germany</w:t>
      </w:r>
    </w:p>
    <w:p w14:paraId="444957CB" w14:textId="02DDFF75" w:rsidR="00EA7ABE" w:rsidRPr="00EA7ABE" w:rsidRDefault="00EA7ABE" w:rsidP="00EA7ABE">
      <w:pPr>
        <w:pStyle w:val="Els-Affiliation"/>
      </w:pPr>
      <w:r w:rsidRPr="00EA7ABE">
        <w:rPr>
          <w:vertAlign w:val="superscript"/>
        </w:rPr>
        <w:t>c</w:t>
      </w:r>
      <w:r w:rsidRPr="00EA7ABE">
        <w:t>JARA-</w:t>
      </w:r>
      <w:r w:rsidR="00751DC2">
        <w:t>CSD</w:t>
      </w:r>
      <w:r w:rsidRPr="00EA7ABE">
        <w:t>, Jülich 52425, Germany</w:t>
      </w:r>
    </w:p>
    <w:p w14:paraId="4CB9D01A" w14:textId="77777777" w:rsidR="00EA7ABE" w:rsidRPr="00EA7ABE" w:rsidRDefault="00EA7ABE" w:rsidP="00EA7ABE">
      <w:pPr>
        <w:pStyle w:val="Els-Affiliation"/>
      </w:pPr>
      <w:r w:rsidRPr="00EA7ABE">
        <w:rPr>
          <w:vertAlign w:val="superscript"/>
        </w:rPr>
        <w:t>d</w:t>
      </w:r>
      <w:r w:rsidRPr="00EA7ABE">
        <w:t>RWTH Aachen University, Process Systems Engineering (AVT.SVT), Aachen 52074, Germany</w:t>
      </w:r>
    </w:p>
    <w:p w14:paraId="144DE683" w14:textId="47518202" w:rsidR="008D2649" w:rsidRPr="00A94774" w:rsidRDefault="00EA7ABE" w:rsidP="008D2649">
      <w:pPr>
        <w:pStyle w:val="Els-Affiliation"/>
        <w:spacing w:after="120"/>
      </w:pPr>
      <w:r>
        <w:t>*</w:t>
      </w:r>
      <w:r w:rsidRPr="00EA7ABE">
        <w:t>m.dahmen@fz-juelich.de</w:t>
      </w:r>
    </w:p>
    <w:p w14:paraId="144DE684" w14:textId="77777777" w:rsidR="008D2649" w:rsidRDefault="008D2649" w:rsidP="008D2649">
      <w:pPr>
        <w:pStyle w:val="Els-Abstract"/>
      </w:pPr>
      <w:r>
        <w:t>Abstract</w:t>
      </w:r>
    </w:p>
    <w:p w14:paraId="22BA628B" w14:textId="2491E75A" w:rsidR="001F06D3" w:rsidRDefault="001F06D3" w:rsidP="0059771B">
      <w:pPr>
        <w:pStyle w:val="Els-body-text"/>
        <w:spacing w:after="120"/>
        <w:rPr>
          <w:lang w:val="en-GB"/>
        </w:rPr>
      </w:pPr>
      <w:r w:rsidRPr="00C71301">
        <w:t>Risk-averse</w:t>
      </w:r>
      <w:r w:rsidR="00010176" w:rsidRPr="00C71301">
        <w:t xml:space="preserve"> </w:t>
      </w:r>
      <w:r w:rsidRPr="00C71301">
        <w:t xml:space="preserve">demand response scheduling </w:t>
      </w:r>
      <w:r w:rsidR="00D040BE" w:rsidRPr="00C71301">
        <w:t xml:space="preserve">of power-intensive production processes </w:t>
      </w:r>
      <w:r w:rsidR="00010176" w:rsidRPr="00C71301">
        <w:t>can</w:t>
      </w:r>
      <w:r w:rsidRPr="00C71301">
        <w:t xml:space="preserve"> reduce financial risk </w:t>
      </w:r>
      <w:r w:rsidR="00FF7D9A" w:rsidRPr="00C71301">
        <w:t xml:space="preserve">resulting from </w:t>
      </w:r>
      <w:r w:rsidR="001E64EF" w:rsidRPr="00C71301">
        <w:t xml:space="preserve">electricity </w:t>
      </w:r>
      <w:r w:rsidR="00FF7D9A" w:rsidRPr="00C71301">
        <w:t>price uncertainty</w:t>
      </w:r>
      <w:r w:rsidR="00D040BE" w:rsidRPr="00C71301">
        <w:t xml:space="preserve"> but is computationally expensive</w:t>
      </w:r>
      <w:r w:rsidR="00BA166B" w:rsidRPr="00C71301">
        <w:t xml:space="preserve">. </w:t>
      </w:r>
      <w:r w:rsidR="00D040BE" w:rsidRPr="00C71301">
        <w:t>O</w:t>
      </w:r>
      <w:r w:rsidR="0059771B" w:rsidRPr="00C71301">
        <w:t>nly</w:t>
      </w:r>
      <w:r w:rsidRPr="00C71301">
        <w:t xml:space="preserve"> few works discuss scenario reduction methods </w:t>
      </w:r>
      <w:r w:rsidR="00485942" w:rsidRPr="00C71301">
        <w:t>tailored to</w:t>
      </w:r>
      <w:r w:rsidRPr="00C71301">
        <w:t xml:space="preserve"> risk-averse </w:t>
      </w:r>
      <w:r w:rsidR="00B806F2" w:rsidRPr="00C71301">
        <w:t>optimization</w:t>
      </w:r>
      <w:r w:rsidRPr="00C71301">
        <w:t>.</w:t>
      </w:r>
      <w:r w:rsidR="00485942" w:rsidRPr="00C71301">
        <w:t xml:space="preserve"> </w:t>
      </w:r>
      <w:r w:rsidRPr="00C71301">
        <w:t>In this work, we compare four scenario reduction methods</w:t>
      </w:r>
      <w:r w:rsidR="00977483" w:rsidRPr="00C71301">
        <w:t xml:space="preserve"> from </w:t>
      </w:r>
      <w:r w:rsidR="00751DC2">
        <w:t xml:space="preserve">the </w:t>
      </w:r>
      <w:r w:rsidR="00977483" w:rsidRPr="00C71301">
        <w:t>literature</w:t>
      </w:r>
      <w:r w:rsidRPr="00C71301">
        <w:t xml:space="preserve"> </w:t>
      </w:r>
      <w:r w:rsidR="00161E2A" w:rsidRPr="00C71301">
        <w:t>and</w:t>
      </w:r>
      <w:r w:rsidRPr="00C71301">
        <w:t xml:space="preserve"> a heuristic sequential scheduling approach</w:t>
      </w:r>
      <w:r w:rsidR="003B26B5" w:rsidRPr="00C71301">
        <w:t xml:space="preserve"> from our prior work</w:t>
      </w:r>
      <w:r w:rsidRPr="00C71301">
        <w:t xml:space="preserve">. </w:t>
      </w:r>
      <w:r w:rsidR="00D040BE" w:rsidRPr="00C71301">
        <w:t>For the comparison, w</w:t>
      </w:r>
      <w:r w:rsidRPr="00C71301">
        <w:t xml:space="preserve">e </w:t>
      </w:r>
      <w:r w:rsidR="00AD4E88" w:rsidRPr="00C71301">
        <w:t>schedule</w:t>
      </w:r>
      <w:r w:rsidRPr="00C71301">
        <w:t xml:space="preserve"> </w:t>
      </w:r>
      <w:r w:rsidR="004E267A">
        <w:t xml:space="preserve">a continuous process by means of </w:t>
      </w:r>
      <w:r w:rsidRPr="00C71301">
        <w:t xml:space="preserve">a </w:t>
      </w:r>
      <w:r w:rsidR="00826540" w:rsidRPr="00C71301">
        <w:t>generalized</w:t>
      </w:r>
      <w:r w:rsidRPr="00C71301">
        <w:t xml:space="preserve"> model </w:t>
      </w:r>
      <w:r w:rsidR="00AD4E88" w:rsidRPr="00C71301">
        <w:t xml:space="preserve">for optimal </w:t>
      </w:r>
      <w:r w:rsidRPr="00C71301">
        <w:t>simultaneous participation on both day-ahead and intraday electricity markets</w:t>
      </w:r>
      <w:r w:rsidR="00621758" w:rsidRPr="00C71301">
        <w:t xml:space="preserve"> </w:t>
      </w:r>
      <w:r w:rsidR="001245D2" w:rsidRPr="00C71301">
        <w:t>where</w:t>
      </w:r>
      <w:r w:rsidR="00621758" w:rsidRPr="00C71301">
        <w:t xml:space="preserve"> uncertain intraday prices </w:t>
      </w:r>
      <w:r w:rsidR="001245D2" w:rsidRPr="00C71301">
        <w:t xml:space="preserve">are modeled </w:t>
      </w:r>
      <w:r w:rsidR="00621758" w:rsidRPr="00C71301">
        <w:t>by a set of scenarios</w:t>
      </w:r>
      <w:r w:rsidRPr="00C71301">
        <w:t xml:space="preserve">. We evaluate the performance of the </w:t>
      </w:r>
      <w:r w:rsidR="00D040BE" w:rsidRPr="00C71301">
        <w:t xml:space="preserve">scenario </w:t>
      </w:r>
      <w:r w:rsidRPr="00C71301">
        <w:t xml:space="preserve">reduction methods by comparing cost and risk </w:t>
      </w:r>
      <w:r w:rsidR="00161E2A" w:rsidRPr="00C71301">
        <w:t>of the reduced and original problem</w:t>
      </w:r>
      <w:r w:rsidRPr="00C71301">
        <w:t xml:space="preserve">. </w:t>
      </w:r>
      <w:r w:rsidR="00D040BE" w:rsidRPr="00C71301">
        <w:t>W</w:t>
      </w:r>
      <w:r w:rsidRPr="00C71301">
        <w:t xml:space="preserve">e find that </w:t>
      </w:r>
      <w:r w:rsidR="005A68E6" w:rsidRPr="00C71301">
        <w:t>k-means clustering</w:t>
      </w:r>
      <w:r w:rsidR="005A68E6">
        <w:t xml:space="preserve"> outperforms the other three scenario</w:t>
      </w:r>
      <w:r w:rsidRPr="00C71301">
        <w:t xml:space="preserve"> reduction methods</w:t>
      </w:r>
      <w:r w:rsidR="005A68E6">
        <w:t>. Furthermore,</w:t>
      </w:r>
      <w:r w:rsidRPr="00C71301">
        <w:t xml:space="preserve"> the heuristic sequential scheduling appears best suited for participation on both </w:t>
      </w:r>
      <w:r w:rsidR="00161E2A" w:rsidRPr="00C71301">
        <w:t>markets</w:t>
      </w:r>
      <w:r w:rsidRPr="00C71301">
        <w:t xml:space="preserve"> while avoiding a computationally expensive stochastic scheduling</w:t>
      </w:r>
      <w:r w:rsidRPr="00AD4E88">
        <w:rPr>
          <w:lang w:val="en-GB"/>
        </w:rPr>
        <w:t>.</w:t>
      </w:r>
    </w:p>
    <w:p w14:paraId="144DE687" w14:textId="3861C7C0" w:rsidR="008D2649" w:rsidRDefault="008D2649" w:rsidP="008D2649">
      <w:pPr>
        <w:pStyle w:val="Els-body-text"/>
        <w:spacing w:after="120"/>
        <w:rPr>
          <w:lang w:val="en-GB"/>
        </w:rPr>
      </w:pPr>
      <w:r>
        <w:rPr>
          <w:b/>
          <w:bCs/>
          <w:lang w:val="en-GB"/>
        </w:rPr>
        <w:t>Keywords</w:t>
      </w:r>
      <w:r>
        <w:rPr>
          <w:lang w:val="en-GB"/>
        </w:rPr>
        <w:t xml:space="preserve">: </w:t>
      </w:r>
      <w:r w:rsidR="001F06D3" w:rsidRPr="001F06D3">
        <w:rPr>
          <w:lang w:val="en-GB"/>
        </w:rPr>
        <w:t>Risk-averse scheduling, scenario reduction, conditional value-at-risk</w:t>
      </w:r>
      <w:r w:rsidR="001F06D3">
        <w:rPr>
          <w:lang w:val="en-GB"/>
        </w:rPr>
        <w:t>, price uncertainty</w:t>
      </w:r>
    </w:p>
    <w:p w14:paraId="144DE689" w14:textId="1FB2ED69" w:rsidR="008D2649" w:rsidRDefault="00877A30" w:rsidP="008D2649">
      <w:pPr>
        <w:pStyle w:val="Els-1storder-head"/>
      </w:pPr>
      <w:bookmarkStart w:id="0" w:name="_Hlk148339078"/>
      <w:r>
        <w:t>Introduction</w:t>
      </w:r>
      <w:bookmarkEnd w:id="0"/>
      <w:r>
        <w:t xml:space="preserve"> </w:t>
      </w:r>
    </w:p>
    <w:p w14:paraId="11B15699" w14:textId="50A4F7FB" w:rsidR="005E4369" w:rsidRDefault="0088219A" w:rsidP="00877A30">
      <w:pPr>
        <w:pStyle w:val="Els-body-text"/>
      </w:pPr>
      <w:r w:rsidRPr="0088219A">
        <w:t xml:space="preserve">Risk-averse demand response scheduling </w:t>
      </w:r>
      <w:proofErr w:type="spellStart"/>
      <w:r w:rsidRPr="0088219A">
        <w:t>under price</w:t>
      </w:r>
      <w:proofErr w:type="spellEnd"/>
      <w:r w:rsidRPr="0088219A">
        <w:t xml:space="preserve"> uncertainty has shown </w:t>
      </w:r>
      <w:r w:rsidR="00486386">
        <w:t xml:space="preserve">great </w:t>
      </w:r>
      <w:r w:rsidRPr="0088219A">
        <w:t xml:space="preserve">potential to </w:t>
      </w:r>
      <w:r w:rsidR="002F220E">
        <w:t xml:space="preserve">significantly </w:t>
      </w:r>
      <w:r w:rsidRPr="0088219A">
        <w:t xml:space="preserve">reduce financial risk </w:t>
      </w:r>
      <w:r w:rsidR="002F220E">
        <w:t xml:space="preserve">with a small increase of expected cost in comparison to both risk-neutral stochastic scheduling and </w:t>
      </w:r>
      <w:r w:rsidRPr="0088219A">
        <w:t>deterministic scheduling,</w:t>
      </w:r>
      <w:r>
        <w:t xml:space="preserve"> see, e.g.,</w:t>
      </w:r>
      <w:r w:rsidR="008679DB">
        <w:t xml:space="preserve"> Zhang et al. (2016) and</w:t>
      </w:r>
      <w:r>
        <w:t xml:space="preserve"> </w:t>
      </w:r>
      <w:r w:rsidR="00877A30" w:rsidRPr="00877A30">
        <w:t>Germscheid et al.</w:t>
      </w:r>
      <w:r>
        <w:t xml:space="preserve"> (</w:t>
      </w:r>
      <w:r w:rsidR="00877A30" w:rsidRPr="00877A30">
        <w:t>2022)</w:t>
      </w:r>
      <w:r>
        <w:t>.</w:t>
      </w:r>
      <w:r w:rsidR="00877A30">
        <w:t xml:space="preserve"> </w:t>
      </w:r>
      <w:r w:rsidR="005E4369" w:rsidRPr="005E4369">
        <w:t>In general, the necessary stochastic scheduling is connected to a high computational burden due to the large number of optimization variables arising from the consideration of many scenarios, calling for the use of scenario reduction methods to keep the optimization tractable.</w:t>
      </w:r>
    </w:p>
    <w:p w14:paraId="23BBB39A" w14:textId="19B9D774" w:rsidR="005E4369" w:rsidRDefault="005E4369" w:rsidP="00877A30">
      <w:pPr>
        <w:pStyle w:val="Els-body-text"/>
      </w:pPr>
      <w:r>
        <w:t>Most</w:t>
      </w:r>
      <w:r w:rsidR="00877A30">
        <w:t xml:space="preserve"> scenario reduction approaches </w:t>
      </w:r>
      <w:r w:rsidR="00895A71">
        <w:t>focus</w:t>
      </w:r>
      <w:r w:rsidR="00877A30">
        <w:t xml:space="preserve"> on </w:t>
      </w:r>
      <w:r w:rsidR="00877A30" w:rsidRPr="005E4369">
        <w:rPr>
          <w:i/>
        </w:rPr>
        <w:t>risk-neutral</w:t>
      </w:r>
      <w:r w:rsidR="00877A30">
        <w:t xml:space="preserve"> stochastic programming (SP), i.e., optimization of the expected cost, see, e.g., Heitsch and </w:t>
      </w:r>
      <w:proofErr w:type="spellStart"/>
      <w:r w:rsidR="00877A30">
        <w:t>Römisch</w:t>
      </w:r>
      <w:proofErr w:type="spellEnd"/>
      <w:r w:rsidR="00877A30">
        <w:t xml:space="preserve"> (2003)</w:t>
      </w:r>
      <w:r w:rsidR="00474F35">
        <w:t xml:space="preserve">. </w:t>
      </w:r>
      <w:r w:rsidR="00877A30">
        <w:t>In contrast, only few works (</w:t>
      </w:r>
      <w:proofErr w:type="spellStart"/>
      <w:r w:rsidR="00877A30">
        <w:t>Alkhaleel</w:t>
      </w:r>
      <w:proofErr w:type="spellEnd"/>
      <w:r w:rsidR="00877A30">
        <w:t xml:space="preserve"> et al., 2022; </w:t>
      </w:r>
      <w:proofErr w:type="spellStart"/>
      <w:r w:rsidR="00877A30">
        <w:t>Arpón</w:t>
      </w:r>
      <w:proofErr w:type="spellEnd"/>
      <w:r w:rsidR="00877A30">
        <w:t xml:space="preserve"> et al., 2018; Fairbrother et al., 2018, 2022; García-Bertrand and Mínguez, 2014; Pineda and Conejo, 2010) </w:t>
      </w:r>
      <w:r>
        <w:t xml:space="preserve">discuss </w:t>
      </w:r>
      <w:r w:rsidRPr="005E4369">
        <w:t xml:space="preserve">scenario reduction methods for </w:t>
      </w:r>
      <w:r w:rsidRPr="005E4369">
        <w:rPr>
          <w:i/>
        </w:rPr>
        <w:t>risk-averse</w:t>
      </w:r>
      <w:r w:rsidRPr="005E4369">
        <w:t xml:space="preserve"> approaches such as minimization of the conditional value-at-risk</w:t>
      </w:r>
      <w:r>
        <w:t xml:space="preserve"> (CVaR)</w:t>
      </w:r>
      <w:r w:rsidRPr="005E4369">
        <w:t>, i.e., the expected cost of a certain percentage of worst-case scenarios.</w:t>
      </w:r>
      <w:r w:rsidR="00432C19">
        <w:t xml:space="preserve"> </w:t>
      </w:r>
      <w:r w:rsidR="00977483">
        <w:t>Importantly</w:t>
      </w:r>
      <w:r w:rsidRPr="005E4369">
        <w:t xml:space="preserve">, while scenario reduction decreases computational times, it can </w:t>
      </w:r>
      <w:r w:rsidRPr="005E4369">
        <w:lastRenderedPageBreak/>
        <w:t xml:space="preserve">lead to suboptimal solutions and thus </w:t>
      </w:r>
      <w:r w:rsidR="00977483">
        <w:t>a higher</w:t>
      </w:r>
      <w:r w:rsidRPr="005E4369">
        <w:t xml:space="preserve"> risk in risk-averse scheduling</w:t>
      </w:r>
      <w:r w:rsidR="00977483">
        <w:t xml:space="preserve"> compared to the original </w:t>
      </w:r>
      <w:r w:rsidR="005A7EAB">
        <w:t xml:space="preserve">risk-averse </w:t>
      </w:r>
      <w:r w:rsidR="00977483">
        <w:t>problem</w:t>
      </w:r>
      <w:r w:rsidRPr="005E4369">
        <w:t>.</w:t>
      </w:r>
      <w:r>
        <w:t xml:space="preserve"> </w:t>
      </w:r>
      <w:r w:rsidR="00877A30">
        <w:t>This trade-off calls for a comparison of the existing approaches</w:t>
      </w:r>
      <w:r w:rsidR="00977483">
        <w:t xml:space="preserve"> in the context of a particular application</w:t>
      </w:r>
      <w:r w:rsidR="00877A30">
        <w:t>.</w:t>
      </w:r>
    </w:p>
    <w:p w14:paraId="410C6B9A" w14:textId="67F37D8F" w:rsidR="002835F7" w:rsidRPr="000D37B4" w:rsidRDefault="00751DC2" w:rsidP="00877A30">
      <w:pPr>
        <w:pStyle w:val="Els-body-text"/>
        <w:rPr>
          <w:b/>
          <w:szCs w:val="18"/>
        </w:rPr>
      </w:pPr>
      <w:r>
        <w:t>W</w:t>
      </w:r>
      <w:r w:rsidR="005E4369" w:rsidRPr="005E4369">
        <w:t xml:space="preserve">e compare four scenario reduction methods </w:t>
      </w:r>
      <w:r w:rsidR="00074CBA">
        <w:t>from the literature</w:t>
      </w:r>
      <w:r w:rsidR="0064532C">
        <w:t xml:space="preserve"> for which implementations are available</w:t>
      </w:r>
      <w:r w:rsidR="005E4369" w:rsidRPr="005E4369">
        <w:t xml:space="preserve">, </w:t>
      </w:r>
      <w:r w:rsidR="00AE5527">
        <w:t xml:space="preserve">i.e., </w:t>
      </w:r>
      <w:r w:rsidR="000352FD">
        <w:t xml:space="preserve">the methods proposed </w:t>
      </w:r>
      <w:r w:rsidR="00AE5527">
        <w:t xml:space="preserve">by Heitsch and </w:t>
      </w:r>
      <w:proofErr w:type="spellStart"/>
      <w:r w:rsidR="00AE5527">
        <w:t>Römisch</w:t>
      </w:r>
      <w:proofErr w:type="spellEnd"/>
      <w:r w:rsidR="00AE5527">
        <w:t xml:space="preserve"> (2003), </w:t>
      </w:r>
      <w:r w:rsidR="00AE5527" w:rsidRPr="00F31715">
        <w:t>Pineda and Conejo (2010)</w:t>
      </w:r>
      <w:r w:rsidR="00AE5527">
        <w:t>,</w:t>
      </w:r>
      <w:r w:rsidR="00AE5527" w:rsidRPr="00F31715">
        <w:t xml:space="preserve"> </w:t>
      </w:r>
      <w:r w:rsidR="000352FD">
        <w:t xml:space="preserve">and </w:t>
      </w:r>
      <w:proofErr w:type="spellStart"/>
      <w:r w:rsidR="00AE5527" w:rsidRPr="00F31715">
        <w:t>Alkhaleel</w:t>
      </w:r>
      <w:proofErr w:type="spellEnd"/>
      <w:r w:rsidR="00AE5527" w:rsidRPr="00F31715">
        <w:t xml:space="preserve"> et al. (2022)</w:t>
      </w:r>
      <w:r w:rsidR="000352FD">
        <w:t>,</w:t>
      </w:r>
      <w:r w:rsidR="00AE5527">
        <w:t xml:space="preserve"> </w:t>
      </w:r>
      <w:r w:rsidR="001245D2">
        <w:t>and</w:t>
      </w:r>
      <w:r w:rsidR="00AE5527">
        <w:t xml:space="preserve"> k-means clustering</w:t>
      </w:r>
      <w:r w:rsidR="00907F0C">
        <w:t xml:space="preserve"> (Lloyd, 1982)</w:t>
      </w:r>
      <w:r w:rsidR="0064532C">
        <w:t>. Additionally, we consider t</w:t>
      </w:r>
      <w:r>
        <w:t>he</w:t>
      </w:r>
      <w:r w:rsidRPr="005E4369">
        <w:t xml:space="preserve"> </w:t>
      </w:r>
      <w:r w:rsidR="005E4369" w:rsidRPr="005E4369">
        <w:t xml:space="preserve">heuristic sequential scheduling approach </w:t>
      </w:r>
      <w:r>
        <w:t xml:space="preserve">proposed in </w:t>
      </w:r>
      <w:r w:rsidR="005E4369" w:rsidRPr="005E4369">
        <w:t>our prior work</w:t>
      </w:r>
      <w:r w:rsidR="005E4369">
        <w:t xml:space="preserve"> (Germscheid et al., 2023). </w:t>
      </w:r>
      <w:r w:rsidR="00044DD1">
        <w:t>W</w:t>
      </w:r>
      <w:r w:rsidR="005E4369" w:rsidRPr="005E4369">
        <w:t>e consider the</w:t>
      </w:r>
      <w:r w:rsidR="00C71301">
        <w:t xml:space="preserve"> risk-averse</w:t>
      </w:r>
      <w:r w:rsidR="005E4369" w:rsidRPr="005E4369">
        <w:t xml:space="preserve"> </w:t>
      </w:r>
      <w:r w:rsidR="000352FD">
        <w:t xml:space="preserve">demand response </w:t>
      </w:r>
      <w:r w:rsidR="005E4369" w:rsidRPr="005E4369">
        <w:t xml:space="preserve">scheduling of a generalized, continuous process for simultaneous participation on both day-ahead and intraday electricity markets </w:t>
      </w:r>
      <w:r w:rsidR="00877A30">
        <w:t xml:space="preserve">introduced in </w:t>
      </w:r>
      <w:r w:rsidR="00877A30" w:rsidRPr="00877A30">
        <w:t>Germscheid et al.</w:t>
      </w:r>
      <w:r w:rsidR="00877A30">
        <w:t xml:space="preserve"> (</w:t>
      </w:r>
      <w:r w:rsidR="00877A30" w:rsidRPr="00877A30">
        <w:t>2022)</w:t>
      </w:r>
      <w:r w:rsidR="005E4369">
        <w:t xml:space="preserve">. </w:t>
      </w:r>
      <w:r w:rsidR="005E4369" w:rsidRPr="005E4369">
        <w:t xml:space="preserve">Here, day-ahead decisions must be made while intraday electricity prices are </w:t>
      </w:r>
      <w:r w:rsidR="00074CBA">
        <w:t>subject to uncertainty</w:t>
      </w:r>
      <w:r w:rsidR="005E4369" w:rsidRPr="005E4369">
        <w:t>.</w:t>
      </w:r>
      <w:r w:rsidR="00C33C7E">
        <w:t xml:space="preserve"> </w:t>
      </w:r>
      <w:r w:rsidR="002835F7" w:rsidRPr="002835F7">
        <w:t>We evaluate the performance of the reduction methods by solving the stochastic problem with a reduced set of scenarios and</w:t>
      </w:r>
      <w:r w:rsidR="000352FD">
        <w:t xml:space="preserve"> </w:t>
      </w:r>
      <w:r w:rsidR="002835F7" w:rsidRPr="002835F7">
        <w:t xml:space="preserve">comparing </w:t>
      </w:r>
      <w:r w:rsidR="002835F7">
        <w:t xml:space="preserve">expected </w:t>
      </w:r>
      <w:r w:rsidR="002835F7" w:rsidRPr="002835F7">
        <w:t xml:space="preserve">cost and risk to the respective solution values of the original </w:t>
      </w:r>
      <w:r w:rsidR="005A7EAB">
        <w:t xml:space="preserve">risk-averse </w:t>
      </w:r>
      <w:r w:rsidR="002835F7" w:rsidRPr="002835F7">
        <w:t>problem.</w:t>
      </w:r>
      <w:r w:rsidR="000D37B4">
        <w:t xml:space="preserve"> Note that in </w:t>
      </w:r>
      <w:r w:rsidR="000D37B4" w:rsidRPr="00820492">
        <w:t>Germscheid et al. (2023</w:t>
      </w:r>
      <w:r w:rsidR="000D37B4">
        <w:t>) we already demonstrated that scenario reduction leads to strong computational benefits and that our proposed sequential scheduling is faster than the stochastic scheduling.</w:t>
      </w:r>
    </w:p>
    <w:p w14:paraId="4F687AFC" w14:textId="31FD0DC9" w:rsidR="00877A30" w:rsidRDefault="00877A30" w:rsidP="00877A30">
      <w:pPr>
        <w:pStyle w:val="Els-body-text"/>
      </w:pPr>
      <w:r>
        <w:t xml:space="preserve">The remainder of this </w:t>
      </w:r>
      <w:r w:rsidR="003B26B5">
        <w:t>paper</w:t>
      </w:r>
      <w:r>
        <w:t xml:space="preserve"> is structured as follows: In Section 2, we review existing risk-averse scenario reduction approaches. In Section 3, we specify our evaluation approach. In Section 4, we compare </w:t>
      </w:r>
      <w:r w:rsidR="002835F7">
        <w:t>the</w:t>
      </w:r>
      <w:r>
        <w:t xml:space="preserve"> reduction methods and Section 5 concludes the findings.</w:t>
      </w:r>
    </w:p>
    <w:p w14:paraId="0250AA59" w14:textId="6AB51FF3" w:rsidR="00877A30" w:rsidRDefault="00174AC9" w:rsidP="00877A30">
      <w:pPr>
        <w:pStyle w:val="Els-1storder-head"/>
      </w:pPr>
      <w:r>
        <w:t xml:space="preserve">Risk-averse scenario reduction methods </w:t>
      </w:r>
    </w:p>
    <w:p w14:paraId="188E6DF7" w14:textId="2107232F" w:rsidR="00E05B5A" w:rsidRDefault="003B26B5" w:rsidP="00174AC9">
      <w:pPr>
        <w:pStyle w:val="Els-body-text"/>
      </w:pPr>
      <w:r>
        <w:rPr>
          <w:i/>
        </w:rPr>
        <w:t>R</w:t>
      </w:r>
      <w:r w:rsidR="00174AC9" w:rsidRPr="00174AC9">
        <w:rPr>
          <w:i/>
        </w:rPr>
        <w:t>isk-neutral</w:t>
      </w:r>
      <w:r w:rsidR="00877A30">
        <w:t xml:space="preserve"> scenario reduction </w:t>
      </w:r>
      <w:r>
        <w:t>can be</w:t>
      </w:r>
      <w:r w:rsidR="00877A30">
        <w:t xml:space="preserve"> based on probability distances, i.e., metrics that describe the closeness between probability distributions</w:t>
      </w:r>
      <w:r w:rsidR="00174AC9">
        <w:t xml:space="preserve">. </w:t>
      </w:r>
      <w:proofErr w:type="spellStart"/>
      <w:r w:rsidR="008679DB" w:rsidRPr="00D12A49">
        <w:t>Dupačová</w:t>
      </w:r>
      <w:proofErr w:type="spellEnd"/>
      <w:r w:rsidR="008679DB">
        <w:t xml:space="preserve"> </w:t>
      </w:r>
      <w:r w:rsidR="00174AC9">
        <w:t>et al. (2003)</w:t>
      </w:r>
      <w:r w:rsidR="00877A30">
        <w:t xml:space="preserve"> suggest </w:t>
      </w:r>
      <w:r w:rsidR="003E31CE">
        <w:t>choosing</w:t>
      </w:r>
      <w:r w:rsidR="00877A30">
        <w:t xml:space="preserve"> scenarios such that the probability distance of the original and the reduced set of scenarios is minimal:</w:t>
      </w:r>
    </w:p>
    <w:tbl>
      <w:tblPr>
        <w:tblW w:w="7077" w:type="dxa"/>
        <w:tblLook w:val="04A0" w:firstRow="1" w:lastRow="0" w:firstColumn="1" w:lastColumn="0" w:noHBand="0" w:noVBand="1"/>
      </w:tblPr>
      <w:tblGrid>
        <w:gridCol w:w="6627"/>
        <w:gridCol w:w="450"/>
      </w:tblGrid>
      <w:tr w:rsidR="00E05B5A" w:rsidRPr="00BE2AC7" w14:paraId="6C7EA79A" w14:textId="77777777" w:rsidTr="00E05B5A">
        <w:tc>
          <w:tcPr>
            <w:tcW w:w="6799" w:type="dxa"/>
            <w:shd w:val="clear" w:color="auto" w:fill="auto"/>
            <w:vAlign w:val="center"/>
          </w:tcPr>
          <w:p w14:paraId="10B0CEB7" w14:textId="77777777" w:rsidR="00BE2AC7" w:rsidRPr="00BE2AC7" w:rsidRDefault="00E05B5A" w:rsidP="00E05B5A">
            <w:pPr>
              <w:pStyle w:val="Els-body-text"/>
              <w:spacing w:before="120" w:after="120"/>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c</m:t>
                    </m:r>
                  </m:sub>
                </m:sSub>
                <m:d>
                  <m:dPr>
                    <m:ctrlPr>
                      <w:rPr>
                        <w:rFonts w:ascii="Cambria Math" w:hAnsi="Cambria Math"/>
                        <w:i/>
                      </w:rPr>
                    </m:ctrlPr>
                  </m:dPr>
                  <m:e>
                    <m:r>
                      <w:rPr>
                        <w:rFonts w:ascii="Cambria Math" w:hAnsi="Cambria Math"/>
                      </w:rPr>
                      <m:t>P,</m:t>
                    </m:r>
                    <m:acc>
                      <m:accPr>
                        <m:chr m:val="̃"/>
                        <m:ctrlPr>
                          <w:rPr>
                            <w:rFonts w:ascii="Cambria Math" w:hAnsi="Cambria Math"/>
                            <w:i/>
                          </w:rPr>
                        </m:ctrlPr>
                      </m:accPr>
                      <m:e>
                        <m:r>
                          <w:rPr>
                            <w:rFonts w:ascii="Cambria Math" w:hAnsi="Cambria Math"/>
                          </w:rPr>
                          <m:t>P</m:t>
                        </m:r>
                      </m:e>
                    </m:acc>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sSub>
                          <m:sSubPr>
                            <m:ctrlPr>
                              <w:rPr>
                                <w:rFonts w:ascii="Cambria Math" w:hAnsi="Cambria Math"/>
                                <w:i/>
                              </w:rPr>
                            </m:ctrlPr>
                          </m:sSubPr>
                          <m:e>
                            <m:r>
                              <w:rPr>
                                <w:rFonts w:ascii="Cambria Math" w:hAnsi="Cambria Math"/>
                              </w:rPr>
                              <m:t>η</m:t>
                            </m:r>
                          </m:e>
                          <m:sub>
                            <m:r>
                              <w:rPr>
                                <w:rFonts w:ascii="Cambria Math" w:hAnsi="Cambria Math"/>
                              </w:rPr>
                              <m:t>i,j</m:t>
                            </m:r>
                          </m:sub>
                        </m:sSub>
                      </m:lim>
                    </m:limLow>
                  </m:fName>
                  <m:e>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e>
                            </m:d>
                            <m:sSub>
                              <m:sSubPr>
                                <m:ctrlPr>
                                  <w:rPr>
                                    <w:rFonts w:ascii="Cambria Math" w:hAnsi="Cambria Math"/>
                                    <w:i/>
                                  </w:rPr>
                                </m:ctrlPr>
                              </m:sSubPr>
                              <m:e>
                                <m:r>
                                  <w:rPr>
                                    <w:rFonts w:ascii="Cambria Math" w:hAnsi="Cambria Math"/>
                                  </w:rPr>
                                  <m:t>η</m:t>
                                </m:r>
                              </m:e>
                              <m:sub>
                                <m:r>
                                  <w:rPr>
                                    <w:rFonts w:ascii="Cambria Math" w:hAnsi="Cambria Math"/>
                                  </w:rPr>
                                  <m:t>i,j</m:t>
                                </m:r>
                              </m:sub>
                            </m:sSub>
                          </m:e>
                        </m:nary>
                      </m:e>
                    </m:nary>
                  </m:e>
                </m:func>
              </m:oMath>
            </m:oMathPara>
          </w:p>
          <w:p w14:paraId="3217BE42" w14:textId="68BC08F7" w:rsidR="00E05B5A" w:rsidRPr="00BE2AC7" w:rsidRDefault="00E05B5A" w:rsidP="00E05B5A">
            <w:pPr>
              <w:pStyle w:val="Els-body-text"/>
              <w:spacing w:before="120" w:after="120"/>
            </w:pPr>
            <m:oMathPara>
              <m:oMath>
                <m:r>
                  <w:rPr>
                    <w:rFonts w:ascii="Cambria Math" w:hAnsi="Cambria Math"/>
                  </w:rPr>
                  <m:t xml:space="preserve"> s.t.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η</m:t>
                        </m:r>
                      </m:e>
                      <m:sub>
                        <m:r>
                          <w:rPr>
                            <w:rFonts w:ascii="Cambria Math" w:hAnsi="Cambria Math"/>
                          </w:rPr>
                          <m:t>i,j</m:t>
                        </m:r>
                      </m:sub>
                    </m:sSub>
                    <m:r>
                      <w:rPr>
                        <w:rFonts w:ascii="Cambria Math" w:hAnsi="Cambria Math"/>
                      </w:rPr>
                      <m:t xml:space="preserve">≥0,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η</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j</m:t>
                            </m:r>
                          </m:sub>
                        </m:sSub>
                      </m:e>
                    </m:nary>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η</m:t>
                            </m:r>
                          </m:e>
                          <m:sub>
                            <m:r>
                              <w:rPr>
                                <w:rFonts w:ascii="Cambria Math" w:hAnsi="Cambria Math"/>
                              </w:rPr>
                              <m:t>i,j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π</m:t>
                                </m:r>
                              </m:e>
                            </m:acc>
                          </m:e>
                          <m:sub>
                            <m:r>
                              <w:rPr>
                                <w:rFonts w:ascii="Cambria Math" w:hAnsi="Cambria Math"/>
                              </w:rPr>
                              <m:t>j</m:t>
                            </m:r>
                          </m:sub>
                        </m:sSub>
                      </m:e>
                    </m:nary>
                  </m:e>
                </m:d>
                <m:r>
                  <w:rPr>
                    <w:rFonts w:ascii="Cambria Math" w:hAnsi="Cambria Math"/>
                  </w:rPr>
                  <m:t xml:space="preserve">   ∀ i,j</m:t>
                </m:r>
              </m:oMath>
            </m:oMathPara>
          </w:p>
        </w:tc>
        <w:tc>
          <w:tcPr>
            <w:tcW w:w="278" w:type="dxa"/>
            <w:shd w:val="clear" w:color="auto" w:fill="auto"/>
            <w:vAlign w:val="center"/>
          </w:tcPr>
          <w:p w14:paraId="53EAA9BD" w14:textId="3529EC9E" w:rsidR="00E05B5A" w:rsidRPr="00BE2AC7" w:rsidRDefault="00E05B5A" w:rsidP="0036279A">
            <w:pPr>
              <w:pStyle w:val="Els-body-text"/>
              <w:spacing w:before="120" w:after="120" w:line="264" w:lineRule="auto"/>
              <w:rPr>
                <w:lang w:val="en-GB"/>
              </w:rPr>
            </w:pPr>
            <w:r w:rsidRPr="00BE2AC7">
              <w:rPr>
                <w:lang w:val="en-GB"/>
              </w:rPr>
              <w:t>(</w:t>
            </w:r>
            <w:r w:rsidRPr="00BE2AC7">
              <w:rPr>
                <w:lang w:val="en-GB"/>
              </w:rPr>
              <w:t>1</w:t>
            </w:r>
            <w:r w:rsidRPr="00BE2AC7">
              <w:rPr>
                <w:lang w:val="en-GB"/>
              </w:rPr>
              <w:t>)</w:t>
            </w:r>
          </w:p>
        </w:tc>
      </w:tr>
    </w:tbl>
    <w:p w14:paraId="09C39EDD" w14:textId="033846F7" w:rsidR="00877A30" w:rsidRDefault="00E05B5A" w:rsidP="00877A30">
      <w:pPr>
        <w:pStyle w:val="Els-body-text"/>
      </w:pPr>
      <w:r>
        <w:t>In Eq. (1)</w:t>
      </w:r>
      <w:r w:rsidR="00877A30">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c</m:t>
            </m:r>
          </m:sub>
        </m:sSub>
        <m:r>
          <w:rPr>
            <w:rFonts w:ascii="Cambria Math" w:hAnsi="Cambria Math"/>
          </w:rPr>
          <m:t>(P,</m:t>
        </m:r>
        <m:acc>
          <m:accPr>
            <m:chr m:val="̃"/>
            <m:ctrlPr>
              <w:rPr>
                <w:rFonts w:ascii="Cambria Math" w:hAnsi="Cambria Math"/>
                <w:i/>
              </w:rPr>
            </m:ctrlPr>
          </m:accPr>
          <m:e>
            <m:r>
              <w:rPr>
                <w:rFonts w:ascii="Cambria Math" w:hAnsi="Cambria Math"/>
              </w:rPr>
              <m:t>P</m:t>
            </m:r>
          </m:e>
        </m:acc>
        <m:r>
          <w:rPr>
            <w:rFonts w:ascii="Cambria Math" w:hAnsi="Cambria Math"/>
          </w:rPr>
          <m:t>)</m:t>
        </m:r>
      </m:oMath>
      <w:r w:rsidR="00877A30">
        <w:t xml:space="preserve"> is the optimal distance for the probability distributions </w:t>
      </w:r>
      <m:oMath>
        <m:r>
          <w:rPr>
            <w:rFonts w:ascii="Cambria Math" w:hAnsi="Cambria Math"/>
          </w:rPr>
          <m:t>P=</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π</m:t>
                </m:r>
              </m:e>
              <m:sub>
                <m:r>
                  <w:rPr>
                    <w:rFonts w:ascii="Cambria Math" w:hAnsi="Cambria Math"/>
                  </w:rPr>
                  <m:t>i</m:t>
                </m:r>
              </m:sub>
            </m:sSub>
            <m:sSub>
              <m:sSubPr>
                <m:ctrlPr>
                  <w:rPr>
                    <w:rFonts w:ascii="Cambria Math" w:hAnsi="Cambria Math"/>
                    <w:i/>
                  </w:rPr>
                </m:ctrlPr>
              </m:sSubPr>
              <m:e>
                <m:r>
                  <w:rPr>
                    <w:rFonts w:ascii="Cambria Math" w:hAnsi="Cambria Math"/>
                  </w:rPr>
                  <m:t>δ</m:t>
                </m:r>
              </m:e>
              <m:sub>
                <m:sSub>
                  <m:sSubPr>
                    <m:ctrlPr>
                      <w:rPr>
                        <w:rFonts w:ascii="Cambria Math" w:hAnsi="Cambria Math"/>
                        <w:i/>
                      </w:rPr>
                    </m:ctrlPr>
                  </m:sSubPr>
                  <m:e>
                    <m:r>
                      <w:rPr>
                        <w:rFonts w:ascii="Cambria Math" w:hAnsi="Cambria Math"/>
                      </w:rPr>
                      <m:t>p</m:t>
                    </m:r>
                  </m:e>
                  <m:sub>
                    <m:r>
                      <w:rPr>
                        <w:rFonts w:ascii="Cambria Math" w:hAnsi="Cambria Math"/>
                      </w:rPr>
                      <m:t>i</m:t>
                    </m:r>
                  </m:sub>
                </m:sSub>
              </m:sub>
            </m:sSub>
          </m:e>
        </m:nary>
      </m:oMath>
      <w:r w:rsidR="00877A30">
        <w:t xml:space="preserve"> and </w:t>
      </w:r>
      <m:oMath>
        <m:acc>
          <m:accPr>
            <m:chr m:val="̃"/>
            <m:ctrlPr>
              <w:rPr>
                <w:rFonts w:ascii="Cambria Math" w:hAnsi="Cambria Math"/>
                <w:i/>
              </w:rPr>
            </m:ctrlPr>
          </m:accPr>
          <m:e>
            <m:r>
              <w:rPr>
                <w:rFonts w:ascii="Cambria Math" w:hAnsi="Cambria Math"/>
              </w:rPr>
              <m:t>P</m:t>
            </m:r>
          </m:e>
        </m:acc>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π</m:t>
                    </m:r>
                  </m:e>
                </m:acc>
              </m:e>
              <m:sub>
                <m:r>
                  <w:rPr>
                    <w:rFonts w:ascii="Cambria Math" w:hAnsi="Cambria Math"/>
                  </w:rPr>
                  <m:t>i</m:t>
                </m:r>
              </m:sub>
            </m:sSub>
            <m:sSub>
              <m:sSubPr>
                <m:ctrlPr>
                  <w:rPr>
                    <w:rFonts w:ascii="Cambria Math" w:hAnsi="Cambria Math"/>
                    <w:i/>
                  </w:rPr>
                </m:ctrlPr>
              </m:sSubPr>
              <m:e>
                <m:r>
                  <w:rPr>
                    <w:rFonts w:ascii="Cambria Math" w:hAnsi="Cambria Math"/>
                  </w:rPr>
                  <m:t>δ</m:t>
                </m:r>
              </m:e>
              <m:sub>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sub>
            </m:sSub>
          </m:e>
        </m:nary>
      </m:oMath>
      <w:r w:rsidR="000352FD">
        <w:t>,</w:t>
      </w:r>
      <w:r w:rsidR="00877A30">
        <w:t xml:space="preserve"> with scenarios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N</m:t>
                </m:r>
              </m:sub>
            </m:sSub>
          </m:e>
        </m:d>
      </m:oMath>
      <w:r w:rsidR="00877A30">
        <w:t xml:space="preserve"> and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1</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M</m:t>
                </m:r>
              </m:sub>
            </m:sSub>
          </m:e>
        </m:d>
      </m:oMath>
      <w:r w:rsidR="0030692E">
        <w:t xml:space="preserve"> </w:t>
      </w:r>
      <w:r w:rsidR="00877A30">
        <w:t>and probabilities</w:t>
      </w:r>
      <w:r w:rsidR="0030692E">
        <w:t xml:space="preserve"> </w:t>
      </w:r>
      <m:oMath>
        <m:sSub>
          <m:sSubPr>
            <m:ctrlPr>
              <w:rPr>
                <w:rFonts w:ascii="Cambria Math" w:hAnsi="Cambria Math"/>
                <w:i/>
              </w:rPr>
            </m:ctrlPr>
          </m:sSubPr>
          <m:e>
            <m:r>
              <w:rPr>
                <w:rFonts w:ascii="Cambria Math" w:hAnsi="Cambria Math"/>
              </w:rPr>
              <m:t>π</m:t>
            </m:r>
          </m:e>
          <m:sub>
            <m:r>
              <w:rPr>
                <w:rFonts w:ascii="Cambria Math" w:hAnsi="Cambria Math"/>
              </w:rPr>
              <m:t>i</m:t>
            </m:r>
          </m:sub>
        </m:sSub>
      </m:oMath>
      <w:r w:rsidR="00877A30">
        <w:t xml:space="preserve"> and</w:t>
      </w:r>
      <w:r w:rsidR="00C7130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π</m:t>
                </m:r>
              </m:e>
            </m:acc>
          </m:e>
          <m:sub>
            <m:r>
              <w:rPr>
                <w:rFonts w:ascii="Cambria Math" w:hAnsi="Cambria Math"/>
              </w:rPr>
              <m:t>i</m:t>
            </m:r>
          </m:sub>
        </m:sSub>
      </m:oMath>
      <w:r w:rsidR="00877A30">
        <w:t>, respectively.</w:t>
      </w:r>
      <w:r w:rsidR="008570E4">
        <w:t xml:space="preserve"> </w:t>
      </w:r>
      <m:oMath>
        <m:sSub>
          <m:sSubPr>
            <m:ctrlPr>
              <w:rPr>
                <w:rFonts w:ascii="Cambria Math" w:hAnsi="Cambria Math"/>
                <w:i/>
              </w:rPr>
            </m:ctrlPr>
          </m:sSubPr>
          <m:e>
            <m:r>
              <w:rPr>
                <w:rFonts w:ascii="Cambria Math" w:hAnsi="Cambria Math"/>
              </w:rPr>
              <m:t>δ</m:t>
            </m:r>
          </m:e>
          <m:sub>
            <m:r>
              <w:rPr>
                <w:rFonts w:ascii="Cambria Math" w:hAnsi="Cambria Math"/>
              </w:rPr>
              <m:t>p</m:t>
            </m:r>
          </m:sub>
        </m:sSub>
      </m:oMath>
      <w:r w:rsidR="0030692E">
        <w:t xml:space="preserve"> </w:t>
      </w:r>
      <w:r w:rsidR="00877A30">
        <w:t>denotes the Dirac measure.</w:t>
      </w:r>
      <w:r w:rsidR="0030692E">
        <w:t xml:space="preserve"> </w:t>
      </w:r>
      <w:r w:rsidR="00877A30">
        <w:t xml:space="preserve">The function </w:t>
      </w:r>
      <m:oMath>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e>
        </m:d>
      </m:oMath>
      <w:r w:rsidR="00877A30">
        <w:t xml:space="preserve"> is continuous, symmetric, and </w:t>
      </w:r>
      <w:r w:rsidR="00923AE3">
        <w:t>gives</w:t>
      </w:r>
      <w:r w:rsidR="00877A30">
        <w:t xml:space="preserve"> </w:t>
      </w:r>
      <m:oMath>
        <m:r>
          <w:rPr>
            <w:rFonts w:ascii="Cambria Math" w:hAnsi="Cambria Math"/>
          </w:rPr>
          <m:t>c</m:t>
        </m:r>
        <m:d>
          <m:dPr>
            <m:ctrlPr>
              <w:rPr>
                <w:rFonts w:ascii="Cambria Math" w:hAnsi="Cambria Math"/>
                <w:i/>
              </w:rPr>
            </m:ctrlPr>
          </m:dPr>
          <m:e>
            <m:r>
              <w:rPr>
                <w:rFonts w:ascii="Cambria Math" w:hAnsi="Cambria Math"/>
              </w:rPr>
              <m:t xml:space="preserve">p, </m:t>
            </m:r>
            <m:acc>
              <m:accPr>
                <m:chr m:val="̃"/>
                <m:ctrlPr>
                  <w:rPr>
                    <w:rFonts w:ascii="Cambria Math" w:hAnsi="Cambria Math"/>
                    <w:i/>
                  </w:rPr>
                </m:ctrlPr>
              </m:accPr>
              <m:e>
                <m:r>
                  <w:rPr>
                    <w:rFonts w:ascii="Cambria Math" w:hAnsi="Cambria Math"/>
                  </w:rPr>
                  <m:t>p</m:t>
                </m:r>
              </m:e>
            </m:acc>
          </m:e>
        </m:d>
        <m:r>
          <w:rPr>
            <w:rFonts w:ascii="Cambria Math" w:hAnsi="Cambria Math"/>
          </w:rPr>
          <m:t>=0</m:t>
        </m:r>
      </m:oMath>
      <w:r w:rsidR="00877A30">
        <w:t xml:space="preserve"> iff </w:t>
      </w:r>
      <m:oMath>
        <m:r>
          <w:rPr>
            <w:rFonts w:ascii="Cambria Math" w:hAnsi="Cambria Math"/>
          </w:rPr>
          <m:t xml:space="preserve">p= </m:t>
        </m:r>
        <m:acc>
          <m:accPr>
            <m:chr m:val="̃"/>
            <m:ctrlPr>
              <w:rPr>
                <w:rFonts w:ascii="Cambria Math" w:hAnsi="Cambria Math"/>
                <w:i/>
              </w:rPr>
            </m:ctrlPr>
          </m:accPr>
          <m:e>
            <m:r>
              <w:rPr>
                <w:rFonts w:ascii="Cambria Math" w:hAnsi="Cambria Math"/>
              </w:rPr>
              <m:t>p</m:t>
            </m:r>
          </m:e>
        </m:acc>
      </m:oMath>
      <w:r w:rsidR="00923AE3">
        <w:t xml:space="preserve">. </w:t>
      </w:r>
      <w:r w:rsidR="008570E4">
        <w:t>The optimization variable</w:t>
      </w:r>
      <w:r w:rsidR="000352FD">
        <w:t>s</w:t>
      </w:r>
      <w:r w:rsidR="008570E4">
        <w:t xml:space="preserve"> </w:t>
      </w:r>
      <m:oMath>
        <m:sSub>
          <m:sSubPr>
            <m:ctrlPr>
              <w:rPr>
                <w:rFonts w:ascii="Cambria Math" w:hAnsi="Cambria Math"/>
                <w:i/>
              </w:rPr>
            </m:ctrlPr>
          </m:sSubPr>
          <m:e>
            <m:r>
              <w:rPr>
                <w:rFonts w:ascii="Cambria Math" w:hAnsi="Cambria Math"/>
              </w:rPr>
              <m:t>η</m:t>
            </m:r>
          </m:e>
          <m:sub>
            <m:r>
              <w:rPr>
                <w:rFonts w:ascii="Cambria Math" w:hAnsi="Cambria Math"/>
              </w:rPr>
              <m:t>i,j</m:t>
            </m:r>
          </m:sub>
        </m:sSub>
      </m:oMath>
      <w:r w:rsidR="008570E4">
        <w:t xml:space="preserve"> add up to the probabilities </w:t>
      </w:r>
      <m:oMath>
        <m:sSub>
          <m:sSubPr>
            <m:ctrlPr>
              <w:rPr>
                <w:rFonts w:ascii="Cambria Math" w:hAnsi="Cambria Math"/>
                <w:i/>
              </w:rPr>
            </m:ctrlPr>
          </m:sSubPr>
          <m:e>
            <m:r>
              <w:rPr>
                <w:rFonts w:ascii="Cambria Math" w:hAnsi="Cambria Math"/>
              </w:rPr>
              <m:t>π</m:t>
            </m:r>
          </m:e>
          <m:sub>
            <m:r>
              <w:rPr>
                <w:rFonts w:ascii="Cambria Math" w:hAnsi="Cambria Math"/>
              </w:rPr>
              <m:t>i</m:t>
            </m:r>
          </m:sub>
        </m:sSub>
      </m:oMath>
      <w:r w:rsidR="008570E4">
        <w:t xml:space="preserve"> and</w:t>
      </w:r>
      <w:r w:rsidR="00C7130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π</m:t>
                </m:r>
              </m:e>
            </m:acc>
          </m:e>
          <m:sub>
            <m:r>
              <w:rPr>
                <w:rFonts w:ascii="Cambria Math" w:hAnsi="Cambria Math"/>
              </w:rPr>
              <m:t>i</m:t>
            </m:r>
          </m:sub>
        </m:sSub>
      </m:oMath>
      <w:r w:rsidR="008570E4">
        <w:t xml:space="preserve">, respectively. </w:t>
      </w:r>
      <w:r w:rsidR="00877A30">
        <w:t xml:space="preserve">Based on the probability distance, </w:t>
      </w:r>
      <w:r w:rsidR="0030692E">
        <w:t xml:space="preserve">Heitsch and </w:t>
      </w:r>
      <w:proofErr w:type="spellStart"/>
      <w:r w:rsidR="0030692E">
        <w:t>Römisch</w:t>
      </w:r>
      <w:proofErr w:type="spellEnd"/>
      <w:r w:rsidR="0030692E">
        <w:t xml:space="preserve"> (2003)</w:t>
      </w:r>
      <w:r w:rsidR="00877A30">
        <w:t xml:space="preserve"> suggest algorithms for scenario reduction</w:t>
      </w:r>
      <w:r w:rsidR="00A73086">
        <w:t xml:space="preserve"> with i</w:t>
      </w:r>
      <w:r w:rsidR="00877A30">
        <w:t xml:space="preserve">mplementations available in the tools SCENRED and SCENRED2 </w:t>
      </w:r>
      <w:r w:rsidR="00A73086">
        <w:t>of</w:t>
      </w:r>
      <w:r w:rsidR="00877A30">
        <w:t xml:space="preserve"> GAMS</w:t>
      </w:r>
      <w:r w:rsidR="00913C8A">
        <w:t xml:space="preserve"> (</w:t>
      </w:r>
      <w:r w:rsidR="00913C8A" w:rsidRPr="00913C8A">
        <w:t>GAMS Development Corporation, 20</w:t>
      </w:r>
      <w:r w:rsidR="00913C8A">
        <w:t>22)</w:t>
      </w:r>
      <w:r w:rsidR="00877A30">
        <w:t>.</w:t>
      </w:r>
      <w:r w:rsidR="00486386">
        <w:t xml:space="preserve"> In the following, we refer to the approach of Heitsch and </w:t>
      </w:r>
      <w:proofErr w:type="spellStart"/>
      <w:r w:rsidR="00486386">
        <w:t>Römisch</w:t>
      </w:r>
      <w:proofErr w:type="spellEnd"/>
      <w:r w:rsidR="00486386">
        <w:t xml:space="preserve"> (2003) as </w:t>
      </w:r>
      <w:r w:rsidR="00486386" w:rsidRPr="00486386">
        <w:rPr>
          <w:i/>
        </w:rPr>
        <w:t>risk-neutral approach</w:t>
      </w:r>
      <w:r w:rsidR="00486386">
        <w:t>.</w:t>
      </w:r>
    </w:p>
    <w:p w14:paraId="449635E7" w14:textId="324CED88" w:rsidR="00E05B5A" w:rsidRDefault="00A73086" w:rsidP="00877A30">
      <w:pPr>
        <w:pStyle w:val="Els-body-text"/>
      </w:pPr>
      <w:r w:rsidRPr="00A73086">
        <w:rPr>
          <w:i/>
          <w:iCs/>
        </w:rPr>
        <w:t>Risk-averse</w:t>
      </w:r>
      <w:r>
        <w:t xml:space="preserve"> SP </w:t>
      </w:r>
      <w:r w:rsidR="003B26B5">
        <w:t>can be</w:t>
      </w:r>
      <w:r>
        <w:t xml:space="preserve"> tackled with</w:t>
      </w:r>
      <w:r w:rsidR="009B2945">
        <w:t xml:space="preserve"> minimization of CVaR, i.e</w:t>
      </w:r>
      <w:r w:rsidR="00175D5F">
        <w:t xml:space="preserve">., the expected cost of the </w:t>
      </w:r>
      <m:oMath>
        <m:r>
          <w:rPr>
            <w:rFonts w:ascii="Cambria Math" w:hAnsi="Cambria Math"/>
          </w:rPr>
          <m:t>(1-α)</m:t>
        </m:r>
      </m:oMath>
      <w:r w:rsidR="00175D5F">
        <w:t xml:space="preserve"> worst-case scenarios</w:t>
      </w:r>
      <w:r>
        <w:t xml:space="preserve"> (</w:t>
      </w:r>
      <w:proofErr w:type="spellStart"/>
      <w:r w:rsidRPr="00D12A49">
        <w:t>Rockafellar</w:t>
      </w:r>
      <w:proofErr w:type="spellEnd"/>
      <w:r>
        <w:t xml:space="preserve"> and </w:t>
      </w:r>
      <w:proofErr w:type="spellStart"/>
      <w:r w:rsidRPr="00D12A49">
        <w:t>Uryasev</w:t>
      </w:r>
      <w:proofErr w:type="spellEnd"/>
      <w:r>
        <w:t>, 2000, 2002):</w:t>
      </w:r>
    </w:p>
    <w:tbl>
      <w:tblPr>
        <w:tblW w:w="7077" w:type="dxa"/>
        <w:tblLook w:val="04A0" w:firstRow="1" w:lastRow="0" w:firstColumn="1" w:lastColumn="0" w:noHBand="0" w:noVBand="1"/>
      </w:tblPr>
      <w:tblGrid>
        <w:gridCol w:w="6624"/>
        <w:gridCol w:w="453"/>
      </w:tblGrid>
      <w:tr w:rsidR="00E05B5A" w:rsidRPr="00BE2AC7" w14:paraId="61FFDB4F" w14:textId="77777777" w:rsidTr="00E05B5A">
        <w:tc>
          <w:tcPr>
            <w:tcW w:w="6624" w:type="dxa"/>
            <w:shd w:val="clear" w:color="auto" w:fill="auto"/>
            <w:vAlign w:val="center"/>
          </w:tcPr>
          <w:p w14:paraId="4FC4D734" w14:textId="16206596" w:rsidR="00E05B5A" w:rsidRPr="00BE2AC7" w:rsidRDefault="00E05B5A" w:rsidP="00E05B5A">
            <w:pPr>
              <w:pStyle w:val="Els-body-text"/>
              <w:spacing w:before="120" w:after="120"/>
            </w:pPr>
            <m:oMathPara>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r>
                          <m:rPr>
                            <m:sty m:val="p"/>
                          </m:rPr>
                          <w:rPr>
                            <w:rFonts w:ascii="Cambria Math" w:hAnsi="Cambria Math"/>
                          </w:rPr>
                          <m:t>Ψ</m:t>
                        </m:r>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i</m:t>
                            </m:r>
                          </m:sub>
                        </m:sSub>
                      </m:lim>
                    </m:limLow>
                  </m:fName>
                  <m:e>
                    <m:r>
                      <m:rPr>
                        <m:sty m:val="p"/>
                      </m:rPr>
                      <w:rPr>
                        <w:rFonts w:ascii="Cambria Math" w:hAnsi="Cambria Math"/>
                      </w:rPr>
                      <m:t xml:space="preserve">CVaR </m:t>
                    </m:r>
                  </m:e>
                </m:func>
                <m:r>
                  <w:rPr>
                    <w:rFonts w:ascii="Cambria Math" w:hAnsi="Cambria Math"/>
                  </w:rPr>
                  <m:t xml:space="preserve">  s.t.   </m:t>
                </m:r>
                <m:r>
                  <m:rPr>
                    <m:sty m:val="p"/>
                  </m:rPr>
                  <w:rPr>
                    <w:rFonts w:ascii="Cambria Math" w:hAnsi="Cambria Math"/>
                  </w:rPr>
                  <m:t>CVaR</m:t>
                </m:r>
                <m:r>
                  <w:rPr>
                    <w:rFonts w:ascii="Cambria Math" w:hAnsi="Cambria Math"/>
                  </w:rPr>
                  <m:t>=</m:t>
                </m:r>
                <m:r>
                  <m:rPr>
                    <m:sty m:val="p"/>
                  </m:rPr>
                  <w:rPr>
                    <w:rFonts w:ascii="Cambria Math" w:hAnsi="Cambria Math"/>
                  </w:rPr>
                  <m:t>ψ</m:t>
                </m:r>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i</m:t>
                            </m:r>
                          </m:sub>
                        </m:sSub>
                        <m:sSub>
                          <m:sSubPr>
                            <m:ctrlPr>
                              <w:rPr>
                                <w:rFonts w:ascii="Cambria Math" w:hAnsi="Cambria Math"/>
                                <w:i/>
                              </w:rPr>
                            </m:ctrlPr>
                          </m:sSubPr>
                          <m:e>
                            <m:r>
                              <w:rPr>
                                <w:rFonts w:ascii="Cambria Math" w:hAnsi="Cambria Math"/>
                              </w:rPr>
                              <m:t>ϕ</m:t>
                            </m:r>
                          </m:e>
                          <m:sub>
                            <m:r>
                              <w:rPr>
                                <w:rFonts w:ascii="Cambria Math" w:hAnsi="Cambria Math"/>
                              </w:rPr>
                              <m:t>i</m:t>
                            </m:r>
                          </m:sub>
                        </m:sSub>
                      </m:num>
                      <m:den>
                        <m:d>
                          <m:dPr>
                            <m:ctrlPr>
                              <w:rPr>
                                <w:rFonts w:ascii="Cambria Math" w:hAnsi="Cambria Math"/>
                                <w:i/>
                              </w:rPr>
                            </m:ctrlPr>
                          </m:dPr>
                          <m:e>
                            <m:r>
                              <w:rPr>
                                <w:rFonts w:ascii="Cambria Math" w:hAnsi="Cambria Math"/>
                              </w:rPr>
                              <m:t>1-α</m:t>
                            </m:r>
                          </m:e>
                        </m:d>
                      </m:den>
                    </m:f>
                  </m:e>
                </m:nary>
                <m:r>
                  <w:rPr>
                    <w:rFonts w:ascii="Cambria Math" w:hAnsi="Cambria Math"/>
                  </w:rPr>
                  <m:t>,</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-ψ≤</m:t>
                    </m:r>
                    <m:sSub>
                      <m:sSubPr>
                        <m:ctrlPr>
                          <w:rPr>
                            <w:rFonts w:ascii="Cambria Math" w:hAnsi="Cambria Math"/>
                            <w:i/>
                          </w:rPr>
                        </m:ctrlPr>
                      </m:sSubPr>
                      <m:e>
                        <m:r>
                          <w:rPr>
                            <w:rFonts w:ascii="Cambria Math" w:hAnsi="Cambria Math"/>
                          </w:rPr>
                          <m:t>ϕ</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i</m:t>
                        </m:r>
                      </m:sub>
                    </m:sSub>
                    <m:r>
                      <w:rPr>
                        <w:rFonts w:ascii="Cambria Math" w:hAnsi="Cambria Math"/>
                      </w:rPr>
                      <m:t>≥0</m:t>
                    </m:r>
                  </m:e>
                </m:d>
                <m:r>
                  <w:rPr>
                    <w:rFonts w:ascii="Cambria Math" w:hAnsi="Cambria Math"/>
                  </w:rPr>
                  <m:t xml:space="preserve">  ∀i</m:t>
                </m:r>
              </m:oMath>
            </m:oMathPara>
          </w:p>
        </w:tc>
        <w:tc>
          <w:tcPr>
            <w:tcW w:w="453" w:type="dxa"/>
            <w:shd w:val="clear" w:color="auto" w:fill="auto"/>
            <w:vAlign w:val="center"/>
          </w:tcPr>
          <w:p w14:paraId="4D80D1DD" w14:textId="035B9878" w:rsidR="00E05B5A" w:rsidRPr="00BE2AC7" w:rsidRDefault="00E05B5A" w:rsidP="00E05B5A">
            <w:pPr>
              <w:pStyle w:val="Els-body-text"/>
              <w:spacing w:before="120" w:after="120" w:line="264" w:lineRule="auto"/>
              <w:jc w:val="right"/>
              <w:rPr>
                <w:lang w:val="en-GB"/>
              </w:rPr>
            </w:pPr>
            <w:r w:rsidRPr="00BE2AC7">
              <w:rPr>
                <w:lang w:val="en-GB"/>
              </w:rPr>
              <w:t>(</w:t>
            </w:r>
            <w:r w:rsidRPr="00BE2AC7">
              <w:rPr>
                <w:lang w:val="en-GB"/>
              </w:rPr>
              <w:t>2</w:t>
            </w:r>
            <w:r w:rsidRPr="00BE2AC7">
              <w:rPr>
                <w:lang w:val="en-GB"/>
              </w:rPr>
              <w:t>)</w:t>
            </w:r>
          </w:p>
        </w:tc>
      </w:tr>
    </w:tbl>
    <w:p w14:paraId="11B0114D" w14:textId="22F4ABBE" w:rsidR="00A73086" w:rsidRPr="00A73086" w:rsidRDefault="00E05B5A" w:rsidP="00877A30">
      <w:pPr>
        <w:pStyle w:val="Els-body-text"/>
      </w:pPr>
      <w:r>
        <w:lastRenderedPageBreak/>
        <w:t>In Eq. (2)</w:t>
      </w:r>
      <w:r w:rsidR="00175D5F">
        <w:t xml:space="preserve">, </w:t>
      </w:r>
      <m:oMath>
        <m:r>
          <m:rPr>
            <m:sty m:val="p"/>
          </m:rPr>
          <w:rPr>
            <w:rFonts w:ascii="Cambria Math" w:hAnsi="Cambria Math"/>
          </w:rPr>
          <m:t>CVaR</m:t>
        </m:r>
      </m:oMath>
      <w:r w:rsidR="00175D5F">
        <w:t xml:space="preserve"> is determined for the confidence level </w:t>
      </w:r>
      <m:oMath>
        <m:r>
          <w:rPr>
            <w:rFonts w:ascii="Cambria Math" w:hAnsi="Cambria Math"/>
          </w:rPr>
          <m:t>α</m:t>
        </m:r>
      </m:oMath>
      <w:r w:rsidR="00175D5F">
        <w:t xml:space="preserve"> </w:t>
      </w:r>
      <w:r w:rsidR="00A23A90">
        <w:t xml:space="preserve">and the objective function </w:t>
      </w:r>
      <m:oMath>
        <m:r>
          <w:rPr>
            <w:rFonts w:ascii="Cambria Math" w:hAnsi="Cambria Math"/>
          </w:rPr>
          <m:t>f</m:t>
        </m:r>
      </m:oMath>
      <w:r w:rsidR="00A23A90">
        <w:t xml:space="preserve"> </w:t>
      </w:r>
      <w:r w:rsidR="00175D5F">
        <w:t xml:space="preserve">with the </w:t>
      </w:r>
      <w:r w:rsidR="00A23A90">
        <w:t xml:space="preserve">decision variables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00116A22">
        <w:t xml:space="preserve"> </w:t>
      </w:r>
      <w:r w:rsidR="00A23A90">
        <w:t xml:space="preserve">the </w:t>
      </w:r>
      <w:r w:rsidR="00175D5F">
        <w:t xml:space="preserve">continuous auxiliary variables </w:t>
      </w:r>
      <m:oMath>
        <m:sSub>
          <m:sSubPr>
            <m:ctrlPr>
              <w:rPr>
                <w:rFonts w:ascii="Cambria Math" w:hAnsi="Cambria Math"/>
                <w:i/>
              </w:rPr>
            </m:ctrlPr>
          </m:sSubPr>
          <m:e>
            <m:r>
              <w:rPr>
                <w:rFonts w:ascii="Cambria Math" w:hAnsi="Cambria Math"/>
              </w:rPr>
              <m:t>ϕ</m:t>
            </m:r>
          </m:e>
          <m:sub>
            <m:r>
              <w:rPr>
                <w:rFonts w:ascii="Cambria Math" w:hAnsi="Cambria Math"/>
              </w:rPr>
              <m:t>i</m:t>
            </m:r>
          </m:sub>
        </m:sSub>
      </m:oMath>
      <w:r w:rsidR="00175D5F">
        <w:t xml:space="preserve"> and </w:t>
      </w:r>
      <m:oMath>
        <m:r>
          <m:rPr>
            <m:sty m:val="p"/>
          </m:rPr>
          <w:rPr>
            <w:rFonts w:ascii="Cambria Math" w:hAnsi="Cambria Math"/>
          </w:rPr>
          <m:t>ψ</m:t>
        </m:r>
      </m:oMath>
      <w:r w:rsidR="00116A22">
        <w:t xml:space="preserve">, and </w:t>
      </w:r>
      <m:oMath>
        <m:r>
          <w:rPr>
            <w:rFonts w:ascii="Cambria Math" w:hAnsi="Cambria Math"/>
          </w:rPr>
          <m:t>N</m:t>
        </m:r>
      </m:oMath>
      <w:r w:rsidR="00116A22">
        <w:t xml:space="preserve"> scenarios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175D5F">
        <w:t>.</w:t>
      </w:r>
      <w:r w:rsidR="00A23A90">
        <w:t xml:space="preserve"> </w:t>
      </w:r>
      <w:r w:rsidR="00676042">
        <w:t>Note that</w:t>
      </w:r>
      <w:r w:rsidR="00676042" w:rsidRPr="00676042">
        <w:t xml:space="preserve"> only the </w:t>
      </w:r>
      <m:oMath>
        <m:r>
          <w:rPr>
            <w:rFonts w:ascii="Cambria Math" w:hAnsi="Cambria Math"/>
          </w:rPr>
          <m:t>(1-α)</m:t>
        </m:r>
      </m:oMath>
      <w:r w:rsidR="00676042">
        <w:t xml:space="preserve"> </w:t>
      </w:r>
      <w:r w:rsidR="00676042" w:rsidRPr="00676042">
        <w:t xml:space="preserve">worst-case scenarios have non-zero values for </w:t>
      </w:r>
      <m:oMath>
        <m:sSub>
          <m:sSubPr>
            <m:ctrlPr>
              <w:rPr>
                <w:rFonts w:ascii="Cambria Math" w:hAnsi="Cambria Math"/>
                <w:i/>
              </w:rPr>
            </m:ctrlPr>
          </m:sSubPr>
          <m:e>
            <m:r>
              <w:rPr>
                <w:rFonts w:ascii="Cambria Math" w:hAnsi="Cambria Math"/>
              </w:rPr>
              <m:t>ϕ</m:t>
            </m:r>
          </m:e>
          <m:sub>
            <m:r>
              <w:rPr>
                <w:rFonts w:ascii="Cambria Math" w:hAnsi="Cambria Math"/>
              </w:rPr>
              <m:t>i</m:t>
            </m:r>
          </m:sub>
        </m:sSub>
      </m:oMath>
      <w:r w:rsidR="00001E17">
        <w:t xml:space="preserve">, i.e., </w:t>
      </w:r>
      <w:r w:rsidR="00B33907">
        <w:t xml:space="preserve">they </w:t>
      </w:r>
      <w:r w:rsidR="00001E17">
        <w:t>affect the objective value.</w:t>
      </w:r>
    </w:p>
    <w:p w14:paraId="263EA79E" w14:textId="42401464" w:rsidR="00B92314" w:rsidRDefault="00F31715" w:rsidP="00877A30">
      <w:pPr>
        <w:pStyle w:val="Els-body-text"/>
      </w:pPr>
      <w:r w:rsidRPr="00F31715">
        <w:t xml:space="preserve">Pineda and Conejo (2010) and </w:t>
      </w:r>
      <w:proofErr w:type="spellStart"/>
      <w:r w:rsidRPr="00F31715">
        <w:t>Alkhaleel</w:t>
      </w:r>
      <w:proofErr w:type="spellEnd"/>
      <w:r w:rsidRPr="00F31715">
        <w:t xml:space="preserve"> et al. (2022) </w:t>
      </w:r>
      <w:r w:rsidR="00877A30">
        <w:t>tailor</w:t>
      </w:r>
      <w:r w:rsidR="00040D7A">
        <w:t>ed</w:t>
      </w:r>
      <w:r w:rsidR="00877A30">
        <w:t xml:space="preserve"> scenario reduction to </w:t>
      </w:r>
      <w:r>
        <w:rPr>
          <w:i/>
        </w:rPr>
        <w:t xml:space="preserve">risk-averse </w:t>
      </w:r>
      <w:r>
        <w:t>SP</w:t>
      </w:r>
      <w:r w:rsidR="00877A30">
        <w:t xml:space="preserve"> by adjusting the probability distance-based reduction</w:t>
      </w:r>
      <w:r w:rsidR="00040D7A">
        <w:t xml:space="preserve"> approach</w:t>
      </w:r>
      <w:r w:rsidR="00514609">
        <w:t xml:space="preserve">. </w:t>
      </w:r>
      <w:r w:rsidR="00040D7A">
        <w:t xml:space="preserve">Specifically, </w:t>
      </w:r>
      <w:r w:rsidRPr="00F31715">
        <w:t xml:space="preserve">Pineda and Conejo (2010) </w:t>
      </w:r>
      <w:r w:rsidR="00877A30">
        <w:t>suggest</w:t>
      </w:r>
      <w:r w:rsidR="00040D7A">
        <w:t>ed</w:t>
      </w:r>
      <w:r w:rsidR="00877A30">
        <w:t xml:space="preserve"> to replace the scenarios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N</m:t>
                </m:r>
              </m:sub>
            </m:sSub>
          </m:e>
        </m:d>
      </m:oMath>
      <w:r>
        <w:t xml:space="preserve"> </w:t>
      </w:r>
      <w:r w:rsidR="00877A30">
        <w:t>in the probability distance with information from the</w:t>
      </w:r>
      <w:r w:rsidR="0052598E">
        <w:t xml:space="preserve"> </w:t>
      </w:r>
      <w:r w:rsidR="00514609" w:rsidRPr="00514609">
        <w:t xml:space="preserve">expectation of expected value </w:t>
      </w:r>
      <w:r w:rsidR="00514609">
        <w:t xml:space="preserve">(EEV) </w:t>
      </w:r>
      <w:r w:rsidR="00877A30">
        <w:t>solution</w:t>
      </w:r>
      <w:r w:rsidR="0036446D">
        <w:t xml:space="preserve"> that is obtained by</w:t>
      </w:r>
      <w:r w:rsidR="003B26B5">
        <w:t xml:space="preserve"> optimizing with a mean-valued scenario </w:t>
      </w:r>
      <w:r w:rsidR="00B33907">
        <w:t>followed by solving</w:t>
      </w:r>
      <w:r w:rsidR="003B26B5">
        <w:t xml:space="preserve"> the original problem with fixed first-stage decisions.</w:t>
      </w:r>
      <w:r w:rsidR="00877A30">
        <w:t xml:space="preserve"> To this end, they use</w:t>
      </w:r>
      <w:r w:rsidR="006314D8">
        <w:t>d</w:t>
      </w:r>
      <w:r w:rsidR="00877A30">
        <w:t xml:space="preserve"> values of the auxiliary variables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ϕ</m:t>
                </m:r>
              </m:e>
              <m:sub>
                <m:r>
                  <w:rPr>
                    <w:rFonts w:ascii="Cambria Math" w:hAnsi="Cambria Math"/>
                  </w:rPr>
                  <m:t>N</m:t>
                </m:r>
              </m:sub>
            </m:sSub>
          </m:e>
        </m:d>
        <m:r>
          <w:rPr>
            <w:rFonts w:ascii="Cambria Math" w:hAnsi="Cambria Math"/>
          </w:rPr>
          <m:t xml:space="preserve"> </m:t>
        </m:r>
      </m:oMath>
      <w:r w:rsidR="00877A30">
        <w:t>of the EEV solution</w:t>
      </w:r>
      <w:r>
        <w:t xml:space="preserve">. </w:t>
      </w:r>
      <w:r w:rsidR="006314D8">
        <w:t>Apart from that</w:t>
      </w:r>
      <w:r w:rsidR="00877A30">
        <w:t xml:space="preserve">, </w:t>
      </w:r>
      <w:r w:rsidRPr="00F31715">
        <w:t xml:space="preserve">Pineda and Conejo (2010) </w:t>
      </w:r>
      <w:r w:rsidR="006314D8">
        <w:t>used</w:t>
      </w:r>
      <w:r w:rsidR="00877A30">
        <w:t xml:space="preserve"> the scenario reduction of </w:t>
      </w:r>
      <w:r>
        <w:t xml:space="preserve">Heitsch and </w:t>
      </w:r>
      <w:proofErr w:type="spellStart"/>
      <w:r>
        <w:t>Römisch</w:t>
      </w:r>
      <w:proofErr w:type="spellEnd"/>
      <w:r>
        <w:t xml:space="preserve"> (2003) </w:t>
      </w:r>
      <w:r w:rsidR="006314D8">
        <w:t xml:space="preserve">to </w:t>
      </w:r>
      <w:r w:rsidR="00877A30">
        <w:t>solve the risk-averse problem.</w:t>
      </w:r>
      <w:r>
        <w:t xml:space="preserve"> </w:t>
      </w:r>
      <w:r w:rsidR="00877A30">
        <w:t xml:space="preserve">In contrast, </w:t>
      </w:r>
      <w:proofErr w:type="spellStart"/>
      <w:r w:rsidRPr="00F31715">
        <w:t>Alkhaleel</w:t>
      </w:r>
      <w:proofErr w:type="spellEnd"/>
      <w:r w:rsidRPr="00F31715">
        <w:t xml:space="preserve"> et al. (2022) </w:t>
      </w:r>
      <w:r w:rsidR="00877A30">
        <w:t>suggest</w:t>
      </w:r>
      <w:r w:rsidR="006314D8">
        <w:t>ed</w:t>
      </w:r>
      <w:r w:rsidR="00877A30">
        <w:t xml:space="preserve"> to apply the scenario reduction of </w:t>
      </w:r>
      <w:r>
        <w:t xml:space="preserve">Heitsch and </w:t>
      </w:r>
      <w:proofErr w:type="spellStart"/>
      <w:r>
        <w:t>Römisch</w:t>
      </w:r>
      <w:proofErr w:type="spellEnd"/>
      <w:r>
        <w:t xml:space="preserve"> (2003) </w:t>
      </w:r>
      <w:r w:rsidR="00877A30">
        <w:t xml:space="preserve">to a pre-selected set of scenarios, i.e., the </w:t>
      </w:r>
      <m:oMath>
        <m:d>
          <m:dPr>
            <m:ctrlPr>
              <w:rPr>
                <w:rFonts w:ascii="Cambria Math" w:hAnsi="Cambria Math"/>
                <w:i/>
              </w:rPr>
            </m:ctrlPr>
          </m:dPr>
          <m:e>
            <m:r>
              <w:rPr>
                <w:rFonts w:ascii="Cambria Math" w:hAnsi="Cambria Math"/>
              </w:rPr>
              <m:t>1-α</m:t>
            </m:r>
          </m:e>
        </m:d>
      </m:oMath>
      <w:r w:rsidR="00877A30">
        <w:t xml:space="preserve">-worst case scenarios of the </w:t>
      </w:r>
      <w:r w:rsidR="00514609" w:rsidRPr="00514609">
        <w:t>wait-and-see (WS)</w:t>
      </w:r>
      <w:r w:rsidR="00514609">
        <w:t xml:space="preserve"> </w:t>
      </w:r>
      <w:r w:rsidR="00877A30">
        <w:t>solution</w:t>
      </w:r>
      <w:r w:rsidR="0036446D">
        <w:t xml:space="preserve"> that is obtained by</w:t>
      </w:r>
      <w:r w:rsidR="0052598E">
        <w:t xml:space="preserve"> optimizing the scenarios separately assuming perfect foresight</w:t>
      </w:r>
      <w:r w:rsidR="00877A30">
        <w:t>.</w:t>
      </w:r>
      <w:r w:rsidR="0052598E">
        <w:t xml:space="preserve"> </w:t>
      </w:r>
      <w:r w:rsidR="006314D8">
        <w:t>Consequently, they</w:t>
      </w:r>
      <w:r w:rsidR="004B16C3" w:rsidRPr="00F31715">
        <w:t xml:space="preserve"> </w:t>
      </w:r>
      <w:r w:rsidR="00877A30">
        <w:t>assume</w:t>
      </w:r>
      <w:r w:rsidR="006314D8">
        <w:t>d</w:t>
      </w:r>
      <w:r w:rsidR="00877A30">
        <w:t xml:space="preserve"> that the reduced set </w:t>
      </w:r>
      <w:r w:rsidR="006314D8">
        <w:t xml:space="preserve">would </w:t>
      </w:r>
      <w:r w:rsidR="00877A30">
        <w:t xml:space="preserve">represent only worst-case scenarios and </w:t>
      </w:r>
      <w:r w:rsidR="006314D8">
        <w:t xml:space="preserve">applied </w:t>
      </w:r>
      <w:r w:rsidR="00877A30">
        <w:t xml:space="preserve">risk-neutral </w:t>
      </w:r>
      <w:r w:rsidR="004B16C3">
        <w:t>SP</w:t>
      </w:r>
      <w:r w:rsidR="00877A30">
        <w:t xml:space="preserve"> in the final step as suggested by </w:t>
      </w:r>
      <w:r w:rsidR="004B16C3">
        <w:t>García-Bertrand and Mínguez (2014)</w:t>
      </w:r>
      <w:r w:rsidR="00877A30">
        <w:t xml:space="preserve">. In the following, we refer to the approaches of </w:t>
      </w:r>
      <w:r w:rsidR="004B16C3" w:rsidRPr="00F31715">
        <w:t xml:space="preserve">Pineda and Conejo (2010) and </w:t>
      </w:r>
      <w:proofErr w:type="spellStart"/>
      <w:r w:rsidR="004B16C3" w:rsidRPr="00F31715">
        <w:t>Alkhaleel</w:t>
      </w:r>
      <w:proofErr w:type="spellEnd"/>
      <w:r w:rsidR="004B16C3" w:rsidRPr="00F31715">
        <w:t xml:space="preserve"> et al. (2022) </w:t>
      </w:r>
      <w:r w:rsidR="00877A30" w:rsidRPr="00486386">
        <w:t>as</w:t>
      </w:r>
      <w:r w:rsidR="00877A30" w:rsidRPr="00486386">
        <w:rPr>
          <w:i/>
        </w:rPr>
        <w:t xml:space="preserve"> EEV-based </w:t>
      </w:r>
      <w:r w:rsidR="00877A30" w:rsidRPr="00486386">
        <w:t>and</w:t>
      </w:r>
      <w:r w:rsidR="00877A30" w:rsidRPr="00486386">
        <w:rPr>
          <w:i/>
        </w:rPr>
        <w:t xml:space="preserve"> WS-based approach</w:t>
      </w:r>
      <w:r w:rsidR="00877A30">
        <w:t>, respectively.</w:t>
      </w:r>
    </w:p>
    <w:p w14:paraId="15B7F54B" w14:textId="45E1F383" w:rsidR="003E31CE" w:rsidRDefault="003E31CE" w:rsidP="00877A30">
      <w:pPr>
        <w:pStyle w:val="Els-body-text"/>
      </w:pPr>
      <w:r>
        <w:t xml:space="preserve">It should be noted that further risk-averse reduction methods </w:t>
      </w:r>
      <w:r w:rsidR="00671889">
        <w:t>have been proposed</w:t>
      </w:r>
      <w:r>
        <w:t xml:space="preserve">, i.e., by García-Bertrand and </w:t>
      </w:r>
      <w:proofErr w:type="spellStart"/>
      <w:r>
        <w:t>Mínguez</w:t>
      </w:r>
      <w:proofErr w:type="spellEnd"/>
      <w:r>
        <w:t xml:space="preserve"> (2014), </w:t>
      </w:r>
      <w:proofErr w:type="spellStart"/>
      <w:r>
        <w:t>Arpón</w:t>
      </w:r>
      <w:proofErr w:type="spellEnd"/>
      <w:r>
        <w:t xml:space="preserve"> et al. (2018), and Fairbrother et al. (2018, 2022). These approaches build on repeatably solving the stochastic program with a small subset of scenarios. However, the </w:t>
      </w:r>
      <w:r w:rsidRPr="003E31CE">
        <w:t>respective algorithm implementations are not publicly available</w:t>
      </w:r>
      <w:r w:rsidR="00D2566F">
        <w:t xml:space="preserve"> and </w:t>
      </w:r>
      <w:r w:rsidR="00671889">
        <w:t xml:space="preserve">thus </w:t>
      </w:r>
      <w:r w:rsidR="00D2566F">
        <w:t xml:space="preserve">considered </w:t>
      </w:r>
      <w:r w:rsidR="00D2566F" w:rsidRPr="00D2566F">
        <w:t>beyond the scope</w:t>
      </w:r>
      <w:r w:rsidR="00D2566F">
        <w:t xml:space="preserve"> of this paper.</w:t>
      </w:r>
    </w:p>
    <w:p w14:paraId="03D589CA" w14:textId="73D08E37" w:rsidR="00877A30" w:rsidRDefault="00B95DDC" w:rsidP="00877A30">
      <w:pPr>
        <w:pStyle w:val="Els-1storder-head"/>
      </w:pPr>
      <w:r>
        <w:t>Model specification and evaluation approaches</w:t>
      </w:r>
    </w:p>
    <w:p w14:paraId="5F19837E" w14:textId="6BF39B48" w:rsidR="00C41874" w:rsidRDefault="00D571E7" w:rsidP="00D571E7">
      <w:pPr>
        <w:pStyle w:val="Els-body-text"/>
      </w:pPr>
      <w:r>
        <w:t xml:space="preserve">For comparison, we consider the generalized continuous process introduced by Schäfer et al. (2020) that considers generalized process characteristics, i.e., oversizing, minimal part load, ramping, storage capacity, efficiency losses, and temporary shutdowns. As introduced in </w:t>
      </w:r>
      <w:r w:rsidRPr="00877A30">
        <w:t>Germscheid et al.</w:t>
      </w:r>
      <w:r>
        <w:t xml:space="preserve"> (</w:t>
      </w:r>
      <w:r w:rsidRPr="00877A30">
        <w:t>2022)</w:t>
      </w:r>
      <w:r>
        <w:t xml:space="preserve">, we optimize the demand response scheduling considering simultaneous market participation on both the day-ahead and the intraday electricity market, i.e., considering known day-ahead and uncertain intraday electricity prices. </w:t>
      </w:r>
      <w:r w:rsidR="004F0A40">
        <w:t>For the analysis, w</w:t>
      </w:r>
      <w:r w:rsidR="00877A30">
        <w:t xml:space="preserve">e consider the </w:t>
      </w:r>
      <w:r w:rsidR="00340974">
        <w:t xml:space="preserve">same </w:t>
      </w:r>
      <w:r w:rsidR="00877A30">
        <w:t xml:space="preserve">reference process and the same 201 intraday price scenarios as in </w:t>
      </w:r>
      <w:r w:rsidR="00820492" w:rsidRPr="00877A30">
        <w:t>Germscheid et al.</w:t>
      </w:r>
      <w:r w:rsidR="00820492">
        <w:t xml:space="preserve"> (</w:t>
      </w:r>
      <w:r w:rsidR="00820492" w:rsidRPr="00877A30">
        <w:t>2022)</w:t>
      </w:r>
      <w:r w:rsidR="00820492">
        <w:t xml:space="preserve">. </w:t>
      </w:r>
      <w:r w:rsidR="00877A30">
        <w:t xml:space="preserve">We solve the stochastic program by means of the deterministic equivalent and </w:t>
      </w:r>
      <w:proofErr w:type="spellStart"/>
      <w:r w:rsidR="00877A30">
        <w:t>Gurobi</w:t>
      </w:r>
      <w:proofErr w:type="spellEnd"/>
      <w:r w:rsidR="00877A30">
        <w:t xml:space="preserve"> 9.1.1 with default settings on an Intel Core i7-9700 processor and 32GB RAM. For </w:t>
      </w:r>
      <w:r w:rsidR="00820492">
        <w:t>CVaR</w:t>
      </w:r>
      <w:r w:rsidR="00877A30">
        <w:t xml:space="preserve">, we consider the confidence level </w:t>
      </w:r>
      <m:oMath>
        <m:r>
          <w:rPr>
            <w:rFonts w:ascii="Cambria Math" w:hAnsi="Cambria Math"/>
          </w:rPr>
          <m:t>α=0.9</m:t>
        </m:r>
      </m:oMath>
      <w:r w:rsidR="00877A30">
        <w:t>. For probability</w:t>
      </w:r>
      <w:r w:rsidR="00F56C9F">
        <w:t xml:space="preserve"> </w:t>
      </w:r>
      <w:r w:rsidR="00877A30">
        <w:t>distance</w:t>
      </w:r>
      <w:r w:rsidR="00F56C9F">
        <w:t>-</w:t>
      </w:r>
      <w:r w:rsidR="00877A30">
        <w:t>based scenario reduction, we use the fast forward scenario reduction</w:t>
      </w:r>
      <w:r w:rsidR="00392543">
        <w:t xml:space="preserve"> by Heitsch and </w:t>
      </w:r>
      <w:proofErr w:type="spellStart"/>
      <w:r w:rsidR="00392543">
        <w:t>Römisch</w:t>
      </w:r>
      <w:proofErr w:type="spellEnd"/>
      <w:r w:rsidR="00392543">
        <w:t xml:space="preserve"> (2003) implemented in</w:t>
      </w:r>
      <w:r w:rsidR="00877A30">
        <w:t xml:space="preserve"> SCENRED2 </w:t>
      </w:r>
      <w:r w:rsidR="00392543">
        <w:t>by</w:t>
      </w:r>
      <w:r w:rsidR="00877A30">
        <w:t xml:space="preserve"> GAMS</w:t>
      </w:r>
      <w:r w:rsidR="00392543">
        <w:t xml:space="preserve"> (</w:t>
      </w:r>
      <w:r w:rsidR="00392543" w:rsidRPr="00913C8A">
        <w:t>GAMS Development Corporation, 20</w:t>
      </w:r>
      <w:r w:rsidR="00392543">
        <w:t>22)</w:t>
      </w:r>
      <w:r w:rsidR="00877A30">
        <w:t xml:space="preserve">. </w:t>
      </w:r>
    </w:p>
    <w:p w14:paraId="3D4A5760" w14:textId="169A271C" w:rsidR="00C876F7" w:rsidRDefault="00877A30" w:rsidP="000A7813">
      <w:pPr>
        <w:pStyle w:val="Els-body-text"/>
      </w:pPr>
      <w:r>
        <w:t xml:space="preserve">We compare the approaches listed in </w:t>
      </w:r>
      <w:r w:rsidR="008679DB">
        <w:t>Table 1</w:t>
      </w:r>
      <w:r w:rsidR="00C41874">
        <w:t xml:space="preserve">. As a further reduction approach, we consider k-means clustering using the scikit-learn module in Python (Pedregosa et al., 2011). </w:t>
      </w:r>
      <w:r w:rsidR="006F69BD">
        <w:t>Additionally, we compare the stochastic scheduling to a heuristic approach that we have previously introduced (</w:t>
      </w:r>
      <w:r w:rsidR="006F69BD" w:rsidRPr="00820492">
        <w:t>Germscheid et al.</w:t>
      </w:r>
      <w:r w:rsidR="006F69BD">
        <w:t xml:space="preserve">, </w:t>
      </w:r>
      <w:r w:rsidR="006F69BD" w:rsidRPr="00820492">
        <w:t>2023</w:t>
      </w:r>
      <w:r w:rsidR="006F69BD">
        <w:t xml:space="preserve">) and that is tailored to the simultaneous market participation. In particular, our heuristic sequential day-ahead and intraday scheduling optimizes the day-ahead schedule neglecting the intraday market and then solves the original problem with fixed day-ahead decisions. Thus, the sequential scheduling </w:t>
      </w:r>
      <w:r w:rsidR="006F69BD" w:rsidRPr="00340974">
        <w:t>results in improved or equal expected cost and financial risk compared to day-ahead-only scheduling</w:t>
      </w:r>
      <w:r w:rsidR="001676E5">
        <w:t xml:space="preserve"> and simultaneously avoids the computational cost of the stochastic </w:t>
      </w:r>
      <w:r w:rsidR="001676E5">
        <w:lastRenderedPageBreak/>
        <w:t>scheduling.</w:t>
      </w:r>
      <w:r w:rsidR="009B307F">
        <w:t xml:space="preserve"> In contrast</w:t>
      </w:r>
      <w:r w:rsidR="001676E5">
        <w:t xml:space="preserve">, scenario reduction methods cannot guarantee </w:t>
      </w:r>
      <w:r w:rsidR="009B307F">
        <w:t xml:space="preserve">such </w:t>
      </w:r>
      <w:r w:rsidR="001676E5">
        <w:t xml:space="preserve">a </w:t>
      </w:r>
      <w:r w:rsidR="009B307F">
        <w:t>specific</w:t>
      </w:r>
      <w:r w:rsidR="001676E5">
        <w:t xml:space="preserve"> </w:t>
      </w:r>
      <w:r w:rsidR="00586FD5">
        <w:t xml:space="preserve">upper bound of expected </w:t>
      </w:r>
      <w:r w:rsidR="001676E5">
        <w:t xml:space="preserve">cost or </w:t>
      </w:r>
      <w:r w:rsidR="009B307F">
        <w:t>risk but</w:t>
      </w:r>
      <w:r w:rsidR="00586FD5">
        <w:t xml:space="preserve"> </w:t>
      </w:r>
      <w:r w:rsidR="009B307F">
        <w:t xml:space="preserve">they can be applied to any </w:t>
      </w:r>
      <w:r w:rsidR="00BD289A">
        <w:t>stochastic</w:t>
      </w:r>
      <w:r w:rsidR="00482D13">
        <w:br/>
      </w:r>
      <w:r w:rsidR="009B307F">
        <w:t xml:space="preserve">problem. </w:t>
      </w:r>
    </w:p>
    <w:p w14:paraId="0C9E4FAA" w14:textId="0945F929" w:rsidR="005A7EAB" w:rsidRDefault="000A7813" w:rsidP="0036279A">
      <w:pPr>
        <w:pStyle w:val="Els-body-text"/>
      </w:pPr>
      <w:r>
        <w:t xml:space="preserve">Similar to our prior work (Germscheid et al., 2023), we evaluate the reduction methods by, first, solving the stochastic problem with the reduced set of scenarios, followed by an optimization of the stochastic program with the full set of scenarios but fixed first-stage decisions. We compare the results of </w:t>
      </w:r>
      <w:r w:rsidR="005A7EAB">
        <w:t>the</w:t>
      </w:r>
      <w:r>
        <w:t xml:space="preserve"> reduced problem to the results of the full problem, i.e., the original problem</w:t>
      </w:r>
      <w:r w:rsidR="005A7EAB">
        <w:t xml:space="preserve"> optimizing the CVaR</w:t>
      </w:r>
      <w:r>
        <w:t xml:space="preserve"> with the full set of scenarios, by evaluating the relative differences in the </w:t>
      </w:r>
      <w:r w:rsidR="005A7EAB">
        <w:t>CVaR</w:t>
      </w:r>
      <w:r>
        <w:t>.</w:t>
      </w:r>
      <w:r w:rsidR="00145B74">
        <w:t xml:space="preserve"> </w:t>
      </w:r>
      <w:r w:rsidR="005A7EAB">
        <w:t xml:space="preserve">Additionally, we evaluate the relative difference in expected cost of the reduced </w:t>
      </w:r>
      <w:r w:rsidR="00486386">
        <w:t>compared to the</w:t>
      </w:r>
      <w:r w:rsidR="005A7EAB">
        <w:t xml:space="preserve"> full problem. Note that the expected cost is not the objective of the risk-averse problem but a key measure to evaluate the profitability of scheduling under uncertainty.</w:t>
      </w:r>
    </w:p>
    <w:p w14:paraId="47641C6E" w14:textId="77777777" w:rsidR="0036279A" w:rsidRDefault="0036279A" w:rsidP="0036279A">
      <w:pPr>
        <w:pStyle w:val="Els-body-text"/>
      </w:pPr>
    </w:p>
    <w:p w14:paraId="66A38C4A" w14:textId="77777777" w:rsidR="0036279A" w:rsidRDefault="0036279A" w:rsidP="0036279A">
      <w:pPr>
        <w:pStyle w:val="Els-body-text"/>
      </w:pPr>
      <w:r>
        <w:t>Table 1: Overview of the considered methods.</w:t>
      </w:r>
    </w:p>
    <w:tbl>
      <w:tblPr>
        <w:tblStyle w:val="Tabellenraster"/>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215"/>
      </w:tblGrid>
      <w:tr w:rsidR="0036279A" w14:paraId="4A7EB886" w14:textId="77777777" w:rsidTr="00155B12">
        <w:tc>
          <w:tcPr>
            <w:tcW w:w="7200" w:type="dxa"/>
            <w:gridSpan w:val="2"/>
            <w:tcBorders>
              <w:top w:val="single" w:sz="4" w:space="0" w:color="auto"/>
              <w:bottom w:val="single" w:sz="4" w:space="0" w:color="auto"/>
            </w:tcBorders>
          </w:tcPr>
          <w:p w14:paraId="2B49D50A" w14:textId="77777777" w:rsidR="0036279A" w:rsidRPr="00F542B4" w:rsidRDefault="0036279A" w:rsidP="00155B12">
            <w:pPr>
              <w:pStyle w:val="Els-body-text"/>
              <w:rPr>
                <w:b/>
                <w:bCs/>
                <w:sz w:val="18"/>
                <w:szCs w:val="18"/>
              </w:rPr>
            </w:pPr>
            <w:r>
              <w:rPr>
                <w:b/>
                <w:bCs/>
                <w:sz w:val="18"/>
                <w:szCs w:val="18"/>
              </w:rPr>
              <w:t>Reduction methods with use of s</w:t>
            </w:r>
            <w:r w:rsidRPr="00F542B4">
              <w:rPr>
                <w:b/>
                <w:bCs/>
                <w:sz w:val="18"/>
                <w:szCs w:val="18"/>
              </w:rPr>
              <w:t>tochastic scheduling</w:t>
            </w:r>
          </w:p>
        </w:tc>
      </w:tr>
      <w:tr w:rsidR="0036279A" w14:paraId="545042C4" w14:textId="77777777" w:rsidTr="00155B12">
        <w:trPr>
          <w:trHeight w:val="443"/>
        </w:trPr>
        <w:tc>
          <w:tcPr>
            <w:tcW w:w="1985" w:type="dxa"/>
            <w:tcBorders>
              <w:top w:val="single" w:sz="4" w:space="0" w:color="auto"/>
            </w:tcBorders>
          </w:tcPr>
          <w:p w14:paraId="7A79C8FD" w14:textId="77777777" w:rsidR="0036279A" w:rsidRPr="00CD35B1" w:rsidRDefault="0036279A" w:rsidP="00155B12">
            <w:pPr>
              <w:pStyle w:val="Els-body-text"/>
              <w:rPr>
                <w:sz w:val="18"/>
                <w:szCs w:val="18"/>
              </w:rPr>
            </w:pPr>
            <w:r w:rsidRPr="00CD35B1">
              <w:rPr>
                <w:sz w:val="18"/>
                <w:szCs w:val="18"/>
              </w:rPr>
              <w:t>Risk-neutral approach</w:t>
            </w:r>
          </w:p>
        </w:tc>
        <w:tc>
          <w:tcPr>
            <w:tcW w:w="5215" w:type="dxa"/>
            <w:tcBorders>
              <w:top w:val="single" w:sz="4" w:space="0" w:color="auto"/>
            </w:tcBorders>
          </w:tcPr>
          <w:p w14:paraId="2D2089B9" w14:textId="77777777" w:rsidR="0036279A" w:rsidRPr="00CD35B1" w:rsidRDefault="0036279A" w:rsidP="00155B12">
            <w:pPr>
              <w:pStyle w:val="Els-body-text"/>
              <w:rPr>
                <w:sz w:val="18"/>
                <w:szCs w:val="18"/>
              </w:rPr>
            </w:pPr>
            <w:r>
              <w:rPr>
                <w:sz w:val="18"/>
                <w:szCs w:val="18"/>
              </w:rPr>
              <w:t>P</w:t>
            </w:r>
            <w:r w:rsidRPr="00B7131F">
              <w:rPr>
                <w:sz w:val="18"/>
                <w:szCs w:val="18"/>
              </w:rPr>
              <w:t xml:space="preserve">robability distance-based reduction by Heitsch and </w:t>
            </w:r>
            <w:proofErr w:type="spellStart"/>
            <w:r w:rsidRPr="00B7131F">
              <w:rPr>
                <w:sz w:val="18"/>
                <w:szCs w:val="18"/>
              </w:rPr>
              <w:t>Römisch</w:t>
            </w:r>
            <w:proofErr w:type="spellEnd"/>
            <w:r w:rsidRPr="00B7131F">
              <w:rPr>
                <w:sz w:val="18"/>
                <w:szCs w:val="18"/>
              </w:rPr>
              <w:t xml:space="preserve"> (2003)</w:t>
            </w:r>
            <w:r>
              <w:rPr>
                <w:sz w:val="18"/>
                <w:szCs w:val="18"/>
              </w:rPr>
              <w:t xml:space="preserve"> using the </w:t>
            </w:r>
            <w:r w:rsidRPr="00CD35B1">
              <w:rPr>
                <w:sz w:val="18"/>
                <w:szCs w:val="18"/>
              </w:rPr>
              <w:t>distance of</w:t>
            </w:r>
            <w:r>
              <w:rPr>
                <w:sz w:val="18"/>
                <w:szCs w:val="18"/>
              </w:rPr>
              <w:t xml:space="preserve"> i</w:t>
            </w:r>
            <w:r w:rsidRPr="00CD35B1">
              <w:rPr>
                <w:sz w:val="18"/>
                <w:szCs w:val="18"/>
              </w:rPr>
              <w:t>ntraday electricity price scenarios</w:t>
            </w:r>
          </w:p>
        </w:tc>
      </w:tr>
      <w:tr w:rsidR="0036279A" w14:paraId="39C35A40" w14:textId="77777777" w:rsidTr="00155B12">
        <w:trPr>
          <w:trHeight w:val="443"/>
        </w:trPr>
        <w:tc>
          <w:tcPr>
            <w:tcW w:w="1985" w:type="dxa"/>
          </w:tcPr>
          <w:p w14:paraId="261E3AC3" w14:textId="77777777" w:rsidR="0036279A" w:rsidRPr="00CD35B1" w:rsidRDefault="0036279A" w:rsidP="00155B12">
            <w:pPr>
              <w:pStyle w:val="Els-body-text"/>
              <w:jc w:val="left"/>
              <w:rPr>
                <w:sz w:val="18"/>
                <w:szCs w:val="18"/>
              </w:rPr>
            </w:pPr>
            <w:r w:rsidRPr="00CD35B1">
              <w:rPr>
                <w:sz w:val="18"/>
                <w:szCs w:val="18"/>
              </w:rPr>
              <w:t>Risk-averse EEV-based approach</w:t>
            </w:r>
          </w:p>
        </w:tc>
        <w:tc>
          <w:tcPr>
            <w:tcW w:w="5215" w:type="dxa"/>
          </w:tcPr>
          <w:p w14:paraId="70C11158" w14:textId="77777777" w:rsidR="0036279A" w:rsidRPr="00CD35B1" w:rsidRDefault="0036279A" w:rsidP="00155B12">
            <w:pPr>
              <w:pStyle w:val="Els-body-text"/>
              <w:rPr>
                <w:sz w:val="18"/>
                <w:szCs w:val="18"/>
              </w:rPr>
            </w:pPr>
            <w:r>
              <w:rPr>
                <w:sz w:val="18"/>
                <w:szCs w:val="18"/>
              </w:rPr>
              <w:t>P</w:t>
            </w:r>
            <w:r w:rsidRPr="00B7131F">
              <w:rPr>
                <w:sz w:val="18"/>
                <w:szCs w:val="18"/>
              </w:rPr>
              <w:t>robability distance-based reduction by Pineda and Conejo (2010)</w:t>
            </w:r>
            <w:r>
              <w:rPr>
                <w:sz w:val="18"/>
                <w:szCs w:val="18"/>
              </w:rPr>
              <w:t xml:space="preserve"> using the </w:t>
            </w:r>
            <w:r w:rsidRPr="00CD35B1">
              <w:rPr>
                <w:sz w:val="18"/>
                <w:szCs w:val="18"/>
              </w:rPr>
              <w:t>distance of</w:t>
            </w:r>
            <w:r>
              <w:rPr>
                <w:sz w:val="18"/>
                <w:szCs w:val="18"/>
              </w:rPr>
              <w:t xml:space="preserve"> auxiliary variable</w:t>
            </w:r>
            <w:r>
              <w:rPr>
                <w:rFonts w:ascii="Cambria Math" w:hAnsi="Cambria Math"/>
                <w:i/>
                <w:sz w:val="18"/>
                <w:szCs w:val="18"/>
              </w:rPr>
              <w:t xml:space="preserve"> </w:t>
            </w:r>
            <m:oMath>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s</m:t>
                  </m:r>
                </m:sub>
              </m:sSub>
            </m:oMath>
            <w:r w:rsidRPr="00CD35B1">
              <w:rPr>
                <w:sz w:val="18"/>
                <w:szCs w:val="18"/>
              </w:rPr>
              <w:t xml:space="preserve"> of EEV solution</w:t>
            </w:r>
          </w:p>
        </w:tc>
      </w:tr>
      <w:tr w:rsidR="0036279A" w14:paraId="726C358D" w14:textId="77777777" w:rsidTr="00155B12">
        <w:trPr>
          <w:trHeight w:val="443"/>
        </w:trPr>
        <w:tc>
          <w:tcPr>
            <w:tcW w:w="1985" w:type="dxa"/>
          </w:tcPr>
          <w:p w14:paraId="166A17B4" w14:textId="77777777" w:rsidR="0036279A" w:rsidRPr="00CD35B1" w:rsidRDefault="0036279A" w:rsidP="00155B12">
            <w:pPr>
              <w:pStyle w:val="Els-body-text"/>
              <w:jc w:val="left"/>
              <w:rPr>
                <w:sz w:val="18"/>
                <w:szCs w:val="18"/>
              </w:rPr>
            </w:pPr>
            <w:r w:rsidRPr="00CD35B1">
              <w:rPr>
                <w:sz w:val="18"/>
                <w:szCs w:val="18"/>
              </w:rPr>
              <w:t>Risk-averse WS-based approach</w:t>
            </w:r>
          </w:p>
        </w:tc>
        <w:tc>
          <w:tcPr>
            <w:tcW w:w="5215" w:type="dxa"/>
          </w:tcPr>
          <w:p w14:paraId="7F1C0EAE" w14:textId="77777777" w:rsidR="0036279A" w:rsidRPr="00CD35B1" w:rsidRDefault="0036279A" w:rsidP="00155B12">
            <w:pPr>
              <w:pStyle w:val="Els-body-text"/>
              <w:rPr>
                <w:sz w:val="18"/>
                <w:szCs w:val="18"/>
              </w:rPr>
            </w:pPr>
            <w:r>
              <w:rPr>
                <w:sz w:val="18"/>
                <w:szCs w:val="18"/>
              </w:rPr>
              <w:t>P</w:t>
            </w:r>
            <w:r w:rsidRPr="00B7131F">
              <w:rPr>
                <w:sz w:val="18"/>
                <w:szCs w:val="18"/>
              </w:rPr>
              <w:t>robability distance-based reduction by</w:t>
            </w:r>
            <w:r>
              <w:t xml:space="preserve"> </w:t>
            </w:r>
            <w:proofErr w:type="spellStart"/>
            <w:r w:rsidRPr="00B7131F">
              <w:rPr>
                <w:sz w:val="18"/>
                <w:szCs w:val="18"/>
              </w:rPr>
              <w:t>Alkhaleel</w:t>
            </w:r>
            <w:proofErr w:type="spellEnd"/>
            <w:r w:rsidRPr="00B7131F">
              <w:rPr>
                <w:sz w:val="18"/>
                <w:szCs w:val="18"/>
              </w:rPr>
              <w:t xml:space="preserve"> et al. (2022)</w:t>
            </w:r>
            <w:r>
              <w:rPr>
                <w:sz w:val="18"/>
                <w:szCs w:val="18"/>
              </w:rPr>
              <w:t xml:space="preserve"> using</w:t>
            </w:r>
            <w:r w:rsidRPr="00B7131F">
              <w:rPr>
                <w:sz w:val="18"/>
                <w:szCs w:val="18"/>
              </w:rPr>
              <w:t xml:space="preserve"> </w:t>
            </w:r>
            <w:r w:rsidRPr="00CD35B1">
              <w:rPr>
                <w:sz w:val="18"/>
                <w:szCs w:val="18"/>
              </w:rPr>
              <w:t>distance of</w:t>
            </w:r>
            <w:r>
              <w:rPr>
                <w:sz w:val="18"/>
                <w:szCs w:val="18"/>
              </w:rPr>
              <w:t xml:space="preserve"> s</w:t>
            </w:r>
            <w:r w:rsidRPr="00CD35B1">
              <w:rPr>
                <w:sz w:val="18"/>
                <w:szCs w:val="18"/>
              </w:rPr>
              <w:t xml:space="preserve">cenario cost of </w:t>
            </w:r>
            <m:oMath>
              <m:r>
                <w:rPr>
                  <w:rFonts w:ascii="Cambria Math" w:hAnsi="Cambria Math"/>
                  <w:sz w:val="18"/>
                  <w:szCs w:val="18"/>
                </w:rPr>
                <m:t>(1-α)</m:t>
              </m:r>
            </m:oMath>
            <w:r w:rsidRPr="00CD35B1">
              <w:rPr>
                <w:sz w:val="18"/>
                <w:szCs w:val="18"/>
              </w:rPr>
              <w:t xml:space="preserve"> worst-case WS solutions</w:t>
            </w:r>
          </w:p>
        </w:tc>
      </w:tr>
      <w:tr w:rsidR="0036279A" w14:paraId="3196E548" w14:textId="77777777" w:rsidTr="00155B12">
        <w:tc>
          <w:tcPr>
            <w:tcW w:w="1985" w:type="dxa"/>
            <w:tcBorders>
              <w:bottom w:val="double" w:sz="4" w:space="0" w:color="auto"/>
            </w:tcBorders>
          </w:tcPr>
          <w:p w14:paraId="3C4F444E" w14:textId="77777777" w:rsidR="0036279A" w:rsidRPr="00CD35B1" w:rsidRDefault="0036279A" w:rsidP="00155B12">
            <w:pPr>
              <w:pStyle w:val="Els-body-text"/>
              <w:rPr>
                <w:sz w:val="18"/>
                <w:szCs w:val="18"/>
              </w:rPr>
            </w:pPr>
            <w:r w:rsidRPr="00CD35B1">
              <w:rPr>
                <w:sz w:val="18"/>
                <w:szCs w:val="18"/>
              </w:rPr>
              <w:t xml:space="preserve">K-means clustering </w:t>
            </w:r>
          </w:p>
        </w:tc>
        <w:tc>
          <w:tcPr>
            <w:tcW w:w="5215" w:type="dxa"/>
            <w:tcBorders>
              <w:bottom w:val="double" w:sz="4" w:space="0" w:color="auto"/>
            </w:tcBorders>
          </w:tcPr>
          <w:p w14:paraId="47FC3555" w14:textId="77777777" w:rsidR="0036279A" w:rsidRPr="00CD35B1" w:rsidRDefault="0036279A" w:rsidP="00155B12">
            <w:pPr>
              <w:pStyle w:val="Els-body-text"/>
              <w:rPr>
                <w:sz w:val="18"/>
                <w:szCs w:val="18"/>
              </w:rPr>
            </w:pPr>
            <w:r w:rsidRPr="00CD35B1">
              <w:rPr>
                <w:sz w:val="18"/>
                <w:szCs w:val="18"/>
              </w:rPr>
              <w:t>Use centroids from clustering as scenarios</w:t>
            </w:r>
          </w:p>
        </w:tc>
      </w:tr>
      <w:tr w:rsidR="0036279A" w14:paraId="6843E6E4" w14:textId="77777777" w:rsidTr="00155B12">
        <w:trPr>
          <w:trHeight w:val="66"/>
        </w:trPr>
        <w:tc>
          <w:tcPr>
            <w:tcW w:w="1985" w:type="dxa"/>
            <w:tcBorders>
              <w:top w:val="double" w:sz="4" w:space="0" w:color="auto"/>
              <w:bottom w:val="single" w:sz="4" w:space="0" w:color="auto"/>
            </w:tcBorders>
          </w:tcPr>
          <w:p w14:paraId="04E6C81D" w14:textId="77777777" w:rsidR="0036279A" w:rsidRPr="00F542B4" w:rsidRDefault="0036279A" w:rsidP="00155B12">
            <w:pPr>
              <w:pStyle w:val="Els-body-text"/>
              <w:rPr>
                <w:b/>
                <w:bCs/>
                <w:sz w:val="18"/>
                <w:szCs w:val="18"/>
              </w:rPr>
            </w:pPr>
            <w:r w:rsidRPr="00F542B4">
              <w:rPr>
                <w:b/>
                <w:bCs/>
                <w:sz w:val="18"/>
                <w:szCs w:val="18"/>
              </w:rPr>
              <w:t xml:space="preserve">Sequential scheduling </w:t>
            </w:r>
          </w:p>
        </w:tc>
        <w:tc>
          <w:tcPr>
            <w:tcW w:w="5215" w:type="dxa"/>
            <w:tcBorders>
              <w:top w:val="double" w:sz="4" w:space="0" w:color="auto"/>
              <w:bottom w:val="single" w:sz="4" w:space="0" w:color="auto"/>
            </w:tcBorders>
          </w:tcPr>
          <w:p w14:paraId="2497A28E" w14:textId="77777777" w:rsidR="0036279A" w:rsidRPr="00CD35B1" w:rsidRDefault="0036279A" w:rsidP="00155B12">
            <w:pPr>
              <w:pStyle w:val="Els-body-text"/>
              <w:rPr>
                <w:sz w:val="18"/>
                <w:szCs w:val="18"/>
              </w:rPr>
            </w:pPr>
            <w:r w:rsidRPr="00CD35B1">
              <w:rPr>
                <w:sz w:val="18"/>
                <w:szCs w:val="18"/>
              </w:rPr>
              <w:t>See Germscheid et al. (2023)</w:t>
            </w:r>
          </w:p>
        </w:tc>
      </w:tr>
    </w:tbl>
    <w:p w14:paraId="29302110" w14:textId="3D68467C" w:rsidR="00877A30" w:rsidRDefault="00820492" w:rsidP="00877A30">
      <w:pPr>
        <w:pStyle w:val="Els-1storder-head"/>
      </w:pPr>
      <w:r>
        <w:t>Results</w:t>
      </w:r>
    </w:p>
    <w:p w14:paraId="0E152964" w14:textId="35C7F402" w:rsidR="0062479B" w:rsidRDefault="008679DB" w:rsidP="00877A30">
      <w:pPr>
        <w:pStyle w:val="Els-body-text"/>
      </w:pPr>
      <w:r>
        <w:t>Figure 1</w:t>
      </w:r>
      <w:r w:rsidR="00877A30">
        <w:t xml:space="preserve"> shows the relative difference in</w:t>
      </w:r>
      <w:r w:rsidR="00501D7C">
        <w:t xml:space="preserve"> CVaR and</w:t>
      </w:r>
      <w:r w:rsidR="00877A30">
        <w:t xml:space="preserve"> </w:t>
      </w:r>
      <w:r w:rsidR="00145B74">
        <w:t xml:space="preserve">relative difference in </w:t>
      </w:r>
      <w:r w:rsidR="00877A30">
        <w:t xml:space="preserve">expected cost of </w:t>
      </w:r>
      <w:r w:rsidR="00974EEF">
        <w:t>all</w:t>
      </w:r>
      <w:r w:rsidR="00877A30">
        <w:t xml:space="preserve"> methods compared to the full problem.</w:t>
      </w:r>
      <w:r w:rsidR="00820492">
        <w:t xml:space="preserve"> </w:t>
      </w:r>
      <w:r w:rsidR="00877A30">
        <w:t xml:space="preserve">A </w:t>
      </w:r>
      <w:r w:rsidR="002938CD">
        <w:t xml:space="preserve">positive </w:t>
      </w:r>
      <w:r w:rsidR="000163AB">
        <w:t xml:space="preserve">value </w:t>
      </w:r>
      <w:r w:rsidR="00974EEF">
        <w:t xml:space="preserve">of either measure </w:t>
      </w:r>
      <w:r w:rsidR="00877A30">
        <w:t xml:space="preserve">indicates an impairment of </w:t>
      </w:r>
      <w:r w:rsidR="004966D8">
        <w:t>CVaR</w:t>
      </w:r>
      <w:r w:rsidR="00877A30">
        <w:t xml:space="preserve"> or expected cost</w:t>
      </w:r>
      <w:r w:rsidR="00974EEF">
        <w:t>, respectively,</w:t>
      </w:r>
      <w:r w:rsidR="00877A30">
        <w:t xml:space="preserve"> due to the scenario reduction. </w:t>
      </w:r>
      <w:r w:rsidR="008B127D">
        <w:t>Note that a</w:t>
      </w:r>
      <w:r w:rsidR="00820492">
        <w:t>n</w:t>
      </w:r>
      <w:r w:rsidR="00877A30">
        <w:t xml:space="preserve"> improvement of expected cost, i.e., a negative</w:t>
      </w:r>
      <w:r w:rsidR="000163AB">
        <w:t xml:space="preserve"> value</w:t>
      </w:r>
      <w:r w:rsidR="00877A30">
        <w:t>, is possible at the cost of an impaired risk.</w:t>
      </w:r>
      <w:r w:rsidR="00D4714D">
        <w:t xml:space="preserve"> Furthermore, note that</w:t>
      </w:r>
      <w:r w:rsidR="00A11F73">
        <w:t xml:space="preserve"> for risk-neutral and EEV-based reduction,</w:t>
      </w:r>
      <w:r w:rsidR="00D4714D">
        <w:t xml:space="preserve"> </w:t>
      </w:r>
      <w:r w:rsidR="0062479B">
        <w:t>SCENRED2 of GAMS reduces the 201 original scenario to at most 126 scenarios due to an automatic reduction of SCRENRED2. In case of WS-based reduction, there are at most 20 scenarios due to the pre-selection of the worst-case scenarios.</w:t>
      </w:r>
    </w:p>
    <w:p w14:paraId="6923D151" w14:textId="77777777" w:rsidR="0098449E" w:rsidRDefault="0098449E" w:rsidP="0098449E">
      <w:pPr>
        <w:pStyle w:val="Els-body-text"/>
      </w:pPr>
      <w:r>
        <w:t>Figure 1 reveals that for risk-neutral reduction, the difference in risk shows a monotonic trend, i.e., with an increasing number of scenarios the difference asymptotically approaches zero. In contrast, the EEV-based approach shows a pronounced kink for a reduced set with 25 scenarios leading to a significant impairment of both risk and expected cost. The WS-based approach shows an overall large difference in risk and is outperformed by both the k-means clustering and the risk-neutral reduction. Interestingly, k-means clustering has the lowest difference in expected cost and risk compared to the other reduction methods. It, however, shows an erratic behavior with respect to the difference in expected cost.</w:t>
      </w:r>
    </w:p>
    <w:p w14:paraId="39C0FF26" w14:textId="60F3574F" w:rsidR="0098449E" w:rsidRDefault="0098449E" w:rsidP="0098449E">
      <w:pPr>
        <w:pStyle w:val="Els-body-text"/>
      </w:pPr>
      <w:r>
        <w:t xml:space="preserve">Figure 1a) -1d) show the relative difference in CVaR and expected cost of the sequential scheduling by means of a dashed line. Sequential scheduling and risk-averse stochastic scheduling are very similar with respect to both measures, i.e., the relative difference of both CVaR and expected cost is rather low in comparison to the other reduction methods. This behavior can be explained by similar day-ahead purchases, i.e., first-stage decisions, for both risk-averse scheduling and sequential scheduling, which were already noted in </w:t>
      </w:r>
      <w:r w:rsidRPr="00877A30">
        <w:t>Germscheid et al.</w:t>
      </w:r>
      <w:r>
        <w:t xml:space="preserve"> (</w:t>
      </w:r>
      <w:r w:rsidRPr="00877A30">
        <w:t>2022)</w:t>
      </w:r>
      <w:r>
        <w:t xml:space="preserve">. </w:t>
      </w:r>
    </w:p>
    <w:p w14:paraId="72A61941" w14:textId="77777777" w:rsidR="0098449E" w:rsidRDefault="0098449E" w:rsidP="00877A30">
      <w:pPr>
        <w:pStyle w:val="Els-body-text"/>
      </w:pPr>
    </w:p>
    <w:p w14:paraId="23146CD5" w14:textId="6FE6A42F" w:rsidR="004563B2" w:rsidRDefault="004563B2" w:rsidP="00877A30">
      <w:pPr>
        <w:pStyle w:val="Els-body-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A46ED" w14:paraId="3D0620E7" w14:textId="77777777" w:rsidTr="002A46ED">
        <w:tc>
          <w:tcPr>
            <w:tcW w:w="3538" w:type="dxa"/>
            <w:vAlign w:val="bottom"/>
          </w:tcPr>
          <w:p w14:paraId="66B738CF" w14:textId="2A0CC7A0" w:rsidR="002A46ED" w:rsidRDefault="001C6D62" w:rsidP="001C4752">
            <w:pPr>
              <w:pStyle w:val="Els-body-text"/>
              <w:jc w:val="center"/>
            </w:pPr>
            <w:r>
              <w:rPr>
                <w:noProof/>
              </w:rPr>
              <w:drawing>
                <wp:inline distT="0" distB="0" distL="0" distR="0" wp14:anchorId="47531DC4" wp14:editId="6564F8D4">
                  <wp:extent cx="2088000" cy="1736232"/>
                  <wp:effectExtent l="0" t="0" r="7620" b="0"/>
                  <wp:docPr id="6778889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000" cy="1736232"/>
                          </a:xfrm>
                          <a:prstGeom prst="rect">
                            <a:avLst/>
                          </a:prstGeom>
                          <a:noFill/>
                          <a:ln>
                            <a:noFill/>
                          </a:ln>
                        </pic:spPr>
                      </pic:pic>
                    </a:graphicData>
                  </a:graphic>
                </wp:inline>
              </w:drawing>
            </w:r>
          </w:p>
          <w:p w14:paraId="45A54169" w14:textId="52D6C667" w:rsidR="00860D24" w:rsidRDefault="00860D24" w:rsidP="001C4752">
            <w:pPr>
              <w:pStyle w:val="Els-body-text"/>
              <w:jc w:val="center"/>
            </w:pPr>
            <w:r>
              <w:t xml:space="preserve">Figure </w:t>
            </w:r>
            <w:r w:rsidR="008679DB">
              <w:t>1</w:t>
            </w:r>
            <w:r>
              <w:t>a) Risk-neutral approach</w:t>
            </w:r>
          </w:p>
          <w:p w14:paraId="3A0C4CCA" w14:textId="58C569B4" w:rsidR="001C4752" w:rsidRDefault="001C4752" w:rsidP="001C4752">
            <w:pPr>
              <w:pStyle w:val="Els-body-text"/>
              <w:jc w:val="center"/>
            </w:pPr>
          </w:p>
        </w:tc>
        <w:tc>
          <w:tcPr>
            <w:tcW w:w="3538" w:type="dxa"/>
            <w:vAlign w:val="bottom"/>
          </w:tcPr>
          <w:p w14:paraId="5F02E8CA" w14:textId="726DC09A" w:rsidR="00860D24" w:rsidRDefault="009E32EE" w:rsidP="001C4752">
            <w:pPr>
              <w:pStyle w:val="Els-body-text"/>
              <w:jc w:val="center"/>
            </w:pPr>
            <w:r>
              <w:rPr>
                <w:noProof/>
              </w:rPr>
              <w:drawing>
                <wp:inline distT="0" distB="0" distL="0" distR="0" wp14:anchorId="759A6640" wp14:editId="19E75064">
                  <wp:extent cx="2088000" cy="1755992"/>
                  <wp:effectExtent l="0" t="0" r="7620" b="0"/>
                  <wp:docPr id="34553562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8000" cy="1755992"/>
                          </a:xfrm>
                          <a:prstGeom prst="rect">
                            <a:avLst/>
                          </a:prstGeom>
                          <a:noFill/>
                          <a:ln>
                            <a:noFill/>
                          </a:ln>
                        </pic:spPr>
                      </pic:pic>
                    </a:graphicData>
                  </a:graphic>
                </wp:inline>
              </w:drawing>
            </w:r>
            <w:r w:rsidR="00860D24">
              <w:t xml:space="preserve">Figure </w:t>
            </w:r>
            <w:r w:rsidR="008679DB">
              <w:t>1</w:t>
            </w:r>
            <w:r w:rsidR="00860D24">
              <w:t>b) EEV-based approach</w:t>
            </w:r>
          </w:p>
          <w:p w14:paraId="04EAC14C" w14:textId="72814A97" w:rsidR="001C4752" w:rsidRDefault="001C4752" w:rsidP="001C4752">
            <w:pPr>
              <w:pStyle w:val="Els-body-text"/>
              <w:jc w:val="center"/>
            </w:pPr>
          </w:p>
        </w:tc>
      </w:tr>
      <w:tr w:rsidR="002A46ED" w14:paraId="09CF3C20" w14:textId="77777777" w:rsidTr="002A46ED">
        <w:tc>
          <w:tcPr>
            <w:tcW w:w="3538" w:type="dxa"/>
            <w:vAlign w:val="bottom"/>
          </w:tcPr>
          <w:p w14:paraId="6356A450" w14:textId="469A8552" w:rsidR="002A46ED" w:rsidRDefault="009E32EE" w:rsidP="001C4752">
            <w:pPr>
              <w:pStyle w:val="Els-body-text"/>
              <w:jc w:val="center"/>
            </w:pPr>
            <w:r>
              <w:rPr>
                <w:noProof/>
              </w:rPr>
              <w:drawing>
                <wp:inline distT="0" distB="0" distL="0" distR="0" wp14:anchorId="30F9820B" wp14:editId="58E30FF0">
                  <wp:extent cx="2088000" cy="1643793"/>
                  <wp:effectExtent l="0" t="0" r="7620" b="0"/>
                  <wp:docPr id="157156448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000" cy="1643793"/>
                          </a:xfrm>
                          <a:prstGeom prst="rect">
                            <a:avLst/>
                          </a:prstGeom>
                          <a:noFill/>
                          <a:ln>
                            <a:noFill/>
                          </a:ln>
                        </pic:spPr>
                      </pic:pic>
                    </a:graphicData>
                  </a:graphic>
                </wp:inline>
              </w:drawing>
            </w:r>
          </w:p>
          <w:p w14:paraId="2BDC576C" w14:textId="1E52A37D" w:rsidR="00860D24" w:rsidRDefault="00860D24" w:rsidP="001C4752">
            <w:pPr>
              <w:pStyle w:val="Els-body-text"/>
              <w:jc w:val="center"/>
            </w:pPr>
            <w:r>
              <w:t xml:space="preserve">Figure </w:t>
            </w:r>
            <w:r w:rsidR="008679DB">
              <w:t>1</w:t>
            </w:r>
            <w:r>
              <w:t>c) WS-based approach</w:t>
            </w:r>
          </w:p>
          <w:p w14:paraId="2F2922C6" w14:textId="0757D284" w:rsidR="001C4752" w:rsidRDefault="001C4752" w:rsidP="001C4752">
            <w:pPr>
              <w:pStyle w:val="Els-body-text"/>
              <w:jc w:val="center"/>
            </w:pPr>
          </w:p>
        </w:tc>
        <w:tc>
          <w:tcPr>
            <w:tcW w:w="3538" w:type="dxa"/>
            <w:vAlign w:val="bottom"/>
          </w:tcPr>
          <w:p w14:paraId="20C5DE1A" w14:textId="41130DAC" w:rsidR="002A46ED" w:rsidRDefault="001C6D62" w:rsidP="001C4752">
            <w:pPr>
              <w:jc w:val="center"/>
            </w:pPr>
            <w:r>
              <w:rPr>
                <w:noProof/>
              </w:rPr>
              <w:drawing>
                <wp:inline distT="0" distB="0" distL="0" distR="0" wp14:anchorId="13005DF9" wp14:editId="4056978C">
                  <wp:extent cx="2088000" cy="1681307"/>
                  <wp:effectExtent l="0" t="0" r="7620" b="0"/>
                  <wp:docPr id="203529353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8000" cy="1681307"/>
                          </a:xfrm>
                          <a:prstGeom prst="rect">
                            <a:avLst/>
                          </a:prstGeom>
                          <a:noFill/>
                          <a:ln>
                            <a:noFill/>
                          </a:ln>
                        </pic:spPr>
                      </pic:pic>
                    </a:graphicData>
                  </a:graphic>
                </wp:inline>
              </w:drawing>
            </w:r>
          </w:p>
          <w:p w14:paraId="4544EB94" w14:textId="147D2A21" w:rsidR="001C4752" w:rsidRDefault="00860D24" w:rsidP="001C4752">
            <w:pPr>
              <w:jc w:val="center"/>
            </w:pPr>
            <w:r>
              <w:t xml:space="preserve">Figure </w:t>
            </w:r>
            <w:r w:rsidR="008679DB">
              <w:t>1</w:t>
            </w:r>
            <w:r>
              <w:t>d) K-means clustering</w:t>
            </w:r>
          </w:p>
          <w:p w14:paraId="5827CC23" w14:textId="0DA970D1" w:rsidR="00860D24" w:rsidRPr="00860D24" w:rsidRDefault="00860D24" w:rsidP="001C4752">
            <w:pPr>
              <w:jc w:val="center"/>
              <w:rPr>
                <w:lang w:val="en-US"/>
              </w:rPr>
            </w:pPr>
          </w:p>
        </w:tc>
      </w:tr>
      <w:tr w:rsidR="00860D24" w14:paraId="5031294C" w14:textId="77777777" w:rsidTr="002A46ED">
        <w:tc>
          <w:tcPr>
            <w:tcW w:w="7076" w:type="dxa"/>
            <w:gridSpan w:val="2"/>
          </w:tcPr>
          <w:p w14:paraId="46DE10A3" w14:textId="74FE74A7" w:rsidR="00860D24" w:rsidRDefault="00860D24" w:rsidP="00C4625A">
            <w:pPr>
              <w:pStyle w:val="Els-body-text"/>
            </w:pPr>
            <w:r>
              <w:t xml:space="preserve">Figure </w:t>
            </w:r>
            <w:r w:rsidR="008679DB">
              <w:t>1</w:t>
            </w:r>
            <w:r>
              <w:t>:</w:t>
            </w:r>
            <w:r w:rsidR="008D5F09">
              <w:t xml:space="preserve"> Comparison of the reduction methods</w:t>
            </w:r>
            <w:r w:rsidR="00C4625A">
              <w:t>: Figures a)</w:t>
            </w:r>
            <w:r w:rsidR="00AB2271">
              <w:t xml:space="preserve"> </w:t>
            </w:r>
            <w:r w:rsidR="00C4625A">
              <w:t xml:space="preserve">to d) each consider a scenario reduction method. Each subfigure shows both the difference in CVaR (upper part) and in expected cost (lower part) of the reduction methods relative to the </w:t>
            </w:r>
            <w:r w:rsidR="00AB2271">
              <w:t xml:space="preserve">solutions of the </w:t>
            </w:r>
            <w:r w:rsidR="00C4625A">
              <w:t>original risk-averse problem. In all figures, the dashed lines correspond to the relative difference in CVaR and in expected cost, respectively, of the sequential scheduling approach introduced in Germscheid et al. (2023</w:t>
            </w:r>
            <w:r w:rsidR="00C4625A">
              <w:rPr>
                <w:sz w:val="22"/>
                <w:szCs w:val="22"/>
              </w:rPr>
              <w:t>)</w:t>
            </w:r>
            <w:r w:rsidR="00C4625A">
              <w:t>. Additionally, e</w:t>
            </w:r>
            <w:r w:rsidR="005A7EAB">
              <w:t xml:space="preserve">ach </w:t>
            </w:r>
            <w:r w:rsidR="00C4625A">
              <w:t>figure contains a dotted, horizontal line at value zero for visual guidance.</w:t>
            </w:r>
          </w:p>
        </w:tc>
      </w:tr>
    </w:tbl>
    <w:p w14:paraId="7DE2FB0B" w14:textId="77777777" w:rsidR="006F39E6" w:rsidRDefault="006F39E6" w:rsidP="0037760A">
      <w:pPr>
        <w:pStyle w:val="Els-body-text"/>
      </w:pPr>
    </w:p>
    <w:p w14:paraId="47F3933A" w14:textId="77777777" w:rsidR="00D069F4" w:rsidRDefault="00D069F4" w:rsidP="0037760A">
      <w:pPr>
        <w:pStyle w:val="Els-body-text"/>
      </w:pPr>
    </w:p>
    <w:p w14:paraId="21951CB8" w14:textId="2744092F" w:rsidR="00D069F4" w:rsidRDefault="00D069F4" w:rsidP="0037760A">
      <w:pPr>
        <w:pStyle w:val="Els-body-text"/>
      </w:pPr>
      <w:r>
        <w:t>Overall, k-means clustering leads to the lowest difference in both expected cost and risk compared to</w:t>
      </w:r>
      <w:r w:rsidR="00AB2271">
        <w:t xml:space="preserve"> the</w:t>
      </w:r>
      <w:r>
        <w:t xml:space="preserve"> other reduction methods. Compared to </w:t>
      </w:r>
      <w:r w:rsidR="00AB2271">
        <w:t xml:space="preserve">all </w:t>
      </w:r>
      <w:r>
        <w:t xml:space="preserve">reduction methods, </w:t>
      </w:r>
      <w:r w:rsidR="00AB2271">
        <w:t xml:space="preserve">the </w:t>
      </w:r>
      <w:r>
        <w:t xml:space="preserve">sequential scheduling </w:t>
      </w:r>
      <w:r w:rsidR="00AB2271">
        <w:t xml:space="preserve">shows </w:t>
      </w:r>
      <w:r>
        <w:t>particularly low difference</w:t>
      </w:r>
      <w:r w:rsidR="00AB2271">
        <w:t>s</w:t>
      </w:r>
      <w:r>
        <w:t xml:space="preserve"> in both expected cost and risk and appears to be a promising heuristic to bound financial risk and expected cost for this particular application.</w:t>
      </w:r>
    </w:p>
    <w:p w14:paraId="641E2908" w14:textId="01AD2FED" w:rsidR="00877A30" w:rsidRDefault="00487A45" w:rsidP="00877A30">
      <w:pPr>
        <w:pStyle w:val="Els-1storder-head"/>
      </w:pPr>
      <w:r>
        <w:t xml:space="preserve">Discussion and conclusion </w:t>
      </w:r>
    </w:p>
    <w:p w14:paraId="464BFD26" w14:textId="72AEBF27" w:rsidR="0024668E" w:rsidRDefault="00294A92" w:rsidP="00877A30">
      <w:pPr>
        <w:pStyle w:val="Els-body-text"/>
      </w:pPr>
      <w:r>
        <w:t xml:space="preserve">In this work, </w:t>
      </w:r>
      <w:r w:rsidR="00E61C3A">
        <w:t>four</w:t>
      </w:r>
      <w:r w:rsidR="003F3988">
        <w:t xml:space="preserve"> </w:t>
      </w:r>
      <w:r w:rsidR="00877A30">
        <w:t>scenario reduction methods</w:t>
      </w:r>
      <w:r>
        <w:t xml:space="preserve"> are compared</w:t>
      </w:r>
      <w:r w:rsidR="00877A30">
        <w:t xml:space="preserve"> for risk-averse stochastic</w:t>
      </w:r>
      <w:r w:rsidR="00001CCE">
        <w:t xml:space="preserve"> demand response</w:t>
      </w:r>
      <w:r w:rsidR="00877A30">
        <w:t xml:space="preserve"> scheduling of a</w:t>
      </w:r>
      <w:r w:rsidR="003F3988">
        <w:t xml:space="preserve"> power-intensive </w:t>
      </w:r>
      <w:r w:rsidR="00877A30">
        <w:t>process for combined day-ahead and intraday electricity market participation</w:t>
      </w:r>
      <w:r w:rsidR="002237E4">
        <w:t xml:space="preserve">. Additionally, </w:t>
      </w:r>
      <w:r>
        <w:t>the</w:t>
      </w:r>
      <w:r w:rsidR="002237E4">
        <w:t xml:space="preserve"> previously introduced sequential day-ahead and intraday scheduling approach</w:t>
      </w:r>
      <w:r>
        <w:t xml:space="preserve"> is considered</w:t>
      </w:r>
      <w:r w:rsidR="002237E4">
        <w:t>.</w:t>
      </w:r>
      <w:r w:rsidR="00877A30">
        <w:t xml:space="preserve"> </w:t>
      </w:r>
      <w:r>
        <w:t>I</w:t>
      </w:r>
      <w:r w:rsidR="003F3988">
        <w:t xml:space="preserve">n </w:t>
      </w:r>
      <w:r>
        <w:t>the</w:t>
      </w:r>
      <w:r w:rsidR="003F3988">
        <w:t xml:space="preserve"> case study,</w:t>
      </w:r>
      <w:r w:rsidR="00877A30">
        <w:t xml:space="preserve"> the heuristic risk-averse </w:t>
      </w:r>
      <w:r w:rsidR="003F3988">
        <w:t xml:space="preserve">reduction </w:t>
      </w:r>
      <w:r w:rsidR="00877A30">
        <w:t xml:space="preserve">methods are outperformed by risk-neutral scenario </w:t>
      </w:r>
      <w:r w:rsidR="00877A30">
        <w:lastRenderedPageBreak/>
        <w:t>reduction and k-means clustering</w:t>
      </w:r>
      <w:r w:rsidR="00610894">
        <w:t>.</w:t>
      </w:r>
      <w:r w:rsidR="008C5030">
        <w:t xml:space="preserve"> </w:t>
      </w:r>
      <w:r w:rsidR="00877A30">
        <w:t xml:space="preserve">Furthermore, </w:t>
      </w:r>
      <w:r>
        <w:t xml:space="preserve">the </w:t>
      </w:r>
      <w:r w:rsidR="00877A30">
        <w:t>sequential scheduling</w:t>
      </w:r>
      <w:r w:rsidR="00986AD3">
        <w:t xml:space="preserve"> approach</w:t>
      </w:r>
      <w:r w:rsidR="00877A30">
        <w:t xml:space="preserve"> </w:t>
      </w:r>
      <w:r w:rsidR="003F3988">
        <w:t>yields</w:t>
      </w:r>
      <w:r w:rsidR="00877A30">
        <w:t xml:space="preserve"> expected cost and </w:t>
      </w:r>
      <w:r w:rsidR="003F3988">
        <w:t>CVaR that are very similar to those of</w:t>
      </w:r>
      <w:r w:rsidR="00877A30">
        <w:t xml:space="preserve"> </w:t>
      </w:r>
      <w:r w:rsidR="003F3988">
        <w:t xml:space="preserve">the original </w:t>
      </w:r>
      <w:r w:rsidR="00877A30">
        <w:t xml:space="preserve">problem due to </w:t>
      </w:r>
      <w:r w:rsidR="003F3988">
        <w:t>high</w:t>
      </w:r>
      <w:r w:rsidR="00001CCE">
        <w:t>ly</w:t>
      </w:r>
      <w:r w:rsidR="003F3988">
        <w:t xml:space="preserve"> </w:t>
      </w:r>
      <w:r w:rsidR="00877A30">
        <w:t>similar day-ahead decisions</w:t>
      </w:r>
      <w:r w:rsidR="00610894">
        <w:t>.</w:t>
      </w:r>
    </w:p>
    <w:p w14:paraId="52073F57" w14:textId="6ED49115" w:rsidR="000D5386" w:rsidRDefault="000D5386" w:rsidP="00610894">
      <w:pPr>
        <w:pStyle w:val="Els-1storder-head"/>
      </w:pPr>
      <w:r>
        <w:t xml:space="preserve">Acknowledgment </w:t>
      </w:r>
    </w:p>
    <w:p w14:paraId="0BE6E7D4" w14:textId="1E21F043" w:rsidR="00D1305A" w:rsidRDefault="006F2E2D" w:rsidP="006F2E2D">
      <w:pPr>
        <w:pStyle w:val="Els-body-text"/>
      </w:pPr>
      <w:r>
        <w:t xml:space="preserve">This work was funded by the Helmholtz Association of German Research Centers </w:t>
      </w:r>
      <w:r w:rsidR="00D1305A">
        <w:t>through program-oriented funding (</w:t>
      </w:r>
      <w:proofErr w:type="spellStart"/>
      <w:r w:rsidR="00D1305A">
        <w:t>PoF</w:t>
      </w:r>
      <w:proofErr w:type="spellEnd"/>
      <w:r w:rsidR="00D1305A">
        <w:t xml:space="preserve">) and </w:t>
      </w:r>
      <w:r>
        <w:t xml:space="preserve">under the grant </w:t>
      </w:r>
      <w:r w:rsidRPr="006F2E2D">
        <w:rPr>
          <w:i/>
        </w:rPr>
        <w:t>Uncertainty Quantification – From Data to Reliable Knowledge (UQ)</w:t>
      </w:r>
      <w:r>
        <w:t xml:space="preserve"> (grant number: ZT-I-0029). This work was performed as part of the </w:t>
      </w:r>
      <w:r w:rsidRPr="006F2E2D">
        <w:rPr>
          <w:i/>
        </w:rPr>
        <w:t>Helmholtz School for Data Science in Life, Earth and Energy</w:t>
      </w:r>
      <w:r>
        <w:t xml:space="preserve"> (HDS-LEE).</w:t>
      </w:r>
      <w:r w:rsidR="00D1305A">
        <w:t xml:space="preserve"> </w:t>
      </w:r>
    </w:p>
    <w:p w14:paraId="144DE6BF" w14:textId="608D0AD6" w:rsidR="008D2649" w:rsidRDefault="008D2649" w:rsidP="008D2649">
      <w:pPr>
        <w:pStyle w:val="Els-reference-head"/>
      </w:pPr>
      <w:r>
        <w:t>References</w:t>
      </w:r>
    </w:p>
    <w:p w14:paraId="3FE5251B" w14:textId="77777777" w:rsidR="007E4569" w:rsidRPr="0088219A" w:rsidRDefault="007E4569" w:rsidP="007E4569">
      <w:pPr>
        <w:pStyle w:val="Els-referenceno-number"/>
        <w:rPr>
          <w:lang w:val="en-US"/>
        </w:rPr>
      </w:pPr>
      <w:r w:rsidRPr="0088219A">
        <w:rPr>
          <w:lang w:val="en-US"/>
        </w:rPr>
        <w:t>B.A. Alkhaleel, H. Liao, K.M. Sullivan, 2022</w:t>
      </w:r>
      <w:r>
        <w:rPr>
          <w:lang w:val="en-US"/>
        </w:rPr>
        <w:t xml:space="preserve">, </w:t>
      </w:r>
      <w:r w:rsidRPr="0088219A">
        <w:rPr>
          <w:lang w:val="en-US"/>
        </w:rPr>
        <w:t>Risk and resilience-based optimal post-disruption restoration for critical infrastructures under uncertainty, Eur. J. Oper. Res. 296</w:t>
      </w:r>
      <w:r>
        <w:rPr>
          <w:lang w:val="en-US"/>
        </w:rPr>
        <w:t>,</w:t>
      </w:r>
      <w:r w:rsidRPr="0088219A">
        <w:rPr>
          <w:lang w:val="en-US"/>
        </w:rPr>
        <w:t xml:space="preserve"> 174–202.</w:t>
      </w:r>
    </w:p>
    <w:p w14:paraId="54CD6064" w14:textId="77777777" w:rsidR="007E4569" w:rsidRDefault="007E4569" w:rsidP="007E4569">
      <w:pPr>
        <w:pStyle w:val="Els-referenceno-number"/>
        <w:rPr>
          <w:lang w:val="en-US"/>
        </w:rPr>
      </w:pPr>
      <w:r w:rsidRPr="0088219A">
        <w:rPr>
          <w:lang w:val="en-US"/>
        </w:rPr>
        <w:t>S. Arpón, T. Homem-de-Mello, B. Pagnoncelli,</w:t>
      </w:r>
      <w:r w:rsidRPr="007E4569">
        <w:rPr>
          <w:lang w:val="en-US"/>
        </w:rPr>
        <w:t xml:space="preserve"> </w:t>
      </w:r>
      <w:r w:rsidRPr="0088219A">
        <w:rPr>
          <w:lang w:val="en-US"/>
        </w:rPr>
        <w:t>2018</w:t>
      </w:r>
      <w:r>
        <w:rPr>
          <w:lang w:val="en-US"/>
        </w:rPr>
        <w:t>,</w:t>
      </w:r>
      <w:r w:rsidRPr="0088219A">
        <w:rPr>
          <w:lang w:val="en-US"/>
        </w:rPr>
        <w:t xml:space="preserve"> Scenario reduction for stochastic programs with Conditional Value-at-Risk, Math. Program. 170</w:t>
      </w:r>
      <w:r>
        <w:rPr>
          <w:lang w:val="en-US"/>
        </w:rPr>
        <w:t>,</w:t>
      </w:r>
      <w:r w:rsidRPr="0088219A">
        <w:rPr>
          <w:lang w:val="en-US"/>
        </w:rPr>
        <w:t xml:space="preserve"> 327–356.</w:t>
      </w:r>
    </w:p>
    <w:p w14:paraId="53956CAE" w14:textId="0C6B2626" w:rsidR="00D12A49" w:rsidRPr="0088219A" w:rsidRDefault="00D12A49" w:rsidP="00D12A49">
      <w:pPr>
        <w:pStyle w:val="Els-referenceno-number"/>
        <w:rPr>
          <w:lang w:val="en-US"/>
        </w:rPr>
      </w:pPr>
      <w:r w:rsidRPr="00D12A49">
        <w:rPr>
          <w:lang w:val="en-US"/>
        </w:rPr>
        <w:t>J.</w:t>
      </w:r>
      <w:r>
        <w:rPr>
          <w:lang w:val="en-US"/>
        </w:rPr>
        <w:t xml:space="preserve"> </w:t>
      </w:r>
      <w:r w:rsidRPr="00D12A49">
        <w:rPr>
          <w:lang w:val="en-US"/>
        </w:rPr>
        <w:t>Dupačová, N.</w:t>
      </w:r>
      <w:r>
        <w:rPr>
          <w:lang w:val="en-US"/>
        </w:rPr>
        <w:t xml:space="preserve"> </w:t>
      </w:r>
      <w:r w:rsidRPr="00D12A49">
        <w:rPr>
          <w:lang w:val="en-US"/>
        </w:rPr>
        <w:t>Gröwe-Kuska, W.</w:t>
      </w:r>
      <w:r>
        <w:rPr>
          <w:lang w:val="en-US"/>
        </w:rPr>
        <w:t xml:space="preserve"> </w:t>
      </w:r>
      <w:r w:rsidRPr="00D12A49">
        <w:rPr>
          <w:lang w:val="en-US"/>
        </w:rPr>
        <w:t>Römisch, 2003</w:t>
      </w:r>
      <w:r>
        <w:rPr>
          <w:lang w:val="en-US"/>
        </w:rPr>
        <w:t>,</w:t>
      </w:r>
      <w:r w:rsidRPr="00D12A49">
        <w:rPr>
          <w:lang w:val="en-US"/>
        </w:rPr>
        <w:t xml:space="preserve"> Scenario </w:t>
      </w:r>
      <w:r w:rsidR="00314D9D">
        <w:rPr>
          <w:lang w:val="en-US"/>
        </w:rPr>
        <w:t>re</w:t>
      </w:r>
      <w:r w:rsidR="00441A3C" w:rsidRPr="00D12A49">
        <w:rPr>
          <w:lang w:val="en-US"/>
        </w:rPr>
        <w:t xml:space="preserve">duction </w:t>
      </w:r>
      <w:r w:rsidRPr="00D12A49">
        <w:rPr>
          <w:lang w:val="en-US"/>
        </w:rPr>
        <w:t xml:space="preserve">in </w:t>
      </w:r>
      <w:r w:rsidR="00314D9D">
        <w:rPr>
          <w:lang w:val="en-US"/>
        </w:rPr>
        <w:t>s</w:t>
      </w:r>
      <w:r w:rsidR="00441A3C" w:rsidRPr="00D12A49">
        <w:rPr>
          <w:lang w:val="en-US"/>
        </w:rPr>
        <w:t>tochastic</w:t>
      </w:r>
      <w:r w:rsidR="00441A3C">
        <w:rPr>
          <w:lang w:val="en-US"/>
        </w:rPr>
        <w:t xml:space="preserve"> </w:t>
      </w:r>
      <w:r w:rsidRPr="00D12A49">
        <w:rPr>
          <w:lang w:val="en-US"/>
        </w:rPr>
        <w:t>programming. M</w:t>
      </w:r>
      <w:r>
        <w:rPr>
          <w:lang w:val="en-US"/>
        </w:rPr>
        <w:t>ath.</w:t>
      </w:r>
      <w:r w:rsidRPr="00D12A49">
        <w:rPr>
          <w:lang w:val="en-US"/>
        </w:rPr>
        <w:t xml:space="preserve"> P</w:t>
      </w:r>
      <w:r>
        <w:rPr>
          <w:lang w:val="en-US"/>
        </w:rPr>
        <w:t xml:space="preserve">rogram. </w:t>
      </w:r>
      <w:r w:rsidRPr="00D12A49">
        <w:rPr>
          <w:lang w:val="en-US"/>
        </w:rPr>
        <w:t>95(3)</w:t>
      </w:r>
      <w:r>
        <w:rPr>
          <w:lang w:val="en-US"/>
        </w:rPr>
        <w:t xml:space="preserve">, </w:t>
      </w:r>
      <w:r w:rsidRPr="00D12A49">
        <w:rPr>
          <w:lang w:val="en-US"/>
        </w:rPr>
        <w:t>493–511.</w:t>
      </w:r>
    </w:p>
    <w:p w14:paraId="41A2A551" w14:textId="6BDFC5DE" w:rsidR="00474F35" w:rsidRDefault="007E4569" w:rsidP="00474F35">
      <w:pPr>
        <w:pStyle w:val="Els-referenceno-number"/>
        <w:rPr>
          <w:lang w:val="en-US"/>
        </w:rPr>
      </w:pPr>
      <w:r w:rsidRPr="0088219A">
        <w:rPr>
          <w:lang w:val="en-US"/>
        </w:rPr>
        <w:t>J. Fairbrother, A. Turner, S.W. Wallace, 2018</w:t>
      </w:r>
      <w:r>
        <w:rPr>
          <w:lang w:val="en-US"/>
        </w:rPr>
        <w:t xml:space="preserve">, </w:t>
      </w:r>
      <w:r w:rsidRPr="0088219A">
        <w:rPr>
          <w:lang w:val="en-US"/>
        </w:rPr>
        <w:t xml:space="preserve">Scenario </w:t>
      </w:r>
      <w:r w:rsidR="00441A3C">
        <w:rPr>
          <w:lang w:val="en-US"/>
        </w:rPr>
        <w:t>g</w:t>
      </w:r>
      <w:r w:rsidR="00441A3C" w:rsidRPr="0088219A">
        <w:rPr>
          <w:lang w:val="en-US"/>
        </w:rPr>
        <w:t xml:space="preserve">eneration </w:t>
      </w:r>
      <w:r w:rsidRPr="0088219A">
        <w:rPr>
          <w:lang w:val="en-US"/>
        </w:rPr>
        <w:t xml:space="preserve">for </w:t>
      </w:r>
      <w:r w:rsidR="00441A3C">
        <w:rPr>
          <w:lang w:val="en-US"/>
        </w:rPr>
        <w:t>s</w:t>
      </w:r>
      <w:r w:rsidR="00441A3C" w:rsidRPr="0088219A">
        <w:rPr>
          <w:lang w:val="en-US"/>
        </w:rPr>
        <w:t>ingle</w:t>
      </w:r>
      <w:r w:rsidRPr="0088219A">
        <w:rPr>
          <w:lang w:val="en-US"/>
        </w:rPr>
        <w:t>-</w:t>
      </w:r>
      <w:r w:rsidR="00441A3C">
        <w:rPr>
          <w:lang w:val="en-US"/>
        </w:rPr>
        <w:t>p</w:t>
      </w:r>
      <w:r w:rsidR="00441A3C" w:rsidRPr="0088219A">
        <w:rPr>
          <w:lang w:val="en-US"/>
        </w:rPr>
        <w:t xml:space="preserve">eriod </w:t>
      </w:r>
      <w:r w:rsidR="00441A3C">
        <w:rPr>
          <w:lang w:val="en-US"/>
        </w:rPr>
        <w:t>p</w:t>
      </w:r>
      <w:r w:rsidR="00441A3C" w:rsidRPr="0088219A">
        <w:rPr>
          <w:lang w:val="en-US"/>
        </w:rPr>
        <w:t xml:space="preserve">ortfolio </w:t>
      </w:r>
      <w:r w:rsidR="00441A3C">
        <w:rPr>
          <w:lang w:val="en-US"/>
        </w:rPr>
        <w:t>s</w:t>
      </w:r>
      <w:r w:rsidR="00441A3C" w:rsidRPr="0088219A">
        <w:rPr>
          <w:lang w:val="en-US"/>
        </w:rPr>
        <w:t xml:space="preserve">election </w:t>
      </w:r>
      <w:r w:rsidR="00441A3C">
        <w:rPr>
          <w:lang w:val="en-US"/>
        </w:rPr>
        <w:t>p</w:t>
      </w:r>
      <w:r w:rsidR="00441A3C" w:rsidRPr="0088219A">
        <w:rPr>
          <w:lang w:val="en-US"/>
        </w:rPr>
        <w:t xml:space="preserve">roblems </w:t>
      </w:r>
      <w:r w:rsidRPr="0088219A">
        <w:rPr>
          <w:lang w:val="en-US"/>
        </w:rPr>
        <w:t xml:space="preserve">with </w:t>
      </w:r>
      <w:r w:rsidR="00441A3C">
        <w:rPr>
          <w:lang w:val="en-US"/>
        </w:rPr>
        <w:t>t</w:t>
      </w:r>
      <w:r w:rsidR="00441A3C" w:rsidRPr="0088219A">
        <w:rPr>
          <w:lang w:val="en-US"/>
        </w:rPr>
        <w:t xml:space="preserve">ail </w:t>
      </w:r>
      <w:r w:rsidR="00441A3C">
        <w:rPr>
          <w:lang w:val="en-US"/>
        </w:rPr>
        <w:t>r</w:t>
      </w:r>
      <w:r w:rsidR="00441A3C" w:rsidRPr="0088219A">
        <w:rPr>
          <w:lang w:val="en-US"/>
        </w:rPr>
        <w:t xml:space="preserve">isk </w:t>
      </w:r>
      <w:r w:rsidR="00441A3C">
        <w:rPr>
          <w:lang w:val="en-US"/>
        </w:rPr>
        <w:t>m</w:t>
      </w:r>
      <w:r w:rsidR="00441A3C" w:rsidRPr="0088219A">
        <w:rPr>
          <w:lang w:val="en-US"/>
        </w:rPr>
        <w:t>easures</w:t>
      </w:r>
      <w:r w:rsidRPr="0088219A">
        <w:rPr>
          <w:lang w:val="en-US"/>
        </w:rPr>
        <w:t xml:space="preserve">: </w:t>
      </w:r>
      <w:r w:rsidR="00001CCE">
        <w:rPr>
          <w:lang w:val="en-US"/>
        </w:rPr>
        <w:t>C</w:t>
      </w:r>
      <w:r w:rsidR="00001CCE" w:rsidRPr="0088219A">
        <w:rPr>
          <w:lang w:val="en-US"/>
        </w:rPr>
        <w:t xml:space="preserve">oping </w:t>
      </w:r>
      <w:r w:rsidRPr="0088219A">
        <w:rPr>
          <w:lang w:val="en-US"/>
        </w:rPr>
        <w:t xml:space="preserve">with </w:t>
      </w:r>
      <w:r w:rsidR="00441A3C">
        <w:rPr>
          <w:lang w:val="en-US"/>
        </w:rPr>
        <w:t>h</w:t>
      </w:r>
      <w:r w:rsidR="00441A3C" w:rsidRPr="0088219A">
        <w:rPr>
          <w:lang w:val="en-US"/>
        </w:rPr>
        <w:t xml:space="preserve">igh </w:t>
      </w:r>
      <w:r w:rsidR="00441A3C">
        <w:rPr>
          <w:lang w:val="en-US"/>
        </w:rPr>
        <w:t>d</w:t>
      </w:r>
      <w:r w:rsidR="00441A3C" w:rsidRPr="0088219A">
        <w:rPr>
          <w:lang w:val="en-US"/>
        </w:rPr>
        <w:t xml:space="preserve">imensions </w:t>
      </w:r>
      <w:r w:rsidRPr="0088219A">
        <w:rPr>
          <w:lang w:val="en-US"/>
        </w:rPr>
        <w:t xml:space="preserve">and </w:t>
      </w:r>
      <w:r w:rsidR="00441A3C">
        <w:rPr>
          <w:lang w:val="en-US"/>
        </w:rPr>
        <w:t>i</w:t>
      </w:r>
      <w:r w:rsidR="00441A3C" w:rsidRPr="0088219A">
        <w:rPr>
          <w:lang w:val="en-US"/>
        </w:rPr>
        <w:t xml:space="preserve">nteger </w:t>
      </w:r>
      <w:r w:rsidR="00441A3C">
        <w:rPr>
          <w:lang w:val="en-US"/>
        </w:rPr>
        <w:t>v</w:t>
      </w:r>
      <w:r w:rsidR="00441A3C" w:rsidRPr="0088219A">
        <w:rPr>
          <w:lang w:val="en-US"/>
        </w:rPr>
        <w:t>ariables</w:t>
      </w:r>
      <w:r w:rsidRPr="0088219A">
        <w:rPr>
          <w:lang w:val="en-US"/>
        </w:rPr>
        <w:t>, INFORMS J. Comput. 30</w:t>
      </w:r>
      <w:r>
        <w:rPr>
          <w:lang w:val="en-US"/>
        </w:rPr>
        <w:t>,</w:t>
      </w:r>
      <w:r w:rsidRPr="0088219A">
        <w:rPr>
          <w:lang w:val="en-US"/>
        </w:rPr>
        <w:t xml:space="preserve"> 472–491.</w:t>
      </w:r>
    </w:p>
    <w:p w14:paraId="170E0CAA" w14:textId="75ACFD50" w:rsidR="00474F35" w:rsidRDefault="00474F35" w:rsidP="00474F35">
      <w:pPr>
        <w:pStyle w:val="Els-referenceno-number"/>
        <w:rPr>
          <w:lang w:val="en-US"/>
        </w:rPr>
      </w:pPr>
      <w:r w:rsidRPr="0088219A">
        <w:rPr>
          <w:lang w:val="en-US"/>
        </w:rPr>
        <w:t xml:space="preserve">J. Fairbrother, A. Turner, S.W. Wallace, </w:t>
      </w:r>
      <w:r>
        <w:rPr>
          <w:lang w:val="en-US"/>
        </w:rPr>
        <w:t xml:space="preserve">2022, </w:t>
      </w:r>
      <w:r w:rsidRPr="00474F35">
        <w:rPr>
          <w:lang w:val="en-US"/>
        </w:rPr>
        <w:t>Problem-driven scenario generation:</w:t>
      </w:r>
      <w:r>
        <w:rPr>
          <w:lang w:val="en-US"/>
        </w:rPr>
        <w:t xml:space="preserve"> A</w:t>
      </w:r>
      <w:r w:rsidRPr="00474F35">
        <w:rPr>
          <w:lang w:val="en-US"/>
        </w:rPr>
        <w:t xml:space="preserve">n analytical approach for stochastic programs with tail risk measure. </w:t>
      </w:r>
      <w:r w:rsidRPr="0088219A">
        <w:rPr>
          <w:lang w:val="en-US"/>
        </w:rPr>
        <w:t>Math. Program.</w:t>
      </w:r>
      <w:r w:rsidRPr="00474F35">
        <w:rPr>
          <w:lang w:val="en-US"/>
        </w:rPr>
        <w:t xml:space="preserve"> 191(1):141–182.</w:t>
      </w:r>
    </w:p>
    <w:p w14:paraId="5893AA3A" w14:textId="5C3DC598" w:rsidR="00913C8A" w:rsidRPr="0088219A" w:rsidRDefault="00913C8A" w:rsidP="00474F35">
      <w:pPr>
        <w:pStyle w:val="Els-referenceno-number"/>
        <w:rPr>
          <w:lang w:val="en-US"/>
        </w:rPr>
      </w:pPr>
      <w:r w:rsidRPr="00913C8A">
        <w:rPr>
          <w:lang w:val="en-US"/>
        </w:rPr>
        <w:t>GAMS Development Corporation, 20</w:t>
      </w:r>
      <w:r>
        <w:rPr>
          <w:lang w:val="en-US"/>
        </w:rPr>
        <w:t>22</w:t>
      </w:r>
      <w:r w:rsidRPr="00913C8A">
        <w:rPr>
          <w:lang w:val="en-US"/>
        </w:rPr>
        <w:t xml:space="preserve">. General algebraic modeling system (GAMS) release 40.4.0, accessed 25th </w:t>
      </w:r>
      <w:r>
        <w:rPr>
          <w:lang w:val="en-US"/>
        </w:rPr>
        <w:t>Oct</w:t>
      </w:r>
      <w:r w:rsidRPr="00913C8A">
        <w:rPr>
          <w:lang w:val="en-US"/>
        </w:rPr>
        <w:t xml:space="preserve"> 202</w:t>
      </w:r>
      <w:r>
        <w:rPr>
          <w:lang w:val="en-US"/>
        </w:rPr>
        <w:t>2</w:t>
      </w:r>
      <w:r w:rsidRPr="00913C8A">
        <w:rPr>
          <w:lang w:val="en-US"/>
        </w:rPr>
        <w:t>. https://www.gams.com/download/.</w:t>
      </w:r>
    </w:p>
    <w:p w14:paraId="02E5AB31" w14:textId="07E553A4" w:rsidR="007E4569" w:rsidRDefault="007E4569" w:rsidP="007E4569">
      <w:pPr>
        <w:pStyle w:val="Els-referenceno-number"/>
        <w:rPr>
          <w:lang w:val="en-US"/>
        </w:rPr>
      </w:pPr>
      <w:r w:rsidRPr="0088219A">
        <w:rPr>
          <w:lang w:val="en-US"/>
        </w:rPr>
        <w:t>R. García-Bertrand, R. Mínguez, 2014</w:t>
      </w:r>
      <w:r>
        <w:rPr>
          <w:lang w:val="en-US"/>
        </w:rPr>
        <w:t xml:space="preserve">, </w:t>
      </w:r>
      <w:r w:rsidRPr="0088219A">
        <w:rPr>
          <w:lang w:val="en-US"/>
        </w:rPr>
        <w:t>Iterative scenario based reduction technique for stochastic optimization using conditional value-at-risk, Optim. Eng. 15</w:t>
      </w:r>
      <w:r>
        <w:rPr>
          <w:lang w:val="en-US"/>
        </w:rPr>
        <w:t>,</w:t>
      </w:r>
      <w:r w:rsidRPr="0088219A">
        <w:rPr>
          <w:lang w:val="en-US"/>
        </w:rPr>
        <w:t xml:space="preserve"> 355–380.</w:t>
      </w:r>
    </w:p>
    <w:p w14:paraId="14377CE6" w14:textId="6800D484" w:rsidR="0088219A" w:rsidRDefault="0088219A" w:rsidP="0088219A">
      <w:pPr>
        <w:pStyle w:val="Els-referenceno-number"/>
        <w:rPr>
          <w:lang w:val="en-US"/>
        </w:rPr>
      </w:pPr>
      <w:r w:rsidRPr="0088219A">
        <w:rPr>
          <w:lang w:val="en-US"/>
        </w:rPr>
        <w:t xml:space="preserve">S.H.M. Germscheid, A. Mitsos, M. Dahmen, 2022, Demand response potential of industrial </w:t>
      </w:r>
      <w:r>
        <w:rPr>
          <w:lang w:val="en-US"/>
        </w:rPr>
        <w:t xml:space="preserve"> </w:t>
      </w:r>
      <w:r w:rsidRPr="0088219A">
        <w:rPr>
          <w:lang w:val="en-US"/>
        </w:rPr>
        <w:t>processes considering uncertain short‐term electricity prices, AIChE J. 68, e17828.</w:t>
      </w:r>
    </w:p>
    <w:p w14:paraId="449127D8" w14:textId="00903A77" w:rsidR="00D12A49" w:rsidRDefault="007E4569" w:rsidP="00D12A49">
      <w:pPr>
        <w:pStyle w:val="Els-referenceno-number"/>
        <w:rPr>
          <w:lang w:val="en-US"/>
        </w:rPr>
      </w:pPr>
      <w:r w:rsidRPr="0088219A">
        <w:rPr>
          <w:lang w:val="en-US"/>
        </w:rPr>
        <w:t>S.H.M. Germscheid, F.T.C. Röben, H. Sun, A. Bardow, A. Mitsos, M. Dahmen, 2023</w:t>
      </w:r>
      <w:r>
        <w:rPr>
          <w:lang w:val="en-US"/>
        </w:rPr>
        <w:t xml:space="preserve">, </w:t>
      </w:r>
      <w:r w:rsidRPr="0088219A">
        <w:rPr>
          <w:lang w:val="en-US"/>
        </w:rPr>
        <w:t>Demand response scheduling of copper production under short-term electricity price uncertainty, Comput. Chem. Eng.</w:t>
      </w:r>
      <w:r>
        <w:rPr>
          <w:lang w:val="en-US"/>
        </w:rPr>
        <w:t>,</w:t>
      </w:r>
      <w:r w:rsidRPr="0088219A">
        <w:rPr>
          <w:lang w:val="en-US"/>
        </w:rPr>
        <w:t xml:space="preserve"> 108394.</w:t>
      </w:r>
    </w:p>
    <w:p w14:paraId="7B668BEB" w14:textId="63D2799A" w:rsidR="002B0B51" w:rsidRDefault="00D12A49" w:rsidP="001A2C24">
      <w:pPr>
        <w:pStyle w:val="Els-referenceno-number"/>
        <w:rPr>
          <w:lang w:val="en-US"/>
        </w:rPr>
      </w:pPr>
      <w:r w:rsidRPr="00D12A49">
        <w:rPr>
          <w:lang w:val="en-US"/>
        </w:rPr>
        <w:t>H.</w:t>
      </w:r>
      <w:r>
        <w:rPr>
          <w:lang w:val="en-US"/>
        </w:rPr>
        <w:t xml:space="preserve"> </w:t>
      </w:r>
      <w:r w:rsidRPr="00D12A49">
        <w:rPr>
          <w:lang w:val="en-US"/>
        </w:rPr>
        <w:t>Heitsch, W. Römisch, 2003</w:t>
      </w:r>
      <w:r>
        <w:rPr>
          <w:lang w:val="en-US"/>
        </w:rPr>
        <w:t>,</w:t>
      </w:r>
      <w:r w:rsidRPr="00D12A49">
        <w:rPr>
          <w:lang w:val="en-US"/>
        </w:rPr>
        <w:t xml:space="preserve"> Scenario </w:t>
      </w:r>
      <w:r w:rsidR="00441A3C">
        <w:rPr>
          <w:lang w:val="en-US"/>
        </w:rPr>
        <w:t>r</w:t>
      </w:r>
      <w:r w:rsidR="00441A3C" w:rsidRPr="00D12A49">
        <w:rPr>
          <w:lang w:val="en-US"/>
        </w:rPr>
        <w:t xml:space="preserve">eduction </w:t>
      </w:r>
      <w:r w:rsidR="00441A3C">
        <w:rPr>
          <w:lang w:val="en-US"/>
        </w:rPr>
        <w:t>a</w:t>
      </w:r>
      <w:r w:rsidR="00441A3C" w:rsidRPr="00D12A49">
        <w:rPr>
          <w:lang w:val="en-US"/>
        </w:rPr>
        <w:t xml:space="preserve">lgorithms </w:t>
      </w:r>
      <w:r w:rsidRPr="00D12A49">
        <w:rPr>
          <w:lang w:val="en-US"/>
        </w:rPr>
        <w:t xml:space="preserve">in </w:t>
      </w:r>
      <w:r w:rsidR="00441A3C">
        <w:rPr>
          <w:lang w:val="en-US"/>
        </w:rPr>
        <w:t>s</w:t>
      </w:r>
      <w:r w:rsidR="00441A3C" w:rsidRPr="00D12A49">
        <w:rPr>
          <w:lang w:val="en-US"/>
        </w:rPr>
        <w:t xml:space="preserve">tochastic </w:t>
      </w:r>
      <w:r w:rsidR="00441A3C">
        <w:rPr>
          <w:lang w:val="en-US"/>
        </w:rPr>
        <w:t>p</w:t>
      </w:r>
      <w:r w:rsidR="00441A3C" w:rsidRPr="00D12A49">
        <w:rPr>
          <w:lang w:val="en-US"/>
        </w:rPr>
        <w:t>rogramming</w:t>
      </w:r>
      <w:r w:rsidRPr="00D12A49">
        <w:rPr>
          <w:lang w:val="en-US"/>
        </w:rPr>
        <w:t>.</w:t>
      </w:r>
      <w:r>
        <w:rPr>
          <w:lang w:val="en-US"/>
        </w:rPr>
        <w:t xml:space="preserve"> </w:t>
      </w:r>
      <w:r w:rsidRPr="00D12A49">
        <w:rPr>
          <w:lang w:val="en-US"/>
        </w:rPr>
        <w:t>C</w:t>
      </w:r>
      <w:r>
        <w:rPr>
          <w:lang w:val="en-US"/>
        </w:rPr>
        <w:t>omput.</w:t>
      </w:r>
      <w:r w:rsidRPr="00D12A49">
        <w:rPr>
          <w:lang w:val="en-US"/>
        </w:rPr>
        <w:t xml:space="preserve"> </w:t>
      </w:r>
      <w:r>
        <w:rPr>
          <w:lang w:val="en-US"/>
        </w:rPr>
        <w:t xml:space="preserve">Optim. Appl. </w:t>
      </w:r>
      <w:r w:rsidRPr="00D12A49">
        <w:rPr>
          <w:lang w:val="en-US"/>
        </w:rPr>
        <w:t>24(2):187–206.</w:t>
      </w:r>
    </w:p>
    <w:p w14:paraId="2D10F3D0" w14:textId="5B6E969E" w:rsidR="00907F0C" w:rsidRDefault="00907F0C" w:rsidP="001A2C24">
      <w:pPr>
        <w:pStyle w:val="Els-referenceno-number"/>
        <w:rPr>
          <w:lang w:val="en-US"/>
        </w:rPr>
      </w:pPr>
      <w:r>
        <w:t>S. Lloyd, 1982, Least squares quantization in PCM, IEEE Trans. Inf. Theory. 28, 129–137.</w:t>
      </w:r>
    </w:p>
    <w:p w14:paraId="7AEAEE11" w14:textId="1C8FF4EB" w:rsidR="002B0B51" w:rsidRPr="0088219A" w:rsidRDefault="002B0B51" w:rsidP="001A2C24">
      <w:pPr>
        <w:pStyle w:val="Els-referenceno-number"/>
        <w:rPr>
          <w:lang w:val="en-US"/>
        </w:rPr>
      </w:pPr>
      <w:r w:rsidRPr="002B0B51">
        <w:rPr>
          <w:lang w:val="en-US"/>
        </w:rPr>
        <w:t>F.</w:t>
      </w:r>
      <w:r>
        <w:rPr>
          <w:lang w:val="en-US"/>
        </w:rPr>
        <w:t xml:space="preserve"> </w:t>
      </w:r>
      <w:r w:rsidRPr="002B0B51">
        <w:rPr>
          <w:lang w:val="en-US"/>
        </w:rPr>
        <w:t>Pedregosa, G.</w:t>
      </w:r>
      <w:r>
        <w:rPr>
          <w:lang w:val="en-US"/>
        </w:rPr>
        <w:t xml:space="preserve"> </w:t>
      </w:r>
      <w:r w:rsidRPr="002B0B51">
        <w:rPr>
          <w:lang w:val="en-US"/>
        </w:rPr>
        <w:t>Varoquaux, A.</w:t>
      </w:r>
      <w:r>
        <w:rPr>
          <w:lang w:val="en-US"/>
        </w:rPr>
        <w:t xml:space="preserve"> </w:t>
      </w:r>
      <w:r w:rsidRPr="002B0B51">
        <w:rPr>
          <w:lang w:val="en-US"/>
        </w:rPr>
        <w:t>Gramfort, V. Michel, B.</w:t>
      </w:r>
      <w:r>
        <w:rPr>
          <w:lang w:val="en-US"/>
        </w:rPr>
        <w:t xml:space="preserve"> </w:t>
      </w:r>
      <w:r w:rsidRPr="002B0B51">
        <w:rPr>
          <w:lang w:val="en-US"/>
        </w:rPr>
        <w:t>Thirion, O.</w:t>
      </w:r>
      <w:r>
        <w:rPr>
          <w:lang w:val="en-US"/>
        </w:rPr>
        <w:t xml:space="preserve"> </w:t>
      </w:r>
      <w:r w:rsidRPr="002B0B51">
        <w:rPr>
          <w:lang w:val="en-US"/>
        </w:rPr>
        <w:t>Grisel, M.</w:t>
      </w:r>
      <w:r>
        <w:rPr>
          <w:lang w:val="en-US"/>
        </w:rPr>
        <w:t xml:space="preserve"> </w:t>
      </w:r>
      <w:r w:rsidRPr="002B0B51">
        <w:rPr>
          <w:lang w:val="en-US"/>
        </w:rPr>
        <w:t>Blondel,</w:t>
      </w:r>
      <w:r w:rsidR="001A2C24">
        <w:rPr>
          <w:lang w:val="en-US"/>
        </w:rPr>
        <w:t xml:space="preserve"> </w:t>
      </w:r>
      <w:r w:rsidR="001A2C24" w:rsidRPr="002B0B51">
        <w:rPr>
          <w:lang w:val="en-US"/>
        </w:rPr>
        <w:t>P.</w:t>
      </w:r>
      <w:r w:rsidRPr="002B0B51">
        <w:rPr>
          <w:lang w:val="en-US"/>
        </w:rPr>
        <w:t xml:space="preserve"> Prettenhofer, </w:t>
      </w:r>
      <w:r w:rsidR="001A2C24" w:rsidRPr="002B0B51">
        <w:rPr>
          <w:lang w:val="en-US"/>
        </w:rPr>
        <w:t>R.</w:t>
      </w:r>
      <w:r w:rsidRPr="002B0B51">
        <w:rPr>
          <w:lang w:val="en-US"/>
        </w:rPr>
        <w:t xml:space="preserve"> Weiss, </w:t>
      </w:r>
      <w:r w:rsidR="001A2C24" w:rsidRPr="002B0B51">
        <w:rPr>
          <w:lang w:val="en-US"/>
        </w:rPr>
        <w:t>V.</w:t>
      </w:r>
      <w:r w:rsidRPr="002B0B51">
        <w:rPr>
          <w:lang w:val="en-US"/>
        </w:rPr>
        <w:t xml:space="preserve"> Dubourg, </w:t>
      </w:r>
      <w:r w:rsidR="001A2C24" w:rsidRPr="002B0B51">
        <w:rPr>
          <w:lang w:val="en-US"/>
        </w:rPr>
        <w:t>J.</w:t>
      </w:r>
      <w:r w:rsidR="001A2C24">
        <w:rPr>
          <w:lang w:val="en-US"/>
        </w:rPr>
        <w:t xml:space="preserve"> </w:t>
      </w:r>
      <w:r w:rsidRPr="002B0B51">
        <w:rPr>
          <w:lang w:val="en-US"/>
        </w:rPr>
        <w:t>Vanderplas</w:t>
      </w:r>
      <w:r w:rsidR="001A2C24">
        <w:rPr>
          <w:lang w:val="en-US"/>
        </w:rPr>
        <w:t>,</w:t>
      </w:r>
      <w:r w:rsidRPr="002B0B51">
        <w:rPr>
          <w:lang w:val="en-US"/>
        </w:rPr>
        <w:t xml:space="preserve"> </w:t>
      </w:r>
      <w:r w:rsidR="001A2C24" w:rsidRPr="002B0B51">
        <w:rPr>
          <w:lang w:val="en-US"/>
        </w:rPr>
        <w:t>A.</w:t>
      </w:r>
      <w:r w:rsidR="001A2C24">
        <w:rPr>
          <w:lang w:val="en-US"/>
        </w:rPr>
        <w:t xml:space="preserve"> </w:t>
      </w:r>
      <w:r w:rsidRPr="002B0B51">
        <w:rPr>
          <w:lang w:val="en-US"/>
        </w:rPr>
        <w:t xml:space="preserve">Passos, </w:t>
      </w:r>
      <w:r w:rsidR="001A2C24" w:rsidRPr="002B0B51">
        <w:rPr>
          <w:lang w:val="en-US"/>
        </w:rPr>
        <w:t>D.</w:t>
      </w:r>
      <w:r w:rsidR="001A2C24">
        <w:rPr>
          <w:lang w:val="en-US"/>
        </w:rPr>
        <w:t xml:space="preserve"> </w:t>
      </w:r>
      <w:r w:rsidRPr="002B0B51">
        <w:rPr>
          <w:lang w:val="en-US"/>
        </w:rPr>
        <w:t>Cournapeau,</w:t>
      </w:r>
      <w:r w:rsidR="001A2C24">
        <w:rPr>
          <w:lang w:val="en-US"/>
        </w:rPr>
        <w:t xml:space="preserve"> </w:t>
      </w:r>
      <w:r w:rsidR="001A2C24" w:rsidRPr="002B0B51">
        <w:rPr>
          <w:lang w:val="en-US"/>
        </w:rPr>
        <w:t>M.</w:t>
      </w:r>
      <w:r w:rsidRPr="002B0B51">
        <w:rPr>
          <w:lang w:val="en-US"/>
        </w:rPr>
        <w:t xml:space="preserve"> Brucher, </w:t>
      </w:r>
      <w:r w:rsidR="001A2C24" w:rsidRPr="002B0B51">
        <w:rPr>
          <w:lang w:val="en-US"/>
        </w:rPr>
        <w:t>M.</w:t>
      </w:r>
      <w:r w:rsidRPr="002B0B51">
        <w:rPr>
          <w:lang w:val="en-US"/>
        </w:rPr>
        <w:t xml:space="preserve"> Perrot, </w:t>
      </w:r>
      <w:r w:rsidR="001A2C24" w:rsidRPr="002B0B51">
        <w:rPr>
          <w:lang w:val="en-US"/>
        </w:rPr>
        <w:t>E.</w:t>
      </w:r>
      <w:r w:rsidR="001A2C24">
        <w:rPr>
          <w:lang w:val="en-US"/>
        </w:rPr>
        <w:t xml:space="preserve"> </w:t>
      </w:r>
      <w:r w:rsidRPr="002B0B51">
        <w:rPr>
          <w:lang w:val="en-US"/>
        </w:rPr>
        <w:t>Duchesnay, 2011. Scikit-learn: Machine learning in</w:t>
      </w:r>
      <w:r w:rsidR="001A2C24">
        <w:rPr>
          <w:lang w:val="en-US"/>
        </w:rPr>
        <w:t xml:space="preserve"> </w:t>
      </w:r>
      <w:r w:rsidRPr="002B0B51">
        <w:rPr>
          <w:lang w:val="en-US"/>
        </w:rPr>
        <w:t xml:space="preserve">Python. </w:t>
      </w:r>
      <w:r w:rsidR="001A2C24" w:rsidRPr="001A2C24">
        <w:rPr>
          <w:lang w:val="en-US"/>
        </w:rPr>
        <w:t>J M</w:t>
      </w:r>
      <w:r w:rsidR="001A2C24">
        <w:rPr>
          <w:lang w:val="en-US"/>
        </w:rPr>
        <w:t>ach</w:t>
      </w:r>
      <w:r w:rsidR="001A2C24" w:rsidRPr="001A2C24">
        <w:rPr>
          <w:lang w:val="en-US"/>
        </w:rPr>
        <w:t xml:space="preserve"> L</w:t>
      </w:r>
      <w:r w:rsidR="001A2C24">
        <w:rPr>
          <w:lang w:val="en-US"/>
        </w:rPr>
        <w:t>earn</w:t>
      </w:r>
      <w:r w:rsidR="001A2C24" w:rsidRPr="001A2C24">
        <w:rPr>
          <w:lang w:val="en-US"/>
        </w:rPr>
        <w:t xml:space="preserve"> R</w:t>
      </w:r>
      <w:r w:rsidR="001A2C24">
        <w:rPr>
          <w:lang w:val="en-US"/>
        </w:rPr>
        <w:t xml:space="preserve">es </w:t>
      </w:r>
      <w:r w:rsidRPr="002B0B51">
        <w:rPr>
          <w:lang w:val="en-US"/>
        </w:rPr>
        <w:t>12, 2825–283</w:t>
      </w:r>
    </w:p>
    <w:p w14:paraId="0088B741" w14:textId="15E712C5" w:rsidR="00D12A49" w:rsidRDefault="007E4569" w:rsidP="00B37C00">
      <w:pPr>
        <w:pStyle w:val="Els-referenceno-number"/>
        <w:rPr>
          <w:lang w:val="en-US"/>
        </w:rPr>
      </w:pPr>
      <w:r w:rsidRPr="0088219A">
        <w:rPr>
          <w:lang w:val="en-US"/>
        </w:rPr>
        <w:t>S. Pineda, A.J. Conejo,</w:t>
      </w:r>
      <w:r>
        <w:rPr>
          <w:lang w:val="en-US"/>
        </w:rPr>
        <w:t xml:space="preserve"> </w:t>
      </w:r>
      <w:r w:rsidRPr="0088219A">
        <w:rPr>
          <w:lang w:val="en-US"/>
        </w:rPr>
        <w:t>2010</w:t>
      </w:r>
      <w:r>
        <w:rPr>
          <w:lang w:val="en-US"/>
        </w:rPr>
        <w:t>,</w:t>
      </w:r>
      <w:r w:rsidRPr="0088219A">
        <w:rPr>
          <w:lang w:val="en-US"/>
        </w:rPr>
        <w:t xml:space="preserve"> Scenario reduction for risk-averse electricity trading, IET Gener. Transm. Distrib. 4</w:t>
      </w:r>
      <w:r>
        <w:rPr>
          <w:lang w:val="en-US"/>
        </w:rPr>
        <w:t>,</w:t>
      </w:r>
      <w:r w:rsidRPr="0088219A">
        <w:rPr>
          <w:lang w:val="en-US"/>
        </w:rPr>
        <w:t xml:space="preserve"> 694.</w:t>
      </w:r>
    </w:p>
    <w:p w14:paraId="70F76679" w14:textId="3FDCD513" w:rsidR="00D12A49" w:rsidRPr="00D12A49" w:rsidRDefault="00D12A49" w:rsidP="00D12A49">
      <w:pPr>
        <w:pStyle w:val="Els-referenceno-number"/>
        <w:rPr>
          <w:lang w:val="en-US"/>
        </w:rPr>
      </w:pPr>
      <w:r w:rsidRPr="00D12A49">
        <w:rPr>
          <w:lang w:val="en-US"/>
        </w:rPr>
        <w:t xml:space="preserve">R. T. Rockafellar, </w:t>
      </w:r>
      <w:r>
        <w:rPr>
          <w:lang w:val="en-US"/>
        </w:rPr>
        <w:t xml:space="preserve">S. </w:t>
      </w:r>
      <w:r w:rsidRPr="00D12A49">
        <w:rPr>
          <w:lang w:val="en-US"/>
        </w:rPr>
        <w:t>Uryasev, 2000</w:t>
      </w:r>
      <w:r>
        <w:rPr>
          <w:lang w:val="en-US"/>
        </w:rPr>
        <w:t>,</w:t>
      </w:r>
      <w:r w:rsidRPr="00D12A49">
        <w:rPr>
          <w:lang w:val="en-US"/>
        </w:rPr>
        <w:t xml:space="preserve"> Optimization of conditional value-at-risk</w:t>
      </w:r>
      <w:r w:rsidR="00B37C00">
        <w:rPr>
          <w:lang w:val="en-US"/>
        </w:rPr>
        <w:t>, J. Risk</w:t>
      </w:r>
      <w:r w:rsidRPr="00D12A49">
        <w:rPr>
          <w:lang w:val="en-US"/>
        </w:rPr>
        <w:t xml:space="preserve"> 2(3)</w:t>
      </w:r>
      <w:r>
        <w:rPr>
          <w:lang w:val="en-US"/>
        </w:rPr>
        <w:t xml:space="preserve">, </w:t>
      </w:r>
      <w:r w:rsidRPr="00D12A49">
        <w:rPr>
          <w:lang w:val="en-US"/>
        </w:rPr>
        <w:t>21–41.</w:t>
      </w:r>
    </w:p>
    <w:p w14:paraId="054279F0" w14:textId="52BE3DFD" w:rsidR="00D12A49" w:rsidRDefault="00D12A49" w:rsidP="00B37C00">
      <w:pPr>
        <w:pStyle w:val="Els-referenceno-number"/>
        <w:rPr>
          <w:lang w:val="en-US"/>
        </w:rPr>
      </w:pPr>
      <w:r w:rsidRPr="00D12A49">
        <w:rPr>
          <w:lang w:val="en-US"/>
        </w:rPr>
        <w:t xml:space="preserve">R. T. Rockafellar, </w:t>
      </w:r>
      <w:r>
        <w:rPr>
          <w:lang w:val="en-US"/>
        </w:rPr>
        <w:t xml:space="preserve">S. </w:t>
      </w:r>
      <w:r w:rsidRPr="00D12A49">
        <w:rPr>
          <w:lang w:val="en-US"/>
        </w:rPr>
        <w:t>Uryasev,</w:t>
      </w:r>
      <w:r>
        <w:rPr>
          <w:lang w:val="en-US"/>
        </w:rPr>
        <w:t xml:space="preserve"> 2002, </w:t>
      </w:r>
      <w:r w:rsidRPr="00D12A49">
        <w:rPr>
          <w:lang w:val="en-US"/>
        </w:rPr>
        <w:t>Conditional value-at-risk for general loss distributions</w:t>
      </w:r>
      <w:r w:rsidR="00B37C00">
        <w:rPr>
          <w:lang w:val="en-US"/>
        </w:rPr>
        <w:t xml:space="preserve">, </w:t>
      </w:r>
      <w:r>
        <w:rPr>
          <w:lang w:val="en-US"/>
        </w:rPr>
        <w:t>J. Bank. Financ.</w:t>
      </w:r>
      <w:r w:rsidRPr="00D12A49">
        <w:rPr>
          <w:lang w:val="en-US"/>
        </w:rPr>
        <w:t xml:space="preserve"> 26(7)</w:t>
      </w:r>
      <w:r>
        <w:rPr>
          <w:lang w:val="en-US"/>
        </w:rPr>
        <w:t xml:space="preserve">, </w:t>
      </w:r>
      <w:r w:rsidRPr="00D12A49">
        <w:rPr>
          <w:lang w:val="en-US"/>
        </w:rPr>
        <w:t>1443–1471.</w:t>
      </w:r>
    </w:p>
    <w:p w14:paraId="6D0765F3" w14:textId="5B8E4637" w:rsidR="008856AE" w:rsidRPr="008856AE" w:rsidRDefault="008856AE" w:rsidP="008856AE">
      <w:pPr>
        <w:pStyle w:val="Els-referenceno-number"/>
      </w:pPr>
      <w:r>
        <w:t>P. Schäfer, T.M. Daun, A. Mitsos, 2020, Do investments in flexibility enhance sustainability? A simulative study considering the German electricity sector, AIChE J. 66, 1–14.</w:t>
      </w:r>
    </w:p>
    <w:p w14:paraId="4DECA5C8" w14:textId="6C47723C" w:rsidR="0088219A" w:rsidRDefault="0088219A" w:rsidP="007A3CF9">
      <w:pPr>
        <w:pStyle w:val="Els-referenceno-number"/>
        <w:rPr>
          <w:lang w:val="en-US"/>
        </w:rPr>
      </w:pPr>
      <w:r w:rsidRPr="0088219A">
        <w:rPr>
          <w:lang w:val="en-US"/>
        </w:rPr>
        <w:t>Q. Zhang, J.L. Cremer, I.E. Grossmann, A. Sundaramoorthy, J.M. Pinto, 2016, Risk-based integrated production scheduling and electricity procurement for continuous power-intensive processes, Comput. Chem. Eng. 86</w:t>
      </w:r>
      <w:r>
        <w:rPr>
          <w:lang w:val="en-US"/>
        </w:rPr>
        <w:t>,</w:t>
      </w:r>
      <w:r w:rsidRPr="0088219A">
        <w:rPr>
          <w:lang w:val="en-US"/>
        </w:rPr>
        <w:t xml:space="preserve"> 90–105.</w:t>
      </w:r>
    </w:p>
    <w:sectPr w:rsidR="0088219A"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502C" w14:textId="77777777" w:rsidR="003751CA" w:rsidRDefault="003751CA">
      <w:r>
        <w:separator/>
      </w:r>
    </w:p>
  </w:endnote>
  <w:endnote w:type="continuationSeparator" w:id="0">
    <w:p w14:paraId="669722BC" w14:textId="77777777" w:rsidR="003751CA" w:rsidRDefault="0037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E44D" w14:textId="77777777" w:rsidR="003751CA" w:rsidRDefault="003751CA">
      <w:r>
        <w:separator/>
      </w:r>
    </w:p>
  </w:footnote>
  <w:footnote w:type="continuationSeparator" w:id="0">
    <w:p w14:paraId="7661EBE4" w14:textId="77777777" w:rsidR="003751CA" w:rsidRDefault="0037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8BF9612" w:rsidR="00DD3D9E" w:rsidRPr="00C87287" w:rsidRDefault="00DD3D9E">
    <w:pPr>
      <w:pStyle w:val="Kopfzeile"/>
      <w:tabs>
        <w:tab w:val="clear" w:pos="7200"/>
        <w:tab w:val="right" w:pos="7088"/>
      </w:tabs>
      <w:rPr>
        <w:lang w:val="de-DE"/>
      </w:rPr>
    </w:pPr>
    <w:r>
      <w:rPr>
        <w:rStyle w:val="Seitenzahl"/>
      </w:rPr>
      <w:tab/>
    </w:r>
    <w:r>
      <w:rPr>
        <w:rStyle w:val="Seitenzahl"/>
        <w:i/>
      </w:rPr>
      <w:tab/>
    </w:r>
    <w:r w:rsidR="0020611D" w:rsidRPr="00C87287">
      <w:rPr>
        <w:rStyle w:val="Seitenzahl"/>
        <w:i/>
        <w:lang w:val="de-DE"/>
      </w:rPr>
      <w:t>S.H.M. Germscheid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CDD0C4D" w:rsidR="00DD3D9E" w:rsidRDefault="0020611D">
    <w:pPr>
      <w:pStyle w:val="Kopfzeile"/>
      <w:tabs>
        <w:tab w:val="clear" w:pos="7200"/>
        <w:tab w:val="right" w:pos="7088"/>
      </w:tabs>
      <w:jc w:val="right"/>
      <w:rPr>
        <w:sz w:val="24"/>
      </w:rPr>
    </w:pPr>
    <w:r w:rsidRPr="0020611D">
      <w:rPr>
        <w:i/>
      </w:rPr>
      <w:t>Scenario Reduction Methods for Risk-Averse Demand Response Scheduling under Price Uncertainty</w:t>
    </w:r>
    <w:r w:rsidR="00DD3D9E">
      <w:rPr>
        <w:rStyle w:val="Seitenzahl"/>
        <w:i/>
        <w:sz w:val="24"/>
      </w:rPr>
      <w:tab/>
    </w:r>
    <w:r w:rsidR="00DD3D9E">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EC3E0E"/>
    <w:multiLevelType w:val="hybridMultilevel"/>
    <w:tmpl w:val="46520E2C"/>
    <w:lvl w:ilvl="0" w:tplc="B8F07544">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2143309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CCE"/>
    <w:rsid w:val="00001E17"/>
    <w:rsid w:val="0000417C"/>
    <w:rsid w:val="0000736C"/>
    <w:rsid w:val="00010176"/>
    <w:rsid w:val="000163AB"/>
    <w:rsid w:val="00017285"/>
    <w:rsid w:val="000352FD"/>
    <w:rsid w:val="00036E1C"/>
    <w:rsid w:val="00040D7A"/>
    <w:rsid w:val="00044DD1"/>
    <w:rsid w:val="0007259A"/>
    <w:rsid w:val="00074CBA"/>
    <w:rsid w:val="000A7813"/>
    <w:rsid w:val="000B79FF"/>
    <w:rsid w:val="000C445A"/>
    <w:rsid w:val="000D37B4"/>
    <w:rsid w:val="000D3D9B"/>
    <w:rsid w:val="000D5386"/>
    <w:rsid w:val="000E7C53"/>
    <w:rsid w:val="000F6B91"/>
    <w:rsid w:val="00116A22"/>
    <w:rsid w:val="001245D2"/>
    <w:rsid w:val="0012542E"/>
    <w:rsid w:val="00134150"/>
    <w:rsid w:val="00145B74"/>
    <w:rsid w:val="001568D6"/>
    <w:rsid w:val="0016032F"/>
    <w:rsid w:val="00161E2A"/>
    <w:rsid w:val="00163B8F"/>
    <w:rsid w:val="00163D7A"/>
    <w:rsid w:val="001641ED"/>
    <w:rsid w:val="00164BE9"/>
    <w:rsid w:val="001676E5"/>
    <w:rsid w:val="0017268F"/>
    <w:rsid w:val="00174AC9"/>
    <w:rsid w:val="00175D5F"/>
    <w:rsid w:val="0018406A"/>
    <w:rsid w:val="001879F6"/>
    <w:rsid w:val="001A29AB"/>
    <w:rsid w:val="001A2C24"/>
    <w:rsid w:val="001C0148"/>
    <w:rsid w:val="001C3930"/>
    <w:rsid w:val="001C4752"/>
    <w:rsid w:val="001C6D62"/>
    <w:rsid w:val="001C757E"/>
    <w:rsid w:val="001E64EF"/>
    <w:rsid w:val="001F06D3"/>
    <w:rsid w:val="00200B76"/>
    <w:rsid w:val="0020390F"/>
    <w:rsid w:val="00205CEE"/>
    <w:rsid w:val="0020611D"/>
    <w:rsid w:val="00221A13"/>
    <w:rsid w:val="002237E4"/>
    <w:rsid w:val="0024668E"/>
    <w:rsid w:val="00250A2A"/>
    <w:rsid w:val="00264926"/>
    <w:rsid w:val="002835F7"/>
    <w:rsid w:val="002938CD"/>
    <w:rsid w:val="00294A92"/>
    <w:rsid w:val="002A46ED"/>
    <w:rsid w:val="002A7A97"/>
    <w:rsid w:val="002B0B51"/>
    <w:rsid w:val="002D5F73"/>
    <w:rsid w:val="002F220E"/>
    <w:rsid w:val="00302732"/>
    <w:rsid w:val="0030692E"/>
    <w:rsid w:val="00314D9D"/>
    <w:rsid w:val="00321132"/>
    <w:rsid w:val="003335D0"/>
    <w:rsid w:val="00340974"/>
    <w:rsid w:val="003426EA"/>
    <w:rsid w:val="00345443"/>
    <w:rsid w:val="0036279A"/>
    <w:rsid w:val="0036446D"/>
    <w:rsid w:val="00374A73"/>
    <w:rsid w:val="003751CA"/>
    <w:rsid w:val="0037760A"/>
    <w:rsid w:val="00392543"/>
    <w:rsid w:val="003973EC"/>
    <w:rsid w:val="003A6A04"/>
    <w:rsid w:val="003B1FE4"/>
    <w:rsid w:val="003B26B5"/>
    <w:rsid w:val="003D1582"/>
    <w:rsid w:val="003D7E4C"/>
    <w:rsid w:val="003E31CE"/>
    <w:rsid w:val="003E41C2"/>
    <w:rsid w:val="003E4C2B"/>
    <w:rsid w:val="003F3988"/>
    <w:rsid w:val="003F3EBE"/>
    <w:rsid w:val="004057A2"/>
    <w:rsid w:val="00415A35"/>
    <w:rsid w:val="004215B1"/>
    <w:rsid w:val="00432C19"/>
    <w:rsid w:val="00441A3C"/>
    <w:rsid w:val="00454CBF"/>
    <w:rsid w:val="004563B2"/>
    <w:rsid w:val="00471079"/>
    <w:rsid w:val="00473D8A"/>
    <w:rsid w:val="00474F35"/>
    <w:rsid w:val="00481D65"/>
    <w:rsid w:val="00482D13"/>
    <w:rsid w:val="00485942"/>
    <w:rsid w:val="00486386"/>
    <w:rsid w:val="00487A45"/>
    <w:rsid w:val="00490AC7"/>
    <w:rsid w:val="004966D8"/>
    <w:rsid w:val="0049772C"/>
    <w:rsid w:val="004B16C3"/>
    <w:rsid w:val="004C484E"/>
    <w:rsid w:val="004D48F9"/>
    <w:rsid w:val="004D4D71"/>
    <w:rsid w:val="004E267A"/>
    <w:rsid w:val="004E6E7D"/>
    <w:rsid w:val="004F0A40"/>
    <w:rsid w:val="004F1F15"/>
    <w:rsid w:val="00501D7C"/>
    <w:rsid w:val="00511829"/>
    <w:rsid w:val="00514609"/>
    <w:rsid w:val="0052187A"/>
    <w:rsid w:val="00521BEF"/>
    <w:rsid w:val="0052598E"/>
    <w:rsid w:val="00535262"/>
    <w:rsid w:val="00546A9A"/>
    <w:rsid w:val="00546ED0"/>
    <w:rsid w:val="00547A42"/>
    <w:rsid w:val="00547DEF"/>
    <w:rsid w:val="00552EEB"/>
    <w:rsid w:val="00553DCB"/>
    <w:rsid w:val="00574986"/>
    <w:rsid w:val="00583E52"/>
    <w:rsid w:val="00586FD5"/>
    <w:rsid w:val="0059771B"/>
    <w:rsid w:val="005A68E6"/>
    <w:rsid w:val="005A7EAB"/>
    <w:rsid w:val="005D039E"/>
    <w:rsid w:val="005D1AD3"/>
    <w:rsid w:val="005D2BA9"/>
    <w:rsid w:val="005E4369"/>
    <w:rsid w:val="0060039B"/>
    <w:rsid w:val="00610894"/>
    <w:rsid w:val="00621758"/>
    <w:rsid w:val="0062479B"/>
    <w:rsid w:val="006314D8"/>
    <w:rsid w:val="0064532C"/>
    <w:rsid w:val="00671824"/>
    <w:rsid w:val="00671889"/>
    <w:rsid w:val="00676042"/>
    <w:rsid w:val="00677AEC"/>
    <w:rsid w:val="0068257B"/>
    <w:rsid w:val="00693384"/>
    <w:rsid w:val="006A69BF"/>
    <w:rsid w:val="006C0CDE"/>
    <w:rsid w:val="006C2192"/>
    <w:rsid w:val="006C62C0"/>
    <w:rsid w:val="006D05E0"/>
    <w:rsid w:val="006D3C1B"/>
    <w:rsid w:val="006F2E2D"/>
    <w:rsid w:val="006F39E6"/>
    <w:rsid w:val="006F69BD"/>
    <w:rsid w:val="006F779C"/>
    <w:rsid w:val="00704D1C"/>
    <w:rsid w:val="00711DF4"/>
    <w:rsid w:val="00714769"/>
    <w:rsid w:val="00751DC2"/>
    <w:rsid w:val="0075231E"/>
    <w:rsid w:val="00756FF5"/>
    <w:rsid w:val="00762153"/>
    <w:rsid w:val="00775036"/>
    <w:rsid w:val="007A3CF9"/>
    <w:rsid w:val="007A706C"/>
    <w:rsid w:val="007C60B9"/>
    <w:rsid w:val="007D267A"/>
    <w:rsid w:val="007D4316"/>
    <w:rsid w:val="007D70A1"/>
    <w:rsid w:val="007E4569"/>
    <w:rsid w:val="00800F3A"/>
    <w:rsid w:val="008132E8"/>
    <w:rsid w:val="00820492"/>
    <w:rsid w:val="00823407"/>
    <w:rsid w:val="00826540"/>
    <w:rsid w:val="00837CCB"/>
    <w:rsid w:val="00847A9E"/>
    <w:rsid w:val="00856A10"/>
    <w:rsid w:val="008570E4"/>
    <w:rsid w:val="00860D24"/>
    <w:rsid w:val="008679DB"/>
    <w:rsid w:val="00877A30"/>
    <w:rsid w:val="00881C36"/>
    <w:rsid w:val="0088219A"/>
    <w:rsid w:val="00882FB2"/>
    <w:rsid w:val="00883524"/>
    <w:rsid w:val="008856AE"/>
    <w:rsid w:val="00895A71"/>
    <w:rsid w:val="00895BA1"/>
    <w:rsid w:val="008A5164"/>
    <w:rsid w:val="008B0184"/>
    <w:rsid w:val="008B127D"/>
    <w:rsid w:val="008C5030"/>
    <w:rsid w:val="008C5D02"/>
    <w:rsid w:val="008D2649"/>
    <w:rsid w:val="008D5F09"/>
    <w:rsid w:val="0090568D"/>
    <w:rsid w:val="00907F0C"/>
    <w:rsid w:val="009125C9"/>
    <w:rsid w:val="00913879"/>
    <w:rsid w:val="00913C8A"/>
    <w:rsid w:val="00915ACF"/>
    <w:rsid w:val="00915F17"/>
    <w:rsid w:val="00917661"/>
    <w:rsid w:val="00923AE3"/>
    <w:rsid w:val="00930D1E"/>
    <w:rsid w:val="009609EB"/>
    <w:rsid w:val="009665A3"/>
    <w:rsid w:val="00970E5D"/>
    <w:rsid w:val="00974EEF"/>
    <w:rsid w:val="0097701C"/>
    <w:rsid w:val="00977483"/>
    <w:rsid w:val="00980A65"/>
    <w:rsid w:val="0098449E"/>
    <w:rsid w:val="00986AD3"/>
    <w:rsid w:val="009A4667"/>
    <w:rsid w:val="009B2945"/>
    <w:rsid w:val="009B307F"/>
    <w:rsid w:val="009B6BDF"/>
    <w:rsid w:val="009E32EE"/>
    <w:rsid w:val="009E3CF5"/>
    <w:rsid w:val="009F42A9"/>
    <w:rsid w:val="00A11F73"/>
    <w:rsid w:val="00A23A90"/>
    <w:rsid w:val="00A25E70"/>
    <w:rsid w:val="00A27A1D"/>
    <w:rsid w:val="00A308B2"/>
    <w:rsid w:val="00A33765"/>
    <w:rsid w:val="00A63269"/>
    <w:rsid w:val="00A73086"/>
    <w:rsid w:val="00A81DDD"/>
    <w:rsid w:val="00A83ADA"/>
    <w:rsid w:val="00A92377"/>
    <w:rsid w:val="00AA4A26"/>
    <w:rsid w:val="00AA61DD"/>
    <w:rsid w:val="00AB04E7"/>
    <w:rsid w:val="00AB2271"/>
    <w:rsid w:val="00AB29ED"/>
    <w:rsid w:val="00AB3FC9"/>
    <w:rsid w:val="00AD2054"/>
    <w:rsid w:val="00AD4E88"/>
    <w:rsid w:val="00AD5ED9"/>
    <w:rsid w:val="00AE4BD8"/>
    <w:rsid w:val="00AE510D"/>
    <w:rsid w:val="00AE5527"/>
    <w:rsid w:val="00AE7AF7"/>
    <w:rsid w:val="00AF5074"/>
    <w:rsid w:val="00B04F76"/>
    <w:rsid w:val="00B07E3C"/>
    <w:rsid w:val="00B159CD"/>
    <w:rsid w:val="00B218B5"/>
    <w:rsid w:val="00B226B6"/>
    <w:rsid w:val="00B277E2"/>
    <w:rsid w:val="00B33907"/>
    <w:rsid w:val="00B37C00"/>
    <w:rsid w:val="00B4388F"/>
    <w:rsid w:val="00B60C4B"/>
    <w:rsid w:val="00B63237"/>
    <w:rsid w:val="00B7131F"/>
    <w:rsid w:val="00B74831"/>
    <w:rsid w:val="00B806F2"/>
    <w:rsid w:val="00B807C6"/>
    <w:rsid w:val="00B87F6C"/>
    <w:rsid w:val="00B92314"/>
    <w:rsid w:val="00B932F4"/>
    <w:rsid w:val="00B95DDC"/>
    <w:rsid w:val="00BA166B"/>
    <w:rsid w:val="00BC166C"/>
    <w:rsid w:val="00BD04F7"/>
    <w:rsid w:val="00BD07F0"/>
    <w:rsid w:val="00BD289A"/>
    <w:rsid w:val="00BD4247"/>
    <w:rsid w:val="00BE241B"/>
    <w:rsid w:val="00BE2AC7"/>
    <w:rsid w:val="00BE7266"/>
    <w:rsid w:val="00C04E93"/>
    <w:rsid w:val="00C059B6"/>
    <w:rsid w:val="00C06441"/>
    <w:rsid w:val="00C33C7E"/>
    <w:rsid w:val="00C41874"/>
    <w:rsid w:val="00C4625A"/>
    <w:rsid w:val="00C551A1"/>
    <w:rsid w:val="00C71301"/>
    <w:rsid w:val="00C75ACF"/>
    <w:rsid w:val="00C87287"/>
    <w:rsid w:val="00C876F7"/>
    <w:rsid w:val="00C960DC"/>
    <w:rsid w:val="00CA77BE"/>
    <w:rsid w:val="00CD35B1"/>
    <w:rsid w:val="00CF4A95"/>
    <w:rsid w:val="00D02C75"/>
    <w:rsid w:val="00D03ADC"/>
    <w:rsid w:val="00D040BE"/>
    <w:rsid w:val="00D0537C"/>
    <w:rsid w:val="00D05D89"/>
    <w:rsid w:val="00D069F4"/>
    <w:rsid w:val="00D0789C"/>
    <w:rsid w:val="00D10B74"/>
    <w:rsid w:val="00D10E22"/>
    <w:rsid w:val="00D12A49"/>
    <w:rsid w:val="00D1305A"/>
    <w:rsid w:val="00D1326D"/>
    <w:rsid w:val="00D13D2C"/>
    <w:rsid w:val="00D17954"/>
    <w:rsid w:val="00D2320C"/>
    <w:rsid w:val="00D2566F"/>
    <w:rsid w:val="00D31A05"/>
    <w:rsid w:val="00D4714D"/>
    <w:rsid w:val="00D51DB1"/>
    <w:rsid w:val="00D539B0"/>
    <w:rsid w:val="00D566D5"/>
    <w:rsid w:val="00D571E7"/>
    <w:rsid w:val="00DA28C9"/>
    <w:rsid w:val="00DC22E0"/>
    <w:rsid w:val="00DC2F94"/>
    <w:rsid w:val="00DC5D36"/>
    <w:rsid w:val="00DD3D9E"/>
    <w:rsid w:val="00DD7908"/>
    <w:rsid w:val="00DE0119"/>
    <w:rsid w:val="00E05A07"/>
    <w:rsid w:val="00E05B5A"/>
    <w:rsid w:val="00E0720F"/>
    <w:rsid w:val="00E21DCB"/>
    <w:rsid w:val="00E3644E"/>
    <w:rsid w:val="00E405BB"/>
    <w:rsid w:val="00E61C3A"/>
    <w:rsid w:val="00E726E0"/>
    <w:rsid w:val="00E767AD"/>
    <w:rsid w:val="00E82297"/>
    <w:rsid w:val="00E87B79"/>
    <w:rsid w:val="00E967C8"/>
    <w:rsid w:val="00EA7ABE"/>
    <w:rsid w:val="00EC4D2A"/>
    <w:rsid w:val="00EC6E9F"/>
    <w:rsid w:val="00EF39FD"/>
    <w:rsid w:val="00EF4FED"/>
    <w:rsid w:val="00F06842"/>
    <w:rsid w:val="00F107FD"/>
    <w:rsid w:val="00F24B22"/>
    <w:rsid w:val="00F31715"/>
    <w:rsid w:val="00F32268"/>
    <w:rsid w:val="00F33656"/>
    <w:rsid w:val="00F542B4"/>
    <w:rsid w:val="00F56C9F"/>
    <w:rsid w:val="00F7635B"/>
    <w:rsid w:val="00F80C03"/>
    <w:rsid w:val="00F84FF6"/>
    <w:rsid w:val="00FB64A8"/>
    <w:rsid w:val="00FC27CE"/>
    <w:rsid w:val="00FC61BC"/>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Platzhaltertext">
    <w:name w:val="Placeholder Text"/>
    <w:basedOn w:val="Absatz-Standardschriftart"/>
    <w:uiPriority w:val="99"/>
    <w:semiHidden/>
    <w:rsid w:val="00163D7A"/>
    <w:rPr>
      <w:color w:val="808080"/>
    </w:rPr>
  </w:style>
  <w:style w:type="table" w:styleId="Tabellenraster">
    <w:name w:val="Table Grid"/>
    <w:basedOn w:val="NormaleTabelle"/>
    <w:rsid w:val="00860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D05E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0432">
      <w:bodyDiv w:val="1"/>
      <w:marLeft w:val="0"/>
      <w:marRight w:val="0"/>
      <w:marTop w:val="0"/>
      <w:marBottom w:val="0"/>
      <w:divBdr>
        <w:top w:val="none" w:sz="0" w:space="0" w:color="auto"/>
        <w:left w:val="none" w:sz="0" w:space="0" w:color="auto"/>
        <w:bottom w:val="none" w:sz="0" w:space="0" w:color="auto"/>
        <w:right w:val="none" w:sz="0" w:space="0" w:color="auto"/>
      </w:divBdr>
    </w:div>
    <w:div w:id="881939486">
      <w:bodyDiv w:val="1"/>
      <w:marLeft w:val="0"/>
      <w:marRight w:val="0"/>
      <w:marTop w:val="0"/>
      <w:marBottom w:val="0"/>
      <w:divBdr>
        <w:top w:val="none" w:sz="0" w:space="0" w:color="auto"/>
        <w:left w:val="none" w:sz="0" w:space="0" w:color="auto"/>
        <w:bottom w:val="none" w:sz="0" w:space="0" w:color="auto"/>
        <w:right w:val="none" w:sz="0" w:space="0" w:color="auto"/>
      </w:divBdr>
    </w:div>
    <w:div w:id="10953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2554</Words>
  <Characters>16096</Characters>
  <Application>Microsoft Office Word</Application>
  <DocSecurity>0</DocSecurity>
  <Lines>134</Lines>
  <Paragraphs>37</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Germscheid, Sonja</cp:lastModifiedBy>
  <cp:revision>9</cp:revision>
  <cp:lastPrinted>2023-10-16T06:11:00Z</cp:lastPrinted>
  <dcterms:created xsi:type="dcterms:W3CDTF">2023-11-23T11:15:00Z</dcterms:created>
  <dcterms:modified xsi:type="dcterms:W3CDTF">2023-12-12T11:03:00Z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