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CCF511B" w:rsidR="00DD3D9E" w:rsidRPr="00B4388F" w:rsidRDefault="00687270" w:rsidP="00687270">
      <w:pPr>
        <w:pStyle w:val="Els-Title"/>
        <w:jc w:val="both"/>
        <w:rPr>
          <w:color w:val="000000" w:themeColor="text1"/>
        </w:rPr>
      </w:pPr>
      <w:r>
        <w:t xml:space="preserve">Dynamic Modelling Approaches in Life Cycle Assessment: </w:t>
      </w:r>
      <w:r w:rsidR="00F7105A">
        <w:t>A</w:t>
      </w:r>
      <w:r>
        <w:t xml:space="preserve"> Case Study for the Evaluation of Power-to-Hydrogen</w:t>
      </w:r>
    </w:p>
    <w:p w14:paraId="144DE680" w14:textId="27D4FA48" w:rsidR="00DD3D9E" w:rsidRPr="00DC5C02" w:rsidRDefault="00CB3D23">
      <w:pPr>
        <w:pStyle w:val="Els-Author"/>
      </w:pPr>
      <w:r w:rsidRPr="00DC5C02">
        <w:t>Laura R.</w:t>
      </w:r>
      <w:r w:rsidR="00F5447A" w:rsidRPr="00DC5C02">
        <w:t xml:space="preserve"> </w:t>
      </w:r>
      <w:r w:rsidRPr="00DC5C02">
        <w:t>Piñeiro</w:t>
      </w:r>
      <w:r w:rsidR="005D23E3" w:rsidRPr="00DC5C02">
        <w:t>*</w:t>
      </w:r>
      <w:r w:rsidR="00F5447A" w:rsidRPr="00DC5C02">
        <w:t>, Silvia Moreno, Ángel Luis V. Perales, Bernabé A. Fariñas, Pedro Haro</w:t>
      </w:r>
    </w:p>
    <w:p w14:paraId="431BBDB8" w14:textId="33612CD7" w:rsidR="00244B6C" w:rsidRDefault="00244B6C" w:rsidP="006B7556">
      <w:pPr>
        <w:pStyle w:val="Els-Affiliation"/>
      </w:pPr>
      <w:r>
        <w:t>Department of Chemical and Environmental Engineering</w:t>
      </w:r>
      <w:r w:rsidR="00CB196D">
        <w:t>.</w:t>
      </w:r>
    </w:p>
    <w:p w14:paraId="14FA61C9" w14:textId="77777777" w:rsidR="00CB196D" w:rsidRDefault="00244B6C" w:rsidP="006B7556">
      <w:pPr>
        <w:pStyle w:val="Els-Affiliation"/>
        <w:rPr>
          <w:lang w:val="es-ES"/>
        </w:rPr>
      </w:pPr>
      <w:r w:rsidRPr="00244B6C">
        <w:rPr>
          <w:lang w:val="es-ES"/>
        </w:rPr>
        <w:t xml:space="preserve">Escuela Técnica Superior de Ingeniería, Universidad de Sevilla. </w:t>
      </w:r>
    </w:p>
    <w:p w14:paraId="054F944A" w14:textId="178875C9" w:rsidR="00244B6C" w:rsidRDefault="00244B6C" w:rsidP="006B7556">
      <w:pPr>
        <w:pStyle w:val="Els-Affiliation"/>
        <w:rPr>
          <w:lang w:val="es-ES"/>
        </w:rPr>
      </w:pPr>
      <w:r w:rsidRPr="00244B6C">
        <w:rPr>
          <w:lang w:val="es-ES"/>
        </w:rPr>
        <w:t>Camino de los</w:t>
      </w:r>
      <w:r w:rsidR="00CB196D">
        <w:rPr>
          <w:lang w:val="es-ES"/>
        </w:rPr>
        <w:t xml:space="preserve"> </w:t>
      </w:r>
      <w:r w:rsidRPr="00244B6C">
        <w:rPr>
          <w:lang w:val="es-ES"/>
        </w:rPr>
        <w:t>Descubrimientos. Seville, Spain</w:t>
      </w:r>
    </w:p>
    <w:p w14:paraId="144DE683" w14:textId="30925BC6" w:rsidR="008D2649" w:rsidRPr="005D23E3" w:rsidRDefault="005D23E3" w:rsidP="006B7556">
      <w:pPr>
        <w:pStyle w:val="Els-Affiliation"/>
        <w:rPr>
          <w:lang w:val="en-US"/>
        </w:rPr>
      </w:pPr>
      <w:r>
        <w:rPr>
          <w:lang w:val="en-US"/>
        </w:rPr>
        <w:t>*</w:t>
      </w:r>
      <w:r w:rsidR="007A314A" w:rsidRPr="005D23E3">
        <w:rPr>
          <w:lang w:val="en-US"/>
        </w:rPr>
        <w:t>lromero4@us.es</w:t>
      </w:r>
    </w:p>
    <w:p w14:paraId="144DE684" w14:textId="77777777" w:rsidR="008D2649" w:rsidRPr="005D23E3" w:rsidRDefault="008D2649" w:rsidP="008D2649">
      <w:pPr>
        <w:pStyle w:val="Els-Abstract"/>
      </w:pPr>
      <w:r w:rsidRPr="005D23E3">
        <w:t>Abstract</w:t>
      </w:r>
    </w:p>
    <w:p w14:paraId="1BB39B61" w14:textId="7AFFC59A" w:rsidR="00486E3A" w:rsidRDefault="00CE37FF" w:rsidP="008D2649">
      <w:pPr>
        <w:pStyle w:val="Els-body-text"/>
        <w:spacing w:after="120"/>
        <w:rPr>
          <w:lang w:val="en-GB"/>
        </w:rPr>
      </w:pPr>
      <w:r w:rsidRPr="00CE37FF">
        <w:rPr>
          <w:lang w:val="en-GB"/>
        </w:rPr>
        <w:t xml:space="preserve">This study introduces </w:t>
      </w:r>
      <w:r w:rsidR="0066588C">
        <w:rPr>
          <w:lang w:val="en-GB"/>
        </w:rPr>
        <w:t xml:space="preserve">a model developed in </w:t>
      </w:r>
      <w:r w:rsidRPr="00CE37FF">
        <w:rPr>
          <w:lang w:val="en-GB"/>
        </w:rPr>
        <w:t>MATLAB</w:t>
      </w:r>
      <w:r>
        <w:rPr>
          <w:lang w:val="en-GB"/>
        </w:rPr>
        <w:t xml:space="preserve"> </w:t>
      </w:r>
      <w:r w:rsidR="00A11ADE">
        <w:rPr>
          <w:lang w:val="en-GB"/>
        </w:rPr>
        <w:t>that uses</w:t>
      </w:r>
      <w:r w:rsidR="009A04ED">
        <w:rPr>
          <w:lang w:val="en-GB"/>
        </w:rPr>
        <w:t xml:space="preserve"> different</w:t>
      </w:r>
      <w:r w:rsidRPr="00CE37FF">
        <w:rPr>
          <w:lang w:val="en-GB"/>
        </w:rPr>
        <w:t xml:space="preserve"> analytical approaches to investigate the impact of </w:t>
      </w:r>
      <w:r w:rsidR="001F2C4A">
        <w:rPr>
          <w:lang w:val="en-GB"/>
        </w:rPr>
        <w:t xml:space="preserve">incorporating </w:t>
      </w:r>
      <w:r w:rsidRPr="00CE37FF">
        <w:rPr>
          <w:lang w:val="en-GB"/>
        </w:rPr>
        <w:t>temporal considerations in Life Cycle Assessment (LCA), encompassing dynamic Life Cycle Inventory (LCI), the analysis of varied time horizons</w:t>
      </w:r>
      <w:r w:rsidR="005F2FA5">
        <w:rPr>
          <w:lang w:val="en-GB"/>
        </w:rPr>
        <w:t xml:space="preserve"> (TH)</w:t>
      </w:r>
      <w:r w:rsidRPr="00CE37FF">
        <w:rPr>
          <w:lang w:val="en-GB"/>
        </w:rPr>
        <w:t>, and the application of an absolute</w:t>
      </w:r>
      <w:r w:rsidR="005B35B4">
        <w:rPr>
          <w:lang w:val="en-GB"/>
        </w:rPr>
        <w:t xml:space="preserve"> metric</w:t>
      </w:r>
      <w:r w:rsidR="00B51476" w:rsidRPr="00B51476">
        <w:rPr>
          <w:rFonts w:ascii="Segoe UI" w:hAnsi="Segoe UI" w:cs="Segoe UI"/>
          <w:color w:val="374151"/>
          <w:lang w:val="en-GB"/>
        </w:rPr>
        <w:t xml:space="preserve"> </w:t>
      </w:r>
      <w:r w:rsidR="00B51476" w:rsidRPr="00B51476">
        <w:rPr>
          <w:lang w:val="en-GB"/>
        </w:rPr>
        <w:t>to illustrate the temporal evolution of climate impacts.</w:t>
      </w:r>
      <w:r w:rsidR="00486E3A">
        <w:rPr>
          <w:lang w:val="en-GB"/>
        </w:rPr>
        <w:t xml:space="preserve"> </w:t>
      </w:r>
      <w:r w:rsidR="00A30ABF" w:rsidRPr="00A30ABF">
        <w:rPr>
          <w:lang w:val="en-GB"/>
        </w:rPr>
        <w:t>Results demonstrate</w:t>
      </w:r>
      <w:r w:rsidR="00486E3A" w:rsidRPr="00486E3A">
        <w:rPr>
          <w:lang w:val="en-GB"/>
        </w:rPr>
        <w:t xml:space="preserve"> that selecting a shorter </w:t>
      </w:r>
      <w:r w:rsidR="005F2FA5">
        <w:rPr>
          <w:lang w:val="en-GB"/>
        </w:rPr>
        <w:t xml:space="preserve">TH </w:t>
      </w:r>
      <w:r w:rsidR="00486E3A" w:rsidRPr="00486E3A">
        <w:rPr>
          <w:lang w:val="en-GB"/>
        </w:rPr>
        <w:t>can lead to higher CO</w:t>
      </w:r>
      <w:r w:rsidR="00486E3A" w:rsidRPr="00486E3A">
        <w:rPr>
          <w:vertAlign w:val="subscript"/>
          <w:lang w:val="en-GB"/>
        </w:rPr>
        <w:t>2</w:t>
      </w:r>
      <w:r w:rsidR="00486E3A" w:rsidRPr="00486E3A">
        <w:rPr>
          <w:lang w:val="en-GB"/>
        </w:rPr>
        <w:t xml:space="preserve"> equivalent emissions due to</w:t>
      </w:r>
      <w:r w:rsidR="00B23D20">
        <w:rPr>
          <w:lang w:val="en-GB"/>
        </w:rPr>
        <w:t xml:space="preserve"> the increased impact of</w:t>
      </w:r>
      <w:r w:rsidR="00486E3A" w:rsidRPr="00486E3A">
        <w:rPr>
          <w:lang w:val="en-GB"/>
        </w:rPr>
        <w:t xml:space="preserve"> methane. However, the variability </w:t>
      </w:r>
      <w:r w:rsidR="002614B5">
        <w:rPr>
          <w:lang w:val="en-GB"/>
        </w:rPr>
        <w:t>of the impact of</w:t>
      </w:r>
      <w:r w:rsidR="00486E3A" w:rsidRPr="00486E3A">
        <w:rPr>
          <w:lang w:val="en-GB"/>
        </w:rPr>
        <w:t xml:space="preserve"> the production of hydrogen from water electrolysis is minimal across different time horizons </w:t>
      </w:r>
      <w:r w:rsidR="00454E57">
        <w:rPr>
          <w:lang w:val="en-GB"/>
        </w:rPr>
        <w:t>due to</w:t>
      </w:r>
      <w:r w:rsidR="00486E3A" w:rsidRPr="00486E3A">
        <w:rPr>
          <w:lang w:val="en-GB"/>
        </w:rPr>
        <w:t xml:space="preserve"> the dominant role of CO</w:t>
      </w:r>
      <w:r w:rsidR="00486E3A" w:rsidRPr="00454E57">
        <w:rPr>
          <w:vertAlign w:val="subscript"/>
          <w:lang w:val="en-GB"/>
        </w:rPr>
        <w:t xml:space="preserve">2 </w:t>
      </w:r>
      <w:r w:rsidR="00486E3A" w:rsidRPr="00486E3A">
        <w:rPr>
          <w:lang w:val="en-GB"/>
        </w:rPr>
        <w:t xml:space="preserve">emissions. </w:t>
      </w:r>
    </w:p>
    <w:p w14:paraId="4352E37D" w14:textId="19E1B02D" w:rsidR="00B762CD" w:rsidRDefault="008D2649" w:rsidP="00B762CD">
      <w:pPr>
        <w:pStyle w:val="Els-body-text"/>
        <w:spacing w:after="120"/>
        <w:rPr>
          <w:lang w:val="en-GB"/>
        </w:rPr>
      </w:pPr>
      <w:r>
        <w:rPr>
          <w:b/>
          <w:bCs/>
          <w:lang w:val="en-GB"/>
        </w:rPr>
        <w:t>Keywords</w:t>
      </w:r>
      <w:r>
        <w:rPr>
          <w:lang w:val="en-GB"/>
        </w:rPr>
        <w:t xml:space="preserve">: </w:t>
      </w:r>
      <w:r w:rsidR="00B762CD">
        <w:rPr>
          <w:lang w:val="en-GB"/>
        </w:rPr>
        <w:t xml:space="preserve">Time-dependent life cycle assessment, </w:t>
      </w:r>
      <w:r w:rsidR="00073EB1">
        <w:rPr>
          <w:lang w:val="en-GB"/>
        </w:rPr>
        <w:t>H</w:t>
      </w:r>
      <w:r w:rsidR="00B762CD">
        <w:rPr>
          <w:lang w:val="en-GB"/>
        </w:rPr>
        <w:t xml:space="preserve">ydrogen, </w:t>
      </w:r>
      <w:r w:rsidR="00073EB1">
        <w:rPr>
          <w:lang w:val="en-GB"/>
        </w:rPr>
        <w:t>E</w:t>
      </w:r>
      <w:r w:rsidR="00B762CD">
        <w:rPr>
          <w:lang w:val="en-GB"/>
        </w:rPr>
        <w:t xml:space="preserve">lectrolysis, </w:t>
      </w:r>
      <w:r w:rsidR="00583BFD">
        <w:rPr>
          <w:lang w:val="en-GB"/>
        </w:rPr>
        <w:t>Greenhouse</w:t>
      </w:r>
      <w:r w:rsidR="00073EB1">
        <w:rPr>
          <w:lang w:val="en-GB"/>
        </w:rPr>
        <w:t xml:space="preserve"> </w:t>
      </w:r>
      <w:r w:rsidR="00B278BB">
        <w:rPr>
          <w:lang w:val="en-GB"/>
        </w:rPr>
        <w:t>g</w:t>
      </w:r>
      <w:r w:rsidR="00073EB1">
        <w:rPr>
          <w:lang w:val="en-GB"/>
        </w:rPr>
        <w:t xml:space="preserve">as </w:t>
      </w:r>
      <w:r w:rsidR="00B278BB">
        <w:rPr>
          <w:lang w:val="en-GB"/>
        </w:rPr>
        <w:t>e</w:t>
      </w:r>
      <w:r w:rsidR="00073EB1">
        <w:rPr>
          <w:lang w:val="en-GB"/>
        </w:rPr>
        <w:t>missions</w:t>
      </w:r>
      <w:r w:rsidR="00D8049C">
        <w:rPr>
          <w:lang w:val="en-GB"/>
        </w:rPr>
        <w:t>, Global Warming Potential</w:t>
      </w:r>
    </w:p>
    <w:p w14:paraId="144DE689" w14:textId="7C62B955" w:rsidR="008D2649" w:rsidRDefault="00B762CD" w:rsidP="008D2649">
      <w:pPr>
        <w:pStyle w:val="Els-1storder-head"/>
      </w:pPr>
      <w:r>
        <w:t>Introduction</w:t>
      </w:r>
    </w:p>
    <w:p w14:paraId="22740AC8" w14:textId="34F4EB76" w:rsidR="007B5B9F" w:rsidRDefault="00AD49BF" w:rsidP="001112E9">
      <w:pPr>
        <w:jc w:val="both"/>
      </w:pPr>
      <w:r>
        <w:t>LCAs</w:t>
      </w:r>
      <w:r w:rsidR="001112E9" w:rsidRPr="00347ADB">
        <w:t xml:space="preserve"> are a widely used methodology for the systematic analysis of the potential environmental impacts of products or services during their entire life cycle. However, in conventional LCA the effect of Green House Gas (GHG) emissions at a certain time in the future is distorted, as emissions released in different times are added, and then, a static characterization factor is applied</w:t>
      </w:r>
      <w:r w:rsidR="009A660C">
        <w:t xml:space="preserve">, </w:t>
      </w:r>
      <w:r w:rsidR="001112E9" w:rsidRPr="00347ADB">
        <w:t>usually the</w:t>
      </w:r>
      <w:r w:rsidR="00347ADB">
        <w:t xml:space="preserve"> </w:t>
      </w:r>
      <w:r w:rsidR="00755782">
        <w:t xml:space="preserve">Global Warming Potential with a 100-year </w:t>
      </w:r>
      <w:r w:rsidR="00BE5A80">
        <w:t xml:space="preserve">time horizon </w:t>
      </w:r>
      <w:r w:rsidR="009A660C">
        <w:t>(</w:t>
      </w:r>
      <w:r w:rsidR="00347ADB">
        <w:t>GWP</w:t>
      </w:r>
      <w:r w:rsidR="00347ADB" w:rsidRPr="00347ADB">
        <w:rPr>
          <w:vertAlign w:val="subscript"/>
        </w:rPr>
        <w:t>100</w:t>
      </w:r>
      <w:r w:rsidR="00347ADB">
        <w:t>)</w:t>
      </w:r>
      <w:r w:rsidR="009E2E1F">
        <w:t>,</w:t>
      </w:r>
      <w:r w:rsidR="00347ADB" w:rsidRPr="00347ADB">
        <w:t xml:space="preserve"> </w:t>
      </w:r>
      <w:r w:rsidR="001112E9" w:rsidRPr="00347ADB">
        <w:t>modelling emissions as if they occur at the start of the analytical time horizon</w:t>
      </w:r>
      <w:r w:rsidR="00233BCE">
        <w:t xml:space="preserve"> (TH)</w:t>
      </w:r>
      <w:r w:rsidR="001112E9" w:rsidRPr="00347ADB">
        <w:t>, which fails to bring accurate evaluation values</w:t>
      </w:r>
      <w:r w:rsidR="00EB2679">
        <w:t xml:space="preserve"> (Zieger, 2020)</w:t>
      </w:r>
      <w:r w:rsidR="001112E9" w:rsidRPr="00347ADB">
        <w:t>.</w:t>
      </w:r>
      <w:r w:rsidR="00280CF6">
        <w:t xml:space="preserve"> </w:t>
      </w:r>
    </w:p>
    <w:p w14:paraId="029A4659" w14:textId="77777777" w:rsidR="001112E9" w:rsidRPr="00347ADB" w:rsidRDefault="001112E9" w:rsidP="001112E9">
      <w:pPr>
        <w:jc w:val="both"/>
      </w:pPr>
    </w:p>
    <w:p w14:paraId="176F91E7" w14:textId="426E7162" w:rsidR="006A4BCF" w:rsidRPr="00347ADB" w:rsidRDefault="001112E9" w:rsidP="001112E9">
      <w:pPr>
        <w:jc w:val="both"/>
      </w:pPr>
      <w:r w:rsidRPr="00347ADB">
        <w:t>Dynamic LCA (DLCA) research is increasingly generating interest, as it provides a more precise method of assessing impacts. Nonetheless, there is currently a lack of methodological guidelines to time incorporation in LCAs</w:t>
      </w:r>
      <w:r w:rsidR="00235675">
        <w:t xml:space="preserve">. </w:t>
      </w:r>
      <w:r w:rsidRPr="00347ADB">
        <w:t>However, the way in which dynamism is applied can considerably affect the environmental impact results.</w:t>
      </w:r>
    </w:p>
    <w:p w14:paraId="7DE0492F" w14:textId="77777777" w:rsidR="00DE51E4" w:rsidRPr="00347ADB" w:rsidRDefault="00DE51E4" w:rsidP="001112E9">
      <w:pPr>
        <w:jc w:val="both"/>
      </w:pPr>
    </w:p>
    <w:p w14:paraId="5060F0B2" w14:textId="03C9FE7A" w:rsidR="00256AE3" w:rsidRPr="00347ADB" w:rsidRDefault="00A17F62" w:rsidP="008D2649">
      <w:pPr>
        <w:pStyle w:val="Els-body-text"/>
        <w:rPr>
          <w:lang w:val="en-GB"/>
        </w:rPr>
      </w:pPr>
      <w:r w:rsidRPr="00347ADB">
        <w:t xml:space="preserve">This work </w:t>
      </w:r>
      <w:r w:rsidR="0002052B" w:rsidRPr="00347ADB">
        <w:t xml:space="preserve">delves into different methodologies for incorporating time in </w:t>
      </w:r>
      <w:r w:rsidR="00643E4E" w:rsidRPr="00347ADB">
        <w:t>LCA, using a</w:t>
      </w:r>
      <w:r w:rsidR="00DE3DDF" w:rsidRPr="00347ADB">
        <w:t>s</w:t>
      </w:r>
      <w:r w:rsidR="00643E4E" w:rsidRPr="00347ADB">
        <w:t xml:space="preserve"> a case study the </w:t>
      </w:r>
      <w:r w:rsidR="00DE3DDF" w:rsidRPr="00347ADB">
        <w:t xml:space="preserve">production of hydrogen </w:t>
      </w:r>
      <w:r w:rsidR="00ED45F8" w:rsidRPr="00347ADB">
        <w:t>via water electrolysis</w:t>
      </w:r>
      <w:r w:rsidR="006C601A" w:rsidRPr="00347ADB">
        <w:t xml:space="preserve">. The </w:t>
      </w:r>
      <w:proofErr w:type="spellStart"/>
      <w:r w:rsidR="00FA1F18" w:rsidRPr="00347ADB">
        <w:t>electrolyzer</w:t>
      </w:r>
      <w:proofErr w:type="spellEnd"/>
      <w:r w:rsidR="00FA1F18" w:rsidRPr="00347ADB">
        <w:t xml:space="preserve"> technology selected for th</w:t>
      </w:r>
      <w:r w:rsidR="00BF0860" w:rsidRPr="00347ADB">
        <w:t>e case</w:t>
      </w:r>
      <w:r w:rsidR="00FA1F18" w:rsidRPr="00347ADB">
        <w:t xml:space="preserve"> study was an </w:t>
      </w:r>
      <w:r w:rsidR="00D5752C" w:rsidRPr="00347ADB">
        <w:t xml:space="preserve">Alkaline </w:t>
      </w:r>
      <w:proofErr w:type="spellStart"/>
      <w:r w:rsidR="00D5752C" w:rsidRPr="00347ADB">
        <w:t>electrol</w:t>
      </w:r>
      <w:r w:rsidR="009B0C9B" w:rsidRPr="00347ADB">
        <w:t>yz</w:t>
      </w:r>
      <w:r w:rsidR="00D5752C" w:rsidRPr="00347ADB">
        <w:t>e</w:t>
      </w:r>
      <w:r w:rsidR="00FA1F18" w:rsidRPr="00347ADB">
        <w:t>r</w:t>
      </w:r>
      <w:proofErr w:type="spellEnd"/>
      <w:r w:rsidR="00FA1F18" w:rsidRPr="00347ADB">
        <w:t>, which is</w:t>
      </w:r>
      <w:r w:rsidR="006E525E" w:rsidRPr="00347ADB">
        <w:t xml:space="preserve"> </w:t>
      </w:r>
      <w:r w:rsidR="006E525E" w:rsidRPr="00347ADB">
        <w:rPr>
          <w:lang w:val="en-GB"/>
        </w:rPr>
        <w:t xml:space="preserve">well-suited for large-scale hydrogen production in centralized facilities due to their lower capital costs and high </w:t>
      </w:r>
      <w:r w:rsidR="005475C9" w:rsidRPr="00347ADB">
        <w:rPr>
          <w:lang w:val="en-GB"/>
        </w:rPr>
        <w:t xml:space="preserve">production </w:t>
      </w:r>
      <w:r w:rsidR="00846C24" w:rsidRPr="00347ADB">
        <w:rPr>
          <w:lang w:val="en-GB"/>
        </w:rPr>
        <w:t>capacity</w:t>
      </w:r>
      <w:r w:rsidR="00846C24">
        <w:rPr>
          <w:lang w:val="en-GB"/>
        </w:rPr>
        <w:t xml:space="preserve"> and</w:t>
      </w:r>
      <w:r w:rsidR="00733F7C" w:rsidRPr="00347ADB">
        <w:rPr>
          <w:lang w:val="en-GB"/>
        </w:rPr>
        <w:t xml:space="preserve"> </w:t>
      </w:r>
      <w:r w:rsidR="006E525E" w:rsidRPr="00347ADB">
        <w:rPr>
          <w:lang w:val="en-GB"/>
        </w:rPr>
        <w:t xml:space="preserve">remain an attractive choice despite </w:t>
      </w:r>
      <w:r w:rsidR="00C836EB" w:rsidRPr="00347ADB">
        <w:rPr>
          <w:lang w:val="en-GB"/>
        </w:rPr>
        <w:t>having a</w:t>
      </w:r>
      <w:r w:rsidR="006E525E" w:rsidRPr="00347ADB">
        <w:rPr>
          <w:lang w:val="en-GB"/>
        </w:rPr>
        <w:t xml:space="preserve"> lower efficiency </w:t>
      </w:r>
      <w:r w:rsidR="00C836EB" w:rsidRPr="00347ADB">
        <w:rPr>
          <w:lang w:val="en-GB"/>
        </w:rPr>
        <w:t>than</w:t>
      </w:r>
      <w:r w:rsidR="006E525E" w:rsidRPr="00347ADB">
        <w:rPr>
          <w:lang w:val="en-GB"/>
        </w:rPr>
        <w:t xml:space="preserve"> </w:t>
      </w:r>
      <w:r w:rsidR="00B76D33">
        <w:rPr>
          <w:lang w:val="en-GB"/>
        </w:rPr>
        <w:t>Proton Exchange Membrane (</w:t>
      </w:r>
      <w:r w:rsidR="006E525E" w:rsidRPr="00347ADB">
        <w:rPr>
          <w:lang w:val="en-GB"/>
        </w:rPr>
        <w:t>PEM</w:t>
      </w:r>
      <w:r w:rsidR="00B76D33">
        <w:rPr>
          <w:lang w:val="en-GB"/>
        </w:rPr>
        <w:t>)</w:t>
      </w:r>
      <w:r w:rsidR="006E525E" w:rsidRPr="00347ADB">
        <w:rPr>
          <w:lang w:val="en-GB"/>
        </w:rPr>
        <w:t xml:space="preserve"> </w:t>
      </w:r>
      <w:proofErr w:type="spellStart"/>
      <w:r w:rsidR="006E525E" w:rsidRPr="00347ADB">
        <w:rPr>
          <w:lang w:val="en-GB"/>
        </w:rPr>
        <w:t>electrolyzers</w:t>
      </w:r>
      <w:proofErr w:type="spellEnd"/>
      <w:r w:rsidR="00BA7747" w:rsidRPr="00347ADB">
        <w:rPr>
          <w:lang w:val="en-GB"/>
        </w:rPr>
        <w:t xml:space="preserve"> (Senza, n.d.)</w:t>
      </w:r>
      <w:r w:rsidR="00F941DA" w:rsidRPr="00347ADB">
        <w:rPr>
          <w:lang w:val="en-GB"/>
        </w:rPr>
        <w:t>.</w:t>
      </w:r>
    </w:p>
    <w:p w14:paraId="144DE699" w14:textId="0BDB9EC5" w:rsidR="008D2649" w:rsidRDefault="003C18AA" w:rsidP="008D2649">
      <w:pPr>
        <w:pStyle w:val="Els-1storder-head"/>
      </w:pPr>
      <w:r>
        <w:lastRenderedPageBreak/>
        <w:t>Methodology</w:t>
      </w:r>
    </w:p>
    <w:p w14:paraId="4B9034F9" w14:textId="74EEF3FC" w:rsidR="00590C6E" w:rsidRDefault="00EC1CD0" w:rsidP="00590C6E">
      <w:pPr>
        <w:pStyle w:val="Els-2ndorder-head"/>
      </w:pPr>
      <w:r>
        <w:t>Goal and scope</w:t>
      </w:r>
    </w:p>
    <w:p w14:paraId="10E6857F" w14:textId="77777777" w:rsidR="002377C4" w:rsidRDefault="002377C4" w:rsidP="003D73C8">
      <w:pPr>
        <w:pStyle w:val="Els-body-text"/>
        <w:rPr>
          <w:lang w:val="en-GB"/>
        </w:rPr>
      </w:pPr>
    </w:p>
    <w:p w14:paraId="59DC293A" w14:textId="252667F7" w:rsidR="00935828" w:rsidRDefault="002120DF" w:rsidP="008D2649">
      <w:pPr>
        <w:pStyle w:val="Els-body-text"/>
        <w:rPr>
          <w:lang w:val="en-GB"/>
        </w:rPr>
      </w:pPr>
      <w:r w:rsidRPr="002120DF">
        <w:rPr>
          <w:lang w:val="en-GB"/>
        </w:rPr>
        <w:t>The system boundary </w:t>
      </w:r>
      <w:r>
        <w:rPr>
          <w:lang w:val="en-GB"/>
        </w:rPr>
        <w:t xml:space="preserve">was </w:t>
      </w:r>
      <w:r w:rsidRPr="002120DF">
        <w:rPr>
          <w:lang w:val="en-GB"/>
        </w:rPr>
        <w:t>set as cradle to gate</w:t>
      </w:r>
      <w:r w:rsidR="00313A3E">
        <w:rPr>
          <w:lang w:val="en-GB"/>
        </w:rPr>
        <w:t xml:space="preserve"> </w:t>
      </w:r>
      <w:r>
        <w:rPr>
          <w:lang w:val="en-GB"/>
        </w:rPr>
        <w:t>and t</w:t>
      </w:r>
      <w:r w:rsidR="003B377A" w:rsidRPr="003B377A">
        <w:rPr>
          <w:lang w:val="en-GB"/>
        </w:rPr>
        <w:t xml:space="preserve">he selected functional unit </w:t>
      </w:r>
      <w:r>
        <w:rPr>
          <w:lang w:val="en-GB"/>
        </w:rPr>
        <w:t>was</w:t>
      </w:r>
      <w:r w:rsidR="003B377A" w:rsidRPr="003B377A">
        <w:rPr>
          <w:lang w:val="en-GB"/>
        </w:rPr>
        <w:t xml:space="preserve"> 1 kg</w:t>
      </w:r>
      <w:r w:rsidR="00191352">
        <w:rPr>
          <w:lang w:val="en-GB"/>
        </w:rPr>
        <w:t xml:space="preserve"> of hydrogen.</w:t>
      </w:r>
      <w:r>
        <w:rPr>
          <w:lang w:val="en-GB"/>
        </w:rPr>
        <w:t xml:space="preserve"> </w:t>
      </w:r>
      <w:r w:rsidR="003D73C8">
        <w:rPr>
          <w:lang w:val="en-GB"/>
        </w:rPr>
        <w:t>All environmental burdens were allocated to hydrogen production, as the only by-product of electrolysis is oxygen, and this gas is usually vented</w:t>
      </w:r>
      <w:r w:rsidR="00D96EAD">
        <w:rPr>
          <w:lang w:val="en-GB"/>
        </w:rPr>
        <w:t xml:space="preserve"> </w:t>
      </w:r>
      <w:r w:rsidR="00FF6408">
        <w:rPr>
          <w:lang w:val="en-GB"/>
        </w:rPr>
        <w:t>(</w:t>
      </w:r>
      <w:proofErr w:type="spellStart"/>
      <w:r w:rsidR="00D96EAD" w:rsidRPr="002F1FE8">
        <w:rPr>
          <w:lang w:val="en-GB"/>
        </w:rPr>
        <w:t>Bareiß</w:t>
      </w:r>
      <w:proofErr w:type="spellEnd"/>
      <w:r w:rsidR="00D96EAD">
        <w:rPr>
          <w:lang w:val="en-GB"/>
        </w:rPr>
        <w:t xml:space="preserve"> et al., 2019)</w:t>
      </w:r>
      <w:r w:rsidR="00957894">
        <w:rPr>
          <w:lang w:val="en-GB"/>
        </w:rPr>
        <w:t>.</w:t>
      </w:r>
      <w:r w:rsidR="003D73C8">
        <w:rPr>
          <w:lang w:val="en-GB"/>
        </w:rPr>
        <w:t xml:space="preserve"> </w:t>
      </w:r>
      <w:r w:rsidR="009F2A51">
        <w:t xml:space="preserve">The impact category considered is </w:t>
      </w:r>
      <w:r w:rsidR="00B94C91">
        <w:t>climate change</w:t>
      </w:r>
      <w:r w:rsidR="009F2A51">
        <w:t xml:space="preserve"> and it was based on the major GHG (i.e., CO</w:t>
      </w:r>
      <w:r w:rsidR="009F2A51" w:rsidRPr="0002052B">
        <w:rPr>
          <w:vertAlign w:val="subscript"/>
        </w:rPr>
        <w:t>2</w:t>
      </w:r>
      <w:r w:rsidR="009F2A51">
        <w:t>, CH</w:t>
      </w:r>
      <w:r w:rsidR="009F2A51" w:rsidRPr="0002052B">
        <w:rPr>
          <w:vertAlign w:val="subscript"/>
        </w:rPr>
        <w:t>4</w:t>
      </w:r>
      <w:r w:rsidR="009F2A51">
        <w:t xml:space="preserve"> and N</w:t>
      </w:r>
      <w:r w:rsidR="009F2A51" w:rsidRPr="0002052B">
        <w:rPr>
          <w:vertAlign w:val="subscript"/>
        </w:rPr>
        <w:t>2</w:t>
      </w:r>
      <w:r w:rsidR="009F2A51">
        <w:t>O).</w:t>
      </w:r>
      <w:r w:rsidR="00154ACB">
        <w:t xml:space="preserve"> </w:t>
      </w:r>
      <w:r w:rsidR="00191352">
        <w:rPr>
          <w:lang w:val="en-GB"/>
        </w:rPr>
        <w:t>Th</w:t>
      </w:r>
      <w:r w:rsidR="00032CAC">
        <w:rPr>
          <w:lang w:val="en-GB"/>
        </w:rPr>
        <w:t>e</w:t>
      </w:r>
      <w:r w:rsidR="00191352">
        <w:rPr>
          <w:lang w:val="en-GB"/>
        </w:rPr>
        <w:t xml:space="preserve"> attributional LCA was </w:t>
      </w:r>
      <w:r w:rsidR="00584747">
        <w:rPr>
          <w:lang w:val="en-GB"/>
        </w:rPr>
        <w:t>implemented</w:t>
      </w:r>
      <w:r w:rsidR="00191352">
        <w:rPr>
          <w:lang w:val="en-GB"/>
        </w:rPr>
        <w:t xml:space="preserve"> </w:t>
      </w:r>
      <w:r w:rsidR="00126EED">
        <w:rPr>
          <w:lang w:val="en-GB"/>
        </w:rPr>
        <w:t xml:space="preserve">in MATLAB, using data </w:t>
      </w:r>
      <w:r w:rsidR="00E83B3F">
        <w:rPr>
          <w:lang w:val="en-GB"/>
        </w:rPr>
        <w:t xml:space="preserve">of the </w:t>
      </w:r>
      <w:proofErr w:type="spellStart"/>
      <w:r w:rsidR="00E83B3F">
        <w:rPr>
          <w:lang w:val="en-GB"/>
        </w:rPr>
        <w:t>Ecoinvent</w:t>
      </w:r>
      <w:proofErr w:type="spellEnd"/>
      <w:r w:rsidR="00146464">
        <w:rPr>
          <w:lang w:val="en-GB"/>
        </w:rPr>
        <w:t xml:space="preserve"> 3.8</w:t>
      </w:r>
      <w:r w:rsidR="00E83B3F">
        <w:rPr>
          <w:lang w:val="en-GB"/>
        </w:rPr>
        <w:t xml:space="preserve"> database from the </w:t>
      </w:r>
      <w:proofErr w:type="spellStart"/>
      <w:r w:rsidR="00E83B3F">
        <w:rPr>
          <w:lang w:val="en-GB"/>
        </w:rPr>
        <w:t>SigmaPro</w:t>
      </w:r>
      <w:proofErr w:type="spellEnd"/>
      <w:r w:rsidR="00E83B3F">
        <w:rPr>
          <w:lang w:val="en-GB"/>
        </w:rPr>
        <w:t xml:space="preserve"> </w:t>
      </w:r>
      <w:r w:rsidR="00D710FE">
        <w:rPr>
          <w:lang w:val="en-GB"/>
        </w:rPr>
        <w:t xml:space="preserve">9.5 </w:t>
      </w:r>
      <w:r w:rsidR="00146464">
        <w:rPr>
          <w:lang w:val="en-GB"/>
        </w:rPr>
        <w:t>s</w:t>
      </w:r>
      <w:r w:rsidR="00E83B3F">
        <w:rPr>
          <w:lang w:val="en-GB"/>
        </w:rPr>
        <w:t>oftware</w:t>
      </w:r>
      <w:r w:rsidR="00864E72">
        <w:rPr>
          <w:lang w:val="en-GB"/>
        </w:rPr>
        <w:t xml:space="preserve">. The inventory data used was that of reference </w:t>
      </w:r>
      <w:r w:rsidR="00B41125">
        <w:rPr>
          <w:lang w:val="en-GB"/>
        </w:rPr>
        <w:t>(</w:t>
      </w:r>
      <w:proofErr w:type="spellStart"/>
      <w:r w:rsidR="00B41125">
        <w:rPr>
          <w:lang w:val="en-GB"/>
        </w:rPr>
        <w:t>Koj</w:t>
      </w:r>
      <w:proofErr w:type="spellEnd"/>
      <w:r w:rsidR="002675BA">
        <w:rPr>
          <w:lang w:val="en-GB"/>
        </w:rPr>
        <w:t xml:space="preserve"> et al.</w:t>
      </w:r>
      <w:r w:rsidR="00B41125">
        <w:rPr>
          <w:lang w:val="en-GB"/>
        </w:rPr>
        <w:t xml:space="preserve">, </w:t>
      </w:r>
      <w:r w:rsidR="002675BA">
        <w:rPr>
          <w:lang w:val="en-GB"/>
        </w:rPr>
        <w:t>2017)</w:t>
      </w:r>
      <w:r w:rsidR="00957894">
        <w:rPr>
          <w:lang w:val="en-GB"/>
        </w:rPr>
        <w:t xml:space="preserve">. </w:t>
      </w:r>
      <w:r w:rsidR="00A95BB4">
        <w:rPr>
          <w:lang w:val="en-GB"/>
        </w:rPr>
        <w:t>Nevertheless, as the previous study prove</w:t>
      </w:r>
      <w:r w:rsidR="00981EDE">
        <w:rPr>
          <w:lang w:val="en-GB"/>
        </w:rPr>
        <w:t>d</w:t>
      </w:r>
      <w:r w:rsidR="00A95BB4">
        <w:rPr>
          <w:lang w:val="en-GB"/>
        </w:rPr>
        <w:t xml:space="preserve"> that </w:t>
      </w:r>
      <w:r w:rsidR="007A6D6E">
        <w:rPr>
          <w:lang w:val="en-GB"/>
        </w:rPr>
        <w:t>the impact of</w:t>
      </w:r>
      <w:r w:rsidR="00880A1D">
        <w:rPr>
          <w:lang w:val="en-GB"/>
        </w:rPr>
        <w:t xml:space="preserve"> the construction phase </w:t>
      </w:r>
      <w:r w:rsidR="00891A55">
        <w:rPr>
          <w:lang w:val="en-GB"/>
        </w:rPr>
        <w:t>was</w:t>
      </w:r>
      <w:r w:rsidR="00880A1D">
        <w:rPr>
          <w:lang w:val="en-GB"/>
        </w:rPr>
        <w:t xml:space="preserve"> </w:t>
      </w:r>
      <w:r w:rsidR="009F1C15">
        <w:rPr>
          <w:lang w:val="en-GB"/>
        </w:rPr>
        <w:t xml:space="preserve">negligible </w:t>
      </w:r>
      <w:r w:rsidR="007A6D6E">
        <w:rPr>
          <w:lang w:val="en-GB"/>
        </w:rPr>
        <w:t>for</w:t>
      </w:r>
      <w:r w:rsidR="009F1C15">
        <w:rPr>
          <w:lang w:val="en-GB"/>
        </w:rPr>
        <w:t xml:space="preserve"> the impact category </w:t>
      </w:r>
      <w:r w:rsidR="00C0310D">
        <w:rPr>
          <w:lang w:val="en-GB"/>
        </w:rPr>
        <w:t>under consideration</w:t>
      </w:r>
      <w:r w:rsidR="009F1C15">
        <w:rPr>
          <w:lang w:val="en-GB"/>
        </w:rPr>
        <w:t xml:space="preserve">, only emissions from the </w:t>
      </w:r>
      <w:r w:rsidR="00A73D4A">
        <w:rPr>
          <w:lang w:val="en-GB"/>
        </w:rPr>
        <w:t xml:space="preserve">operation phase were </w:t>
      </w:r>
      <w:r w:rsidR="002F673B">
        <w:rPr>
          <w:lang w:val="en-GB"/>
        </w:rPr>
        <w:t>included</w:t>
      </w:r>
      <w:r w:rsidR="00A73D4A">
        <w:rPr>
          <w:lang w:val="en-GB"/>
        </w:rPr>
        <w:t xml:space="preserve"> in this study. </w:t>
      </w:r>
    </w:p>
    <w:p w14:paraId="543B4855" w14:textId="77777777" w:rsidR="00935828" w:rsidRDefault="00935828" w:rsidP="008D2649">
      <w:pPr>
        <w:pStyle w:val="Els-body-text"/>
        <w:rPr>
          <w:lang w:val="en-GB"/>
        </w:rPr>
      </w:pPr>
    </w:p>
    <w:p w14:paraId="30A5B5A1" w14:textId="77777777" w:rsidR="00821B23" w:rsidRDefault="00C11FF2" w:rsidP="00A5136E">
      <w:pPr>
        <w:pStyle w:val="Els-body-text"/>
        <w:rPr>
          <w:lang w:val="en-GB"/>
        </w:rPr>
      </w:pPr>
      <w:r>
        <w:rPr>
          <w:lang w:val="en-GB"/>
        </w:rPr>
        <w:t>T</w:t>
      </w:r>
      <w:r w:rsidR="006E5C0C">
        <w:rPr>
          <w:lang w:val="en-GB"/>
        </w:rPr>
        <w:t>h</w:t>
      </w:r>
      <w:r w:rsidR="00935828">
        <w:rPr>
          <w:lang w:val="en-GB"/>
        </w:rPr>
        <w:t>e</w:t>
      </w:r>
      <w:r w:rsidR="006E5C0C">
        <w:rPr>
          <w:lang w:val="en-GB"/>
        </w:rPr>
        <w:t xml:space="preserve"> </w:t>
      </w:r>
      <w:r w:rsidR="00680068">
        <w:rPr>
          <w:lang w:val="en-GB"/>
        </w:rPr>
        <w:t xml:space="preserve">Life Cycle Inventory </w:t>
      </w:r>
      <w:r w:rsidR="004C02CE">
        <w:rPr>
          <w:lang w:val="en-GB"/>
        </w:rPr>
        <w:t xml:space="preserve">(LCI) </w:t>
      </w:r>
      <w:r>
        <w:rPr>
          <w:lang w:val="en-GB"/>
        </w:rPr>
        <w:t>of</w:t>
      </w:r>
      <w:r w:rsidR="00935828">
        <w:rPr>
          <w:lang w:val="en-GB"/>
        </w:rPr>
        <w:t xml:space="preserve"> this work</w:t>
      </w:r>
      <w:r w:rsidR="00680068">
        <w:rPr>
          <w:lang w:val="en-GB"/>
        </w:rPr>
        <w:t xml:space="preserve"> </w:t>
      </w:r>
      <w:r w:rsidR="0052017B" w:rsidRPr="0052017B">
        <w:rPr>
          <w:lang w:val="en-GB"/>
        </w:rPr>
        <w:t>integra</w:t>
      </w:r>
      <w:r w:rsidR="00BB2EB9">
        <w:rPr>
          <w:lang w:val="en-GB"/>
        </w:rPr>
        <w:t>tes</w:t>
      </w:r>
      <w:r w:rsidR="0052017B" w:rsidRPr="0052017B">
        <w:rPr>
          <w:lang w:val="en-GB"/>
        </w:rPr>
        <w:t xml:space="preserve"> factors that vary over the temporal span of the</w:t>
      </w:r>
      <w:r w:rsidR="00BB2EB9">
        <w:rPr>
          <w:lang w:val="en-GB"/>
        </w:rPr>
        <w:t xml:space="preserve"> LCA</w:t>
      </w:r>
      <w:r w:rsidR="0052017B" w:rsidRPr="0052017B">
        <w:rPr>
          <w:lang w:val="en-GB"/>
        </w:rPr>
        <w:t xml:space="preserve">, thereby mirroring </w:t>
      </w:r>
      <w:r w:rsidR="00BB2EB9">
        <w:rPr>
          <w:lang w:val="en-GB"/>
        </w:rPr>
        <w:t xml:space="preserve">more </w:t>
      </w:r>
      <w:r w:rsidR="00BB2EB9" w:rsidRPr="0052017B">
        <w:rPr>
          <w:lang w:val="en-GB"/>
        </w:rPr>
        <w:t xml:space="preserve">accurately </w:t>
      </w:r>
      <w:r w:rsidR="0052017B" w:rsidRPr="0052017B">
        <w:rPr>
          <w:lang w:val="en-GB"/>
        </w:rPr>
        <w:t xml:space="preserve">the real-world conditions of the evaluated </w:t>
      </w:r>
      <w:r w:rsidR="00BB2EB9" w:rsidRPr="0052017B">
        <w:rPr>
          <w:lang w:val="en-GB"/>
        </w:rPr>
        <w:t>system</w:t>
      </w:r>
      <w:r w:rsidR="00BB2EB9">
        <w:rPr>
          <w:lang w:val="en-GB"/>
        </w:rPr>
        <w:t>. T</w:t>
      </w:r>
      <w:r w:rsidR="00103731">
        <w:rPr>
          <w:lang w:val="en-GB"/>
        </w:rPr>
        <w:t xml:space="preserve">he two variations </w:t>
      </w:r>
      <w:r w:rsidR="00CA4E75">
        <w:rPr>
          <w:lang w:val="en-GB"/>
        </w:rPr>
        <w:t>included</w:t>
      </w:r>
      <w:r w:rsidR="00103731">
        <w:rPr>
          <w:lang w:val="en-GB"/>
        </w:rPr>
        <w:t xml:space="preserve"> were related to </w:t>
      </w:r>
      <w:r w:rsidR="00AC67DD">
        <w:rPr>
          <w:lang w:val="en-GB"/>
        </w:rPr>
        <w:t>technological advances</w:t>
      </w:r>
      <w:r w:rsidR="00103731">
        <w:rPr>
          <w:lang w:val="en-GB"/>
        </w:rPr>
        <w:t>:</w:t>
      </w:r>
    </w:p>
    <w:p w14:paraId="3221D5C4" w14:textId="77777777" w:rsidR="00821B23" w:rsidRDefault="00821B23" w:rsidP="00A5136E">
      <w:pPr>
        <w:pStyle w:val="Els-body-text"/>
        <w:rPr>
          <w:lang w:val="en-GB"/>
        </w:rPr>
      </w:pPr>
    </w:p>
    <w:p w14:paraId="37BDB7BF" w14:textId="77777777" w:rsidR="00821B23" w:rsidRDefault="00C32A28" w:rsidP="00821B23">
      <w:pPr>
        <w:pStyle w:val="Els-body-text"/>
        <w:numPr>
          <w:ilvl w:val="0"/>
          <w:numId w:val="23"/>
        </w:numPr>
        <w:rPr>
          <w:lang w:val="en-GB"/>
        </w:rPr>
      </w:pPr>
      <w:r>
        <w:rPr>
          <w:lang w:val="en-GB"/>
        </w:rPr>
        <w:t>E</w:t>
      </w:r>
      <w:r w:rsidR="0022099C">
        <w:rPr>
          <w:lang w:val="en-GB"/>
        </w:rPr>
        <w:t xml:space="preserve">lectricity mix </w:t>
      </w:r>
      <w:r w:rsidR="005F4667">
        <w:rPr>
          <w:lang w:val="en-GB"/>
        </w:rPr>
        <w:t>changes were implemented in the inventory data</w:t>
      </w:r>
      <w:r>
        <w:rPr>
          <w:lang w:val="en-GB"/>
        </w:rPr>
        <w:t xml:space="preserve">, </w:t>
      </w:r>
      <w:r w:rsidR="00907000">
        <w:rPr>
          <w:lang w:val="en-GB"/>
        </w:rPr>
        <w:t>following the Global Ambition predictions</w:t>
      </w:r>
      <w:r w:rsidR="00657046">
        <w:rPr>
          <w:lang w:val="en-GB"/>
        </w:rPr>
        <w:t xml:space="preserve"> for Spain</w:t>
      </w:r>
      <w:r w:rsidR="00DA2D40">
        <w:rPr>
          <w:lang w:val="en-GB"/>
        </w:rPr>
        <w:t xml:space="preserve"> (TYNDP, 2022)</w:t>
      </w:r>
      <w:r w:rsidR="00585C19">
        <w:rPr>
          <w:lang w:val="en-GB"/>
        </w:rPr>
        <w:t xml:space="preserve">, which provides </w:t>
      </w:r>
      <w:r w:rsidR="00B946EB">
        <w:rPr>
          <w:lang w:val="en-GB"/>
        </w:rPr>
        <w:t>d</w:t>
      </w:r>
      <w:r w:rsidR="00585C19">
        <w:rPr>
          <w:lang w:val="en-GB"/>
        </w:rPr>
        <w:t xml:space="preserve">ispatch </w:t>
      </w:r>
      <w:r w:rsidR="009A24DC">
        <w:rPr>
          <w:lang w:val="en-GB"/>
        </w:rPr>
        <w:t xml:space="preserve">estimations from 2030 until 2050. </w:t>
      </w:r>
    </w:p>
    <w:p w14:paraId="027FC9E9" w14:textId="04D69924" w:rsidR="0022099C" w:rsidRPr="00450A23" w:rsidRDefault="0022099C" w:rsidP="00821B23">
      <w:pPr>
        <w:pStyle w:val="Els-body-text"/>
        <w:numPr>
          <w:ilvl w:val="0"/>
          <w:numId w:val="23"/>
        </w:numPr>
        <w:rPr>
          <w:lang w:val="en-GB"/>
        </w:rPr>
      </w:pPr>
      <w:r>
        <w:rPr>
          <w:lang w:val="en-GB"/>
        </w:rPr>
        <w:t xml:space="preserve">The increasing efficiency of electrolysers over time was </w:t>
      </w:r>
      <w:proofErr w:type="gramStart"/>
      <w:r>
        <w:rPr>
          <w:lang w:val="en-GB"/>
        </w:rPr>
        <w:t>taken into account</w:t>
      </w:r>
      <w:proofErr w:type="gramEnd"/>
      <w:r>
        <w:rPr>
          <w:lang w:val="en-GB"/>
        </w:rPr>
        <w:t>. In 2030</w:t>
      </w:r>
      <w:r w:rsidR="00924A8C">
        <w:rPr>
          <w:lang w:val="en-GB"/>
        </w:rPr>
        <w:t xml:space="preserve"> the efficiency</w:t>
      </w:r>
      <w:r w:rsidR="00AF514B">
        <w:rPr>
          <w:lang w:val="en-GB"/>
        </w:rPr>
        <w:t xml:space="preserve"> </w:t>
      </w:r>
      <w:proofErr w:type="gramStart"/>
      <w:r w:rsidR="00AF514B">
        <w:rPr>
          <w:lang w:val="en-GB"/>
        </w:rPr>
        <w:t>was considered to be</w:t>
      </w:r>
      <w:proofErr w:type="gramEnd"/>
      <w:r w:rsidR="00AF514B">
        <w:rPr>
          <w:lang w:val="en-GB"/>
        </w:rPr>
        <w:t xml:space="preserve"> </w:t>
      </w:r>
      <w:r w:rsidR="00450A23">
        <w:rPr>
          <w:lang w:val="en-GB"/>
        </w:rPr>
        <w:t>49 kWh/kg</w:t>
      </w:r>
      <w:r w:rsidR="00961C9F">
        <w:rPr>
          <w:lang w:val="en-GB"/>
        </w:rPr>
        <w:t xml:space="preserve"> </w:t>
      </w:r>
      <w:r w:rsidR="00450A23">
        <w:rPr>
          <w:lang w:val="en-GB"/>
        </w:rPr>
        <w:t>H</w:t>
      </w:r>
      <w:r w:rsidR="00450A23">
        <w:rPr>
          <w:vertAlign w:val="subscript"/>
          <w:lang w:val="en-GB"/>
        </w:rPr>
        <w:t>2</w:t>
      </w:r>
      <w:r w:rsidR="004E73AB">
        <w:rPr>
          <w:lang w:val="en-GB"/>
        </w:rPr>
        <w:t xml:space="preserve"> (Deloitte, 2021).</w:t>
      </w:r>
      <w:r w:rsidR="00E66862">
        <w:rPr>
          <w:lang w:val="en-GB"/>
        </w:rPr>
        <w:t xml:space="preserve"> </w:t>
      </w:r>
      <w:r w:rsidR="008A03BD">
        <w:rPr>
          <w:lang w:val="en-GB"/>
        </w:rPr>
        <w:t>On the other hand</w:t>
      </w:r>
      <w:r w:rsidR="00802782">
        <w:rPr>
          <w:lang w:val="en-GB"/>
        </w:rPr>
        <w:t>, a</w:t>
      </w:r>
      <w:r w:rsidR="00E66862">
        <w:rPr>
          <w:lang w:val="en-GB"/>
        </w:rPr>
        <w:t>s</w:t>
      </w:r>
      <w:r w:rsidR="00961C9F">
        <w:rPr>
          <w:lang w:val="en-GB"/>
        </w:rPr>
        <w:t xml:space="preserve"> </w:t>
      </w:r>
      <w:r w:rsidR="00AC5F69">
        <w:rPr>
          <w:lang w:val="en-GB"/>
        </w:rPr>
        <w:t xml:space="preserve">the </w:t>
      </w:r>
      <w:r w:rsidR="00696E87">
        <w:rPr>
          <w:lang w:val="en-GB"/>
        </w:rPr>
        <w:t xml:space="preserve">Oxford Institute for </w:t>
      </w:r>
      <w:r w:rsidR="009F6D72">
        <w:rPr>
          <w:lang w:val="en-GB"/>
        </w:rPr>
        <w:t>Energy Studies</w:t>
      </w:r>
      <w:r w:rsidR="00AC5F69">
        <w:rPr>
          <w:lang w:val="en-GB"/>
        </w:rPr>
        <w:t xml:space="preserve"> (</w:t>
      </w:r>
      <w:r w:rsidR="009F6D72">
        <w:rPr>
          <w:lang w:val="en-GB"/>
        </w:rPr>
        <w:t>2022)</w:t>
      </w:r>
      <w:r w:rsidR="00E66862">
        <w:rPr>
          <w:lang w:val="en-GB"/>
        </w:rPr>
        <w:t xml:space="preserve"> </w:t>
      </w:r>
      <w:r w:rsidR="00961C9F">
        <w:rPr>
          <w:lang w:val="en-GB"/>
        </w:rPr>
        <w:t xml:space="preserve">indicates that the efficiency aimed for Alkaline electrolysers </w:t>
      </w:r>
      <w:r w:rsidR="002C1EC0">
        <w:rPr>
          <w:lang w:val="en-GB"/>
        </w:rPr>
        <w:t xml:space="preserve">is </w:t>
      </w:r>
      <w:r w:rsidR="00961C9F">
        <w:rPr>
          <w:lang w:val="en-GB"/>
        </w:rPr>
        <w:t>less than 45 kWh/kg</w:t>
      </w:r>
      <w:r w:rsidR="002C4E51">
        <w:rPr>
          <w:lang w:val="en-GB"/>
        </w:rPr>
        <w:t>, that was the efficiency</w:t>
      </w:r>
      <w:r w:rsidR="00742E41">
        <w:rPr>
          <w:lang w:val="en-GB"/>
        </w:rPr>
        <w:t xml:space="preserve"> </w:t>
      </w:r>
      <w:r w:rsidR="00114170">
        <w:rPr>
          <w:lang w:val="en-GB"/>
        </w:rPr>
        <w:t>implemented</w:t>
      </w:r>
      <w:r w:rsidR="002C4E51">
        <w:rPr>
          <w:lang w:val="en-GB"/>
        </w:rPr>
        <w:t xml:space="preserve"> for the last year of the study (2050)</w:t>
      </w:r>
      <w:r w:rsidR="001E6B47">
        <w:rPr>
          <w:lang w:val="en-GB"/>
        </w:rPr>
        <w:t>.</w:t>
      </w:r>
      <w:r w:rsidR="00311217" w:rsidRPr="00450A23">
        <w:rPr>
          <w:lang w:val="en-GB"/>
        </w:rPr>
        <w:t xml:space="preserve"> For the in-between years, a linear</w:t>
      </w:r>
      <w:r w:rsidR="000210AE" w:rsidRPr="00450A23">
        <w:rPr>
          <w:lang w:val="en-GB"/>
        </w:rPr>
        <w:t xml:space="preserve"> evolution was assumed. </w:t>
      </w:r>
    </w:p>
    <w:p w14:paraId="75F72F2A" w14:textId="77777777" w:rsidR="002E3015" w:rsidRDefault="002E3015" w:rsidP="0022099C">
      <w:pPr>
        <w:pStyle w:val="Els-body-text"/>
        <w:ind w:left="720"/>
        <w:rPr>
          <w:lang w:val="en-GB"/>
        </w:rPr>
      </w:pPr>
    </w:p>
    <w:p w14:paraId="211AF52D" w14:textId="71AC4558" w:rsidR="00DB5642" w:rsidRDefault="00DB5642" w:rsidP="00DB5642">
      <w:pPr>
        <w:pStyle w:val="Els-2ndorder-head"/>
      </w:pPr>
      <w:r>
        <w:t xml:space="preserve">Static </w:t>
      </w:r>
      <w:r w:rsidR="002109F2">
        <w:t>metric</w:t>
      </w:r>
    </w:p>
    <w:p w14:paraId="33F2BA04" w14:textId="77777777" w:rsidR="00C0310D" w:rsidRDefault="00C0310D" w:rsidP="00D8681E">
      <w:pPr>
        <w:pStyle w:val="Els-body-text"/>
        <w:rPr>
          <w:lang w:val="en-GB"/>
        </w:rPr>
      </w:pPr>
    </w:p>
    <w:p w14:paraId="165F3283" w14:textId="0E8FE907" w:rsidR="00464FE5" w:rsidRDefault="00B354FC" w:rsidP="00D8681E">
      <w:pPr>
        <w:pStyle w:val="Els-body-text"/>
      </w:pPr>
      <w:r>
        <w:rPr>
          <w:lang w:val="en-GB"/>
        </w:rPr>
        <w:t xml:space="preserve">The selected metric </w:t>
      </w:r>
      <w:r w:rsidR="00961280">
        <w:rPr>
          <w:lang w:val="en-GB"/>
        </w:rPr>
        <w:t xml:space="preserve">for the static approach </w:t>
      </w:r>
      <w:r>
        <w:rPr>
          <w:lang w:val="en-GB"/>
        </w:rPr>
        <w:t>is the Global Warming Potential</w:t>
      </w:r>
      <w:r w:rsidR="001A4F32">
        <w:rPr>
          <w:lang w:val="en-GB"/>
        </w:rPr>
        <w:t xml:space="preserve">, </w:t>
      </w:r>
      <w:r w:rsidR="00B60D8D">
        <w:rPr>
          <w:lang w:val="en-GB"/>
        </w:rPr>
        <w:t>as it is the most frequently used metric</w:t>
      </w:r>
      <w:r w:rsidR="001C00EE">
        <w:rPr>
          <w:lang w:val="en-GB"/>
        </w:rPr>
        <w:t xml:space="preserve"> (Keller, 2022)</w:t>
      </w:r>
      <w:r w:rsidR="005B7627">
        <w:rPr>
          <w:lang w:val="en-GB"/>
        </w:rPr>
        <w:t>.</w:t>
      </w:r>
      <w:r w:rsidR="002B6364">
        <w:rPr>
          <w:lang w:val="en-GB"/>
        </w:rPr>
        <w:t xml:space="preserve"> </w:t>
      </w:r>
      <w:r w:rsidR="00C31BA0">
        <w:t>It</w:t>
      </w:r>
      <w:r w:rsidR="003014C2">
        <w:t xml:space="preserve"> is a normalized metric, meaning that </w:t>
      </w:r>
      <w:r w:rsidR="005A2C95">
        <w:t xml:space="preserve">it compares </w:t>
      </w:r>
      <w:r w:rsidR="00FD5D0D">
        <w:t>the</w:t>
      </w:r>
      <w:r w:rsidR="00CF2B29" w:rsidRPr="00CF2B29">
        <w:rPr>
          <w:lang w:val="en-GB"/>
        </w:rPr>
        <w:t xml:space="preserve"> changes resulting from a substance </w:t>
      </w:r>
      <w:r w:rsidR="005A2C95">
        <w:rPr>
          <w:lang w:val="en-GB"/>
        </w:rPr>
        <w:t>to</w:t>
      </w:r>
      <w:r w:rsidR="00FD5D0D">
        <w:rPr>
          <w:lang w:val="en-GB"/>
        </w:rPr>
        <w:t xml:space="preserve"> </w:t>
      </w:r>
      <w:r w:rsidR="00CF2B29" w:rsidRPr="00CF2B29">
        <w:rPr>
          <w:lang w:val="en-GB"/>
        </w:rPr>
        <w:t xml:space="preserve">those resulting from an equivalent amount of a reference </w:t>
      </w:r>
      <w:r w:rsidR="00821260">
        <w:rPr>
          <w:lang w:val="en-GB"/>
        </w:rPr>
        <w:t>gas</w:t>
      </w:r>
      <w:r w:rsidR="00CF2B29" w:rsidRPr="00CF2B29">
        <w:rPr>
          <w:lang w:val="en-GB"/>
        </w:rPr>
        <w:t>, typically CO</w:t>
      </w:r>
      <w:r w:rsidR="00CF2B29" w:rsidRPr="00F91A54">
        <w:rPr>
          <w:vertAlign w:val="subscript"/>
          <w:lang w:val="en-GB"/>
        </w:rPr>
        <w:t>2</w:t>
      </w:r>
      <w:r w:rsidR="004E31F7">
        <w:rPr>
          <w:lang w:val="en-GB"/>
        </w:rPr>
        <w:t xml:space="preserve"> (Peters</w:t>
      </w:r>
      <w:r w:rsidR="00A47D3C">
        <w:rPr>
          <w:lang w:val="en-GB"/>
        </w:rPr>
        <w:t xml:space="preserve"> et al.</w:t>
      </w:r>
      <w:r w:rsidR="004E31F7">
        <w:rPr>
          <w:lang w:val="en-GB"/>
        </w:rPr>
        <w:t>, 2021)</w:t>
      </w:r>
      <w:r w:rsidR="005A2C95">
        <w:rPr>
          <w:lang w:val="en-GB"/>
        </w:rPr>
        <w:t xml:space="preserve">, </w:t>
      </w:r>
      <w:r w:rsidR="005A2C95">
        <w:t>which allows to express emissions as CO</w:t>
      </w:r>
      <w:r w:rsidR="005A2C95">
        <w:rPr>
          <w:vertAlign w:val="subscript"/>
        </w:rPr>
        <w:t>2</w:t>
      </w:r>
      <w:r w:rsidR="005A2C95">
        <w:t>-equivalents</w:t>
      </w:r>
      <w:r w:rsidR="00FD5D0D">
        <w:rPr>
          <w:lang w:val="en-GB"/>
        </w:rPr>
        <w:t>.</w:t>
      </w:r>
      <w:r w:rsidR="005A2C95">
        <w:t xml:space="preserve"> </w:t>
      </w:r>
      <w:r w:rsidR="00E4058C">
        <w:t xml:space="preserve">For the </w:t>
      </w:r>
      <w:r w:rsidR="006C5546">
        <w:t xml:space="preserve">metric </w:t>
      </w:r>
      <w:r w:rsidR="00E4058C">
        <w:t>GWP</w:t>
      </w:r>
      <w:r w:rsidR="00620707">
        <w:t xml:space="preserve">, the change measured is the integral of the radiative forcing of a substance over a given </w:t>
      </w:r>
      <w:r w:rsidR="00233BCE">
        <w:t>TH</w:t>
      </w:r>
      <w:r w:rsidR="00620707">
        <w:t xml:space="preserve"> </w:t>
      </w:r>
      <w:r w:rsidR="00E9709D">
        <w:t>(IPCC, 2021)</w:t>
      </w:r>
      <w:r w:rsidR="00620707">
        <w:t>.</w:t>
      </w:r>
    </w:p>
    <w:p w14:paraId="67B8B07E" w14:textId="77777777" w:rsidR="00464FE5" w:rsidRDefault="00464FE5" w:rsidP="00D8681E">
      <w:pPr>
        <w:pStyle w:val="Els-body-text"/>
      </w:pPr>
    </w:p>
    <w:p w14:paraId="5F39C7C4" w14:textId="6BD32EE8" w:rsidR="003A76C8" w:rsidRPr="0052081E" w:rsidRDefault="001B2F23" w:rsidP="00EF3337">
      <w:pPr>
        <w:pStyle w:val="Els-body-text"/>
        <w:rPr>
          <w:lang w:val="en-GB"/>
        </w:rPr>
      </w:pPr>
      <w:r w:rsidRPr="004174CE">
        <w:rPr>
          <w:lang w:val="en-GB"/>
        </w:rPr>
        <w:t>Th</w:t>
      </w:r>
      <w:r w:rsidR="002C6F3C">
        <w:rPr>
          <w:lang w:val="en-GB"/>
        </w:rPr>
        <w:t>is work firstly conducts a</w:t>
      </w:r>
      <w:r w:rsidRPr="004174CE">
        <w:rPr>
          <w:lang w:val="en-GB"/>
        </w:rPr>
        <w:t xml:space="preserve"> static approach </w:t>
      </w:r>
      <w:r w:rsidR="009F14E5">
        <w:rPr>
          <w:lang w:val="en-GB"/>
        </w:rPr>
        <w:t>to</w:t>
      </w:r>
      <w:r>
        <w:rPr>
          <w:lang w:val="en-GB"/>
        </w:rPr>
        <w:t xml:space="preserve"> illustrate the influence of </w:t>
      </w:r>
      <w:r w:rsidR="0088661E">
        <w:rPr>
          <w:lang w:val="en-GB"/>
        </w:rPr>
        <w:t xml:space="preserve">selecting a certain </w:t>
      </w:r>
      <w:r w:rsidR="00233BCE">
        <w:rPr>
          <w:lang w:val="en-GB"/>
        </w:rPr>
        <w:t>TH</w:t>
      </w:r>
      <w:r>
        <w:rPr>
          <w:lang w:val="en-GB"/>
        </w:rPr>
        <w:t xml:space="preserve"> in conventional</w:t>
      </w:r>
      <w:r w:rsidR="0088661E">
        <w:rPr>
          <w:lang w:val="en-GB"/>
        </w:rPr>
        <w:t xml:space="preserve"> </w:t>
      </w:r>
      <w:r>
        <w:rPr>
          <w:lang w:val="en-GB"/>
        </w:rPr>
        <w:t xml:space="preserve">LCA. </w:t>
      </w:r>
      <w:r w:rsidR="009F14E5">
        <w:rPr>
          <w:lang w:val="en-GB"/>
        </w:rPr>
        <w:t>T</w:t>
      </w:r>
      <w:r w:rsidR="00410EDB">
        <w:rPr>
          <w:lang w:val="en-GB"/>
        </w:rPr>
        <w:t xml:space="preserve">wo </w:t>
      </w:r>
      <w:r w:rsidR="00233BCE">
        <w:rPr>
          <w:lang w:val="en-GB"/>
        </w:rPr>
        <w:t>TH</w:t>
      </w:r>
      <w:r w:rsidR="00410EDB">
        <w:rPr>
          <w:lang w:val="en-GB"/>
        </w:rPr>
        <w:t xml:space="preserve"> were </w:t>
      </w:r>
      <w:r w:rsidR="00035DBA">
        <w:rPr>
          <w:lang w:val="en-GB"/>
        </w:rPr>
        <w:t>chosen</w:t>
      </w:r>
      <w:r w:rsidR="00410EDB">
        <w:rPr>
          <w:lang w:val="en-GB"/>
        </w:rPr>
        <w:t xml:space="preserve"> for this case study</w:t>
      </w:r>
      <w:r w:rsidR="00636815">
        <w:rPr>
          <w:lang w:val="en-GB"/>
        </w:rPr>
        <w:t>:</w:t>
      </w:r>
      <w:r w:rsidR="004445E4">
        <w:rPr>
          <w:lang w:val="en-GB"/>
        </w:rPr>
        <w:t xml:space="preserve"> </w:t>
      </w:r>
      <w:r w:rsidR="00FB7A6A">
        <w:rPr>
          <w:lang w:val="en-GB"/>
        </w:rPr>
        <w:t>the GWP</w:t>
      </w:r>
      <w:r w:rsidR="00FB7A6A">
        <w:rPr>
          <w:vertAlign w:val="subscript"/>
          <w:lang w:val="en-GB"/>
        </w:rPr>
        <w:t>100</w:t>
      </w:r>
      <w:r w:rsidR="00410EDB">
        <w:rPr>
          <w:lang w:val="en-GB"/>
        </w:rPr>
        <w:t xml:space="preserve"> because this is the </w:t>
      </w:r>
      <w:r w:rsidR="00233BCE">
        <w:t>TH</w:t>
      </w:r>
      <w:r w:rsidR="00410EDB">
        <w:t xml:space="preserve"> </w:t>
      </w:r>
      <w:proofErr w:type="gramStart"/>
      <w:r w:rsidR="00410EDB">
        <w:t>most commonly used</w:t>
      </w:r>
      <w:proofErr w:type="gramEnd"/>
      <w:r w:rsidR="00410EDB">
        <w:t xml:space="preserve"> (even </w:t>
      </w:r>
      <w:r w:rsidR="004445E4">
        <w:t xml:space="preserve">if </w:t>
      </w:r>
      <w:r w:rsidR="00410EDB">
        <w:t xml:space="preserve">there is no </w:t>
      </w:r>
      <w:r w:rsidR="00135D8F">
        <w:t xml:space="preserve">particular </w:t>
      </w:r>
      <w:r w:rsidR="00410EDB">
        <w:t xml:space="preserve">reason for </w:t>
      </w:r>
      <w:r w:rsidR="00135D8F">
        <w:t>selecting this</w:t>
      </w:r>
      <w:r w:rsidR="00410EDB">
        <w:t xml:space="preserve"> </w:t>
      </w:r>
      <w:r w:rsidR="00723DEA">
        <w:t xml:space="preserve">particular </w:t>
      </w:r>
      <w:r w:rsidR="00410EDB">
        <w:t>time frame</w:t>
      </w:r>
      <w:r w:rsidR="00BB3009">
        <w:t xml:space="preserve"> (The Guardian, 20</w:t>
      </w:r>
      <w:r w:rsidR="006741F3">
        <w:t>11)</w:t>
      </w:r>
      <w:r>
        <w:t>)</w:t>
      </w:r>
      <w:r w:rsidR="00AA60F9">
        <w:t>, as well as 20 years</w:t>
      </w:r>
      <w:r w:rsidR="000B2414">
        <w:t>,</w:t>
      </w:r>
      <w:r w:rsidR="008C1291">
        <w:t xml:space="preserve"> </w:t>
      </w:r>
      <w:r w:rsidR="000B42E7">
        <w:t>which</w:t>
      </w:r>
      <w:r w:rsidR="004910A8">
        <w:t xml:space="preserve"> is</w:t>
      </w:r>
      <w:r w:rsidR="000B42E7" w:rsidRPr="000B42E7">
        <w:rPr>
          <w:lang w:val="en-GB"/>
        </w:rPr>
        <w:t xml:space="preserve"> occasionally employed as a substitute for the </w:t>
      </w:r>
      <w:r w:rsidR="000B42E7">
        <w:rPr>
          <w:lang w:val="en-GB"/>
        </w:rPr>
        <w:t>GWP</w:t>
      </w:r>
      <w:r w:rsidR="000B42E7">
        <w:rPr>
          <w:vertAlign w:val="subscript"/>
          <w:lang w:val="en-GB"/>
        </w:rPr>
        <w:t>100</w:t>
      </w:r>
      <w:r w:rsidR="00363D64">
        <w:rPr>
          <w:lang w:val="en-GB"/>
        </w:rPr>
        <w:t xml:space="preserve"> (EPA, n.d.)</w:t>
      </w:r>
      <w:r w:rsidR="00B40385">
        <w:rPr>
          <w:lang w:val="en-GB"/>
        </w:rPr>
        <w:t>.</w:t>
      </w:r>
      <w:r w:rsidR="00464FE5">
        <w:rPr>
          <w:lang w:val="en-GB"/>
        </w:rPr>
        <w:t xml:space="preserve"> </w:t>
      </w:r>
      <w:r w:rsidR="00DC028B" w:rsidRPr="00DC028B">
        <w:rPr>
          <w:lang w:val="en-GB"/>
        </w:rPr>
        <w:t xml:space="preserve">The static </w:t>
      </w:r>
      <w:r w:rsidR="00DC028B">
        <w:rPr>
          <w:lang w:val="en-GB"/>
        </w:rPr>
        <w:t>model</w:t>
      </w:r>
      <w:r w:rsidR="00DC028B" w:rsidRPr="00DC028B">
        <w:rPr>
          <w:lang w:val="en-GB"/>
        </w:rPr>
        <w:t xml:space="preserve"> calculates </w:t>
      </w:r>
      <w:r w:rsidR="00DC028B">
        <w:rPr>
          <w:lang w:val="en-GB"/>
        </w:rPr>
        <w:t>CO</w:t>
      </w:r>
      <w:r w:rsidR="00DC028B">
        <w:rPr>
          <w:vertAlign w:val="subscript"/>
          <w:lang w:val="en-GB"/>
        </w:rPr>
        <w:t>2</w:t>
      </w:r>
      <w:r w:rsidR="00DC028B">
        <w:rPr>
          <w:lang w:val="en-GB"/>
        </w:rPr>
        <w:t xml:space="preserve"> equivalent emissions yearly </w:t>
      </w:r>
      <w:r w:rsidR="00EF3337">
        <w:rPr>
          <w:lang w:val="en-GB"/>
        </w:rPr>
        <w:t>with Eq</w:t>
      </w:r>
      <w:r w:rsidR="0022372E">
        <w:rPr>
          <w:lang w:val="en-GB"/>
        </w:rPr>
        <w:t>.</w:t>
      </w:r>
      <w:r w:rsidR="00EF3337">
        <w:rPr>
          <w:lang w:val="en-GB"/>
        </w:rPr>
        <w:t xml:space="preserve"> </w:t>
      </w:r>
      <w:r w:rsidR="00091BD3">
        <w:rPr>
          <w:lang w:val="en-GB"/>
        </w:rPr>
        <w:t>(</w:t>
      </w:r>
      <w:r w:rsidR="00EF3337">
        <w:rPr>
          <w:lang w:val="en-GB"/>
        </w:rPr>
        <w:t>1</w:t>
      </w:r>
      <w:r w:rsidR="00091BD3">
        <w:rPr>
          <w:lang w:val="en-GB"/>
        </w:rPr>
        <w:t>)</w:t>
      </w:r>
      <w:r w:rsidR="00EF3337">
        <w:rPr>
          <w:lang w:val="en-GB"/>
        </w:rPr>
        <w:t xml:space="preserve">, </w:t>
      </w:r>
      <w:r w:rsidR="00893B93">
        <w:rPr>
          <w:lang w:val="en-GB"/>
        </w:rPr>
        <w:t xml:space="preserve">by multiplying </w:t>
      </w:r>
      <w:r w:rsidR="00DC028B">
        <w:rPr>
          <w:lang w:val="en-GB"/>
        </w:rPr>
        <w:t xml:space="preserve">of the inventory data of </w:t>
      </w:r>
      <w:r w:rsidR="00893B93">
        <w:rPr>
          <w:lang w:val="en-GB"/>
        </w:rPr>
        <w:t>the given</w:t>
      </w:r>
      <w:r w:rsidR="00DC028B">
        <w:rPr>
          <w:lang w:val="en-GB"/>
        </w:rPr>
        <w:t xml:space="preserve"> year by a constant normalized metric </w:t>
      </w:r>
      <w:r w:rsidR="0052081E">
        <w:rPr>
          <w:lang w:val="en-GB"/>
        </w:rPr>
        <w:t>(i.e., the GWP</w:t>
      </w:r>
      <w:r w:rsidR="0052081E" w:rsidRPr="00AA323B">
        <w:rPr>
          <w:vertAlign w:val="subscript"/>
          <w:lang w:val="en-GB"/>
        </w:rPr>
        <w:t>20</w:t>
      </w:r>
      <w:r w:rsidR="0052081E">
        <w:rPr>
          <w:lang w:val="en-GB"/>
        </w:rPr>
        <w:t xml:space="preserve"> or the GWP</w:t>
      </w:r>
      <w:r w:rsidR="0052081E">
        <w:rPr>
          <w:vertAlign w:val="subscript"/>
          <w:lang w:val="en-GB"/>
        </w:rPr>
        <w:t>100</w:t>
      </w:r>
      <w:r w:rsidR="0052081E">
        <w:rPr>
          <w:lang w:val="en-GB"/>
        </w:rPr>
        <w:t>).</w:t>
      </w:r>
    </w:p>
    <w:tbl>
      <w:tblPr>
        <w:tblW w:w="0" w:type="auto"/>
        <w:tblLook w:val="04A0" w:firstRow="1" w:lastRow="0" w:firstColumn="1" w:lastColumn="0" w:noHBand="0" w:noVBand="1"/>
      </w:tblPr>
      <w:tblGrid>
        <w:gridCol w:w="6125"/>
        <w:gridCol w:w="961"/>
      </w:tblGrid>
      <w:tr w:rsidR="007B5A5F" w:rsidRPr="00A94774" w14:paraId="7808E659" w14:textId="77777777" w:rsidTr="00FD16CC">
        <w:tc>
          <w:tcPr>
            <w:tcW w:w="6317" w:type="dxa"/>
            <w:shd w:val="clear" w:color="auto" w:fill="auto"/>
            <w:vAlign w:val="center"/>
          </w:tcPr>
          <w:p w14:paraId="111E8514" w14:textId="30710F44" w:rsidR="007B5A5F" w:rsidRPr="00E4212F" w:rsidRDefault="00D33319" w:rsidP="00E4212F">
            <w:pPr>
              <w:pStyle w:val="Els-body-text"/>
              <w:spacing w:before="120" w:after="120" w:line="264" w:lineRule="auto"/>
              <w:rPr>
                <w:lang w:val="en-GB"/>
              </w:rPr>
            </w:pPr>
            <m:oMathPara>
              <m:oMathParaPr>
                <m:jc m:val="left"/>
              </m:oMathParaPr>
              <m:oMath>
                <m:r>
                  <w:rPr>
                    <w:rFonts w:ascii="Cambria Math"/>
                    <w:lang w:val="en-GB"/>
                  </w:rPr>
                  <m:t>kg C</m:t>
                </m:r>
                <m:sSub>
                  <m:sSubPr>
                    <m:ctrlPr>
                      <w:rPr>
                        <w:rFonts w:ascii="Cambria Math" w:hAnsi="Cambria Math"/>
                        <w:i/>
                        <w:lang w:val="en-GB"/>
                      </w:rPr>
                    </m:ctrlPr>
                  </m:sSubPr>
                  <m:e>
                    <m:r>
                      <w:rPr>
                        <w:rFonts w:ascii="Cambria Math"/>
                        <w:lang w:val="en-GB"/>
                      </w:rPr>
                      <m:t>O</m:t>
                    </m:r>
                  </m:e>
                  <m:sub>
                    <m:r>
                      <w:rPr>
                        <w:rFonts w:ascii="Cambria Math"/>
                        <w:lang w:val="en-GB"/>
                      </w:rPr>
                      <m:t>2</m:t>
                    </m:r>
                    <m:r>
                      <w:rPr>
                        <w:rFonts w:ascii="Cambria Math"/>
                        <w:lang w:val="en-GB"/>
                      </w:rPr>
                      <m:t>-</m:t>
                    </m:r>
                    <m:r>
                      <w:rPr>
                        <w:rFonts w:ascii="Cambria Math"/>
                        <w:lang w:val="en-GB"/>
                      </w:rPr>
                      <m:t>eq</m:t>
                    </m:r>
                  </m:sub>
                </m:sSub>
                <m:r>
                  <w:rPr>
                    <w:rFonts w:ascii="Cambria Math"/>
                    <w:lang w:val="en-GB"/>
                  </w:rPr>
                  <m:t>=Inventory</m:t>
                </m:r>
                <m:r>
                  <w:rPr>
                    <w:rFonts w:ascii="Cambria Math" w:hAnsi="Cambria Math"/>
                    <w:lang w:val="en-GB"/>
                  </w:rPr>
                  <m:t>×</m:t>
                </m:r>
                <m:r>
                  <w:rPr>
                    <w:rFonts w:ascii="Cambria Math"/>
                    <w:lang w:val="en-GB"/>
                  </w:rPr>
                  <m:t>Normalized metric</m:t>
                </m:r>
              </m:oMath>
            </m:oMathPara>
          </w:p>
        </w:tc>
        <w:tc>
          <w:tcPr>
            <w:tcW w:w="985" w:type="dxa"/>
            <w:shd w:val="clear" w:color="auto" w:fill="auto"/>
            <w:vAlign w:val="center"/>
          </w:tcPr>
          <w:p w14:paraId="5AE4010B" w14:textId="77777777" w:rsidR="007B5A5F" w:rsidRPr="00A94774" w:rsidRDefault="007B5A5F" w:rsidP="00FD16CC">
            <w:pPr>
              <w:pStyle w:val="Els-body-text"/>
              <w:spacing w:before="120" w:after="120" w:line="264" w:lineRule="auto"/>
              <w:jc w:val="right"/>
              <w:rPr>
                <w:lang w:val="en-GB"/>
              </w:rPr>
            </w:pPr>
            <w:r w:rsidRPr="00A94774">
              <w:rPr>
                <w:lang w:val="en-GB"/>
              </w:rPr>
              <w:t>(1)</w:t>
            </w:r>
          </w:p>
        </w:tc>
      </w:tr>
      <w:tr w:rsidR="00821B23" w:rsidRPr="00A94774" w14:paraId="3E4174BE" w14:textId="77777777" w:rsidTr="00FD16CC">
        <w:tc>
          <w:tcPr>
            <w:tcW w:w="6317" w:type="dxa"/>
            <w:shd w:val="clear" w:color="auto" w:fill="auto"/>
            <w:vAlign w:val="center"/>
          </w:tcPr>
          <w:p w14:paraId="110D2AF4" w14:textId="77777777" w:rsidR="00821B23" w:rsidRDefault="00821B23" w:rsidP="00E4212F">
            <w:pPr>
              <w:pStyle w:val="Els-body-text"/>
              <w:spacing w:before="120" w:after="120" w:line="264" w:lineRule="auto"/>
              <w:rPr>
                <w:lang w:val="en-GB"/>
              </w:rPr>
            </w:pPr>
          </w:p>
        </w:tc>
        <w:tc>
          <w:tcPr>
            <w:tcW w:w="985" w:type="dxa"/>
            <w:shd w:val="clear" w:color="auto" w:fill="auto"/>
            <w:vAlign w:val="center"/>
          </w:tcPr>
          <w:p w14:paraId="41358BD0" w14:textId="77777777" w:rsidR="00821B23" w:rsidRPr="00A94774" w:rsidRDefault="00821B23" w:rsidP="00FD16CC">
            <w:pPr>
              <w:pStyle w:val="Els-body-text"/>
              <w:spacing w:before="120" w:after="120" w:line="264" w:lineRule="auto"/>
              <w:jc w:val="right"/>
              <w:rPr>
                <w:lang w:val="en-GB"/>
              </w:rPr>
            </w:pPr>
          </w:p>
        </w:tc>
      </w:tr>
    </w:tbl>
    <w:p w14:paraId="01D5631F" w14:textId="7CC1EBB6" w:rsidR="00DB5642" w:rsidRDefault="00DB5642" w:rsidP="00DB5642">
      <w:pPr>
        <w:pStyle w:val="Els-2ndorder-head"/>
      </w:pPr>
      <w:r>
        <w:lastRenderedPageBreak/>
        <w:t xml:space="preserve">Dynamic </w:t>
      </w:r>
      <w:r w:rsidR="002109F2">
        <w:t>metric</w:t>
      </w:r>
    </w:p>
    <w:p w14:paraId="0E6CBE80" w14:textId="77777777" w:rsidR="00462AF0" w:rsidRDefault="00462AF0" w:rsidP="008919AA">
      <w:pPr>
        <w:pStyle w:val="Els-body-text"/>
        <w:rPr>
          <w:lang w:val="en-GB"/>
        </w:rPr>
      </w:pPr>
    </w:p>
    <w:p w14:paraId="58F22320" w14:textId="11D40912" w:rsidR="004959D2" w:rsidRPr="004959D2" w:rsidRDefault="001B1BB8" w:rsidP="008919AA">
      <w:pPr>
        <w:pStyle w:val="Els-body-text"/>
        <w:rPr>
          <w:lang w:val="en-GB"/>
        </w:rPr>
      </w:pPr>
      <w:r w:rsidRPr="004959D2">
        <w:rPr>
          <w:lang w:val="en-GB"/>
        </w:rPr>
        <w:t>T</w:t>
      </w:r>
      <w:r w:rsidR="00AA3022">
        <w:rPr>
          <w:lang w:val="en-GB"/>
        </w:rPr>
        <w:t>wo dynamic modelling approaches were conducted</w:t>
      </w:r>
      <w:r w:rsidR="008778F2">
        <w:rPr>
          <w:lang w:val="en-GB"/>
        </w:rPr>
        <w:t xml:space="preserve">: </w:t>
      </w:r>
      <w:r w:rsidR="00B039D2">
        <w:rPr>
          <w:lang w:val="en-GB"/>
        </w:rPr>
        <w:t>one of them using</w:t>
      </w:r>
      <w:r w:rsidR="004959D2">
        <w:rPr>
          <w:lang w:val="en-GB"/>
        </w:rPr>
        <w:t xml:space="preserve"> a normalized metric </w:t>
      </w:r>
      <w:proofErr w:type="gramStart"/>
      <w:r w:rsidR="004959D2">
        <w:rPr>
          <w:lang w:val="en-GB"/>
        </w:rPr>
        <w:t>in order to</w:t>
      </w:r>
      <w:proofErr w:type="gramEnd"/>
      <w:r w:rsidR="004959D2">
        <w:rPr>
          <w:lang w:val="en-GB"/>
        </w:rPr>
        <w:t xml:space="preserve"> compare </w:t>
      </w:r>
      <w:r w:rsidR="00B039D2">
        <w:rPr>
          <w:lang w:val="en-GB"/>
        </w:rPr>
        <w:t xml:space="preserve">the results </w:t>
      </w:r>
      <w:r w:rsidR="004959D2">
        <w:rPr>
          <w:lang w:val="en-GB"/>
        </w:rPr>
        <w:t>with the static approach</w:t>
      </w:r>
      <w:r w:rsidR="00B039D2">
        <w:rPr>
          <w:lang w:val="en-GB"/>
        </w:rPr>
        <w:t>,</w:t>
      </w:r>
      <w:r w:rsidR="004959D2">
        <w:rPr>
          <w:lang w:val="en-GB"/>
        </w:rPr>
        <w:t xml:space="preserve"> </w:t>
      </w:r>
      <w:r w:rsidR="005A51E4">
        <w:rPr>
          <w:lang w:val="en-GB"/>
        </w:rPr>
        <w:t>and</w:t>
      </w:r>
      <w:r w:rsidR="008778F2">
        <w:rPr>
          <w:lang w:val="en-GB"/>
        </w:rPr>
        <w:t xml:space="preserve"> </w:t>
      </w:r>
      <w:r w:rsidR="00B039D2">
        <w:rPr>
          <w:lang w:val="en-GB"/>
        </w:rPr>
        <w:t xml:space="preserve">the other one </w:t>
      </w:r>
      <w:r w:rsidR="00943581">
        <w:rPr>
          <w:lang w:val="en-GB"/>
        </w:rPr>
        <w:t>applying</w:t>
      </w:r>
      <w:r w:rsidR="005A51E4">
        <w:rPr>
          <w:lang w:val="en-GB"/>
        </w:rPr>
        <w:t xml:space="preserve"> an absolute metric, </w:t>
      </w:r>
      <w:r w:rsidR="001F5407">
        <w:rPr>
          <w:lang w:val="en-GB"/>
        </w:rPr>
        <w:t>with the aim of</w:t>
      </w:r>
      <w:r w:rsidR="005A51E4">
        <w:rPr>
          <w:lang w:val="en-GB"/>
        </w:rPr>
        <w:t xml:space="preserve"> </w:t>
      </w:r>
      <w:r w:rsidR="001F5407">
        <w:rPr>
          <w:lang w:val="en-GB"/>
        </w:rPr>
        <w:t>reflecting</w:t>
      </w:r>
      <w:r w:rsidR="005A51E4">
        <w:rPr>
          <w:lang w:val="en-GB"/>
        </w:rPr>
        <w:t xml:space="preserve"> the evolution of impacts over time</w:t>
      </w:r>
      <w:r w:rsidR="00B67B02">
        <w:rPr>
          <w:lang w:val="en-GB"/>
        </w:rPr>
        <w:t>.</w:t>
      </w:r>
    </w:p>
    <w:p w14:paraId="4838F909" w14:textId="77777777" w:rsidR="004959D2" w:rsidRDefault="004959D2" w:rsidP="008919AA">
      <w:pPr>
        <w:pStyle w:val="Els-body-text"/>
        <w:rPr>
          <w:lang w:val="en-GB"/>
        </w:rPr>
      </w:pPr>
    </w:p>
    <w:p w14:paraId="44D4AD5C" w14:textId="28EBE549" w:rsidR="00B55627" w:rsidRDefault="00C35609" w:rsidP="00B55627">
      <w:pPr>
        <w:pStyle w:val="Els-3rdorder-head"/>
      </w:pPr>
      <w:r>
        <w:t xml:space="preserve">Normalized metrics of the dynamic </w:t>
      </w:r>
      <w:r w:rsidR="00D2798E">
        <w:t>approach</w:t>
      </w:r>
    </w:p>
    <w:p w14:paraId="366D3E65" w14:textId="77777777" w:rsidR="00F33EB6" w:rsidRDefault="00F33EB6" w:rsidP="008919AA">
      <w:pPr>
        <w:pStyle w:val="Els-body-text"/>
        <w:rPr>
          <w:lang w:val="en-GB"/>
        </w:rPr>
      </w:pPr>
    </w:p>
    <w:p w14:paraId="213A0109" w14:textId="5A9746A2" w:rsidR="00E616D0" w:rsidRDefault="003A795E" w:rsidP="008919AA">
      <w:pPr>
        <w:pStyle w:val="Els-body-text"/>
        <w:rPr>
          <w:lang w:val="en-GB"/>
        </w:rPr>
      </w:pPr>
      <w:r w:rsidRPr="003A795E">
        <w:rPr>
          <w:lang w:val="en-GB"/>
        </w:rPr>
        <w:t>The normalized metric used f</w:t>
      </w:r>
      <w:r>
        <w:rPr>
          <w:lang w:val="en-GB"/>
        </w:rPr>
        <w:t xml:space="preserve">or the dynamic modelling </w:t>
      </w:r>
      <w:r w:rsidR="005024D1">
        <w:rPr>
          <w:lang w:val="en-GB"/>
        </w:rPr>
        <w:t xml:space="preserve">was the GWP with a flexible </w:t>
      </w:r>
      <w:r w:rsidR="00233BCE">
        <w:rPr>
          <w:lang w:val="en-GB"/>
        </w:rPr>
        <w:t>TH</w:t>
      </w:r>
      <w:r w:rsidR="005024D1">
        <w:rPr>
          <w:lang w:val="en-GB"/>
        </w:rPr>
        <w:t xml:space="preserve">. </w:t>
      </w:r>
      <w:r w:rsidR="00D016FF">
        <w:rPr>
          <w:lang w:val="en-GB"/>
        </w:rPr>
        <w:t>The</w:t>
      </w:r>
      <w:r w:rsidR="00146095">
        <w:rPr>
          <w:lang w:val="en-GB"/>
        </w:rPr>
        <w:t xml:space="preserve"> use of a changing </w:t>
      </w:r>
      <w:r w:rsidR="00233BCE">
        <w:rPr>
          <w:lang w:val="en-GB"/>
        </w:rPr>
        <w:t>TH</w:t>
      </w:r>
      <w:r w:rsidR="00146095">
        <w:rPr>
          <w:lang w:val="en-GB"/>
        </w:rPr>
        <w:t xml:space="preserve"> allows to be consistent with the chosen </w:t>
      </w:r>
      <w:r w:rsidR="004F4845">
        <w:rPr>
          <w:lang w:val="en-GB"/>
        </w:rPr>
        <w:t xml:space="preserve">time frame for the evaluation of the results. </w:t>
      </w:r>
      <w:r w:rsidR="00415082">
        <w:rPr>
          <w:lang w:val="en-GB"/>
        </w:rPr>
        <w:t>In this work, t</w:t>
      </w:r>
      <w:r w:rsidR="00C824C4">
        <w:rPr>
          <w:lang w:val="en-GB"/>
        </w:rPr>
        <w:t xml:space="preserve">he chosen time frame for the evaluation of impacts was 25 years </w:t>
      </w:r>
      <w:r w:rsidR="00661F36">
        <w:rPr>
          <w:lang w:val="en-GB"/>
        </w:rPr>
        <w:t xml:space="preserve">with the purpose of emphasizing </w:t>
      </w:r>
      <w:r w:rsidR="007474B8">
        <w:rPr>
          <w:lang w:val="en-GB"/>
        </w:rPr>
        <w:t xml:space="preserve">the effect of </w:t>
      </w:r>
      <w:r w:rsidR="00787643">
        <w:rPr>
          <w:lang w:val="en-GB"/>
        </w:rPr>
        <w:t>CH</w:t>
      </w:r>
      <w:r w:rsidR="00787643">
        <w:rPr>
          <w:vertAlign w:val="subscript"/>
          <w:lang w:val="en-GB"/>
        </w:rPr>
        <w:t>4</w:t>
      </w:r>
      <w:r w:rsidR="007474B8">
        <w:rPr>
          <w:lang w:val="en-GB"/>
        </w:rPr>
        <w:t xml:space="preserve">, as </w:t>
      </w:r>
      <w:r w:rsidR="00CF7E05">
        <w:rPr>
          <w:lang w:val="en-GB"/>
        </w:rPr>
        <w:t xml:space="preserve">the shorter the </w:t>
      </w:r>
      <w:r w:rsidR="00233BCE">
        <w:rPr>
          <w:lang w:val="en-GB"/>
        </w:rPr>
        <w:t>TH</w:t>
      </w:r>
      <w:r w:rsidR="00E05D20">
        <w:rPr>
          <w:lang w:val="en-GB"/>
        </w:rPr>
        <w:t>,</w:t>
      </w:r>
      <w:r w:rsidR="00CF7E05">
        <w:rPr>
          <w:lang w:val="en-GB"/>
        </w:rPr>
        <w:t xml:space="preserve"> the larger</w:t>
      </w:r>
      <w:r w:rsidR="00787643">
        <w:rPr>
          <w:lang w:val="en-GB"/>
        </w:rPr>
        <w:t xml:space="preserve"> becomes</w:t>
      </w:r>
      <w:r w:rsidR="00CF7E05">
        <w:rPr>
          <w:lang w:val="en-GB"/>
        </w:rPr>
        <w:t xml:space="preserve"> the </w:t>
      </w:r>
      <w:r w:rsidR="00787643">
        <w:rPr>
          <w:lang w:val="en-GB"/>
        </w:rPr>
        <w:t>impact of CH</w:t>
      </w:r>
      <w:r w:rsidR="00787643">
        <w:rPr>
          <w:vertAlign w:val="subscript"/>
          <w:lang w:val="en-GB"/>
        </w:rPr>
        <w:t>4</w:t>
      </w:r>
      <w:r w:rsidR="00E05D20">
        <w:rPr>
          <w:lang w:val="en-GB"/>
        </w:rPr>
        <w:t xml:space="preserve"> because</w:t>
      </w:r>
      <w:r w:rsidR="008244FF">
        <w:rPr>
          <w:lang w:val="en-GB"/>
        </w:rPr>
        <w:t xml:space="preserve"> its radiative forcing is much larger than that of CO</w:t>
      </w:r>
      <w:r w:rsidR="008244FF">
        <w:rPr>
          <w:vertAlign w:val="subscript"/>
          <w:lang w:val="en-GB"/>
        </w:rPr>
        <w:t>2</w:t>
      </w:r>
      <w:r w:rsidR="004B5B7E">
        <w:rPr>
          <w:lang w:val="en-GB"/>
        </w:rPr>
        <w:t xml:space="preserve"> over a short period of time</w:t>
      </w:r>
      <w:r w:rsidR="00787643">
        <w:rPr>
          <w:lang w:val="en-GB"/>
        </w:rPr>
        <w:t>.</w:t>
      </w:r>
      <w:r w:rsidR="00613927">
        <w:rPr>
          <w:lang w:val="en-GB"/>
        </w:rPr>
        <w:t xml:space="preserve">  </w:t>
      </w:r>
      <w:r w:rsidR="008E22F8">
        <w:rPr>
          <w:lang w:val="en-GB"/>
        </w:rPr>
        <w:t xml:space="preserve">Moreover, </w:t>
      </w:r>
      <w:r w:rsidR="007F3918">
        <w:rPr>
          <w:lang w:val="en-GB"/>
        </w:rPr>
        <w:t>a</w:t>
      </w:r>
      <w:r w:rsidR="00F15B4B">
        <w:rPr>
          <w:lang w:val="en-GB"/>
        </w:rPr>
        <w:t xml:space="preserve">n evaluation period of a 100 years was </w:t>
      </w:r>
      <w:r w:rsidR="00604DE7">
        <w:rPr>
          <w:lang w:val="en-GB"/>
        </w:rPr>
        <w:t xml:space="preserve">also </w:t>
      </w:r>
      <w:r w:rsidR="00F15B4B">
        <w:rPr>
          <w:lang w:val="en-GB"/>
        </w:rPr>
        <w:t xml:space="preserve">included </w:t>
      </w:r>
      <w:r w:rsidR="00D727AF">
        <w:rPr>
          <w:lang w:val="en-GB"/>
        </w:rPr>
        <w:t>with the aim of comparing</w:t>
      </w:r>
      <w:r w:rsidR="00ED0F18">
        <w:rPr>
          <w:lang w:val="en-GB"/>
        </w:rPr>
        <w:t xml:space="preserve"> </w:t>
      </w:r>
      <w:r w:rsidR="006B3CC2">
        <w:rPr>
          <w:lang w:val="en-GB"/>
        </w:rPr>
        <w:t xml:space="preserve">the result with its static counterpart. </w:t>
      </w:r>
    </w:p>
    <w:p w14:paraId="02EE6343" w14:textId="77777777" w:rsidR="00126E4D" w:rsidRDefault="00126E4D" w:rsidP="008919AA">
      <w:pPr>
        <w:pStyle w:val="Els-body-text"/>
        <w:rPr>
          <w:lang w:val="en-GB"/>
        </w:rPr>
      </w:pPr>
    </w:p>
    <w:p w14:paraId="2F4D7F4C" w14:textId="441A107C" w:rsidR="00E616D0" w:rsidRDefault="00EA3651" w:rsidP="008919AA">
      <w:pPr>
        <w:pStyle w:val="Els-body-text"/>
        <w:rPr>
          <w:lang w:val="en-GB"/>
        </w:rPr>
      </w:pPr>
      <w:r>
        <w:rPr>
          <w:lang w:val="en-GB"/>
        </w:rPr>
        <w:t>In this section, CO</w:t>
      </w:r>
      <w:r>
        <w:rPr>
          <w:vertAlign w:val="subscript"/>
          <w:lang w:val="en-GB"/>
        </w:rPr>
        <w:t>2</w:t>
      </w:r>
      <w:r>
        <w:rPr>
          <w:lang w:val="en-GB"/>
        </w:rPr>
        <w:t xml:space="preserve"> equivalent emissions were also calculated with Eq. (1), but the value of the normalized metric changes every year, as its </w:t>
      </w:r>
      <w:r w:rsidR="00233BCE">
        <w:rPr>
          <w:lang w:val="en-GB"/>
        </w:rPr>
        <w:t>TH</w:t>
      </w:r>
      <w:r>
        <w:rPr>
          <w:lang w:val="en-GB"/>
        </w:rPr>
        <w:t xml:space="preserve"> varies over </w:t>
      </w:r>
      <w:r w:rsidR="00CA2869">
        <w:rPr>
          <w:lang w:val="en-GB"/>
        </w:rPr>
        <w:t>time,</w:t>
      </w:r>
      <w:r>
        <w:rPr>
          <w:lang w:val="en-GB"/>
        </w:rPr>
        <w:t xml:space="preserve"> and it is calculated as the difference between the evaluation period and the year in which emissions are released. </w:t>
      </w:r>
      <w:r w:rsidR="007313C7">
        <w:rPr>
          <w:lang w:val="en-GB"/>
        </w:rPr>
        <w:t>For example, for an evaluation period of 25 years, e</w:t>
      </w:r>
      <w:r w:rsidR="00126E4D">
        <w:rPr>
          <w:lang w:val="en-GB"/>
        </w:rPr>
        <w:t>missions</w:t>
      </w:r>
      <w:r w:rsidR="00E1040D">
        <w:rPr>
          <w:lang w:val="en-GB"/>
        </w:rPr>
        <w:t xml:space="preserve"> that occur in the first year will be evaluated </w:t>
      </w:r>
      <w:r w:rsidR="00A628E6">
        <w:rPr>
          <w:lang w:val="en-GB"/>
        </w:rPr>
        <w:t>for 25 years using the GWP</w:t>
      </w:r>
      <w:r w:rsidR="00A628E6">
        <w:rPr>
          <w:vertAlign w:val="subscript"/>
          <w:lang w:val="en-GB"/>
        </w:rPr>
        <w:t>25</w:t>
      </w:r>
      <w:r w:rsidR="00A628E6">
        <w:rPr>
          <w:lang w:val="en-GB"/>
        </w:rPr>
        <w:t>,</w:t>
      </w:r>
      <w:r w:rsidR="004D501A">
        <w:rPr>
          <w:lang w:val="en-GB"/>
        </w:rPr>
        <w:t xml:space="preserve"> while emissions released during the second year will be evaluated for 24 years and so forth. </w:t>
      </w:r>
      <w:r w:rsidR="002B399D">
        <w:rPr>
          <w:lang w:val="en-GB"/>
        </w:rPr>
        <w:t>This appro</w:t>
      </w:r>
      <w:r w:rsidR="00BA1F91">
        <w:rPr>
          <w:lang w:val="en-GB"/>
        </w:rPr>
        <w:t>ach contrast</w:t>
      </w:r>
      <w:r w:rsidR="00DA66E7">
        <w:rPr>
          <w:lang w:val="en-GB"/>
        </w:rPr>
        <w:t>s</w:t>
      </w:r>
      <w:r w:rsidR="00BA1F91">
        <w:rPr>
          <w:lang w:val="en-GB"/>
        </w:rPr>
        <w:t xml:space="preserve"> with the common practice </w:t>
      </w:r>
      <w:r w:rsidR="00C16764">
        <w:rPr>
          <w:lang w:val="en-GB"/>
        </w:rPr>
        <w:t xml:space="preserve">applied </w:t>
      </w:r>
      <w:r w:rsidR="00BA1F91">
        <w:rPr>
          <w:lang w:val="en-GB"/>
        </w:rPr>
        <w:t xml:space="preserve">in static LCA, which considers a fixed </w:t>
      </w:r>
      <w:r w:rsidR="00233BCE">
        <w:rPr>
          <w:lang w:val="en-GB"/>
        </w:rPr>
        <w:t>TH</w:t>
      </w:r>
      <w:r w:rsidR="00BA1F91">
        <w:rPr>
          <w:lang w:val="en-GB"/>
        </w:rPr>
        <w:t xml:space="preserve"> of 100 years</w:t>
      </w:r>
      <w:r w:rsidR="000212E4">
        <w:rPr>
          <w:lang w:val="en-GB"/>
        </w:rPr>
        <w:t xml:space="preserve"> and</w:t>
      </w:r>
      <w:r w:rsidR="003C7B88">
        <w:rPr>
          <w:lang w:val="en-GB"/>
        </w:rPr>
        <w:t xml:space="preserve"> </w:t>
      </w:r>
      <w:r w:rsidR="00A852FF">
        <w:rPr>
          <w:lang w:val="en-GB"/>
        </w:rPr>
        <w:t xml:space="preserve">results in an inconsistency between the chosen </w:t>
      </w:r>
      <w:r w:rsidR="00233BCE">
        <w:rPr>
          <w:lang w:val="en-GB"/>
        </w:rPr>
        <w:t xml:space="preserve">TH </w:t>
      </w:r>
      <w:r w:rsidR="00CD557E">
        <w:rPr>
          <w:lang w:val="en-GB"/>
        </w:rPr>
        <w:t>and the time frame in which impacts are evaluated</w:t>
      </w:r>
      <w:r w:rsidR="000023A2">
        <w:rPr>
          <w:lang w:val="en-GB"/>
        </w:rPr>
        <w:t xml:space="preserve"> (e.g.,</w:t>
      </w:r>
      <w:r w:rsidR="00CD557E">
        <w:rPr>
          <w:lang w:val="en-GB"/>
        </w:rPr>
        <w:t xml:space="preserve"> as an emission released in year t</w:t>
      </w:r>
      <w:r w:rsidR="0099363C">
        <w:rPr>
          <w:lang w:val="en-GB"/>
        </w:rPr>
        <w:t xml:space="preserve"> when using a</w:t>
      </w:r>
      <w:r w:rsidR="003C7B88">
        <w:rPr>
          <w:lang w:val="en-GB"/>
        </w:rPr>
        <w:t xml:space="preserve"> fixed</w:t>
      </w:r>
      <w:r w:rsidR="0099363C">
        <w:rPr>
          <w:lang w:val="en-GB"/>
        </w:rPr>
        <w:t xml:space="preserve"> </w:t>
      </w:r>
      <w:r w:rsidR="00233BCE">
        <w:rPr>
          <w:lang w:val="en-GB"/>
        </w:rPr>
        <w:t>TH</w:t>
      </w:r>
      <w:r w:rsidR="0099363C">
        <w:rPr>
          <w:lang w:val="en-GB"/>
        </w:rPr>
        <w:t xml:space="preserve"> of 100 years</w:t>
      </w:r>
      <w:r w:rsidR="00CD557E">
        <w:rPr>
          <w:lang w:val="en-GB"/>
        </w:rPr>
        <w:t xml:space="preserve"> will be evaluated </w:t>
      </w:r>
      <w:r w:rsidR="00534506">
        <w:rPr>
          <w:lang w:val="en-GB"/>
        </w:rPr>
        <w:t>until the</w:t>
      </w:r>
      <w:r w:rsidR="00CD557E">
        <w:rPr>
          <w:lang w:val="en-GB"/>
        </w:rPr>
        <w:t xml:space="preserve"> year t+100</w:t>
      </w:r>
      <w:r w:rsidR="00E07F4E">
        <w:rPr>
          <w:lang w:val="en-GB"/>
        </w:rPr>
        <w:t xml:space="preserve"> (Levasseur</w:t>
      </w:r>
      <w:r w:rsidR="00A47D3C">
        <w:rPr>
          <w:lang w:val="en-GB"/>
        </w:rPr>
        <w:t xml:space="preserve"> et al.</w:t>
      </w:r>
      <w:r w:rsidR="00E07F4E">
        <w:rPr>
          <w:lang w:val="en-GB"/>
        </w:rPr>
        <w:t>, 2010)).</w:t>
      </w:r>
    </w:p>
    <w:p w14:paraId="4D43DCC8" w14:textId="77777777" w:rsidR="00BE7DBA" w:rsidRPr="00AD24A8" w:rsidRDefault="00BE7DBA" w:rsidP="008919AA">
      <w:pPr>
        <w:pStyle w:val="Els-body-text"/>
        <w:rPr>
          <w:lang w:val="en-GB"/>
        </w:rPr>
      </w:pPr>
    </w:p>
    <w:p w14:paraId="5212A63A" w14:textId="0F9FE34D" w:rsidR="00C35609" w:rsidRDefault="00C35609" w:rsidP="00C35609">
      <w:pPr>
        <w:pStyle w:val="Els-3rdorder-head"/>
      </w:pPr>
      <w:r>
        <w:t xml:space="preserve">Absolute metrics of the dynamic </w:t>
      </w:r>
      <w:r w:rsidR="00D2798E">
        <w:t>approach</w:t>
      </w:r>
    </w:p>
    <w:p w14:paraId="4119E340" w14:textId="77777777" w:rsidR="00F33EB6" w:rsidRDefault="00F33EB6" w:rsidP="008919AA">
      <w:pPr>
        <w:pStyle w:val="Els-body-text"/>
        <w:rPr>
          <w:lang w:val="en-GB"/>
        </w:rPr>
      </w:pPr>
    </w:p>
    <w:p w14:paraId="11FA3FCE" w14:textId="5641007C" w:rsidR="00851D3D" w:rsidRDefault="00D31B38" w:rsidP="008919AA">
      <w:pPr>
        <w:pStyle w:val="Els-body-text"/>
        <w:rPr>
          <w:lang w:val="en-GB"/>
        </w:rPr>
      </w:pPr>
      <w:r w:rsidRPr="003A795E">
        <w:rPr>
          <w:lang w:val="en-GB"/>
        </w:rPr>
        <w:t>The absolute metric selected f</w:t>
      </w:r>
      <w:r>
        <w:rPr>
          <w:lang w:val="en-GB"/>
        </w:rPr>
        <w:t>or the dynamic modelling</w:t>
      </w:r>
      <w:r w:rsidR="00373D6A">
        <w:rPr>
          <w:lang w:val="en-GB"/>
        </w:rPr>
        <w:t xml:space="preserve"> approach</w:t>
      </w:r>
      <w:r>
        <w:rPr>
          <w:lang w:val="en-GB"/>
        </w:rPr>
        <w:t xml:space="preserve"> was the Absolute Global Temperature </w:t>
      </w:r>
      <w:proofErr w:type="gramStart"/>
      <w:r>
        <w:rPr>
          <w:lang w:val="en-GB"/>
        </w:rPr>
        <w:t>change</w:t>
      </w:r>
      <w:proofErr w:type="gramEnd"/>
      <w:r>
        <w:rPr>
          <w:lang w:val="en-GB"/>
        </w:rPr>
        <w:t xml:space="preserve"> Potential (AGTP). Absolute metrics</w:t>
      </w:r>
      <w:r w:rsidR="005A3C3D">
        <w:rPr>
          <w:lang w:val="en-GB"/>
        </w:rPr>
        <w:t xml:space="preserve"> </w:t>
      </w:r>
      <w:r w:rsidR="006022A7">
        <w:rPr>
          <w:lang w:val="en-GB"/>
        </w:rPr>
        <w:t xml:space="preserve">offer more </w:t>
      </w:r>
      <w:r w:rsidR="00303635">
        <w:rPr>
          <w:lang w:val="en-GB"/>
        </w:rPr>
        <w:t xml:space="preserve">comprehensive </w:t>
      </w:r>
      <w:r w:rsidR="006022A7">
        <w:rPr>
          <w:lang w:val="en-GB"/>
        </w:rPr>
        <w:t>inform</w:t>
      </w:r>
      <w:r w:rsidR="00303635">
        <w:rPr>
          <w:lang w:val="en-GB"/>
        </w:rPr>
        <w:t>ation</w:t>
      </w:r>
      <w:r w:rsidR="00354F76">
        <w:rPr>
          <w:lang w:val="en-GB"/>
        </w:rPr>
        <w:t xml:space="preserve"> of cl</w:t>
      </w:r>
      <w:r w:rsidR="00560885">
        <w:rPr>
          <w:lang w:val="en-GB"/>
        </w:rPr>
        <w:t>imate impacts</w:t>
      </w:r>
      <w:r w:rsidR="00E07F4E">
        <w:rPr>
          <w:lang w:val="en-GB"/>
        </w:rPr>
        <w:t xml:space="preserve"> (Peters</w:t>
      </w:r>
      <w:r w:rsidR="00A47D3C">
        <w:rPr>
          <w:lang w:val="en-GB"/>
        </w:rPr>
        <w:t xml:space="preserve"> et al.</w:t>
      </w:r>
      <w:r w:rsidR="00E07F4E">
        <w:rPr>
          <w:lang w:val="en-GB"/>
        </w:rPr>
        <w:t>, 2021)</w:t>
      </w:r>
      <w:r w:rsidR="00560885">
        <w:rPr>
          <w:lang w:val="en-GB"/>
        </w:rPr>
        <w:t xml:space="preserve"> as they </w:t>
      </w:r>
      <w:r w:rsidR="005B1B1F" w:rsidRPr="00C07299">
        <w:rPr>
          <w:lang w:val="en-GB"/>
        </w:rPr>
        <w:t>elucidate</w:t>
      </w:r>
      <w:r w:rsidR="00C07299" w:rsidRPr="00C07299">
        <w:rPr>
          <w:lang w:val="en-GB"/>
        </w:rPr>
        <w:t xml:space="preserve"> the connection between </w:t>
      </w:r>
      <w:r w:rsidR="005B1B1F">
        <w:rPr>
          <w:lang w:val="en-GB"/>
        </w:rPr>
        <w:t>the moment in which</w:t>
      </w:r>
      <w:r w:rsidR="00C07299" w:rsidRPr="00C07299">
        <w:rPr>
          <w:lang w:val="en-GB"/>
        </w:rPr>
        <w:t xml:space="preserve"> emissions occur and their impact</w:t>
      </w:r>
      <w:r w:rsidR="005B1B1F">
        <w:rPr>
          <w:lang w:val="en-GB"/>
        </w:rPr>
        <w:t>.</w:t>
      </w:r>
      <w:r w:rsidR="00FD0BC9">
        <w:rPr>
          <w:lang w:val="en-GB"/>
        </w:rPr>
        <w:t xml:space="preserve"> This impact is expressed </w:t>
      </w:r>
      <w:r w:rsidR="00537715">
        <w:rPr>
          <w:lang w:val="en-GB"/>
        </w:rPr>
        <w:t>in a shared physical property</w:t>
      </w:r>
      <w:r w:rsidR="004B2286">
        <w:rPr>
          <w:lang w:val="en-GB"/>
        </w:rPr>
        <w:t xml:space="preserve"> (Ericsson</w:t>
      </w:r>
      <w:r w:rsidR="00BC3B71">
        <w:rPr>
          <w:lang w:val="en-GB"/>
        </w:rPr>
        <w:t xml:space="preserve"> et al.</w:t>
      </w:r>
      <w:r w:rsidR="004B2286">
        <w:rPr>
          <w:lang w:val="en-GB"/>
        </w:rPr>
        <w:t>, 2013)</w:t>
      </w:r>
      <w:r w:rsidR="00537715">
        <w:rPr>
          <w:lang w:val="en-GB"/>
        </w:rPr>
        <w:t>, such as K per kg emitted in the case of the AGTP.</w:t>
      </w:r>
      <w:r w:rsidR="00B91647">
        <w:rPr>
          <w:lang w:val="en-GB"/>
        </w:rPr>
        <w:t xml:space="preserve">  Furthermore, a</w:t>
      </w:r>
      <w:r w:rsidR="00C949A4">
        <w:rPr>
          <w:lang w:val="en-GB"/>
        </w:rPr>
        <w:t xml:space="preserve">bsolute metrics </w:t>
      </w:r>
      <w:r w:rsidR="00A123E0">
        <w:rPr>
          <w:lang w:val="en-GB"/>
        </w:rPr>
        <w:t>allows to differentiate among</w:t>
      </w:r>
      <w:r w:rsidR="00A123E0" w:rsidRPr="00A123E0">
        <w:rPr>
          <w:lang w:val="en-GB"/>
        </w:rPr>
        <w:t xml:space="preserve"> diverse trajectories </w:t>
      </w:r>
      <w:r w:rsidR="00B14A02">
        <w:rPr>
          <w:lang w:val="en-GB"/>
        </w:rPr>
        <w:t>that lead</w:t>
      </w:r>
      <w:r w:rsidR="00A123E0" w:rsidRPr="00A123E0">
        <w:rPr>
          <w:lang w:val="en-GB"/>
        </w:rPr>
        <w:t xml:space="preserve"> to comparable climate impacts</w:t>
      </w:r>
      <w:r w:rsidR="00B14A02">
        <w:rPr>
          <w:lang w:val="en-GB"/>
        </w:rPr>
        <w:t xml:space="preserve">, </w:t>
      </w:r>
      <w:r w:rsidR="003C4698" w:rsidRPr="003C4698">
        <w:rPr>
          <w:lang w:val="en-GB"/>
        </w:rPr>
        <w:t>aiding in avoiding adverse consequences, such as surpassing irreversible climate tipping points</w:t>
      </w:r>
      <w:r w:rsidR="00851D3D">
        <w:rPr>
          <w:lang w:val="en-GB"/>
        </w:rPr>
        <w:t xml:space="preserve"> (Breton</w:t>
      </w:r>
      <w:r w:rsidR="00A47D3C">
        <w:rPr>
          <w:lang w:val="en-GB"/>
        </w:rPr>
        <w:t xml:space="preserve"> et al.</w:t>
      </w:r>
      <w:r w:rsidR="00851D3D">
        <w:rPr>
          <w:lang w:val="en-GB"/>
        </w:rPr>
        <w:t>, 20</w:t>
      </w:r>
      <w:r w:rsidR="00DC25CB">
        <w:rPr>
          <w:lang w:val="en-GB"/>
        </w:rPr>
        <w:t>18</w:t>
      </w:r>
      <w:r w:rsidR="00851D3D">
        <w:rPr>
          <w:lang w:val="en-GB"/>
        </w:rPr>
        <w:t>)</w:t>
      </w:r>
      <w:r w:rsidR="00E546D0">
        <w:rPr>
          <w:lang w:val="en-GB"/>
        </w:rPr>
        <w:t>.</w:t>
      </w:r>
    </w:p>
    <w:p w14:paraId="5169264B" w14:textId="77777777" w:rsidR="00851D3D" w:rsidRDefault="00851D3D" w:rsidP="008919AA">
      <w:pPr>
        <w:pStyle w:val="Els-body-text"/>
        <w:rPr>
          <w:lang w:val="en-GB"/>
        </w:rPr>
      </w:pPr>
    </w:p>
    <w:p w14:paraId="0125F320" w14:textId="3BD28885" w:rsidR="00DA1094" w:rsidRPr="00E8368A" w:rsidRDefault="00AD4F76" w:rsidP="008919AA">
      <w:pPr>
        <w:pStyle w:val="Els-body-text"/>
        <w:rPr>
          <w:lang w:val="en-GB"/>
        </w:rPr>
      </w:pPr>
      <w:r>
        <w:rPr>
          <w:lang w:val="en-GB"/>
        </w:rPr>
        <w:t>T</w:t>
      </w:r>
      <w:r w:rsidR="00E8368A" w:rsidRPr="00E8368A">
        <w:rPr>
          <w:lang w:val="en-GB"/>
        </w:rPr>
        <w:t xml:space="preserve">he AGTP </w:t>
      </w:r>
      <w:r w:rsidR="001B040A">
        <w:rPr>
          <w:lang w:val="en-GB"/>
        </w:rPr>
        <w:t xml:space="preserve">per kg of </w:t>
      </w:r>
      <w:r w:rsidR="00A3697F">
        <w:rPr>
          <w:lang w:val="en-GB"/>
        </w:rPr>
        <w:t xml:space="preserve">each </w:t>
      </w:r>
      <w:r w:rsidR="00472374">
        <w:rPr>
          <w:lang w:val="en-GB"/>
        </w:rPr>
        <w:t>GHG</w:t>
      </w:r>
      <w:r w:rsidR="001B040A">
        <w:rPr>
          <w:lang w:val="en-GB"/>
        </w:rPr>
        <w:t xml:space="preserve"> </w:t>
      </w:r>
      <w:r w:rsidR="00E8368A" w:rsidRPr="00E8368A">
        <w:rPr>
          <w:lang w:val="en-GB"/>
        </w:rPr>
        <w:t xml:space="preserve">was calculated </w:t>
      </w:r>
      <w:r w:rsidR="00E8368A">
        <w:rPr>
          <w:lang w:val="en-GB"/>
        </w:rPr>
        <w:t>according to the</w:t>
      </w:r>
      <w:r w:rsidR="002B0B64">
        <w:rPr>
          <w:lang w:val="en-GB"/>
        </w:rPr>
        <w:t xml:space="preserve"> latest version of the</w:t>
      </w:r>
      <w:r w:rsidR="00E8368A">
        <w:rPr>
          <w:lang w:val="en-GB"/>
        </w:rPr>
        <w:t xml:space="preserve"> IPCC</w:t>
      </w:r>
      <w:r w:rsidR="003F714E">
        <w:rPr>
          <w:lang w:val="en-GB"/>
        </w:rPr>
        <w:t xml:space="preserve"> to date</w:t>
      </w:r>
      <w:r w:rsidR="00E8368A">
        <w:rPr>
          <w:lang w:val="en-GB"/>
        </w:rPr>
        <w:t xml:space="preserve"> </w:t>
      </w:r>
      <w:r w:rsidR="002B0B64">
        <w:rPr>
          <w:lang w:val="en-GB"/>
        </w:rPr>
        <w:t>(</w:t>
      </w:r>
      <w:r w:rsidR="00B43F36">
        <w:rPr>
          <w:lang w:val="en-GB"/>
        </w:rPr>
        <w:t xml:space="preserve">IPCC, 2021). </w:t>
      </w:r>
      <w:r w:rsidR="00343586">
        <w:rPr>
          <w:lang w:val="en-GB"/>
        </w:rPr>
        <w:t>The</w:t>
      </w:r>
      <w:r w:rsidR="007F653A">
        <w:rPr>
          <w:lang w:val="en-GB"/>
        </w:rPr>
        <w:t xml:space="preserve"> AGTP in K per kg of hydrogen</w:t>
      </w:r>
      <w:r w:rsidR="00343586">
        <w:rPr>
          <w:lang w:val="en-GB"/>
        </w:rPr>
        <w:t xml:space="preserve"> is obtained by adding </w:t>
      </w:r>
      <w:r w:rsidR="00B36FAF">
        <w:rPr>
          <w:lang w:val="en-GB"/>
        </w:rPr>
        <w:t xml:space="preserve">the emission of each GHG gas by </w:t>
      </w:r>
      <w:r w:rsidR="00A3697F">
        <w:rPr>
          <w:lang w:val="en-GB"/>
        </w:rPr>
        <w:t>their respective</w:t>
      </w:r>
      <w:r w:rsidR="00B36FAF">
        <w:rPr>
          <w:lang w:val="en-GB"/>
        </w:rPr>
        <w:t xml:space="preserve"> AGTP</w:t>
      </w:r>
      <w:r w:rsidR="00343586">
        <w:rPr>
          <w:lang w:val="en-GB"/>
        </w:rPr>
        <w:t>.</w:t>
      </w:r>
    </w:p>
    <w:p w14:paraId="144DE6A1" w14:textId="372D6071" w:rsidR="008D2649" w:rsidRPr="00A94774" w:rsidRDefault="00966497" w:rsidP="008D2649">
      <w:pPr>
        <w:pStyle w:val="Els-1storder-head"/>
        <w:spacing w:after="120"/>
        <w:rPr>
          <w:lang w:val="en-GB"/>
        </w:rPr>
      </w:pPr>
      <w:r>
        <w:rPr>
          <w:lang w:val="en-GB"/>
        </w:rPr>
        <w:t xml:space="preserve">Results </w:t>
      </w:r>
      <w:r w:rsidR="00DE2D1B">
        <w:rPr>
          <w:lang w:val="en-GB"/>
        </w:rPr>
        <w:t>and discussion</w:t>
      </w:r>
    </w:p>
    <w:p w14:paraId="749132B5" w14:textId="778F89CC" w:rsidR="00E90A6C" w:rsidRDefault="005E096C" w:rsidP="00E90A6C">
      <w:pPr>
        <w:pStyle w:val="Els-2ndorder-head"/>
        <w:rPr>
          <w:i w:val="0"/>
          <w:iCs/>
        </w:rPr>
      </w:pPr>
      <w:r>
        <w:t>Normalized</w:t>
      </w:r>
      <w:r w:rsidR="00E90A6C">
        <w:t xml:space="preserve"> metric</w:t>
      </w:r>
    </w:p>
    <w:p w14:paraId="199F72CE" w14:textId="77777777" w:rsidR="001F1D91" w:rsidRDefault="001F1D91" w:rsidP="001F1D91"/>
    <w:p w14:paraId="44C4F7A0" w14:textId="24DC1DBF" w:rsidR="00C22105" w:rsidRDefault="00C22105" w:rsidP="00C22105">
      <w:pPr>
        <w:pStyle w:val="Els-body-text"/>
      </w:pPr>
      <w:r w:rsidRPr="00F42B19">
        <w:t xml:space="preserve">In this section the </w:t>
      </w:r>
      <w:r w:rsidR="00516070">
        <w:t xml:space="preserve">effect of changing the </w:t>
      </w:r>
      <w:r w:rsidR="00233BCE">
        <w:t>TH</w:t>
      </w:r>
      <w:r w:rsidR="00516070">
        <w:t xml:space="preserve"> </w:t>
      </w:r>
      <w:r w:rsidR="00747DF4">
        <w:t xml:space="preserve">when using </w:t>
      </w:r>
      <w:r w:rsidR="009062EA">
        <w:t>the GWP</w:t>
      </w:r>
      <w:r w:rsidR="00747DF4">
        <w:t xml:space="preserve"> static</w:t>
      </w:r>
      <w:r w:rsidR="009062EA">
        <w:t>ally</w:t>
      </w:r>
      <w:r w:rsidR="00516070">
        <w:t xml:space="preserve"> is </w:t>
      </w:r>
      <w:r w:rsidR="00DD5A8D">
        <w:t>presented</w:t>
      </w:r>
      <w:r w:rsidR="002C0CE6">
        <w:t>. Moreover,</w:t>
      </w:r>
      <w:r w:rsidR="00516070">
        <w:t xml:space="preserve"> </w:t>
      </w:r>
      <w:proofErr w:type="gramStart"/>
      <w:r w:rsidR="00593668">
        <w:t>static</w:t>
      </w:r>
      <w:proofErr w:type="gramEnd"/>
      <w:r w:rsidR="00593668">
        <w:t xml:space="preserve"> and</w:t>
      </w:r>
      <w:r w:rsidRPr="00F42B19">
        <w:t xml:space="preserve"> </w:t>
      </w:r>
      <w:r w:rsidR="00435AD8">
        <w:t>dynamic</w:t>
      </w:r>
      <w:r w:rsidRPr="00F42B19">
        <w:t xml:space="preserve"> approaches in LCAs </w:t>
      </w:r>
      <w:r w:rsidR="00593668">
        <w:t xml:space="preserve">are compared </w:t>
      </w:r>
      <w:r w:rsidRPr="00F42B19">
        <w:t xml:space="preserve">to </w:t>
      </w:r>
      <w:r w:rsidR="00593668">
        <w:t>analyze</w:t>
      </w:r>
      <w:r w:rsidRPr="00F42B19">
        <w:t xml:space="preserve"> the influence of considering the temporal effects of </w:t>
      </w:r>
      <w:r w:rsidR="001E2376">
        <w:t>GHG</w:t>
      </w:r>
      <w:r w:rsidRPr="00F42B19">
        <w:t xml:space="preserve"> emissions.</w:t>
      </w:r>
    </w:p>
    <w:p w14:paraId="005147A9" w14:textId="77777777" w:rsidR="00154ACB" w:rsidRDefault="00154ACB" w:rsidP="00C22105">
      <w:pPr>
        <w:pStyle w:val="Els-body-text"/>
      </w:pPr>
    </w:p>
    <w:p w14:paraId="30772CD6" w14:textId="38EB4F5F" w:rsidR="005E096C" w:rsidRDefault="00DC5C02" w:rsidP="005E096C">
      <w:pPr>
        <w:pStyle w:val="Els-body-text"/>
        <w:jc w:val="center"/>
      </w:pPr>
      <w:r w:rsidRPr="00DC5C02">
        <w:rPr>
          <w:noProof/>
        </w:rPr>
        <w:lastRenderedPageBreak/>
        <w:drawing>
          <wp:inline distT="0" distB="0" distL="0" distR="0" wp14:anchorId="3650CC59" wp14:editId="16BFE970">
            <wp:extent cx="3177540" cy="2472746"/>
            <wp:effectExtent l="0" t="0" r="3810" b="3810"/>
            <wp:docPr id="1520390197" name="Imagen 1520390197" descr="A graph with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90197" name="Picture 1" descr="A graph with blue lines and numbers&#10;&#10;Description automatically generated"/>
                    <pic:cNvPicPr/>
                  </pic:nvPicPr>
                  <pic:blipFill rotWithShape="1">
                    <a:blip r:embed="rId11"/>
                    <a:srcRect l="7282" t="1959" r="2624" b="7910"/>
                    <a:stretch/>
                  </pic:blipFill>
                  <pic:spPr bwMode="auto">
                    <a:xfrm>
                      <a:off x="0" y="0"/>
                      <a:ext cx="3188166" cy="2481015"/>
                    </a:xfrm>
                    <a:prstGeom prst="rect">
                      <a:avLst/>
                    </a:prstGeom>
                    <a:ln>
                      <a:noFill/>
                    </a:ln>
                    <a:extLst>
                      <a:ext uri="{53640926-AAD7-44D8-BBD7-CCE9431645EC}">
                        <a14:shadowObscured xmlns:a14="http://schemas.microsoft.com/office/drawing/2010/main"/>
                      </a:ext>
                    </a:extLst>
                  </pic:spPr>
                </pic:pic>
              </a:graphicData>
            </a:graphic>
          </wp:inline>
        </w:drawing>
      </w:r>
    </w:p>
    <w:p w14:paraId="171C921E" w14:textId="16BF4ADD" w:rsidR="006D454C" w:rsidRDefault="006D454C" w:rsidP="006D454C">
      <w:pPr>
        <w:pStyle w:val="Els-body-text"/>
        <w:jc w:val="center"/>
      </w:pPr>
      <w:r>
        <w:t xml:space="preserve">Figure </w:t>
      </w:r>
      <w:r w:rsidR="00313A3E">
        <w:t>1</w:t>
      </w:r>
      <w:r>
        <w:t>. CO</w:t>
      </w:r>
      <w:r>
        <w:rPr>
          <w:vertAlign w:val="subscript"/>
        </w:rPr>
        <w:t>2</w:t>
      </w:r>
      <w:r>
        <w:t xml:space="preserve"> equivalent emissions</w:t>
      </w:r>
      <w:r w:rsidR="00E53145">
        <w:t xml:space="preserve"> for</w:t>
      </w:r>
      <w:r w:rsidR="00FD1A71">
        <w:t xml:space="preserve"> a changing LCI and</w:t>
      </w:r>
      <w:r w:rsidR="00E53145">
        <w:t xml:space="preserve"> static</w:t>
      </w:r>
      <w:r w:rsidR="00CC00A1">
        <w:t xml:space="preserve"> (GWP</w:t>
      </w:r>
      <w:r w:rsidR="00CC00A1" w:rsidRPr="00CC00A1">
        <w:rPr>
          <w:vertAlign w:val="subscript"/>
        </w:rPr>
        <w:t>100</w:t>
      </w:r>
      <w:r w:rsidR="00CC00A1">
        <w:t xml:space="preserve"> and GWP</w:t>
      </w:r>
      <w:r w:rsidR="00CC00A1" w:rsidRPr="00CC00A1">
        <w:rPr>
          <w:vertAlign w:val="subscript"/>
        </w:rPr>
        <w:t>25</w:t>
      </w:r>
      <w:r w:rsidR="00CC00A1">
        <w:t>)</w:t>
      </w:r>
      <w:r w:rsidR="00E53145">
        <w:t xml:space="preserve"> and </w:t>
      </w:r>
      <w:r w:rsidR="00A94B48">
        <w:t>flexible</w:t>
      </w:r>
      <w:r w:rsidR="00E53145">
        <w:t xml:space="preserve"> </w:t>
      </w:r>
      <w:r w:rsidR="00233BCE">
        <w:t>TH</w:t>
      </w:r>
      <w:r w:rsidR="00CC00A1">
        <w:t xml:space="preserve"> (TE</w:t>
      </w:r>
      <w:r w:rsidR="00CC00A1" w:rsidRPr="00CC00A1">
        <w:rPr>
          <w:vertAlign w:val="subscript"/>
        </w:rPr>
        <w:t>25</w:t>
      </w:r>
      <w:r w:rsidR="00773E36">
        <w:t xml:space="preserve"> and TE</w:t>
      </w:r>
      <w:r w:rsidR="00773E36">
        <w:rPr>
          <w:vertAlign w:val="subscript"/>
        </w:rPr>
        <w:t>100</w:t>
      </w:r>
      <w:r w:rsidR="00CC00A1">
        <w:t>)</w:t>
      </w:r>
      <w:r w:rsidR="00233BCE">
        <w:t>.</w:t>
      </w:r>
    </w:p>
    <w:p w14:paraId="5285E4BB" w14:textId="77777777" w:rsidR="0058291A" w:rsidRDefault="0058291A" w:rsidP="006D454C">
      <w:pPr>
        <w:pStyle w:val="Els-body-text"/>
        <w:jc w:val="center"/>
      </w:pPr>
    </w:p>
    <w:p w14:paraId="2721C5CC" w14:textId="77777777" w:rsidR="0058291A" w:rsidRDefault="0058291A" w:rsidP="0058291A">
      <w:pPr>
        <w:pStyle w:val="Els-body-text"/>
        <w:rPr>
          <w:lang w:val="en-GB"/>
        </w:rPr>
      </w:pPr>
      <w:r>
        <w:rPr>
          <w:lang w:val="en-GB"/>
        </w:rPr>
        <w:t>Figure 1 shows that for the same static metric (i.e., the GWP</w:t>
      </w:r>
      <w:r>
        <w:rPr>
          <w:vertAlign w:val="subscript"/>
          <w:lang w:val="en-GB"/>
        </w:rPr>
        <w:t>100</w:t>
      </w:r>
      <w:r>
        <w:rPr>
          <w:lang w:val="en-GB"/>
        </w:rPr>
        <w:t xml:space="preserve"> or the GWP</w:t>
      </w:r>
      <w:r>
        <w:rPr>
          <w:vertAlign w:val="subscript"/>
          <w:lang w:val="en-GB"/>
        </w:rPr>
        <w:t>20</w:t>
      </w:r>
      <w:r>
        <w:rPr>
          <w:lang w:val="en-GB"/>
        </w:rPr>
        <w:t>), CO</w:t>
      </w:r>
      <w:r>
        <w:rPr>
          <w:vertAlign w:val="subscript"/>
          <w:lang w:val="en-GB"/>
        </w:rPr>
        <w:t>2</w:t>
      </w:r>
      <w:r>
        <w:rPr>
          <w:lang w:val="en-GB"/>
        </w:rPr>
        <w:t xml:space="preserve"> equivalent emissions decrease with time. This is due to the two technological advances that were considered in this work, which results in a decreased </w:t>
      </w:r>
      <w:proofErr w:type="gramStart"/>
      <w:r>
        <w:rPr>
          <w:lang w:val="en-GB"/>
        </w:rPr>
        <w:t>amount</w:t>
      </w:r>
      <w:proofErr w:type="gramEnd"/>
      <w:r>
        <w:rPr>
          <w:lang w:val="en-GB"/>
        </w:rPr>
        <w:t xml:space="preserve"> of emissions. </w:t>
      </w:r>
    </w:p>
    <w:p w14:paraId="2BD86957" w14:textId="77777777" w:rsidR="00532355" w:rsidRPr="0089701A" w:rsidRDefault="00532355" w:rsidP="00C34A46">
      <w:pPr>
        <w:pStyle w:val="Els-body-text"/>
        <w:rPr>
          <w:lang w:val="en-GB"/>
        </w:rPr>
      </w:pPr>
    </w:p>
    <w:p w14:paraId="66FFD4D9" w14:textId="77777777" w:rsidR="005E096C" w:rsidRDefault="005E096C" w:rsidP="005E096C">
      <w:pPr>
        <w:pStyle w:val="Els-body-text"/>
        <w:jc w:val="center"/>
      </w:pPr>
      <w:r w:rsidRPr="002E2157">
        <w:rPr>
          <w:noProof/>
        </w:rPr>
        <w:drawing>
          <wp:inline distT="0" distB="0" distL="0" distR="0" wp14:anchorId="26372039" wp14:editId="2DC4A2DF">
            <wp:extent cx="2933700" cy="2063653"/>
            <wp:effectExtent l="0" t="0" r="0" b="0"/>
            <wp:docPr id="954669595" name="Imagen 954669595"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69595" name="Picture 1" descr="A graph of different colored bars&#10;&#10;Description automatically generated with medium confidence"/>
                    <pic:cNvPicPr/>
                  </pic:nvPicPr>
                  <pic:blipFill rotWithShape="1">
                    <a:blip r:embed="rId12"/>
                    <a:srcRect t="3904" b="1"/>
                    <a:stretch/>
                  </pic:blipFill>
                  <pic:spPr bwMode="auto">
                    <a:xfrm>
                      <a:off x="0" y="0"/>
                      <a:ext cx="3008293" cy="2116124"/>
                    </a:xfrm>
                    <a:prstGeom prst="rect">
                      <a:avLst/>
                    </a:prstGeom>
                    <a:ln>
                      <a:noFill/>
                    </a:ln>
                    <a:extLst>
                      <a:ext uri="{53640926-AAD7-44D8-BBD7-CCE9431645EC}">
                        <a14:shadowObscured xmlns:a14="http://schemas.microsoft.com/office/drawing/2010/main"/>
                      </a:ext>
                    </a:extLst>
                  </pic:spPr>
                </pic:pic>
              </a:graphicData>
            </a:graphic>
          </wp:inline>
        </w:drawing>
      </w:r>
    </w:p>
    <w:p w14:paraId="7B5028BD" w14:textId="09FD7848" w:rsidR="0021179A" w:rsidRPr="009D1D1A" w:rsidRDefault="0021179A" w:rsidP="0021179A">
      <w:pPr>
        <w:pStyle w:val="Els-body-text"/>
        <w:jc w:val="center"/>
      </w:pPr>
      <w:r>
        <w:t xml:space="preserve">Figure </w:t>
      </w:r>
      <w:r w:rsidR="00313A3E">
        <w:t>2</w:t>
      </w:r>
      <w:r>
        <w:t>. CO</w:t>
      </w:r>
      <w:r>
        <w:rPr>
          <w:vertAlign w:val="subscript"/>
        </w:rPr>
        <w:t>2</w:t>
      </w:r>
      <w:r>
        <w:t xml:space="preserve"> equivalent emissions </w:t>
      </w:r>
      <w:r w:rsidR="006C7B0D">
        <w:t>broken down</w:t>
      </w:r>
      <w:r w:rsidR="009D1D1A">
        <w:t xml:space="preserve"> into CO</w:t>
      </w:r>
      <w:r w:rsidR="009D1D1A">
        <w:rPr>
          <w:vertAlign w:val="subscript"/>
        </w:rPr>
        <w:t>2</w:t>
      </w:r>
      <w:r w:rsidR="009D1D1A">
        <w:t>, CH</w:t>
      </w:r>
      <w:r w:rsidR="009D1D1A">
        <w:rPr>
          <w:vertAlign w:val="subscript"/>
        </w:rPr>
        <w:t>4</w:t>
      </w:r>
      <w:r w:rsidR="009D1D1A">
        <w:t xml:space="preserve"> and N</w:t>
      </w:r>
      <w:r w:rsidR="009D1D1A">
        <w:rPr>
          <w:vertAlign w:val="subscript"/>
        </w:rPr>
        <w:t>2</w:t>
      </w:r>
      <w:r w:rsidR="009D1D1A">
        <w:t>O.</w:t>
      </w:r>
    </w:p>
    <w:p w14:paraId="08D555FB" w14:textId="77777777" w:rsidR="0021179A" w:rsidRDefault="0021179A" w:rsidP="005E096C">
      <w:pPr>
        <w:pStyle w:val="Els-body-text"/>
        <w:jc w:val="center"/>
      </w:pPr>
    </w:p>
    <w:p w14:paraId="6E74B023" w14:textId="5F835294" w:rsidR="00821B23" w:rsidRPr="005356C8" w:rsidRDefault="00821B23" w:rsidP="00821B23">
      <w:pPr>
        <w:pStyle w:val="Els-body-text"/>
        <w:rPr>
          <w:lang w:val="en-GB"/>
        </w:rPr>
      </w:pPr>
      <w:r>
        <w:t xml:space="preserve">Figure 2 shows that the increased </w:t>
      </w:r>
      <w:r w:rsidRPr="00FD20FB">
        <w:t>CO</w:t>
      </w:r>
      <w:r w:rsidRPr="00FD20FB">
        <w:rPr>
          <w:vertAlign w:val="subscript"/>
        </w:rPr>
        <w:t>2</w:t>
      </w:r>
      <w:r>
        <w:t xml:space="preserve"> emissions each year shown in Figure 1 when using the GWP</w:t>
      </w:r>
      <w:r>
        <w:rPr>
          <w:vertAlign w:val="subscript"/>
        </w:rPr>
        <w:t>20</w:t>
      </w:r>
      <w:r>
        <w:t xml:space="preserve"> compared to the GWP</w:t>
      </w:r>
      <w:r>
        <w:rPr>
          <w:vertAlign w:val="subscript"/>
        </w:rPr>
        <w:t>100</w:t>
      </w:r>
      <w:r>
        <w:t xml:space="preserve"> is due to the increased impact of methane. </w:t>
      </w:r>
      <w:r w:rsidRPr="00FD20FB">
        <w:t>As</w:t>
      </w:r>
      <w:r>
        <w:t xml:space="preserve"> the GWP is calculated dividing the integral of the radiative forcing of a gas by the integral of the radiative forcing of CO</w:t>
      </w:r>
      <w:r>
        <w:rPr>
          <w:vertAlign w:val="subscript"/>
        </w:rPr>
        <w:t>2</w:t>
      </w:r>
      <w:r>
        <w:t xml:space="preserve"> (IPCC, 2021) over the selected TH, choosing a short time frame will give a greater weight to short lived emissions like methane, as this gas has a much higher radiative efficiency over a short period of time than CO</w:t>
      </w:r>
      <w:r>
        <w:rPr>
          <w:vertAlign w:val="subscript"/>
        </w:rPr>
        <w:t>2</w:t>
      </w:r>
      <w:r>
        <w:t xml:space="preserve"> (IPCC, 2021).</w:t>
      </w:r>
      <w:r>
        <w:rPr>
          <w:lang w:val="en-GB"/>
        </w:rPr>
        <w:t xml:space="preserve"> This phenomenon also explains why the use of a flexible TH with an evaluation time of 25 years results in higher CO</w:t>
      </w:r>
      <w:r>
        <w:rPr>
          <w:vertAlign w:val="subscript"/>
          <w:lang w:val="en-GB"/>
        </w:rPr>
        <w:t>2</w:t>
      </w:r>
      <w:r>
        <w:rPr>
          <w:lang w:val="en-GB"/>
        </w:rPr>
        <w:t xml:space="preserve"> emissions than the GWP</w:t>
      </w:r>
      <w:r>
        <w:rPr>
          <w:vertAlign w:val="subscript"/>
          <w:lang w:val="en-GB"/>
        </w:rPr>
        <w:t>20</w:t>
      </w:r>
      <w:r>
        <w:rPr>
          <w:lang w:val="en-GB"/>
        </w:rPr>
        <w:t xml:space="preserve"> past 2036 (as the TH is smaller than that of the GWP</w:t>
      </w:r>
      <w:r>
        <w:rPr>
          <w:vertAlign w:val="subscript"/>
          <w:lang w:val="en-GB"/>
        </w:rPr>
        <w:t>20</w:t>
      </w:r>
      <w:r>
        <w:rPr>
          <w:lang w:val="en-GB"/>
        </w:rPr>
        <w:t xml:space="preserve"> past this point in time). It is also noteworthy that in Figure 1 CO</w:t>
      </w:r>
      <w:r>
        <w:rPr>
          <w:vertAlign w:val="subscript"/>
          <w:lang w:val="en-GB"/>
        </w:rPr>
        <w:t>2</w:t>
      </w:r>
      <w:r>
        <w:rPr>
          <w:lang w:val="en-GB"/>
        </w:rPr>
        <w:t xml:space="preserve"> equivalent emissions when using a</w:t>
      </w:r>
      <w:r w:rsidR="00C44A50">
        <w:rPr>
          <w:lang w:val="en-GB"/>
        </w:rPr>
        <w:t xml:space="preserve">n evaluation time of 25 years </w:t>
      </w:r>
      <w:r>
        <w:rPr>
          <w:lang w:val="en-GB"/>
        </w:rPr>
        <w:t xml:space="preserve">are apparently constant </w:t>
      </w:r>
      <w:r>
        <w:rPr>
          <w:lang w:val="en-GB"/>
        </w:rPr>
        <w:lastRenderedPageBreak/>
        <w:t>past 2040. This is due to two contrasting actions: on the one hand, emissions are lower due to the incorporated technical advances, and on the other hand, the weighting of CH</w:t>
      </w:r>
      <w:r>
        <w:rPr>
          <w:vertAlign w:val="subscript"/>
          <w:lang w:val="en-GB"/>
        </w:rPr>
        <w:t>4</w:t>
      </w:r>
      <w:r>
        <w:rPr>
          <w:lang w:val="en-GB"/>
        </w:rPr>
        <w:t xml:space="preserve"> emissions increases the later the emission is released because the TH gets smaller. </w:t>
      </w:r>
      <w:r w:rsidR="00C71F0A">
        <w:rPr>
          <w:lang w:val="en-GB"/>
        </w:rPr>
        <w:t>Notwithstanding</w:t>
      </w:r>
      <w:r w:rsidR="00014FEB">
        <w:rPr>
          <w:lang w:val="en-GB"/>
        </w:rPr>
        <w:t>, this</w:t>
      </w:r>
      <w:r w:rsidR="00275B59">
        <w:rPr>
          <w:lang w:val="en-GB"/>
        </w:rPr>
        <w:t xml:space="preserve"> latter</w:t>
      </w:r>
      <w:r w:rsidR="00014FEB">
        <w:rPr>
          <w:lang w:val="en-GB"/>
        </w:rPr>
        <w:t xml:space="preserve"> trend </w:t>
      </w:r>
      <w:r w:rsidR="006C2DBB">
        <w:rPr>
          <w:lang w:val="en-GB"/>
        </w:rPr>
        <w:t>is not shown when selecting a</w:t>
      </w:r>
      <w:r w:rsidR="00C749E0">
        <w:rPr>
          <w:lang w:val="en-GB"/>
        </w:rPr>
        <w:t xml:space="preserve">n evaluation time of 100 years, </w:t>
      </w:r>
      <w:r w:rsidR="0095063D">
        <w:rPr>
          <w:lang w:val="en-GB"/>
        </w:rPr>
        <w:t>as</w:t>
      </w:r>
      <w:r w:rsidR="00217C5A">
        <w:rPr>
          <w:lang w:val="en-GB"/>
        </w:rPr>
        <w:t xml:space="preserve"> CO</w:t>
      </w:r>
      <w:r w:rsidR="00217C5A">
        <w:rPr>
          <w:vertAlign w:val="subscript"/>
          <w:lang w:val="en-GB"/>
        </w:rPr>
        <w:t xml:space="preserve">2 </w:t>
      </w:r>
      <w:r w:rsidR="00217C5A">
        <w:rPr>
          <w:lang w:val="en-GB"/>
        </w:rPr>
        <w:t xml:space="preserve">equivalent emissions remain almost identical to those obtained with </w:t>
      </w:r>
      <w:r w:rsidR="00721544">
        <w:rPr>
          <w:lang w:val="en-GB"/>
        </w:rPr>
        <w:t>the GWP</w:t>
      </w:r>
      <w:r w:rsidR="00721544">
        <w:rPr>
          <w:vertAlign w:val="subscript"/>
          <w:lang w:val="en-GB"/>
        </w:rPr>
        <w:t>100</w:t>
      </w:r>
      <w:r w:rsidR="00070889">
        <w:rPr>
          <w:lang w:val="en-GB"/>
        </w:rPr>
        <w:t xml:space="preserve"> </w:t>
      </w:r>
      <w:r w:rsidR="00C71F0A">
        <w:rPr>
          <w:lang w:val="en-GB"/>
        </w:rPr>
        <w:t>since</w:t>
      </w:r>
      <w:r w:rsidR="00721544">
        <w:rPr>
          <w:lang w:val="en-GB"/>
        </w:rPr>
        <w:t xml:space="preserve"> the </w:t>
      </w:r>
      <w:r w:rsidR="00DE63A8">
        <w:rPr>
          <w:lang w:val="en-GB"/>
        </w:rPr>
        <w:t>TH</w:t>
      </w:r>
      <w:r w:rsidR="00721544">
        <w:rPr>
          <w:lang w:val="en-GB"/>
        </w:rPr>
        <w:t xml:space="preserve"> is </w:t>
      </w:r>
      <w:r w:rsidR="00512A22">
        <w:rPr>
          <w:lang w:val="en-GB"/>
        </w:rPr>
        <w:t xml:space="preserve">sufficiently </w:t>
      </w:r>
      <w:r w:rsidR="0028325B">
        <w:rPr>
          <w:lang w:val="en-GB"/>
        </w:rPr>
        <w:t>large</w:t>
      </w:r>
      <w:r w:rsidR="00DE63A8">
        <w:rPr>
          <w:lang w:val="en-GB"/>
        </w:rPr>
        <w:t xml:space="preserve"> </w:t>
      </w:r>
      <w:r w:rsidR="00235675">
        <w:rPr>
          <w:lang w:val="en-GB"/>
        </w:rPr>
        <w:t>(</w:t>
      </w:r>
      <w:r w:rsidR="00DE63A8">
        <w:rPr>
          <w:lang w:val="en-GB"/>
        </w:rPr>
        <w:t xml:space="preserve">even </w:t>
      </w:r>
      <w:r w:rsidR="00235675">
        <w:rPr>
          <w:lang w:val="en-GB"/>
        </w:rPr>
        <w:t>in</w:t>
      </w:r>
      <w:r w:rsidR="00DE63A8">
        <w:rPr>
          <w:lang w:val="en-GB"/>
        </w:rPr>
        <w:t xml:space="preserve"> the last year</w:t>
      </w:r>
      <w:r w:rsidR="00235675">
        <w:rPr>
          <w:lang w:val="en-GB"/>
        </w:rPr>
        <w:t xml:space="preserve"> of the evaluation)</w:t>
      </w:r>
      <w:r w:rsidR="007249CB">
        <w:rPr>
          <w:lang w:val="en-GB"/>
        </w:rPr>
        <w:t>,</w:t>
      </w:r>
      <w:r w:rsidR="00F92DD8">
        <w:rPr>
          <w:lang w:val="en-GB"/>
        </w:rPr>
        <w:t xml:space="preserve"> </w:t>
      </w:r>
      <w:r w:rsidR="005356C8">
        <w:rPr>
          <w:lang w:val="en-GB"/>
        </w:rPr>
        <w:t>and</w:t>
      </w:r>
      <w:r w:rsidR="00D119C2">
        <w:rPr>
          <w:lang w:val="en-GB"/>
        </w:rPr>
        <w:t xml:space="preserve"> thus,</w:t>
      </w:r>
      <w:r w:rsidR="005356C8">
        <w:rPr>
          <w:lang w:val="en-GB"/>
        </w:rPr>
        <w:t xml:space="preserve"> the impact of CH</w:t>
      </w:r>
      <w:r w:rsidR="005356C8">
        <w:rPr>
          <w:vertAlign w:val="subscript"/>
          <w:lang w:val="en-GB"/>
        </w:rPr>
        <w:t xml:space="preserve">4 </w:t>
      </w:r>
      <w:r w:rsidR="002B4D83">
        <w:rPr>
          <w:lang w:val="en-GB"/>
        </w:rPr>
        <w:t xml:space="preserve">does not show </w:t>
      </w:r>
      <w:r w:rsidR="00536676">
        <w:rPr>
          <w:lang w:val="en-GB"/>
        </w:rPr>
        <w:t>much</w:t>
      </w:r>
      <w:r w:rsidR="002B4D83">
        <w:rPr>
          <w:lang w:val="en-GB"/>
        </w:rPr>
        <w:t xml:space="preserve"> var</w:t>
      </w:r>
      <w:r w:rsidR="00536676">
        <w:rPr>
          <w:lang w:val="en-GB"/>
        </w:rPr>
        <w:t>iability.</w:t>
      </w:r>
    </w:p>
    <w:p w14:paraId="0A656231" w14:textId="77777777" w:rsidR="00821B23" w:rsidRDefault="00821B23" w:rsidP="005E096C">
      <w:pPr>
        <w:pStyle w:val="Els-body-text"/>
        <w:rPr>
          <w:lang w:val="en-GB"/>
        </w:rPr>
      </w:pPr>
    </w:p>
    <w:p w14:paraId="697DDFF6" w14:textId="12455F4A" w:rsidR="005E096C" w:rsidRPr="0053044D" w:rsidRDefault="00AC0634" w:rsidP="005E096C">
      <w:pPr>
        <w:pStyle w:val="Els-body-text"/>
        <w:rPr>
          <w:lang w:val="en-GB"/>
        </w:rPr>
      </w:pPr>
      <w:r w:rsidRPr="00AC0634">
        <w:rPr>
          <w:lang w:val="en-GB"/>
        </w:rPr>
        <w:t>Figures</w:t>
      </w:r>
      <w:r w:rsidR="0083687F">
        <w:rPr>
          <w:lang w:val="en-GB"/>
        </w:rPr>
        <w:t xml:space="preserve"> </w:t>
      </w:r>
      <w:r w:rsidR="0052546B">
        <w:rPr>
          <w:lang w:val="en-GB"/>
        </w:rPr>
        <w:t>1</w:t>
      </w:r>
      <w:r w:rsidR="0083687F">
        <w:rPr>
          <w:lang w:val="en-GB"/>
        </w:rPr>
        <w:t xml:space="preserve"> and </w:t>
      </w:r>
      <w:r w:rsidR="0052546B">
        <w:rPr>
          <w:lang w:val="en-GB"/>
        </w:rPr>
        <w:t>2</w:t>
      </w:r>
      <w:r w:rsidRPr="00AC0634">
        <w:rPr>
          <w:lang w:val="en-GB"/>
        </w:rPr>
        <w:t xml:space="preserve"> show t</w:t>
      </w:r>
      <w:r>
        <w:rPr>
          <w:lang w:val="en-GB"/>
        </w:rPr>
        <w:t>he potential</w:t>
      </w:r>
      <w:r w:rsidR="00EA2385">
        <w:rPr>
          <w:lang w:val="en-GB"/>
        </w:rPr>
        <w:t xml:space="preserve"> differences in the impacts obtained when conducting a LCA by selecting a certain </w:t>
      </w:r>
      <w:r w:rsidR="00546B66">
        <w:rPr>
          <w:lang w:val="en-GB"/>
        </w:rPr>
        <w:t>TH</w:t>
      </w:r>
      <w:r w:rsidR="009C5D30">
        <w:rPr>
          <w:lang w:val="en-GB"/>
        </w:rPr>
        <w:t xml:space="preserve">. These </w:t>
      </w:r>
      <w:r w:rsidR="00084516">
        <w:rPr>
          <w:lang w:val="en-GB"/>
        </w:rPr>
        <w:t>changes</w:t>
      </w:r>
      <w:r w:rsidR="00E450D1">
        <w:rPr>
          <w:lang w:val="en-GB"/>
        </w:rPr>
        <w:t xml:space="preserve"> could be </w:t>
      </w:r>
      <w:r w:rsidR="00084516">
        <w:rPr>
          <w:lang w:val="en-GB"/>
        </w:rPr>
        <w:t>significantly amplified</w:t>
      </w:r>
      <w:r w:rsidR="00E450D1">
        <w:rPr>
          <w:lang w:val="en-GB"/>
        </w:rPr>
        <w:t xml:space="preserve"> in a system in which CH</w:t>
      </w:r>
      <w:r w:rsidR="00E450D1">
        <w:rPr>
          <w:vertAlign w:val="subscript"/>
          <w:lang w:val="en-GB"/>
        </w:rPr>
        <w:t>4</w:t>
      </w:r>
      <w:r w:rsidR="00E450D1">
        <w:rPr>
          <w:lang w:val="en-GB"/>
        </w:rPr>
        <w:t xml:space="preserve"> emissions are more predominant than in </w:t>
      </w:r>
      <w:r w:rsidR="0053044D">
        <w:rPr>
          <w:lang w:val="en-GB"/>
        </w:rPr>
        <w:t>this system</w:t>
      </w:r>
      <w:r w:rsidR="00DE062D">
        <w:rPr>
          <w:lang w:val="en-GB"/>
        </w:rPr>
        <w:t xml:space="preserve">. </w:t>
      </w:r>
      <w:r w:rsidR="00EB47A0">
        <w:rPr>
          <w:lang w:val="en-GB"/>
        </w:rPr>
        <w:t>Therefore, i</w:t>
      </w:r>
      <w:r w:rsidR="00DE062D">
        <w:rPr>
          <w:lang w:val="en-GB"/>
        </w:rPr>
        <w:t>t can be concluded that the prod</w:t>
      </w:r>
      <w:r w:rsidR="00EB47A0">
        <w:rPr>
          <w:lang w:val="en-GB"/>
        </w:rPr>
        <w:t xml:space="preserve">uction of hydrogen via water electrolysis is not that sensitive to the chosen </w:t>
      </w:r>
      <w:r w:rsidR="00546B66">
        <w:rPr>
          <w:lang w:val="en-GB"/>
        </w:rPr>
        <w:t>TH</w:t>
      </w:r>
      <w:r w:rsidR="00EB47A0">
        <w:rPr>
          <w:lang w:val="en-GB"/>
        </w:rPr>
        <w:t xml:space="preserve"> </w:t>
      </w:r>
      <w:r w:rsidR="006D6A45">
        <w:rPr>
          <w:lang w:val="en-GB"/>
        </w:rPr>
        <w:t>(</w:t>
      </w:r>
      <w:r w:rsidR="00EB47A0">
        <w:rPr>
          <w:lang w:val="en-GB"/>
        </w:rPr>
        <w:t>as its</w:t>
      </w:r>
      <w:r w:rsidR="0053044D">
        <w:rPr>
          <w:lang w:val="en-GB"/>
        </w:rPr>
        <w:t xml:space="preserve"> impacts are mainly due to CO</w:t>
      </w:r>
      <w:r w:rsidR="0053044D">
        <w:rPr>
          <w:vertAlign w:val="subscript"/>
          <w:lang w:val="en-GB"/>
        </w:rPr>
        <w:t xml:space="preserve">2 </w:t>
      </w:r>
      <w:r w:rsidR="0053044D">
        <w:rPr>
          <w:lang w:val="en-GB"/>
        </w:rPr>
        <w:t xml:space="preserve">emissions that </w:t>
      </w:r>
      <w:r w:rsidR="0083687F">
        <w:rPr>
          <w:lang w:val="en-GB"/>
        </w:rPr>
        <w:t xml:space="preserve">are not affected by the </w:t>
      </w:r>
      <w:r w:rsidR="00EB47A0">
        <w:rPr>
          <w:lang w:val="en-GB"/>
        </w:rPr>
        <w:t>selected</w:t>
      </w:r>
      <w:r w:rsidR="0083687F">
        <w:rPr>
          <w:lang w:val="en-GB"/>
        </w:rPr>
        <w:t xml:space="preserve"> time </w:t>
      </w:r>
      <w:r w:rsidR="00EB47A0">
        <w:rPr>
          <w:lang w:val="en-GB"/>
        </w:rPr>
        <w:t>frame</w:t>
      </w:r>
      <w:r w:rsidR="006D6A45">
        <w:rPr>
          <w:lang w:val="en-GB"/>
        </w:rPr>
        <w:t>)</w:t>
      </w:r>
      <w:r w:rsidR="0083687F">
        <w:rPr>
          <w:lang w:val="en-GB"/>
        </w:rPr>
        <w:t>.</w:t>
      </w:r>
    </w:p>
    <w:p w14:paraId="08C75C84" w14:textId="77777777" w:rsidR="002D2E5C" w:rsidRPr="0083687F" w:rsidRDefault="002D2E5C" w:rsidP="00DE59A2">
      <w:pPr>
        <w:pStyle w:val="Els-body-text"/>
        <w:jc w:val="center"/>
        <w:rPr>
          <w:lang w:val="en-GB"/>
        </w:rPr>
      </w:pPr>
    </w:p>
    <w:p w14:paraId="2A49024D" w14:textId="523287C6" w:rsidR="00E90A6C" w:rsidRDefault="005E096C" w:rsidP="00E90A6C">
      <w:pPr>
        <w:pStyle w:val="Els-2ndorder-head"/>
      </w:pPr>
      <w:r>
        <w:t>Absolute</w:t>
      </w:r>
      <w:r w:rsidR="00E90A6C">
        <w:t xml:space="preserve"> metric</w:t>
      </w:r>
    </w:p>
    <w:p w14:paraId="5CE4D7AA" w14:textId="77777777" w:rsidR="00F33EB6" w:rsidRDefault="00F33EB6" w:rsidP="008D2649">
      <w:pPr>
        <w:pStyle w:val="Els-body-text"/>
        <w:rPr>
          <w:lang w:val="en-GB"/>
        </w:rPr>
      </w:pPr>
    </w:p>
    <w:p w14:paraId="19D35FCB" w14:textId="7E72CF81" w:rsidR="008B2C23" w:rsidRDefault="008B2C23" w:rsidP="008B2C23">
      <w:pPr>
        <w:pStyle w:val="Els-body-text"/>
      </w:pPr>
      <w:r>
        <w:t>The AGTP is an instantane</w:t>
      </w:r>
      <w:r w:rsidRPr="00D96857">
        <w:t>ous metric</w:t>
      </w:r>
      <w:r>
        <w:t>, meaning that it</w:t>
      </w:r>
      <w:r w:rsidRPr="00D96857">
        <w:t xml:space="preserve"> provide</w:t>
      </w:r>
      <w:r>
        <w:t>s</w:t>
      </w:r>
      <w:r w:rsidRPr="00D96857">
        <w:t xml:space="preserve"> an estimation of the indicator's value at a specific moment in time following an emission </w:t>
      </w:r>
      <w:r w:rsidR="00E546D0">
        <w:rPr>
          <w:lang w:val="en-GB"/>
        </w:rPr>
        <w:t>(Breton</w:t>
      </w:r>
      <w:r w:rsidR="00BC3B71">
        <w:rPr>
          <w:lang w:val="en-GB"/>
        </w:rPr>
        <w:t xml:space="preserve"> et al.</w:t>
      </w:r>
      <w:r w:rsidR="00E546D0">
        <w:rPr>
          <w:lang w:val="en-GB"/>
        </w:rPr>
        <w:t>, 20</w:t>
      </w:r>
      <w:r w:rsidR="00DC25CB">
        <w:rPr>
          <w:lang w:val="en-GB"/>
        </w:rPr>
        <w:t>18</w:t>
      </w:r>
      <w:r w:rsidR="00E546D0">
        <w:rPr>
          <w:lang w:val="en-GB"/>
        </w:rPr>
        <w:t>).</w:t>
      </w:r>
      <w:r w:rsidR="00E546D0">
        <w:t xml:space="preserve"> </w:t>
      </w:r>
      <w:r>
        <w:t xml:space="preserve">Two evaluation periods were selected: 25 and 100 years. Since the activity is considered to start in 2030, the AGTP in Figure </w:t>
      </w:r>
      <w:r w:rsidR="0052546B">
        <w:t>3</w:t>
      </w:r>
      <w:r>
        <w:t xml:space="preserve"> show</w:t>
      </w:r>
      <w:r w:rsidR="00EC64D7">
        <w:t>s</w:t>
      </w:r>
      <w:r>
        <w:t xml:space="preserve"> the temperature change in 2055 and 2130</w:t>
      </w:r>
      <w:r w:rsidR="00961E66">
        <w:rPr>
          <w:lang w:val="en-GB"/>
        </w:rPr>
        <w:t xml:space="preserve"> </w:t>
      </w:r>
      <w:r w:rsidR="00E80E0F">
        <w:rPr>
          <w:lang w:val="en-GB"/>
        </w:rPr>
        <w:t xml:space="preserve">due to </w:t>
      </w:r>
      <w:r w:rsidR="00961E66">
        <w:rPr>
          <w:lang w:val="en-GB"/>
        </w:rPr>
        <w:t xml:space="preserve">the emissions </w:t>
      </w:r>
      <w:r w:rsidR="002C6CD6">
        <w:rPr>
          <w:lang w:val="en-GB"/>
        </w:rPr>
        <w:t xml:space="preserve">that were </w:t>
      </w:r>
      <w:r w:rsidR="00961E66">
        <w:rPr>
          <w:lang w:val="en-GB"/>
        </w:rPr>
        <w:t xml:space="preserve">released </w:t>
      </w:r>
      <w:r w:rsidR="00E80E0F">
        <w:rPr>
          <w:lang w:val="en-GB"/>
        </w:rPr>
        <w:t xml:space="preserve">each </w:t>
      </w:r>
      <w:r w:rsidR="00D72666">
        <w:rPr>
          <w:lang w:val="en-GB"/>
        </w:rPr>
        <w:t xml:space="preserve">year </w:t>
      </w:r>
      <w:proofErr w:type="gramStart"/>
      <w:r w:rsidR="002C6CD6">
        <w:rPr>
          <w:lang w:val="en-GB"/>
        </w:rPr>
        <w:t>for the production of</w:t>
      </w:r>
      <w:proofErr w:type="gramEnd"/>
      <w:r w:rsidR="002C6CD6">
        <w:rPr>
          <w:lang w:val="en-GB"/>
        </w:rPr>
        <w:t xml:space="preserve"> 1 kg of hydrogen </w:t>
      </w:r>
      <w:r w:rsidR="00D72666">
        <w:rPr>
          <w:lang w:val="en-GB"/>
        </w:rPr>
        <w:t>and</w:t>
      </w:r>
      <w:r w:rsidR="00EC64D7">
        <w:rPr>
          <w:lang w:val="en-GB"/>
        </w:rPr>
        <w:t xml:space="preserve"> demonstrates that</w:t>
      </w:r>
      <w:r w:rsidR="005D4216">
        <w:rPr>
          <w:lang w:val="en-GB"/>
        </w:rPr>
        <w:t xml:space="preserve"> all </w:t>
      </w:r>
      <w:r w:rsidR="00EC64D7">
        <w:t xml:space="preserve">emissions occurring from 2030 until 2050 have a greater impact on 2055 than </w:t>
      </w:r>
      <w:r w:rsidR="00260415">
        <w:t>o</w:t>
      </w:r>
      <w:r w:rsidR="00EC64D7">
        <w:t>n 2130</w:t>
      </w:r>
      <w:r w:rsidR="00BD593B">
        <w:t>.</w:t>
      </w:r>
    </w:p>
    <w:p w14:paraId="73325A08" w14:textId="77777777" w:rsidR="00235675" w:rsidRDefault="00235675" w:rsidP="008B2C23">
      <w:pPr>
        <w:pStyle w:val="Els-body-text"/>
      </w:pPr>
    </w:p>
    <w:p w14:paraId="144DE6A4" w14:textId="2D67E436" w:rsidR="008D2649" w:rsidRDefault="00EC7208" w:rsidP="000613B2">
      <w:pPr>
        <w:pStyle w:val="Els-body-text"/>
        <w:jc w:val="center"/>
        <w:rPr>
          <w:lang w:val="en-GB"/>
        </w:rPr>
      </w:pPr>
      <w:r w:rsidRPr="00EC7208">
        <w:rPr>
          <w:noProof/>
          <w:lang w:val="en-GB"/>
        </w:rPr>
        <w:drawing>
          <wp:inline distT="0" distB="0" distL="0" distR="0" wp14:anchorId="05AAA6AA" wp14:editId="3DAFB64B">
            <wp:extent cx="2674620" cy="2126418"/>
            <wp:effectExtent l="0" t="0" r="0" b="7620"/>
            <wp:docPr id="614628129" name="Imagen 614628129"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28129" name="Picture 1" descr="A graph with a line and a blue line&#10;&#10;Description automatically generated"/>
                    <pic:cNvPicPr/>
                  </pic:nvPicPr>
                  <pic:blipFill rotWithShape="1">
                    <a:blip r:embed="rId13"/>
                    <a:srcRect t="1909"/>
                    <a:stretch/>
                  </pic:blipFill>
                  <pic:spPr bwMode="auto">
                    <a:xfrm>
                      <a:off x="0" y="0"/>
                      <a:ext cx="2696964" cy="2144183"/>
                    </a:xfrm>
                    <a:prstGeom prst="rect">
                      <a:avLst/>
                    </a:prstGeom>
                    <a:ln>
                      <a:noFill/>
                    </a:ln>
                    <a:extLst>
                      <a:ext uri="{53640926-AAD7-44D8-BBD7-CCE9431645EC}">
                        <a14:shadowObscured xmlns:a14="http://schemas.microsoft.com/office/drawing/2010/main"/>
                      </a:ext>
                    </a:extLst>
                  </pic:spPr>
                </pic:pic>
              </a:graphicData>
            </a:graphic>
          </wp:inline>
        </w:drawing>
      </w:r>
    </w:p>
    <w:p w14:paraId="63590BDC" w14:textId="012EBB01" w:rsidR="00F644D9" w:rsidRDefault="002C0CE6" w:rsidP="000613B2">
      <w:pPr>
        <w:pStyle w:val="Els-body-text"/>
        <w:jc w:val="center"/>
      </w:pPr>
      <w:r>
        <w:t xml:space="preserve">Figure </w:t>
      </w:r>
      <w:r w:rsidR="0052546B">
        <w:t>3</w:t>
      </w:r>
      <w:r>
        <w:t>.</w:t>
      </w:r>
      <w:r w:rsidR="001035B1">
        <w:t xml:space="preserve"> AGTP for this case study.</w:t>
      </w:r>
    </w:p>
    <w:p w14:paraId="144DE6A5" w14:textId="75D323B3" w:rsidR="008D2649" w:rsidRPr="00A94774" w:rsidRDefault="00DE2D1B" w:rsidP="008D2649">
      <w:pPr>
        <w:pStyle w:val="Els-1storder-head"/>
        <w:spacing w:after="120"/>
        <w:rPr>
          <w:lang w:val="en-GB"/>
        </w:rPr>
      </w:pPr>
      <w:r>
        <w:rPr>
          <w:lang w:val="en-GB"/>
        </w:rPr>
        <w:t>Conclusion</w:t>
      </w:r>
    </w:p>
    <w:p w14:paraId="1550920A" w14:textId="2178CE8C" w:rsidR="00841425" w:rsidRDefault="002F76C5" w:rsidP="0079566D">
      <w:pPr>
        <w:pStyle w:val="Els-body-text"/>
        <w:spacing w:after="120"/>
      </w:pPr>
      <w:r w:rsidRPr="002F76C5">
        <w:rPr>
          <w:lang w:val="en-GB"/>
        </w:rPr>
        <w:t xml:space="preserve">In this study, </w:t>
      </w:r>
      <w:r w:rsidR="00506B03">
        <w:rPr>
          <w:lang w:val="en-GB"/>
        </w:rPr>
        <w:t>a</w:t>
      </w:r>
      <w:r w:rsidR="00506B03" w:rsidRPr="002F76C5">
        <w:rPr>
          <w:lang w:val="en-GB"/>
        </w:rPr>
        <w:t xml:space="preserve"> variety of analytical approaches were developed in MATLAB for shedding light on the influence of the </w:t>
      </w:r>
      <w:r w:rsidR="009F7D2A">
        <w:rPr>
          <w:lang w:val="en-GB"/>
        </w:rPr>
        <w:t>incorporation</w:t>
      </w:r>
      <w:r w:rsidR="00506B03" w:rsidRPr="002F76C5">
        <w:rPr>
          <w:lang w:val="en-GB"/>
        </w:rPr>
        <w:t xml:space="preserve"> of time in LCA</w:t>
      </w:r>
      <w:r w:rsidR="00506B03">
        <w:rPr>
          <w:lang w:val="en-GB"/>
        </w:rPr>
        <w:t xml:space="preserve">. These ranged from the use of a dynamic LCI to the analysis of the effects of selecting different </w:t>
      </w:r>
      <w:r w:rsidR="00546B66">
        <w:rPr>
          <w:lang w:val="en-GB"/>
        </w:rPr>
        <w:t>TH.</w:t>
      </w:r>
      <w:r w:rsidR="00506B03">
        <w:rPr>
          <w:lang w:val="en-GB"/>
        </w:rPr>
        <w:t xml:space="preserve"> Furthermore, by </w:t>
      </w:r>
      <w:r w:rsidR="00D63980">
        <w:rPr>
          <w:lang w:val="en-GB"/>
        </w:rPr>
        <w:t>implementing</w:t>
      </w:r>
      <w:r w:rsidR="00506B03">
        <w:rPr>
          <w:lang w:val="en-GB"/>
        </w:rPr>
        <w:t xml:space="preserve"> an absolute metric</w:t>
      </w:r>
      <w:r w:rsidR="00506B03">
        <w:t xml:space="preserve"> (i.e., the AGTP),</w:t>
      </w:r>
      <w:r w:rsidR="00506B03">
        <w:rPr>
          <w:lang w:val="en-GB"/>
        </w:rPr>
        <w:t xml:space="preserve"> this model illustrated the temporal evolution of climate impacts, which </w:t>
      </w:r>
      <w:r w:rsidR="00506B03" w:rsidRPr="00CB74E6">
        <w:t xml:space="preserve">introduces a </w:t>
      </w:r>
      <w:r w:rsidR="00506B03">
        <w:t>different</w:t>
      </w:r>
      <w:r w:rsidR="00506B03" w:rsidRPr="00CB74E6">
        <w:t xml:space="preserve"> approach to incorporating time in LCA practice</w:t>
      </w:r>
      <w:r w:rsidR="00506B03">
        <w:t xml:space="preserve">s, </w:t>
      </w:r>
      <w:r w:rsidR="00506B03" w:rsidRPr="00CB74E6">
        <w:t>instead of opting for</w:t>
      </w:r>
      <w:r w:rsidR="00506B03">
        <w:t xml:space="preserve"> expressing emissions as</w:t>
      </w:r>
      <w:r w:rsidR="00506B03" w:rsidRPr="00CB74E6">
        <w:t xml:space="preserve"> CO</w:t>
      </w:r>
      <w:r w:rsidR="00506B03" w:rsidRPr="00CB74E6">
        <w:rPr>
          <w:vertAlign w:val="subscript"/>
        </w:rPr>
        <w:t>2</w:t>
      </w:r>
      <w:r w:rsidR="00506B03" w:rsidRPr="00CB74E6">
        <w:t>-equivalen</w:t>
      </w:r>
      <w:r w:rsidR="00506B03">
        <w:t>ts.</w:t>
      </w:r>
      <w:r w:rsidR="009F3381">
        <w:t xml:space="preserve"> </w:t>
      </w:r>
      <w:r w:rsidR="0079566D">
        <w:t xml:space="preserve">It was </w:t>
      </w:r>
      <w:r w:rsidR="00821B23">
        <w:lastRenderedPageBreak/>
        <w:t xml:space="preserve">also </w:t>
      </w:r>
      <w:r w:rsidR="0079566D">
        <w:t xml:space="preserve">proven even if a shorter </w:t>
      </w:r>
      <w:r w:rsidR="00546B66">
        <w:t>TH</w:t>
      </w:r>
      <w:r w:rsidR="0079566D">
        <w:t xml:space="preserve"> results in greater CO</w:t>
      </w:r>
      <w:r w:rsidR="0079566D">
        <w:rPr>
          <w:vertAlign w:val="subscript"/>
        </w:rPr>
        <w:t>2</w:t>
      </w:r>
      <w:r w:rsidR="0079566D">
        <w:t xml:space="preserve"> equivalent emissions due to the greater impact of methane, the production of hydrogen from water electrolysis does not show a great variability with the </w:t>
      </w:r>
      <w:r w:rsidR="00405E9C">
        <w:t xml:space="preserve">selected </w:t>
      </w:r>
      <w:r w:rsidR="00546B66">
        <w:t>TH</w:t>
      </w:r>
      <w:r w:rsidR="00405E9C">
        <w:t>, as CO</w:t>
      </w:r>
      <w:r w:rsidR="00405E9C">
        <w:rPr>
          <w:vertAlign w:val="subscript"/>
        </w:rPr>
        <w:t>2</w:t>
      </w:r>
      <w:r w:rsidR="00405E9C">
        <w:t xml:space="preserve"> emissions are predominant.</w:t>
      </w:r>
      <w:r w:rsidR="009F3381">
        <w:t xml:space="preserve"> </w:t>
      </w:r>
    </w:p>
    <w:p w14:paraId="07E3DC30" w14:textId="7BE4D872" w:rsidR="007C185F" w:rsidRDefault="00C85091" w:rsidP="0079566D">
      <w:pPr>
        <w:pStyle w:val="Els-body-text"/>
        <w:spacing w:after="120"/>
      </w:pPr>
      <w:r>
        <w:t>It can be concluded that t</w:t>
      </w:r>
      <w:r w:rsidR="0091730A">
        <w:t xml:space="preserve">his work </w:t>
      </w:r>
      <w:r w:rsidR="00172786">
        <w:t>enhances our understanding of</w:t>
      </w:r>
      <w:r w:rsidR="00953C27">
        <w:t xml:space="preserve"> the </w:t>
      </w:r>
      <w:r w:rsidR="009D3128">
        <w:t>implications of</w:t>
      </w:r>
      <w:r w:rsidR="00953C27">
        <w:t xml:space="preserve"> </w:t>
      </w:r>
      <w:r w:rsidR="0045277D">
        <w:t>the inclusion of time</w:t>
      </w:r>
      <w:r w:rsidR="00DA43D5">
        <w:t xml:space="preserve"> in</w:t>
      </w:r>
      <w:r w:rsidR="00B456A0">
        <w:t>to</w:t>
      </w:r>
      <w:r w:rsidR="00FD29E5">
        <w:t xml:space="preserve"> LCAs</w:t>
      </w:r>
      <w:r w:rsidR="00BB1F92">
        <w:t>,</w:t>
      </w:r>
      <w:r w:rsidR="00FD29E5">
        <w:t xml:space="preserve"> </w:t>
      </w:r>
      <w:r w:rsidR="0061154A">
        <w:t>which can aid</w:t>
      </w:r>
      <w:r w:rsidR="00054E1C">
        <w:t xml:space="preserve"> practitioners in delivering </w:t>
      </w:r>
      <w:r w:rsidR="00751D2A">
        <w:t>more comprehensive LCA</w:t>
      </w:r>
      <w:r w:rsidR="0080063A">
        <w:t>s</w:t>
      </w:r>
      <w:r w:rsidR="00BB1F92">
        <w:t xml:space="preserve"> that </w:t>
      </w:r>
      <w:r w:rsidR="0080063A">
        <w:t xml:space="preserve">may well result in </w:t>
      </w:r>
      <w:r w:rsidR="009D3128">
        <w:t xml:space="preserve">more informed conclusions and </w:t>
      </w:r>
      <w:r w:rsidR="0080063A">
        <w:t>enhanced decision</w:t>
      </w:r>
      <w:r w:rsidR="009D3128">
        <w:t>-</w:t>
      </w:r>
      <w:r w:rsidR="0080063A">
        <w:t>making</w:t>
      </w:r>
      <w:r w:rsidR="00213019">
        <w:t xml:space="preserve"> for the </w:t>
      </w:r>
      <w:r w:rsidR="00213019" w:rsidRPr="00AB6455">
        <w:t>development of more effective environmental policies</w:t>
      </w:r>
      <w:r w:rsidR="00213019">
        <w:t>.</w:t>
      </w:r>
    </w:p>
    <w:p w14:paraId="02B3753D" w14:textId="426ADD3B" w:rsidR="0090377F" w:rsidRPr="0082042C" w:rsidRDefault="0090377F" w:rsidP="0090377F">
      <w:pPr>
        <w:pStyle w:val="Els-reference-head"/>
        <w:rPr>
          <w:lang w:val="en-GB"/>
        </w:rPr>
      </w:pPr>
      <w:r w:rsidRPr="0082042C">
        <w:rPr>
          <w:lang w:val="en-GB"/>
        </w:rPr>
        <w:t>Acknowledgements</w:t>
      </w:r>
    </w:p>
    <w:p w14:paraId="647BF6AF" w14:textId="608445E8" w:rsidR="0090377F" w:rsidRDefault="0082042C" w:rsidP="0079566D">
      <w:pPr>
        <w:pStyle w:val="Els-body-text"/>
        <w:spacing w:after="120"/>
      </w:pPr>
      <w:r>
        <w:t xml:space="preserve">This study has been supported by </w:t>
      </w:r>
      <w:proofErr w:type="gramStart"/>
      <w:r>
        <w:t>grant</w:t>
      </w:r>
      <w:proofErr w:type="gramEnd"/>
      <w:r>
        <w:t xml:space="preserve"> PID2020-114725RA-I00 of the project GH2T funded by MCIN/AEI/ 10.13039/501100011033</w:t>
      </w:r>
      <w:r w:rsidR="00775D9A">
        <w:t xml:space="preserve"> </w:t>
      </w:r>
      <w:r w:rsidR="00775D9A">
        <w:t>and by the “European Union”.</w:t>
      </w:r>
    </w:p>
    <w:p w14:paraId="144DE6BF" w14:textId="608D0AD6" w:rsidR="008D2649" w:rsidRPr="0082042C" w:rsidRDefault="008D2649" w:rsidP="008D2649">
      <w:pPr>
        <w:pStyle w:val="Els-reference-head"/>
        <w:rPr>
          <w:lang w:val="en-GB"/>
        </w:rPr>
      </w:pPr>
      <w:r w:rsidRPr="0082042C">
        <w:rPr>
          <w:lang w:val="en-GB"/>
        </w:rPr>
        <w:t>References</w:t>
      </w:r>
    </w:p>
    <w:p w14:paraId="7EB8D28B" w14:textId="729E62A0" w:rsidR="002F1FE8" w:rsidRDefault="00615277" w:rsidP="002F1FE8">
      <w:pPr>
        <w:pStyle w:val="Els-referenceno-number"/>
        <w:jc w:val="both"/>
      </w:pPr>
      <w:r w:rsidRPr="0061154A">
        <w:rPr>
          <w:lang w:val="es-ES"/>
        </w:rPr>
        <w:t>Bareiß</w:t>
      </w:r>
      <w:r w:rsidR="00F10D29" w:rsidRPr="0061154A">
        <w:rPr>
          <w:lang w:val="es-ES"/>
        </w:rPr>
        <w:t xml:space="preserve"> K.</w:t>
      </w:r>
      <w:r w:rsidR="001B54A5" w:rsidRPr="0061154A">
        <w:rPr>
          <w:lang w:val="es-ES"/>
        </w:rPr>
        <w:t>,</w:t>
      </w:r>
      <w:r w:rsidR="001B54A5" w:rsidRPr="0061154A">
        <w:rPr>
          <w:rStyle w:val="given-name"/>
          <w:lang w:val="es-ES"/>
        </w:rPr>
        <w:t xml:space="preserve"> </w:t>
      </w:r>
      <w:r w:rsidR="001B54A5" w:rsidRPr="0061154A">
        <w:rPr>
          <w:rStyle w:val="text"/>
          <w:lang w:val="es-ES"/>
        </w:rPr>
        <w:t>de la Rua</w:t>
      </w:r>
      <w:r w:rsidR="00AF3993" w:rsidRPr="0061154A">
        <w:rPr>
          <w:rStyle w:val="text"/>
          <w:lang w:val="es-ES"/>
        </w:rPr>
        <w:t xml:space="preserve"> </w:t>
      </w:r>
      <w:r w:rsidR="00AF3993" w:rsidRPr="0061154A">
        <w:rPr>
          <w:rStyle w:val="given-name"/>
          <w:lang w:val="es-ES"/>
        </w:rPr>
        <w:t>C.</w:t>
      </w:r>
      <w:r w:rsidR="001B54A5" w:rsidRPr="0061154A">
        <w:rPr>
          <w:color w:val="1F1F1F"/>
          <w:lang w:val="es-ES"/>
        </w:rPr>
        <w:t>, </w:t>
      </w:r>
      <w:r w:rsidR="001B54A5" w:rsidRPr="0061154A">
        <w:rPr>
          <w:rStyle w:val="given-name"/>
          <w:lang w:val="es-ES"/>
        </w:rPr>
        <w:t xml:space="preserve"> </w:t>
      </w:r>
      <w:r w:rsidR="001B54A5" w:rsidRPr="0061154A">
        <w:rPr>
          <w:rStyle w:val="text"/>
          <w:lang w:val="es-ES"/>
        </w:rPr>
        <w:t>Möckl</w:t>
      </w:r>
      <w:r w:rsidR="00AF3993" w:rsidRPr="0061154A">
        <w:rPr>
          <w:rStyle w:val="text"/>
          <w:lang w:val="es-ES"/>
        </w:rPr>
        <w:t xml:space="preserve"> </w:t>
      </w:r>
      <w:r w:rsidR="00AF3993" w:rsidRPr="0061154A">
        <w:rPr>
          <w:rStyle w:val="given-name"/>
          <w:lang w:val="es-ES"/>
        </w:rPr>
        <w:t xml:space="preserve">M. </w:t>
      </w:r>
      <w:r w:rsidR="00B0304E" w:rsidRPr="0061154A">
        <w:rPr>
          <w:color w:val="1F1F1F"/>
          <w:lang w:val="es-ES"/>
        </w:rPr>
        <w:t xml:space="preserve"> </w:t>
      </w:r>
      <w:r w:rsidR="00B0304E" w:rsidRPr="00B0304E">
        <w:rPr>
          <w:color w:val="1F1F1F"/>
        </w:rPr>
        <w:t>and</w:t>
      </w:r>
      <w:r w:rsidR="001B54A5" w:rsidRPr="00B0304E">
        <w:rPr>
          <w:color w:val="1F1F1F"/>
        </w:rPr>
        <w:t> </w:t>
      </w:r>
      <w:r w:rsidR="00AF3993" w:rsidRPr="00B0304E">
        <w:rPr>
          <w:rStyle w:val="text"/>
        </w:rPr>
        <w:t xml:space="preserve"> </w:t>
      </w:r>
      <w:r w:rsidR="001B54A5" w:rsidRPr="00B0304E">
        <w:rPr>
          <w:rStyle w:val="text"/>
        </w:rPr>
        <w:t>Hamacher</w:t>
      </w:r>
      <w:r w:rsidR="00AF3993">
        <w:rPr>
          <w:rStyle w:val="text"/>
        </w:rPr>
        <w:t xml:space="preserve"> </w:t>
      </w:r>
      <w:r w:rsidR="00AF3993" w:rsidRPr="00B0304E">
        <w:rPr>
          <w:rStyle w:val="given-name"/>
        </w:rPr>
        <w:t>T.</w:t>
      </w:r>
      <w:r w:rsidR="002F1FE8" w:rsidRPr="00B0304E">
        <w:rPr>
          <w:rStyle w:val="react-xocs-alternative-link"/>
        </w:rPr>
        <w:t>, 2019,</w:t>
      </w:r>
      <w:r w:rsidR="001B54A5" w:rsidRPr="00B0304E">
        <w:rPr>
          <w:rStyle w:val="react-xocs-alternative-link"/>
        </w:rPr>
        <w:t xml:space="preserve"> </w:t>
      </w:r>
      <w:r w:rsidR="002F1FE8" w:rsidRPr="00B0304E">
        <w:t xml:space="preserve">Life cycle assessment of hydrogen from proton exchange membrane water electrolysis in future energy systems, </w:t>
      </w:r>
      <w:r w:rsidR="00780E04">
        <w:t xml:space="preserve">Applied Energy, </w:t>
      </w:r>
      <w:r w:rsidR="00DE785A">
        <w:t xml:space="preserve">vol </w:t>
      </w:r>
      <w:r w:rsidR="002F1FE8" w:rsidRPr="00B0304E">
        <w:t>237, Pages 862-872</w:t>
      </w:r>
      <w:r w:rsidR="00434F4B" w:rsidRPr="00B0304E">
        <w:t>.</w:t>
      </w:r>
    </w:p>
    <w:p w14:paraId="31438CC2" w14:textId="77777777" w:rsidR="001B4C86" w:rsidRPr="00032EF9" w:rsidRDefault="001B4C86" w:rsidP="001B4C86">
      <w:pPr>
        <w:pStyle w:val="Els-referenceno-number"/>
      </w:pPr>
      <w:r w:rsidRPr="00032EF9">
        <w:rPr>
          <w:iCs/>
        </w:rPr>
        <w:t>Breton, C., Blanchet, P., Amor, B., Beauregard, R., and Chang, W. S., 2018</w:t>
      </w:r>
      <w:r>
        <w:rPr>
          <w:iCs/>
        </w:rPr>
        <w:t xml:space="preserve">, </w:t>
      </w:r>
      <w:r w:rsidRPr="00032EF9">
        <w:rPr>
          <w:iCs/>
        </w:rPr>
        <w:t>Assessing the climate change impacts of biogenic carbon in buildings: A critical review of two main dynamic approaches. Sustainability, 10(6</w:t>
      </w:r>
      <w:r>
        <w:rPr>
          <w:iCs/>
        </w:rPr>
        <w:t>).</w:t>
      </w:r>
    </w:p>
    <w:p w14:paraId="20237C2E" w14:textId="0D97C66B" w:rsidR="003C6F8F" w:rsidRDefault="004E73AB" w:rsidP="003C6F8F">
      <w:pPr>
        <w:pStyle w:val="Els-referenceno-number"/>
        <w:jc w:val="both"/>
      </w:pPr>
      <w:r>
        <w:t>Deloitte, 2021</w:t>
      </w:r>
      <w:r w:rsidR="00AC0036">
        <w:t>, Fueling the future of mobility: hydrogen electrolyzer</w:t>
      </w:r>
      <w:r w:rsidR="00F97649">
        <w:t xml:space="preserve">s, </w:t>
      </w:r>
      <w:r w:rsidR="00E56C4A">
        <w:t xml:space="preserve">Hydrogen Articles Collections, </w:t>
      </w:r>
      <w:r w:rsidR="00F97649">
        <w:t>Page 5.</w:t>
      </w:r>
    </w:p>
    <w:p w14:paraId="765202DC" w14:textId="1A9B31DE" w:rsidR="00E3617A" w:rsidRDefault="00E3617A" w:rsidP="00E3617A">
      <w:pPr>
        <w:pStyle w:val="Els-referenceno-number"/>
      </w:pPr>
      <w:r>
        <w:t>EPA, n.d</w:t>
      </w:r>
      <w:r w:rsidRPr="00A63E8C">
        <w:t>., Understanding Global Warming Potentials</w:t>
      </w:r>
      <w:r>
        <w:t>,</w:t>
      </w:r>
      <w:r w:rsidR="004961CC">
        <w:t xml:space="preserve"> </w:t>
      </w:r>
      <w:r w:rsidRPr="002F11F6">
        <w:t>https://www.epa.gov/ghgemissions/understanding-global-warming-potentials</w:t>
      </w:r>
      <w:r>
        <w:t xml:space="preserve">. </w:t>
      </w:r>
    </w:p>
    <w:p w14:paraId="4344986D" w14:textId="77777777" w:rsidR="00E3617A" w:rsidRDefault="00E3617A" w:rsidP="00E3617A">
      <w:pPr>
        <w:pStyle w:val="Els-referenceno-number"/>
        <w:rPr>
          <w:lang w:val="en-US"/>
        </w:rPr>
      </w:pPr>
      <w:r w:rsidRPr="004B2286">
        <w:rPr>
          <w:lang w:val="en-US"/>
        </w:rPr>
        <w:t>Ericsson, N., Porsö, C., Ahlgren, S., Nordberg, Å., Sundberg, C., &amp; Hansson, P. A. (2013). “Time‐dependent climate impact of a bioenergy system–methodology development and application to Swedish conditions.” </w:t>
      </w:r>
      <w:r w:rsidRPr="004B2286">
        <w:rPr>
          <w:i/>
          <w:iCs/>
          <w:lang w:val="en-US"/>
        </w:rPr>
        <w:t>GCB Bioenergy</w:t>
      </w:r>
      <w:r w:rsidRPr="004B2286">
        <w:rPr>
          <w:lang w:val="en-US"/>
        </w:rPr>
        <w:t>, </w:t>
      </w:r>
      <w:r w:rsidRPr="004B2286">
        <w:rPr>
          <w:i/>
          <w:iCs/>
          <w:lang w:val="en-US"/>
        </w:rPr>
        <w:t>5</w:t>
      </w:r>
      <w:r w:rsidRPr="004B2286">
        <w:rPr>
          <w:lang w:val="en-US"/>
        </w:rPr>
        <w:t>(5), 580-590.</w:t>
      </w:r>
    </w:p>
    <w:p w14:paraId="16FBA82E" w14:textId="7438ABA3" w:rsidR="00F03835" w:rsidRDefault="00F03835" w:rsidP="00F03835">
      <w:pPr>
        <w:pStyle w:val="Els-referenceno-number"/>
        <w:jc w:val="both"/>
      </w:pPr>
      <w:r>
        <w:t>IPCC, 2021, Climate Change 2021: The Physical Science Basis. Contribution of Working Group I to the Sixth Assessment Report of the Intergovernmental Panel on Climate Change [Masson-Delmotte, V., P. Zhai, A. Pirani, S.L. Connors, C. Péan, S. Berger, N. Caud, Y. Chen, L</w:t>
      </w:r>
      <w:r w:rsidR="00A470B7">
        <w:t xml:space="preserve"> </w:t>
      </w:r>
      <w:r>
        <w:t>(eds.)]. Cambridge University Press, Cambridge, United Kingdom and New York, NY, USA</w:t>
      </w:r>
    </w:p>
    <w:p w14:paraId="4075AD3E" w14:textId="77777777" w:rsidR="00313A3E" w:rsidRDefault="00313A3E" w:rsidP="00313A3E">
      <w:pPr>
        <w:pStyle w:val="Els-referenceno-number"/>
        <w:jc w:val="both"/>
      </w:pPr>
      <w:r w:rsidRPr="00EF3AB7">
        <w:t>K</w:t>
      </w:r>
      <w:r>
        <w:t>eller</w:t>
      </w:r>
      <w:r w:rsidRPr="00EF3AB7">
        <w:t xml:space="preserve"> M</w:t>
      </w:r>
      <w:r>
        <w:t xml:space="preserve">., 2022, </w:t>
      </w:r>
      <w:r w:rsidRPr="00EF3AB7">
        <w:t>Is Hydrogen Production through Natural Gas Pyrolysis Compatible with Ambitious Climate Targets in the United States? A Location-Specific, Time-Resolved Analysis</w:t>
      </w:r>
      <w:r>
        <w:t xml:space="preserve">, </w:t>
      </w:r>
      <w:r w:rsidRPr="004D0452">
        <w:t>Environmental Research Letters,</w:t>
      </w:r>
      <w:r w:rsidRPr="00EF3AB7">
        <w:t xml:space="preserve"> vol. 17, no. 12</w:t>
      </w:r>
      <w:r>
        <w:t>.</w:t>
      </w:r>
    </w:p>
    <w:p w14:paraId="7D83FF4F" w14:textId="77777777" w:rsidR="00313A3E" w:rsidRPr="007F7376" w:rsidRDefault="00313A3E" w:rsidP="00313A3E">
      <w:pPr>
        <w:pStyle w:val="Els-referenceno-number"/>
        <w:jc w:val="both"/>
        <w:rPr>
          <w:b/>
          <w:bCs/>
        </w:rPr>
      </w:pPr>
      <w:r w:rsidRPr="00B0304E">
        <w:t>Koj</w:t>
      </w:r>
      <w:r>
        <w:t xml:space="preserve"> </w:t>
      </w:r>
      <w:r w:rsidRPr="00B0304E">
        <w:t xml:space="preserve">J., </w:t>
      </w:r>
      <w:r>
        <w:t>Wulf C., Schreiber A. and Zapp P., 2017,</w:t>
      </w:r>
      <w:r>
        <w:rPr>
          <w:rFonts w:ascii="Arial" w:hAnsi="Arial" w:cs="Arial"/>
          <w:color w:val="000000"/>
          <w:kern w:val="36"/>
          <w:sz w:val="36"/>
          <w:szCs w:val="36"/>
          <w:lang w:eastAsia="en-GB"/>
        </w:rPr>
        <w:t xml:space="preserve"> </w:t>
      </w:r>
      <w:r w:rsidRPr="007F7376">
        <w:t>Site-Dependent Environmental Impacts of Industrial Hydrogen Production by Alkaline Water Electrolysis</w:t>
      </w:r>
      <w:r>
        <w:t>, Energies, vol. 10, Issue 7.</w:t>
      </w:r>
    </w:p>
    <w:p w14:paraId="048CCD1D" w14:textId="77777777" w:rsidR="00F03835" w:rsidRDefault="00F03835" w:rsidP="00F03835">
      <w:pPr>
        <w:pStyle w:val="Els-referenceno-number"/>
        <w:jc w:val="both"/>
        <w:rPr>
          <w:iCs/>
        </w:rPr>
      </w:pPr>
      <w:r w:rsidRPr="00546AB0">
        <w:t xml:space="preserve">Levasseur, A., Lesage, P., Margni, M., Deschěnes, L., </w:t>
      </w:r>
      <w:r w:rsidRPr="004E498A">
        <w:t>and</w:t>
      </w:r>
      <w:r w:rsidRPr="00546AB0">
        <w:t xml:space="preserve"> Samson, R.</w:t>
      </w:r>
      <w:r w:rsidRPr="004E498A">
        <w:t xml:space="preserve">, </w:t>
      </w:r>
      <w:r w:rsidRPr="00546AB0">
        <w:t>2010</w:t>
      </w:r>
      <w:r w:rsidRPr="004E498A">
        <w:t xml:space="preserve">, </w:t>
      </w:r>
      <w:r w:rsidRPr="00546AB0">
        <w:t>Considering time in LCA: Dynamic LCA and its application to global warming impact assessments</w:t>
      </w:r>
      <w:r>
        <w:t xml:space="preserve">, </w:t>
      </w:r>
      <w:r w:rsidRPr="00546AB0">
        <w:rPr>
          <w:iCs/>
        </w:rPr>
        <w:t>Environmental Science and Technology, 44</w:t>
      </w:r>
      <w:r>
        <w:rPr>
          <w:iCs/>
        </w:rPr>
        <w:t xml:space="preserve"> </w:t>
      </w:r>
      <w:r w:rsidRPr="00546AB0">
        <w:rPr>
          <w:iCs/>
        </w:rPr>
        <w:t>(8).</w:t>
      </w:r>
    </w:p>
    <w:p w14:paraId="1495B7AF" w14:textId="23599578" w:rsidR="002D38D8" w:rsidRDefault="009F6D72" w:rsidP="003C6F8F">
      <w:pPr>
        <w:pStyle w:val="Els-referenceno-number"/>
        <w:jc w:val="both"/>
      </w:pPr>
      <w:r>
        <w:t xml:space="preserve">Oxford Institute for Energy Studies, 2022, </w:t>
      </w:r>
      <w:r w:rsidR="00E113A9">
        <w:t>Cost-competitive green hydrogen: how to lower the cost of electrolysers?</w:t>
      </w:r>
      <w:r w:rsidR="005C7209">
        <w:t>, Page 15.</w:t>
      </w:r>
    </w:p>
    <w:p w14:paraId="7D876ACA" w14:textId="77777777" w:rsidR="00A126A4" w:rsidRPr="003F6D8F" w:rsidRDefault="00A126A4" w:rsidP="00A126A4">
      <w:pPr>
        <w:pStyle w:val="Els-referenceno-number"/>
        <w:jc w:val="both"/>
      </w:pPr>
      <w:r w:rsidRPr="004E31F7">
        <w:t xml:space="preserve">Peters, G. P., Aamaas, B., T. Lund, M., Solli, C., </w:t>
      </w:r>
      <w:r>
        <w:t>and</w:t>
      </w:r>
      <w:r w:rsidRPr="004E31F7">
        <w:t xml:space="preserve"> Fuglestvedt, J. S.</w:t>
      </w:r>
      <w:r>
        <w:t xml:space="preserve">, 2021, </w:t>
      </w:r>
      <w:r w:rsidRPr="004E31F7">
        <w:t>Alternative “global warming” metrics in life cycle assessment: a case study with existing transportation data.</w:t>
      </w:r>
      <w:r>
        <w:t xml:space="preserve"> </w:t>
      </w:r>
      <w:r w:rsidRPr="0046619E">
        <w:t>Environmental Science and Technology</w:t>
      </w:r>
      <w:r w:rsidRPr="004E31F7">
        <w:t>, 45(20), 8633-8641.</w:t>
      </w:r>
      <w:r>
        <w:t xml:space="preserve"> </w:t>
      </w:r>
    </w:p>
    <w:p w14:paraId="1AB95CA8" w14:textId="4ED4C9B2" w:rsidR="001B4C86" w:rsidRDefault="001B4C86" w:rsidP="001B4C86">
      <w:pPr>
        <w:pStyle w:val="Els-referenceno-number"/>
        <w:jc w:val="both"/>
      </w:pPr>
      <w:r w:rsidRPr="00DD4ACD">
        <w:t xml:space="preserve">SenzaHydrogen, n.d., PEM Hydrogen Generator VS Alkaline Hydrogen Generator. https://senzahydrogen.com/pem-hydrogen-generator-vs-alkaline-hydrogen-generator.html. </w:t>
      </w:r>
    </w:p>
    <w:p w14:paraId="4F7FA265" w14:textId="74C20C0B" w:rsidR="001B4C86" w:rsidRDefault="001B4C86" w:rsidP="001B4C86">
      <w:pPr>
        <w:pStyle w:val="Els-referenceno-number"/>
        <w:jc w:val="both"/>
      </w:pPr>
      <w:r w:rsidRPr="006741F3">
        <w:t>The Guardian</w:t>
      </w:r>
      <w:r>
        <w:t xml:space="preserve">, </w:t>
      </w:r>
      <w:r w:rsidRPr="006741F3">
        <w:t>What are CO2e and global warming potential (GWP)?</w:t>
      </w:r>
      <w:r>
        <w:t>,</w:t>
      </w:r>
      <w:r w:rsidRPr="006741F3">
        <w:t xml:space="preserve"> </w:t>
      </w:r>
      <w:r>
        <w:t xml:space="preserve">2011, </w:t>
      </w:r>
      <w:r w:rsidRPr="002F10EA">
        <w:t>https://www.theguardian.com/environment/2011/apr/27/co2e-global-warming-potential</w:t>
      </w:r>
      <w:r w:rsidR="00DA28C6">
        <w:t>.</w:t>
      </w:r>
    </w:p>
    <w:p w14:paraId="7537E4EB" w14:textId="77777777" w:rsidR="00D3361D" w:rsidRDefault="001B4C86" w:rsidP="00073AE7">
      <w:pPr>
        <w:pStyle w:val="Els-referenceno-number"/>
        <w:jc w:val="both"/>
      </w:pPr>
      <w:r>
        <w:t xml:space="preserve">TYNDP, 2022, </w:t>
      </w:r>
      <w:r w:rsidRPr="00265D68">
        <w:t>Scenario Report – additional Downloads</w:t>
      </w:r>
      <w:r>
        <w:t xml:space="preserve">. </w:t>
      </w:r>
      <w:r w:rsidRPr="00D70FF0">
        <w:t>https://2022.entsos-tyndp-scenarios.eu/download/</w:t>
      </w:r>
      <w:r>
        <w:t xml:space="preserve"> Accesed 30 Nov. 2023.</w:t>
      </w:r>
    </w:p>
    <w:p w14:paraId="2F55D441" w14:textId="5FAC6F54" w:rsidR="00073AE7" w:rsidRPr="00073AE7" w:rsidRDefault="00073AE7" w:rsidP="00073AE7">
      <w:pPr>
        <w:pStyle w:val="Els-referenceno-number"/>
        <w:jc w:val="both"/>
      </w:pPr>
      <w:r w:rsidRPr="00AD49BF">
        <w:t>Z</w:t>
      </w:r>
      <w:r w:rsidRPr="00073AE7">
        <w:t>ieger, V., Stenger, A., Breton, C., Blanchet, P., Amor, B., 2020, "Impact of GHGs temporal dynamics on the GWP assessment of building materials: A case study on bio-based and non-bio-based walls," Building and Environment, 107210, DOI: 10.1016/j.buildenv.2020.107210</w:t>
      </w:r>
    </w:p>
    <w:sectPr w:rsidR="00073AE7" w:rsidRPr="00073AE7"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AD27" w14:textId="77777777" w:rsidR="00FD751A" w:rsidRDefault="00FD751A">
      <w:r>
        <w:separator/>
      </w:r>
    </w:p>
  </w:endnote>
  <w:endnote w:type="continuationSeparator" w:id="0">
    <w:p w14:paraId="623E0F51" w14:textId="77777777" w:rsidR="00FD751A" w:rsidRDefault="00FD751A">
      <w:r>
        <w:continuationSeparator/>
      </w:r>
    </w:p>
  </w:endnote>
  <w:endnote w:type="continuationNotice" w:id="1">
    <w:p w14:paraId="5020AB60" w14:textId="77777777" w:rsidR="00FD751A" w:rsidRDefault="00FD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ECED" w14:textId="77777777" w:rsidR="00FD751A" w:rsidRDefault="00FD751A">
      <w:r>
        <w:separator/>
      </w:r>
    </w:p>
  </w:footnote>
  <w:footnote w:type="continuationSeparator" w:id="0">
    <w:p w14:paraId="6ABDFAD3" w14:textId="77777777" w:rsidR="00FD751A" w:rsidRDefault="00FD751A">
      <w:r>
        <w:continuationSeparator/>
      </w:r>
    </w:p>
  </w:footnote>
  <w:footnote w:type="continuationNotice" w:id="1">
    <w:p w14:paraId="30DD0FDF" w14:textId="77777777" w:rsidR="00FD751A" w:rsidRDefault="00FD7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7178181" w:rsidR="00DD3D9E" w:rsidRPr="003C18AA" w:rsidRDefault="00DD3D9E">
    <w:pPr>
      <w:pStyle w:val="Header"/>
      <w:tabs>
        <w:tab w:val="clear" w:pos="7200"/>
        <w:tab w:val="right" w:pos="7088"/>
      </w:tabs>
      <w:rPr>
        <w:lang w:val="it-IT"/>
      </w:rPr>
    </w:pPr>
    <w:r>
      <w:rPr>
        <w:rStyle w:val="PageNumber"/>
      </w:rPr>
      <w:tab/>
    </w:r>
    <w:r>
      <w:rPr>
        <w:rStyle w:val="PageNumber"/>
        <w:i/>
      </w:rPr>
      <w:tab/>
    </w:r>
    <w:r w:rsidR="00A76E47" w:rsidRPr="003C18AA">
      <w:rPr>
        <w:rStyle w:val="PageNumber"/>
        <w:i/>
        <w:lang w:val="it-IT"/>
      </w:rPr>
      <w:t>L</w:t>
    </w:r>
    <w:r w:rsidR="00BD372A" w:rsidRPr="003C18AA">
      <w:rPr>
        <w:rStyle w:val="PageNumber"/>
        <w:i/>
        <w:lang w:val="it-IT"/>
      </w:rPr>
      <w:t>aura</w:t>
    </w:r>
    <w:r w:rsidR="00A76E47" w:rsidRPr="003C18AA">
      <w:rPr>
        <w:rStyle w:val="PageNumber"/>
        <w:i/>
        <w:lang w:val="it-IT"/>
      </w:rPr>
      <w:t xml:space="preserve"> R. Piñeiro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2832A51" w:rsidR="00DD3D9E" w:rsidRDefault="00B72CFD" w:rsidP="00B72CFD">
    <w:pPr>
      <w:pStyle w:val="Header"/>
      <w:tabs>
        <w:tab w:val="clear" w:pos="7200"/>
        <w:tab w:val="right" w:pos="7088"/>
      </w:tabs>
      <w:rPr>
        <w:sz w:val="24"/>
      </w:rPr>
    </w:pPr>
    <w:r>
      <w:rPr>
        <w:i/>
      </w:rPr>
      <w:t>Dynamic Modelling Approaches in Life Cycle Assessment: A Case Study for the Evaluation of Power-to-Hydrogen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AED"/>
    <w:multiLevelType w:val="hybridMultilevel"/>
    <w:tmpl w:val="0018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07A76"/>
    <w:multiLevelType w:val="hybridMultilevel"/>
    <w:tmpl w:val="81B8F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8558A"/>
    <w:multiLevelType w:val="multilevel"/>
    <w:tmpl w:val="A7E8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680E2034"/>
    <w:multiLevelType w:val="hybridMultilevel"/>
    <w:tmpl w:val="64709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E36914"/>
    <w:multiLevelType w:val="hybridMultilevel"/>
    <w:tmpl w:val="F4F2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2"/>
  </w:num>
  <w:num w:numId="6" w16cid:durableId="1660883641">
    <w:abstractNumId w:val="8"/>
  </w:num>
  <w:num w:numId="7" w16cid:durableId="1863349795">
    <w:abstractNumId w:val="15"/>
  </w:num>
  <w:num w:numId="8" w16cid:durableId="1750734252">
    <w:abstractNumId w:val="3"/>
  </w:num>
  <w:num w:numId="9" w16cid:durableId="203061615">
    <w:abstractNumId w:val="13"/>
  </w:num>
  <w:num w:numId="10" w16cid:durableId="1478497114">
    <w:abstractNumId w:val="18"/>
  </w:num>
  <w:num w:numId="11" w16cid:durableId="1896693444">
    <w:abstractNumId w:val="17"/>
  </w:num>
  <w:num w:numId="12" w16cid:durableId="774787662">
    <w:abstractNumId w:val="7"/>
  </w:num>
  <w:num w:numId="13" w16cid:durableId="1525900646">
    <w:abstractNumId w:val="11"/>
  </w:num>
  <w:num w:numId="14" w16cid:durableId="1455515963">
    <w:abstractNumId w:val="4"/>
  </w:num>
  <w:num w:numId="15" w16cid:durableId="446657998">
    <w:abstractNumId w:val="9"/>
  </w:num>
  <w:num w:numId="16" w16cid:durableId="322592235">
    <w:abstractNumId w:val="5"/>
  </w:num>
  <w:num w:numId="17" w16cid:durableId="596719075">
    <w:abstractNumId w:val="6"/>
  </w:num>
  <w:num w:numId="18" w16cid:durableId="886648604">
    <w:abstractNumId w:val="12"/>
  </w:num>
  <w:num w:numId="19" w16cid:durableId="1150749876">
    <w:abstractNumId w:val="19"/>
  </w:num>
  <w:num w:numId="20" w16cid:durableId="283078092">
    <w:abstractNumId w:val="16"/>
  </w:num>
  <w:num w:numId="21" w16cid:durableId="1333147248">
    <w:abstractNumId w:val="10"/>
  </w:num>
  <w:num w:numId="22" w16cid:durableId="637805279">
    <w:abstractNumId w:val="1"/>
  </w:num>
  <w:num w:numId="23" w16cid:durableId="21440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15D"/>
    <w:rsid w:val="000023A2"/>
    <w:rsid w:val="000113F9"/>
    <w:rsid w:val="00013A86"/>
    <w:rsid w:val="00014FEB"/>
    <w:rsid w:val="0002052B"/>
    <w:rsid w:val="000210AE"/>
    <w:rsid w:val="000212E4"/>
    <w:rsid w:val="00021AB1"/>
    <w:rsid w:val="000231C5"/>
    <w:rsid w:val="00032CAC"/>
    <w:rsid w:val="00032EF9"/>
    <w:rsid w:val="00033D2C"/>
    <w:rsid w:val="00035DBA"/>
    <w:rsid w:val="00037348"/>
    <w:rsid w:val="000469B9"/>
    <w:rsid w:val="00050A8D"/>
    <w:rsid w:val="00054E1C"/>
    <w:rsid w:val="000613B2"/>
    <w:rsid w:val="000652A2"/>
    <w:rsid w:val="00065BDC"/>
    <w:rsid w:val="00070889"/>
    <w:rsid w:val="00071926"/>
    <w:rsid w:val="00073AE7"/>
    <w:rsid w:val="00073EB1"/>
    <w:rsid w:val="00075232"/>
    <w:rsid w:val="00084516"/>
    <w:rsid w:val="00091BD3"/>
    <w:rsid w:val="000A1959"/>
    <w:rsid w:val="000A31BA"/>
    <w:rsid w:val="000A6988"/>
    <w:rsid w:val="000B2414"/>
    <w:rsid w:val="000B3A45"/>
    <w:rsid w:val="000B3D6E"/>
    <w:rsid w:val="000B42E7"/>
    <w:rsid w:val="000D3D9B"/>
    <w:rsid w:val="000D7BA9"/>
    <w:rsid w:val="000F4C9F"/>
    <w:rsid w:val="000F4F77"/>
    <w:rsid w:val="000F7400"/>
    <w:rsid w:val="001035B1"/>
    <w:rsid w:val="00103731"/>
    <w:rsid w:val="0011088B"/>
    <w:rsid w:val="001112E9"/>
    <w:rsid w:val="00114170"/>
    <w:rsid w:val="001240FD"/>
    <w:rsid w:val="00126E4D"/>
    <w:rsid w:val="00126EED"/>
    <w:rsid w:val="00130D91"/>
    <w:rsid w:val="001347E3"/>
    <w:rsid w:val="0013527E"/>
    <w:rsid w:val="00135D8F"/>
    <w:rsid w:val="0014140B"/>
    <w:rsid w:val="00141F5E"/>
    <w:rsid w:val="00143957"/>
    <w:rsid w:val="00146095"/>
    <w:rsid w:val="00146464"/>
    <w:rsid w:val="00151A4D"/>
    <w:rsid w:val="00154ACB"/>
    <w:rsid w:val="0016032F"/>
    <w:rsid w:val="001669EF"/>
    <w:rsid w:val="00172786"/>
    <w:rsid w:val="00183CCD"/>
    <w:rsid w:val="00186009"/>
    <w:rsid w:val="001879F6"/>
    <w:rsid w:val="00191352"/>
    <w:rsid w:val="00193843"/>
    <w:rsid w:val="001A4EAF"/>
    <w:rsid w:val="001A4F32"/>
    <w:rsid w:val="001B040A"/>
    <w:rsid w:val="001B12D3"/>
    <w:rsid w:val="001B1BB8"/>
    <w:rsid w:val="001B2F23"/>
    <w:rsid w:val="001B4C86"/>
    <w:rsid w:val="001B54A5"/>
    <w:rsid w:val="001B5E84"/>
    <w:rsid w:val="001C00EE"/>
    <w:rsid w:val="001C0148"/>
    <w:rsid w:val="001C6A35"/>
    <w:rsid w:val="001C757E"/>
    <w:rsid w:val="001E1ED4"/>
    <w:rsid w:val="001E2376"/>
    <w:rsid w:val="001E6B47"/>
    <w:rsid w:val="001F0690"/>
    <w:rsid w:val="001F1D91"/>
    <w:rsid w:val="001F2C4A"/>
    <w:rsid w:val="001F4D21"/>
    <w:rsid w:val="001F5407"/>
    <w:rsid w:val="00201A93"/>
    <w:rsid w:val="0020390F"/>
    <w:rsid w:val="00206C82"/>
    <w:rsid w:val="002109F2"/>
    <w:rsid w:val="0021179A"/>
    <w:rsid w:val="002120DF"/>
    <w:rsid w:val="00213019"/>
    <w:rsid w:val="00217C5A"/>
    <w:rsid w:val="0022099C"/>
    <w:rsid w:val="0022372E"/>
    <w:rsid w:val="00224ECA"/>
    <w:rsid w:val="00233BCE"/>
    <w:rsid w:val="00235675"/>
    <w:rsid w:val="00235852"/>
    <w:rsid w:val="002377C4"/>
    <w:rsid w:val="00237FF9"/>
    <w:rsid w:val="00240C8B"/>
    <w:rsid w:val="00243AD2"/>
    <w:rsid w:val="00244B6C"/>
    <w:rsid w:val="00253C0C"/>
    <w:rsid w:val="00254FFF"/>
    <w:rsid w:val="002560E0"/>
    <w:rsid w:val="00256AE3"/>
    <w:rsid w:val="00256BDA"/>
    <w:rsid w:val="00260415"/>
    <w:rsid w:val="002614B5"/>
    <w:rsid w:val="002627EB"/>
    <w:rsid w:val="00262CF4"/>
    <w:rsid w:val="00264926"/>
    <w:rsid w:val="00265D68"/>
    <w:rsid w:val="002675BA"/>
    <w:rsid w:val="002738FC"/>
    <w:rsid w:val="00275632"/>
    <w:rsid w:val="00275AB7"/>
    <w:rsid w:val="00275B59"/>
    <w:rsid w:val="00276D12"/>
    <w:rsid w:val="0027731D"/>
    <w:rsid w:val="00280CF6"/>
    <w:rsid w:val="002810FE"/>
    <w:rsid w:val="0028325B"/>
    <w:rsid w:val="00283433"/>
    <w:rsid w:val="00293119"/>
    <w:rsid w:val="00294269"/>
    <w:rsid w:val="002968B5"/>
    <w:rsid w:val="002A1C04"/>
    <w:rsid w:val="002A69EA"/>
    <w:rsid w:val="002B0B64"/>
    <w:rsid w:val="002B399D"/>
    <w:rsid w:val="002B4D83"/>
    <w:rsid w:val="002B5DB2"/>
    <w:rsid w:val="002B6364"/>
    <w:rsid w:val="002B74B2"/>
    <w:rsid w:val="002B76B0"/>
    <w:rsid w:val="002B7BAF"/>
    <w:rsid w:val="002C0965"/>
    <w:rsid w:val="002C0CE6"/>
    <w:rsid w:val="002C1EC0"/>
    <w:rsid w:val="002C3A8F"/>
    <w:rsid w:val="002C4E51"/>
    <w:rsid w:val="002C6CD6"/>
    <w:rsid w:val="002C6F3C"/>
    <w:rsid w:val="002C7BB4"/>
    <w:rsid w:val="002C7E1D"/>
    <w:rsid w:val="002D2E5C"/>
    <w:rsid w:val="002D300F"/>
    <w:rsid w:val="002D38D8"/>
    <w:rsid w:val="002D45F4"/>
    <w:rsid w:val="002E0215"/>
    <w:rsid w:val="002E0861"/>
    <w:rsid w:val="002E2157"/>
    <w:rsid w:val="002E3015"/>
    <w:rsid w:val="002E5BDD"/>
    <w:rsid w:val="002E70DC"/>
    <w:rsid w:val="002E70E6"/>
    <w:rsid w:val="002F09EE"/>
    <w:rsid w:val="002F10EA"/>
    <w:rsid w:val="002F11F6"/>
    <w:rsid w:val="002F1FE8"/>
    <w:rsid w:val="002F673B"/>
    <w:rsid w:val="002F76C5"/>
    <w:rsid w:val="0030124E"/>
    <w:rsid w:val="003014C2"/>
    <w:rsid w:val="00303635"/>
    <w:rsid w:val="00307FCB"/>
    <w:rsid w:val="00311217"/>
    <w:rsid w:val="00313A3E"/>
    <w:rsid w:val="003151BE"/>
    <w:rsid w:val="0032076B"/>
    <w:rsid w:val="00326AB4"/>
    <w:rsid w:val="00331CBC"/>
    <w:rsid w:val="003432C5"/>
    <w:rsid w:val="00343586"/>
    <w:rsid w:val="00345DB7"/>
    <w:rsid w:val="00347ADB"/>
    <w:rsid w:val="00347B65"/>
    <w:rsid w:val="0035422F"/>
    <w:rsid w:val="00354DF5"/>
    <w:rsid w:val="00354F76"/>
    <w:rsid w:val="00363D5E"/>
    <w:rsid w:val="00363D64"/>
    <w:rsid w:val="00367DCC"/>
    <w:rsid w:val="00373B82"/>
    <w:rsid w:val="00373D6A"/>
    <w:rsid w:val="00390FD5"/>
    <w:rsid w:val="00392116"/>
    <w:rsid w:val="00397E97"/>
    <w:rsid w:val="003A76C8"/>
    <w:rsid w:val="003A795E"/>
    <w:rsid w:val="003B1B6D"/>
    <w:rsid w:val="003B32E4"/>
    <w:rsid w:val="003B377A"/>
    <w:rsid w:val="003B3A15"/>
    <w:rsid w:val="003B748C"/>
    <w:rsid w:val="003B7547"/>
    <w:rsid w:val="003C18AA"/>
    <w:rsid w:val="003C3D0A"/>
    <w:rsid w:val="003C4698"/>
    <w:rsid w:val="003C6F8F"/>
    <w:rsid w:val="003C7B88"/>
    <w:rsid w:val="003D1582"/>
    <w:rsid w:val="003D604A"/>
    <w:rsid w:val="003D73C8"/>
    <w:rsid w:val="003D7609"/>
    <w:rsid w:val="003D7E4C"/>
    <w:rsid w:val="003E41C2"/>
    <w:rsid w:val="003E46C8"/>
    <w:rsid w:val="003E5893"/>
    <w:rsid w:val="003F4234"/>
    <w:rsid w:val="003F6D8F"/>
    <w:rsid w:val="003F714E"/>
    <w:rsid w:val="00405E9C"/>
    <w:rsid w:val="00410EDB"/>
    <w:rsid w:val="0041200D"/>
    <w:rsid w:val="00413D73"/>
    <w:rsid w:val="00415082"/>
    <w:rsid w:val="004174CE"/>
    <w:rsid w:val="0043426C"/>
    <w:rsid w:val="00434F4B"/>
    <w:rsid w:val="00435AD8"/>
    <w:rsid w:val="00441FB0"/>
    <w:rsid w:val="004445E4"/>
    <w:rsid w:val="004504FB"/>
    <w:rsid w:val="00450A23"/>
    <w:rsid w:val="0045277D"/>
    <w:rsid w:val="00454E57"/>
    <w:rsid w:val="004560AE"/>
    <w:rsid w:val="00462AF0"/>
    <w:rsid w:val="00464FE5"/>
    <w:rsid w:val="0046619E"/>
    <w:rsid w:val="00472374"/>
    <w:rsid w:val="004725E1"/>
    <w:rsid w:val="00473BA1"/>
    <w:rsid w:val="00476910"/>
    <w:rsid w:val="0048110C"/>
    <w:rsid w:val="00484565"/>
    <w:rsid w:val="00486E3A"/>
    <w:rsid w:val="004910A8"/>
    <w:rsid w:val="004959D2"/>
    <w:rsid w:val="004961CC"/>
    <w:rsid w:val="0049772C"/>
    <w:rsid w:val="004A47AB"/>
    <w:rsid w:val="004B2286"/>
    <w:rsid w:val="004B5B7E"/>
    <w:rsid w:val="004B73B7"/>
    <w:rsid w:val="004C02CE"/>
    <w:rsid w:val="004D0452"/>
    <w:rsid w:val="004D4013"/>
    <w:rsid w:val="004D501A"/>
    <w:rsid w:val="004D79B1"/>
    <w:rsid w:val="004E31F7"/>
    <w:rsid w:val="004E37EA"/>
    <w:rsid w:val="004E498A"/>
    <w:rsid w:val="004E5C1B"/>
    <w:rsid w:val="004E73AB"/>
    <w:rsid w:val="004E781C"/>
    <w:rsid w:val="004F4845"/>
    <w:rsid w:val="004F5374"/>
    <w:rsid w:val="004F6007"/>
    <w:rsid w:val="004F6646"/>
    <w:rsid w:val="00501BEA"/>
    <w:rsid w:val="005024D1"/>
    <w:rsid w:val="00506B03"/>
    <w:rsid w:val="00506F78"/>
    <w:rsid w:val="00512A22"/>
    <w:rsid w:val="00513B49"/>
    <w:rsid w:val="00516070"/>
    <w:rsid w:val="0052017B"/>
    <w:rsid w:val="0052081E"/>
    <w:rsid w:val="00523408"/>
    <w:rsid w:val="00524622"/>
    <w:rsid w:val="0052546B"/>
    <w:rsid w:val="0053044D"/>
    <w:rsid w:val="00532272"/>
    <w:rsid w:val="00532355"/>
    <w:rsid w:val="00532AE8"/>
    <w:rsid w:val="00534011"/>
    <w:rsid w:val="00534506"/>
    <w:rsid w:val="00534B59"/>
    <w:rsid w:val="005356C8"/>
    <w:rsid w:val="00536676"/>
    <w:rsid w:val="00537715"/>
    <w:rsid w:val="00546AB0"/>
    <w:rsid w:val="00546B66"/>
    <w:rsid w:val="00547526"/>
    <w:rsid w:val="005475C9"/>
    <w:rsid w:val="00550392"/>
    <w:rsid w:val="0055145B"/>
    <w:rsid w:val="00552EEB"/>
    <w:rsid w:val="00560885"/>
    <w:rsid w:val="005655CD"/>
    <w:rsid w:val="00574E81"/>
    <w:rsid w:val="00580321"/>
    <w:rsid w:val="0058291A"/>
    <w:rsid w:val="00583BFD"/>
    <w:rsid w:val="00584747"/>
    <w:rsid w:val="00585C19"/>
    <w:rsid w:val="0058761B"/>
    <w:rsid w:val="00590C6E"/>
    <w:rsid w:val="00591FD8"/>
    <w:rsid w:val="00593502"/>
    <w:rsid w:val="00593668"/>
    <w:rsid w:val="005A2C95"/>
    <w:rsid w:val="005A3C3D"/>
    <w:rsid w:val="005A51E4"/>
    <w:rsid w:val="005A6AF2"/>
    <w:rsid w:val="005B1B1F"/>
    <w:rsid w:val="005B35B4"/>
    <w:rsid w:val="005B3BF6"/>
    <w:rsid w:val="005B3F4E"/>
    <w:rsid w:val="005B7627"/>
    <w:rsid w:val="005C2147"/>
    <w:rsid w:val="005C3FD5"/>
    <w:rsid w:val="005C7209"/>
    <w:rsid w:val="005D23E3"/>
    <w:rsid w:val="005D4216"/>
    <w:rsid w:val="005D4F9C"/>
    <w:rsid w:val="005D73FC"/>
    <w:rsid w:val="005E096C"/>
    <w:rsid w:val="005E4EEE"/>
    <w:rsid w:val="005F2FA5"/>
    <w:rsid w:val="005F3F05"/>
    <w:rsid w:val="005F4667"/>
    <w:rsid w:val="005F7C9F"/>
    <w:rsid w:val="006003D2"/>
    <w:rsid w:val="006022A7"/>
    <w:rsid w:val="00604DE7"/>
    <w:rsid w:val="0061154A"/>
    <w:rsid w:val="006130ED"/>
    <w:rsid w:val="00613927"/>
    <w:rsid w:val="00615277"/>
    <w:rsid w:val="00620103"/>
    <w:rsid w:val="00620707"/>
    <w:rsid w:val="0062074A"/>
    <w:rsid w:val="00624878"/>
    <w:rsid w:val="00626FCF"/>
    <w:rsid w:val="00627630"/>
    <w:rsid w:val="00636815"/>
    <w:rsid w:val="00643E4E"/>
    <w:rsid w:val="00644AE0"/>
    <w:rsid w:val="00645EB3"/>
    <w:rsid w:val="00655BD4"/>
    <w:rsid w:val="00657046"/>
    <w:rsid w:val="00661F36"/>
    <w:rsid w:val="00662698"/>
    <w:rsid w:val="00664B9B"/>
    <w:rsid w:val="0066588C"/>
    <w:rsid w:val="0066657B"/>
    <w:rsid w:val="006741F3"/>
    <w:rsid w:val="006754E8"/>
    <w:rsid w:val="00680068"/>
    <w:rsid w:val="00682DBD"/>
    <w:rsid w:val="0068330C"/>
    <w:rsid w:val="00683B02"/>
    <w:rsid w:val="00684D62"/>
    <w:rsid w:val="00686D20"/>
    <w:rsid w:val="00686F7F"/>
    <w:rsid w:val="00687270"/>
    <w:rsid w:val="006902AF"/>
    <w:rsid w:val="006919D0"/>
    <w:rsid w:val="00696E87"/>
    <w:rsid w:val="006A4BCF"/>
    <w:rsid w:val="006A69BF"/>
    <w:rsid w:val="006B3972"/>
    <w:rsid w:val="006B3CC2"/>
    <w:rsid w:val="006B7556"/>
    <w:rsid w:val="006C2DBB"/>
    <w:rsid w:val="006C5546"/>
    <w:rsid w:val="006C601A"/>
    <w:rsid w:val="006C7B0D"/>
    <w:rsid w:val="006D04EA"/>
    <w:rsid w:val="006D0CFD"/>
    <w:rsid w:val="006D454C"/>
    <w:rsid w:val="006D6A45"/>
    <w:rsid w:val="006E525E"/>
    <w:rsid w:val="006E5C0C"/>
    <w:rsid w:val="006E6BC4"/>
    <w:rsid w:val="006F066B"/>
    <w:rsid w:val="006F2161"/>
    <w:rsid w:val="006F5BE1"/>
    <w:rsid w:val="006F6D43"/>
    <w:rsid w:val="00700BE0"/>
    <w:rsid w:val="00706B60"/>
    <w:rsid w:val="00711DF4"/>
    <w:rsid w:val="00721544"/>
    <w:rsid w:val="00723DEA"/>
    <w:rsid w:val="007249CB"/>
    <w:rsid w:val="007313C7"/>
    <w:rsid w:val="00733F7C"/>
    <w:rsid w:val="00742001"/>
    <w:rsid w:val="00742E41"/>
    <w:rsid w:val="007474B8"/>
    <w:rsid w:val="00747DF4"/>
    <w:rsid w:val="00751D2A"/>
    <w:rsid w:val="007531D7"/>
    <w:rsid w:val="00755782"/>
    <w:rsid w:val="00760046"/>
    <w:rsid w:val="00763167"/>
    <w:rsid w:val="00764F0E"/>
    <w:rsid w:val="00767B74"/>
    <w:rsid w:val="00773E36"/>
    <w:rsid w:val="00775D9A"/>
    <w:rsid w:val="00780E04"/>
    <w:rsid w:val="0078424D"/>
    <w:rsid w:val="00787643"/>
    <w:rsid w:val="0079566D"/>
    <w:rsid w:val="007A1E26"/>
    <w:rsid w:val="007A314A"/>
    <w:rsid w:val="007A49EC"/>
    <w:rsid w:val="007A6D6E"/>
    <w:rsid w:val="007B5A5F"/>
    <w:rsid w:val="007B5B9F"/>
    <w:rsid w:val="007B5DB2"/>
    <w:rsid w:val="007C185F"/>
    <w:rsid w:val="007C2FE6"/>
    <w:rsid w:val="007C78C2"/>
    <w:rsid w:val="007D1C43"/>
    <w:rsid w:val="007D46C5"/>
    <w:rsid w:val="007D70A1"/>
    <w:rsid w:val="007E6AA1"/>
    <w:rsid w:val="007F3918"/>
    <w:rsid w:val="007F4C72"/>
    <w:rsid w:val="007F653A"/>
    <w:rsid w:val="007F7376"/>
    <w:rsid w:val="007F761A"/>
    <w:rsid w:val="0080063A"/>
    <w:rsid w:val="00802782"/>
    <w:rsid w:val="00810D55"/>
    <w:rsid w:val="008132E8"/>
    <w:rsid w:val="0082042C"/>
    <w:rsid w:val="00821260"/>
    <w:rsid w:val="00821B23"/>
    <w:rsid w:val="00823407"/>
    <w:rsid w:val="008244FF"/>
    <w:rsid w:val="00825DD8"/>
    <w:rsid w:val="0083025F"/>
    <w:rsid w:val="0083687F"/>
    <w:rsid w:val="00841425"/>
    <w:rsid w:val="00843F02"/>
    <w:rsid w:val="00846C24"/>
    <w:rsid w:val="00847620"/>
    <w:rsid w:val="00847763"/>
    <w:rsid w:val="00847DA7"/>
    <w:rsid w:val="00851D3D"/>
    <w:rsid w:val="00853F8C"/>
    <w:rsid w:val="0085421D"/>
    <w:rsid w:val="00864E72"/>
    <w:rsid w:val="0086515D"/>
    <w:rsid w:val="00871253"/>
    <w:rsid w:val="008757E6"/>
    <w:rsid w:val="008778F2"/>
    <w:rsid w:val="00880A1D"/>
    <w:rsid w:val="00884347"/>
    <w:rsid w:val="00885908"/>
    <w:rsid w:val="0088661E"/>
    <w:rsid w:val="008919AA"/>
    <w:rsid w:val="00891A55"/>
    <w:rsid w:val="00893B93"/>
    <w:rsid w:val="0089701A"/>
    <w:rsid w:val="0089788D"/>
    <w:rsid w:val="008A03BD"/>
    <w:rsid w:val="008A768A"/>
    <w:rsid w:val="008B0184"/>
    <w:rsid w:val="008B2C23"/>
    <w:rsid w:val="008B61A2"/>
    <w:rsid w:val="008C1291"/>
    <w:rsid w:val="008C3008"/>
    <w:rsid w:val="008C35DE"/>
    <w:rsid w:val="008C3F14"/>
    <w:rsid w:val="008C5BF9"/>
    <w:rsid w:val="008C5D02"/>
    <w:rsid w:val="008D2649"/>
    <w:rsid w:val="008E22F8"/>
    <w:rsid w:val="008E315A"/>
    <w:rsid w:val="0090377F"/>
    <w:rsid w:val="0090568D"/>
    <w:rsid w:val="009062EA"/>
    <w:rsid w:val="00906DDF"/>
    <w:rsid w:val="00907000"/>
    <w:rsid w:val="009125C9"/>
    <w:rsid w:val="00913879"/>
    <w:rsid w:val="0091661F"/>
    <w:rsid w:val="0091730A"/>
    <w:rsid w:val="00917661"/>
    <w:rsid w:val="00922CD9"/>
    <w:rsid w:val="00924A8C"/>
    <w:rsid w:val="00930912"/>
    <w:rsid w:val="00934A9F"/>
    <w:rsid w:val="00935828"/>
    <w:rsid w:val="00943581"/>
    <w:rsid w:val="009465C2"/>
    <w:rsid w:val="009476F3"/>
    <w:rsid w:val="009479AE"/>
    <w:rsid w:val="0095063D"/>
    <w:rsid w:val="009531E6"/>
    <w:rsid w:val="00953C27"/>
    <w:rsid w:val="00954D30"/>
    <w:rsid w:val="00957894"/>
    <w:rsid w:val="00961280"/>
    <w:rsid w:val="00961C9F"/>
    <w:rsid w:val="00961E66"/>
    <w:rsid w:val="00961EAF"/>
    <w:rsid w:val="009624D5"/>
    <w:rsid w:val="00966497"/>
    <w:rsid w:val="00970E5D"/>
    <w:rsid w:val="00974107"/>
    <w:rsid w:val="00975936"/>
    <w:rsid w:val="00976964"/>
    <w:rsid w:val="0097701C"/>
    <w:rsid w:val="00980A65"/>
    <w:rsid w:val="00980AB6"/>
    <w:rsid w:val="00981437"/>
    <w:rsid w:val="00981EDE"/>
    <w:rsid w:val="00986BB4"/>
    <w:rsid w:val="0099363C"/>
    <w:rsid w:val="00993E07"/>
    <w:rsid w:val="00996105"/>
    <w:rsid w:val="009A04ED"/>
    <w:rsid w:val="009A24DC"/>
    <w:rsid w:val="009A403F"/>
    <w:rsid w:val="009A660C"/>
    <w:rsid w:val="009B0C9B"/>
    <w:rsid w:val="009B7387"/>
    <w:rsid w:val="009C5D30"/>
    <w:rsid w:val="009D1D1A"/>
    <w:rsid w:val="009D3128"/>
    <w:rsid w:val="009E2E1F"/>
    <w:rsid w:val="009E464D"/>
    <w:rsid w:val="009F14E5"/>
    <w:rsid w:val="009F1C15"/>
    <w:rsid w:val="009F2A51"/>
    <w:rsid w:val="009F3381"/>
    <w:rsid w:val="009F35A1"/>
    <w:rsid w:val="009F48A9"/>
    <w:rsid w:val="009F6D72"/>
    <w:rsid w:val="009F7D2A"/>
    <w:rsid w:val="00A04FB1"/>
    <w:rsid w:val="00A06BBE"/>
    <w:rsid w:val="00A11ADE"/>
    <w:rsid w:val="00A123E0"/>
    <w:rsid w:val="00A126A4"/>
    <w:rsid w:val="00A14C13"/>
    <w:rsid w:val="00A17F62"/>
    <w:rsid w:val="00A25E70"/>
    <w:rsid w:val="00A30ABF"/>
    <w:rsid w:val="00A33765"/>
    <w:rsid w:val="00A33BCE"/>
    <w:rsid w:val="00A33DA7"/>
    <w:rsid w:val="00A35F8B"/>
    <w:rsid w:val="00A3697F"/>
    <w:rsid w:val="00A37805"/>
    <w:rsid w:val="00A37B4E"/>
    <w:rsid w:val="00A40C76"/>
    <w:rsid w:val="00A43568"/>
    <w:rsid w:val="00A470B7"/>
    <w:rsid w:val="00A47D3C"/>
    <w:rsid w:val="00A5136E"/>
    <w:rsid w:val="00A55454"/>
    <w:rsid w:val="00A628E6"/>
    <w:rsid w:val="00A63269"/>
    <w:rsid w:val="00A63E8C"/>
    <w:rsid w:val="00A714B9"/>
    <w:rsid w:val="00A73D4A"/>
    <w:rsid w:val="00A7641F"/>
    <w:rsid w:val="00A76E47"/>
    <w:rsid w:val="00A82920"/>
    <w:rsid w:val="00A852FF"/>
    <w:rsid w:val="00A86763"/>
    <w:rsid w:val="00A873D9"/>
    <w:rsid w:val="00A91B8F"/>
    <w:rsid w:val="00A91FA1"/>
    <w:rsid w:val="00A92377"/>
    <w:rsid w:val="00A94B48"/>
    <w:rsid w:val="00A94F31"/>
    <w:rsid w:val="00A95BB4"/>
    <w:rsid w:val="00A97F30"/>
    <w:rsid w:val="00AA3022"/>
    <w:rsid w:val="00AA323B"/>
    <w:rsid w:val="00AA60F9"/>
    <w:rsid w:val="00AA6E47"/>
    <w:rsid w:val="00AB29ED"/>
    <w:rsid w:val="00AB49FF"/>
    <w:rsid w:val="00AB5FCE"/>
    <w:rsid w:val="00AB654E"/>
    <w:rsid w:val="00AB72C6"/>
    <w:rsid w:val="00AC0036"/>
    <w:rsid w:val="00AC0634"/>
    <w:rsid w:val="00AC5F69"/>
    <w:rsid w:val="00AC67DD"/>
    <w:rsid w:val="00AC6F1F"/>
    <w:rsid w:val="00AD24A8"/>
    <w:rsid w:val="00AD3828"/>
    <w:rsid w:val="00AD3DD6"/>
    <w:rsid w:val="00AD49BF"/>
    <w:rsid w:val="00AD4F76"/>
    <w:rsid w:val="00AE2E2C"/>
    <w:rsid w:val="00AE4BD8"/>
    <w:rsid w:val="00AE7C91"/>
    <w:rsid w:val="00AF3993"/>
    <w:rsid w:val="00AF514B"/>
    <w:rsid w:val="00B0026F"/>
    <w:rsid w:val="00B006EF"/>
    <w:rsid w:val="00B00B9F"/>
    <w:rsid w:val="00B00F34"/>
    <w:rsid w:val="00B0304E"/>
    <w:rsid w:val="00B039D2"/>
    <w:rsid w:val="00B03B80"/>
    <w:rsid w:val="00B11C65"/>
    <w:rsid w:val="00B14A02"/>
    <w:rsid w:val="00B14F0B"/>
    <w:rsid w:val="00B20FB0"/>
    <w:rsid w:val="00B23D20"/>
    <w:rsid w:val="00B276C9"/>
    <w:rsid w:val="00B278BB"/>
    <w:rsid w:val="00B32A38"/>
    <w:rsid w:val="00B34019"/>
    <w:rsid w:val="00B354FC"/>
    <w:rsid w:val="00B36FAF"/>
    <w:rsid w:val="00B3760A"/>
    <w:rsid w:val="00B40385"/>
    <w:rsid w:val="00B41125"/>
    <w:rsid w:val="00B42804"/>
    <w:rsid w:val="00B4388F"/>
    <w:rsid w:val="00B43D52"/>
    <w:rsid w:val="00B43F36"/>
    <w:rsid w:val="00B456A0"/>
    <w:rsid w:val="00B51476"/>
    <w:rsid w:val="00B526BB"/>
    <w:rsid w:val="00B55627"/>
    <w:rsid w:val="00B60D8D"/>
    <w:rsid w:val="00B62500"/>
    <w:rsid w:val="00B63237"/>
    <w:rsid w:val="00B64B23"/>
    <w:rsid w:val="00B67B02"/>
    <w:rsid w:val="00B72CFD"/>
    <w:rsid w:val="00B762CD"/>
    <w:rsid w:val="00B76D33"/>
    <w:rsid w:val="00B81853"/>
    <w:rsid w:val="00B819CF"/>
    <w:rsid w:val="00B91647"/>
    <w:rsid w:val="00B93879"/>
    <w:rsid w:val="00B9420A"/>
    <w:rsid w:val="00B9431A"/>
    <w:rsid w:val="00B946EB"/>
    <w:rsid w:val="00B94C91"/>
    <w:rsid w:val="00B9758C"/>
    <w:rsid w:val="00BA1F91"/>
    <w:rsid w:val="00BA3C07"/>
    <w:rsid w:val="00BA7747"/>
    <w:rsid w:val="00BB0321"/>
    <w:rsid w:val="00BB1F92"/>
    <w:rsid w:val="00BB2EB9"/>
    <w:rsid w:val="00BB2F9F"/>
    <w:rsid w:val="00BB3009"/>
    <w:rsid w:val="00BB6F97"/>
    <w:rsid w:val="00BB7F58"/>
    <w:rsid w:val="00BC02CC"/>
    <w:rsid w:val="00BC3B71"/>
    <w:rsid w:val="00BD16C3"/>
    <w:rsid w:val="00BD372A"/>
    <w:rsid w:val="00BD3926"/>
    <w:rsid w:val="00BD593B"/>
    <w:rsid w:val="00BD781A"/>
    <w:rsid w:val="00BE5A80"/>
    <w:rsid w:val="00BE7DBA"/>
    <w:rsid w:val="00BF0860"/>
    <w:rsid w:val="00BF0959"/>
    <w:rsid w:val="00BF53EE"/>
    <w:rsid w:val="00C02307"/>
    <w:rsid w:val="00C02D46"/>
    <w:rsid w:val="00C0310D"/>
    <w:rsid w:val="00C0530C"/>
    <w:rsid w:val="00C07299"/>
    <w:rsid w:val="00C11FF2"/>
    <w:rsid w:val="00C16764"/>
    <w:rsid w:val="00C175A1"/>
    <w:rsid w:val="00C206DB"/>
    <w:rsid w:val="00C22105"/>
    <w:rsid w:val="00C22DEA"/>
    <w:rsid w:val="00C31BA0"/>
    <w:rsid w:val="00C32A28"/>
    <w:rsid w:val="00C33DEF"/>
    <w:rsid w:val="00C34A46"/>
    <w:rsid w:val="00C34F55"/>
    <w:rsid w:val="00C35609"/>
    <w:rsid w:val="00C42825"/>
    <w:rsid w:val="00C44A50"/>
    <w:rsid w:val="00C55248"/>
    <w:rsid w:val="00C573EE"/>
    <w:rsid w:val="00C647BD"/>
    <w:rsid w:val="00C71F0A"/>
    <w:rsid w:val="00C73235"/>
    <w:rsid w:val="00C749E0"/>
    <w:rsid w:val="00C77BC7"/>
    <w:rsid w:val="00C824C4"/>
    <w:rsid w:val="00C836EB"/>
    <w:rsid w:val="00C85091"/>
    <w:rsid w:val="00C91726"/>
    <w:rsid w:val="00C949A4"/>
    <w:rsid w:val="00C95874"/>
    <w:rsid w:val="00C960DC"/>
    <w:rsid w:val="00CA2869"/>
    <w:rsid w:val="00CA4E75"/>
    <w:rsid w:val="00CB11F1"/>
    <w:rsid w:val="00CB12DA"/>
    <w:rsid w:val="00CB196D"/>
    <w:rsid w:val="00CB20C2"/>
    <w:rsid w:val="00CB3488"/>
    <w:rsid w:val="00CB36BC"/>
    <w:rsid w:val="00CB3D23"/>
    <w:rsid w:val="00CB5047"/>
    <w:rsid w:val="00CB74E6"/>
    <w:rsid w:val="00CC00A1"/>
    <w:rsid w:val="00CC41C8"/>
    <w:rsid w:val="00CC4D68"/>
    <w:rsid w:val="00CC6757"/>
    <w:rsid w:val="00CD5287"/>
    <w:rsid w:val="00CD557E"/>
    <w:rsid w:val="00CD5AF2"/>
    <w:rsid w:val="00CD5BFF"/>
    <w:rsid w:val="00CE0158"/>
    <w:rsid w:val="00CE2228"/>
    <w:rsid w:val="00CE37FF"/>
    <w:rsid w:val="00CE74B9"/>
    <w:rsid w:val="00CE7AB4"/>
    <w:rsid w:val="00CE7BB3"/>
    <w:rsid w:val="00CF24FD"/>
    <w:rsid w:val="00CF2B29"/>
    <w:rsid w:val="00CF4DEF"/>
    <w:rsid w:val="00CF6F07"/>
    <w:rsid w:val="00CF7E05"/>
    <w:rsid w:val="00D016FF"/>
    <w:rsid w:val="00D01D12"/>
    <w:rsid w:val="00D02C75"/>
    <w:rsid w:val="00D04F75"/>
    <w:rsid w:val="00D0517D"/>
    <w:rsid w:val="00D07052"/>
    <w:rsid w:val="00D10E22"/>
    <w:rsid w:val="00D119C2"/>
    <w:rsid w:val="00D13D2C"/>
    <w:rsid w:val="00D23B25"/>
    <w:rsid w:val="00D2484E"/>
    <w:rsid w:val="00D24BB1"/>
    <w:rsid w:val="00D262AF"/>
    <w:rsid w:val="00D2638C"/>
    <w:rsid w:val="00D2798E"/>
    <w:rsid w:val="00D31516"/>
    <w:rsid w:val="00D31B38"/>
    <w:rsid w:val="00D33319"/>
    <w:rsid w:val="00D3361D"/>
    <w:rsid w:val="00D34459"/>
    <w:rsid w:val="00D47A22"/>
    <w:rsid w:val="00D47B25"/>
    <w:rsid w:val="00D527F8"/>
    <w:rsid w:val="00D5752C"/>
    <w:rsid w:val="00D63980"/>
    <w:rsid w:val="00D70CA3"/>
    <w:rsid w:val="00D70FF0"/>
    <w:rsid w:val="00D710FE"/>
    <w:rsid w:val="00D72666"/>
    <w:rsid w:val="00D72766"/>
    <w:rsid w:val="00D727AF"/>
    <w:rsid w:val="00D7674D"/>
    <w:rsid w:val="00D77EC8"/>
    <w:rsid w:val="00D8049C"/>
    <w:rsid w:val="00D80795"/>
    <w:rsid w:val="00D8234E"/>
    <w:rsid w:val="00D83CB2"/>
    <w:rsid w:val="00D8681E"/>
    <w:rsid w:val="00D965D0"/>
    <w:rsid w:val="00D96857"/>
    <w:rsid w:val="00D96EAD"/>
    <w:rsid w:val="00DA1094"/>
    <w:rsid w:val="00DA28C6"/>
    <w:rsid w:val="00DA2D40"/>
    <w:rsid w:val="00DA3BF2"/>
    <w:rsid w:val="00DA3FF3"/>
    <w:rsid w:val="00DA43D5"/>
    <w:rsid w:val="00DA66E7"/>
    <w:rsid w:val="00DB32F3"/>
    <w:rsid w:val="00DB42F2"/>
    <w:rsid w:val="00DB5642"/>
    <w:rsid w:val="00DC028B"/>
    <w:rsid w:val="00DC25CB"/>
    <w:rsid w:val="00DC2F94"/>
    <w:rsid w:val="00DC3772"/>
    <w:rsid w:val="00DC5C02"/>
    <w:rsid w:val="00DD3D9E"/>
    <w:rsid w:val="00DD4ACD"/>
    <w:rsid w:val="00DD5A8D"/>
    <w:rsid w:val="00DD6DAF"/>
    <w:rsid w:val="00DD7908"/>
    <w:rsid w:val="00DD7A6F"/>
    <w:rsid w:val="00DE0344"/>
    <w:rsid w:val="00DE062D"/>
    <w:rsid w:val="00DE2D1B"/>
    <w:rsid w:val="00DE3DDF"/>
    <w:rsid w:val="00DE51E4"/>
    <w:rsid w:val="00DE59A2"/>
    <w:rsid w:val="00DE6084"/>
    <w:rsid w:val="00DE63A8"/>
    <w:rsid w:val="00DE785A"/>
    <w:rsid w:val="00DF17B1"/>
    <w:rsid w:val="00DF1C8F"/>
    <w:rsid w:val="00DF383E"/>
    <w:rsid w:val="00DF6C62"/>
    <w:rsid w:val="00DF7305"/>
    <w:rsid w:val="00DF7310"/>
    <w:rsid w:val="00E05D20"/>
    <w:rsid w:val="00E07F4E"/>
    <w:rsid w:val="00E1040D"/>
    <w:rsid w:val="00E113A9"/>
    <w:rsid w:val="00E14E60"/>
    <w:rsid w:val="00E16B47"/>
    <w:rsid w:val="00E23CC6"/>
    <w:rsid w:val="00E26D1F"/>
    <w:rsid w:val="00E30178"/>
    <w:rsid w:val="00E3223B"/>
    <w:rsid w:val="00E3617A"/>
    <w:rsid w:val="00E40240"/>
    <w:rsid w:val="00E4058C"/>
    <w:rsid w:val="00E4139E"/>
    <w:rsid w:val="00E4212F"/>
    <w:rsid w:val="00E450D1"/>
    <w:rsid w:val="00E50048"/>
    <w:rsid w:val="00E53145"/>
    <w:rsid w:val="00E546D0"/>
    <w:rsid w:val="00E55BF0"/>
    <w:rsid w:val="00E56C4A"/>
    <w:rsid w:val="00E616D0"/>
    <w:rsid w:val="00E62F72"/>
    <w:rsid w:val="00E6550A"/>
    <w:rsid w:val="00E66862"/>
    <w:rsid w:val="00E6769B"/>
    <w:rsid w:val="00E80E0F"/>
    <w:rsid w:val="00E80E5A"/>
    <w:rsid w:val="00E81621"/>
    <w:rsid w:val="00E82297"/>
    <w:rsid w:val="00E8368A"/>
    <w:rsid w:val="00E83B3F"/>
    <w:rsid w:val="00E90A6C"/>
    <w:rsid w:val="00E945EF"/>
    <w:rsid w:val="00E964C4"/>
    <w:rsid w:val="00E9709D"/>
    <w:rsid w:val="00EA2012"/>
    <w:rsid w:val="00EA2385"/>
    <w:rsid w:val="00EA3651"/>
    <w:rsid w:val="00EA4408"/>
    <w:rsid w:val="00EA7050"/>
    <w:rsid w:val="00EA7F24"/>
    <w:rsid w:val="00EB0D10"/>
    <w:rsid w:val="00EB2679"/>
    <w:rsid w:val="00EB47A0"/>
    <w:rsid w:val="00EC0A5E"/>
    <w:rsid w:val="00EC1CD0"/>
    <w:rsid w:val="00EC64D7"/>
    <w:rsid w:val="00EC6874"/>
    <w:rsid w:val="00EC7208"/>
    <w:rsid w:val="00EC7C20"/>
    <w:rsid w:val="00ED0F18"/>
    <w:rsid w:val="00ED3F30"/>
    <w:rsid w:val="00ED45F8"/>
    <w:rsid w:val="00ED55EF"/>
    <w:rsid w:val="00EE1EA4"/>
    <w:rsid w:val="00EE617A"/>
    <w:rsid w:val="00EF3337"/>
    <w:rsid w:val="00EF39FD"/>
    <w:rsid w:val="00EF3AB7"/>
    <w:rsid w:val="00EF5E26"/>
    <w:rsid w:val="00F00D1D"/>
    <w:rsid w:val="00F01581"/>
    <w:rsid w:val="00F03835"/>
    <w:rsid w:val="00F06842"/>
    <w:rsid w:val="00F107FD"/>
    <w:rsid w:val="00F10D29"/>
    <w:rsid w:val="00F11E0C"/>
    <w:rsid w:val="00F15681"/>
    <w:rsid w:val="00F15B4B"/>
    <w:rsid w:val="00F2046A"/>
    <w:rsid w:val="00F222EC"/>
    <w:rsid w:val="00F31812"/>
    <w:rsid w:val="00F31EFD"/>
    <w:rsid w:val="00F33EB6"/>
    <w:rsid w:val="00F3533A"/>
    <w:rsid w:val="00F36307"/>
    <w:rsid w:val="00F42B19"/>
    <w:rsid w:val="00F5447A"/>
    <w:rsid w:val="00F544BE"/>
    <w:rsid w:val="00F644D9"/>
    <w:rsid w:val="00F7105A"/>
    <w:rsid w:val="00F80DD3"/>
    <w:rsid w:val="00F82BA8"/>
    <w:rsid w:val="00F91A54"/>
    <w:rsid w:val="00F92DD8"/>
    <w:rsid w:val="00F941DA"/>
    <w:rsid w:val="00F97649"/>
    <w:rsid w:val="00FA1F18"/>
    <w:rsid w:val="00FA20B6"/>
    <w:rsid w:val="00FA63AE"/>
    <w:rsid w:val="00FB2281"/>
    <w:rsid w:val="00FB64A8"/>
    <w:rsid w:val="00FB7A6A"/>
    <w:rsid w:val="00FC0701"/>
    <w:rsid w:val="00FD0BC9"/>
    <w:rsid w:val="00FD16CC"/>
    <w:rsid w:val="00FD1A71"/>
    <w:rsid w:val="00FD20FB"/>
    <w:rsid w:val="00FD269A"/>
    <w:rsid w:val="00FD29E5"/>
    <w:rsid w:val="00FD447E"/>
    <w:rsid w:val="00FD47A7"/>
    <w:rsid w:val="00FD5D0D"/>
    <w:rsid w:val="00FD611B"/>
    <w:rsid w:val="00FD751A"/>
    <w:rsid w:val="00FE031B"/>
    <w:rsid w:val="00FE2871"/>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5DE5B120-31C6-404F-96B7-12C3CF6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A40C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65D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7A314A"/>
    <w:rPr>
      <w:color w:val="605E5C"/>
      <w:shd w:val="clear" w:color="auto" w:fill="E1DFDD"/>
    </w:rPr>
  </w:style>
  <w:style w:type="character" w:customStyle="1" w:styleId="Heading1Char">
    <w:name w:val="Heading 1 Char"/>
    <w:basedOn w:val="DefaultParagraphFont"/>
    <w:link w:val="Heading1"/>
    <w:rsid w:val="00A40C76"/>
    <w:rPr>
      <w:rFonts w:asciiTheme="majorHAnsi" w:eastAsiaTheme="majorEastAsia" w:hAnsiTheme="majorHAnsi" w:cstheme="majorBidi"/>
      <w:color w:val="365F91" w:themeColor="accent1" w:themeShade="BF"/>
      <w:sz w:val="32"/>
      <w:szCs w:val="32"/>
      <w:lang w:eastAsia="en-US"/>
    </w:rPr>
  </w:style>
  <w:style w:type="character" w:customStyle="1" w:styleId="react-xocs-alternative-link">
    <w:name w:val="react-xocs-alternative-link"/>
    <w:basedOn w:val="DefaultParagraphFont"/>
    <w:rsid w:val="001B54A5"/>
  </w:style>
  <w:style w:type="character" w:customStyle="1" w:styleId="given-name">
    <w:name w:val="given-name"/>
    <w:basedOn w:val="DefaultParagraphFont"/>
    <w:rsid w:val="001B54A5"/>
  </w:style>
  <w:style w:type="character" w:customStyle="1" w:styleId="text">
    <w:name w:val="text"/>
    <w:basedOn w:val="DefaultParagraphFont"/>
    <w:rsid w:val="001B54A5"/>
  </w:style>
  <w:style w:type="character" w:customStyle="1" w:styleId="author-ref">
    <w:name w:val="author-ref"/>
    <w:basedOn w:val="DefaultParagraphFont"/>
    <w:rsid w:val="001B54A5"/>
  </w:style>
  <w:style w:type="character" w:customStyle="1" w:styleId="Heading2Char">
    <w:name w:val="Heading 2 Char"/>
    <w:basedOn w:val="DefaultParagraphFont"/>
    <w:link w:val="Heading2"/>
    <w:semiHidden/>
    <w:rsid w:val="00265D68"/>
    <w:rPr>
      <w:rFonts w:asciiTheme="majorHAnsi" w:eastAsiaTheme="majorEastAsia" w:hAnsiTheme="majorHAnsi" w:cstheme="majorBidi"/>
      <w:color w:val="365F91" w:themeColor="accent1" w:themeShade="BF"/>
      <w:sz w:val="26"/>
      <w:szCs w:val="26"/>
      <w:lang w:eastAsia="en-US"/>
    </w:rPr>
  </w:style>
  <w:style w:type="character" w:styleId="FollowedHyperlink">
    <w:name w:val="FollowedHyperlink"/>
    <w:basedOn w:val="DefaultParagraphFont"/>
    <w:semiHidden/>
    <w:unhideWhenUsed/>
    <w:rsid w:val="00EF3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7050">
      <w:bodyDiv w:val="1"/>
      <w:marLeft w:val="0"/>
      <w:marRight w:val="0"/>
      <w:marTop w:val="0"/>
      <w:marBottom w:val="0"/>
      <w:divBdr>
        <w:top w:val="none" w:sz="0" w:space="0" w:color="auto"/>
        <w:left w:val="none" w:sz="0" w:space="0" w:color="auto"/>
        <w:bottom w:val="none" w:sz="0" w:space="0" w:color="auto"/>
        <w:right w:val="none" w:sz="0" w:space="0" w:color="auto"/>
      </w:divBdr>
    </w:div>
    <w:div w:id="405416528">
      <w:bodyDiv w:val="1"/>
      <w:marLeft w:val="0"/>
      <w:marRight w:val="0"/>
      <w:marTop w:val="0"/>
      <w:marBottom w:val="0"/>
      <w:divBdr>
        <w:top w:val="none" w:sz="0" w:space="0" w:color="auto"/>
        <w:left w:val="none" w:sz="0" w:space="0" w:color="auto"/>
        <w:bottom w:val="none" w:sz="0" w:space="0" w:color="auto"/>
        <w:right w:val="none" w:sz="0" w:space="0" w:color="auto"/>
      </w:divBdr>
      <w:divsChild>
        <w:div w:id="926812997">
          <w:marLeft w:val="0"/>
          <w:marRight w:val="0"/>
          <w:marTop w:val="0"/>
          <w:marBottom w:val="0"/>
          <w:divBdr>
            <w:top w:val="single" w:sz="2" w:space="0" w:color="D9D9E3"/>
            <w:left w:val="single" w:sz="2" w:space="0" w:color="D9D9E3"/>
            <w:bottom w:val="single" w:sz="2" w:space="0" w:color="D9D9E3"/>
            <w:right w:val="single" w:sz="2" w:space="0" w:color="D9D9E3"/>
          </w:divBdr>
          <w:divsChild>
            <w:div w:id="1611817508">
              <w:marLeft w:val="0"/>
              <w:marRight w:val="0"/>
              <w:marTop w:val="0"/>
              <w:marBottom w:val="0"/>
              <w:divBdr>
                <w:top w:val="single" w:sz="2" w:space="0" w:color="D9D9E3"/>
                <w:left w:val="single" w:sz="2" w:space="0" w:color="D9D9E3"/>
                <w:bottom w:val="single" w:sz="2" w:space="0" w:color="D9D9E3"/>
                <w:right w:val="single" w:sz="2" w:space="0" w:color="D9D9E3"/>
              </w:divBdr>
              <w:divsChild>
                <w:div w:id="1273128689">
                  <w:marLeft w:val="0"/>
                  <w:marRight w:val="0"/>
                  <w:marTop w:val="0"/>
                  <w:marBottom w:val="0"/>
                  <w:divBdr>
                    <w:top w:val="single" w:sz="2" w:space="0" w:color="D9D9E3"/>
                    <w:left w:val="single" w:sz="2" w:space="0" w:color="D9D9E3"/>
                    <w:bottom w:val="single" w:sz="2" w:space="0" w:color="D9D9E3"/>
                    <w:right w:val="single" w:sz="2" w:space="0" w:color="D9D9E3"/>
                  </w:divBdr>
                  <w:divsChild>
                    <w:div w:id="1919175120">
                      <w:marLeft w:val="0"/>
                      <w:marRight w:val="0"/>
                      <w:marTop w:val="0"/>
                      <w:marBottom w:val="0"/>
                      <w:divBdr>
                        <w:top w:val="single" w:sz="2" w:space="0" w:color="D9D9E3"/>
                        <w:left w:val="single" w:sz="2" w:space="0" w:color="D9D9E3"/>
                        <w:bottom w:val="single" w:sz="2" w:space="0" w:color="D9D9E3"/>
                        <w:right w:val="single" w:sz="2" w:space="0" w:color="D9D9E3"/>
                      </w:divBdr>
                      <w:divsChild>
                        <w:div w:id="1585652678">
                          <w:marLeft w:val="0"/>
                          <w:marRight w:val="0"/>
                          <w:marTop w:val="0"/>
                          <w:marBottom w:val="0"/>
                          <w:divBdr>
                            <w:top w:val="single" w:sz="2" w:space="0" w:color="D9D9E3"/>
                            <w:left w:val="single" w:sz="2" w:space="0" w:color="D9D9E3"/>
                            <w:bottom w:val="single" w:sz="2" w:space="0" w:color="D9D9E3"/>
                            <w:right w:val="single" w:sz="2" w:space="0" w:color="D9D9E3"/>
                          </w:divBdr>
                          <w:divsChild>
                            <w:div w:id="1771661235">
                              <w:marLeft w:val="0"/>
                              <w:marRight w:val="0"/>
                              <w:marTop w:val="100"/>
                              <w:marBottom w:val="100"/>
                              <w:divBdr>
                                <w:top w:val="single" w:sz="2" w:space="0" w:color="D9D9E3"/>
                                <w:left w:val="single" w:sz="2" w:space="0" w:color="D9D9E3"/>
                                <w:bottom w:val="single" w:sz="2" w:space="0" w:color="D9D9E3"/>
                                <w:right w:val="single" w:sz="2" w:space="0" w:color="D9D9E3"/>
                              </w:divBdr>
                              <w:divsChild>
                                <w:div w:id="434786155">
                                  <w:marLeft w:val="0"/>
                                  <w:marRight w:val="0"/>
                                  <w:marTop w:val="0"/>
                                  <w:marBottom w:val="0"/>
                                  <w:divBdr>
                                    <w:top w:val="single" w:sz="2" w:space="0" w:color="D9D9E3"/>
                                    <w:left w:val="single" w:sz="2" w:space="0" w:color="D9D9E3"/>
                                    <w:bottom w:val="single" w:sz="2" w:space="0" w:color="D9D9E3"/>
                                    <w:right w:val="single" w:sz="2" w:space="0" w:color="D9D9E3"/>
                                  </w:divBdr>
                                  <w:divsChild>
                                    <w:div w:id="556360822">
                                      <w:marLeft w:val="0"/>
                                      <w:marRight w:val="0"/>
                                      <w:marTop w:val="0"/>
                                      <w:marBottom w:val="0"/>
                                      <w:divBdr>
                                        <w:top w:val="single" w:sz="2" w:space="0" w:color="D9D9E3"/>
                                        <w:left w:val="single" w:sz="2" w:space="0" w:color="D9D9E3"/>
                                        <w:bottom w:val="single" w:sz="2" w:space="0" w:color="D9D9E3"/>
                                        <w:right w:val="single" w:sz="2" w:space="0" w:color="D9D9E3"/>
                                      </w:divBdr>
                                      <w:divsChild>
                                        <w:div w:id="785008432">
                                          <w:marLeft w:val="0"/>
                                          <w:marRight w:val="0"/>
                                          <w:marTop w:val="0"/>
                                          <w:marBottom w:val="0"/>
                                          <w:divBdr>
                                            <w:top w:val="single" w:sz="2" w:space="0" w:color="D9D9E3"/>
                                            <w:left w:val="single" w:sz="2" w:space="0" w:color="D9D9E3"/>
                                            <w:bottom w:val="single" w:sz="2" w:space="0" w:color="D9D9E3"/>
                                            <w:right w:val="single" w:sz="2" w:space="0" w:color="D9D9E3"/>
                                          </w:divBdr>
                                          <w:divsChild>
                                            <w:div w:id="1260407514">
                                              <w:marLeft w:val="0"/>
                                              <w:marRight w:val="0"/>
                                              <w:marTop w:val="0"/>
                                              <w:marBottom w:val="0"/>
                                              <w:divBdr>
                                                <w:top w:val="single" w:sz="2" w:space="0" w:color="D9D9E3"/>
                                                <w:left w:val="single" w:sz="2" w:space="0" w:color="D9D9E3"/>
                                                <w:bottom w:val="single" w:sz="2" w:space="0" w:color="D9D9E3"/>
                                                <w:right w:val="single" w:sz="2" w:space="0" w:color="D9D9E3"/>
                                              </w:divBdr>
                                              <w:divsChild>
                                                <w:div w:id="1597471688">
                                                  <w:marLeft w:val="0"/>
                                                  <w:marRight w:val="0"/>
                                                  <w:marTop w:val="0"/>
                                                  <w:marBottom w:val="0"/>
                                                  <w:divBdr>
                                                    <w:top w:val="single" w:sz="2" w:space="0" w:color="D9D9E3"/>
                                                    <w:left w:val="single" w:sz="2" w:space="0" w:color="D9D9E3"/>
                                                    <w:bottom w:val="single" w:sz="2" w:space="0" w:color="D9D9E3"/>
                                                    <w:right w:val="single" w:sz="2" w:space="0" w:color="D9D9E3"/>
                                                  </w:divBdr>
                                                  <w:divsChild>
                                                    <w:div w:id="1987780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4631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4184975">
      <w:bodyDiv w:val="1"/>
      <w:marLeft w:val="0"/>
      <w:marRight w:val="0"/>
      <w:marTop w:val="0"/>
      <w:marBottom w:val="0"/>
      <w:divBdr>
        <w:top w:val="none" w:sz="0" w:space="0" w:color="auto"/>
        <w:left w:val="none" w:sz="0" w:space="0" w:color="auto"/>
        <w:bottom w:val="none" w:sz="0" w:space="0" w:color="auto"/>
        <w:right w:val="none" w:sz="0" w:space="0" w:color="auto"/>
      </w:divBdr>
    </w:div>
    <w:div w:id="554782147">
      <w:bodyDiv w:val="1"/>
      <w:marLeft w:val="0"/>
      <w:marRight w:val="0"/>
      <w:marTop w:val="0"/>
      <w:marBottom w:val="0"/>
      <w:divBdr>
        <w:top w:val="none" w:sz="0" w:space="0" w:color="auto"/>
        <w:left w:val="none" w:sz="0" w:space="0" w:color="auto"/>
        <w:bottom w:val="none" w:sz="0" w:space="0" w:color="auto"/>
        <w:right w:val="none" w:sz="0" w:space="0" w:color="auto"/>
      </w:divBdr>
    </w:div>
    <w:div w:id="628169092">
      <w:bodyDiv w:val="1"/>
      <w:marLeft w:val="0"/>
      <w:marRight w:val="0"/>
      <w:marTop w:val="0"/>
      <w:marBottom w:val="0"/>
      <w:divBdr>
        <w:top w:val="none" w:sz="0" w:space="0" w:color="auto"/>
        <w:left w:val="none" w:sz="0" w:space="0" w:color="auto"/>
        <w:bottom w:val="none" w:sz="0" w:space="0" w:color="auto"/>
        <w:right w:val="none" w:sz="0" w:space="0" w:color="auto"/>
      </w:divBdr>
    </w:div>
    <w:div w:id="654259548">
      <w:bodyDiv w:val="1"/>
      <w:marLeft w:val="0"/>
      <w:marRight w:val="0"/>
      <w:marTop w:val="0"/>
      <w:marBottom w:val="0"/>
      <w:divBdr>
        <w:top w:val="none" w:sz="0" w:space="0" w:color="auto"/>
        <w:left w:val="none" w:sz="0" w:space="0" w:color="auto"/>
        <w:bottom w:val="none" w:sz="0" w:space="0" w:color="auto"/>
        <w:right w:val="none" w:sz="0" w:space="0" w:color="auto"/>
      </w:divBdr>
      <w:divsChild>
        <w:div w:id="1204053516">
          <w:marLeft w:val="0"/>
          <w:marRight w:val="0"/>
          <w:marTop w:val="0"/>
          <w:marBottom w:val="0"/>
          <w:divBdr>
            <w:top w:val="none" w:sz="0" w:space="0" w:color="auto"/>
            <w:left w:val="none" w:sz="0" w:space="0" w:color="auto"/>
            <w:bottom w:val="none" w:sz="0" w:space="0" w:color="auto"/>
            <w:right w:val="none" w:sz="0" w:space="0" w:color="auto"/>
          </w:divBdr>
        </w:div>
        <w:div w:id="1530295406">
          <w:marLeft w:val="0"/>
          <w:marRight w:val="0"/>
          <w:marTop w:val="0"/>
          <w:marBottom w:val="0"/>
          <w:divBdr>
            <w:top w:val="none" w:sz="0" w:space="0" w:color="auto"/>
            <w:left w:val="none" w:sz="0" w:space="0" w:color="auto"/>
            <w:bottom w:val="none" w:sz="0" w:space="0" w:color="auto"/>
            <w:right w:val="none" w:sz="0" w:space="0" w:color="auto"/>
          </w:divBdr>
        </w:div>
        <w:div w:id="1978146325">
          <w:marLeft w:val="0"/>
          <w:marRight w:val="0"/>
          <w:marTop w:val="0"/>
          <w:marBottom w:val="0"/>
          <w:divBdr>
            <w:top w:val="none" w:sz="0" w:space="0" w:color="auto"/>
            <w:left w:val="none" w:sz="0" w:space="0" w:color="auto"/>
            <w:bottom w:val="none" w:sz="0" w:space="0" w:color="auto"/>
            <w:right w:val="none" w:sz="0" w:space="0" w:color="auto"/>
          </w:divBdr>
        </w:div>
      </w:divsChild>
    </w:div>
    <w:div w:id="801995385">
      <w:bodyDiv w:val="1"/>
      <w:marLeft w:val="0"/>
      <w:marRight w:val="0"/>
      <w:marTop w:val="0"/>
      <w:marBottom w:val="0"/>
      <w:divBdr>
        <w:top w:val="none" w:sz="0" w:space="0" w:color="auto"/>
        <w:left w:val="none" w:sz="0" w:space="0" w:color="auto"/>
        <w:bottom w:val="none" w:sz="0" w:space="0" w:color="auto"/>
        <w:right w:val="none" w:sz="0" w:space="0" w:color="auto"/>
      </w:divBdr>
    </w:div>
    <w:div w:id="1007563329">
      <w:bodyDiv w:val="1"/>
      <w:marLeft w:val="0"/>
      <w:marRight w:val="0"/>
      <w:marTop w:val="0"/>
      <w:marBottom w:val="0"/>
      <w:divBdr>
        <w:top w:val="none" w:sz="0" w:space="0" w:color="auto"/>
        <w:left w:val="none" w:sz="0" w:space="0" w:color="auto"/>
        <w:bottom w:val="none" w:sz="0" w:space="0" w:color="auto"/>
        <w:right w:val="none" w:sz="0" w:space="0" w:color="auto"/>
      </w:divBdr>
    </w:div>
    <w:div w:id="1075275915">
      <w:bodyDiv w:val="1"/>
      <w:marLeft w:val="0"/>
      <w:marRight w:val="0"/>
      <w:marTop w:val="0"/>
      <w:marBottom w:val="0"/>
      <w:divBdr>
        <w:top w:val="none" w:sz="0" w:space="0" w:color="auto"/>
        <w:left w:val="none" w:sz="0" w:space="0" w:color="auto"/>
        <w:bottom w:val="none" w:sz="0" w:space="0" w:color="auto"/>
        <w:right w:val="none" w:sz="0" w:space="0" w:color="auto"/>
      </w:divBdr>
    </w:div>
    <w:div w:id="1153181918">
      <w:bodyDiv w:val="1"/>
      <w:marLeft w:val="0"/>
      <w:marRight w:val="0"/>
      <w:marTop w:val="0"/>
      <w:marBottom w:val="0"/>
      <w:divBdr>
        <w:top w:val="none" w:sz="0" w:space="0" w:color="auto"/>
        <w:left w:val="none" w:sz="0" w:space="0" w:color="auto"/>
        <w:bottom w:val="none" w:sz="0" w:space="0" w:color="auto"/>
        <w:right w:val="none" w:sz="0" w:space="0" w:color="auto"/>
      </w:divBdr>
      <w:divsChild>
        <w:div w:id="425615953">
          <w:marLeft w:val="0"/>
          <w:marRight w:val="0"/>
          <w:marTop w:val="0"/>
          <w:marBottom w:val="0"/>
          <w:divBdr>
            <w:top w:val="single" w:sz="2" w:space="0" w:color="D9D9E3"/>
            <w:left w:val="single" w:sz="2" w:space="0" w:color="D9D9E3"/>
            <w:bottom w:val="single" w:sz="2" w:space="0" w:color="D9D9E3"/>
            <w:right w:val="single" w:sz="2" w:space="0" w:color="D9D9E3"/>
          </w:divBdr>
          <w:divsChild>
            <w:div w:id="640616075">
              <w:marLeft w:val="0"/>
              <w:marRight w:val="0"/>
              <w:marTop w:val="0"/>
              <w:marBottom w:val="0"/>
              <w:divBdr>
                <w:top w:val="single" w:sz="2" w:space="0" w:color="D9D9E3"/>
                <w:left w:val="single" w:sz="2" w:space="0" w:color="D9D9E3"/>
                <w:bottom w:val="single" w:sz="2" w:space="0" w:color="D9D9E3"/>
                <w:right w:val="single" w:sz="2" w:space="0" w:color="D9D9E3"/>
              </w:divBdr>
              <w:divsChild>
                <w:div w:id="2109307803">
                  <w:marLeft w:val="0"/>
                  <w:marRight w:val="0"/>
                  <w:marTop w:val="0"/>
                  <w:marBottom w:val="0"/>
                  <w:divBdr>
                    <w:top w:val="single" w:sz="2" w:space="0" w:color="D9D9E3"/>
                    <w:left w:val="single" w:sz="2" w:space="0" w:color="D9D9E3"/>
                    <w:bottom w:val="single" w:sz="2" w:space="0" w:color="D9D9E3"/>
                    <w:right w:val="single" w:sz="2" w:space="0" w:color="D9D9E3"/>
                  </w:divBdr>
                  <w:divsChild>
                    <w:div w:id="1605113037">
                      <w:marLeft w:val="0"/>
                      <w:marRight w:val="0"/>
                      <w:marTop w:val="0"/>
                      <w:marBottom w:val="0"/>
                      <w:divBdr>
                        <w:top w:val="single" w:sz="2" w:space="0" w:color="D9D9E3"/>
                        <w:left w:val="single" w:sz="2" w:space="0" w:color="D9D9E3"/>
                        <w:bottom w:val="single" w:sz="2" w:space="0" w:color="D9D9E3"/>
                        <w:right w:val="single" w:sz="2" w:space="0" w:color="D9D9E3"/>
                      </w:divBdr>
                      <w:divsChild>
                        <w:div w:id="1102530761">
                          <w:marLeft w:val="0"/>
                          <w:marRight w:val="0"/>
                          <w:marTop w:val="0"/>
                          <w:marBottom w:val="0"/>
                          <w:divBdr>
                            <w:top w:val="single" w:sz="2" w:space="0" w:color="D9D9E3"/>
                            <w:left w:val="single" w:sz="2" w:space="0" w:color="D9D9E3"/>
                            <w:bottom w:val="single" w:sz="2" w:space="0" w:color="D9D9E3"/>
                            <w:right w:val="single" w:sz="2" w:space="0" w:color="D9D9E3"/>
                          </w:divBdr>
                          <w:divsChild>
                            <w:div w:id="1017926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1380191">
                                  <w:marLeft w:val="0"/>
                                  <w:marRight w:val="0"/>
                                  <w:marTop w:val="0"/>
                                  <w:marBottom w:val="0"/>
                                  <w:divBdr>
                                    <w:top w:val="single" w:sz="2" w:space="0" w:color="D9D9E3"/>
                                    <w:left w:val="single" w:sz="2" w:space="0" w:color="D9D9E3"/>
                                    <w:bottom w:val="single" w:sz="2" w:space="0" w:color="D9D9E3"/>
                                    <w:right w:val="single" w:sz="2" w:space="0" w:color="D9D9E3"/>
                                  </w:divBdr>
                                  <w:divsChild>
                                    <w:div w:id="399207497">
                                      <w:marLeft w:val="0"/>
                                      <w:marRight w:val="0"/>
                                      <w:marTop w:val="0"/>
                                      <w:marBottom w:val="0"/>
                                      <w:divBdr>
                                        <w:top w:val="single" w:sz="2" w:space="0" w:color="D9D9E3"/>
                                        <w:left w:val="single" w:sz="2" w:space="0" w:color="D9D9E3"/>
                                        <w:bottom w:val="single" w:sz="2" w:space="0" w:color="D9D9E3"/>
                                        <w:right w:val="single" w:sz="2" w:space="0" w:color="D9D9E3"/>
                                      </w:divBdr>
                                      <w:divsChild>
                                        <w:div w:id="1010909976">
                                          <w:marLeft w:val="0"/>
                                          <w:marRight w:val="0"/>
                                          <w:marTop w:val="0"/>
                                          <w:marBottom w:val="0"/>
                                          <w:divBdr>
                                            <w:top w:val="single" w:sz="2" w:space="0" w:color="D9D9E3"/>
                                            <w:left w:val="single" w:sz="2" w:space="0" w:color="D9D9E3"/>
                                            <w:bottom w:val="single" w:sz="2" w:space="0" w:color="D9D9E3"/>
                                            <w:right w:val="single" w:sz="2" w:space="0" w:color="D9D9E3"/>
                                          </w:divBdr>
                                          <w:divsChild>
                                            <w:div w:id="1043677660">
                                              <w:marLeft w:val="0"/>
                                              <w:marRight w:val="0"/>
                                              <w:marTop w:val="0"/>
                                              <w:marBottom w:val="0"/>
                                              <w:divBdr>
                                                <w:top w:val="single" w:sz="2" w:space="0" w:color="D9D9E3"/>
                                                <w:left w:val="single" w:sz="2" w:space="0" w:color="D9D9E3"/>
                                                <w:bottom w:val="single" w:sz="2" w:space="0" w:color="D9D9E3"/>
                                                <w:right w:val="single" w:sz="2" w:space="0" w:color="D9D9E3"/>
                                              </w:divBdr>
                                              <w:divsChild>
                                                <w:div w:id="1313832850">
                                                  <w:marLeft w:val="0"/>
                                                  <w:marRight w:val="0"/>
                                                  <w:marTop w:val="0"/>
                                                  <w:marBottom w:val="0"/>
                                                  <w:divBdr>
                                                    <w:top w:val="single" w:sz="2" w:space="0" w:color="D9D9E3"/>
                                                    <w:left w:val="single" w:sz="2" w:space="0" w:color="D9D9E3"/>
                                                    <w:bottom w:val="single" w:sz="2" w:space="0" w:color="D9D9E3"/>
                                                    <w:right w:val="single" w:sz="2" w:space="0" w:color="D9D9E3"/>
                                                  </w:divBdr>
                                                  <w:divsChild>
                                                    <w:div w:id="106893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2859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9416126">
      <w:bodyDiv w:val="1"/>
      <w:marLeft w:val="0"/>
      <w:marRight w:val="0"/>
      <w:marTop w:val="0"/>
      <w:marBottom w:val="0"/>
      <w:divBdr>
        <w:top w:val="none" w:sz="0" w:space="0" w:color="auto"/>
        <w:left w:val="none" w:sz="0" w:space="0" w:color="auto"/>
        <w:bottom w:val="none" w:sz="0" w:space="0" w:color="auto"/>
        <w:right w:val="none" w:sz="0" w:space="0" w:color="auto"/>
      </w:divBdr>
    </w:div>
    <w:div w:id="1483503386">
      <w:bodyDiv w:val="1"/>
      <w:marLeft w:val="0"/>
      <w:marRight w:val="0"/>
      <w:marTop w:val="0"/>
      <w:marBottom w:val="0"/>
      <w:divBdr>
        <w:top w:val="none" w:sz="0" w:space="0" w:color="auto"/>
        <w:left w:val="none" w:sz="0" w:space="0" w:color="auto"/>
        <w:bottom w:val="none" w:sz="0" w:space="0" w:color="auto"/>
        <w:right w:val="none" w:sz="0" w:space="0" w:color="auto"/>
      </w:divBdr>
    </w:div>
    <w:div w:id="1722436025">
      <w:bodyDiv w:val="1"/>
      <w:marLeft w:val="0"/>
      <w:marRight w:val="0"/>
      <w:marTop w:val="0"/>
      <w:marBottom w:val="0"/>
      <w:divBdr>
        <w:top w:val="none" w:sz="0" w:space="0" w:color="auto"/>
        <w:left w:val="none" w:sz="0" w:space="0" w:color="auto"/>
        <w:bottom w:val="none" w:sz="0" w:space="0" w:color="auto"/>
        <w:right w:val="none" w:sz="0" w:space="0" w:color="auto"/>
      </w:divBdr>
    </w:div>
    <w:div w:id="1730417996">
      <w:bodyDiv w:val="1"/>
      <w:marLeft w:val="0"/>
      <w:marRight w:val="0"/>
      <w:marTop w:val="0"/>
      <w:marBottom w:val="0"/>
      <w:divBdr>
        <w:top w:val="none" w:sz="0" w:space="0" w:color="auto"/>
        <w:left w:val="none" w:sz="0" w:space="0" w:color="auto"/>
        <w:bottom w:val="none" w:sz="0" w:space="0" w:color="auto"/>
        <w:right w:val="none" w:sz="0" w:space="0" w:color="auto"/>
      </w:divBdr>
    </w:div>
    <w:div w:id="1841314803">
      <w:bodyDiv w:val="1"/>
      <w:marLeft w:val="0"/>
      <w:marRight w:val="0"/>
      <w:marTop w:val="0"/>
      <w:marBottom w:val="0"/>
      <w:divBdr>
        <w:top w:val="none" w:sz="0" w:space="0" w:color="auto"/>
        <w:left w:val="none" w:sz="0" w:space="0" w:color="auto"/>
        <w:bottom w:val="none" w:sz="0" w:space="0" w:color="auto"/>
        <w:right w:val="none" w:sz="0" w:space="0" w:color="auto"/>
      </w:divBdr>
      <w:divsChild>
        <w:div w:id="43411380">
          <w:marLeft w:val="0"/>
          <w:marRight w:val="0"/>
          <w:marTop w:val="0"/>
          <w:marBottom w:val="0"/>
          <w:divBdr>
            <w:top w:val="none" w:sz="0" w:space="0" w:color="auto"/>
            <w:left w:val="none" w:sz="0" w:space="0" w:color="auto"/>
            <w:bottom w:val="none" w:sz="0" w:space="0" w:color="auto"/>
            <w:right w:val="none" w:sz="0" w:space="0" w:color="auto"/>
          </w:divBdr>
        </w:div>
        <w:div w:id="90391676">
          <w:marLeft w:val="0"/>
          <w:marRight w:val="0"/>
          <w:marTop w:val="0"/>
          <w:marBottom w:val="0"/>
          <w:divBdr>
            <w:top w:val="none" w:sz="0" w:space="0" w:color="auto"/>
            <w:left w:val="none" w:sz="0" w:space="0" w:color="auto"/>
            <w:bottom w:val="none" w:sz="0" w:space="0" w:color="auto"/>
            <w:right w:val="none" w:sz="0" w:space="0" w:color="auto"/>
          </w:divBdr>
        </w:div>
        <w:div w:id="1120605522">
          <w:marLeft w:val="0"/>
          <w:marRight w:val="0"/>
          <w:marTop w:val="0"/>
          <w:marBottom w:val="0"/>
          <w:divBdr>
            <w:top w:val="none" w:sz="0" w:space="0" w:color="auto"/>
            <w:left w:val="none" w:sz="0" w:space="0" w:color="auto"/>
            <w:bottom w:val="none" w:sz="0" w:space="0" w:color="auto"/>
            <w:right w:val="none" w:sz="0" w:space="0" w:color="auto"/>
          </w:divBdr>
        </w:div>
      </w:divsChild>
    </w:div>
    <w:div w:id="19159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CAF68802D98F40BE99E4460FACDAA9" ma:contentTypeVersion="10" ma:contentTypeDescription="Crear nuevo documento." ma:contentTypeScope="" ma:versionID="9c792ddcd5a4fb81a2b4cd2124489328">
  <xsd:schema xmlns:xsd="http://www.w3.org/2001/XMLSchema" xmlns:xs="http://www.w3.org/2001/XMLSchema" xmlns:p="http://schemas.microsoft.com/office/2006/metadata/properties" xmlns:ns2="2a8d23ff-2207-4c2e-b9a9-cbeffd4138e0" xmlns:ns3="8afc1157-fb52-4362-8f70-7b75e3773520" targetNamespace="http://schemas.microsoft.com/office/2006/metadata/properties" ma:root="true" ma:fieldsID="8085cd87040cfcf691df9d173666c014" ns2:_="" ns3:_="">
    <xsd:import namespace="2a8d23ff-2207-4c2e-b9a9-cbeffd4138e0"/>
    <xsd:import namespace="8afc1157-fb52-4362-8f70-7b75e37735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entario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23ff-2207-4c2e-b9a9-cbeffd413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entarios" ma:index="11" nillable="true" ma:displayName="Comentarios" ma:format="Dropdown" ma:internalName="Comentarios">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c1157-fb52-4362-8f70-7b75e37735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f6a243-0cb9-4089-8a8e-e7f940bee2d2}" ma:internalName="TaxCatchAll" ma:showField="CatchAllData" ma:web="8afc1157-fb52-4362-8f70-7b75e3773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entarios xmlns="2a8d23ff-2207-4c2e-b9a9-cbeffd4138e0" xsi:nil="true"/>
    <TaxCatchAll xmlns="8afc1157-fb52-4362-8f70-7b75e3773520" xsi:nil="true"/>
    <lcf76f155ced4ddcb4097134ff3c332f xmlns="2a8d23ff-2207-4c2e-b9a9-cbeffd4138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68EB-CC2C-46AE-A03D-7EE89028D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d23ff-2207-4c2e-b9a9-cbeffd4138e0"/>
    <ds:schemaRef ds:uri="8afc1157-fb52-4362-8f70-7b75e3773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2158B-C567-4F63-830C-A63A158B0AF2}">
  <ds:schemaRefs>
    <ds:schemaRef ds:uri="http://schemas.microsoft.com/sharepoint/v3/contenttype/forms"/>
  </ds:schemaRefs>
</ds:datastoreItem>
</file>

<file path=customXml/itemProps3.xml><?xml version="1.0" encoding="utf-8"?>
<ds:datastoreItem xmlns:ds="http://schemas.openxmlformats.org/officeDocument/2006/customXml" ds:itemID="{7328631D-B0EE-4154-BE27-96D2615AEC33}">
  <ds:schemaRefs>
    <ds:schemaRef ds:uri="http://schemas.microsoft.com/office/2006/metadata/properties"/>
    <ds:schemaRef ds:uri="http://schemas.microsoft.com/office/infopath/2007/PartnerControls"/>
    <ds:schemaRef ds:uri="2a8d23ff-2207-4c2e-b9a9-cbeffd4138e0"/>
    <ds:schemaRef ds:uri="8afc1157-fb52-4362-8f70-7b75e3773520"/>
  </ds:schemaRefs>
</ds:datastoreItem>
</file>

<file path=customXml/itemProps4.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1872</TotalTime>
  <Pages>6</Pages>
  <Words>2366</Words>
  <Characters>13488</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LAURA ROMERO PIÑEIRO</cp:lastModifiedBy>
  <cp:revision>648</cp:revision>
  <cp:lastPrinted>2004-12-17T18:20:00Z</cp:lastPrinted>
  <dcterms:created xsi:type="dcterms:W3CDTF">2023-11-30T16:52:00Z</dcterms:created>
  <dcterms:modified xsi:type="dcterms:W3CDTF">2023-12-21T15:42:00Z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0x010100E4CAF68802D98F40BE99E4460FACDAA9</vt:lpwstr>
  </property>
  <property fmtid="{D5CDD505-2E9C-101B-9397-08002B2CF9AE}" pid="11" name="MediaServiceImageTags">
    <vt:lpwstr/>
  </property>
</Properties>
</file>