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07ED9110" w:rsidR="00DD3D9E" w:rsidRPr="00683B8A" w:rsidRDefault="00683B8A">
      <w:pPr>
        <w:pStyle w:val="Els-Title"/>
        <w:rPr>
          <w:lang w:eastAsia="ko-KR"/>
        </w:rPr>
      </w:pPr>
      <w:r w:rsidRPr="007E0551">
        <w:rPr>
          <w:lang w:eastAsia="ko-KR"/>
        </w:rPr>
        <w:t xml:space="preserve">Enhanced Ammonia Cracking </w:t>
      </w:r>
      <w:r>
        <w:rPr>
          <w:lang w:eastAsia="ko-KR"/>
        </w:rPr>
        <w:t xml:space="preserve">Process </w:t>
      </w:r>
      <w:r w:rsidRPr="007E0551">
        <w:rPr>
          <w:lang w:eastAsia="ko-KR"/>
        </w:rPr>
        <w:t>via Induction Heating for Green Hydrogen Production: A Comprehensive Techno-Economic and Environmental Analysis</w:t>
      </w:r>
    </w:p>
    <w:p w14:paraId="144DE680" w14:textId="414AB2EE" w:rsidR="00DD3D9E" w:rsidRDefault="00683B8A">
      <w:pPr>
        <w:pStyle w:val="Els-Author"/>
      </w:pPr>
      <w:r>
        <w:rPr>
          <w:lang w:eastAsia="ko-KR"/>
        </w:rPr>
        <w:t>Seunggwan Y</w:t>
      </w:r>
      <w:r w:rsidR="00B2778E">
        <w:rPr>
          <w:lang w:eastAsia="ko-KR"/>
        </w:rPr>
        <w:t>un</w:t>
      </w:r>
      <w:r w:rsidRPr="00883A4E">
        <w:rPr>
          <w:vertAlign w:val="superscript"/>
          <w:lang w:eastAsia="ko-KR"/>
        </w:rPr>
        <w:t>a,</w:t>
      </w:r>
      <w:r>
        <w:rPr>
          <w:vertAlign w:val="superscript"/>
          <w:lang w:eastAsia="ko-KR"/>
        </w:rPr>
        <w:t>c</w:t>
      </w:r>
      <w:r w:rsidRPr="00D7366A">
        <w:rPr>
          <w:rFonts w:eastAsia="MS Mincho"/>
          <w:noProof w:val="0"/>
          <w:vertAlign w:val="superscript"/>
          <w:lang w:val="en-US" w:eastAsia="ja-JP"/>
        </w:rPr>
        <w:t>§</w:t>
      </w:r>
      <w:r w:rsidRPr="00E40E2C">
        <w:rPr>
          <w:rFonts w:eastAsia="MS Mincho"/>
          <w:noProof w:val="0"/>
          <w:lang w:val="en-US" w:eastAsia="ja-JP"/>
        </w:rPr>
        <w:t>,</w:t>
      </w:r>
      <w:r>
        <w:rPr>
          <w:lang w:eastAsia="ko-KR"/>
        </w:rPr>
        <w:t xml:space="preserve"> Junhyuk L</w:t>
      </w:r>
      <w:r w:rsidR="00B2778E">
        <w:rPr>
          <w:lang w:eastAsia="ko-KR"/>
        </w:rPr>
        <w:t>im</w:t>
      </w:r>
      <w:r w:rsidRPr="00883A4E">
        <w:rPr>
          <w:vertAlign w:val="superscript"/>
          <w:lang w:eastAsia="ko-KR"/>
        </w:rPr>
        <w:t>a,</w:t>
      </w:r>
      <w:r>
        <w:rPr>
          <w:vertAlign w:val="superscript"/>
          <w:lang w:eastAsia="ko-KR"/>
        </w:rPr>
        <w:t>b</w:t>
      </w:r>
      <w:r w:rsidRPr="00D7366A">
        <w:rPr>
          <w:rFonts w:eastAsia="MS Mincho"/>
          <w:noProof w:val="0"/>
          <w:vertAlign w:val="superscript"/>
          <w:lang w:val="en-US" w:eastAsia="ja-JP"/>
        </w:rPr>
        <w:t>§</w:t>
      </w:r>
      <w:r w:rsidRPr="00EF2D97">
        <w:rPr>
          <w:rFonts w:eastAsia="MS Mincho"/>
          <w:noProof w:val="0"/>
          <w:lang w:val="en-US" w:eastAsia="ja-JP"/>
        </w:rPr>
        <w:t>,</w:t>
      </w:r>
      <w:r>
        <w:rPr>
          <w:lang w:eastAsia="ko-KR"/>
        </w:rPr>
        <w:t xml:space="preserve"> Junghwan K</w:t>
      </w:r>
      <w:r w:rsidR="00B2778E">
        <w:rPr>
          <w:lang w:eastAsia="ko-KR"/>
        </w:rPr>
        <w:t>im</w:t>
      </w:r>
      <w:r>
        <w:rPr>
          <w:vertAlign w:val="superscript"/>
          <w:lang w:eastAsia="ko-KR"/>
        </w:rPr>
        <w:t>c</w:t>
      </w:r>
      <w:r w:rsidRPr="00EF2D97">
        <w:rPr>
          <w:rFonts w:eastAsia="MS Mincho"/>
          <w:noProof w:val="0"/>
          <w:lang w:val="en-US" w:eastAsia="ja-JP"/>
        </w:rPr>
        <w:t>,</w:t>
      </w:r>
      <w:r w:rsidRPr="00333529">
        <w:rPr>
          <w:lang w:eastAsia="ko-KR"/>
        </w:rPr>
        <w:t xml:space="preserve"> </w:t>
      </w:r>
      <w:r>
        <w:rPr>
          <w:lang w:eastAsia="ko-KR"/>
        </w:rPr>
        <w:t>Hyungtae C</w:t>
      </w:r>
      <w:r w:rsidR="00B2778E">
        <w:rPr>
          <w:lang w:eastAsia="ko-KR"/>
        </w:rPr>
        <w:t>ho</w:t>
      </w:r>
      <w:r w:rsidRPr="004739D3">
        <w:rPr>
          <w:vertAlign w:val="superscript"/>
          <w:lang w:eastAsia="ko-KR"/>
        </w:rPr>
        <w:t>a</w:t>
      </w:r>
      <w:r w:rsidRPr="00EF2D97">
        <w:rPr>
          <w:rFonts w:eastAsia="MS Mincho"/>
          <w:noProof w:val="0"/>
          <w:lang w:val="en-US" w:eastAsia="ja-JP"/>
        </w:rPr>
        <w:t>,</w:t>
      </w:r>
      <w:r>
        <w:rPr>
          <w:lang w:eastAsia="ko-KR"/>
        </w:rPr>
        <w:t xml:space="preserve"> Jaewon L</w:t>
      </w:r>
      <w:r w:rsidR="00B2778E">
        <w:rPr>
          <w:lang w:eastAsia="ko-KR"/>
        </w:rPr>
        <w:t>ee</w:t>
      </w:r>
      <w:bookmarkStart w:id="0" w:name="_GoBack"/>
      <w:bookmarkEnd w:id="0"/>
      <w:r w:rsidRPr="004739D3">
        <w:rPr>
          <w:vertAlign w:val="superscript"/>
          <w:lang w:eastAsia="ko-KR"/>
        </w:rPr>
        <w:t>a</w:t>
      </w:r>
      <w:r>
        <w:rPr>
          <w:vertAlign w:val="superscript"/>
          <w:lang w:eastAsia="ko-KR"/>
        </w:rPr>
        <w:t>*</w:t>
      </w:r>
    </w:p>
    <w:p w14:paraId="43221200" w14:textId="662B7337" w:rsidR="00683B8A" w:rsidRDefault="00683B8A" w:rsidP="00683B8A">
      <w:pPr>
        <w:pStyle w:val="Els-Affiliation"/>
      </w:pPr>
      <w:r w:rsidRPr="00F61FFE">
        <w:rPr>
          <w:vertAlign w:val="superscript"/>
        </w:rPr>
        <w:t>a</w:t>
      </w:r>
      <w:r>
        <w:t>Green Materials and Processes R&amp;D Group, Korea Institute of Industrial Technology, 55, Jonga-ro, Ulsan, 44413, Korea</w:t>
      </w:r>
    </w:p>
    <w:p w14:paraId="0D195F59" w14:textId="77777777" w:rsidR="00683B8A" w:rsidRDefault="00683B8A" w:rsidP="00683B8A">
      <w:pPr>
        <w:pStyle w:val="Els-Affiliation"/>
      </w:pPr>
      <w:r w:rsidRPr="005B7438">
        <w:rPr>
          <w:vertAlign w:val="superscript"/>
        </w:rPr>
        <w:t>b</w:t>
      </w:r>
      <w:r w:rsidRPr="005B7438">
        <w:t xml:space="preserve">Department of </w:t>
      </w:r>
      <w:r>
        <w:t>Chemical engineering</w:t>
      </w:r>
      <w:r w:rsidRPr="005B7438">
        <w:t xml:space="preserve"> Engineering, Hongik University, 94, Wausan-ro,</w:t>
      </w:r>
      <w:r>
        <w:t xml:space="preserve"> </w:t>
      </w:r>
      <w:r w:rsidRPr="005B7438">
        <w:t xml:space="preserve"> Seoul, 04066</w:t>
      </w:r>
      <w:r>
        <w:t xml:space="preserve">, </w:t>
      </w:r>
      <w:r w:rsidRPr="005B7438">
        <w:t>Korea</w:t>
      </w:r>
    </w:p>
    <w:p w14:paraId="216B888A" w14:textId="77777777" w:rsidR="00683B8A" w:rsidRPr="005B7438" w:rsidRDefault="00683B8A" w:rsidP="00683B8A">
      <w:pPr>
        <w:pStyle w:val="Els-Affiliation"/>
      </w:pPr>
      <w:r>
        <w:rPr>
          <w:vertAlign w:val="superscript"/>
          <w:lang w:val="en-US"/>
        </w:rPr>
        <w:t>c</w:t>
      </w:r>
      <w:r>
        <w:rPr>
          <w:rFonts w:hint="eastAsia"/>
          <w:lang w:val="en-US" w:eastAsia="ko-KR"/>
        </w:rPr>
        <w:t>D</w:t>
      </w:r>
      <w:r>
        <w:rPr>
          <w:lang w:val="en-US" w:eastAsia="ko-KR"/>
        </w:rPr>
        <w:t>epartment of C</w:t>
      </w:r>
      <w:r w:rsidRPr="0059486E">
        <w:rPr>
          <w:lang w:val="en-US"/>
        </w:rPr>
        <w:t>hemical and Biomolecular Engineering, Yonsei University, 50, Yensei-ro, Seoul, 03722, Korea</w:t>
      </w:r>
    </w:p>
    <w:p w14:paraId="3561DA3E" w14:textId="77777777" w:rsidR="00683B8A" w:rsidRDefault="00683B8A" w:rsidP="00683B8A">
      <w:pPr>
        <w:pStyle w:val="Els-Affiliation"/>
        <w:rPr>
          <w:lang w:val="en-US"/>
        </w:rPr>
      </w:pPr>
    </w:p>
    <w:p w14:paraId="05FE5AA3" w14:textId="77777777" w:rsidR="00683B8A" w:rsidRPr="003E7F89" w:rsidRDefault="00683B8A" w:rsidP="00683B8A">
      <w:pPr>
        <w:pStyle w:val="Els-Affiliation"/>
        <w:spacing w:after="120"/>
      </w:pPr>
      <w:r w:rsidRPr="00D7366A">
        <w:rPr>
          <w:rFonts w:eastAsia="MS Mincho"/>
          <w:noProof w:val="0"/>
          <w:vertAlign w:val="superscript"/>
          <w:lang w:val="en-US" w:eastAsia="ja-JP"/>
        </w:rPr>
        <w:t>§</w:t>
      </w:r>
      <w:r>
        <w:rPr>
          <w:rFonts w:eastAsia="MS Mincho"/>
          <w:noProof w:val="0"/>
          <w:lang w:val="en-US" w:eastAsia="ja-JP"/>
        </w:rPr>
        <w:t>Yun S</w:t>
      </w:r>
      <w:r w:rsidRPr="00D7366A">
        <w:rPr>
          <w:rFonts w:eastAsia="MS Mincho"/>
          <w:noProof w:val="0"/>
          <w:lang w:val="en-US" w:eastAsia="ja-JP"/>
        </w:rPr>
        <w:t xml:space="preserve">. and </w:t>
      </w:r>
      <w:r>
        <w:rPr>
          <w:rFonts w:eastAsia="MS Mincho"/>
          <w:noProof w:val="0"/>
          <w:lang w:val="en-US" w:eastAsia="ja-JP"/>
        </w:rPr>
        <w:t>Lim J</w:t>
      </w:r>
      <w:r w:rsidRPr="00D7366A">
        <w:rPr>
          <w:rFonts w:eastAsia="MS Mincho"/>
          <w:noProof w:val="0"/>
          <w:lang w:val="en-US" w:eastAsia="ja-JP"/>
        </w:rPr>
        <w:t>. contributed equally to this work as first authors.</w:t>
      </w:r>
    </w:p>
    <w:p w14:paraId="144DE683" w14:textId="3E693BE4" w:rsidR="008D2649" w:rsidRPr="00A94774" w:rsidRDefault="00683B8A" w:rsidP="00683B8A">
      <w:pPr>
        <w:pStyle w:val="Els-Affiliation"/>
        <w:spacing w:after="120"/>
      </w:pPr>
      <w:r w:rsidRPr="00E40E2C">
        <w:rPr>
          <w:vertAlign w:val="superscript"/>
        </w:rPr>
        <w:t>*</w:t>
      </w:r>
      <w:r>
        <w:t xml:space="preserve">Coressponding author: </w:t>
      </w:r>
      <w:hyperlink r:id="rId8" w:history="1"/>
      <w:r>
        <w:t>j.lee@kitech.re.kr</w:t>
      </w:r>
    </w:p>
    <w:p w14:paraId="144DE684" w14:textId="77777777" w:rsidR="008D2649" w:rsidRDefault="008D2649" w:rsidP="008D2649">
      <w:pPr>
        <w:pStyle w:val="Els-Abstract"/>
      </w:pPr>
      <w:r>
        <w:t>Abstract</w:t>
      </w:r>
    </w:p>
    <w:p w14:paraId="2DC65EFB" w14:textId="7531A1B3" w:rsidR="00683B8A" w:rsidRPr="00AA6C99" w:rsidRDefault="00683B8A" w:rsidP="00683B8A">
      <w:pPr>
        <w:pStyle w:val="Els-body-text"/>
        <w:spacing w:after="120"/>
        <w:rPr>
          <w:lang w:val="en-GB"/>
        </w:rPr>
      </w:pPr>
      <w:r w:rsidRPr="00683B8A">
        <w:rPr>
          <w:rFonts w:hint="eastAsia"/>
          <w:lang w:val="en-GB"/>
        </w:rPr>
        <w:t>Ammonia has been highlighted as a potential liquid organic hydrogen carrier (LOHC) because of its high gravimetric density (17.7wt%) and low boiling point (-33.3</w:t>
      </w:r>
      <w:r w:rsidR="002F39A0">
        <w:rPr>
          <w:rFonts w:asciiTheme="minorEastAsia" w:hAnsiTheme="minorEastAsia" w:hint="eastAsia"/>
          <w:lang w:val="en-GB"/>
        </w:rPr>
        <w:t>°</w:t>
      </w:r>
      <w:r w:rsidR="002F39A0">
        <w:rPr>
          <w:rFonts w:hint="eastAsia"/>
          <w:lang w:val="en-GB" w:eastAsia="ko-KR"/>
        </w:rPr>
        <w:t>C</w:t>
      </w:r>
      <w:r w:rsidRPr="00683B8A">
        <w:rPr>
          <w:rFonts w:hint="eastAsia"/>
          <w:lang w:val="en-GB"/>
        </w:rPr>
        <w:t xml:space="preserve"> at 1atm)</w:t>
      </w:r>
      <w:r w:rsidR="002F39A0">
        <w:rPr>
          <w:lang w:val="en-GB"/>
        </w:rPr>
        <w:fldChar w:fldCharType="begin" w:fldLock="1"/>
      </w:r>
      <w:r w:rsidR="002F39A0">
        <w:rPr>
          <w:lang w:val="en-GB"/>
        </w:rPr>
        <w:instrText>ADDIN CSL_CITATION {"citationItems":[{"id":"ITEM-1","itemData":{"DOI":"10.1787/a15b8442-en","abstract":"A key barrier for low-carbon hydrogen is the cost gap with hydrogen from unabated fossil fuels. At present, producing hydrogen from fossil fuels is the cheapest option in most parts of the world. Depending on regional gas prices, the levelised cost of hydrogen production from natural gas ranges from USD 0.5 to USD 1.7 per kilogramme (kg). Using CCUS technologies to reduce the CO2 emissions from hydrogen production increases the levelised cost of production to around USD 1 to USD 2 per kg. Using renewable electricity to produce hydrogen costs USD 3 to USD 8 per kg. There is significant scope for cutting production costs through technology innovation and increased deployment. The potential is reflected in the IEA’s Net Zero Emissions by 2050 Scenario (NZE Scenario) in which hydrogen from renewables falls to as low as USD 1.3 per kg by 2030 in regions with excellent renewable resources (range USD 1.3-3.5 per kg), comparable with the cost of hydrogen from natural gas with CCUS. In the longer term, hydrogen costs from renewable electricity fall as low as USD 1 per kg (range USD 1.0-3.0 per kg) in the NZE Scenario, making hydrogen from solar PV cost-competitive with hydrogen from natural gas even without CCUS in several regions.","container-title":"Global Hydrogen Review 2022","id":"ITEM-1","issued":{"date-parts":[["2022"]]},"title":"Global Hydrogen Review 2022","type":"article-journal"},"uris":["http://www.mendeley.com/documents/?uuid=1b567b8f-c81e-4397-9fd4-4b33aa2a3004"]},{"id":"ITEM-2","itemData":{"DOI":"10.1016/j.cej.2022.141203","ISSN":"13858947","abstract":"This study presents an induction heating-based reactor for ammonia decomposition and to achieve a 150 Nm3/h carbon-free green hydrogen production process. The developed metallic monolith reactor acts by increasing the reactor temperature through an electromagnetic induction method using renewable-based electricity. As a result, hydrogen is produced without the generation of air pollutants such as CO2, which are formed via the conventional production pathway. Furthermore, techno-economic analysis was conducted based on exergy and economic analysis to evaluate the feasibility of the developed process.</w:instrText>
      </w:r>
      <w:r w:rsidR="002F39A0">
        <w:rPr>
          <w:rFonts w:hint="eastAsia"/>
          <w:lang w:val="en-GB"/>
        </w:rPr>
        <w:instrText xml:space="preserve"> Experimentally, the proposed reactor showed an ammonia conversion of 90.0 % at 600 </w:instrText>
      </w:r>
      <w:r w:rsidR="002F39A0">
        <w:rPr>
          <w:rFonts w:hint="eastAsia"/>
          <w:lang w:val="en-GB"/>
        </w:rPr>
        <w:instrText>℃</w:instrText>
      </w:r>
      <w:r w:rsidR="002F39A0">
        <w:rPr>
          <w:rFonts w:hint="eastAsia"/>
          <w:lang w:val="en-GB"/>
        </w:rPr>
        <w:instrText xml:space="preserve"> and 7 barg. Exergy analysis indicated that the total unused exergy accounted for 45.79 % of the total exergy input, giving an exergy efficiency of 54.21 % for the overal</w:instrText>
      </w:r>
      <w:r w:rsidR="002F39A0">
        <w:rPr>
          <w:lang w:val="en-GB"/>
        </w:rPr>
        <w:instrText>l process. Furthermore, the CAPEX and OPEX values are calculated as 1,599,567 USD and 644,719 USD/y, respectively; therefore, the levelized cost of hydrogen (LCOH) was calculated to be 6.98 USD/kgH2. This study also demonstrated that the LCOH varies with the ammonia feed price and the process capacity, and so it would be expected to decrease from 6.98 to 5.33 USD/kgH2 as the hydrogen production capacity is increased from 150 to 500 Nm3/h. Overall, our results confirm the feasibility of carbon-free green hydrogen production on on-site hydrogen refueling stations, and they will be expected to advance the development of an environmental hydrogen economy.","author":[{"dropping-particle":"","family":"Lee","given":"Jaewon","non-dropping-particle":"","parse-names":false,"suffix":""},{"dropping-particle":"","family":"Ga","given":"Seongbin","non-dropping-particle":"","parse-names":false,"suffix":""},{"dropping-particle":"","family":"Lim","given":"Dongha","non-dropping-particle":"","parse-names":false,"suffix":""},{"dropping-particle":"","family":"Lee","given":"Seongchan","non-dropping-particle":"","parse-names":false,"suffix":""},{"dropping-particle":"","family":"Cho","given":"Hyungtae","non-dropping-particle":"","parse-names":false,"suffix":""},{"dropping-particle":"","family":"Kim","given":"Junghwan","non-dropping-particle":"","parse-names":false,"suffix":""}],"container-title":"Chemical Engineering Journal","id":"ITEM-2","issue":"August 2022","issued":{"date-parts":[["2023"]]},"page":"141203","publisher":"Elsevier B.V.","title":"Carbon-free green hydrogen production process with induction heating-based ammonia decomposition reactor","type":"article-journal","volume":"457"},"uris":["http://www.mendeley.com/documents/?uuid=9ee95817-1a1c-49e6-8572-02bc9c29aa0a"]}],"mendeley":{"formattedCitation":"(“Glob. Hydrog. Rev. 2022,” 2022; Lee et al., 2023)","plainTextFormattedCitation":"(“Glob. Hydrog. Rev. 2022,” 2022; Lee et al., 2023)"},"properties":{"noteIndex":0},"schema":"https://github.com/citation-style-language/schema/raw/master/csl-citation.json"}</w:instrText>
      </w:r>
      <w:r w:rsidR="002F39A0">
        <w:rPr>
          <w:lang w:val="en-GB"/>
        </w:rPr>
        <w:fldChar w:fldCharType="separate"/>
      </w:r>
      <w:r w:rsidR="002F39A0" w:rsidRPr="002F39A0">
        <w:rPr>
          <w:noProof/>
          <w:lang w:val="en-GB"/>
        </w:rPr>
        <w:t>(“Glob. Hydrog. Rev. 2022,” 2022; Lee et al., 2023)</w:t>
      </w:r>
      <w:r w:rsidR="002F39A0">
        <w:rPr>
          <w:lang w:val="en-GB"/>
        </w:rPr>
        <w:fldChar w:fldCharType="end"/>
      </w:r>
      <w:r w:rsidRPr="00683B8A">
        <w:rPr>
          <w:rFonts w:hint="eastAsia"/>
          <w:lang w:val="en-GB"/>
        </w:rPr>
        <w:t>. Hydrogen transported in the form</w:t>
      </w:r>
      <w:r w:rsidRPr="00683B8A">
        <w:rPr>
          <w:lang w:val="en-GB"/>
        </w:rPr>
        <w:t xml:space="preserve"> of ammonia undergoes conversion into hydrogen through an ammonia decomposition process. Among the ammonia decomposition processes, the induction heating-based process has the </w:t>
      </w:r>
      <w:r w:rsidRPr="00AA6C99">
        <w:rPr>
          <w:lang w:val="en-GB"/>
        </w:rPr>
        <w:t xml:space="preserve">advantage of achieving </w:t>
      </w:r>
      <w:r w:rsidR="00DC3596" w:rsidRPr="00AA6C99">
        <w:rPr>
          <w:lang w:val="en-GB"/>
        </w:rPr>
        <w:t xml:space="preserve">the </w:t>
      </w:r>
      <w:r w:rsidRPr="00AA6C99">
        <w:rPr>
          <w:lang w:val="en-GB"/>
        </w:rPr>
        <w:t xml:space="preserve">ultimate goal of green hydrogen production when utilizing renewable energy sources. However, in the existing induction heating-based ammonia decomposition process, 1.65 </w:t>
      </w:r>
      <w:proofErr w:type="spellStart"/>
      <w:r w:rsidRPr="00AA6C99">
        <w:rPr>
          <w:lang w:val="en-GB"/>
        </w:rPr>
        <w:t>kmol</w:t>
      </w:r>
      <w:proofErr w:type="spellEnd"/>
      <w:r w:rsidRPr="00AA6C99">
        <w:rPr>
          <w:lang w:val="en-GB"/>
        </w:rPr>
        <w:t xml:space="preserve">/h of hydrogen out of the produced 8.25 </w:t>
      </w:r>
      <w:proofErr w:type="spellStart"/>
      <w:r w:rsidRPr="00AA6C99">
        <w:rPr>
          <w:lang w:val="en-GB"/>
        </w:rPr>
        <w:t>kmol</w:t>
      </w:r>
      <w:proofErr w:type="spellEnd"/>
      <w:r w:rsidRPr="00AA6C99">
        <w:rPr>
          <w:lang w:val="en-GB"/>
        </w:rPr>
        <w:t>/h was discarded as PSA off-gas during the purification. This study aims to utilize the discarded hydrogen in the off-gas to enhance the economic feasibility, energy efficiency, and GHG emissions of the induction heating-based ammonia decomposition process. The off-gas consists of 37.5% hydrogen and 62.5% nitrogen. With its high hydrogen content and the inert property of nitrogen, the off-gas can be effectively utilized through methods using</w:t>
      </w:r>
      <w:r w:rsidR="00DC3596" w:rsidRPr="00AA6C99">
        <w:rPr>
          <w:lang w:val="en-GB"/>
        </w:rPr>
        <w:t xml:space="preserve"> an</w:t>
      </w:r>
      <w:r w:rsidRPr="00AA6C99">
        <w:rPr>
          <w:lang w:val="en-GB"/>
        </w:rPr>
        <w:t xml:space="preserve"> additional unit such as fuel cells, </w:t>
      </w:r>
      <w:r w:rsidR="00DC3596" w:rsidRPr="00AA6C99">
        <w:rPr>
          <w:lang w:val="en-GB"/>
        </w:rPr>
        <w:t xml:space="preserve">a </w:t>
      </w:r>
      <w:r w:rsidRPr="00AA6C99">
        <w:rPr>
          <w:lang w:val="en-GB"/>
        </w:rPr>
        <w:t xml:space="preserve">burner, </w:t>
      </w:r>
      <w:r w:rsidR="00DC3596" w:rsidRPr="00AA6C99">
        <w:rPr>
          <w:lang w:val="en-GB"/>
        </w:rPr>
        <w:t xml:space="preserve">or a </w:t>
      </w:r>
      <w:r w:rsidRPr="00AA6C99">
        <w:rPr>
          <w:lang w:val="en-GB"/>
        </w:rPr>
        <w:t>purification unit.</w:t>
      </w:r>
    </w:p>
    <w:p w14:paraId="144DE686" w14:textId="0C4DB861" w:rsidR="008D2649" w:rsidRDefault="00683B8A" w:rsidP="00683B8A">
      <w:pPr>
        <w:pStyle w:val="Els-body-text"/>
        <w:spacing w:after="120"/>
        <w:rPr>
          <w:lang w:val="en-GB"/>
        </w:rPr>
      </w:pPr>
      <w:r w:rsidRPr="00AA6C99">
        <w:rPr>
          <w:lang w:val="en-GB"/>
        </w:rPr>
        <w:t xml:space="preserve">In this study, a case study was conducted by utilizing these methods. In the process with fuel cells, the SOFC and PEMFC were used to generate additional power from the off-gas hydrogen. Consequently, a portion of the power consumed in the induction heating reactor can be generated by the fuel cells. In the case of combusting the off-gas, only water and nitrogen are generated as emissions, and the generated heat is utilized for ammonia preheating, reducing the power load on the induction heating reactor. In the case of employing additional purification unit, the hydrogen recovery rate is increased to enable the production of a greater quantity of hydrogen. For each of these cases, we conducted </w:t>
      </w:r>
      <w:r w:rsidR="00DC3596" w:rsidRPr="00AA6C99">
        <w:rPr>
          <w:lang w:val="en-GB"/>
        </w:rPr>
        <w:t xml:space="preserve">a </w:t>
      </w:r>
      <w:r w:rsidRPr="00AA6C99">
        <w:rPr>
          <w:lang w:val="en-GB"/>
        </w:rPr>
        <w:t xml:space="preserve">technoeconomic analysis (TEA) and </w:t>
      </w:r>
      <w:r w:rsidR="00DC3596" w:rsidRPr="00AA6C99">
        <w:rPr>
          <w:lang w:val="en-GB"/>
        </w:rPr>
        <w:t xml:space="preserve">a </w:t>
      </w:r>
      <w:r w:rsidRPr="00AA6C99">
        <w:rPr>
          <w:lang w:val="en-GB"/>
        </w:rPr>
        <w:t xml:space="preserve">Life cycle assessment (LCA). As a result, the performance of the proposed processes has been improved </w:t>
      </w:r>
      <w:r w:rsidRPr="00683B8A">
        <w:rPr>
          <w:lang w:val="en-GB"/>
        </w:rPr>
        <w:t xml:space="preserve">in above fields </w:t>
      </w:r>
      <w:r w:rsidRPr="00683B8A">
        <w:rPr>
          <w:lang w:val="en-GB"/>
        </w:rPr>
        <w:lastRenderedPageBreak/>
        <w:t>compared to the existing induction heating-based ammonia decomposition process. This study is expected to provide valuable insights for proposing improvements in the ammonia-based hydrogen production processes.</w:t>
      </w:r>
    </w:p>
    <w:p w14:paraId="144DE687" w14:textId="4FDAC331" w:rsidR="008D2649" w:rsidRDefault="008D2649" w:rsidP="008D2649">
      <w:pPr>
        <w:pStyle w:val="Els-body-text"/>
        <w:spacing w:after="120"/>
        <w:rPr>
          <w:lang w:val="en-GB"/>
        </w:rPr>
      </w:pPr>
      <w:r>
        <w:rPr>
          <w:b/>
          <w:bCs/>
          <w:lang w:val="en-GB"/>
        </w:rPr>
        <w:t>Keywords</w:t>
      </w:r>
      <w:r>
        <w:rPr>
          <w:lang w:val="en-GB"/>
        </w:rPr>
        <w:t xml:space="preserve">: </w:t>
      </w:r>
      <w:r w:rsidR="00683B8A">
        <w:t>green hydrogen, ammonia decomposition, induction heating reactor, fuel cell</w:t>
      </w:r>
    </w:p>
    <w:p w14:paraId="144DE689" w14:textId="7705F83E" w:rsidR="008D2649" w:rsidRDefault="00683B8A" w:rsidP="008D2649">
      <w:pPr>
        <w:pStyle w:val="Els-1storder-head"/>
      </w:pPr>
      <w:r>
        <w:rPr>
          <w:lang w:eastAsia="ko-KR"/>
        </w:rPr>
        <w:t>Introduction</w:t>
      </w:r>
    </w:p>
    <w:p w14:paraId="5E8924CC" w14:textId="4CA5C649" w:rsidR="00683B8A" w:rsidRDefault="00683B8A" w:rsidP="00683B8A">
      <w:pPr>
        <w:pStyle w:val="Els-body-text"/>
        <w:ind w:firstLineChars="50" w:firstLine="100"/>
        <w:rPr>
          <w:lang w:eastAsia="ko-KR"/>
        </w:rPr>
      </w:pPr>
      <w:r>
        <w:rPr>
          <w:lang w:eastAsia="ko-KR"/>
        </w:rPr>
        <w:t xml:space="preserve">As the arising importance of carbon neutrality and clean energy sources, hydrogen has gained significant attention as a clean fuel </w:t>
      </w:r>
      <w:r>
        <w:rPr>
          <w:lang w:eastAsia="ko-KR"/>
        </w:rPr>
        <w:fldChar w:fldCharType="begin" w:fldLock="1"/>
      </w:r>
      <w:r>
        <w:rPr>
          <w:lang w:eastAsia="ko-KR"/>
        </w:rPr>
        <w:instrText>ADDIN CSL_CITATION {"citationItems":[{"id":"ITEM-1","itemData":{"DOI":"10.1016/j.cej.2022.141203","ISSN":"13858947","abstract":"This study presents an induction heating-based reactor for ammonia decomposition and to achieve a 150 Nm3/h carbon-free green hydrogen production process. The developed metallic monolith reactor acts by increasing the reactor temperature through an electromagnetic induction method using renewable-based electricity. As a result, hydrogen is produced without the generation of air pollutants such as CO2, which are formed via the conventional production pathway. Furthermore, techno-economic analysis was conducted based on exergy and economic analysis to evaluate the feasibility of the developed process. Experimentally, the proposed r</w:instrText>
      </w:r>
      <w:r>
        <w:rPr>
          <w:rFonts w:hint="eastAsia"/>
          <w:lang w:eastAsia="ko-KR"/>
        </w:rPr>
        <w:instrText xml:space="preserve">eactor showed an ammonia conversion of 90.0 % at 600 </w:instrText>
      </w:r>
      <w:r>
        <w:rPr>
          <w:rFonts w:hint="eastAsia"/>
          <w:lang w:eastAsia="ko-KR"/>
        </w:rPr>
        <w:instrText>℃</w:instrText>
      </w:r>
      <w:r>
        <w:rPr>
          <w:rFonts w:hint="eastAsia"/>
          <w:lang w:eastAsia="ko-KR"/>
        </w:rPr>
        <w:instrText xml:space="preserve"> and 7 barg. Exergy analysis indicated that the total unused exergy accounted for 45.79 % of the total exergy input, giving an exergy efficiency of 54.21 % for the overall process. Furthermore, the CAP</w:instrText>
      </w:r>
      <w:r>
        <w:rPr>
          <w:lang w:eastAsia="ko-KR"/>
        </w:rPr>
        <w:instrText>EX and OPEX values are calculated as 1,599,567 USD and 644,719 USD/y, respectively; therefore, the levelized cost of hydrogen (LCOH) was calculated to be 6.98 USD/kgH2. This study also demonstrated that the LCOH varies with the ammonia feed price and the process capacity, and so it would be expected to decrease from 6.98 to 5.33 USD/kgH2 as the hydrogen production capacity is increased from 150 to 500 Nm3/h. Overall, our results confirm the feasibility of carbon-free green hydrogen production on on-site hydrogen refueling stations, and they will be expected to advance the development of an environmental hydrogen economy.","author":[{"dropping-particle":"","family":"Lee","given":"Jaewon","non-dropping-particle":"","parse-names":false,"suffix":""},{"dropping-particle":"","family":"Ga","given":"Seongbin","non-dropping-particle":"","parse-names":false,"suffix":""},{"dropping-particle":"","family":"Lim","given":"Dongha","non-dropping-particle":"","parse-names":false,"suffix":""},{"dropping-particle":"","family":"Lee","given":"Seongchan","non-dropping-particle":"","parse-names":false,"suffix":""},{"dropping-particle":"","family":"Cho","given":"Hyungtae","non-dropping-particle":"","parse-names":false,"suffix":""},{"dropping-particle":"","family":"Kim","given":"Junghwan","non-dropping-particle":"","parse-names":false,"suffix":""}],"container-title":"Chemical Engineering Journal","id":"ITEM-1","issue":"August 2022","issued":{"date-parts":[["2023"]]},"page":"141203","publisher":"Elsevier B.V.","title":"Carbon-free green hydrogen production process with induction heating-based ammonia decomposition reactor","type":"article-journal","volume":"457"},"uris":["http://www.mendeley.com/documents/?uuid=9ee95817-1a1c-49e6-8572-02bc9c29aa0a"]}],"mendeley":{"formattedCitation":"(Lee et al., 2023)","plainTextFormattedCitation":"(Lee et al., 2023)","previouslyFormattedCitation":"(Lee et al., 2023)"},"properties":{"noteIndex":0},"schema":"https://github.com/citation-style-language/schema/raw/master/csl-citation.json"}</w:instrText>
      </w:r>
      <w:r>
        <w:rPr>
          <w:lang w:eastAsia="ko-KR"/>
        </w:rPr>
        <w:fldChar w:fldCharType="separate"/>
      </w:r>
      <w:r w:rsidRPr="00575595">
        <w:rPr>
          <w:noProof/>
          <w:lang w:eastAsia="ko-KR"/>
        </w:rPr>
        <w:t>(Lee et al., 2023)</w:t>
      </w:r>
      <w:r>
        <w:rPr>
          <w:lang w:eastAsia="ko-KR"/>
        </w:rPr>
        <w:fldChar w:fldCharType="end"/>
      </w:r>
      <w:r>
        <w:rPr>
          <w:lang w:eastAsia="ko-KR"/>
        </w:rPr>
        <w:t xml:space="preserve">. However, according to the International Energy Agency’s (IEA) 2022 Global Hydrogen Review, 99% of the world’s annual hydrogen production is derived from fossil fuels (with refineries contributing 18%, coal 19% and natural gas without CCUS 62%) </w:t>
      </w:r>
      <w:r>
        <w:rPr>
          <w:lang w:eastAsia="ko-KR"/>
        </w:rPr>
        <w:fldChar w:fldCharType="begin" w:fldLock="1"/>
      </w:r>
      <w:r>
        <w:rPr>
          <w:lang w:eastAsia="ko-KR"/>
        </w:rPr>
        <w:instrText>ADDIN CSL_CITATION {"citationItems":[{"id":"ITEM-1","itemData":{"DOI":"10.1787/a15b8442-en","abstract":"A key barrier for low-carbon hydrogen is the cost gap with hydrogen from unabated fossil fuels. At present, producing hydrogen from fossil fuels is the cheapest option in most parts of the world. Depending on regional gas prices, the levelised cost of hydrogen production from natural gas ranges from USD 0.5 to USD 1.7 per kilogramme (kg). Using CCUS technologies to reduce the CO2 emissions from hydrogen production increases the levelised cost of production to around USD 1 to USD 2 per kg. Using renewable electricity to produce hydrogen costs USD 3 to USD 8 per kg. There is significant scope for cutting production costs through technology innovation and increased deployment. The potential is reflected in the IEA’s Net Zero Emissions by 2050 Scenario (NZE Scenario) in which hydrogen from renewables falls to as low as USD 1.3 per kg by 2030 in regions with excellent renewable resources (range USD 1.3-3.5 per kg), comparable with the cost of hydrogen from natural gas with CCUS. In the longer term, hydrogen costs from renewable electricity fall as low as USD 1 per kg (range USD 1.0-3.0 per kg) in the NZE Scenario, making hydrogen from solar PV cost-competitive with hydrogen from natural gas even without CCUS in several regions.","container-title":"Global Hydrogen Review 2022","id":"ITEM-1","issued":{"date-parts":[["2022"]]},"title":"Global Hydrogen Review 2022","type":"article-journal"},"uris":["http://www.mendeley.com/documents/?uuid=1b567b8f-c81e-4397-9fd4-4b33aa2a3004"]}],"mendeley":{"formattedCitation":"(“Glob. Hydrog. Rev. 2022,” 2022)","plainTextFormattedCitation":"(“Glob. Hydrog. Rev. 2022,” 2022)","previouslyFormattedCitation":"(“Glob. Hydrog. Rev. 2022,” 2022)"},"properties":{"noteIndex":0},"schema":"https://github.com/citation-style-language/schema/raw/master/csl-citation.json"}</w:instrText>
      </w:r>
      <w:r>
        <w:rPr>
          <w:lang w:eastAsia="ko-KR"/>
        </w:rPr>
        <w:fldChar w:fldCharType="separate"/>
      </w:r>
      <w:r w:rsidRPr="00575595">
        <w:rPr>
          <w:noProof/>
          <w:lang w:eastAsia="ko-KR"/>
        </w:rPr>
        <w:t>(“Glob. Hydrog. Rev. 2022,” 2022)</w:t>
      </w:r>
      <w:r>
        <w:rPr>
          <w:lang w:eastAsia="ko-KR"/>
        </w:rPr>
        <w:fldChar w:fldCharType="end"/>
      </w:r>
      <w:r>
        <w:rPr>
          <w:lang w:eastAsia="ko-KR"/>
        </w:rPr>
        <w:t xml:space="preserve">. </w:t>
      </w:r>
      <w:r w:rsidRPr="006854FF">
        <w:rPr>
          <w:lang w:eastAsia="ko-KR"/>
        </w:rPr>
        <w:t>This raises substantial concerns regarding the CO</w:t>
      </w:r>
      <w:r w:rsidRPr="006854FF">
        <w:rPr>
          <w:vertAlign w:val="subscript"/>
          <w:lang w:eastAsia="ko-KR"/>
        </w:rPr>
        <w:t>2</w:t>
      </w:r>
      <w:r w:rsidRPr="006854FF">
        <w:rPr>
          <w:lang w:eastAsia="ko-KR"/>
        </w:rPr>
        <w:t xml:space="preserve"> emissions associated with hydrogen production, thereby elevating the significance of green hydrogen</w:t>
      </w:r>
      <w:r>
        <w:rPr>
          <w:lang w:eastAsia="ko-KR"/>
        </w:rPr>
        <w:t xml:space="preserve">. Green hydrogen is produced through renewable energy-powered electrolysis. </w:t>
      </w:r>
      <w:r w:rsidRPr="00D66E85">
        <w:rPr>
          <w:lang w:eastAsia="ko-KR"/>
        </w:rPr>
        <w:t xml:space="preserve">To effectively transition towards a cleaner energy paradigm, it is crucial not only to address hydrogen production but also to </w:t>
      </w:r>
      <w:r>
        <w:rPr>
          <w:lang w:eastAsia="ko-KR"/>
        </w:rPr>
        <w:t>conduct</w:t>
      </w:r>
      <w:r w:rsidRPr="00D66E85">
        <w:rPr>
          <w:lang w:eastAsia="ko-KR"/>
        </w:rPr>
        <w:t xml:space="preserve"> research focused on reducing CO</w:t>
      </w:r>
      <w:r w:rsidRPr="00D66E85">
        <w:rPr>
          <w:vertAlign w:val="subscript"/>
          <w:lang w:eastAsia="ko-KR"/>
        </w:rPr>
        <w:t>2</w:t>
      </w:r>
      <w:r w:rsidRPr="00D66E85">
        <w:rPr>
          <w:lang w:eastAsia="ko-KR"/>
        </w:rPr>
        <w:t xml:space="preserve"> emissions during transportation and decomposition processes.</w:t>
      </w:r>
    </w:p>
    <w:p w14:paraId="4E55977A" w14:textId="77777777" w:rsidR="00683B8A" w:rsidRDefault="00683B8A" w:rsidP="00683B8A">
      <w:pPr>
        <w:pStyle w:val="Els-body-text"/>
        <w:rPr>
          <w:lang w:eastAsia="ko-KR"/>
        </w:rPr>
      </w:pPr>
      <w:r>
        <w:rPr>
          <w:rFonts w:hint="eastAsia"/>
          <w:lang w:eastAsia="ko-KR"/>
        </w:rPr>
        <w:t xml:space="preserve"> </w:t>
      </w:r>
      <w:r>
        <w:rPr>
          <w:lang w:eastAsia="ko-KR"/>
        </w:rPr>
        <w:t xml:space="preserve">The primary carriers for hydrogen transportation are </w:t>
      </w:r>
      <w:r w:rsidRPr="00D66E85">
        <w:rPr>
          <w:lang w:eastAsia="ko-KR"/>
        </w:rPr>
        <w:t>liqu</w:t>
      </w:r>
      <w:r>
        <w:rPr>
          <w:lang w:eastAsia="ko-KR"/>
        </w:rPr>
        <w:t>i</w:t>
      </w:r>
      <w:r>
        <w:rPr>
          <w:rFonts w:hint="eastAsia"/>
          <w:lang w:eastAsia="ko-KR"/>
        </w:rPr>
        <w:t>fi</w:t>
      </w:r>
      <w:r>
        <w:rPr>
          <w:lang w:eastAsia="ko-KR"/>
        </w:rPr>
        <w:t>ed</w:t>
      </w:r>
      <w:r w:rsidRPr="00D66E85">
        <w:rPr>
          <w:lang w:eastAsia="ko-KR"/>
        </w:rPr>
        <w:t xml:space="preserve"> hydrogen</w:t>
      </w:r>
      <w:r>
        <w:rPr>
          <w:lang w:eastAsia="ko-KR"/>
        </w:rPr>
        <w:t xml:space="preserve"> (LH2)</w:t>
      </w:r>
      <w:r w:rsidRPr="00D66E85">
        <w:rPr>
          <w:lang w:eastAsia="ko-KR"/>
        </w:rPr>
        <w:t>, compressed hydrogen</w:t>
      </w:r>
      <w:r>
        <w:rPr>
          <w:lang w:eastAsia="ko-KR"/>
        </w:rPr>
        <w:t xml:space="preserve"> (CGH2)</w:t>
      </w:r>
      <w:r w:rsidRPr="00D66E85">
        <w:rPr>
          <w:lang w:eastAsia="ko-KR"/>
        </w:rPr>
        <w:t>, Liquid Organic Hydrogen Carriers (LOHC)</w:t>
      </w:r>
      <w:r>
        <w:rPr>
          <w:lang w:eastAsia="ko-KR"/>
        </w:rPr>
        <w:t xml:space="preserve">, </w:t>
      </w:r>
      <w:r>
        <w:rPr>
          <w:rFonts w:hint="eastAsia"/>
          <w:lang w:eastAsia="ko-KR"/>
        </w:rPr>
        <w:t>a</w:t>
      </w:r>
      <w:r>
        <w:rPr>
          <w:lang w:eastAsia="ko-KR"/>
        </w:rPr>
        <w:t>mmonia</w:t>
      </w:r>
      <w:r w:rsidRPr="00D66E85">
        <w:rPr>
          <w:lang w:eastAsia="ko-KR"/>
        </w:rPr>
        <w:t xml:space="preserve">. The most prevalent </w:t>
      </w:r>
      <w:r>
        <w:rPr>
          <w:lang w:eastAsia="ko-KR"/>
        </w:rPr>
        <w:t>methods</w:t>
      </w:r>
      <w:r w:rsidRPr="00D66E85">
        <w:rPr>
          <w:lang w:eastAsia="ko-KR"/>
        </w:rPr>
        <w:t xml:space="preserve"> are CGH2 and LH2</w:t>
      </w:r>
      <w:r>
        <w:rPr>
          <w:lang w:eastAsia="ko-KR"/>
        </w:rPr>
        <w:t xml:space="preserve">. </w:t>
      </w:r>
      <w:r w:rsidRPr="00572AE1">
        <w:rPr>
          <w:lang w:eastAsia="ko-KR"/>
        </w:rPr>
        <w:t>Both options are characterized by high-security requirements due to high pressure and low temperature. Additionally, the necessary conditioning of the hydrogen gas to be stored in the storage device results in a high electricity demand</w:t>
      </w:r>
      <w:r>
        <w:rPr>
          <w:lang w:eastAsia="ko-KR"/>
        </w:rPr>
        <w:t xml:space="preserve"> </w:t>
      </w:r>
      <w:r>
        <w:rPr>
          <w:lang w:eastAsia="ko-KR"/>
        </w:rPr>
        <w:fldChar w:fldCharType="begin" w:fldLock="1"/>
      </w:r>
      <w:r>
        <w:rPr>
          <w:lang w:eastAsia="ko-KR"/>
        </w:rPr>
        <w:instrText>ADDIN CSL_CITATION {"citationItems":[{"id":"ITEM-1","itemData":{"DOI":"10.1016/j.ijhydene.2019.01.199","ISSN":"03603199","abstract":"Hydrogen can be transported via long distances based on Liquid Organic Hydrogen Carriers (LOHC). Such a transport is realized based on a two-step cycle: (1) loading/storage of hydrogen (hydrogenation) into the LOHC molecule and (2) unloading/release of hydrogen (de-hydrogenation). During the storage period, hydrogen is covalently bound to the respective LOHC. Since the (optimal) LOHC is liquid at ambient conditions and shows similar properties as crude oil based liquids (e.g. diesel, gasoline), it can easily be handled, transported and stored; thus a stepwise implementation using the existing crude oil based infrastructure would be possible. Against this background this paper reviews the current knowledge in hydrogenation and de-hydrogenation of various LOHC. Therefore, a variety of LOHC is evaluated based on their properties and compared to each other. By applying different evaluation criteria representing the requirements of the three different application areas (energy-storage, energy-transport, mobility application), the LOHCs can be assigned to a field they suit best. The analysis shows that the most promising LOHC candidates to date are dibenzyltoluene for energy-transport and energy-storage as well as N-ethylcarbazole for mobility applications. In addition, a use of toluene in the transport sector is also conceivable. Methanol can potentially be applied in all three application fields due to its properties if a compromise between de-hydrogenation temperature and gas flow can be achieved based on further R&amp;D-activities. For future implementation phenazine and formic acid show great potential, but also additional R&amp;D especially regarding catalysis and solvents is necessary.","author":[{"dropping-particle":"","family":"Niermann","given":"Matthias","non-dropping-particle":"","parse-names":false,"suffix":""},{"dropping-particle":"","family":"Beckendorff","given":"Alexander","non-dropping-particle":"","parse-names":false,"suffix":""},{"dropping-particle":"","family":"Kaltschmitt","given":"Martin","non-dropping-particle":"","parse-names":false,"suffix":""},{"dropping-particle":"","family":"Bonhoff","given":"Klaus","non-dropping-particle":"","parse-names":false,"suffix":""}],"container-title":"International Journal of Hydrogen Energy","id":"ITEM-1","issue":"13","issued":{"date-parts":[["2019"]]},"page":"6631-6654","publisher":"Elsevier Ltd","title":"Liquid Organic Hydrogen Carrier (LOHC) – Assessment based on chemical and economic properties","type":"article-journal","volume":"44"},"uris":["http://www.mendeley.com/documents/?uuid=45aea674-2e4b-48af-a5f1-dcc35afad0e2"]}],"mendeley":{"formattedCitation":"(Niermann et al., 2019)","plainTextFormattedCitation":"(Niermann et al., 2019)","previouslyFormattedCitation":"(Niermann et al., 2019)"},"properties":{"noteIndex":0},"schema":"https://github.com/citation-style-language/schema/raw/master/csl-citation.json"}</w:instrText>
      </w:r>
      <w:r>
        <w:rPr>
          <w:lang w:eastAsia="ko-KR"/>
        </w:rPr>
        <w:fldChar w:fldCharType="separate"/>
      </w:r>
      <w:r w:rsidRPr="00575595">
        <w:rPr>
          <w:noProof/>
          <w:lang w:eastAsia="ko-KR"/>
        </w:rPr>
        <w:t>(Niermann et al., 2019)</w:t>
      </w:r>
      <w:r>
        <w:rPr>
          <w:lang w:eastAsia="ko-KR"/>
        </w:rPr>
        <w:fldChar w:fldCharType="end"/>
      </w:r>
      <w:r w:rsidRPr="00572AE1">
        <w:rPr>
          <w:lang w:eastAsia="ko-KR"/>
        </w:rPr>
        <w:t>.LOHC, such as methanol, toluene, formic acid, stands out for its high energy density and eas</w:t>
      </w:r>
      <w:r>
        <w:rPr>
          <w:lang w:eastAsia="ko-KR"/>
        </w:rPr>
        <w:t>y</w:t>
      </w:r>
      <w:r w:rsidRPr="00572AE1">
        <w:rPr>
          <w:lang w:eastAsia="ko-KR"/>
        </w:rPr>
        <w:t xml:space="preserve"> transport</w:t>
      </w:r>
      <w:r>
        <w:rPr>
          <w:lang w:eastAsia="ko-KR"/>
        </w:rPr>
        <w:t>ation</w:t>
      </w:r>
      <w:r w:rsidRPr="00572AE1">
        <w:rPr>
          <w:lang w:eastAsia="ko-KR"/>
        </w:rPr>
        <w:t>, primarily as it remains in a liquid state at ambient temperatures</w:t>
      </w:r>
      <w:r>
        <w:rPr>
          <w:lang w:eastAsia="ko-KR"/>
        </w:rPr>
        <w:t xml:space="preserve"> </w:t>
      </w:r>
      <w:r>
        <w:rPr>
          <w:lang w:eastAsia="ko-KR"/>
        </w:rPr>
        <w:fldChar w:fldCharType="begin" w:fldLock="1"/>
      </w:r>
      <w:r>
        <w:rPr>
          <w:lang w:eastAsia="ko-KR"/>
        </w:rPr>
        <w:instrText>ADDIN CSL_CITATION {"citationItems":[{"id":"ITEM-1","itemData":{"DOI":"10.1016/j.enconman.2020.113729","ISSN":"01968904","abstract":"This contribution delivers the perspectives of ammonia for a clean energy future and examines the potential, achievements, and associated challenges of ammonia for power generation, with a particular focus on ammonia fuelled solid oxide fuel cells (SOFCs). Ammonia, with characteristics of zero-carbon and a high hydrogen content has been increasingly recognised as a clean fuel. The well-established facilities for ammonia production and infrastructures worldwide for storage and transport provide ammonia with indispensable advantages, underpinning its role in enabling a clean energy future. Ammonia can be decomposed into hydrogen and nitrogen free of carbon emission using an appropriate catalyst. Ni-based catalysts are more preferred candidates alternative to Ru-based catalysts with respect to cost and sources. A rational design of catalyst in terms of preparation method, support and promoter is needed to carve out a catalyst that is commercially reliable and affordable. A milestone has been recently achieved using a Ni-based catalyst with long-term stability up to 1000 h. Ammonia also shows promising potentials for clean electricity generation via SOFCs, exhibiting cell performance comparable to that of the hydrogen fuelled counterparts. However, the cell stability is compromised owing to anode degradation, which is primarily attributed to the formation of nickel nitride incurring microstructural deformations in the anode. Feeding SOFCs with pre-decomposed ammonia is then identified to effectively mitigate the nitridation reactions between ammonia and nickel. In such a manner, only a gas mixture consisted of H2 and N2 is fed into the SOFCs, eliminating the reactions of ammonia and the anode.","author":[{"dropping-particle":"","family":"Wan","given":"Zhijian","non-dropping-particle":"","parse-names":false,"suffix":""},{"dropping-particle":"","family":"Tao","given":"Youkun","non-dropping-particle":"","parse-names":false,"suffix":""},{"dropping-particle":"","family":"Shao","given":"Jing","non-dropping-particle":"","parse-names":false,"suffix":""},{"dropping-particle":"","family":"Zhang","given":"Yinghui","non-dropping-particle":"","parse-names":false,"suffix":""},{"dropping-particle":"","family":"You","given":"Hengzhi","non-dropping-particle":"","parse-names":false,"suffix":""}],"container-title":"Energy Conversion and Management","id":"ITEM-1","issue":"December 2020","issued":{"date-parts":[["2021"]]},"page":"113729","publisher":"Elsevier Ltd","title":"Ammonia as an effective hydrogen carrier and a clean fuel for solid oxide fuel cells","type":"article-journal","volume":"228"},"uris":["http://www.mendeley.com/documents/?uuid=f5932843-0c8a-4444-ae7b-fbaee9bdfbca"]}],"mendeley":{"formattedCitation":"(Wan et al., 2021)","plainTextFormattedCitation":"(Wan et al., 2021)","previouslyFormattedCitation":"(Wan et al., 2021)"},"properties":{"noteIndex":0},"schema":"https://github.com/citation-style-language/schema/raw/master/csl-citation.json"}</w:instrText>
      </w:r>
      <w:r>
        <w:rPr>
          <w:lang w:eastAsia="ko-KR"/>
        </w:rPr>
        <w:fldChar w:fldCharType="separate"/>
      </w:r>
      <w:r w:rsidRPr="00575595">
        <w:rPr>
          <w:noProof/>
          <w:lang w:eastAsia="ko-KR"/>
        </w:rPr>
        <w:t>(Wan et al., 2021)</w:t>
      </w:r>
      <w:r>
        <w:rPr>
          <w:lang w:eastAsia="ko-KR"/>
        </w:rPr>
        <w:fldChar w:fldCharType="end"/>
      </w:r>
      <w:r w:rsidRPr="00572AE1">
        <w:rPr>
          <w:lang w:eastAsia="ko-KR"/>
        </w:rPr>
        <w:t>.</w:t>
      </w:r>
      <w:r>
        <w:rPr>
          <w:lang w:eastAsia="ko-KR"/>
        </w:rPr>
        <w:t xml:space="preserve"> </w:t>
      </w:r>
      <w:r w:rsidRPr="00FF315C">
        <w:rPr>
          <w:lang w:eastAsia="ko-KR"/>
        </w:rPr>
        <w:t>Notably, ammonia, only composed of nitrogen and hydrogen, boasts the advantage of emitting no greenhouse gases upon decomposition. It is the second most produced chemical globally, with 490 ammonia production plants operational in 64 countries as of 2021. Given its potential to easily establish a green ammonia supply chain by providing green hydrogen through electrolysis, ammonia holds significant importance as a carrier.</w:t>
      </w:r>
    </w:p>
    <w:p w14:paraId="44A0F657" w14:textId="77777777" w:rsidR="00683B8A" w:rsidRDefault="00683B8A" w:rsidP="00683B8A">
      <w:pPr>
        <w:pStyle w:val="Els-body-text"/>
        <w:rPr>
          <w:lang w:eastAsia="ko-KR"/>
        </w:rPr>
      </w:pPr>
      <w:r>
        <w:rPr>
          <w:rFonts w:hint="eastAsia"/>
          <w:lang w:eastAsia="ko-KR"/>
        </w:rPr>
        <w:t xml:space="preserve"> </w:t>
      </w:r>
      <w:r>
        <w:rPr>
          <w:lang w:eastAsia="ko-KR"/>
        </w:rPr>
        <w:t>As crucial as the significance of ammonia as a carrier is, the efficient decomposition of ammonia is equally important. Various methods are employed in the ammonia decomposition process, including thermal, microwave, plasma, electric current/electron beam/ion beam, and liquid NH</w:t>
      </w:r>
      <w:r w:rsidRPr="00B00BC2">
        <w:rPr>
          <w:vertAlign w:val="subscript"/>
          <w:lang w:eastAsia="ko-KR"/>
        </w:rPr>
        <w:t>3</w:t>
      </w:r>
      <w:r>
        <w:rPr>
          <w:lang w:eastAsia="ko-KR"/>
        </w:rPr>
        <w:t xml:space="preserve"> electrolysis. Except for thermal decomposition, which utilizes fossil fuels, all other methods use electrical energy. Thermal decomposition is the most common approach, but it is energy-intensive and has the drawback of emitting carbon dioxide. Processes utilizing electrical energy have the advantage of zero carbon emissions within the process, and when coupled with renewable energy sources, they can significantly reduce the overall carbon footprint. Consequently, it is imperative to enhance the efficiency of electricity-based ammonia decomposition processes to expand low-carbon emission ammonia processes in the future.</w:t>
      </w:r>
    </w:p>
    <w:p w14:paraId="6E174B55" w14:textId="6D1200FD" w:rsidR="00683B8A" w:rsidRDefault="00683B8A" w:rsidP="00683B8A">
      <w:pPr>
        <w:pStyle w:val="Els-body-text"/>
        <w:rPr>
          <w:lang w:eastAsia="ko-KR"/>
        </w:rPr>
      </w:pPr>
      <w:r>
        <w:rPr>
          <w:rFonts w:hint="eastAsia"/>
          <w:lang w:eastAsia="ko-KR"/>
        </w:rPr>
        <w:t xml:space="preserve"> </w:t>
      </w:r>
      <w:r w:rsidRPr="00E70DB8">
        <w:rPr>
          <w:lang w:eastAsia="ko-KR"/>
        </w:rPr>
        <w:t>A notable drawback of the primary ammonia decomposition process, thermal decomposition, is CO</w:t>
      </w:r>
      <w:r w:rsidRPr="00E70DB8">
        <w:rPr>
          <w:vertAlign w:val="subscript"/>
          <w:lang w:eastAsia="ko-KR"/>
        </w:rPr>
        <w:t>2</w:t>
      </w:r>
      <w:r w:rsidRPr="00E70DB8">
        <w:rPr>
          <w:lang w:eastAsia="ko-KR"/>
        </w:rPr>
        <w:t xml:space="preserve"> emission. Existing electricity-based ammonia production processes face challenges, such as losing approximately 10-20% of produced H</w:t>
      </w:r>
      <w:r w:rsidRPr="00E70DB8">
        <w:rPr>
          <w:vertAlign w:val="subscript"/>
          <w:lang w:eastAsia="ko-KR"/>
        </w:rPr>
        <w:t>2</w:t>
      </w:r>
      <w:r w:rsidRPr="00E70DB8">
        <w:rPr>
          <w:lang w:eastAsia="ko-KR"/>
        </w:rPr>
        <w:t xml:space="preserve"> during purification. Moreover, while there has been extensive research on ammonia decomposition catalysts, efforts to enhance the overall efficiency of ammonia processes still need to be made. This study focuses on improving the efficiency of an induction heating-based ammonia decomposition process developed in previous research. This induction heating process involves hydrogen purification through Pressure Swing </w:t>
      </w:r>
      <w:r w:rsidRPr="00E70DB8">
        <w:rPr>
          <w:lang w:eastAsia="ko-KR"/>
        </w:rPr>
        <w:lastRenderedPageBreak/>
        <w:t xml:space="preserve">Adsorption (PSA), discarding around 21% of hydrogen as off-gas. This study addressed the above issues by incorporating units that utilize off-gas into the induction process. In the induction process, </w:t>
      </w:r>
      <w:r w:rsidRPr="00AA6C99">
        <w:rPr>
          <w:lang w:eastAsia="ko-KR"/>
        </w:rPr>
        <w:t xml:space="preserve">PEMFC, SOFC, burner, and Pd-membrane were integrated, and the performance of each process was evaluated through </w:t>
      </w:r>
      <w:r w:rsidR="00DC3596" w:rsidRPr="00AA6C99">
        <w:rPr>
          <w:lang w:eastAsia="ko-KR"/>
        </w:rPr>
        <w:t xml:space="preserve">a </w:t>
      </w:r>
      <w:r w:rsidRPr="00AA6C99">
        <w:rPr>
          <w:lang w:eastAsia="ko-KR"/>
        </w:rPr>
        <w:t xml:space="preserve">techno-economic assessment (TEA) and </w:t>
      </w:r>
      <w:r w:rsidR="00DC3596" w:rsidRPr="00AA6C99">
        <w:rPr>
          <w:lang w:eastAsia="ko-KR"/>
        </w:rPr>
        <w:t xml:space="preserve">a </w:t>
      </w:r>
      <w:r w:rsidRPr="00AA6C99">
        <w:rPr>
          <w:lang w:eastAsia="ko-KR"/>
        </w:rPr>
        <w:t xml:space="preserve">life cycle assessment (LCA). This approach aims to reduce the loss of hydrogen during the purification to </w:t>
      </w:r>
      <w:r w:rsidRPr="00E70DB8">
        <w:rPr>
          <w:lang w:eastAsia="ko-KR"/>
        </w:rPr>
        <w:t xml:space="preserve">improve overall efficiency. The insights from this study may have broader applicability to other ammonia </w:t>
      </w:r>
      <w:r>
        <w:rPr>
          <w:lang w:eastAsia="ko-KR"/>
        </w:rPr>
        <w:t>decomposition process</w:t>
      </w:r>
      <w:r w:rsidRPr="00E70DB8">
        <w:rPr>
          <w:lang w:eastAsia="ko-KR"/>
        </w:rPr>
        <w:t xml:space="preserve"> that utilize electricity as an energy source and encounter hydrogen loss in purification.</w:t>
      </w:r>
    </w:p>
    <w:p w14:paraId="144DE698" w14:textId="2E03EB60" w:rsidR="008D2649" w:rsidRPr="002D193D" w:rsidRDefault="008D2649" w:rsidP="008D2649">
      <w:pPr>
        <w:pStyle w:val="Els-body-text"/>
      </w:pPr>
    </w:p>
    <w:p w14:paraId="144DE699" w14:textId="5D60D3E4" w:rsidR="008D2649" w:rsidRDefault="00683B8A" w:rsidP="008D2649">
      <w:pPr>
        <w:pStyle w:val="Els-1storder-head"/>
      </w:pPr>
      <w:r>
        <w:t>Method</w:t>
      </w:r>
    </w:p>
    <w:p w14:paraId="144DE69A" w14:textId="589B7061" w:rsidR="008D2649" w:rsidRDefault="00683B8A" w:rsidP="008D2649">
      <w:pPr>
        <w:pStyle w:val="Els-2ndorder-head"/>
      </w:pPr>
      <w:r>
        <w:t>Overview of proposed processes</w:t>
      </w:r>
    </w:p>
    <w:p w14:paraId="5A940E34" w14:textId="77777777" w:rsidR="00683B8A" w:rsidRDefault="00683B8A" w:rsidP="00683B8A">
      <w:pPr>
        <w:pStyle w:val="Els-body-text"/>
        <w:keepNext/>
      </w:pPr>
      <w:r w:rsidRPr="00471899">
        <w:rPr>
          <w:noProof/>
          <w:lang w:val="en-GB"/>
        </w:rPr>
        <w:drawing>
          <wp:inline distT="0" distB="0" distL="0" distR="0" wp14:anchorId="602A603F" wp14:editId="15F3FF8D">
            <wp:extent cx="4499610" cy="3025738"/>
            <wp:effectExtent l="0" t="0" r="0" b="3810"/>
            <wp:docPr id="4242" name="그림 4241">
              <a:extLst xmlns:a="http://schemas.openxmlformats.org/drawingml/2006/main">
                <a:ext uri="{FF2B5EF4-FFF2-40B4-BE49-F238E27FC236}">
                  <a16:creationId xmlns:a16="http://schemas.microsoft.com/office/drawing/2014/main" id="{6C658ED5-7366-8FB4-4F89-FB7E5E9026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 name="그림 4241">
                      <a:extLst>
                        <a:ext uri="{FF2B5EF4-FFF2-40B4-BE49-F238E27FC236}">
                          <a16:creationId xmlns:a16="http://schemas.microsoft.com/office/drawing/2014/main" id="{6C658ED5-7366-8FB4-4F89-FB7E5E90267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3025738"/>
                    </a:xfrm>
                    <a:prstGeom prst="rect">
                      <a:avLst/>
                    </a:prstGeom>
                  </pic:spPr>
                </pic:pic>
              </a:graphicData>
            </a:graphic>
          </wp:inline>
        </w:drawing>
      </w:r>
    </w:p>
    <w:p w14:paraId="22D7481E" w14:textId="4D8A25A5" w:rsidR="00683B8A" w:rsidRDefault="00683B8A" w:rsidP="00683B8A">
      <w:pPr>
        <w:pStyle w:val="Didascalia"/>
        <w:jc w:val="both"/>
      </w:pPr>
      <w:bookmarkStart w:id="1" w:name="_Ref151988331"/>
      <w:r>
        <w:t xml:space="preserve">Figure </w:t>
      </w:r>
      <w:r>
        <w:fldChar w:fldCharType="begin"/>
      </w:r>
      <w:r>
        <w:instrText xml:space="preserve"> SEQ Figure \* ARABIC </w:instrText>
      </w:r>
      <w:r>
        <w:fldChar w:fldCharType="separate"/>
      </w:r>
      <w:r w:rsidR="003665F6">
        <w:rPr>
          <w:noProof/>
        </w:rPr>
        <w:t>1</w:t>
      </w:r>
      <w:r>
        <w:fldChar w:fldCharType="end"/>
      </w:r>
      <w:bookmarkEnd w:id="1"/>
      <w:r>
        <w:t xml:space="preserve"> Proposed processes</w:t>
      </w:r>
    </w:p>
    <w:p w14:paraId="717C8F00" w14:textId="6AE04960" w:rsidR="00683B8A" w:rsidRDefault="00683B8A" w:rsidP="00683B8A">
      <w:pPr>
        <w:pStyle w:val="Els-body-text"/>
        <w:rPr>
          <w:lang w:eastAsia="ko-KR"/>
        </w:rPr>
      </w:pPr>
      <w:r>
        <w:rPr>
          <w:lang w:eastAsia="ko-KR"/>
        </w:rPr>
        <w:t xml:space="preserve">In </w:t>
      </w:r>
      <w:r>
        <w:rPr>
          <w:lang w:eastAsia="ko-KR"/>
        </w:rPr>
        <w:fldChar w:fldCharType="begin"/>
      </w:r>
      <w:r>
        <w:rPr>
          <w:lang w:eastAsia="ko-KR"/>
        </w:rPr>
        <w:instrText xml:space="preserve"> REF _Ref151988331 \h </w:instrText>
      </w:r>
      <w:r>
        <w:rPr>
          <w:lang w:eastAsia="ko-KR"/>
        </w:rPr>
      </w:r>
      <w:r>
        <w:rPr>
          <w:lang w:eastAsia="ko-KR"/>
        </w:rPr>
        <w:fldChar w:fldCharType="separate"/>
      </w:r>
      <w:r w:rsidR="003665F6">
        <w:t xml:space="preserve">Figure </w:t>
      </w:r>
      <w:r w:rsidR="003665F6">
        <w:rPr>
          <w:noProof/>
        </w:rPr>
        <w:t>1</w:t>
      </w:r>
      <w:r>
        <w:rPr>
          <w:lang w:eastAsia="ko-KR"/>
        </w:rPr>
        <w:fldChar w:fldCharType="end"/>
      </w:r>
      <w:r>
        <w:rPr>
          <w:lang w:eastAsia="ko-KR"/>
        </w:rPr>
        <w:t xml:space="preserve">, the base case is a Ru-based monolith reactor integrated with an induction heating system developed from a previous study </w:t>
      </w:r>
      <w:r>
        <w:rPr>
          <w:lang w:eastAsia="ko-KR"/>
        </w:rPr>
        <w:fldChar w:fldCharType="begin" w:fldLock="1"/>
      </w:r>
      <w:r>
        <w:rPr>
          <w:lang w:eastAsia="ko-KR"/>
        </w:rPr>
        <w:instrText>ADDIN CSL_CITATION {"citationItems":[{"id":"ITEM-1","itemData":{"DOI":"10.1016/j.cej.2022.141203","ISSN":"13858947","abstract":"This study presents an induction heating-based reactor for ammonia decomposition and to achieve a 150 Nm3/h carbon-free green hydrogen production process. The developed metallic monolith reactor acts by increasing the reactor temperature through an electromagnetic induction method using renewable-based electricity. As a result, hydrogen is produced without the generation of air pollutants such as CO2, which are formed via the conventional production pathway. Furthermore, techno-economic analysis was conducted based on exergy and economic analysis to evaluate the feasibility of the developed process. Experimentally, the proposed r</w:instrText>
      </w:r>
      <w:r>
        <w:rPr>
          <w:rFonts w:hint="eastAsia"/>
          <w:lang w:eastAsia="ko-KR"/>
        </w:rPr>
        <w:instrText xml:space="preserve">eactor showed an ammonia conversion of 90.0 % at 600 </w:instrText>
      </w:r>
      <w:r>
        <w:rPr>
          <w:rFonts w:hint="eastAsia"/>
          <w:lang w:eastAsia="ko-KR"/>
        </w:rPr>
        <w:instrText>℃</w:instrText>
      </w:r>
      <w:r>
        <w:rPr>
          <w:rFonts w:hint="eastAsia"/>
          <w:lang w:eastAsia="ko-KR"/>
        </w:rPr>
        <w:instrText xml:space="preserve"> and 7 barg. Exergy analysis indicated that the total unused exergy accounted for 45.79 % of the total exergy input, giving an exergy efficiency of 54.21 % for the overall process. Furthermore, the CAP</w:instrText>
      </w:r>
      <w:r>
        <w:rPr>
          <w:lang w:eastAsia="ko-KR"/>
        </w:rPr>
        <w:instrText>EX and OPEX values are calculated as 1,599,567 USD and 644,719 USD/y, respectively; therefore, the levelized cost of hydrogen (LCOH) was calculated to be 6.98 USD/kgH2. This study also demonstrated that the LCOH varies with the ammonia feed price and the process capacity, and so it would be expected to decrease from 6.98 to 5.33 USD/kgH2 as the hydrogen production capacity is increased from 150 to 500 Nm3/h. Overall, our results confirm the feasibility of carbon-free green hydrogen production on on-site hydrogen refueling stations, and they will be expected to advance the development of an environmental hydrogen economy.","author":[{"dropping-particle":"","family":"Lee","given":"Jaewon","non-dropping-particle":"","parse-names":false,"suffix":""},{"dropping-particle":"","family":"Ga","given":"Seongbin","non-dropping-particle":"","parse-names":false,"suffix":""},{"dropping-particle":"","family":"Lim","given":"Dongha","non-dropping-particle":"","parse-names":false,"suffix":""},{"dropping-particle":"","family":"Lee","given":"Seongchan","non-dropping-particle":"","parse-names":false,"suffix":""},{"dropping-particle":"","family":"Cho","given":"Hyungtae","non-dropping-particle":"","parse-names":false,"suffix":""},{"dropping-particle":"","family":"Kim","given":"Junghwan","non-dropping-particle":"","parse-names":false,"suffix":""}],"container-title":"Chemical Engineering Journal","id":"ITEM-1","issue":"August 2022","issued":{"date-parts":[["2023"]]},"page":"141203","publisher":"Elsevier B.V.","title":"Carbon-free green hydrogen production process with induction heating-based ammonia decomposition reactor","type":"article-journal","volume":"457"},"uris":["http://www.mendeley.com/documents/?uuid=9ee95817-1a1c-49e6-8572-02bc9c29aa0a"]}],"mendeley":{"formattedCitation":"(Lee et al., 2023)","plainTextFormattedCitation":"(Lee et al., 2023)","previouslyFormattedCitation":"(Lee et al., 2023)"},"properties":{"noteIndex":0},"schema":"https://github.com/citation-style-language/schema/raw/master/csl-citation.json"}</w:instrText>
      </w:r>
      <w:r>
        <w:rPr>
          <w:lang w:eastAsia="ko-KR"/>
        </w:rPr>
        <w:fldChar w:fldCharType="separate"/>
      </w:r>
      <w:r w:rsidRPr="00575595">
        <w:rPr>
          <w:noProof/>
          <w:lang w:eastAsia="ko-KR"/>
        </w:rPr>
        <w:t>(Lee et al., 2023)</w:t>
      </w:r>
      <w:r>
        <w:rPr>
          <w:lang w:eastAsia="ko-KR"/>
        </w:rPr>
        <w:fldChar w:fldCharType="end"/>
      </w:r>
      <w:r>
        <w:rPr>
          <w:lang w:eastAsia="ko-KR"/>
        </w:rPr>
        <w:t>.</w:t>
      </w:r>
      <w:r w:rsidRPr="00B00BC2">
        <w:rPr>
          <w:lang w:eastAsia="ko-KR"/>
        </w:rPr>
        <w:t xml:space="preserve"> This process is designed to produce 150</w:t>
      </w:r>
      <w:r>
        <w:rPr>
          <w:lang w:eastAsia="ko-KR"/>
        </w:rPr>
        <w:t xml:space="preserve"> </w:t>
      </w:r>
      <w:r w:rsidRPr="00B00BC2">
        <w:rPr>
          <w:lang w:eastAsia="ko-KR"/>
        </w:rPr>
        <w:t>Nm</w:t>
      </w:r>
      <w:r w:rsidRPr="00163F61">
        <w:rPr>
          <w:vertAlign w:val="superscript"/>
          <w:lang w:eastAsia="ko-KR"/>
        </w:rPr>
        <w:t>3</w:t>
      </w:r>
      <w:r w:rsidRPr="00B00BC2">
        <w:rPr>
          <w:lang w:eastAsia="ko-KR"/>
        </w:rPr>
        <w:t>/h of hydrogen</w:t>
      </w:r>
      <w:r>
        <w:rPr>
          <w:lang w:eastAsia="ko-KR"/>
        </w:rPr>
        <w:t xml:space="preserve"> </w:t>
      </w:r>
      <w:r w:rsidRPr="00B00BC2">
        <w:rPr>
          <w:lang w:eastAsia="ko-KR"/>
        </w:rPr>
        <w:t>for use in a hydrogen refueling station</w:t>
      </w:r>
      <w:r w:rsidRPr="00AA6C99">
        <w:rPr>
          <w:lang w:eastAsia="ko-KR"/>
        </w:rPr>
        <w:t>.</w:t>
      </w:r>
      <w:r w:rsidRPr="00AA6C99">
        <w:rPr>
          <w:rFonts w:hint="eastAsia"/>
          <w:lang w:eastAsia="ko-KR"/>
        </w:rPr>
        <w:t xml:space="preserve"> </w:t>
      </w:r>
      <w:r w:rsidR="00447020" w:rsidRPr="00AA6C99">
        <w:rPr>
          <w:lang w:eastAsia="ko-KR"/>
        </w:rPr>
        <w:t>T</w:t>
      </w:r>
      <w:r w:rsidRPr="00AA6C99">
        <w:rPr>
          <w:lang w:eastAsia="ko-KR"/>
        </w:rPr>
        <w:t xml:space="preserve">he </w:t>
      </w:r>
      <w:r w:rsidR="00447020" w:rsidRPr="00AA6C99">
        <w:rPr>
          <w:lang w:eastAsia="ko-KR"/>
        </w:rPr>
        <w:t>i</w:t>
      </w:r>
      <w:r w:rsidRPr="00AA6C99">
        <w:rPr>
          <w:lang w:eastAsia="ko-KR"/>
        </w:rPr>
        <w:t xml:space="preserve">nduction </w:t>
      </w:r>
      <w:r>
        <w:rPr>
          <w:lang w:eastAsia="ko-KR"/>
        </w:rPr>
        <w:t xml:space="preserve">heating system </w:t>
      </w:r>
      <w:r w:rsidRPr="00D549FE">
        <w:rPr>
          <w:lang w:eastAsia="ko-KR"/>
        </w:rPr>
        <w:t xml:space="preserve">uses electricity as an energy source, presenting a notable advantage of zero </w:t>
      </w:r>
      <w:r>
        <w:rPr>
          <w:lang w:eastAsia="ko-KR"/>
        </w:rPr>
        <w:t>CO</w:t>
      </w:r>
      <w:r w:rsidRPr="001D5BCE">
        <w:rPr>
          <w:vertAlign w:val="subscript"/>
          <w:lang w:eastAsia="ko-KR"/>
        </w:rPr>
        <w:t>2</w:t>
      </w:r>
      <w:r w:rsidRPr="00D549FE">
        <w:rPr>
          <w:lang w:eastAsia="ko-KR"/>
        </w:rPr>
        <w:t xml:space="preserve"> emissions compared to conventional processes that use fossil fuels.</w:t>
      </w:r>
      <w:r w:rsidRPr="00D549FE">
        <w:t xml:space="preserve"> </w:t>
      </w:r>
      <w:r w:rsidRPr="00D549FE">
        <w:rPr>
          <w:lang w:eastAsia="ko-KR"/>
        </w:rPr>
        <w:t xml:space="preserve">Also, the </w:t>
      </w:r>
      <w:r>
        <w:rPr>
          <w:lang w:eastAsia="ko-KR"/>
        </w:rPr>
        <w:t>m</w:t>
      </w:r>
      <w:r w:rsidRPr="00D549FE">
        <w:rPr>
          <w:lang w:eastAsia="ko-KR"/>
        </w:rPr>
        <w:t xml:space="preserve">etallic </w:t>
      </w:r>
      <w:r>
        <w:rPr>
          <w:lang w:eastAsia="ko-KR"/>
        </w:rPr>
        <w:t>m</w:t>
      </w:r>
      <w:r w:rsidRPr="00D549FE">
        <w:rPr>
          <w:lang w:eastAsia="ko-KR"/>
        </w:rPr>
        <w:t xml:space="preserve">onolith </w:t>
      </w:r>
      <w:r>
        <w:rPr>
          <w:lang w:eastAsia="ko-KR"/>
        </w:rPr>
        <w:t>r</w:t>
      </w:r>
      <w:r w:rsidRPr="00D549FE">
        <w:rPr>
          <w:lang w:eastAsia="ko-KR"/>
        </w:rPr>
        <w:t>eactor offers advantages such as low-pressure drop per unit area and rapid heating rates.</w:t>
      </w:r>
    </w:p>
    <w:p w14:paraId="1AF9193F" w14:textId="1CF0B1DE" w:rsidR="00683B8A" w:rsidRDefault="00683B8A" w:rsidP="00683B8A">
      <w:pPr>
        <w:pStyle w:val="Els-body-text"/>
        <w:ind w:firstLineChars="50" w:firstLine="100"/>
        <w:rPr>
          <w:lang w:eastAsia="ko-KR"/>
        </w:rPr>
      </w:pPr>
      <w:r w:rsidRPr="006E42AB">
        <w:rPr>
          <w:lang w:eastAsia="ko-KR"/>
        </w:rPr>
        <w:t>The base</w:t>
      </w:r>
      <w:r>
        <w:rPr>
          <w:lang w:eastAsia="ko-KR"/>
        </w:rPr>
        <w:t xml:space="preserve"> </w:t>
      </w:r>
      <w:r w:rsidRPr="006E42AB">
        <w:rPr>
          <w:lang w:eastAsia="ko-KR"/>
        </w:rPr>
        <w:t>case process addresses the issue of hydrogen being discarded as off</w:t>
      </w:r>
      <w:r w:rsidRPr="00346A13">
        <w:rPr>
          <w:lang w:eastAsia="ko-KR"/>
        </w:rPr>
        <w:t>-</w:t>
      </w:r>
      <w:r w:rsidRPr="006E42AB">
        <w:rPr>
          <w:lang w:eastAsia="ko-KR"/>
        </w:rPr>
        <w:t xml:space="preserve">gas during hydrogen purification in PSA. </w:t>
      </w:r>
      <w:r>
        <w:rPr>
          <w:lang w:eastAsia="ko-KR"/>
        </w:rPr>
        <w:t>Four improved cases</w:t>
      </w:r>
      <w:r w:rsidRPr="006E42AB">
        <w:rPr>
          <w:lang w:eastAsia="ko-KR"/>
        </w:rPr>
        <w:t xml:space="preserve"> were proposed to utilize this off</w:t>
      </w:r>
      <w:r w:rsidRPr="00346A13">
        <w:rPr>
          <w:lang w:eastAsia="ko-KR"/>
        </w:rPr>
        <w:t>-</w:t>
      </w:r>
      <w:r w:rsidRPr="006E42AB">
        <w:rPr>
          <w:lang w:eastAsia="ko-KR"/>
        </w:rPr>
        <w:t>gas effectively.</w:t>
      </w:r>
      <w:r>
        <w:rPr>
          <w:lang w:eastAsia="ko-KR"/>
        </w:rPr>
        <w:t xml:space="preserve"> </w:t>
      </w:r>
      <w:r w:rsidRPr="006E42AB">
        <w:rPr>
          <w:lang w:eastAsia="ko-KR"/>
        </w:rPr>
        <w:t xml:space="preserve">Each case was modeled by incorporating </w:t>
      </w:r>
      <w:r>
        <w:rPr>
          <w:lang w:eastAsia="ko-KR"/>
        </w:rPr>
        <w:t>several</w:t>
      </w:r>
      <w:r w:rsidRPr="006E42AB">
        <w:rPr>
          <w:lang w:eastAsia="ko-KR"/>
        </w:rPr>
        <w:t xml:space="preserve"> </w:t>
      </w:r>
      <w:r>
        <w:rPr>
          <w:lang w:eastAsia="ko-KR"/>
        </w:rPr>
        <w:t>units</w:t>
      </w:r>
      <w:r w:rsidRPr="006E42AB">
        <w:rPr>
          <w:lang w:eastAsia="ko-KR"/>
        </w:rPr>
        <w:t xml:space="preserve"> into the base </w:t>
      </w:r>
      <w:r>
        <w:rPr>
          <w:lang w:eastAsia="ko-KR"/>
        </w:rPr>
        <w:t xml:space="preserve">case </w:t>
      </w:r>
      <w:r w:rsidRPr="00346A13">
        <w:rPr>
          <w:lang w:eastAsia="ko-KR"/>
        </w:rPr>
        <w:t>to utilize the off-gas effectively.</w:t>
      </w:r>
    </w:p>
    <w:p w14:paraId="614A3996" w14:textId="5FEC0D58" w:rsidR="00683B8A" w:rsidRDefault="00683B8A" w:rsidP="00683B8A">
      <w:pPr>
        <w:pStyle w:val="Els-body-text"/>
        <w:ind w:firstLineChars="100" w:firstLine="200"/>
        <w:rPr>
          <w:lang w:eastAsia="ko-KR"/>
        </w:rPr>
      </w:pPr>
      <w:r w:rsidRPr="004C5B4B">
        <w:rPr>
          <w:lang w:eastAsia="ko-KR"/>
        </w:rPr>
        <w:t xml:space="preserve">In the process integrated with the fuel cell, the off-gas is directly utilized as the fuel cell feed for electricity generation. Because the off-gas contains hydrogen and nitrogen, an inert gas, electricity generation is available in the fuel cell. By using the generated electricity from the fuel cell as an auxiliary energy source for the induction reactor, the </w:t>
      </w:r>
      <w:r w:rsidRPr="004C5B4B">
        <w:rPr>
          <w:lang w:eastAsia="ko-KR"/>
        </w:rPr>
        <w:lastRenderedPageBreak/>
        <w:t>overall efficiency of the process is enhanced. T</w:t>
      </w:r>
      <w:r w:rsidRPr="00AA6C99">
        <w:rPr>
          <w:lang w:eastAsia="ko-KR"/>
        </w:rPr>
        <w:t xml:space="preserve">wo </w:t>
      </w:r>
      <w:r w:rsidR="00F807D6" w:rsidRPr="00AA6C99">
        <w:rPr>
          <w:lang w:eastAsia="ko-KR"/>
        </w:rPr>
        <w:t>c</w:t>
      </w:r>
      <w:r w:rsidRPr="00AA6C99">
        <w:rPr>
          <w:lang w:eastAsia="ko-KR"/>
        </w:rPr>
        <w:t xml:space="preserve">ases </w:t>
      </w:r>
      <w:r w:rsidRPr="004C5B4B">
        <w:rPr>
          <w:lang w:eastAsia="ko-KR"/>
        </w:rPr>
        <w:t>were presented, utilizing SOFC</w:t>
      </w:r>
      <w:r>
        <w:rPr>
          <w:lang w:eastAsia="ko-KR"/>
        </w:rPr>
        <w:t xml:space="preserve"> </w:t>
      </w:r>
      <w:r w:rsidRPr="004C5B4B">
        <w:rPr>
          <w:lang w:eastAsia="ko-KR"/>
        </w:rPr>
        <w:t>and PEMFC, respectively.</w:t>
      </w:r>
      <w:r>
        <w:rPr>
          <w:rFonts w:hint="eastAsia"/>
          <w:lang w:eastAsia="ko-KR"/>
        </w:rPr>
        <w:t xml:space="preserve"> </w:t>
      </w:r>
    </w:p>
    <w:p w14:paraId="77901611" w14:textId="77777777" w:rsidR="00683B8A" w:rsidRDefault="00683B8A" w:rsidP="00683B8A">
      <w:pPr>
        <w:pStyle w:val="Els-body-text"/>
        <w:ind w:firstLineChars="100" w:firstLine="200"/>
        <w:rPr>
          <w:lang w:eastAsia="ko-KR"/>
        </w:rPr>
      </w:pPr>
      <w:r w:rsidRPr="004C5B4B">
        <w:rPr>
          <w:lang w:eastAsia="ko-KR"/>
        </w:rPr>
        <w:t xml:space="preserve">The process </w:t>
      </w:r>
      <w:r>
        <w:rPr>
          <w:rFonts w:hint="eastAsia"/>
          <w:lang w:eastAsia="ko-KR"/>
        </w:rPr>
        <w:t>i</w:t>
      </w:r>
      <w:r>
        <w:rPr>
          <w:lang w:eastAsia="ko-KR"/>
        </w:rPr>
        <w:t xml:space="preserve">ntegrated </w:t>
      </w:r>
      <w:r w:rsidRPr="004C5B4B">
        <w:rPr>
          <w:lang w:eastAsia="ko-KR"/>
        </w:rPr>
        <w:t>with a burner mitigates the energy load on the induction reactor by utilizing the exhaust gas generated from the combustion of off</w:t>
      </w:r>
      <w:r w:rsidRPr="00346A13">
        <w:rPr>
          <w:lang w:eastAsia="ko-KR"/>
        </w:rPr>
        <w:t>-</w:t>
      </w:r>
      <w:r w:rsidRPr="004C5B4B">
        <w:rPr>
          <w:lang w:eastAsia="ko-KR"/>
        </w:rPr>
        <w:t xml:space="preserve">gas for preheating the ammonia feed. </w:t>
      </w:r>
      <w:r w:rsidRPr="00840B75">
        <w:rPr>
          <w:lang w:eastAsia="ko-KR"/>
        </w:rPr>
        <w:t>In this case, exhaust gas from the combustion of the off-gas only consists of water and nitrogen, causing no environmental impact.</w:t>
      </w:r>
    </w:p>
    <w:p w14:paraId="6DAB7D90" w14:textId="77777777" w:rsidR="00683B8A" w:rsidRDefault="00683B8A" w:rsidP="00683B8A">
      <w:pPr>
        <w:pStyle w:val="Els-body-text"/>
        <w:ind w:firstLineChars="100" w:firstLine="200"/>
        <w:rPr>
          <w:lang w:eastAsia="ko-KR"/>
        </w:rPr>
      </w:pPr>
      <w:r w:rsidRPr="004E3D05">
        <w:rPr>
          <w:lang w:eastAsia="ko-KR"/>
        </w:rPr>
        <w:t xml:space="preserve">The process integrated with a Pd-membrane is designed to purify the hydrogen within the off gas, enhancing hydrogen recovery. </w:t>
      </w:r>
    </w:p>
    <w:p w14:paraId="065108DD" w14:textId="58E44499" w:rsidR="00683B8A" w:rsidRDefault="00683B8A" w:rsidP="00683B8A">
      <w:pPr>
        <w:pStyle w:val="Els-body-text"/>
      </w:pPr>
      <w:r w:rsidRPr="004E3D05">
        <w:rPr>
          <w:lang w:eastAsia="ko-KR"/>
        </w:rPr>
        <w:t>The base</w:t>
      </w:r>
      <w:r>
        <w:rPr>
          <w:lang w:eastAsia="ko-KR"/>
        </w:rPr>
        <w:t xml:space="preserve"> </w:t>
      </w:r>
      <w:r w:rsidRPr="004E3D05">
        <w:rPr>
          <w:lang w:eastAsia="ko-KR"/>
        </w:rPr>
        <w:t xml:space="preserve">case model was constructed </w:t>
      </w:r>
      <w:r>
        <w:rPr>
          <w:lang w:eastAsia="ko-KR"/>
        </w:rPr>
        <w:t>in Aspen HYSYS using actual plant data. O</w:t>
      </w:r>
      <w:r w:rsidRPr="00424316">
        <w:rPr>
          <w:lang w:eastAsia="ko-KR"/>
        </w:rPr>
        <w:t>ther cases were also modeled based on the base case</w:t>
      </w:r>
      <w:r>
        <w:rPr>
          <w:lang w:eastAsia="ko-KR"/>
        </w:rPr>
        <w:t>.</w:t>
      </w:r>
    </w:p>
    <w:p w14:paraId="06E97033" w14:textId="77777777" w:rsidR="00683B8A" w:rsidRDefault="00683B8A" w:rsidP="008D2649">
      <w:pPr>
        <w:pStyle w:val="Els-body-text"/>
      </w:pPr>
    </w:p>
    <w:p w14:paraId="4A99AA1F" w14:textId="77777777" w:rsidR="00683B8A" w:rsidRDefault="00683B8A" w:rsidP="008D2649">
      <w:pPr>
        <w:pStyle w:val="Els-body-text"/>
      </w:pPr>
    </w:p>
    <w:p w14:paraId="144DE69D" w14:textId="2152460B" w:rsidR="008D2649" w:rsidRDefault="00683B8A" w:rsidP="00683B8A">
      <w:pPr>
        <w:pStyle w:val="Els-2ndorder-head"/>
      </w:pPr>
      <w:r>
        <w:t>Evaluation method</w:t>
      </w:r>
      <w:r w:rsidR="008D2649">
        <w:t xml:space="preserve"> </w:t>
      </w:r>
    </w:p>
    <w:p w14:paraId="144DE69E" w14:textId="1FF749B6" w:rsidR="008D2649" w:rsidRDefault="00683B8A" w:rsidP="00683B8A">
      <w:pPr>
        <w:pStyle w:val="Els-3rdorder-head"/>
      </w:pPr>
      <w:r w:rsidRPr="00683B8A">
        <w:t>Techno</w:t>
      </w:r>
      <w:r>
        <w:t>-economic assessment</w:t>
      </w:r>
    </w:p>
    <w:p w14:paraId="235CA886" w14:textId="7BFE264A" w:rsidR="00683B8A" w:rsidRPr="002F39A0" w:rsidRDefault="00683B8A" w:rsidP="002F39A0">
      <w:pPr>
        <w:pStyle w:val="Els-body-text"/>
        <w:ind w:firstLineChars="50" w:firstLine="100"/>
      </w:pPr>
      <w:r w:rsidRPr="002F39A0">
        <w:t xml:space="preserve">Energy and exergy efficiency were calculated to compare the thermodynamic efficiency of the five cases. Thermal efficiency was calculated using </w:t>
      </w:r>
      <w:r w:rsidR="002F39A0" w:rsidRPr="002F39A0">
        <w:fldChar w:fldCharType="begin"/>
      </w:r>
      <w:r w:rsidR="002F39A0" w:rsidRPr="002F39A0">
        <w:instrText xml:space="preserve"> REF _Ref151990063 \h </w:instrText>
      </w:r>
      <w:r w:rsidR="002F39A0" w:rsidRPr="002F39A0">
        <w:fldChar w:fldCharType="separate"/>
      </w:r>
      <w:r w:rsidR="003665F6" w:rsidRPr="002F39A0">
        <w:t xml:space="preserve">Eq. </w:t>
      </w:r>
      <w:r w:rsidR="003665F6">
        <w:rPr>
          <w:noProof/>
        </w:rPr>
        <w:t>1</w:t>
      </w:r>
      <w:r w:rsidR="002F39A0" w:rsidRPr="002F39A0">
        <w:fldChar w:fldCharType="end"/>
      </w:r>
      <w:r w:rsidRPr="002F39A0">
        <w:t xml:space="preserve">, where </w:t>
      </w:r>
      <m:oMath>
        <m:sSub>
          <m:sSubPr>
            <m:ctrlPr>
              <w:rPr>
                <w:rFonts w:ascii="Cambria Math" w:hAnsi="Cambria Math"/>
                <w:i/>
                <w:kern w:val="24"/>
                <w:szCs w:val="24"/>
              </w:rPr>
            </m:ctrlPr>
          </m:sSubPr>
          <m:e>
            <m:r>
              <m:rPr>
                <m:nor/>
              </m:rPr>
              <w:rPr>
                <w:kern w:val="24"/>
                <w:szCs w:val="24"/>
              </w:rPr>
              <m:t>LHV</m:t>
            </m:r>
          </m:e>
          <m:sub>
            <m:sSub>
              <m:sSubPr>
                <m:ctrlPr>
                  <w:rPr>
                    <w:rFonts w:ascii="Cambria Math" w:hAnsi="Cambria Math"/>
                    <w:i/>
                    <w:kern w:val="24"/>
                    <w:szCs w:val="24"/>
                  </w:rPr>
                </m:ctrlPr>
              </m:sSubPr>
              <m:e>
                <m:r>
                  <w:rPr>
                    <w:rFonts w:ascii="Cambria Math" w:hAnsi="Cambria Math"/>
                    <w:kern w:val="24"/>
                    <w:szCs w:val="24"/>
                  </w:rPr>
                  <m:t>H</m:t>
                </m:r>
              </m:e>
              <m:sub>
                <m:r>
                  <w:rPr>
                    <w:rFonts w:ascii="Cambria Math" w:hAnsi="Cambria Math"/>
                    <w:kern w:val="24"/>
                    <w:szCs w:val="24"/>
                  </w:rPr>
                  <m:t>2</m:t>
                </m:r>
              </m:sub>
            </m:sSub>
          </m:sub>
        </m:sSub>
      </m:oMath>
      <w:r w:rsidRPr="002F39A0">
        <w:t xml:space="preserve">and </w:t>
      </w:r>
      <m:oMath>
        <m:sSub>
          <m:sSubPr>
            <m:ctrlPr>
              <w:rPr>
                <w:rFonts w:ascii="Cambria Math" w:hAnsi="Cambria Math"/>
                <w:i/>
                <w:kern w:val="24"/>
                <w:szCs w:val="24"/>
              </w:rPr>
            </m:ctrlPr>
          </m:sSubPr>
          <m:e>
            <m:r>
              <m:rPr>
                <m:nor/>
              </m:rPr>
              <w:rPr>
                <w:kern w:val="24"/>
                <w:szCs w:val="24"/>
              </w:rPr>
              <m:t>LHV</m:t>
            </m:r>
          </m:e>
          <m:sub>
            <m:r>
              <w:rPr>
                <w:rFonts w:ascii="Cambria Math" w:hAnsi="Cambria Math"/>
                <w:kern w:val="24"/>
                <w:szCs w:val="24"/>
              </w:rPr>
              <m:t>N</m:t>
            </m:r>
            <m:sSub>
              <m:sSubPr>
                <m:ctrlPr>
                  <w:rPr>
                    <w:rFonts w:ascii="Cambria Math" w:hAnsi="Cambria Math"/>
                    <w:i/>
                    <w:kern w:val="24"/>
                    <w:szCs w:val="24"/>
                  </w:rPr>
                </m:ctrlPr>
              </m:sSubPr>
              <m:e>
                <m:r>
                  <w:rPr>
                    <w:rFonts w:ascii="Cambria Math" w:hAnsi="Cambria Math"/>
                    <w:kern w:val="24"/>
                    <w:szCs w:val="24"/>
                  </w:rPr>
                  <m:t>H</m:t>
                </m:r>
              </m:e>
              <m:sub>
                <m:r>
                  <w:rPr>
                    <w:rFonts w:ascii="Cambria Math" w:hAnsi="Cambria Math"/>
                    <w:kern w:val="24"/>
                    <w:szCs w:val="24"/>
                  </w:rPr>
                  <m:t>3</m:t>
                </m:r>
              </m:sub>
            </m:sSub>
          </m:sub>
        </m:sSub>
      </m:oMath>
      <w:r w:rsidRPr="002F39A0">
        <w:t>represent the lower heating value of H</w:t>
      </w:r>
      <w:r w:rsidRPr="00FF55A0">
        <w:rPr>
          <w:vertAlign w:val="subscript"/>
        </w:rPr>
        <w:t>2</w:t>
      </w:r>
      <w:r w:rsidRPr="002F39A0">
        <w:t xml:space="preserve"> and NH</w:t>
      </w:r>
      <w:r w:rsidRPr="00FF55A0">
        <w:rPr>
          <w:vertAlign w:val="subscript"/>
        </w:rPr>
        <w:t>3</w:t>
      </w:r>
      <w:r w:rsidRPr="002F39A0">
        <w:t xml:space="preserve"> respectively. </w:t>
      </w:r>
      <m:oMath>
        <m:acc>
          <m:accPr>
            <m:chr m:val="̇"/>
            <m:ctrlPr>
              <w:rPr>
                <w:rFonts w:ascii="Cambria Math" w:hAnsi="Cambria Math" w:hint="eastAsia"/>
                <w:i/>
                <w:kern w:val="24"/>
                <w:szCs w:val="24"/>
              </w:rPr>
            </m:ctrlPr>
          </m:accPr>
          <m:e>
            <m:r>
              <w:rPr>
                <w:rFonts w:ascii="Cambria Math" w:hAnsi="Cambria Math" w:hint="eastAsia"/>
                <w:kern w:val="24"/>
                <w:szCs w:val="24"/>
              </w:rPr>
              <m:t>N</m:t>
            </m:r>
          </m:e>
        </m:acc>
      </m:oMath>
      <w:r w:rsidR="002F39A0" w:rsidRPr="002F39A0">
        <w:rPr>
          <w:rFonts w:hint="eastAsia"/>
          <w:kern w:val="24"/>
          <w:szCs w:val="24"/>
          <w:lang w:eastAsia="ko-KR"/>
        </w:rPr>
        <w:t xml:space="preserve"> </w:t>
      </w:r>
      <w:r w:rsidRPr="002F39A0">
        <w:t xml:space="preserve">is the molar flow rate of each component. </w:t>
      </w:r>
      <m:oMath>
        <m:sSub>
          <m:sSubPr>
            <m:ctrlPr>
              <w:rPr>
                <w:rFonts w:ascii="Cambria Math" w:hAnsi="Cambria Math"/>
                <w:iCs/>
                <w:kern w:val="24"/>
                <w:szCs w:val="24"/>
              </w:rPr>
            </m:ctrlPr>
          </m:sSubPr>
          <m:e>
            <m:r>
              <w:rPr>
                <w:rFonts w:ascii="Cambria Math" w:hAnsi="Cambria Math"/>
                <w:kern w:val="24"/>
                <w:szCs w:val="24"/>
              </w:rPr>
              <m:t>Q</m:t>
            </m:r>
          </m:e>
          <m:sub>
            <m:r>
              <w:rPr>
                <w:rFonts w:ascii="Cambria Math" w:hAnsi="Cambria Math"/>
                <w:kern w:val="24"/>
                <w:szCs w:val="24"/>
              </w:rPr>
              <m:t>induction</m:t>
            </m:r>
          </m:sub>
        </m:sSub>
      </m:oMath>
      <w:r w:rsidR="002F39A0" w:rsidRPr="002F39A0">
        <w:t xml:space="preserve"> </w:t>
      </w:r>
      <w:r w:rsidRPr="002F39A0">
        <w:t>is the amount of external electrical energy used in the induction reactor.</w:t>
      </w:r>
    </w:p>
    <w:p w14:paraId="34B9E450" w14:textId="251EB35C" w:rsidR="00683B8A" w:rsidRPr="002F39A0" w:rsidRDefault="00683B8A" w:rsidP="002F39A0">
      <w:pPr>
        <w:pStyle w:val="Els-body-text"/>
        <w:ind w:firstLineChars="50" w:firstLine="100"/>
      </w:pPr>
      <w:r w:rsidRPr="002F39A0">
        <w:t xml:space="preserve">Exergy, defined as the possible amount of useful work a system can perform, provides insights into the quality of energy disintegration during energy transfer and conversion. The exergy efficiency of each process was calculated using </w:t>
      </w:r>
      <w:r w:rsidR="002F39A0" w:rsidRPr="002F39A0">
        <w:fldChar w:fldCharType="begin"/>
      </w:r>
      <w:r w:rsidR="002F39A0" w:rsidRPr="002F39A0">
        <w:instrText xml:space="preserve"> REF _Ref151990072 \h </w:instrText>
      </w:r>
      <w:r w:rsidR="002F39A0" w:rsidRPr="002F39A0">
        <w:fldChar w:fldCharType="separate"/>
      </w:r>
      <w:r w:rsidR="003665F6" w:rsidRPr="002F39A0">
        <w:t xml:space="preserve">Eq. </w:t>
      </w:r>
      <w:r w:rsidR="003665F6">
        <w:rPr>
          <w:noProof/>
        </w:rPr>
        <w:t>2</w:t>
      </w:r>
      <w:r w:rsidR="002F39A0" w:rsidRPr="002F39A0">
        <w:fldChar w:fldCharType="end"/>
      </w:r>
      <w:r w:rsidR="002F39A0" w:rsidRPr="002F39A0">
        <w:t xml:space="preserve">. </w:t>
      </w:r>
      <m:oMath>
        <m:sSub>
          <m:sSubPr>
            <m:ctrlPr>
              <w:rPr>
                <w:rFonts w:ascii="Cambria Math" w:hAnsi="Cambria Math"/>
                <w:i/>
                <w:lang w:eastAsia="ko-KR"/>
              </w:rPr>
            </m:ctrlPr>
          </m:sSubPr>
          <m:e>
            <m:acc>
              <m:accPr>
                <m:chr m:val="̇"/>
                <m:ctrlPr>
                  <w:rPr>
                    <w:rFonts w:ascii="Cambria Math" w:hAnsi="Cambria Math"/>
                    <w:i/>
                    <w:lang w:eastAsia="ko-KR"/>
                  </w:rPr>
                </m:ctrlPr>
              </m:accPr>
              <m:e>
                <m:r>
                  <w:rPr>
                    <w:rFonts w:ascii="Cambria Math" w:hAnsi="Cambria Math"/>
                    <w:lang w:eastAsia="ko-KR"/>
                  </w:rPr>
                  <m:t>E</m:t>
                </m:r>
              </m:e>
            </m:acc>
            <m:r>
              <w:rPr>
                <w:rFonts w:ascii="Cambria Math" w:hAnsi="Cambria Math"/>
                <w:lang w:eastAsia="ko-KR"/>
              </w:rPr>
              <m:t>x</m:t>
            </m:r>
          </m:e>
          <m:sub>
            <m:r>
              <w:rPr>
                <w:rFonts w:ascii="Cambria Math" w:hAnsi="Cambria Math"/>
                <w:lang w:eastAsia="ko-KR"/>
              </w:rPr>
              <m:t>in,total</m:t>
            </m:r>
          </m:sub>
        </m:sSub>
      </m:oMath>
      <w:r w:rsidRPr="002F39A0">
        <w:t xml:space="preserve"> is total exergy input. </w:t>
      </w:r>
      <m:oMath>
        <m:sSub>
          <m:sSubPr>
            <m:ctrlPr>
              <w:rPr>
                <w:rFonts w:ascii="Cambria Math" w:hAnsi="Cambria Math"/>
                <w:i/>
                <w:lang w:eastAsia="ko-KR"/>
              </w:rPr>
            </m:ctrlPr>
          </m:sSubPr>
          <m:e>
            <m:acc>
              <m:accPr>
                <m:chr m:val="̇"/>
                <m:ctrlPr>
                  <w:rPr>
                    <w:rFonts w:ascii="Cambria Math" w:hAnsi="Cambria Math"/>
                    <w:i/>
                    <w:lang w:eastAsia="ko-KR"/>
                  </w:rPr>
                </m:ctrlPr>
              </m:accPr>
              <m:e>
                <m:r>
                  <w:rPr>
                    <w:rFonts w:ascii="Cambria Math" w:hAnsi="Cambria Math"/>
                    <w:lang w:eastAsia="ko-KR"/>
                  </w:rPr>
                  <m:t>E</m:t>
                </m:r>
              </m:e>
            </m:acc>
            <m:r>
              <w:rPr>
                <w:rFonts w:ascii="Cambria Math" w:hAnsi="Cambria Math"/>
                <w:lang w:eastAsia="ko-KR"/>
              </w:rPr>
              <m:t>x</m:t>
            </m:r>
          </m:e>
          <m:sub>
            <m:r>
              <w:rPr>
                <w:rFonts w:ascii="Cambria Math" w:hAnsi="Cambria Math"/>
                <w:lang w:eastAsia="ko-KR"/>
              </w:rPr>
              <m:t>unused,total</m:t>
            </m:r>
          </m:sub>
        </m:sSub>
      </m:oMath>
      <w:r w:rsidR="002F39A0" w:rsidRPr="002F39A0">
        <w:t xml:space="preserve"> </w:t>
      </w:r>
      <w:r w:rsidRPr="002F39A0">
        <w:t xml:space="preserve">is the value sum of exergy destruction and exhaust exergy. </w:t>
      </w:r>
    </w:p>
    <w:p w14:paraId="7CFC1688" w14:textId="2F53D5B4" w:rsidR="002F39A0" w:rsidRPr="002F39A0" w:rsidRDefault="00683B8A" w:rsidP="002F39A0">
      <w:pPr>
        <w:pStyle w:val="Els-body-text"/>
        <w:ind w:firstLineChars="50" w:firstLine="100"/>
      </w:pPr>
      <w:r w:rsidRPr="002F39A0">
        <w:t xml:space="preserve">The economic analysis was conducted by calculating the levelized cost of hydrogen (LCOH) using </w:t>
      </w:r>
      <w:r w:rsidR="002F39A0" w:rsidRPr="002F39A0">
        <w:fldChar w:fldCharType="begin"/>
      </w:r>
      <w:r w:rsidR="002F39A0" w:rsidRPr="002F39A0">
        <w:instrText xml:space="preserve"> REF _Ref151990078 \h </w:instrText>
      </w:r>
      <w:r w:rsidR="002F39A0" w:rsidRPr="002F39A0">
        <w:fldChar w:fldCharType="separate"/>
      </w:r>
      <w:r w:rsidR="003665F6" w:rsidRPr="002F39A0">
        <w:t xml:space="preserve">Eq. </w:t>
      </w:r>
      <w:r w:rsidR="003665F6">
        <w:rPr>
          <w:noProof/>
        </w:rPr>
        <w:t>3</w:t>
      </w:r>
      <w:r w:rsidR="002F39A0" w:rsidRPr="002F39A0">
        <w:fldChar w:fldCharType="end"/>
      </w:r>
      <w:r w:rsidRPr="002F39A0">
        <w:t xml:space="preserve"> and </w:t>
      </w:r>
      <w:r w:rsidR="002F39A0" w:rsidRPr="002F39A0">
        <w:fldChar w:fldCharType="begin"/>
      </w:r>
      <w:r w:rsidR="002F39A0" w:rsidRPr="002F39A0">
        <w:instrText xml:space="preserve"> REF _Ref151990086 \h </w:instrText>
      </w:r>
      <w:r w:rsidR="002F39A0" w:rsidRPr="002F39A0">
        <w:fldChar w:fldCharType="separate"/>
      </w:r>
      <w:r w:rsidR="003665F6" w:rsidRPr="002F39A0">
        <w:t xml:space="preserve">Eq. </w:t>
      </w:r>
      <w:r w:rsidR="003665F6">
        <w:rPr>
          <w:noProof/>
        </w:rPr>
        <w:t>4</w:t>
      </w:r>
      <w:r w:rsidR="002F39A0" w:rsidRPr="002F39A0">
        <w:fldChar w:fldCharType="end"/>
      </w:r>
      <w:r w:rsidRPr="002F39A0">
        <w:t>. CAPEX is capital expenditure, and OPEX is the operating expenditure of the process. CRF is a capital recovery factor that converts CAPEX to annualized CAPEX. r and t are discount rate and plant lifetime, respectively.</w:t>
      </w:r>
    </w:p>
    <w:p w14:paraId="461A63D0" w14:textId="77777777" w:rsidR="002F39A0" w:rsidRPr="002F39A0" w:rsidRDefault="002F39A0" w:rsidP="00683B8A">
      <w:pPr>
        <w:pStyle w:val="Els-body-text"/>
        <w:rPr>
          <w:color w:val="FF0000"/>
        </w:rPr>
      </w:pPr>
    </w:p>
    <w:tbl>
      <w:tblPr>
        <w:tblStyle w:val="Grigliatabella"/>
        <w:tblW w:w="0" w:type="auto"/>
        <w:tblLook w:val="04A0" w:firstRow="1" w:lastRow="0" w:firstColumn="1" w:lastColumn="0" w:noHBand="0" w:noVBand="1"/>
      </w:tblPr>
      <w:tblGrid>
        <w:gridCol w:w="5949"/>
        <w:gridCol w:w="1127"/>
      </w:tblGrid>
      <w:tr w:rsidR="002F39A0" w:rsidRPr="002F39A0" w14:paraId="585F05EA" w14:textId="77777777" w:rsidTr="002F39A0">
        <w:tc>
          <w:tcPr>
            <w:tcW w:w="5949" w:type="dxa"/>
          </w:tcPr>
          <w:p w14:paraId="7CA8784C" w14:textId="6135F099" w:rsidR="002F39A0" w:rsidRPr="002F39A0" w:rsidRDefault="00B2778E" w:rsidP="002F39A0">
            <w:pPr>
              <w:pStyle w:val="Els-body-text"/>
              <w:keepNext/>
            </w:pPr>
            <m:oMathPara>
              <m:oMath>
                <m:sSub>
                  <m:sSubPr>
                    <m:ctrlPr>
                      <w:rPr>
                        <w:rFonts w:ascii="Cambria Math" w:hAnsi="Cambria Math" w:cs="Times New Roman"/>
                        <w:kern w:val="24"/>
                        <w:szCs w:val="24"/>
                      </w:rPr>
                    </m:ctrlPr>
                  </m:sSubPr>
                  <m:e>
                    <m:r>
                      <m:rPr>
                        <m:sty m:val="p"/>
                      </m:rPr>
                      <w:rPr>
                        <w:rFonts w:ascii="Cambria Math" w:hAnsi="Cambria Math" w:cs="Times New Roman"/>
                        <w:kern w:val="24"/>
                        <w:szCs w:val="24"/>
                      </w:rPr>
                      <m:t>η</m:t>
                    </m:r>
                  </m:e>
                  <m:sub>
                    <m:r>
                      <w:rPr>
                        <w:rFonts w:ascii="Cambria Math" w:hAnsi="Cambria Math" w:cs="Times New Roman"/>
                        <w:kern w:val="24"/>
                        <w:szCs w:val="24"/>
                      </w:rPr>
                      <m:t>energy</m:t>
                    </m:r>
                  </m:sub>
                </m:sSub>
                <m:r>
                  <m:rPr>
                    <m:sty m:val="p"/>
                  </m:rPr>
                  <w:rPr>
                    <w:rFonts w:ascii="Cambria Math" w:hAnsi="Cambria Math" w:cs="Times New Roman"/>
                    <w:kern w:val="24"/>
                    <w:szCs w:val="24"/>
                  </w:rPr>
                  <m:t>=</m:t>
                </m:r>
                <m:f>
                  <m:fPr>
                    <m:ctrlPr>
                      <w:rPr>
                        <w:rFonts w:ascii="Cambria Math" w:hAnsi="Cambria Math" w:cs="Times New Roman"/>
                        <w:iCs/>
                        <w:kern w:val="24"/>
                        <w:szCs w:val="24"/>
                      </w:rPr>
                    </m:ctrlPr>
                  </m:fPr>
                  <m:num>
                    <m:sSub>
                      <m:sSubPr>
                        <m:ctrlPr>
                          <w:rPr>
                            <w:rFonts w:ascii="Cambria Math" w:hAnsi="Cambria Math" w:cs="Times New Roman"/>
                            <w:i/>
                            <w:kern w:val="24"/>
                            <w:szCs w:val="24"/>
                          </w:rPr>
                        </m:ctrlPr>
                      </m:sSubPr>
                      <m:e>
                        <m:r>
                          <m:rPr>
                            <m:nor/>
                          </m:rPr>
                          <w:rPr>
                            <w:rFonts w:ascii="Times New Roman" w:hAnsi="Times New Roman" w:cs="Times New Roman"/>
                            <w:kern w:val="24"/>
                            <w:szCs w:val="24"/>
                          </w:rPr>
                          <m:t>LHV</m:t>
                        </m:r>
                      </m:e>
                      <m:sub>
                        <m:sSub>
                          <m:sSubPr>
                            <m:ctrlPr>
                              <w:rPr>
                                <w:rFonts w:ascii="Cambria Math" w:hAnsi="Cambria Math" w:cs="Times New Roman"/>
                                <w:i/>
                                <w:kern w:val="24"/>
                                <w:szCs w:val="24"/>
                              </w:rPr>
                            </m:ctrlPr>
                          </m:sSubPr>
                          <m:e>
                            <m:r>
                              <w:rPr>
                                <w:rFonts w:ascii="Cambria Math" w:hAnsi="Cambria Math" w:cs="Times New Roman"/>
                                <w:kern w:val="24"/>
                                <w:szCs w:val="24"/>
                              </w:rPr>
                              <m:t>H</m:t>
                            </m:r>
                          </m:e>
                          <m:sub>
                            <m:r>
                              <w:rPr>
                                <w:rFonts w:ascii="Cambria Math" w:hAnsi="Cambria Math" w:cs="Times New Roman"/>
                                <w:kern w:val="24"/>
                                <w:szCs w:val="24"/>
                              </w:rPr>
                              <m:t>2</m:t>
                            </m:r>
                          </m:sub>
                        </m:sSub>
                      </m:sub>
                    </m:sSub>
                    <m:r>
                      <w:rPr>
                        <w:rFonts w:ascii="Cambria Math" w:hAnsi="Cambria Math" w:cs="Times New Roman"/>
                        <w:kern w:val="24"/>
                        <w:szCs w:val="24"/>
                      </w:rPr>
                      <m:t>×</m:t>
                    </m:r>
                    <m:sSub>
                      <m:sSubPr>
                        <m:ctrlPr>
                          <w:rPr>
                            <w:rFonts w:ascii="Cambria Math" w:hAnsi="Cambria Math" w:cs="Times New Roman"/>
                            <w:i/>
                            <w:kern w:val="24"/>
                            <w:szCs w:val="24"/>
                          </w:rPr>
                        </m:ctrlPr>
                      </m:sSubPr>
                      <m:e>
                        <m:acc>
                          <m:accPr>
                            <m:chr m:val="̇"/>
                            <m:ctrlPr>
                              <w:rPr>
                                <w:rFonts w:ascii="Cambria Math" w:hAnsi="Cambria Math" w:cs="Times New Roman"/>
                                <w:i/>
                                <w:kern w:val="24"/>
                                <w:szCs w:val="24"/>
                              </w:rPr>
                            </m:ctrlPr>
                          </m:accPr>
                          <m:e>
                            <m:r>
                              <w:rPr>
                                <w:rFonts w:ascii="Cambria Math" w:hAnsi="Cambria Math" w:cs="Times New Roman"/>
                                <w:kern w:val="24"/>
                                <w:szCs w:val="24"/>
                              </w:rPr>
                              <m:t>N</m:t>
                            </m:r>
                          </m:e>
                        </m:acc>
                      </m:e>
                      <m:sub>
                        <m:sSub>
                          <m:sSubPr>
                            <m:ctrlPr>
                              <w:rPr>
                                <w:rFonts w:ascii="Cambria Math" w:hAnsi="Cambria Math" w:cs="Times New Roman"/>
                                <w:i/>
                                <w:kern w:val="24"/>
                                <w:szCs w:val="24"/>
                              </w:rPr>
                            </m:ctrlPr>
                          </m:sSubPr>
                          <m:e>
                            <m:r>
                              <w:rPr>
                                <w:rFonts w:ascii="Cambria Math" w:hAnsi="Cambria Math" w:cs="Times New Roman"/>
                                <w:kern w:val="24"/>
                                <w:szCs w:val="24"/>
                              </w:rPr>
                              <m:t>H</m:t>
                            </m:r>
                          </m:e>
                          <m:sub>
                            <m:r>
                              <w:rPr>
                                <w:rFonts w:ascii="Cambria Math" w:hAnsi="Cambria Math" w:cs="Times New Roman"/>
                                <w:kern w:val="24"/>
                                <w:szCs w:val="24"/>
                              </w:rPr>
                              <m:t>2</m:t>
                            </m:r>
                          </m:sub>
                        </m:sSub>
                        <m:r>
                          <w:rPr>
                            <w:rFonts w:ascii="Cambria Math" w:hAnsi="Cambria Math" w:cs="Times New Roman"/>
                            <w:kern w:val="24"/>
                            <w:szCs w:val="24"/>
                          </w:rPr>
                          <m:t>,</m:t>
                        </m:r>
                        <m:r>
                          <w:rPr>
                            <w:rFonts w:ascii="Cambria Math" w:hAnsi="Cambria Math" w:cs="Times New Roman"/>
                            <w:kern w:val="24"/>
                            <w:szCs w:val="24"/>
                          </w:rPr>
                          <m:t>out</m:t>
                        </m:r>
                      </m:sub>
                    </m:sSub>
                  </m:num>
                  <m:den>
                    <m:sSub>
                      <m:sSubPr>
                        <m:ctrlPr>
                          <w:rPr>
                            <w:rFonts w:ascii="Cambria Math" w:hAnsi="Cambria Math" w:cs="Times New Roman"/>
                            <w:i/>
                            <w:kern w:val="24"/>
                            <w:szCs w:val="24"/>
                          </w:rPr>
                        </m:ctrlPr>
                      </m:sSubPr>
                      <m:e>
                        <m:r>
                          <m:rPr>
                            <m:nor/>
                          </m:rPr>
                          <w:rPr>
                            <w:rFonts w:ascii="Times New Roman" w:hAnsi="Times New Roman" w:cs="Times New Roman"/>
                            <w:kern w:val="24"/>
                            <w:szCs w:val="24"/>
                          </w:rPr>
                          <m:t>LHV</m:t>
                        </m:r>
                      </m:e>
                      <m:sub>
                        <m:r>
                          <w:rPr>
                            <w:rFonts w:ascii="Cambria Math" w:hAnsi="Cambria Math" w:cs="Times New Roman"/>
                            <w:kern w:val="24"/>
                            <w:szCs w:val="24"/>
                          </w:rPr>
                          <m:t>N</m:t>
                        </m:r>
                        <m:sSub>
                          <m:sSubPr>
                            <m:ctrlPr>
                              <w:rPr>
                                <w:rFonts w:ascii="Cambria Math" w:hAnsi="Cambria Math" w:cs="Times New Roman"/>
                                <w:i/>
                                <w:kern w:val="24"/>
                                <w:szCs w:val="24"/>
                              </w:rPr>
                            </m:ctrlPr>
                          </m:sSubPr>
                          <m:e>
                            <m:r>
                              <w:rPr>
                                <w:rFonts w:ascii="Cambria Math" w:hAnsi="Cambria Math" w:cs="Times New Roman"/>
                                <w:kern w:val="24"/>
                                <w:szCs w:val="24"/>
                              </w:rPr>
                              <m:t>H</m:t>
                            </m:r>
                          </m:e>
                          <m:sub>
                            <m:r>
                              <w:rPr>
                                <w:rFonts w:ascii="Cambria Math" w:hAnsi="Cambria Math" w:cs="Times New Roman"/>
                                <w:kern w:val="24"/>
                                <w:szCs w:val="24"/>
                              </w:rPr>
                              <m:t>3</m:t>
                            </m:r>
                          </m:sub>
                        </m:sSub>
                      </m:sub>
                    </m:sSub>
                    <m:r>
                      <w:rPr>
                        <w:rFonts w:ascii="Cambria Math" w:hAnsi="Cambria Math" w:cs="Times New Roman"/>
                        <w:kern w:val="24"/>
                        <w:szCs w:val="24"/>
                      </w:rPr>
                      <m:t>×</m:t>
                    </m:r>
                    <m:sSub>
                      <m:sSubPr>
                        <m:ctrlPr>
                          <w:rPr>
                            <w:rFonts w:ascii="Cambria Math" w:hAnsi="Cambria Math" w:cs="Times New Roman"/>
                            <w:i/>
                            <w:kern w:val="24"/>
                            <w:szCs w:val="24"/>
                          </w:rPr>
                        </m:ctrlPr>
                      </m:sSubPr>
                      <m:e>
                        <m:acc>
                          <m:accPr>
                            <m:chr m:val="̇"/>
                            <m:ctrlPr>
                              <w:rPr>
                                <w:rFonts w:ascii="Cambria Math" w:hAnsi="Cambria Math" w:cs="Times New Roman"/>
                                <w:i/>
                                <w:kern w:val="24"/>
                                <w:szCs w:val="24"/>
                              </w:rPr>
                            </m:ctrlPr>
                          </m:accPr>
                          <m:e>
                            <m:r>
                              <w:rPr>
                                <w:rFonts w:ascii="Cambria Math" w:hAnsi="Cambria Math" w:cs="Times New Roman"/>
                                <w:kern w:val="24"/>
                                <w:szCs w:val="24"/>
                              </w:rPr>
                              <m:t>N</m:t>
                            </m:r>
                          </m:e>
                        </m:acc>
                      </m:e>
                      <m:sub>
                        <m:r>
                          <w:rPr>
                            <w:rFonts w:ascii="Cambria Math" w:hAnsi="Cambria Math" w:cs="Times New Roman"/>
                            <w:kern w:val="24"/>
                            <w:szCs w:val="24"/>
                          </w:rPr>
                          <m:t>N</m:t>
                        </m:r>
                        <m:sSub>
                          <m:sSubPr>
                            <m:ctrlPr>
                              <w:rPr>
                                <w:rFonts w:ascii="Cambria Math" w:hAnsi="Cambria Math" w:cs="Times New Roman"/>
                                <w:i/>
                                <w:kern w:val="24"/>
                                <w:szCs w:val="24"/>
                              </w:rPr>
                            </m:ctrlPr>
                          </m:sSubPr>
                          <m:e>
                            <m:r>
                              <w:rPr>
                                <w:rFonts w:ascii="Cambria Math" w:hAnsi="Cambria Math" w:cs="Times New Roman"/>
                                <w:kern w:val="24"/>
                                <w:szCs w:val="24"/>
                              </w:rPr>
                              <m:t>H</m:t>
                            </m:r>
                          </m:e>
                          <m:sub>
                            <m:r>
                              <w:rPr>
                                <w:rFonts w:ascii="Cambria Math" w:hAnsi="Cambria Math" w:cs="Times New Roman"/>
                                <w:kern w:val="24"/>
                                <w:szCs w:val="24"/>
                              </w:rPr>
                              <m:t>3</m:t>
                            </m:r>
                          </m:sub>
                        </m:sSub>
                        <m:r>
                          <w:rPr>
                            <w:rFonts w:ascii="Cambria Math" w:hAnsi="Cambria Math" w:cs="Times New Roman"/>
                            <w:kern w:val="24"/>
                            <w:szCs w:val="24"/>
                          </w:rPr>
                          <m:t>,</m:t>
                        </m:r>
                        <m:r>
                          <w:rPr>
                            <w:rFonts w:ascii="Cambria Math" w:hAnsi="Cambria Math" w:cs="Times New Roman"/>
                            <w:kern w:val="24"/>
                            <w:szCs w:val="24"/>
                          </w:rPr>
                          <m:t>f</m:t>
                        </m:r>
                        <m:r>
                          <w:rPr>
                            <w:rFonts w:ascii="Cambria Math" w:hAnsi="Cambria Math" w:cs="Times New Roman"/>
                            <w:kern w:val="24"/>
                            <w:szCs w:val="24"/>
                          </w:rPr>
                          <m:t>e</m:t>
                        </m:r>
                        <m:r>
                          <w:rPr>
                            <w:rFonts w:ascii="Cambria Math" w:hAnsi="Cambria Math" w:cs="Times New Roman"/>
                            <w:kern w:val="24"/>
                            <w:szCs w:val="24"/>
                          </w:rPr>
                          <m:t>ed</m:t>
                        </m:r>
                      </m:sub>
                    </m:sSub>
                    <m:r>
                      <w:rPr>
                        <w:rFonts w:ascii="Cambria Math" w:hAnsi="Cambria Math" w:cs="Times New Roman"/>
                        <w:kern w:val="24"/>
                        <w:szCs w:val="24"/>
                      </w:rPr>
                      <m:t>+</m:t>
                    </m:r>
                    <m:sSub>
                      <m:sSubPr>
                        <m:ctrlPr>
                          <w:rPr>
                            <w:rFonts w:ascii="Cambria Math" w:hAnsi="Cambria Math" w:cs="Times New Roman"/>
                            <w:iCs/>
                            <w:kern w:val="24"/>
                            <w:szCs w:val="24"/>
                          </w:rPr>
                        </m:ctrlPr>
                      </m:sSubPr>
                      <m:e>
                        <m:r>
                          <w:rPr>
                            <w:rFonts w:ascii="Cambria Math" w:hAnsi="Cambria Math" w:cs="Times New Roman"/>
                            <w:kern w:val="24"/>
                            <w:szCs w:val="24"/>
                          </w:rPr>
                          <m:t>Q</m:t>
                        </m:r>
                      </m:e>
                      <m:sub>
                        <m:r>
                          <w:rPr>
                            <w:rFonts w:ascii="Cambria Math" w:hAnsi="Cambria Math" w:cs="Times New Roman"/>
                            <w:kern w:val="24"/>
                            <w:szCs w:val="24"/>
                          </w:rPr>
                          <m:t>induction</m:t>
                        </m:r>
                      </m:sub>
                    </m:sSub>
                  </m:den>
                </m:f>
              </m:oMath>
            </m:oMathPara>
          </w:p>
        </w:tc>
        <w:tc>
          <w:tcPr>
            <w:tcW w:w="1127" w:type="dxa"/>
          </w:tcPr>
          <w:p w14:paraId="661BECF9" w14:textId="5458F539" w:rsidR="002F39A0" w:rsidRPr="002F39A0" w:rsidRDefault="002F39A0" w:rsidP="002F39A0">
            <w:pPr>
              <w:pStyle w:val="Didascalia"/>
              <w:keepNext/>
              <w:rPr>
                <w:rFonts w:ascii="Times New Roman" w:hAnsi="Times New Roman" w:cs="Times New Roman"/>
              </w:rPr>
            </w:pPr>
            <w:bookmarkStart w:id="2" w:name="_Ref151990063"/>
            <w:r w:rsidRPr="002F39A0">
              <w:rPr>
                <w:rFonts w:ascii="Times New Roman" w:hAnsi="Times New Roman" w:cs="Times New Roman"/>
              </w:rPr>
              <w:t xml:space="preserve">Eq. </w:t>
            </w:r>
            <w:r w:rsidRPr="002F39A0">
              <w:fldChar w:fldCharType="begin"/>
            </w:r>
            <w:r w:rsidRPr="002F39A0">
              <w:rPr>
                <w:rFonts w:ascii="Times New Roman" w:hAnsi="Times New Roman" w:cs="Times New Roman"/>
              </w:rPr>
              <w:instrText xml:space="preserve"> SEQ Eq. \* ARABIC </w:instrText>
            </w:r>
            <w:r w:rsidRPr="002F39A0">
              <w:fldChar w:fldCharType="separate"/>
            </w:r>
            <w:r w:rsidR="003665F6">
              <w:rPr>
                <w:rFonts w:ascii="Times New Roman" w:hAnsi="Times New Roman" w:cs="Times New Roman"/>
                <w:noProof/>
              </w:rPr>
              <w:t>1</w:t>
            </w:r>
            <w:r w:rsidRPr="002F39A0">
              <w:fldChar w:fldCharType="end"/>
            </w:r>
            <w:bookmarkEnd w:id="2"/>
          </w:p>
        </w:tc>
      </w:tr>
      <w:tr w:rsidR="002F39A0" w:rsidRPr="002F39A0" w14:paraId="046350A8" w14:textId="77777777" w:rsidTr="002F39A0">
        <w:tc>
          <w:tcPr>
            <w:tcW w:w="5949" w:type="dxa"/>
          </w:tcPr>
          <w:p w14:paraId="5072CCB4" w14:textId="31674103" w:rsidR="002F39A0" w:rsidRPr="002F39A0" w:rsidRDefault="00B2778E" w:rsidP="002F39A0">
            <w:pPr>
              <w:pStyle w:val="Els-body-text"/>
              <w:keepNext/>
            </w:pPr>
            <m:oMathPara>
              <m:oMath>
                <m:sSub>
                  <m:sSubPr>
                    <m:ctrlPr>
                      <w:rPr>
                        <w:rFonts w:ascii="Cambria Math" w:hAnsi="Cambria Math" w:cs="Times New Roman"/>
                        <w:i/>
                        <w:lang w:eastAsia="ko-KR"/>
                      </w:rPr>
                    </m:ctrlPr>
                  </m:sSubPr>
                  <m:e>
                    <m:r>
                      <w:rPr>
                        <w:rFonts w:ascii="Cambria Math" w:hAnsi="Cambria Math" w:cs="Times New Roman"/>
                        <w:lang w:eastAsia="ko-KR"/>
                      </w:rPr>
                      <m:t>η</m:t>
                    </m:r>
                  </m:e>
                  <m:sub>
                    <m:r>
                      <w:rPr>
                        <w:rFonts w:ascii="Cambria Math" w:hAnsi="Cambria Math" w:cs="Times New Roman"/>
                        <w:lang w:eastAsia="ko-KR"/>
                      </w:rPr>
                      <m:t>Exergy</m:t>
                    </m:r>
                  </m:sub>
                </m:sSub>
                <m:r>
                  <w:rPr>
                    <w:rFonts w:ascii="Cambria Math" w:hAnsi="Cambria Math" w:cs="Times New Roman"/>
                    <w:lang w:eastAsia="ko-KR"/>
                  </w:rPr>
                  <m:t>=</m:t>
                </m:r>
                <m:f>
                  <m:fPr>
                    <m:ctrlPr>
                      <w:rPr>
                        <w:rFonts w:ascii="Cambria Math" w:hAnsi="Cambria Math" w:cs="Times New Roman"/>
                        <w:i/>
                        <w:lang w:eastAsia="ko-KR"/>
                      </w:rPr>
                    </m:ctrlPr>
                  </m:fPr>
                  <m:num>
                    <m:sSub>
                      <m:sSubPr>
                        <m:ctrlPr>
                          <w:rPr>
                            <w:rFonts w:ascii="Cambria Math" w:hAnsi="Cambria Math" w:cs="Times New Roman"/>
                            <w:i/>
                            <w:lang w:eastAsia="ko-KR"/>
                          </w:rPr>
                        </m:ctrlPr>
                      </m:sSubPr>
                      <m:e>
                        <m:acc>
                          <m:accPr>
                            <m:chr m:val="̇"/>
                            <m:ctrlPr>
                              <w:rPr>
                                <w:rFonts w:ascii="Cambria Math" w:hAnsi="Cambria Math" w:cs="Times New Roman"/>
                                <w:i/>
                                <w:lang w:eastAsia="ko-KR"/>
                              </w:rPr>
                            </m:ctrlPr>
                          </m:accPr>
                          <m:e>
                            <m:r>
                              <w:rPr>
                                <w:rFonts w:ascii="Cambria Math" w:hAnsi="Cambria Math" w:cs="Times New Roman"/>
                                <w:lang w:eastAsia="ko-KR"/>
                              </w:rPr>
                              <m:t>E</m:t>
                            </m:r>
                          </m:e>
                        </m:acc>
                        <m:r>
                          <w:rPr>
                            <w:rFonts w:ascii="Cambria Math" w:hAnsi="Cambria Math" w:cs="Times New Roman"/>
                            <w:lang w:eastAsia="ko-KR"/>
                          </w:rPr>
                          <m:t>x</m:t>
                        </m:r>
                      </m:e>
                      <m:sub>
                        <m:r>
                          <w:rPr>
                            <w:rFonts w:ascii="Cambria Math" w:hAnsi="Cambria Math" w:cs="Times New Roman"/>
                            <w:lang w:eastAsia="ko-KR"/>
                          </w:rPr>
                          <m:t>in</m:t>
                        </m:r>
                        <m:r>
                          <w:rPr>
                            <w:rFonts w:ascii="Cambria Math" w:hAnsi="Cambria Math" w:cs="Times New Roman"/>
                            <w:lang w:eastAsia="ko-KR"/>
                          </w:rPr>
                          <m:t>,</m:t>
                        </m:r>
                        <m:r>
                          <w:rPr>
                            <w:rFonts w:ascii="Cambria Math" w:hAnsi="Cambria Math" w:cs="Times New Roman"/>
                            <w:lang w:eastAsia="ko-KR"/>
                          </w:rPr>
                          <m:t>total</m:t>
                        </m:r>
                      </m:sub>
                    </m:sSub>
                    <m:r>
                      <w:rPr>
                        <w:rFonts w:ascii="Cambria Math" w:hAnsi="Cambria Math" w:cs="Times New Roman"/>
                        <w:lang w:eastAsia="ko-KR"/>
                      </w:rPr>
                      <m:t>-</m:t>
                    </m:r>
                    <m:sSub>
                      <m:sSubPr>
                        <m:ctrlPr>
                          <w:rPr>
                            <w:rFonts w:ascii="Cambria Math" w:hAnsi="Cambria Math" w:cs="Times New Roman"/>
                            <w:i/>
                            <w:lang w:eastAsia="ko-KR"/>
                          </w:rPr>
                        </m:ctrlPr>
                      </m:sSubPr>
                      <m:e>
                        <m:acc>
                          <m:accPr>
                            <m:chr m:val="̇"/>
                            <m:ctrlPr>
                              <w:rPr>
                                <w:rFonts w:ascii="Cambria Math" w:hAnsi="Cambria Math" w:cs="Times New Roman"/>
                                <w:i/>
                                <w:lang w:eastAsia="ko-KR"/>
                              </w:rPr>
                            </m:ctrlPr>
                          </m:accPr>
                          <m:e>
                            <m:r>
                              <w:rPr>
                                <w:rFonts w:ascii="Cambria Math" w:hAnsi="Cambria Math" w:cs="Times New Roman"/>
                                <w:lang w:eastAsia="ko-KR"/>
                              </w:rPr>
                              <m:t>E</m:t>
                            </m:r>
                          </m:e>
                        </m:acc>
                        <m:r>
                          <w:rPr>
                            <w:rFonts w:ascii="Cambria Math" w:hAnsi="Cambria Math" w:cs="Times New Roman"/>
                            <w:lang w:eastAsia="ko-KR"/>
                          </w:rPr>
                          <m:t>x</m:t>
                        </m:r>
                      </m:e>
                      <m:sub>
                        <m:r>
                          <w:rPr>
                            <w:rFonts w:ascii="Cambria Math" w:hAnsi="Cambria Math" w:cs="Times New Roman"/>
                            <w:lang w:eastAsia="ko-KR"/>
                          </w:rPr>
                          <m:t>unused</m:t>
                        </m:r>
                        <m:r>
                          <w:rPr>
                            <w:rFonts w:ascii="Cambria Math" w:hAnsi="Cambria Math" w:cs="Times New Roman"/>
                            <w:lang w:eastAsia="ko-KR"/>
                          </w:rPr>
                          <m:t>,</m:t>
                        </m:r>
                        <m:r>
                          <w:rPr>
                            <w:rFonts w:ascii="Cambria Math" w:hAnsi="Cambria Math" w:cs="Times New Roman"/>
                            <w:lang w:eastAsia="ko-KR"/>
                          </w:rPr>
                          <m:t>total</m:t>
                        </m:r>
                      </m:sub>
                    </m:sSub>
                  </m:num>
                  <m:den>
                    <m:sSub>
                      <m:sSubPr>
                        <m:ctrlPr>
                          <w:rPr>
                            <w:rFonts w:ascii="Cambria Math" w:hAnsi="Cambria Math" w:cs="Times New Roman"/>
                            <w:i/>
                            <w:lang w:eastAsia="ko-KR"/>
                          </w:rPr>
                        </m:ctrlPr>
                      </m:sSubPr>
                      <m:e>
                        <m:acc>
                          <m:accPr>
                            <m:chr m:val="̇"/>
                            <m:ctrlPr>
                              <w:rPr>
                                <w:rFonts w:ascii="Cambria Math" w:hAnsi="Cambria Math" w:cs="Times New Roman"/>
                                <w:i/>
                                <w:lang w:eastAsia="ko-KR"/>
                              </w:rPr>
                            </m:ctrlPr>
                          </m:accPr>
                          <m:e>
                            <m:r>
                              <w:rPr>
                                <w:rFonts w:ascii="Cambria Math" w:hAnsi="Cambria Math" w:cs="Times New Roman"/>
                                <w:lang w:eastAsia="ko-KR"/>
                              </w:rPr>
                              <m:t>E</m:t>
                            </m:r>
                          </m:e>
                        </m:acc>
                        <m:r>
                          <w:rPr>
                            <w:rFonts w:ascii="Cambria Math" w:hAnsi="Cambria Math" w:cs="Times New Roman"/>
                            <w:lang w:eastAsia="ko-KR"/>
                          </w:rPr>
                          <m:t>x</m:t>
                        </m:r>
                      </m:e>
                      <m:sub>
                        <m:r>
                          <w:rPr>
                            <w:rFonts w:ascii="Cambria Math" w:hAnsi="Cambria Math" w:cs="Times New Roman"/>
                            <w:lang w:eastAsia="ko-KR"/>
                          </w:rPr>
                          <m:t>in</m:t>
                        </m:r>
                        <m:r>
                          <w:rPr>
                            <w:rFonts w:ascii="Cambria Math" w:hAnsi="Cambria Math" w:cs="Times New Roman"/>
                            <w:lang w:eastAsia="ko-KR"/>
                          </w:rPr>
                          <m:t>,</m:t>
                        </m:r>
                        <m:r>
                          <w:rPr>
                            <w:rFonts w:ascii="Cambria Math" w:hAnsi="Cambria Math" w:cs="Times New Roman"/>
                            <w:lang w:eastAsia="ko-KR"/>
                          </w:rPr>
                          <m:t>total</m:t>
                        </m:r>
                      </m:sub>
                    </m:sSub>
                  </m:den>
                </m:f>
                <m:r>
                  <w:rPr>
                    <w:rFonts w:ascii="Cambria Math" w:hAnsi="Cambria Math" w:cs="Times New Roman"/>
                    <w:lang w:eastAsia="ko-KR"/>
                  </w:rPr>
                  <m:t>=1-</m:t>
                </m:r>
                <m:f>
                  <m:fPr>
                    <m:ctrlPr>
                      <w:rPr>
                        <w:rFonts w:ascii="Cambria Math" w:hAnsi="Cambria Math" w:cs="Times New Roman"/>
                        <w:i/>
                        <w:lang w:eastAsia="ko-KR"/>
                      </w:rPr>
                    </m:ctrlPr>
                  </m:fPr>
                  <m:num>
                    <m:sSub>
                      <m:sSubPr>
                        <m:ctrlPr>
                          <w:rPr>
                            <w:rFonts w:ascii="Cambria Math" w:hAnsi="Cambria Math" w:cs="Times New Roman"/>
                            <w:i/>
                            <w:lang w:eastAsia="ko-KR"/>
                          </w:rPr>
                        </m:ctrlPr>
                      </m:sSubPr>
                      <m:e>
                        <m:acc>
                          <m:accPr>
                            <m:chr m:val="̇"/>
                            <m:ctrlPr>
                              <w:rPr>
                                <w:rFonts w:ascii="Cambria Math" w:hAnsi="Cambria Math" w:cs="Times New Roman"/>
                                <w:i/>
                                <w:lang w:eastAsia="ko-KR"/>
                              </w:rPr>
                            </m:ctrlPr>
                          </m:accPr>
                          <m:e>
                            <m:r>
                              <w:rPr>
                                <w:rFonts w:ascii="Cambria Math" w:hAnsi="Cambria Math" w:cs="Times New Roman"/>
                                <w:lang w:eastAsia="ko-KR"/>
                              </w:rPr>
                              <m:t>E</m:t>
                            </m:r>
                          </m:e>
                        </m:acc>
                        <m:r>
                          <w:rPr>
                            <w:rFonts w:ascii="Cambria Math" w:hAnsi="Cambria Math" w:cs="Times New Roman"/>
                            <w:lang w:eastAsia="ko-KR"/>
                          </w:rPr>
                          <m:t>x</m:t>
                        </m:r>
                      </m:e>
                      <m:sub>
                        <m:r>
                          <w:rPr>
                            <w:rFonts w:ascii="Cambria Math" w:hAnsi="Cambria Math" w:cs="Times New Roman"/>
                            <w:lang w:eastAsia="ko-KR"/>
                          </w:rPr>
                          <m:t>unused</m:t>
                        </m:r>
                        <m:r>
                          <w:rPr>
                            <w:rFonts w:ascii="Cambria Math" w:hAnsi="Cambria Math" w:cs="Times New Roman"/>
                            <w:lang w:eastAsia="ko-KR"/>
                          </w:rPr>
                          <m:t>,</m:t>
                        </m:r>
                        <m:r>
                          <w:rPr>
                            <w:rFonts w:ascii="Cambria Math" w:hAnsi="Cambria Math" w:cs="Times New Roman"/>
                            <w:lang w:eastAsia="ko-KR"/>
                          </w:rPr>
                          <m:t>total</m:t>
                        </m:r>
                      </m:sub>
                    </m:sSub>
                  </m:num>
                  <m:den>
                    <m:sSub>
                      <m:sSubPr>
                        <m:ctrlPr>
                          <w:rPr>
                            <w:rFonts w:ascii="Cambria Math" w:hAnsi="Cambria Math" w:cs="Times New Roman"/>
                            <w:i/>
                            <w:lang w:eastAsia="ko-KR"/>
                          </w:rPr>
                        </m:ctrlPr>
                      </m:sSubPr>
                      <m:e>
                        <m:acc>
                          <m:accPr>
                            <m:chr m:val="̇"/>
                            <m:ctrlPr>
                              <w:rPr>
                                <w:rFonts w:ascii="Cambria Math" w:hAnsi="Cambria Math" w:cs="Times New Roman"/>
                                <w:i/>
                                <w:lang w:eastAsia="ko-KR"/>
                              </w:rPr>
                            </m:ctrlPr>
                          </m:accPr>
                          <m:e>
                            <m:r>
                              <w:rPr>
                                <w:rFonts w:ascii="Cambria Math" w:hAnsi="Cambria Math" w:cs="Times New Roman"/>
                                <w:lang w:eastAsia="ko-KR"/>
                              </w:rPr>
                              <m:t>E</m:t>
                            </m:r>
                          </m:e>
                        </m:acc>
                        <m:r>
                          <w:rPr>
                            <w:rFonts w:ascii="Cambria Math" w:hAnsi="Cambria Math" w:cs="Times New Roman"/>
                            <w:lang w:eastAsia="ko-KR"/>
                          </w:rPr>
                          <m:t>x</m:t>
                        </m:r>
                      </m:e>
                      <m:sub>
                        <m:r>
                          <w:rPr>
                            <w:rFonts w:ascii="Cambria Math" w:hAnsi="Cambria Math" w:cs="Times New Roman"/>
                            <w:lang w:eastAsia="ko-KR"/>
                          </w:rPr>
                          <m:t>in</m:t>
                        </m:r>
                        <m:r>
                          <w:rPr>
                            <w:rFonts w:ascii="Cambria Math" w:hAnsi="Cambria Math" w:cs="Times New Roman"/>
                            <w:lang w:eastAsia="ko-KR"/>
                          </w:rPr>
                          <m:t>,</m:t>
                        </m:r>
                        <m:r>
                          <w:rPr>
                            <w:rFonts w:ascii="Cambria Math" w:hAnsi="Cambria Math" w:cs="Times New Roman"/>
                            <w:lang w:eastAsia="ko-KR"/>
                          </w:rPr>
                          <m:t>total</m:t>
                        </m:r>
                      </m:sub>
                    </m:sSub>
                  </m:den>
                </m:f>
              </m:oMath>
            </m:oMathPara>
          </w:p>
        </w:tc>
        <w:tc>
          <w:tcPr>
            <w:tcW w:w="1127" w:type="dxa"/>
          </w:tcPr>
          <w:p w14:paraId="5F240867" w14:textId="22868397" w:rsidR="002F39A0" w:rsidRPr="002F39A0" w:rsidRDefault="002F39A0" w:rsidP="002F39A0">
            <w:pPr>
              <w:pStyle w:val="Didascalia"/>
              <w:keepNext/>
              <w:rPr>
                <w:rFonts w:ascii="Times New Roman" w:hAnsi="Times New Roman" w:cs="Times New Roman"/>
              </w:rPr>
            </w:pPr>
            <w:bookmarkStart w:id="3" w:name="_Ref151990072"/>
            <w:r w:rsidRPr="002F39A0">
              <w:rPr>
                <w:rFonts w:ascii="Times New Roman" w:hAnsi="Times New Roman" w:cs="Times New Roman"/>
              </w:rPr>
              <w:t xml:space="preserve">Eq. </w:t>
            </w:r>
            <w:r w:rsidRPr="002F39A0">
              <w:fldChar w:fldCharType="begin"/>
            </w:r>
            <w:r w:rsidRPr="002F39A0">
              <w:rPr>
                <w:rFonts w:ascii="Times New Roman" w:hAnsi="Times New Roman" w:cs="Times New Roman"/>
              </w:rPr>
              <w:instrText xml:space="preserve"> SEQ Eq. \* ARABIC </w:instrText>
            </w:r>
            <w:r w:rsidRPr="002F39A0">
              <w:fldChar w:fldCharType="separate"/>
            </w:r>
            <w:r w:rsidR="003665F6">
              <w:rPr>
                <w:rFonts w:ascii="Times New Roman" w:hAnsi="Times New Roman" w:cs="Times New Roman"/>
                <w:noProof/>
              </w:rPr>
              <w:t>2</w:t>
            </w:r>
            <w:r w:rsidRPr="002F39A0">
              <w:fldChar w:fldCharType="end"/>
            </w:r>
            <w:bookmarkEnd w:id="3"/>
          </w:p>
        </w:tc>
      </w:tr>
      <w:tr w:rsidR="002F39A0" w:rsidRPr="002F39A0" w14:paraId="01E606DA" w14:textId="77777777" w:rsidTr="002F39A0">
        <w:tc>
          <w:tcPr>
            <w:tcW w:w="5949" w:type="dxa"/>
          </w:tcPr>
          <w:p w14:paraId="7119EC75" w14:textId="13B211F3" w:rsidR="002F39A0" w:rsidRPr="002F39A0" w:rsidRDefault="002F39A0" w:rsidP="002F39A0">
            <w:pPr>
              <w:pStyle w:val="Els-body-text"/>
              <w:keepNext/>
            </w:pPr>
            <m:oMathPara>
              <m:oMath>
                <m:r>
                  <w:rPr>
                    <w:rFonts w:ascii="Cambria Math" w:hAnsi="Cambria Math" w:cs="Times New Roman"/>
                    <w:color w:val="000000" w:themeColor="text1"/>
                    <w:szCs w:val="24"/>
                  </w:rPr>
                  <m:t>LCOH=</m:t>
                </m:r>
                <m:f>
                  <m:fPr>
                    <m:ctrlPr>
                      <w:rPr>
                        <w:rFonts w:ascii="Cambria Math" w:hAnsi="Cambria Math" w:cs="Times New Roman"/>
                        <w:i/>
                        <w:iCs/>
                        <w:color w:val="000000" w:themeColor="text1"/>
                        <w:szCs w:val="24"/>
                      </w:rPr>
                    </m:ctrlPr>
                  </m:fPr>
                  <m:num>
                    <m:r>
                      <w:rPr>
                        <w:rFonts w:ascii="Cambria Math" w:eastAsia="Cambria Math" w:hAnsi="Cambria Math" w:cs="Times New Roman"/>
                        <w:color w:val="000000" w:themeColor="text1"/>
                        <w:szCs w:val="24"/>
                      </w:rPr>
                      <m:t>CAPEX</m:t>
                    </m:r>
                    <m:r>
                      <w:rPr>
                        <w:rFonts w:ascii="Cambria Math" w:hAnsi="Cambria Math" w:cs="Times New Roman"/>
                        <w:kern w:val="24"/>
                        <w:szCs w:val="24"/>
                      </w:rPr>
                      <m:t>×CRF</m:t>
                    </m:r>
                    <m:r>
                      <w:rPr>
                        <w:rFonts w:ascii="Cambria Math" w:eastAsia="Cambria Math" w:hAnsi="Cambria Math" w:cs="Times New Roman"/>
                        <w:color w:val="000000" w:themeColor="text1"/>
                        <w:szCs w:val="24"/>
                      </w:rPr>
                      <m:t>+OPEX</m:t>
                    </m:r>
                  </m:num>
                  <m:den>
                    <m:sSub>
                      <m:sSubPr>
                        <m:ctrlPr>
                          <w:rPr>
                            <w:rFonts w:ascii="Cambria Math" w:hAnsi="Cambria Math" w:cs="Times New Roman"/>
                            <w:i/>
                            <w:iCs/>
                            <w:color w:val="000000" w:themeColor="text1"/>
                            <w:szCs w:val="24"/>
                          </w:rPr>
                        </m:ctrlPr>
                      </m:sSubPr>
                      <m:e>
                        <m:r>
                          <w:rPr>
                            <w:rFonts w:ascii="Cambria Math" w:hAnsi="Cambria Math" w:cs="Times New Roman"/>
                            <w:color w:val="000000" w:themeColor="text1"/>
                            <w:szCs w:val="24"/>
                          </w:rPr>
                          <m:t>P</m:t>
                        </m:r>
                      </m:e>
                      <m:sub>
                        <m:r>
                          <w:rPr>
                            <w:rFonts w:ascii="Cambria Math" w:hAnsi="Cambria Math" w:cs="Times New Roman"/>
                            <w:color w:val="000000" w:themeColor="text1"/>
                            <w:szCs w:val="24"/>
                          </w:rPr>
                          <m:t>hydrogen</m:t>
                        </m:r>
                      </m:sub>
                    </m:sSub>
                  </m:den>
                </m:f>
              </m:oMath>
            </m:oMathPara>
          </w:p>
        </w:tc>
        <w:tc>
          <w:tcPr>
            <w:tcW w:w="1127" w:type="dxa"/>
          </w:tcPr>
          <w:p w14:paraId="0A9143E3" w14:textId="3E230283" w:rsidR="002F39A0" w:rsidRPr="002F39A0" w:rsidRDefault="002F39A0" w:rsidP="002F39A0">
            <w:pPr>
              <w:pStyle w:val="Didascalia"/>
              <w:keepNext/>
              <w:rPr>
                <w:rFonts w:ascii="Times New Roman" w:hAnsi="Times New Roman" w:cs="Times New Roman"/>
              </w:rPr>
            </w:pPr>
            <w:bookmarkStart w:id="4" w:name="_Ref151990078"/>
            <w:r w:rsidRPr="002F39A0">
              <w:rPr>
                <w:rFonts w:ascii="Times New Roman" w:hAnsi="Times New Roman" w:cs="Times New Roman"/>
              </w:rPr>
              <w:t xml:space="preserve">Eq. </w:t>
            </w:r>
            <w:r w:rsidRPr="002F39A0">
              <w:fldChar w:fldCharType="begin"/>
            </w:r>
            <w:r w:rsidRPr="002F39A0">
              <w:rPr>
                <w:rFonts w:ascii="Times New Roman" w:hAnsi="Times New Roman" w:cs="Times New Roman"/>
              </w:rPr>
              <w:instrText xml:space="preserve"> SEQ Eq. \* ARABIC </w:instrText>
            </w:r>
            <w:r w:rsidRPr="002F39A0">
              <w:fldChar w:fldCharType="separate"/>
            </w:r>
            <w:r w:rsidR="003665F6">
              <w:rPr>
                <w:rFonts w:ascii="Times New Roman" w:hAnsi="Times New Roman" w:cs="Times New Roman"/>
                <w:noProof/>
              </w:rPr>
              <w:t>3</w:t>
            </w:r>
            <w:r w:rsidRPr="002F39A0">
              <w:fldChar w:fldCharType="end"/>
            </w:r>
            <w:bookmarkEnd w:id="4"/>
          </w:p>
        </w:tc>
      </w:tr>
      <w:tr w:rsidR="002F39A0" w:rsidRPr="002F39A0" w14:paraId="53C90F69" w14:textId="77777777" w:rsidTr="002F39A0">
        <w:tc>
          <w:tcPr>
            <w:tcW w:w="5949" w:type="dxa"/>
          </w:tcPr>
          <w:p w14:paraId="70A19330" w14:textId="6D5BF59F" w:rsidR="002F39A0" w:rsidRPr="002F39A0" w:rsidRDefault="002F39A0" w:rsidP="002F39A0">
            <w:pPr>
              <w:pStyle w:val="Els-body-text"/>
              <w:keepNext/>
            </w:pPr>
            <m:oMathPara>
              <m:oMath>
                <m:r>
                  <w:rPr>
                    <w:rFonts w:ascii="Cambria Math" w:hAnsi="Cambria Math" w:cs="Times New Roman"/>
                    <w:szCs w:val="24"/>
                  </w:rPr>
                  <m:t>CRF=</m:t>
                </m:r>
                <m:f>
                  <m:fPr>
                    <m:ctrlPr>
                      <w:rPr>
                        <w:rFonts w:ascii="Cambria Math" w:hAnsi="Cambria Math" w:cs="Times New Roman"/>
                        <w:i/>
                        <w:iCs/>
                        <w:szCs w:val="24"/>
                      </w:rPr>
                    </m:ctrlPr>
                  </m:fPr>
                  <m:num>
                    <m:r>
                      <w:rPr>
                        <w:rFonts w:ascii="Cambria Math" w:hAnsi="Cambria Math" w:cs="Times New Roman"/>
                        <w:szCs w:val="24"/>
                      </w:rPr>
                      <m:t>1-</m:t>
                    </m:r>
                    <m:sSup>
                      <m:sSupPr>
                        <m:ctrlPr>
                          <w:rPr>
                            <w:rFonts w:ascii="Cambria Math" w:hAnsi="Cambria Math" w:cs="Times New Roman"/>
                            <w:i/>
                            <w:iCs/>
                            <w:szCs w:val="24"/>
                          </w:rPr>
                        </m:ctrlPr>
                      </m:sSupPr>
                      <m:e>
                        <m:d>
                          <m:dPr>
                            <m:ctrlPr>
                              <w:rPr>
                                <w:rFonts w:ascii="Cambria Math" w:hAnsi="Cambria Math" w:cs="Times New Roman"/>
                                <w:i/>
                                <w:iCs/>
                                <w:szCs w:val="24"/>
                              </w:rPr>
                            </m:ctrlPr>
                          </m:dPr>
                          <m:e>
                            <m:r>
                              <w:rPr>
                                <w:rFonts w:ascii="Cambria Math" w:hAnsi="Cambria Math" w:cs="Times New Roman"/>
                                <w:szCs w:val="24"/>
                              </w:rPr>
                              <m:t>1+r</m:t>
                            </m:r>
                          </m:e>
                        </m:d>
                      </m:e>
                      <m:sup>
                        <m:r>
                          <w:rPr>
                            <w:rFonts w:ascii="Cambria Math" w:hAnsi="Cambria Math" w:cs="Times New Roman"/>
                            <w:szCs w:val="24"/>
                          </w:rPr>
                          <m:t>-t</m:t>
                        </m:r>
                      </m:sup>
                    </m:sSup>
                  </m:num>
                  <m:den>
                    <m:r>
                      <w:rPr>
                        <w:rFonts w:ascii="Cambria Math" w:hAnsi="Cambria Math" w:cs="Times New Roman"/>
                        <w:szCs w:val="24"/>
                      </w:rPr>
                      <m:t>r</m:t>
                    </m:r>
                  </m:den>
                </m:f>
              </m:oMath>
            </m:oMathPara>
          </w:p>
        </w:tc>
        <w:tc>
          <w:tcPr>
            <w:tcW w:w="1127" w:type="dxa"/>
          </w:tcPr>
          <w:p w14:paraId="019888E9" w14:textId="4386F743" w:rsidR="002F39A0" w:rsidRPr="002F39A0" w:rsidRDefault="002F39A0" w:rsidP="002F39A0">
            <w:pPr>
              <w:pStyle w:val="Didascalia"/>
              <w:keepNext/>
              <w:rPr>
                <w:rFonts w:ascii="Times New Roman" w:hAnsi="Times New Roman" w:cs="Times New Roman"/>
              </w:rPr>
            </w:pPr>
            <w:bookmarkStart w:id="5" w:name="_Ref151990086"/>
            <w:r w:rsidRPr="002F39A0">
              <w:rPr>
                <w:rFonts w:ascii="Times New Roman" w:hAnsi="Times New Roman" w:cs="Times New Roman"/>
              </w:rPr>
              <w:t xml:space="preserve">Eq. </w:t>
            </w:r>
            <w:r w:rsidRPr="002F39A0">
              <w:fldChar w:fldCharType="begin"/>
            </w:r>
            <w:r w:rsidRPr="002F39A0">
              <w:rPr>
                <w:rFonts w:ascii="Times New Roman" w:hAnsi="Times New Roman" w:cs="Times New Roman"/>
              </w:rPr>
              <w:instrText xml:space="preserve"> SEQ Eq. \* ARABIC </w:instrText>
            </w:r>
            <w:r w:rsidRPr="002F39A0">
              <w:fldChar w:fldCharType="separate"/>
            </w:r>
            <w:r w:rsidR="003665F6">
              <w:rPr>
                <w:rFonts w:ascii="Times New Roman" w:hAnsi="Times New Roman" w:cs="Times New Roman"/>
                <w:noProof/>
              </w:rPr>
              <w:t>4</w:t>
            </w:r>
            <w:r w:rsidRPr="002F39A0">
              <w:fldChar w:fldCharType="end"/>
            </w:r>
            <w:bookmarkEnd w:id="5"/>
          </w:p>
        </w:tc>
      </w:tr>
    </w:tbl>
    <w:p w14:paraId="47CA3C07" w14:textId="77777777" w:rsidR="00683B8A" w:rsidRDefault="00683B8A" w:rsidP="00683B8A">
      <w:pPr>
        <w:pStyle w:val="Els-body-text"/>
      </w:pPr>
    </w:p>
    <w:p w14:paraId="30E092B6" w14:textId="5A33A5B4" w:rsidR="00683B8A" w:rsidRPr="00683B8A" w:rsidRDefault="00683B8A" w:rsidP="00683B8A">
      <w:pPr>
        <w:pStyle w:val="Els-3rdorder-head"/>
      </w:pPr>
      <w:r>
        <w:rPr>
          <w:lang w:eastAsia="ko-KR"/>
        </w:rPr>
        <w:t>Life</w:t>
      </w:r>
      <w:r w:rsidR="00B2285E">
        <w:rPr>
          <w:lang w:eastAsia="ko-KR"/>
        </w:rPr>
        <w:t xml:space="preserve"> </w:t>
      </w:r>
      <w:r>
        <w:rPr>
          <w:lang w:eastAsia="ko-KR"/>
        </w:rPr>
        <w:t>cycle assessment</w:t>
      </w:r>
    </w:p>
    <w:p w14:paraId="6D6805FC" w14:textId="77777777" w:rsidR="00683B8A" w:rsidRDefault="00683B8A" w:rsidP="00683B8A">
      <w:pPr>
        <w:pStyle w:val="Els-body-text"/>
        <w:ind w:firstLineChars="50" w:firstLine="100"/>
      </w:pPr>
      <w:r>
        <w:t>Life Cycle Assessment (LCA) was conducted to compare the environmental burden of each ammonia decomposition process. The LCA adhered to the standards outlined in ISO 14040 and ISO 14044. Greenhouse gas (GHG) emissions were evaluated for each process. The functional unit set to 1 kg H</w:t>
      </w:r>
      <w:r w:rsidRPr="00FF55A0">
        <w:rPr>
          <w:vertAlign w:val="subscript"/>
        </w:rPr>
        <w:t>2</w:t>
      </w:r>
      <w:r>
        <w:t xml:space="preserve"> with a purity of 99.9%, consistent with economic evaluation.  </w:t>
      </w:r>
    </w:p>
    <w:p w14:paraId="4ABA896F" w14:textId="77777777" w:rsidR="00683B8A" w:rsidRDefault="00683B8A" w:rsidP="00683B8A">
      <w:pPr>
        <w:pStyle w:val="Els-body-text"/>
        <w:ind w:firstLineChars="50" w:firstLine="100"/>
      </w:pPr>
      <w:r>
        <w:t xml:space="preserve">The scope of this study is cradle-to-gate, covering all the production steps from raw-material extraction to the hydrogen product. </w:t>
      </w:r>
    </w:p>
    <w:p w14:paraId="71374EF3" w14:textId="1D1DD6F1" w:rsidR="00683B8A" w:rsidRDefault="00683B8A" w:rsidP="00683B8A">
      <w:pPr>
        <w:pStyle w:val="Els-body-text"/>
        <w:ind w:firstLineChars="50" w:firstLine="100"/>
      </w:pPr>
      <w:r>
        <w:t xml:space="preserve">The ammonia used as a raw material is assumed to be liquid ammonia produced in Australia and transported over a distance of 9000 km via a heavy oil-powered ship. The </w:t>
      </w:r>
      <w:r>
        <w:lastRenderedPageBreak/>
        <w:t>results of LCA using gray, blue, and green ammonia as raw materials were compared.</w:t>
      </w:r>
      <w:r w:rsidR="00B2285E">
        <w:t xml:space="preserve"> </w:t>
      </w:r>
      <w:r>
        <w:t xml:space="preserve">The electricity source was assumed to be grid electricity. </w:t>
      </w:r>
    </w:p>
    <w:p w14:paraId="144DE6A0" w14:textId="0B077068" w:rsidR="008D2649" w:rsidRDefault="00683B8A" w:rsidP="00683B8A">
      <w:pPr>
        <w:pStyle w:val="Els-body-text"/>
        <w:ind w:firstLineChars="50" w:firstLine="100"/>
      </w:pPr>
      <w:r>
        <w:t xml:space="preserve">The CML-IA baseline V3.09 method was used for life cycle impact assessment (LCIA). In this study, only GHG emissions </w:t>
      </w:r>
      <w:r w:rsidR="003C769E" w:rsidRPr="00AA6C99">
        <w:t xml:space="preserve">were </w:t>
      </w:r>
      <w:r>
        <w:t>considered.</w:t>
      </w:r>
    </w:p>
    <w:p w14:paraId="144DE6A1" w14:textId="0D6CD539" w:rsidR="008D2649" w:rsidRPr="00A94774" w:rsidRDefault="00B2285E" w:rsidP="008D2649">
      <w:pPr>
        <w:pStyle w:val="Els-1storder-head"/>
        <w:spacing w:after="120"/>
        <w:rPr>
          <w:lang w:val="en-GB"/>
        </w:rPr>
      </w:pPr>
      <w:r>
        <w:rPr>
          <w:lang w:val="en-GB"/>
        </w:rPr>
        <w:t>Result and discussion</w:t>
      </w:r>
    </w:p>
    <w:p w14:paraId="12C68ADC" w14:textId="6279F02C" w:rsidR="00B2285E" w:rsidRPr="00B2285E" w:rsidRDefault="00B2285E" w:rsidP="008D2649">
      <w:pPr>
        <w:pStyle w:val="Els-2ndorder-head"/>
      </w:pPr>
      <w:r>
        <w:rPr>
          <w:lang w:eastAsia="ko-KR"/>
        </w:rPr>
        <w:t>Techno-economic analysis</w:t>
      </w:r>
    </w:p>
    <w:p w14:paraId="59CFD846" w14:textId="77777777" w:rsidR="00B2285E" w:rsidRDefault="00B2285E" w:rsidP="00B2285E">
      <w:pPr>
        <w:pStyle w:val="Els-body-text"/>
        <w:keepNext/>
      </w:pPr>
      <w:r>
        <w:rPr>
          <w:noProof/>
        </w:rPr>
        <w:drawing>
          <wp:inline distT="0" distB="0" distL="0" distR="0" wp14:anchorId="69950BCA" wp14:editId="6489CFC1">
            <wp:extent cx="4485585" cy="1590140"/>
            <wp:effectExtent l="0" t="0" r="0" b="0"/>
            <wp:docPr id="38666521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65210" name="그림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485585" cy="1590140"/>
                    </a:xfrm>
                    <a:prstGeom prst="rect">
                      <a:avLst/>
                    </a:prstGeom>
                    <a:noFill/>
                  </pic:spPr>
                </pic:pic>
              </a:graphicData>
            </a:graphic>
          </wp:inline>
        </w:drawing>
      </w:r>
    </w:p>
    <w:p w14:paraId="144DE6A2" w14:textId="28DEC799" w:rsidR="008D2649" w:rsidRDefault="00B2285E" w:rsidP="00B2285E">
      <w:pPr>
        <w:pStyle w:val="Didascalia"/>
        <w:jc w:val="both"/>
        <w:rPr>
          <w:lang w:val="en-GB"/>
        </w:rPr>
      </w:pPr>
      <w:bookmarkStart w:id="6" w:name="_Ref151993870"/>
      <w:r>
        <w:t xml:space="preserve">Figure </w:t>
      </w:r>
      <w:r>
        <w:fldChar w:fldCharType="begin"/>
      </w:r>
      <w:r>
        <w:instrText xml:space="preserve"> SEQ Figure \* ARABIC </w:instrText>
      </w:r>
      <w:r>
        <w:fldChar w:fldCharType="separate"/>
      </w:r>
      <w:r w:rsidR="003665F6">
        <w:rPr>
          <w:noProof/>
        </w:rPr>
        <w:t>2</w:t>
      </w:r>
      <w:r>
        <w:fldChar w:fldCharType="end"/>
      </w:r>
      <w:bookmarkEnd w:id="6"/>
      <w:r>
        <w:t xml:space="preserve"> (a) thermal and exergy efficiency (b) LCOH of each process</w:t>
      </w:r>
    </w:p>
    <w:p w14:paraId="06F7545B" w14:textId="7AD27247" w:rsidR="00B2285E" w:rsidRPr="00B2285E" w:rsidRDefault="00B2285E" w:rsidP="00B2285E">
      <w:pPr>
        <w:pStyle w:val="Els-body-text"/>
        <w:ind w:firstLineChars="50" w:firstLine="100"/>
        <w:rPr>
          <w:lang w:val="en-GB"/>
        </w:rPr>
      </w:pPr>
      <w:r w:rsidRPr="00B2285E">
        <w:rPr>
          <w:lang w:val="en-GB"/>
        </w:rPr>
        <w:t>All proposed cases demonstrated improved efficiency compared to the base case (</w:t>
      </w:r>
      <w:r w:rsidR="00BC5EC7">
        <w:rPr>
          <w:lang w:val="en-GB"/>
        </w:rPr>
        <w:fldChar w:fldCharType="begin"/>
      </w:r>
      <w:r w:rsidR="00BC5EC7">
        <w:rPr>
          <w:lang w:val="en-GB"/>
        </w:rPr>
        <w:instrText xml:space="preserve"> REF _Ref151993870 \h </w:instrText>
      </w:r>
      <w:r w:rsidR="00BC5EC7">
        <w:rPr>
          <w:lang w:val="en-GB"/>
        </w:rPr>
      </w:r>
      <w:r w:rsidR="00BC5EC7">
        <w:rPr>
          <w:lang w:val="en-GB"/>
        </w:rPr>
        <w:fldChar w:fldCharType="separate"/>
      </w:r>
      <w:r w:rsidR="003665F6">
        <w:t xml:space="preserve">Figure </w:t>
      </w:r>
      <w:r w:rsidR="003665F6">
        <w:rPr>
          <w:noProof/>
        </w:rPr>
        <w:t>2</w:t>
      </w:r>
      <w:r w:rsidR="00BC5EC7">
        <w:rPr>
          <w:lang w:val="en-GB"/>
        </w:rPr>
        <w:fldChar w:fldCharType="end"/>
      </w:r>
      <w:r w:rsidRPr="00B2285E">
        <w:rPr>
          <w:lang w:val="en-GB"/>
        </w:rPr>
        <w:t>). Due to increased hydrogen recovery, the Pd-membrane case exhibited the highest thermal and exergy efficiencies of 78.29% and 64.02%, respectively. The case with the second highest was the SOFC, which showed thermal and exergy efficiency of 76.58% and 60.73%, respectively. PEMFC and the burner showed similar thermal and exergy efficiencies but demonstrated lower performance than SOFC and Pd-membrane.</w:t>
      </w:r>
    </w:p>
    <w:p w14:paraId="32EB3F87" w14:textId="1FB52E6B" w:rsidR="00B2285E" w:rsidRDefault="00B2285E" w:rsidP="00B2285E">
      <w:pPr>
        <w:pStyle w:val="Els-body-text"/>
        <w:ind w:firstLineChars="50" w:firstLine="100"/>
        <w:rPr>
          <w:lang w:val="en-GB"/>
        </w:rPr>
      </w:pPr>
      <w:r w:rsidRPr="00B2285E">
        <w:rPr>
          <w:lang w:val="en-GB"/>
        </w:rPr>
        <w:t>In economic analysis, the LCOH for PEMFC was the lowest, at 6.93 USD/kgH</w:t>
      </w:r>
      <w:r w:rsidRPr="00BC5EC7">
        <w:rPr>
          <w:vertAlign w:val="subscript"/>
          <w:lang w:val="en-GB"/>
        </w:rPr>
        <w:t>2</w:t>
      </w:r>
      <w:r w:rsidRPr="00B2285E">
        <w:rPr>
          <w:lang w:val="en-GB"/>
        </w:rPr>
        <w:t>, indicating a lower cost than the base case with an LCOH of 6.98 USD/kgH</w:t>
      </w:r>
      <w:r w:rsidRPr="00BC5EC7">
        <w:rPr>
          <w:vertAlign w:val="subscript"/>
          <w:lang w:val="en-GB"/>
        </w:rPr>
        <w:t>2</w:t>
      </w:r>
      <w:r w:rsidRPr="00B2285E">
        <w:rPr>
          <w:lang w:val="en-GB"/>
        </w:rPr>
        <w:t xml:space="preserve">. For the other cases, the increased cost of the newly added unit was more significant than the economic improvement resulting from the efficiency enhancements, resulting in higher LCOH than the base case. </w:t>
      </w:r>
      <w:r w:rsidRPr="00AA6C99">
        <w:rPr>
          <w:lang w:val="en-GB"/>
        </w:rPr>
        <w:t>Despite the highest efficiency improvement, the Pd-membrane case had a higher LCOH than</w:t>
      </w:r>
      <w:r w:rsidR="003C769E" w:rsidRPr="00AA6C99">
        <w:rPr>
          <w:lang w:val="en-GB"/>
        </w:rPr>
        <w:t xml:space="preserve"> the</w:t>
      </w:r>
      <w:r w:rsidRPr="00AA6C99">
        <w:rPr>
          <w:lang w:val="en-GB"/>
        </w:rPr>
        <w:t xml:space="preserve"> </w:t>
      </w:r>
      <w:r w:rsidRPr="00B2285E">
        <w:rPr>
          <w:lang w:val="en-GB"/>
        </w:rPr>
        <w:t>base case.</w:t>
      </w:r>
    </w:p>
    <w:p w14:paraId="073A5819" w14:textId="77777777" w:rsidR="00B2285E" w:rsidRDefault="00B2285E" w:rsidP="008D2649">
      <w:pPr>
        <w:pStyle w:val="Els-body-text"/>
      </w:pPr>
    </w:p>
    <w:p w14:paraId="30BC7E4D" w14:textId="6F3187CD" w:rsidR="00B2285E" w:rsidRPr="002D193D" w:rsidRDefault="00B2285E" w:rsidP="00B2285E">
      <w:pPr>
        <w:pStyle w:val="Els-2ndorder-head"/>
      </w:pPr>
      <w:r>
        <w:rPr>
          <w:rFonts w:hint="eastAsia"/>
          <w:lang w:eastAsia="ko-KR"/>
        </w:rPr>
        <w:t>L</w:t>
      </w:r>
      <w:r>
        <w:rPr>
          <w:lang w:eastAsia="ko-KR"/>
        </w:rPr>
        <w:t xml:space="preserve">ife cycle </w:t>
      </w:r>
      <w:proofErr w:type="spellStart"/>
      <w:r>
        <w:rPr>
          <w:lang w:eastAsia="ko-KR"/>
        </w:rPr>
        <w:t>assessement</w:t>
      </w:r>
      <w:proofErr w:type="spellEnd"/>
    </w:p>
    <w:p w14:paraId="57B266F7" w14:textId="39BA746F" w:rsidR="00B2285E" w:rsidRPr="00AA6C99" w:rsidRDefault="00BC5EC7" w:rsidP="00B2285E">
      <w:pPr>
        <w:pStyle w:val="Els-body-text"/>
        <w:ind w:firstLineChars="50" w:firstLine="100"/>
        <w:rPr>
          <w:lang w:val="en-GB"/>
        </w:rPr>
      </w:pPr>
      <w:r>
        <w:rPr>
          <w:lang w:val="en-GB"/>
        </w:rPr>
        <w:fldChar w:fldCharType="begin"/>
      </w:r>
      <w:r>
        <w:rPr>
          <w:lang w:val="en-GB"/>
        </w:rPr>
        <w:instrText xml:space="preserve"> REF _Ref151994111 \h </w:instrText>
      </w:r>
      <w:r>
        <w:rPr>
          <w:lang w:val="en-GB"/>
        </w:rPr>
      </w:r>
      <w:r>
        <w:rPr>
          <w:lang w:val="en-GB"/>
        </w:rPr>
        <w:fldChar w:fldCharType="separate"/>
      </w:r>
      <w:r w:rsidR="003665F6">
        <w:t xml:space="preserve">Figure </w:t>
      </w:r>
      <w:r w:rsidR="003665F6">
        <w:rPr>
          <w:noProof/>
        </w:rPr>
        <w:t>3</w:t>
      </w:r>
      <w:r>
        <w:rPr>
          <w:lang w:val="en-GB"/>
        </w:rPr>
        <w:fldChar w:fldCharType="end"/>
      </w:r>
      <w:r w:rsidR="00B2285E" w:rsidRPr="00B2285E">
        <w:rPr>
          <w:lang w:val="en-GB"/>
        </w:rPr>
        <w:t xml:space="preserve"> </w:t>
      </w:r>
      <w:r w:rsidR="00B2285E" w:rsidRPr="00AA6C99">
        <w:rPr>
          <w:lang w:val="en-GB"/>
        </w:rPr>
        <w:t xml:space="preserve">shows </w:t>
      </w:r>
      <w:r w:rsidR="003C769E" w:rsidRPr="00AA6C99">
        <w:rPr>
          <w:lang w:val="en-GB"/>
        </w:rPr>
        <w:t xml:space="preserve">an </w:t>
      </w:r>
      <w:r w:rsidR="00B2285E" w:rsidRPr="00AA6C99">
        <w:rPr>
          <w:lang w:val="en-GB"/>
        </w:rPr>
        <w:t xml:space="preserve">LCA result of each ammonia decomposition process. Excluding the Pd-membrane process, the others have the same amount of ammonia feed and hydrogen product. The Pd-membrane case has the same amount of ammonia feed </w:t>
      </w:r>
      <w:r w:rsidR="003C769E" w:rsidRPr="00AA6C99">
        <w:rPr>
          <w:lang w:val="en-GB"/>
        </w:rPr>
        <w:t xml:space="preserve">as </w:t>
      </w:r>
      <w:r w:rsidR="00B2285E" w:rsidRPr="00AA6C99">
        <w:rPr>
          <w:lang w:val="en-GB"/>
        </w:rPr>
        <w:t>other processes and larger hydrogen production, resulting in reduced GHG emissions at the ammonia production stage.</w:t>
      </w:r>
    </w:p>
    <w:p w14:paraId="722502A5" w14:textId="77777777" w:rsidR="00B2285E" w:rsidRPr="00B2285E" w:rsidRDefault="00B2285E" w:rsidP="00B2285E">
      <w:pPr>
        <w:pStyle w:val="Els-body-text"/>
        <w:ind w:firstLineChars="50" w:firstLine="100"/>
        <w:rPr>
          <w:lang w:val="en-GB"/>
        </w:rPr>
      </w:pPr>
      <w:r w:rsidRPr="00B2285E">
        <w:rPr>
          <w:lang w:val="en-GB"/>
        </w:rPr>
        <w:t xml:space="preserve">When using </w:t>
      </w:r>
      <w:proofErr w:type="spellStart"/>
      <w:r w:rsidRPr="00B2285E">
        <w:rPr>
          <w:lang w:val="en-GB"/>
        </w:rPr>
        <w:t>gray</w:t>
      </w:r>
      <w:proofErr w:type="spellEnd"/>
      <w:r w:rsidRPr="00B2285E">
        <w:rPr>
          <w:lang w:val="en-GB"/>
        </w:rPr>
        <w:t xml:space="preserve"> ammonia, the ammonia production stage accounted for the largest portion of GHG emissions. Thus, the Pd-membrane case shows the lowest GHG emission at 27.87 kgCO</w:t>
      </w:r>
      <w:r w:rsidRPr="00BC5EC7">
        <w:rPr>
          <w:vertAlign w:val="subscript"/>
          <w:lang w:val="en-GB"/>
        </w:rPr>
        <w:t>2</w:t>
      </w:r>
      <w:r w:rsidRPr="00B2285E">
        <w:rPr>
          <w:lang w:val="en-GB"/>
        </w:rPr>
        <w:t>eq/kgH</w:t>
      </w:r>
      <w:r w:rsidRPr="00BC5EC7">
        <w:rPr>
          <w:vertAlign w:val="subscript"/>
          <w:lang w:val="en-GB"/>
        </w:rPr>
        <w:t>2</w:t>
      </w:r>
      <w:r w:rsidRPr="00B2285E">
        <w:rPr>
          <w:lang w:val="en-GB"/>
        </w:rPr>
        <w:t>.</w:t>
      </w:r>
    </w:p>
    <w:p w14:paraId="144DE6A4" w14:textId="3CB574CE" w:rsidR="008D2649" w:rsidRDefault="00B2285E" w:rsidP="00B2285E">
      <w:pPr>
        <w:pStyle w:val="Els-body-text"/>
        <w:ind w:firstLineChars="50" w:firstLine="100"/>
        <w:rPr>
          <w:lang w:val="en-GB"/>
        </w:rPr>
      </w:pPr>
      <w:r w:rsidRPr="00B2285E">
        <w:rPr>
          <w:lang w:val="en-GB"/>
        </w:rPr>
        <w:t>However, the SOFC showed the lowest GHG emission of 16.93 and 4.60 kgCO</w:t>
      </w:r>
      <w:r w:rsidRPr="00BC5EC7">
        <w:rPr>
          <w:vertAlign w:val="subscript"/>
          <w:lang w:val="en-GB"/>
        </w:rPr>
        <w:t>2</w:t>
      </w:r>
      <w:r w:rsidRPr="00B2285E">
        <w:rPr>
          <w:lang w:val="en-GB"/>
        </w:rPr>
        <w:t>eq/kgH</w:t>
      </w:r>
      <w:r w:rsidRPr="00BC5EC7">
        <w:rPr>
          <w:vertAlign w:val="subscript"/>
          <w:lang w:val="en-GB"/>
        </w:rPr>
        <w:t>2</w:t>
      </w:r>
      <w:r w:rsidRPr="00B2285E">
        <w:rPr>
          <w:lang w:val="en-GB"/>
        </w:rPr>
        <w:t xml:space="preserve"> when using blue and green ammonia, respectively. When using green ammonia, the decomposition stage constitutes the dominant portion of the overall GHG emissions. Thus, when using green or blue ammonia, processes with lower GHG emissions during the decomposition stage show lower overall GHG emissions. As a result, all four proposed cases exhibit reduced GHG emissions relative to the base case.</w:t>
      </w:r>
    </w:p>
    <w:p w14:paraId="44E8EB26" w14:textId="77777777" w:rsidR="00BC5EC7" w:rsidRDefault="00BC5EC7" w:rsidP="00BC5EC7">
      <w:pPr>
        <w:pStyle w:val="Els-body-text"/>
        <w:keepNext/>
        <w:ind w:firstLineChars="50" w:firstLine="100"/>
      </w:pPr>
      <w:r w:rsidRPr="00BC5EC7">
        <w:rPr>
          <w:noProof/>
          <w:lang w:val="en-GB"/>
        </w:rPr>
        <w:lastRenderedPageBreak/>
        <w:drawing>
          <wp:inline distT="0" distB="0" distL="0" distR="0" wp14:anchorId="2FDA92C6" wp14:editId="743761B2">
            <wp:extent cx="4499610" cy="2621915"/>
            <wp:effectExtent l="0" t="0" r="0" b="0"/>
            <wp:docPr id="9" name="그림 8" descr="스크린샷, 다채로움, 예술, 디자인이(가) 표시된 사진&#10;&#10;자동 생성된 설명">
              <a:extLst xmlns:a="http://schemas.openxmlformats.org/drawingml/2006/main">
                <a:ext uri="{FF2B5EF4-FFF2-40B4-BE49-F238E27FC236}">
                  <a16:creationId xmlns:a16="http://schemas.microsoft.com/office/drawing/2014/main" id="{745E202B-2172-6FE4-9DA1-11D157B637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descr="스크린샷, 다채로움, 예술, 디자인이(가) 표시된 사진&#10;&#10;자동 생성된 설명">
                      <a:extLst>
                        <a:ext uri="{FF2B5EF4-FFF2-40B4-BE49-F238E27FC236}">
                          <a16:creationId xmlns:a16="http://schemas.microsoft.com/office/drawing/2014/main" id="{745E202B-2172-6FE4-9DA1-11D157B63717}"/>
                        </a:ext>
                      </a:extLst>
                    </pic:cNvPr>
                    <pic:cNvPicPr>
                      <a:picLocks noChangeAspect="1"/>
                    </pic:cNvPicPr>
                  </pic:nvPicPr>
                  <pic:blipFill>
                    <a:blip r:embed="rId11"/>
                    <a:stretch>
                      <a:fillRect/>
                    </a:stretch>
                  </pic:blipFill>
                  <pic:spPr>
                    <a:xfrm>
                      <a:off x="0" y="0"/>
                      <a:ext cx="4499610" cy="2621915"/>
                    </a:xfrm>
                    <a:prstGeom prst="rect">
                      <a:avLst/>
                    </a:prstGeom>
                  </pic:spPr>
                </pic:pic>
              </a:graphicData>
            </a:graphic>
          </wp:inline>
        </w:drawing>
      </w:r>
    </w:p>
    <w:p w14:paraId="23BD783C" w14:textId="2382ECA2" w:rsidR="00BC5EC7" w:rsidRDefault="00BC5EC7" w:rsidP="00BC5EC7">
      <w:pPr>
        <w:pStyle w:val="Didascalia"/>
        <w:jc w:val="both"/>
        <w:rPr>
          <w:lang w:val="en-GB"/>
        </w:rPr>
      </w:pPr>
      <w:bookmarkStart w:id="7" w:name="_Ref151994111"/>
      <w:r>
        <w:t xml:space="preserve">Figure </w:t>
      </w:r>
      <w:r>
        <w:fldChar w:fldCharType="begin"/>
      </w:r>
      <w:r>
        <w:instrText xml:space="preserve"> SEQ Figure \* ARABIC </w:instrText>
      </w:r>
      <w:r>
        <w:fldChar w:fldCharType="separate"/>
      </w:r>
      <w:r w:rsidR="003665F6">
        <w:rPr>
          <w:noProof/>
        </w:rPr>
        <w:t>3</w:t>
      </w:r>
      <w:r>
        <w:fldChar w:fldCharType="end"/>
      </w:r>
      <w:bookmarkEnd w:id="7"/>
      <w:r>
        <w:t xml:space="preserve"> GHG emission result of each case</w:t>
      </w:r>
    </w:p>
    <w:p w14:paraId="144DE6A5" w14:textId="228D5698" w:rsidR="008D2649" w:rsidRPr="00A94774" w:rsidRDefault="00B2285E" w:rsidP="008D2649">
      <w:pPr>
        <w:pStyle w:val="Els-1storder-head"/>
        <w:spacing w:after="120"/>
        <w:rPr>
          <w:lang w:val="en-GB"/>
        </w:rPr>
      </w:pPr>
      <w:r>
        <w:rPr>
          <w:lang w:val="en-GB"/>
        </w:rPr>
        <w:t>Conclusion</w:t>
      </w:r>
    </w:p>
    <w:p w14:paraId="0DD939D6" w14:textId="77777777" w:rsidR="00B2285E" w:rsidRPr="00B2285E" w:rsidRDefault="00B2285E" w:rsidP="00B2285E">
      <w:pPr>
        <w:pStyle w:val="Els-body-text"/>
        <w:spacing w:after="120"/>
        <w:rPr>
          <w:lang w:val="en-GB"/>
        </w:rPr>
      </w:pPr>
      <w:r w:rsidRPr="00B2285E">
        <w:rPr>
          <w:lang w:val="en-GB"/>
        </w:rPr>
        <w:t xml:space="preserve">In this study, the induction heating-based ammonia decomposition reactor from the previous study was enhanced by incorporating PEMFC, SOFC, burner, and Pd-membrane units. </w:t>
      </w:r>
    </w:p>
    <w:p w14:paraId="618C8588" w14:textId="4121BD85" w:rsidR="00B2285E" w:rsidRPr="00B2285E" w:rsidRDefault="00B2285E" w:rsidP="00B2285E">
      <w:pPr>
        <w:pStyle w:val="Els-body-text"/>
        <w:spacing w:after="120"/>
        <w:rPr>
          <w:lang w:val="en-GB"/>
        </w:rPr>
      </w:pPr>
      <w:r w:rsidRPr="00B2285E">
        <w:rPr>
          <w:lang w:val="en-GB"/>
        </w:rPr>
        <w:t xml:space="preserve">The </w:t>
      </w:r>
      <w:r w:rsidR="003277E2" w:rsidRPr="00AA6C99">
        <w:rPr>
          <w:lang w:val="en-GB"/>
        </w:rPr>
        <w:t>P</w:t>
      </w:r>
      <w:r w:rsidRPr="00AA6C99">
        <w:rPr>
          <w:lang w:val="en-GB"/>
        </w:rPr>
        <w:t xml:space="preserve">d-membrane </w:t>
      </w:r>
      <w:r w:rsidRPr="00B2285E">
        <w:rPr>
          <w:lang w:val="en-GB"/>
        </w:rPr>
        <w:t>case showed the highest thermal and exergy efficiencies at 78.29% and 64.82%, respectively. The lowest LCOH was observed for the PEMFC case at 6.93 USD/ kgH</w:t>
      </w:r>
      <w:r w:rsidRPr="00BC5EC7">
        <w:rPr>
          <w:vertAlign w:val="subscript"/>
          <w:lang w:val="en-GB"/>
        </w:rPr>
        <w:t>2</w:t>
      </w:r>
      <w:r w:rsidRPr="00B2285E">
        <w:rPr>
          <w:lang w:val="en-GB"/>
        </w:rPr>
        <w:t>. GHG emissions were lowest in the SOFC case with green ammonia, at 4.60 kgCO</w:t>
      </w:r>
      <w:r w:rsidRPr="00BC5EC7">
        <w:rPr>
          <w:vertAlign w:val="subscript"/>
          <w:lang w:val="en-GB"/>
        </w:rPr>
        <w:t>2</w:t>
      </w:r>
      <w:r w:rsidRPr="00B2285E">
        <w:rPr>
          <w:lang w:val="en-GB"/>
        </w:rPr>
        <w:t>/kgH</w:t>
      </w:r>
      <w:r w:rsidRPr="00BC5EC7">
        <w:rPr>
          <w:vertAlign w:val="subscript"/>
          <w:lang w:val="en-GB"/>
        </w:rPr>
        <w:t>2</w:t>
      </w:r>
      <w:r w:rsidRPr="00B2285E">
        <w:rPr>
          <w:lang w:val="en-GB"/>
        </w:rPr>
        <w:t>.</w:t>
      </w:r>
    </w:p>
    <w:p w14:paraId="144DE6AE" w14:textId="66EB947C" w:rsidR="008D2649" w:rsidRPr="00A94774" w:rsidRDefault="00B2285E" w:rsidP="00B2285E">
      <w:pPr>
        <w:pStyle w:val="Els-body-text"/>
        <w:spacing w:after="120"/>
        <w:rPr>
          <w:lang w:val="en-GB"/>
        </w:rPr>
      </w:pPr>
      <w:r w:rsidRPr="00B2285E">
        <w:rPr>
          <w:lang w:val="en-GB"/>
        </w:rPr>
        <w:t>Across all aspects, the most notable improvements compared to the base case were realized when incorporating PEMFC. Thus, PEMFC emerged as the optimal case. This study is anticipated to be a valuable reference for enhancing other ammonia decomposition processes that generate off-gas.</w:t>
      </w:r>
    </w:p>
    <w:p w14:paraId="144DE6BF" w14:textId="608D0AD6" w:rsidR="008D2649" w:rsidRDefault="008D2649" w:rsidP="008D2649">
      <w:pPr>
        <w:pStyle w:val="Els-reference-head"/>
      </w:pPr>
      <w:r>
        <w:t>References</w:t>
      </w:r>
    </w:p>
    <w:p w14:paraId="3990E093" w14:textId="54A10AA2" w:rsidR="002F39A0" w:rsidRPr="002F39A0" w:rsidRDefault="002F39A0" w:rsidP="002F39A0">
      <w:pPr>
        <w:adjustRightInd w:val="0"/>
        <w:ind w:left="480" w:hanging="480"/>
        <w:rPr>
          <w:noProof/>
          <w:sz w:val="18"/>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2F39A0">
        <w:rPr>
          <w:noProof/>
          <w:sz w:val="18"/>
          <w:szCs w:val="24"/>
        </w:rPr>
        <w:t>Global Hydrogen Review 2022, 2022. Glob. Hydrog. Rev. 2022. https://doi.org/10.1787/a15b8442-en</w:t>
      </w:r>
    </w:p>
    <w:p w14:paraId="06044A03" w14:textId="77777777" w:rsidR="002F39A0" w:rsidRPr="002F39A0" w:rsidRDefault="002F39A0" w:rsidP="002F39A0">
      <w:pPr>
        <w:adjustRightInd w:val="0"/>
        <w:ind w:left="480" w:hanging="480"/>
        <w:rPr>
          <w:noProof/>
          <w:sz w:val="18"/>
          <w:szCs w:val="24"/>
        </w:rPr>
      </w:pPr>
      <w:r w:rsidRPr="002F39A0">
        <w:rPr>
          <w:noProof/>
          <w:sz w:val="18"/>
          <w:szCs w:val="24"/>
        </w:rPr>
        <w:t>Lee, J., Ga, S., Lim, D., Lee, S., Cho, H., Kim, J., 2023. Carbon-free green hydrogen production process with induction heating-based ammonia decomposition reactor. Chem. Eng. J. 457, 141203. https://doi.org/10.1016/j.cej.2022.141203</w:t>
      </w:r>
    </w:p>
    <w:p w14:paraId="6D980A10" w14:textId="77777777" w:rsidR="002F39A0" w:rsidRPr="002F39A0" w:rsidRDefault="002F39A0" w:rsidP="002F39A0">
      <w:pPr>
        <w:adjustRightInd w:val="0"/>
        <w:ind w:left="480" w:hanging="480"/>
        <w:rPr>
          <w:noProof/>
          <w:sz w:val="18"/>
          <w:szCs w:val="24"/>
        </w:rPr>
      </w:pPr>
      <w:r w:rsidRPr="002F39A0">
        <w:rPr>
          <w:noProof/>
          <w:sz w:val="18"/>
          <w:szCs w:val="24"/>
        </w:rPr>
        <w:t>Niermann, M., Beckendorff, A., Kaltschmitt, M., Bonhoff, K., 2019. Liquid Organic Hydrogen Carrier (LOHC) – Assessment based on chemical and economic properties. Int. J. Hydrogen Energy 44, 6631–6654. https://doi.org/10.1016/j.ijhydene.2019.01.199</w:t>
      </w:r>
    </w:p>
    <w:p w14:paraId="7CC6F1C2" w14:textId="77777777" w:rsidR="002F39A0" w:rsidRPr="002F39A0" w:rsidRDefault="002F39A0" w:rsidP="002F39A0">
      <w:pPr>
        <w:adjustRightInd w:val="0"/>
        <w:ind w:left="480" w:hanging="480"/>
        <w:rPr>
          <w:noProof/>
          <w:sz w:val="18"/>
        </w:rPr>
      </w:pPr>
      <w:r w:rsidRPr="002F39A0">
        <w:rPr>
          <w:noProof/>
          <w:sz w:val="18"/>
          <w:szCs w:val="24"/>
        </w:rPr>
        <w:t>Wan, Z., Tao, Y., Shao, J., Zhang, Y., You, H., 2021. Ammonia as an effective hydrogen carrier and a clean fuel for solid oxide fuel cells. Energy Convers. Manag. 228, 113729. https://doi.org/10.1016/j.enconman.2020.113729</w:t>
      </w:r>
    </w:p>
    <w:p w14:paraId="144DE6C3" w14:textId="75B08D78" w:rsidR="008D2649" w:rsidRDefault="002F39A0" w:rsidP="008D2649">
      <w:pPr>
        <w:pStyle w:val="Els-referenceno-number"/>
        <w:rPr>
          <w:lang w:val="en-US"/>
        </w:rPr>
      </w:pPr>
      <w:r>
        <w:rPr>
          <w:lang w:val="en-US"/>
        </w:rPr>
        <w:fldChar w:fldCharType="end"/>
      </w: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EF9B" w14:textId="77777777" w:rsidR="003E4B08" w:rsidRDefault="003E4B08">
      <w:r>
        <w:separator/>
      </w:r>
    </w:p>
  </w:endnote>
  <w:endnote w:type="continuationSeparator" w:id="0">
    <w:p w14:paraId="0712F988" w14:textId="77777777" w:rsidR="003E4B08" w:rsidRDefault="003E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BE7F3" w14:textId="77777777" w:rsidR="003E4B08" w:rsidRDefault="003E4B08">
      <w:r>
        <w:separator/>
      </w:r>
    </w:p>
  </w:footnote>
  <w:footnote w:type="continuationSeparator" w:id="0">
    <w:p w14:paraId="46874583" w14:textId="77777777" w:rsidR="003E4B08" w:rsidRDefault="003E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1D50CFB9" w:rsidR="00DD3D9E" w:rsidRDefault="00DD3D9E">
    <w:pPr>
      <w:pStyle w:val="Intestazione"/>
      <w:tabs>
        <w:tab w:val="clear" w:pos="7200"/>
        <w:tab w:val="right" w:pos="7088"/>
      </w:tabs>
    </w:pPr>
    <w:r>
      <w:rPr>
        <w:rStyle w:val="Numeropagina"/>
      </w:rPr>
      <w:tab/>
    </w:r>
    <w:r>
      <w:rPr>
        <w:rStyle w:val="Numeropagina"/>
        <w:i/>
      </w:rPr>
      <w:tab/>
    </w:r>
    <w:r w:rsidR="00737385">
      <w:rPr>
        <w:rFonts w:hint="eastAsia"/>
        <w:i/>
        <w:lang w:eastAsia="ko-KR"/>
      </w:rPr>
      <w:t>S</w:t>
    </w:r>
    <w:r w:rsidR="00737385">
      <w:rPr>
        <w:i/>
        <w:lang w:eastAsia="ko-KR"/>
      </w:rPr>
      <w:t>eunggwan Yun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726CBF0C" w:rsidR="00DD3D9E" w:rsidRDefault="00737385">
    <w:pPr>
      <w:pStyle w:val="Intestazione"/>
      <w:tabs>
        <w:tab w:val="clear" w:pos="7200"/>
        <w:tab w:val="right" w:pos="7088"/>
      </w:tabs>
      <w:jc w:val="right"/>
      <w:rPr>
        <w:sz w:val="24"/>
      </w:rPr>
    </w:pPr>
    <w:r>
      <w:rPr>
        <w:i/>
      </w:rPr>
      <w:t xml:space="preserve">Enhanced ammonia cracking process via induction heating for green hydrogen production: a comprehensive techno-economic and environmental analysis </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6032F"/>
    <w:rsid w:val="001879F6"/>
    <w:rsid w:val="001C0148"/>
    <w:rsid w:val="001C757E"/>
    <w:rsid w:val="001D2B1E"/>
    <w:rsid w:val="0020390F"/>
    <w:rsid w:val="00264926"/>
    <w:rsid w:val="002F39A0"/>
    <w:rsid w:val="003277E2"/>
    <w:rsid w:val="003665F6"/>
    <w:rsid w:val="00394A6D"/>
    <w:rsid w:val="003C769E"/>
    <w:rsid w:val="003D1582"/>
    <w:rsid w:val="003D7E4C"/>
    <w:rsid w:val="003E41C2"/>
    <w:rsid w:val="003E4B08"/>
    <w:rsid w:val="00447020"/>
    <w:rsid w:val="0049772C"/>
    <w:rsid w:val="00552EEB"/>
    <w:rsid w:val="005F51B8"/>
    <w:rsid w:val="00683B8A"/>
    <w:rsid w:val="006A2086"/>
    <w:rsid w:val="006A69BF"/>
    <w:rsid w:val="006B1916"/>
    <w:rsid w:val="00711DF4"/>
    <w:rsid w:val="00726D9F"/>
    <w:rsid w:val="00737385"/>
    <w:rsid w:val="007D70A1"/>
    <w:rsid w:val="008132E8"/>
    <w:rsid w:val="00823407"/>
    <w:rsid w:val="008B0184"/>
    <w:rsid w:val="008C5D02"/>
    <w:rsid w:val="008D2649"/>
    <w:rsid w:val="0090568D"/>
    <w:rsid w:val="009125C9"/>
    <w:rsid w:val="00913879"/>
    <w:rsid w:val="00917661"/>
    <w:rsid w:val="00970E5D"/>
    <w:rsid w:val="0097701C"/>
    <w:rsid w:val="00980A65"/>
    <w:rsid w:val="00A25E70"/>
    <w:rsid w:val="00A33765"/>
    <w:rsid w:val="00A63269"/>
    <w:rsid w:val="00A92377"/>
    <w:rsid w:val="00AA6C99"/>
    <w:rsid w:val="00AB29ED"/>
    <w:rsid w:val="00AE4BD8"/>
    <w:rsid w:val="00B2285E"/>
    <w:rsid w:val="00B2778E"/>
    <w:rsid w:val="00B4388F"/>
    <w:rsid w:val="00B63237"/>
    <w:rsid w:val="00BC5EC7"/>
    <w:rsid w:val="00C960DC"/>
    <w:rsid w:val="00D02C75"/>
    <w:rsid w:val="00D10E22"/>
    <w:rsid w:val="00D13D2C"/>
    <w:rsid w:val="00DC2F94"/>
    <w:rsid w:val="00DC3596"/>
    <w:rsid w:val="00DD3D9E"/>
    <w:rsid w:val="00DD7908"/>
    <w:rsid w:val="00E61B94"/>
    <w:rsid w:val="00E82297"/>
    <w:rsid w:val="00EF39FD"/>
    <w:rsid w:val="00F06842"/>
    <w:rsid w:val="00F107FD"/>
    <w:rsid w:val="00F807D6"/>
    <w:rsid w:val="00FB64A8"/>
    <w:rsid w:val="00FF55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683B8A"/>
    <w:pPr>
      <w:jc w:val="both"/>
    </w:pPr>
    <w:rPr>
      <w:rFonts w:asciiTheme="minorHAnsi"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4B03-228E-4A5B-A31C-36FE7BDB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6</TotalTime>
  <Pages>6</Pages>
  <Words>2213</Words>
  <Characters>32419</Characters>
  <Application>Microsoft Office Word</Application>
  <DocSecurity>0</DocSecurity>
  <Lines>270</Lines>
  <Paragraphs>69</Paragraphs>
  <ScaleCrop>false</ScaleCrop>
  <HeadingPairs>
    <vt:vector size="8" baseType="variant">
      <vt:variant>
        <vt:lpstr>Titre</vt:lpstr>
      </vt:variant>
      <vt:variant>
        <vt:i4>1</vt:i4>
      </vt:variant>
      <vt:variant>
        <vt:lpstr>제목</vt:lpstr>
      </vt:variant>
      <vt:variant>
        <vt:i4>1</vt:i4>
      </vt:variant>
      <vt:variant>
        <vt:lpstr>Titolo</vt:lpstr>
      </vt:variant>
      <vt:variant>
        <vt:i4>1</vt:i4>
      </vt:variant>
      <vt:variant>
        <vt:lpstr>Title</vt:lpstr>
      </vt:variant>
      <vt:variant>
        <vt:i4>1</vt:i4>
      </vt:variant>
    </vt:vector>
  </HeadingPairs>
  <TitlesOfParts>
    <vt:vector size="4" baseType="lpstr">
      <vt:lpstr>Chapter</vt:lpstr>
      <vt:lpstr>Chapter</vt:lpstr>
      <vt:lpstr>Chapter</vt:lpstr>
      <vt:lpstr>Chapter</vt:lpstr>
    </vt:vector>
  </TitlesOfParts>
  <Company>Elsevier Science</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2023-12-01T10:45:00Z</cp:lastPrinted>
  <dcterms:created xsi:type="dcterms:W3CDTF">2023-12-07T09:07:00Z</dcterms:created>
  <dcterms:modified xsi:type="dcterms:W3CDTF">2024-01-21T15:25:00Z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156864e3-0b72-384c-92ef-1ed18199abb3</vt:lpwstr>
  </property>
  <property fmtid="{D5CDD505-2E9C-101B-9397-08002B2CF9AE}" pid="12" name="Mendeley Citation Style_1">
    <vt:lpwstr>http://www.zotero.org/styles/journal-of-cleaner-production</vt:lpwstr>
  </property>
  <property fmtid="{D5CDD505-2E9C-101B-9397-08002B2CF9AE}" pid="13" name="Mendeley Recent Style Id 0_1">
    <vt:lpwstr>http://www.zotero.org/styles/american-political-science-association</vt:lpwstr>
  </property>
  <property fmtid="{D5CDD505-2E9C-101B-9397-08002B2CF9AE}" pid="14" name="Mendeley Recent Style Name 0_1">
    <vt:lpwstr>American Political Science Association</vt:lpwstr>
  </property>
  <property fmtid="{D5CDD505-2E9C-101B-9397-08002B2CF9AE}" pid="15" name="Mendeley Recent Style Id 1_1">
    <vt:lpwstr>http://www.zotero.org/styles/apa</vt:lpwstr>
  </property>
  <property fmtid="{D5CDD505-2E9C-101B-9397-08002B2CF9AE}" pid="16" name="Mendeley Recent Style Name 1_1">
    <vt:lpwstr>American Psychological Association 6th edition</vt:lpwstr>
  </property>
  <property fmtid="{D5CDD505-2E9C-101B-9397-08002B2CF9AE}" pid="17" name="Mendeley Recent Style Id 2_1">
    <vt:lpwstr>http://www.zotero.org/styles/american-sociological-association</vt:lpwstr>
  </property>
  <property fmtid="{D5CDD505-2E9C-101B-9397-08002B2CF9AE}" pid="18" name="Mendeley Recent Style Name 2_1">
    <vt:lpwstr>American Sociological Association</vt:lpwstr>
  </property>
  <property fmtid="{D5CDD505-2E9C-101B-9397-08002B2CF9AE}" pid="19" name="Mendeley Recent Style Id 3_1">
    <vt:lpwstr>http://www.zotero.org/styles/chicago-author-date</vt:lpwstr>
  </property>
  <property fmtid="{D5CDD505-2E9C-101B-9397-08002B2CF9AE}" pid="20" name="Mendeley Recent Style Name 3_1">
    <vt:lpwstr>Chicago Manual of Style 17th edition (author-date)</vt:lpwstr>
  </property>
  <property fmtid="{D5CDD505-2E9C-101B-9397-08002B2CF9AE}" pid="21" name="Mendeley Recent Style Id 4_1">
    <vt:lpwstr>http://www.zotero.org/styles/harvard-cite-them-right</vt:lpwstr>
  </property>
  <property fmtid="{D5CDD505-2E9C-101B-9397-08002B2CF9AE}" pid="22" name="Mendeley Recent Style Name 4_1">
    <vt:lpwstr>Cite Them Right 10th edition - Harvard</vt:lpwstr>
  </property>
  <property fmtid="{D5CDD505-2E9C-101B-9397-08002B2CF9AE}" pid="23" name="Mendeley Recent Style Id 5_1">
    <vt:lpwstr>http://www.zotero.org/styles/energy-conversion-and-management</vt:lpwstr>
  </property>
  <property fmtid="{D5CDD505-2E9C-101B-9397-08002B2CF9AE}" pid="24" name="Mendeley Recent Style Name 5_1">
    <vt:lpwstr>Energy Conversion and Management</vt:lpwstr>
  </property>
  <property fmtid="{D5CDD505-2E9C-101B-9397-08002B2CF9AE}" pid="25" name="Mendeley Recent Style Id 6_1">
    <vt:lpwstr>http://www.zotero.org/styles/ieee</vt:lpwstr>
  </property>
  <property fmtid="{D5CDD505-2E9C-101B-9397-08002B2CF9AE}" pid="26" name="Mendeley Recent Style Name 6_1">
    <vt:lpwstr>IEEE</vt:lpwstr>
  </property>
  <property fmtid="{D5CDD505-2E9C-101B-9397-08002B2CF9AE}" pid="27" name="Mendeley Recent Style Id 7_1">
    <vt:lpwstr>http://www.zotero.org/styles/journal-of-cleaner-production</vt:lpwstr>
  </property>
  <property fmtid="{D5CDD505-2E9C-101B-9397-08002B2CF9AE}" pid="28" name="Mendeley Recent Style Name 7_1">
    <vt:lpwstr>Journal of Cleaner Production</vt:lpwstr>
  </property>
  <property fmtid="{D5CDD505-2E9C-101B-9397-08002B2CF9AE}" pid="29" name="Mendeley Recent Style Id 8_1">
    <vt:lpwstr>http://www.zotero.org/styles/modern-humanities-research-association</vt:lpwstr>
  </property>
  <property fmtid="{D5CDD505-2E9C-101B-9397-08002B2CF9AE}" pid="30" name="Mendeley Recent Style Name 8_1">
    <vt:lpwstr>Modern Humanities Research Association 3rd edition (note with bibliography)</vt:lpwstr>
  </property>
  <property fmtid="{D5CDD505-2E9C-101B-9397-08002B2CF9AE}" pid="31" name="Mendeley Recent Style Id 9_1">
    <vt:lpwstr>http://www.zotero.org/styles/modern-language-association</vt:lpwstr>
  </property>
  <property fmtid="{D5CDD505-2E9C-101B-9397-08002B2CF9AE}" pid="32" name="Mendeley Recent Style Name 9_1">
    <vt:lpwstr>Modern Language Association 8th edition</vt:lpwstr>
  </property>
</Properties>
</file>