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0A03B2" w:rsidRPr="00EE5558" w14:paraId="69EA04A1" w14:textId="77777777" w:rsidTr="00DE264A">
        <w:trPr>
          <w:trHeight w:val="852"/>
          <w:jc w:val="center"/>
        </w:trPr>
        <w:tc>
          <w:tcPr>
            <w:tcW w:w="6946" w:type="dxa"/>
            <w:vMerge w:val="restart"/>
            <w:tcBorders>
              <w:right w:val="single" w:sz="4" w:space="0" w:color="auto"/>
            </w:tcBorders>
          </w:tcPr>
          <w:p w14:paraId="08413576" w14:textId="77777777" w:rsidR="000A03B2" w:rsidRPr="00EE5558" w:rsidRDefault="000A03B2" w:rsidP="00DE264A">
            <w:pPr>
              <w:tabs>
                <w:tab w:val="left" w:pos="-108"/>
              </w:tabs>
              <w:ind w:left="-108"/>
              <w:jc w:val="left"/>
              <w:rPr>
                <w:rFonts w:cs="Arial"/>
                <w:b/>
                <w:bCs/>
                <w:i/>
                <w:iCs/>
                <w:color w:val="000066"/>
                <w:sz w:val="12"/>
                <w:szCs w:val="12"/>
                <w:lang w:eastAsia="it-IT"/>
              </w:rPr>
            </w:pPr>
            <w:r w:rsidRPr="00EE5558">
              <w:rPr>
                <w:rFonts w:ascii="AdvP6960" w:hAnsi="AdvP6960" w:cs="AdvP6960"/>
                <w:noProof/>
                <w:color w:val="241F20"/>
                <w:szCs w:val="18"/>
                <w:lang w:val="it-IT" w:eastAsia="it-IT"/>
              </w:rPr>
              <w:drawing>
                <wp:inline distT="0" distB="0" distL="0" distR="0" wp14:anchorId="79EE8647" wp14:editId="4EA247A8">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EE5558">
              <w:rPr>
                <w:rFonts w:ascii="AdvP6960" w:hAnsi="AdvP6960" w:cs="AdvP6960"/>
                <w:color w:val="241F20"/>
                <w:szCs w:val="18"/>
                <w:lang w:eastAsia="it-IT"/>
              </w:rPr>
              <w:t xml:space="preserve"> </w:t>
            </w:r>
            <w:r w:rsidRPr="00EE5558">
              <w:rPr>
                <w:rFonts w:cs="Arial"/>
                <w:b/>
                <w:bCs/>
                <w:i/>
                <w:iCs/>
                <w:color w:val="000066"/>
                <w:sz w:val="24"/>
                <w:szCs w:val="24"/>
                <w:lang w:eastAsia="it-IT"/>
              </w:rPr>
              <w:t>CHEMICAL ENGINEERING</w:t>
            </w:r>
            <w:r w:rsidRPr="00EE5558">
              <w:rPr>
                <w:rFonts w:cs="Arial"/>
                <w:b/>
                <w:bCs/>
                <w:i/>
                <w:iCs/>
                <w:color w:val="0033FF"/>
                <w:sz w:val="24"/>
                <w:szCs w:val="24"/>
                <w:lang w:eastAsia="it-IT"/>
              </w:rPr>
              <w:t xml:space="preserve"> </w:t>
            </w:r>
            <w:r w:rsidRPr="00EE5558">
              <w:rPr>
                <w:rFonts w:cs="Arial"/>
                <w:b/>
                <w:bCs/>
                <w:i/>
                <w:iCs/>
                <w:color w:val="666666"/>
                <w:sz w:val="24"/>
                <w:szCs w:val="24"/>
                <w:lang w:eastAsia="it-IT"/>
              </w:rPr>
              <w:t>TRANSACTIONS</w:t>
            </w:r>
            <w:r w:rsidRPr="00EE5558">
              <w:rPr>
                <w:color w:val="333333"/>
                <w:sz w:val="24"/>
                <w:szCs w:val="24"/>
                <w:lang w:eastAsia="it-IT"/>
              </w:rPr>
              <w:t xml:space="preserve"> </w:t>
            </w:r>
            <w:r w:rsidRPr="00EE5558">
              <w:rPr>
                <w:rFonts w:cs="Arial"/>
                <w:b/>
                <w:bCs/>
                <w:i/>
                <w:iCs/>
                <w:color w:val="000066"/>
                <w:sz w:val="27"/>
                <w:szCs w:val="27"/>
                <w:lang w:eastAsia="it-IT"/>
              </w:rPr>
              <w:br/>
            </w:r>
          </w:p>
          <w:p w14:paraId="48ACA66A" w14:textId="11738E04" w:rsidR="000A03B2" w:rsidRPr="00EE5558" w:rsidRDefault="00A76EFC" w:rsidP="00F06D99">
            <w:pPr>
              <w:tabs>
                <w:tab w:val="left" w:pos="-108"/>
              </w:tabs>
              <w:ind w:left="-108"/>
              <w:rPr>
                <w:rFonts w:cs="Arial"/>
                <w:b/>
                <w:bCs/>
                <w:i/>
                <w:iCs/>
                <w:color w:val="000066"/>
                <w:sz w:val="22"/>
                <w:szCs w:val="22"/>
                <w:lang w:eastAsia="it-IT"/>
              </w:rPr>
            </w:pPr>
            <w:r w:rsidRPr="00EE5558">
              <w:rPr>
                <w:rFonts w:cs="Arial"/>
                <w:b/>
                <w:bCs/>
                <w:i/>
                <w:iCs/>
                <w:color w:val="000066"/>
                <w:sz w:val="22"/>
                <w:szCs w:val="22"/>
                <w:lang w:eastAsia="it-IT"/>
              </w:rPr>
              <w:t xml:space="preserve">VOL. </w:t>
            </w:r>
            <w:r w:rsidR="00D64B80" w:rsidRPr="00EE5558">
              <w:rPr>
                <w:rFonts w:cs="Arial"/>
                <w:b/>
                <w:bCs/>
                <w:i/>
                <w:iCs/>
                <w:color w:val="000066"/>
                <w:sz w:val="22"/>
                <w:szCs w:val="22"/>
                <w:lang w:eastAsia="it-IT"/>
              </w:rPr>
              <w:t>…</w:t>
            </w:r>
            <w:r w:rsidR="00C9618D" w:rsidRPr="00EE5558">
              <w:rPr>
                <w:rFonts w:cs="Arial"/>
                <w:b/>
                <w:bCs/>
                <w:i/>
                <w:iCs/>
                <w:color w:val="000066"/>
                <w:sz w:val="22"/>
                <w:szCs w:val="22"/>
                <w:lang w:eastAsia="it-IT"/>
              </w:rPr>
              <w:t>, 20</w:t>
            </w:r>
            <w:r w:rsidR="00D64B80" w:rsidRPr="00EE5558">
              <w:rPr>
                <w:rFonts w:cs="Arial"/>
                <w:b/>
                <w:bCs/>
                <w:i/>
                <w:iCs/>
                <w:color w:val="000066"/>
                <w:sz w:val="22"/>
                <w:szCs w:val="22"/>
                <w:lang w:eastAsia="it-IT"/>
              </w:rPr>
              <w:t>25</w:t>
            </w:r>
          </w:p>
        </w:tc>
        <w:tc>
          <w:tcPr>
            <w:tcW w:w="1843" w:type="dxa"/>
            <w:tcBorders>
              <w:left w:val="single" w:sz="4" w:space="0" w:color="auto"/>
              <w:bottom w:val="nil"/>
              <w:right w:val="single" w:sz="4" w:space="0" w:color="auto"/>
            </w:tcBorders>
          </w:tcPr>
          <w:p w14:paraId="22791357" w14:textId="77777777" w:rsidR="000A03B2" w:rsidRPr="00EE5558" w:rsidRDefault="000A03B2" w:rsidP="00CD5FE2">
            <w:pPr>
              <w:spacing w:line="140" w:lineRule="atLeast"/>
              <w:jc w:val="right"/>
              <w:rPr>
                <w:rFonts w:cs="Arial"/>
                <w:sz w:val="14"/>
                <w:szCs w:val="14"/>
              </w:rPr>
            </w:pPr>
            <w:r w:rsidRPr="00EE5558">
              <w:rPr>
                <w:rFonts w:cs="Arial"/>
                <w:sz w:val="14"/>
                <w:szCs w:val="14"/>
              </w:rPr>
              <w:t>A publication of</w:t>
            </w:r>
          </w:p>
          <w:p w14:paraId="19E7BA7D" w14:textId="77777777" w:rsidR="000A03B2" w:rsidRPr="00EE5558" w:rsidRDefault="000A03B2" w:rsidP="00CD5FE2">
            <w:pPr>
              <w:jc w:val="right"/>
            </w:pPr>
            <w:r w:rsidRPr="00EE5558">
              <w:rPr>
                <w:noProof/>
                <w:lang w:val="it-IT" w:eastAsia="it-IT"/>
              </w:rPr>
              <w:drawing>
                <wp:inline distT="0" distB="0" distL="0" distR="0" wp14:anchorId="42A3C73B" wp14:editId="201EFC0D">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EE5558" w14:paraId="24E88C7B" w14:textId="77777777" w:rsidTr="00DE264A">
        <w:trPr>
          <w:trHeight w:val="567"/>
          <w:jc w:val="center"/>
        </w:trPr>
        <w:tc>
          <w:tcPr>
            <w:tcW w:w="6946" w:type="dxa"/>
            <w:vMerge/>
            <w:tcBorders>
              <w:right w:val="single" w:sz="4" w:space="0" w:color="auto"/>
            </w:tcBorders>
          </w:tcPr>
          <w:p w14:paraId="51C08FAB" w14:textId="77777777" w:rsidR="000A03B2" w:rsidRPr="00EE5558" w:rsidRDefault="000A03B2" w:rsidP="00CD5FE2">
            <w:pPr>
              <w:tabs>
                <w:tab w:val="left" w:pos="-108"/>
              </w:tabs>
            </w:pPr>
          </w:p>
        </w:tc>
        <w:tc>
          <w:tcPr>
            <w:tcW w:w="1843" w:type="dxa"/>
            <w:tcBorders>
              <w:left w:val="single" w:sz="4" w:space="0" w:color="auto"/>
              <w:bottom w:val="nil"/>
              <w:right w:val="single" w:sz="4" w:space="0" w:color="auto"/>
            </w:tcBorders>
          </w:tcPr>
          <w:p w14:paraId="635484A3" w14:textId="77777777" w:rsidR="000A03B2" w:rsidRPr="00EE5558" w:rsidRDefault="000A03B2" w:rsidP="00CD5FE2">
            <w:pPr>
              <w:spacing w:line="140" w:lineRule="atLeast"/>
              <w:jc w:val="right"/>
              <w:rPr>
                <w:rFonts w:cs="Arial"/>
                <w:sz w:val="14"/>
                <w:szCs w:val="14"/>
              </w:rPr>
            </w:pPr>
            <w:r w:rsidRPr="00EE5558">
              <w:rPr>
                <w:rFonts w:cs="Arial"/>
                <w:sz w:val="14"/>
                <w:szCs w:val="14"/>
              </w:rPr>
              <w:t>The Italian Association</w:t>
            </w:r>
          </w:p>
          <w:p w14:paraId="3C71422C" w14:textId="77777777" w:rsidR="000A03B2" w:rsidRPr="00EE5558" w:rsidRDefault="000A03B2" w:rsidP="00CD5FE2">
            <w:pPr>
              <w:spacing w:line="140" w:lineRule="atLeast"/>
              <w:jc w:val="right"/>
              <w:rPr>
                <w:rFonts w:cs="Arial"/>
                <w:sz w:val="14"/>
                <w:szCs w:val="14"/>
              </w:rPr>
            </w:pPr>
            <w:r w:rsidRPr="00EE5558">
              <w:rPr>
                <w:rFonts w:cs="Arial"/>
                <w:sz w:val="14"/>
                <w:szCs w:val="14"/>
              </w:rPr>
              <w:t>of Chemical Engineering</w:t>
            </w:r>
          </w:p>
          <w:p w14:paraId="60046D78" w14:textId="77777777" w:rsidR="000A03B2" w:rsidRPr="00EE5558" w:rsidRDefault="000A03B2" w:rsidP="00CD5FE2">
            <w:pPr>
              <w:spacing w:line="140" w:lineRule="atLeast"/>
              <w:jc w:val="right"/>
              <w:rPr>
                <w:rFonts w:cs="Arial"/>
                <w:sz w:val="14"/>
                <w:szCs w:val="14"/>
              </w:rPr>
            </w:pPr>
            <w:r w:rsidRPr="00EE5558">
              <w:rPr>
                <w:rFonts w:cs="Arial"/>
                <w:sz w:val="14"/>
                <w:szCs w:val="14"/>
              </w:rPr>
              <w:t>Online at www.aidic.it/cet</w:t>
            </w:r>
          </w:p>
        </w:tc>
      </w:tr>
      <w:tr w:rsidR="000A03B2" w:rsidRPr="00EE5558" w14:paraId="0904BD15" w14:textId="77777777" w:rsidTr="00DE264A">
        <w:trPr>
          <w:trHeight w:val="68"/>
          <w:jc w:val="center"/>
        </w:trPr>
        <w:tc>
          <w:tcPr>
            <w:tcW w:w="8789" w:type="dxa"/>
            <w:gridSpan w:val="2"/>
          </w:tcPr>
          <w:p w14:paraId="08621624" w14:textId="78A10467" w:rsidR="00300E56" w:rsidRPr="00EE5558" w:rsidRDefault="009F4F40" w:rsidP="00EC0E49">
            <w:pPr>
              <w:tabs>
                <w:tab w:val="left" w:pos="-108"/>
              </w:tabs>
              <w:spacing w:line="140" w:lineRule="atLeast"/>
              <w:ind w:left="-108"/>
              <w:jc w:val="left"/>
              <w:rPr>
                <w:rFonts w:ascii="Tahoma" w:hAnsi="Tahoma" w:cs="Tahoma"/>
                <w:iCs/>
                <w:color w:val="333333"/>
                <w:sz w:val="14"/>
                <w:szCs w:val="14"/>
                <w:lang w:eastAsia="it-IT"/>
              </w:rPr>
            </w:pPr>
            <w:r w:rsidRPr="00EE5558">
              <w:rPr>
                <w:rFonts w:ascii="Tahoma" w:hAnsi="Tahoma" w:cs="Tahoma"/>
                <w:iCs/>
                <w:color w:val="333333"/>
                <w:sz w:val="14"/>
                <w:szCs w:val="14"/>
                <w:lang w:eastAsia="it-IT"/>
              </w:rPr>
              <w:t xml:space="preserve">Guest </w:t>
            </w:r>
            <w:r w:rsidR="003E4B07" w:rsidRPr="00EE5558">
              <w:rPr>
                <w:rFonts w:ascii="Tahoma" w:hAnsi="Tahoma" w:cs="Tahoma"/>
                <w:iCs/>
                <w:color w:val="333333"/>
                <w:sz w:val="14"/>
                <w:szCs w:val="14"/>
                <w:lang w:eastAsia="it-IT"/>
              </w:rPr>
              <w:t xml:space="preserve">Editors: </w:t>
            </w:r>
            <w:r w:rsidR="00D64B80" w:rsidRPr="00EE5558">
              <w:rPr>
                <w:rFonts w:ascii="Tahoma" w:hAnsi="Tahoma" w:cs="Tahoma"/>
                <w:iCs/>
                <w:color w:val="333333"/>
                <w:sz w:val="14"/>
                <w:szCs w:val="14"/>
                <w:lang w:eastAsia="it-IT"/>
              </w:rPr>
              <w:t>...</w:t>
            </w:r>
          </w:p>
          <w:p w14:paraId="35F8132F" w14:textId="77777777" w:rsidR="000A03B2" w:rsidRPr="00EE5558" w:rsidRDefault="00300E56" w:rsidP="00B31C88">
            <w:pPr>
              <w:tabs>
                <w:tab w:val="left" w:pos="-108"/>
              </w:tabs>
              <w:spacing w:line="140" w:lineRule="atLeast"/>
              <w:ind w:left="-108"/>
              <w:jc w:val="left"/>
            </w:pPr>
            <w:r w:rsidRPr="00EE5558">
              <w:rPr>
                <w:rFonts w:ascii="Tahoma" w:hAnsi="Tahoma" w:cs="Tahoma"/>
                <w:iCs/>
                <w:color w:val="333333"/>
                <w:sz w:val="14"/>
                <w:szCs w:val="14"/>
                <w:lang w:eastAsia="it-IT"/>
              </w:rPr>
              <w:t>Copyright © 2017</w:t>
            </w:r>
            <w:r w:rsidR="003E4B07" w:rsidRPr="00EE5558">
              <w:rPr>
                <w:rFonts w:ascii="Tahoma" w:hAnsi="Tahoma" w:cs="Tahoma"/>
                <w:iCs/>
                <w:color w:val="333333"/>
                <w:sz w:val="14"/>
                <w:szCs w:val="14"/>
                <w:lang w:eastAsia="it-IT"/>
              </w:rPr>
              <w:t xml:space="preserve">, AIDIC </w:t>
            </w:r>
            <w:proofErr w:type="spellStart"/>
            <w:r w:rsidR="003E4B07" w:rsidRPr="00EE5558">
              <w:rPr>
                <w:rFonts w:ascii="Tahoma" w:hAnsi="Tahoma" w:cs="Tahoma"/>
                <w:iCs/>
                <w:color w:val="333333"/>
                <w:sz w:val="14"/>
                <w:szCs w:val="14"/>
                <w:lang w:eastAsia="it-IT"/>
              </w:rPr>
              <w:t>Servizi</w:t>
            </w:r>
            <w:proofErr w:type="spellEnd"/>
            <w:r w:rsidR="003E4B07" w:rsidRPr="00EE5558">
              <w:rPr>
                <w:rFonts w:ascii="Tahoma" w:hAnsi="Tahoma" w:cs="Tahoma"/>
                <w:iCs/>
                <w:color w:val="333333"/>
                <w:sz w:val="14"/>
                <w:szCs w:val="14"/>
                <w:lang w:eastAsia="it-IT"/>
              </w:rPr>
              <w:t xml:space="preserve"> </w:t>
            </w:r>
            <w:proofErr w:type="spellStart"/>
            <w:r w:rsidR="003E4B07" w:rsidRPr="00EE5558">
              <w:rPr>
                <w:rFonts w:ascii="Tahoma" w:hAnsi="Tahoma" w:cs="Tahoma"/>
                <w:iCs/>
                <w:color w:val="333333"/>
                <w:sz w:val="14"/>
                <w:szCs w:val="14"/>
                <w:lang w:eastAsia="it-IT"/>
              </w:rPr>
              <w:t>S.r.l</w:t>
            </w:r>
            <w:proofErr w:type="spellEnd"/>
            <w:r w:rsidR="003E4B07" w:rsidRPr="00EE5558">
              <w:rPr>
                <w:rFonts w:ascii="Tahoma" w:hAnsi="Tahoma" w:cs="Tahoma"/>
                <w:iCs/>
                <w:color w:val="333333"/>
                <w:sz w:val="14"/>
                <w:szCs w:val="14"/>
                <w:lang w:eastAsia="it-IT"/>
              </w:rPr>
              <w:t>.</w:t>
            </w:r>
            <w:r w:rsidRPr="00EE5558">
              <w:rPr>
                <w:rFonts w:ascii="Tahoma" w:hAnsi="Tahoma" w:cs="Tahoma"/>
                <w:iCs/>
                <w:color w:val="333333"/>
                <w:sz w:val="14"/>
                <w:szCs w:val="14"/>
                <w:lang w:eastAsia="it-IT"/>
              </w:rPr>
              <w:br/>
            </w:r>
            <w:r w:rsidRPr="00EE5558">
              <w:rPr>
                <w:rFonts w:ascii="Tahoma" w:hAnsi="Tahoma" w:cs="Tahoma"/>
                <w:b/>
                <w:iCs/>
                <w:color w:val="000000"/>
                <w:sz w:val="14"/>
                <w:szCs w:val="14"/>
                <w:lang w:eastAsia="it-IT"/>
              </w:rPr>
              <w:t>ISBN</w:t>
            </w:r>
            <w:r w:rsidRPr="00EE5558">
              <w:rPr>
                <w:rFonts w:ascii="Tahoma" w:hAnsi="Tahoma" w:cs="Tahoma"/>
                <w:iCs/>
                <w:color w:val="000000"/>
                <w:sz w:val="14"/>
                <w:szCs w:val="14"/>
                <w:lang w:eastAsia="it-IT"/>
              </w:rPr>
              <w:t xml:space="preserve"> </w:t>
            </w:r>
            <w:r w:rsidRPr="00EE5558">
              <w:rPr>
                <w:rFonts w:ascii="Tahoma" w:hAnsi="Tahoma" w:cs="Tahoma"/>
                <w:sz w:val="14"/>
                <w:szCs w:val="14"/>
              </w:rPr>
              <w:t>978-88-95608</w:t>
            </w:r>
            <w:r w:rsidR="00B4346E" w:rsidRPr="00EE5558">
              <w:rPr>
                <w:rFonts w:ascii="Tahoma" w:hAnsi="Tahoma" w:cs="Tahoma"/>
                <w:sz w:val="14"/>
                <w:szCs w:val="14"/>
              </w:rPr>
              <w:t xml:space="preserve">- </w:t>
            </w:r>
            <w:r w:rsidR="00F06D99" w:rsidRPr="00EE5558">
              <w:rPr>
                <w:rFonts w:ascii="Tahoma" w:hAnsi="Tahoma" w:cs="Tahoma"/>
                <w:sz w:val="14"/>
                <w:szCs w:val="14"/>
              </w:rPr>
              <w:t>62-4</w:t>
            </w:r>
            <w:r w:rsidRPr="00EE5558">
              <w:rPr>
                <w:rFonts w:ascii="Tahoma" w:hAnsi="Tahoma" w:cs="Tahoma"/>
                <w:iCs/>
                <w:color w:val="333333"/>
                <w:sz w:val="14"/>
                <w:szCs w:val="14"/>
                <w:lang w:eastAsia="it-IT"/>
              </w:rPr>
              <w:t xml:space="preserve">; </w:t>
            </w:r>
            <w:r w:rsidRPr="00EE5558">
              <w:rPr>
                <w:rFonts w:ascii="Tahoma" w:hAnsi="Tahoma" w:cs="Tahoma"/>
                <w:b/>
                <w:iCs/>
                <w:color w:val="333333"/>
                <w:sz w:val="14"/>
                <w:szCs w:val="14"/>
                <w:lang w:eastAsia="it-IT"/>
              </w:rPr>
              <w:t>ISSN</w:t>
            </w:r>
            <w:r w:rsidRPr="00EE5558">
              <w:rPr>
                <w:rFonts w:ascii="Tahoma" w:hAnsi="Tahoma" w:cs="Tahoma"/>
                <w:iCs/>
                <w:color w:val="333333"/>
                <w:sz w:val="14"/>
                <w:szCs w:val="14"/>
                <w:lang w:eastAsia="it-IT"/>
              </w:rPr>
              <w:t xml:space="preserve"> 2283-9216</w:t>
            </w:r>
          </w:p>
        </w:tc>
      </w:tr>
    </w:tbl>
    <w:p w14:paraId="15D67B4A" w14:textId="77777777" w:rsidR="000A03B2" w:rsidRPr="00EE5558" w:rsidRDefault="000A03B2" w:rsidP="000A03B2">
      <w:pPr>
        <w:pStyle w:val="CETAuthors"/>
        <w:rPr>
          <w:noProof w:val="0"/>
        </w:rPr>
        <w:sectPr w:rsidR="000A03B2" w:rsidRPr="00EE5558" w:rsidSect="00CD5FE2">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1701" w:right="1418" w:bottom="1701" w:left="1701" w:header="1701" w:footer="0" w:gutter="0"/>
          <w:cols w:space="708"/>
          <w:titlePg/>
          <w:docGrid w:linePitch="360"/>
        </w:sectPr>
      </w:pPr>
    </w:p>
    <w:p w14:paraId="6044833F" w14:textId="0DF433B3" w:rsidR="00E978D0" w:rsidRPr="00EE5558" w:rsidRDefault="003F7E51" w:rsidP="00E978D0">
      <w:pPr>
        <w:pStyle w:val="CETTitle"/>
      </w:pPr>
      <w:r w:rsidRPr="003F7E51">
        <w:t>Novel cascade process for recovery of valuable compounds from tomato processing waste, using supercritical CO</w:t>
      </w:r>
      <w:r w:rsidRPr="00D207FB">
        <w:rPr>
          <w:vertAlign w:val="subscript"/>
        </w:rPr>
        <w:t>2</w:t>
      </w:r>
      <w:r w:rsidRPr="003F7E51">
        <w:t xml:space="preserve"> and subcritical water as sequential solvents</w:t>
      </w:r>
    </w:p>
    <w:p w14:paraId="3F6BFF06" w14:textId="72A4A138" w:rsidR="00E978D0" w:rsidRPr="009C1CB6" w:rsidRDefault="00D64B80" w:rsidP="00E978D0">
      <w:pPr>
        <w:pStyle w:val="CETAuthors"/>
        <w:rPr>
          <w:noProof w:val="0"/>
          <w:lang w:val="it-IT"/>
        </w:rPr>
      </w:pPr>
      <w:r w:rsidRPr="009C1CB6">
        <w:rPr>
          <w:noProof w:val="0"/>
          <w:lang w:val="it-IT"/>
        </w:rPr>
        <w:t>Lukasz Niedzwiecki*</w:t>
      </w:r>
      <w:r w:rsidR="00E978D0" w:rsidRPr="009C1CB6">
        <w:rPr>
          <w:noProof w:val="0"/>
          <w:vertAlign w:val="superscript"/>
          <w:lang w:val="it-IT"/>
        </w:rPr>
        <w:t>a</w:t>
      </w:r>
      <w:r w:rsidR="00E978D0" w:rsidRPr="009C1CB6">
        <w:rPr>
          <w:noProof w:val="0"/>
          <w:lang w:val="it-IT"/>
        </w:rPr>
        <w:t>,</w:t>
      </w:r>
      <w:r w:rsidR="00DF1E87" w:rsidRPr="009C1CB6">
        <w:rPr>
          <w:noProof w:val="0"/>
          <w:lang w:val="it-IT"/>
        </w:rPr>
        <w:t xml:space="preserve"> </w:t>
      </w:r>
      <w:r w:rsidRPr="009C1CB6">
        <w:rPr>
          <w:noProof w:val="0"/>
          <w:lang w:val="it-IT"/>
        </w:rPr>
        <w:t>Lorenzo Periccioli</w:t>
      </w:r>
      <w:r w:rsidRPr="009C1CB6">
        <w:rPr>
          <w:noProof w:val="0"/>
          <w:vertAlign w:val="superscript"/>
          <w:lang w:val="it-IT"/>
        </w:rPr>
        <w:t>b</w:t>
      </w:r>
      <w:r w:rsidR="00DF1E87" w:rsidRPr="009C1CB6">
        <w:rPr>
          <w:noProof w:val="0"/>
          <w:lang w:val="it-IT"/>
        </w:rPr>
        <w:t xml:space="preserve">, </w:t>
      </w:r>
      <w:r w:rsidRPr="009C1CB6">
        <w:rPr>
          <w:noProof w:val="0"/>
          <w:lang w:val="it-IT"/>
        </w:rPr>
        <w:t>Gultakin</w:t>
      </w:r>
      <w:r w:rsidR="00DF1E87" w:rsidRPr="009C1CB6">
        <w:rPr>
          <w:noProof w:val="0"/>
          <w:lang w:val="it-IT"/>
        </w:rPr>
        <w:t xml:space="preserve"> </w:t>
      </w:r>
      <w:r w:rsidRPr="009C1CB6">
        <w:rPr>
          <w:noProof w:val="0"/>
          <w:lang w:val="it-IT"/>
        </w:rPr>
        <w:t>Hasanaliyeva</w:t>
      </w:r>
      <w:r w:rsidRPr="009C1CB6">
        <w:rPr>
          <w:noProof w:val="0"/>
          <w:vertAlign w:val="superscript"/>
          <w:lang w:val="it-IT"/>
        </w:rPr>
        <w:t>c</w:t>
      </w:r>
      <w:r w:rsidR="00DF1E87" w:rsidRPr="009C1CB6">
        <w:rPr>
          <w:noProof w:val="0"/>
          <w:lang w:val="it-IT"/>
        </w:rPr>
        <w:t>,</w:t>
      </w:r>
      <w:r w:rsidR="00305443" w:rsidRPr="009C1CB6">
        <w:rPr>
          <w:noProof w:val="0"/>
          <w:lang w:val="it-IT"/>
        </w:rPr>
        <w:t xml:space="preserve"> Chiara Magni</w:t>
      </w:r>
      <w:r w:rsidR="00305443" w:rsidRPr="009C1CB6">
        <w:rPr>
          <w:noProof w:val="0"/>
          <w:vertAlign w:val="superscript"/>
          <w:lang w:val="it-IT"/>
        </w:rPr>
        <w:t>b</w:t>
      </w:r>
      <w:r w:rsidR="00305443" w:rsidRPr="009C1CB6">
        <w:rPr>
          <w:noProof w:val="0"/>
          <w:lang w:val="it-IT"/>
        </w:rPr>
        <w:t>,</w:t>
      </w:r>
      <w:r w:rsidR="00DF1E87" w:rsidRPr="009C1CB6">
        <w:rPr>
          <w:noProof w:val="0"/>
          <w:lang w:val="it-IT"/>
        </w:rPr>
        <w:t xml:space="preserve"> </w:t>
      </w:r>
      <w:r w:rsidRPr="009C1CB6">
        <w:rPr>
          <w:noProof w:val="0"/>
          <w:lang w:val="it-IT"/>
        </w:rPr>
        <w:t>Giovanni Lenardon</w:t>
      </w:r>
      <w:r w:rsidRPr="009C1CB6">
        <w:rPr>
          <w:noProof w:val="0"/>
          <w:vertAlign w:val="superscript"/>
          <w:lang w:val="it-IT"/>
        </w:rPr>
        <w:t>a</w:t>
      </w:r>
      <w:r w:rsidR="00DF1E87" w:rsidRPr="009C1CB6">
        <w:rPr>
          <w:noProof w:val="0"/>
          <w:lang w:val="it-IT"/>
        </w:rPr>
        <w:t>,</w:t>
      </w:r>
      <w:r w:rsidRPr="009C1CB6">
        <w:rPr>
          <w:noProof w:val="0"/>
          <w:lang w:val="it-IT"/>
        </w:rPr>
        <w:t xml:space="preserve"> </w:t>
      </w:r>
      <w:r w:rsidR="00305443" w:rsidRPr="009C1CB6">
        <w:rPr>
          <w:noProof w:val="0"/>
          <w:lang w:val="it-IT"/>
        </w:rPr>
        <w:t>Stefania Iametti</w:t>
      </w:r>
      <w:r w:rsidRPr="009C1CB6">
        <w:rPr>
          <w:noProof w:val="0"/>
          <w:vertAlign w:val="superscript"/>
          <w:lang w:val="it-IT"/>
        </w:rPr>
        <w:t>b</w:t>
      </w:r>
      <w:r w:rsidRPr="009C1CB6">
        <w:rPr>
          <w:noProof w:val="0"/>
          <w:lang w:val="it-IT"/>
        </w:rPr>
        <w:t xml:space="preserve">, </w:t>
      </w:r>
      <w:r w:rsidR="00305443" w:rsidRPr="009C1CB6">
        <w:rPr>
          <w:noProof w:val="0"/>
          <w:lang w:val="it-IT"/>
        </w:rPr>
        <w:t>Barbara</w:t>
      </w:r>
      <w:r w:rsidRPr="009C1CB6">
        <w:rPr>
          <w:noProof w:val="0"/>
          <w:lang w:val="it-IT"/>
        </w:rPr>
        <w:t xml:space="preserve"> </w:t>
      </w:r>
      <w:r w:rsidR="00305443" w:rsidRPr="009C1CB6">
        <w:rPr>
          <w:noProof w:val="0"/>
          <w:lang w:val="it-IT"/>
        </w:rPr>
        <w:t>Scaglia</w:t>
      </w:r>
      <w:r w:rsidR="00305443" w:rsidRPr="009C1CB6">
        <w:rPr>
          <w:noProof w:val="0"/>
          <w:vertAlign w:val="superscript"/>
          <w:lang w:val="it-IT"/>
        </w:rPr>
        <w:t>c</w:t>
      </w:r>
      <w:r w:rsidRPr="009C1CB6">
        <w:rPr>
          <w:noProof w:val="0"/>
          <w:lang w:val="it-IT"/>
        </w:rPr>
        <w:t>,</w:t>
      </w:r>
      <w:r w:rsidR="00E978D0" w:rsidRPr="009C1CB6">
        <w:rPr>
          <w:noProof w:val="0"/>
          <w:lang w:val="it-IT"/>
        </w:rPr>
        <w:t xml:space="preserve"> </w:t>
      </w:r>
      <w:r w:rsidR="00DF1E87" w:rsidRPr="009C1CB6">
        <w:rPr>
          <w:noProof w:val="0"/>
          <w:lang w:val="it-IT"/>
        </w:rPr>
        <w:t>Luca Fiori</w:t>
      </w:r>
      <w:r w:rsidR="00DF1E87" w:rsidRPr="009C1CB6">
        <w:rPr>
          <w:noProof w:val="0"/>
          <w:vertAlign w:val="superscript"/>
          <w:lang w:val="it-IT"/>
        </w:rPr>
        <w:t>a</w:t>
      </w:r>
      <w:r w:rsidRPr="009C1CB6">
        <w:rPr>
          <w:noProof w:val="0"/>
          <w:vertAlign w:val="superscript"/>
          <w:lang w:val="it-IT"/>
        </w:rPr>
        <w:t>,d</w:t>
      </w:r>
    </w:p>
    <w:p w14:paraId="2D235BAD" w14:textId="77777777" w:rsidR="00E978D0" w:rsidRPr="00EE5558" w:rsidRDefault="00E978D0" w:rsidP="00E978D0">
      <w:pPr>
        <w:pStyle w:val="CETAddress"/>
        <w:rPr>
          <w:noProof w:val="0"/>
        </w:rPr>
      </w:pPr>
      <w:proofErr w:type="spellStart"/>
      <w:r w:rsidRPr="00EE5558">
        <w:rPr>
          <w:noProof w:val="0"/>
          <w:vertAlign w:val="superscript"/>
        </w:rPr>
        <w:t>a</w:t>
      </w:r>
      <w:r w:rsidR="00DF1E87" w:rsidRPr="00EE5558">
        <w:rPr>
          <w:noProof w:val="0"/>
        </w:rPr>
        <w:t>Department</w:t>
      </w:r>
      <w:proofErr w:type="spellEnd"/>
      <w:r w:rsidR="00DF1E87" w:rsidRPr="00EE5558">
        <w:rPr>
          <w:noProof w:val="0"/>
        </w:rPr>
        <w:t xml:space="preserve"> of Civil, Environmental and Mechanical Engineering, University of Trento, via Mesiano 77, 38123 Trento, Italy.</w:t>
      </w:r>
    </w:p>
    <w:p w14:paraId="4080D52A" w14:textId="1CE3D31D" w:rsidR="00E978D0" w:rsidRPr="00D207FB" w:rsidRDefault="00305443" w:rsidP="00D64B80">
      <w:pPr>
        <w:pStyle w:val="CETemail"/>
        <w:spacing w:after="0"/>
        <w:rPr>
          <w:noProof w:val="0"/>
          <w:lang w:val="it-IT"/>
        </w:rPr>
      </w:pPr>
      <w:r w:rsidRPr="00D207FB">
        <w:rPr>
          <w:noProof w:val="0"/>
          <w:lang w:val="it-IT"/>
        </w:rPr>
        <w:t>lukasz.niedzwiecki</w:t>
      </w:r>
      <w:r w:rsidR="00DF1E87" w:rsidRPr="00D207FB">
        <w:rPr>
          <w:noProof w:val="0"/>
          <w:lang w:val="it-IT"/>
        </w:rPr>
        <w:t>@unitn.it</w:t>
      </w:r>
    </w:p>
    <w:p w14:paraId="4302AC9B" w14:textId="5C64B0CF" w:rsidR="00D64B80" w:rsidRPr="00D207FB" w:rsidRDefault="00D64B80" w:rsidP="00D64B80">
      <w:pPr>
        <w:pStyle w:val="CETAddress"/>
        <w:rPr>
          <w:noProof w:val="0"/>
          <w:lang w:val="it-IT"/>
        </w:rPr>
      </w:pPr>
      <w:r w:rsidRPr="00D207FB">
        <w:rPr>
          <w:noProof w:val="0"/>
          <w:vertAlign w:val="superscript"/>
          <w:lang w:val="it-IT"/>
        </w:rPr>
        <w:t>b</w:t>
      </w:r>
      <w:r w:rsidRPr="00D207FB">
        <w:rPr>
          <w:noProof w:val="0"/>
          <w:lang w:val="it-IT"/>
        </w:rPr>
        <w:t>DeFENS, University of Milan, Via G. Celoria, 2 20133 Milano MI Italia</w:t>
      </w:r>
    </w:p>
    <w:p w14:paraId="58A49312" w14:textId="1DDFCD8B" w:rsidR="00D64B80" w:rsidRPr="00D207FB" w:rsidRDefault="00D64B80" w:rsidP="00D64B80">
      <w:pPr>
        <w:pStyle w:val="CETAddress"/>
        <w:rPr>
          <w:noProof w:val="0"/>
          <w:lang w:val="it-IT"/>
        </w:rPr>
      </w:pPr>
      <w:r w:rsidRPr="00D207FB">
        <w:rPr>
          <w:noProof w:val="0"/>
          <w:vertAlign w:val="superscript"/>
          <w:lang w:val="it-IT"/>
        </w:rPr>
        <w:t>c</w:t>
      </w:r>
      <w:r w:rsidRPr="00D207FB">
        <w:rPr>
          <w:noProof w:val="0"/>
          <w:lang w:val="it-IT"/>
        </w:rPr>
        <w:t>DISAA, University of Milan, Via G. Celoria, 2 20133 Milano MI Italia</w:t>
      </w:r>
    </w:p>
    <w:p w14:paraId="01DD3024" w14:textId="2DDD06E5" w:rsidR="00D64B80" w:rsidRPr="00EE5558" w:rsidRDefault="00D64B80" w:rsidP="00744B87">
      <w:pPr>
        <w:pStyle w:val="CETAddress"/>
        <w:spacing w:after="240"/>
        <w:rPr>
          <w:noProof w:val="0"/>
        </w:rPr>
      </w:pPr>
      <w:proofErr w:type="spellStart"/>
      <w:r w:rsidRPr="00EE5558">
        <w:rPr>
          <w:noProof w:val="0"/>
          <w:vertAlign w:val="superscript"/>
        </w:rPr>
        <w:t>d</w:t>
      </w:r>
      <w:r w:rsidRPr="00EE5558">
        <w:rPr>
          <w:noProof w:val="0"/>
        </w:rPr>
        <w:t>Center</w:t>
      </w:r>
      <w:proofErr w:type="spellEnd"/>
      <w:r w:rsidRPr="00EE5558">
        <w:rPr>
          <w:noProof w:val="0"/>
        </w:rPr>
        <w:t xml:space="preserve"> Agriculture Food Environment (C3A), University of Trento, Via Edmund Mach 1, 38010 San Michele </w:t>
      </w:r>
      <w:proofErr w:type="spellStart"/>
      <w:r w:rsidRPr="00EE5558">
        <w:rPr>
          <w:noProof w:val="0"/>
        </w:rPr>
        <w:t>all'Adige</w:t>
      </w:r>
      <w:proofErr w:type="spellEnd"/>
      <w:r w:rsidRPr="00EE5558">
        <w:rPr>
          <w:noProof w:val="0"/>
        </w:rPr>
        <w:t>, Italy</w:t>
      </w:r>
    </w:p>
    <w:p w14:paraId="089CB69F" w14:textId="1D40F132" w:rsidR="003160F1" w:rsidRPr="00EE5558" w:rsidRDefault="00305443" w:rsidP="003160F1">
      <w:pPr>
        <w:pStyle w:val="CETBodytext"/>
        <w:rPr>
          <w:lang w:val="en-GB"/>
        </w:rPr>
      </w:pPr>
      <w:r w:rsidRPr="00EE5558">
        <w:rPr>
          <w:lang w:val="en-GB"/>
        </w:rPr>
        <w:t>Italy stands as the largest producer of tomatoes in Europe, with a total area of approximately 75 thousand hectares dedicated to this crop. The environmental impact of tomato production is a growing concern, with many studies devoted to the carbon footprint associated with different cultivation practices. Pressure on the environment could be alleviated by turning waste from tomato processing into useful products, according to circular economy principles. Among many different substances, tomatoes contain significant amounts of carotenoids</w:t>
      </w:r>
      <w:r w:rsidR="00FC5489">
        <w:rPr>
          <w:lang w:val="en-GB"/>
        </w:rPr>
        <w:t xml:space="preserve"> </w:t>
      </w:r>
      <w:r w:rsidR="00FC5489" w:rsidRPr="00FC5489">
        <w:rPr>
          <w:highlight w:val="yellow"/>
          <w:lang w:val="en-GB"/>
        </w:rPr>
        <w:t>(e.g.,</w:t>
      </w:r>
      <w:r w:rsidR="00FC5489">
        <w:rPr>
          <w:lang w:val="en-GB"/>
        </w:rPr>
        <w:t xml:space="preserve"> </w:t>
      </w:r>
      <w:r w:rsidRPr="00EE5558">
        <w:rPr>
          <w:lang w:val="en-GB"/>
        </w:rPr>
        <w:t>lycopene</w:t>
      </w:r>
      <w:r w:rsidR="00FC5489" w:rsidRPr="00FC5489">
        <w:rPr>
          <w:highlight w:val="yellow"/>
          <w:lang w:val="en-GB"/>
        </w:rPr>
        <w:t>)</w:t>
      </w:r>
      <w:r w:rsidR="00DF5326">
        <w:rPr>
          <w:lang w:val="en-GB"/>
        </w:rPr>
        <w:t xml:space="preserve"> and</w:t>
      </w:r>
      <w:r w:rsidRPr="00EE5558">
        <w:rPr>
          <w:lang w:val="en-GB"/>
        </w:rPr>
        <w:t xml:space="preserve"> proteins</w:t>
      </w:r>
      <w:r w:rsidR="00BF63C9" w:rsidRPr="009624FC">
        <w:rPr>
          <w:highlight w:val="yellow"/>
          <w:lang w:val="en-GB"/>
        </w:rPr>
        <w:t>/peptides</w:t>
      </w:r>
      <w:r w:rsidRPr="00EE5558">
        <w:rPr>
          <w:lang w:val="en-GB"/>
        </w:rPr>
        <w:t>. This work proposes and evaluates a novel valorisation route for tomato waste, consisting of supercritical CO</w:t>
      </w:r>
      <w:r w:rsidRPr="00EE5558">
        <w:rPr>
          <w:vertAlign w:val="subscript"/>
          <w:lang w:val="en-GB"/>
        </w:rPr>
        <w:t>2</w:t>
      </w:r>
      <w:r w:rsidRPr="00EE5558">
        <w:rPr>
          <w:lang w:val="en-GB"/>
        </w:rPr>
        <w:t xml:space="preserve"> extraction followed by </w:t>
      </w:r>
      <w:r w:rsidR="00DD595C" w:rsidRPr="00DD595C">
        <w:rPr>
          <w:highlight w:val="yellow"/>
          <w:lang w:val="en-GB"/>
        </w:rPr>
        <w:t>subcritical water extraction</w:t>
      </w:r>
      <w:r w:rsidRPr="00EE5558">
        <w:rPr>
          <w:lang w:val="en-GB"/>
        </w:rPr>
        <w:t xml:space="preserve">. Such an approach can enhance </w:t>
      </w:r>
      <w:r w:rsidR="00DF5326">
        <w:rPr>
          <w:lang w:val="en-GB"/>
        </w:rPr>
        <w:t xml:space="preserve">the </w:t>
      </w:r>
      <w:r w:rsidRPr="00EE5558">
        <w:rPr>
          <w:lang w:val="en-GB"/>
        </w:rPr>
        <w:t xml:space="preserve">recovery </w:t>
      </w:r>
      <w:r w:rsidR="00DF5326">
        <w:rPr>
          <w:lang w:val="en-GB"/>
        </w:rPr>
        <w:t xml:space="preserve">of </w:t>
      </w:r>
      <w:r w:rsidR="00D9638E">
        <w:rPr>
          <w:lang w:val="en-GB"/>
        </w:rPr>
        <w:t>lycopene</w:t>
      </w:r>
      <w:r w:rsidRPr="00EE5558">
        <w:rPr>
          <w:lang w:val="en-GB"/>
        </w:rPr>
        <w:t>,</w:t>
      </w:r>
      <w:r w:rsidR="00DD595C">
        <w:rPr>
          <w:lang w:val="en-GB"/>
        </w:rPr>
        <w:t xml:space="preserve"> </w:t>
      </w:r>
      <w:r w:rsidR="00DD595C" w:rsidRPr="00DD595C">
        <w:rPr>
          <w:highlight w:val="yellow"/>
          <w:lang w:val="en-GB"/>
        </w:rPr>
        <w:t xml:space="preserve">with its concentration in </w:t>
      </w:r>
      <w:r w:rsidR="00D56740">
        <w:rPr>
          <w:highlight w:val="yellow"/>
          <w:lang w:val="en-GB"/>
        </w:rPr>
        <w:t>the recovered oil</w:t>
      </w:r>
      <w:r w:rsidR="00DD595C" w:rsidRPr="00DD595C">
        <w:rPr>
          <w:highlight w:val="yellow"/>
          <w:lang w:val="en-GB"/>
        </w:rPr>
        <w:t xml:space="preserve"> reaching 0.66 mg/g</w:t>
      </w:r>
      <w:r w:rsidR="00DD595C">
        <w:rPr>
          <w:lang w:val="en-GB"/>
        </w:rPr>
        <w:t>,</w:t>
      </w:r>
      <w:r w:rsidRPr="00EE5558">
        <w:rPr>
          <w:lang w:val="en-GB"/>
        </w:rPr>
        <w:t xml:space="preserve"> due to </w:t>
      </w:r>
      <w:r w:rsidR="00D9638E">
        <w:rPr>
          <w:lang w:val="en-GB"/>
        </w:rPr>
        <w:t>its</w:t>
      </w:r>
      <w:r w:rsidRPr="00EE5558">
        <w:rPr>
          <w:lang w:val="en-GB"/>
        </w:rPr>
        <w:t xml:space="preserve"> high solubility in lipid-like phases which are efficiently extracted by supercritical CO</w:t>
      </w:r>
      <w:r w:rsidRPr="00EE5558">
        <w:rPr>
          <w:vertAlign w:val="subscript"/>
          <w:lang w:val="en-GB"/>
        </w:rPr>
        <w:t>2</w:t>
      </w:r>
      <w:r w:rsidRPr="00EE5558">
        <w:rPr>
          <w:lang w:val="en-GB"/>
        </w:rPr>
        <w:t xml:space="preserve">. Subcritical water extraction of the residual solids allows the recovery of proteins and peptides. </w:t>
      </w:r>
    </w:p>
    <w:p w14:paraId="7F16AFE0" w14:textId="77777777" w:rsidR="00E978D0" w:rsidRPr="00EE5558" w:rsidRDefault="00AD51B6" w:rsidP="006F0319">
      <w:pPr>
        <w:pStyle w:val="CETHeading1"/>
        <w:rPr>
          <w:lang w:val="en-GB"/>
        </w:rPr>
      </w:pPr>
      <w:r w:rsidRPr="00EE5558">
        <w:rPr>
          <w:lang w:val="en-GB"/>
        </w:rPr>
        <w:t>Introduction</w:t>
      </w:r>
    </w:p>
    <w:p w14:paraId="7271FEF5" w14:textId="5879F61B" w:rsidR="00643CF5" w:rsidRPr="00511E6D" w:rsidRDefault="00643CF5" w:rsidP="00643CF5">
      <w:bookmarkStart w:id="0" w:name="_Hlk503802003"/>
      <w:r w:rsidRPr="00EE5558">
        <w:t xml:space="preserve">Tomato is one of the most commonly grown fruits worldwide </w:t>
      </w:r>
      <w:r w:rsidRPr="00EE5558">
        <w:fldChar w:fldCharType="begin" w:fldLock="1"/>
      </w:r>
      <w:r w:rsidR="00232F59">
        <w:instrText>ADDIN CSL_CITATION {"citationItems":[{"id":"ITEM-1","itemData":{"DOI":"10.1016/j.fbio.2022.101966","ISSN":"22124306","abstract":"Background: Tomato is the second most important vegetable around the world. The processing of the fruit generates waste such as damaged tomatoes, pulp, skin, seeds, and tomato-derived products that contain valuable biomolecules with functional and technological applications. Tomato fruit extracts, mainly from waste, possess bioactive molecules, such as lycopene, with important biological applications in some industries. Scope and approach: The objective of this review is to analyze, discuss and synthesize the technologies that have been used for the extraction and recovery of the main lycopene present in tomato waste. The revised methodologies expose valuable results in the number of carotenoids recovered through the application of solvents, microwave-assisted, ultrasound-assisted, enzymatic-assisted, extraction at high pressure, and supercritical fluids. However, the challenges continue concerning the quality of extracted compounds, economic accessibility, industrial reproducibility, and environmental safety. Key findings and conclusions: The tomato waste contains important bioactive molecules, which are of interest in the food, pharmacological, biotechnological, and cosmetic industries. The information revised in this contribution pretends to support new research lines concerning the formulation of novel tomato waste bio-based functional foods. However, it is necessary to further analyze the new extraction and recovery conditions to keep the functional properties of this by-product.","author":[{"dropping-particle":"","family":"Méndez-Carmona","given":"J. Y.","non-dropping-particle":"","parse-names":false,"suffix":""},{"dropping-particle":"","family":"Ascacio-Valdes","given":"J. A.","non-dropping-particle":"","parse-names":false,"suffix":""},{"dropping-particle":"","family":"Alvarez-Perez","given":"Olga B.","non-dropping-particle":"","parse-names":false,"suffix":""},{"dropping-particle":"","family":"Hernández-Almanza","given":"Ayerim Y.","non-dropping-particle":"","parse-names":false,"suffix":""},{"dropping-particle":"","family":"Ramírez-Guzman","given":"Nathiely","non-dropping-particle":"","parse-names":false,"suffix":""},{"dropping-particle":"","family":"Sepúlveda","given":"Leonardo","non-dropping-particle":"","parse-names":false,"suffix":""},{"dropping-particle":"","family":"Aguilar-González","given":"Miguel A.","non-dropping-particle":"","parse-names":false,"suffix":""},{"dropping-particle":"","family":"Ventura-Sobrevilla","given":"Janeth M.","non-dropping-particle":"","parse-names":false,"suffix":""},{"dropping-particle":"","family":"Aguilar","given":"Cristóbal N.","non-dropping-particle":"","parse-names":false,"suffix":""}],"container-title":"Food Bioscience","id":"ITEM-1","issue":"August","issued":{"date-parts":[["2022"]]},"title":"Tomato waste as a bioresource for lycopene extraction using emerging technologies","type":"article-journal","volume":"49"},"uris":["http://www.mendeley.com/documents/?uuid=b3a08bd1-a963-4228-a2c0-bed03b4a3423"]}],"mendeley":{"formattedCitation":"(Méndez-Carmona &lt;i&gt;et al.&lt;/i&gt;, 2022)","plainTextFormattedCitation":"(Méndez-Carmona et al., 2022)","previouslyFormattedCitation":"(Méndez-Carmona &lt;i&gt;et al.&lt;/i&gt;, 2022)"},"properties":{"noteIndex":0},"schema":"https://github.com/citation-style-language/schema/raw/master/csl-citation.json"}</w:instrText>
      </w:r>
      <w:r w:rsidRPr="00EE5558">
        <w:fldChar w:fldCharType="separate"/>
      </w:r>
      <w:r w:rsidR="00EC7595" w:rsidRPr="00EC7595">
        <w:rPr>
          <w:noProof/>
        </w:rPr>
        <w:t xml:space="preserve">(Méndez-Carmona </w:t>
      </w:r>
      <w:r w:rsidR="00EC7595" w:rsidRPr="00EC7595">
        <w:rPr>
          <w:i/>
          <w:noProof/>
        </w:rPr>
        <w:t>et al.</w:t>
      </w:r>
      <w:r w:rsidR="00EC7595" w:rsidRPr="00EC7595">
        <w:rPr>
          <w:noProof/>
        </w:rPr>
        <w:t>, 2022)</w:t>
      </w:r>
      <w:r w:rsidRPr="00EE5558">
        <w:fldChar w:fldCharType="end"/>
      </w:r>
      <w:r w:rsidRPr="00EE5558">
        <w:t>. Among many different substances</w:t>
      </w:r>
      <w:r w:rsidR="00CD64E6">
        <w:t xml:space="preserve"> important for human well</w:t>
      </w:r>
      <w:r w:rsidR="00F514B1">
        <w:t>-</w:t>
      </w:r>
      <w:r w:rsidR="00CD64E6">
        <w:t xml:space="preserve">being </w:t>
      </w:r>
      <w:r w:rsidR="00CD64E6">
        <w:fldChar w:fldCharType="begin" w:fldLock="1"/>
      </w:r>
      <w:r w:rsidR="00232F59">
        <w:instrText>ADDIN CSL_CITATION {"citationItems":[{"id":"ITEM-1","itemData":{"DOI":"10.3390/antiox9020179","ISSN":"2076-3921","abstract":"Two tomato pomace (TP) were studied as feedstocks to obtain extracts that are rich in polyphenols. TPs prompt degradation impairs biomass safety, thus naturally present microflora were tested to perform conservation, and own lactic bacteria became predominant after 60 days of treatment. The extracts of TPs and TPs fermented (TPF) were chemically characterized and tested for antioxidant and anti-inflammatory activities. Flavonoids and phenolic acids were classed as aglycone-polyphenols (A-PP), the most bioactive polyphenol fraction. Fermentation led to a reduction of the A-PP amount, but no significant change in composition. Antioxidant power increased, despite the A-PP reduction, for the presence of fermentation metabolites having aromatic-substituent. TP and TPF both have anti-inflammatory properties that were strictly dependent upon the A-PP content. Fermentation preserved the anti-inflammatory activity and the Partial Least Square (PLS) identified as the most active molecules naringenin chalcone, kaempferol, gallic acid, and cinnamic acid, together with the definition of the active dose.","author":[{"dropping-particle":"","family":"Abbasi-Parizad","given":"Parisa","non-dropping-particle":"","parse-names":false,"suffix":""},{"dropping-particle":"","family":"Nisi","given":"Patrizia","non-dropping-particle":"De","parse-names":false,"suffix":""},{"dropping-particle":"","family":"Adani","given":"Fabrizio","non-dropping-particle":"","parse-names":false,"suffix":""},{"dropping-particle":"","family":"Pepé Sciarria","given":"Tommy","non-dropping-particle":"","parse-names":false,"suffix":""},{"dropping-particle":"","family":"Squillace","given":"Pietro","non-dropping-particle":"","parse-names":false,"suffix":""},{"dropping-particle":"","family":"Scarafoni","given":"Alessio","non-dropping-particle":"","parse-names":false,"suffix":""},{"dropping-particle":"","family":"Iametti","given":"Stefania","non-dropping-particle":"","parse-names":false,"suffix":""},{"dropping-particle":"","family":"Scaglia","given":"Barbara","non-dropping-particle":"","parse-names":false,"suffix":""}],"container-title":"Antioxidants","id":"ITEM-1","issue":"2","issued":{"date-parts":[["2020","2","21"]]},"page":"179","title":"Antioxidant and Anti-Inflammatory Activities of the Crude Extracts of Raw and Fermented Tomato Pomace and Their Correlations with Aglycate-Polyphenols","type":"article-journal","volume":"9"},"uris":["http://www.mendeley.com/documents/?uuid=fdf67847-689d-4cb3-ae52-41e1964ad375"]}],"mendeley":{"formattedCitation":"(Abbasi-Parizad &lt;i&gt;et al.&lt;/i&gt;, 2020)","plainTextFormattedCitation":"(Abbasi-Parizad et al., 2020)","previouslyFormattedCitation":"(Abbasi-Parizad &lt;i&gt;et al.&lt;/i&gt;, 2020)"},"properties":{"noteIndex":0},"schema":"https://github.com/citation-style-language/schema/raw/master/csl-citation.json"}</w:instrText>
      </w:r>
      <w:r w:rsidR="00CD64E6">
        <w:fldChar w:fldCharType="separate"/>
      </w:r>
      <w:r w:rsidR="00EC7595" w:rsidRPr="00EC7595">
        <w:rPr>
          <w:noProof/>
        </w:rPr>
        <w:t xml:space="preserve">(Abbasi-Parizad </w:t>
      </w:r>
      <w:r w:rsidR="00EC7595" w:rsidRPr="00EC7595">
        <w:rPr>
          <w:i/>
          <w:noProof/>
        </w:rPr>
        <w:t>et al.</w:t>
      </w:r>
      <w:r w:rsidR="00EC7595" w:rsidRPr="00EC7595">
        <w:rPr>
          <w:noProof/>
        </w:rPr>
        <w:t>, 2020)</w:t>
      </w:r>
      <w:r w:rsidR="00CD64E6">
        <w:fldChar w:fldCharType="end"/>
      </w:r>
      <w:r w:rsidRPr="00EE5558">
        <w:t>, tomato</w:t>
      </w:r>
      <w:r w:rsidR="00F514B1">
        <w:t>es</w:t>
      </w:r>
      <w:r w:rsidRPr="00EE5558">
        <w:t xml:space="preserve"> contain </w:t>
      </w:r>
      <w:r w:rsidR="00B933D4" w:rsidRPr="00EE5558">
        <w:t>significant</w:t>
      </w:r>
      <w:r w:rsidRPr="00EE5558">
        <w:t xml:space="preserve"> amounts of carotenoids</w:t>
      </w:r>
      <w:r w:rsidR="00071ADA">
        <w:t xml:space="preserve"> </w:t>
      </w:r>
      <w:r w:rsidRPr="00EE5558">
        <w:fldChar w:fldCharType="begin" w:fldLock="1"/>
      </w:r>
      <w:r w:rsidR="00232F59">
        <w:instrText>ADDIN CSL_CITATION {"citationItems":[{"id":"ITEM-1","itemData":{"DOI":"10.1016/j.biortech.2021.125398","ISSN":"18732976","PMID":"34139560","abstract":"The demand for carotenoids from natural sources obtained by biological extraction methods is increasing with the development of biotechnology and the continued awareness of food safety. Natural plant-derived carotenoids have a relatively high production cost and are affected by the season, while microbial-derived carotenoids are favored due to their natural, high-efficiency, low production cost, and ease of industrialization. This article reviewed the following aspects of natural carotenoids derived from microorganisms: (1) the structures and properties of main carotenoids; (2) fungal and microalgal sources of the main carotenoids; (3) influencing factors and modes of improvement for carotenoids production; (4) efficient extraction methods for carotenoids; and (5) the commercial value of carotenoids. This review provided a reference and guidance for the development of natural carotenoids derived from microorganisms.","author":[{"dropping-particle":"","family":"Liu","given":"Chang","non-dropping-particle":"","parse-names":false,"suffix":""},{"dropping-particle":"","family":"Hu","given":"Bin","non-dropping-particle":"","parse-names":false,"suffix":""},{"dropping-particle":"","family":"Cheng","given":"Yuliang","non-dropping-particle":"","parse-names":false,"suffix":""},{"dropping-particle":"","family":"Guo","given":"Yahui","non-dropping-particle":"","parse-names":false,"suffix":""},{"dropping-particle":"","family":"Yao","given":"Weirong","non-dropping-particle":"","parse-names":false,"suffix":""},{"dropping-particle":"","family":"Qian","given":"He","non-dropping-particle":"","parse-names":false,"suffix":""}],"container-title":"Bioresource Technology","id":"ITEM-1","issue":"April","issued":{"date-parts":[["2021"]]},"page":"125398","publisher":"Elsevier Ltd","title":"Carotenoids from fungi and microalgae: A review on their recent production, extraction, and developments","type":"article-journal","volume":"337"},"uris":["http://www.mendeley.com/documents/?uuid=682a194b-681f-4aa8-a1e7-988f98199dcf"]},{"id":"ITEM-2","itemData":{"DOI":"10.1002/jsfa.911","ISSN":"00225142","abstract":"The susceptibility of predominant tomato carotenoids to thermal isomerisation during typical food preparation is reported for five varieties with distinctively different carotenoid distribution. The tomato varieties used contain distinct amounts of the following predominant carotenoids: all-trans lycopene, all-trans β-carotene, all-trans δ-carotene, all-trans lutein and the poly-cis geometrical isomer of lycopene, prolycopene. The tomatoes were subjected to thermal treatments and unit operations similar to those during food preparation: boiling, addition of vegetable cooking oil, chopping and agitation. The results indicated that, during typical cooking of tomatoes, common factors such as genotypic differences in overall carotenoid composition, the presence of oil and physical changes to tomato tissues did not result in the thermal isomerisation of all-trans lycopene, all-trans δ-carotene, all-trans γ-carotene or prolycopene. Significant amounts of all-trans β-carotene and all-trans lutein, however, were converted to the cis configurations. The presence of vegetable cooking oil did not alter the thermal stability of any carotenoids being evaluated. Examination of samples by electron microscopy indicated that heat treatment imparted changes to the physical ultrastructure of the tomato tissue, such as cell wall and organelle deformation. The observed differences in these carotenoids' relative susceptibility to thermally induced isomerisation reactions might be attributable to their differences in physical state and cellular localisation. Thus, while thermal processing reportedly alters rite bioavailabillty of carotenoids, its effect on the geometrical isomer distribution is selective and limited. These findings are important considerations in our overall effort to gain a better understanding of carotenoid metabolism in vivo and of the physical chemistry of lycopene in vitro. © 2001 Society of Chemical Industry.","author":[{"dropping-particle":"","family":"Nguyen","given":"Minhthy","non-dropping-particle":"","parse-names":false,"suffix":""},{"dropping-particle":"","family":"Francis","given":"David","non-dropping-particle":"","parse-names":false,"suffix":""},{"dropping-particle":"","family":"Schwartz","given":"Steven","non-dropping-particle":"","parse-names":false,"suffix":""}],"container-title":"Journal of the Science of Food and Agriculture","id":"ITEM-2","issue":"9","issued":{"date-parts":[["2001"]]},"page":"910-917","title":"Thermal isomerisation susceptibility of carotenoids in different tomato varieties","type":"article-journal","volume":"81"},"uris":["http://www.mendeley.com/documents/?uuid=621e58dc-01f5-424e-8ffd-8d2d88e73286"]}],"mendeley":{"formattedCitation":"(Nguyen, Francis and Schwartz, 2001; Liu &lt;i&gt;et al.&lt;/i&gt;, 2021)","plainTextFormattedCitation":"(Nguyen, Francis and Schwartz, 2001; Liu et al., 2021)","previouslyFormattedCitation":"(Nguyen, Francis and Schwartz, 2001; Liu &lt;i&gt;et al.&lt;/i&gt;, 2021)"},"properties":{"noteIndex":0},"schema":"https://github.com/citation-style-language/schema/raw/master/csl-citation.json"}</w:instrText>
      </w:r>
      <w:r w:rsidRPr="00EE5558">
        <w:fldChar w:fldCharType="separate"/>
      </w:r>
      <w:r w:rsidR="00EC7595" w:rsidRPr="00EC7595">
        <w:rPr>
          <w:noProof/>
        </w:rPr>
        <w:t xml:space="preserve">(Nguyen, Francis and Schwartz, 2001; Liu </w:t>
      </w:r>
      <w:r w:rsidR="00EC7595" w:rsidRPr="00EC7595">
        <w:rPr>
          <w:i/>
          <w:noProof/>
        </w:rPr>
        <w:t>et al.</w:t>
      </w:r>
      <w:r w:rsidR="00EC7595" w:rsidRPr="00EC7595">
        <w:rPr>
          <w:noProof/>
        </w:rPr>
        <w:t>, 2021)</w:t>
      </w:r>
      <w:r w:rsidRPr="00EE5558">
        <w:fldChar w:fldCharType="end"/>
      </w:r>
      <w:r w:rsidRPr="00EE5558">
        <w:t xml:space="preserve"> </w:t>
      </w:r>
      <w:r w:rsidR="00071ADA">
        <w:t>including</w:t>
      </w:r>
      <w:r w:rsidR="00071ADA" w:rsidRPr="00EE5558">
        <w:t xml:space="preserve"> </w:t>
      </w:r>
      <w:r w:rsidRPr="00EE5558">
        <w:t xml:space="preserve">β-carotene </w:t>
      </w:r>
      <w:r w:rsidR="00FD72E9">
        <w:t>and</w:t>
      </w:r>
      <w:r w:rsidR="00FD72E9" w:rsidRPr="00EE5558">
        <w:t xml:space="preserve"> </w:t>
      </w:r>
      <w:r w:rsidRPr="00EE5558">
        <w:t xml:space="preserve">lycopene </w:t>
      </w:r>
      <w:r w:rsidRPr="00EE5558">
        <w:fldChar w:fldCharType="begin" w:fldLock="1"/>
      </w:r>
      <w:r w:rsidR="00232F59">
        <w:instrText>ADDIN CSL_CITATION {"citationItems":[{"id":"ITEM-1","itemData":{"DOI":"10.1016/j.fbio.2022.101966","ISSN":"22124306","abstract":"Background: Tomato is the second most important vegetable around the world. The processing of the fruit generates waste such as damaged tomatoes, pulp, skin, seeds, and tomato-derived products that contain valuable biomolecules with functional and technological applications. Tomato fruit extracts, mainly from waste, possess bioactive molecules, such as lycopene, with important biological applications in some industries. Scope and approach: The objective of this review is to analyze, discuss and synthesize the technologies that have been used for the extraction and recovery of the main lycopene present in tomato waste. The revised methodologies expose valuable results in the number of carotenoids recovered through the application of solvents, microwave-assisted, ultrasound-assisted, enzymatic-assisted, extraction at high pressure, and supercritical fluids. However, the challenges continue concerning the quality of extracted compounds, economic accessibility, industrial reproducibility, and environmental safety. Key findings and conclusions: The tomato waste contains important bioactive molecules, which are of interest in the food, pharmacological, biotechnological, and cosmetic industries. The information revised in this contribution pretends to support new research lines concerning the formulation of novel tomato waste bio-based functional foods. However, it is necessary to further analyze the new extraction and recovery conditions to keep the functional properties of this by-product.","author":[{"dropping-particle":"","family":"Méndez-Carmona","given":"J. Y.","non-dropping-particle":"","parse-names":false,"suffix":""},{"dropping-particle":"","family":"Ascacio-Valdes","given":"J. A.","non-dropping-particle":"","parse-names":false,"suffix":""},{"dropping-particle":"","family":"Alvarez-Perez","given":"Olga B.","non-dropping-particle":"","parse-names":false,"suffix":""},{"dropping-particle":"","family":"Hernández-Almanza","given":"Ayerim Y.","non-dropping-particle":"","parse-names":false,"suffix":""},{"dropping-particle":"","family":"Ramírez-Guzman","given":"Nathiely","non-dropping-particle":"","parse-names":false,"suffix":""},{"dropping-particle":"","family":"Sepúlveda","given":"Leonardo","non-dropping-particle":"","parse-names":false,"suffix":""},{"dropping-particle":"","family":"Aguilar-González","given":"Miguel A.","non-dropping-particle":"","parse-names":false,"suffix":""},{"dropping-particle":"","family":"Ventura-Sobrevilla","given":"Janeth M.","non-dropping-particle":"","parse-names":false,"suffix":""},{"dropping-particle":"","family":"Aguilar","given":"Cristóbal N.","non-dropping-particle":"","parse-names":false,"suffix":""}],"container-title":"Food Bioscience","id":"ITEM-1","issue":"August","issued":{"date-parts":[["2022"]]},"title":"Tomato waste as a bioresource for lycopene extraction using emerging technologies","type":"article-journal","volume":"49"},"uris":["http://www.mendeley.com/documents/?uuid=b3a08bd1-a963-4228-a2c0-bed03b4a3423"]},{"id":"ITEM-2","itemData":{"DOI":"10.1016/j.foodchem.2012.07.035","ISSN":"03088146","PMID":"22980866","abstract":"Based on the observation of outstanding dissimilarities of the morphology of pigment-containing chromoplasts in nutritionally important carotenoid sources, the bioaccessibility (BA) of carotenoids from edible portions of carrot, mango, papaya, and tomato was compared using an in vitro digestion model. While carrot and tomato contained large carotenoid crystals clearly visible by light microscopy, mango and papaya contained different types of carotenoid-bearing structures. Particularly, β-carotene is deposited in globular and tubular elements in papaya and mango chromoplasts, where carotenoids accumulate in a lipid-dissolved and liquid-crystalline form, respectively. The highest BA of β-carotene was found for mango (10.1%), followed by papaya (5.3%), tomato (3.1%), and carrot (0.5%). In our digestion model, differences between total lycopene BA from papaya and tomato were insignificant, possibly since both pigments occur in a solid crystalline deposition form in both fruits. Furthermore, the BA of lutein, β-cryptoxanthin, and β-cryptoxanthin esters was shown to be superior to that of the carotenes from the respective food sources. The effect of lipid addition to the different food sources was studied. Although BA was enhanced for most carotenoids, the above-mentioned ranking of BAs of β-carotene remained unchanged after lipid addition. Consequently, the physical form of carotenoid deposition in plant chromoplasts is suggested to have major impact on their liberation efficiency from the food matrices. © 2012 Elsevier Ltd. All rights reserved.","author":[{"dropping-particle":"","family":"Schweiggert","given":"Ralf M.","non-dropping-particle":"","parse-names":false,"suffix":""},{"dropping-particle":"","family":"Mezger","given":"Dominik","non-dropping-particle":"","parse-names":false,"suffix":""},{"dropping-particle":"","family":"Schimpf","given":"Franziska","non-dropping-particle":"","parse-names":false,"suffix":""},{"dropping-particle":"","family":"Steingass","given":"Christof B.","non-dropping-particle":"","parse-names":false,"suffix":""},{"dropping-particle":"","family":"Carle","given":"Reinhold","non-dropping-particle":"","parse-names":false,"suffix":""}],"container-title":"Food Chemistry","id":"ITEM-2","issue":"4","issued":{"date-parts":[["2012"]]},"page":"2736-2742","publisher":"Elsevier Ltd","title":"Influence of chromoplast morphology on carotenoid bioaccessibility of carrot, mango, papaya, and tomato","type":"article-journal","volume":"135"},"uris":["http://www.mendeley.com/documents/?uuid=c42a83b2-17b1-415e-81ff-73d5a4155d9a"]}],"mendeley":{"formattedCitation":"(Schweiggert &lt;i&gt;et al.&lt;/i&gt;, 2012; Méndez-Carmona &lt;i&gt;et al.&lt;/i&gt;, 2022)","plainTextFormattedCitation":"(Schweiggert et al., 2012; Méndez-Carmona et al., 2022)","previouslyFormattedCitation":"(Schweiggert &lt;i&gt;et al.&lt;/i&gt;, 2012; Méndez-Carmona &lt;i&gt;et al.&lt;/i&gt;, 2022)"},"properties":{"noteIndex":0},"schema":"https://github.com/citation-style-language/schema/raw/master/csl-citation.json"}</w:instrText>
      </w:r>
      <w:r w:rsidRPr="00EE5558">
        <w:fldChar w:fldCharType="separate"/>
      </w:r>
      <w:r w:rsidR="00EC7595" w:rsidRPr="00EC7595">
        <w:rPr>
          <w:noProof/>
        </w:rPr>
        <w:t xml:space="preserve">(Schweiggert </w:t>
      </w:r>
      <w:r w:rsidR="00EC7595" w:rsidRPr="00EC7595">
        <w:rPr>
          <w:i/>
          <w:noProof/>
        </w:rPr>
        <w:t>et al.</w:t>
      </w:r>
      <w:r w:rsidR="00EC7595" w:rsidRPr="00EC7595">
        <w:rPr>
          <w:noProof/>
        </w:rPr>
        <w:t xml:space="preserve">, 2012; Méndez-Carmona </w:t>
      </w:r>
      <w:r w:rsidR="00EC7595" w:rsidRPr="00EC7595">
        <w:rPr>
          <w:i/>
          <w:noProof/>
        </w:rPr>
        <w:t>et al.</w:t>
      </w:r>
      <w:r w:rsidR="00EC7595" w:rsidRPr="00EC7595">
        <w:rPr>
          <w:noProof/>
        </w:rPr>
        <w:t>, 2022)</w:t>
      </w:r>
      <w:r w:rsidRPr="00EE5558">
        <w:fldChar w:fldCharType="end"/>
      </w:r>
      <w:r w:rsidRPr="00EE5558">
        <w:t>. Carotenoids present in tomato</w:t>
      </w:r>
      <w:r w:rsidR="00F514B1">
        <w:t>es</w:t>
      </w:r>
      <w:r w:rsidRPr="00EE5558">
        <w:t xml:space="preserve"> are stored in chromoplasts, with lycopene stored mostly in crystalline chromoplasts </w:t>
      </w:r>
      <w:r w:rsidRPr="00EE5558">
        <w:fldChar w:fldCharType="begin" w:fldLock="1"/>
      </w:r>
      <w:r w:rsidR="00232F59">
        <w:instrText>ADDIN CSL_CITATION {"citationItems":[{"id":"ITEM-1","itemData":{"DOI":"10.1016/S0074-7696(08)62211-1","author":[{"dropping-particle":"","family":"Camara","given":"Bilal","non-dropping-particle":"","parse-names":false,"suffix":""},{"dropping-particle":"","family":"Hugueney","given":"Philippe","non-dropping-particle":"","parse-names":false,"suffix":""},{"dropping-particle":"","family":"Bouvier","given":"Florence","non-dropping-particle":"","parse-names":false,"suffix":""},{"dropping-particle":"","family":"Kuntz","given":"Marcel","non-dropping-particle":"","parse-names":false,"suffix":""},{"dropping-particle":"","family":"Monéger","given":"René","non-dropping-particle":"","parse-names":false,"suffix":""}],"id":"ITEM-1","issued":{"date-parts":[["1995"]]},"page":"175-247","title":"Biochemistry and Molecular Biology of Chromoplast Development","type":"chapter"},"uris":["http://www.mendeley.com/documents/?uuid=7de053f5-72bb-4d69-a1f9-2ea00eab253d"]},{"id":"ITEM-2","itemData":{"DOI":"10.1002/jsfa.911","ISSN":"00225142","abstract":"The susceptibility of predominant tomato carotenoids to thermal isomerisation during typical food preparation is reported for five varieties with distinctively different carotenoid distribution. The tomato varieties used contain distinct amounts of the following predominant carotenoids: all-trans lycopene, all-trans β-carotene, all-trans δ-carotene, all-trans lutein and the poly-cis geometrical isomer of lycopene, prolycopene. The tomatoes were subjected to thermal treatments and unit operations similar to those during food preparation: boiling, addition of vegetable cooking oil, chopping and agitation. The results indicated that, during typical cooking of tomatoes, common factors such as genotypic differences in overall carotenoid composition, the presence of oil and physical changes to tomato tissues did not result in the thermal isomerisation of all-trans lycopene, all-trans δ-carotene, all-trans γ-carotene or prolycopene. Significant amounts of all-trans β-carotene and all-trans lutein, however, were converted to the cis configurations. The presence of vegetable cooking oil did not alter the thermal stability of any carotenoids being evaluated. Examination of samples by electron microscopy indicated that heat treatment imparted changes to the physical ultrastructure of the tomato tissue, such as cell wall and organelle deformation. The observed differences in these carotenoids' relative susceptibility to thermally induced isomerisation reactions might be attributable to their differences in physical state and cellular localisation. Thus, while thermal processing reportedly alters rite bioavailabillty of carotenoids, its effect on the geometrical isomer distribution is selective and limited. These findings are important considerations in our overall effort to gain a better understanding of carotenoid metabolism in vivo and of the physical chemistry of lycopene in vitro. © 2001 Society of Chemical Industry.","author":[{"dropping-particle":"","family":"Nguyen","given":"Minhthy","non-dropping-particle":"","parse-names":false,"suffix":""},{"dropping-particle":"","family":"Francis","given":"David","non-dropping-particle":"","parse-names":false,"suffix":""},{"dropping-particle":"","family":"Schwartz","given":"Steven","non-dropping-particle":"","parse-names":false,"suffix":""}],"container-title":"Journal of the Science of Food and Agriculture","id":"ITEM-2","issue":"9","issued":{"date-parts":[["2001"]]},"page":"910-917","title":"Thermal isomerisation susceptibility of carotenoids in different tomato varieties","type":"article-journal","volume":"81"},"uris":["http://www.mendeley.com/documents/?uuid=621e58dc-01f5-424e-8ffd-8d2d88e73286"]},{"id":"ITEM-3","itemData":{"DOI":"10.1016/j.foodchem.2012.07.035","ISSN":"03088146","PMID":"22980866","abstract":"Based on the observation of outstanding dissimilarities of the morphology of pigment-containing chromoplasts in nutritionally important carotenoid sources, the bioaccessibility (BA) of carotenoids from edible portions of carrot, mango, papaya, and tomato was compared using an in vitro digestion model. While carrot and tomato contained large carotenoid crystals clearly visible by light microscopy, mango and papaya contained different types of carotenoid-bearing structures. Particularly, β-carotene is deposited in globular and tubular elements in papaya and mango chromoplasts, where carotenoids accumulate in a lipid-dissolved and liquid-crystalline form, respectively. The highest BA of β-carotene was found for mango (10.1%), followed by papaya (5.3%), tomato (3.1%), and carrot (0.5%). In our digestion model, differences between total lycopene BA from papaya and tomato were insignificant, possibly since both pigments occur in a solid crystalline deposition form in both fruits. Furthermore, the BA of lutein, β-cryptoxanthin, and β-cryptoxanthin esters was shown to be superior to that of the carotenes from the respective food sources. The effect of lipid addition to the different food sources was studied. Although BA was enhanced for most carotenoids, the above-mentioned ranking of BAs of β-carotene remained unchanged after lipid addition. Consequently, the physical form of carotenoid deposition in plant chromoplasts is suggested to have major impact on their liberation efficiency from the food matrices. © 2012 Elsevier Ltd. All rights reserved.","author":[{"dropping-particle":"","family":"Schweiggert","given":"Ralf M.","non-dropping-particle":"","parse-names":false,"suffix":""},{"dropping-particle":"","family":"Mezger","given":"Dominik","non-dropping-particle":"","parse-names":false,"suffix":""},{"dropping-particle":"","family":"Schimpf","given":"Franziska","non-dropping-particle":"","parse-names":false,"suffix":""},{"dropping-particle":"","family":"Steingass","given":"Christof B.","non-dropping-particle":"","parse-names":false,"suffix":""},{"dropping-particle":"","family":"Carle","given":"Reinhold","non-dropping-particle":"","parse-names":false,"suffix":""}],"container-title":"Food Chemistry","id":"ITEM-3","issue":"4","issued":{"date-parts":[["2012"]]},"page":"2736-2742","publisher":"Elsevier Ltd","title":"Influence of chromoplast morphology on carotenoid bioaccessibility of carrot, mango, papaya, and tomato","type":"article-journal","volume":"135"},"uris":["http://www.mendeley.com/documents/?uuid=c42a83b2-17b1-415e-81ff-73d5a4155d9a"]}],"mendeley":{"formattedCitation":"(Camara &lt;i&gt;et al.&lt;/i&gt;, 1995; Nguyen, Francis and Schwartz, 2001; Schweiggert &lt;i&gt;et al.&lt;/i&gt;, 2012)","plainTextFormattedCitation":"(Camara et al., 1995; Nguyen, Francis and Schwartz, 2001; Schweiggert et al., 2012)","previouslyFormattedCitation":"(Camara &lt;i&gt;et al.&lt;/i&gt;, 1995; Nguyen, Francis and Schwartz, 2001; Schweiggert &lt;i&gt;et al.&lt;/i&gt;, 2012)"},"properties":{"noteIndex":0},"schema":"https://github.com/citation-style-language/schema/raw/master/csl-citation.json"}</w:instrText>
      </w:r>
      <w:r w:rsidRPr="00EE5558">
        <w:fldChar w:fldCharType="separate"/>
      </w:r>
      <w:r w:rsidR="00EC7595" w:rsidRPr="00EC7595">
        <w:rPr>
          <w:noProof/>
        </w:rPr>
        <w:t xml:space="preserve">(Camara </w:t>
      </w:r>
      <w:r w:rsidR="00EC7595" w:rsidRPr="00EC7595">
        <w:rPr>
          <w:i/>
          <w:noProof/>
        </w:rPr>
        <w:t>et al.</w:t>
      </w:r>
      <w:r w:rsidR="00EC7595" w:rsidRPr="00EC7595">
        <w:rPr>
          <w:noProof/>
        </w:rPr>
        <w:t xml:space="preserve">, 1995; Nguyen, Francis and Schwartz, 2001; Schweiggert </w:t>
      </w:r>
      <w:r w:rsidR="00EC7595" w:rsidRPr="00EC7595">
        <w:rPr>
          <w:i/>
          <w:noProof/>
        </w:rPr>
        <w:t>et al.</w:t>
      </w:r>
      <w:r w:rsidR="00EC7595" w:rsidRPr="00EC7595">
        <w:rPr>
          <w:noProof/>
        </w:rPr>
        <w:t>, 2012)</w:t>
      </w:r>
      <w:r w:rsidRPr="00EE5558">
        <w:fldChar w:fldCharType="end"/>
      </w:r>
      <w:r w:rsidRPr="00EE5558">
        <w:t xml:space="preserve">. </w:t>
      </w:r>
      <w:bookmarkStart w:id="1" w:name="_Hlk200717825"/>
      <w:r w:rsidRPr="00D60F32">
        <w:rPr>
          <w:highlight w:val="yellow"/>
        </w:rPr>
        <w:t xml:space="preserve">Food processing can increase </w:t>
      </w:r>
      <w:r w:rsidR="00F514B1" w:rsidRPr="00D60F32">
        <w:rPr>
          <w:highlight w:val="yellow"/>
        </w:rPr>
        <w:t xml:space="preserve">the </w:t>
      </w:r>
      <w:r w:rsidRPr="00D60F32">
        <w:rPr>
          <w:highlight w:val="yellow"/>
        </w:rPr>
        <w:t xml:space="preserve">bioavailability of lycopene by disrupting cellular membranes and helping to release lycopene from the tissue matrix </w:t>
      </w:r>
      <w:r w:rsidRPr="00D60F32">
        <w:rPr>
          <w:highlight w:val="yellow"/>
        </w:rPr>
        <w:fldChar w:fldCharType="begin" w:fldLock="1"/>
      </w:r>
      <w:r w:rsidR="00232F59">
        <w:rPr>
          <w:highlight w:val="yellow"/>
        </w:rPr>
        <w:instrText>ADDIN CSL_CITATION {"citationItems":[{"id":"ITEM-1","itemData":{"DOI":"10.1146/annurev.food.102308.124120","ISBN":"9241546123","ISSN":"19411413","PMID":"22129335","abstract":"Lycopene is a non-provitamin A carotenoid that is responsible for the red to pink colors seen in tomatoes, pink grapefruit, and other foods. Processed tomato products are the primary dietary lycopene source in the United States. Unlike many other natural compounds, lycopene is generally stable to processing when present in the plant tissue matrix. Recently, lycopene has also been studied in relation to its potential health effects. Although promising data from epidemiological, as well as cell culture and animal, studies suggest that lycopene and the consumption of lycopene containing foods may affect cancer or cardiovascular disease risk, more clinical trial data is needed to port this hypothesis. In addition, future studies are required to understand the mechanism(s) whereby lycopene or its metabolites are proven to possess biological activity in humans. Copyright © 2010 by Annual Reviews. All rights reserved.","author":[{"dropping-particle":"","family":"Story","given":"Erica N.","non-dropping-particle":"","parse-names":false,"suffix":""},{"dropping-particle":"","family":"Kopec","given":"Rachel E.","non-dropping-particle":"","parse-names":false,"suffix":""},{"dropping-particle":"","family":"Schwartz","given":"Steven J.","non-dropping-particle":"","parse-names":false,"suffix":""},{"dropping-particle":"","family":"Keith Harris","given":"G.","non-dropping-particle":"","parse-names":false,"suffix":""}],"container-title":"Annual Review of Food Science and Technology","id":"ITEM-1","issue":"1","issued":{"date-parts":[["2010"]]},"page":"189-210","title":"An update on the health effects of tomato lycopene","type":"article-journal","volume":"1"},"uris":["http://www.mendeley.com/documents/?uuid=0df5bffc-ef8e-4496-b2bf-01c11f67ba4f"]}],"mendeley":{"formattedCitation":"(Story &lt;i&gt;et al.&lt;/i&gt;, 2010)","plainTextFormattedCitation":"(Story et al., 2010)","previouslyFormattedCitation":"(Story &lt;i&gt;et al.&lt;/i&gt;, 2010)"},"properties":{"noteIndex":0},"schema":"https://github.com/citation-style-language/schema/raw/master/csl-citation.json"}</w:instrText>
      </w:r>
      <w:r w:rsidRPr="00D60F32">
        <w:rPr>
          <w:highlight w:val="yellow"/>
        </w:rPr>
        <w:fldChar w:fldCharType="separate"/>
      </w:r>
      <w:r w:rsidR="00EC7595" w:rsidRPr="00EC7595">
        <w:rPr>
          <w:noProof/>
          <w:highlight w:val="yellow"/>
        </w:rPr>
        <w:t xml:space="preserve">(Story </w:t>
      </w:r>
      <w:r w:rsidR="00EC7595" w:rsidRPr="00EC7595">
        <w:rPr>
          <w:i/>
          <w:noProof/>
          <w:highlight w:val="yellow"/>
        </w:rPr>
        <w:t>et al.</w:t>
      </w:r>
      <w:r w:rsidR="00EC7595" w:rsidRPr="00EC7595">
        <w:rPr>
          <w:noProof/>
          <w:highlight w:val="yellow"/>
        </w:rPr>
        <w:t>, 2010)</w:t>
      </w:r>
      <w:r w:rsidRPr="00D60F32">
        <w:rPr>
          <w:highlight w:val="yellow"/>
        </w:rPr>
        <w:fldChar w:fldCharType="end"/>
      </w:r>
      <w:bookmarkEnd w:id="1"/>
      <w:r w:rsidRPr="00D60F32">
        <w:rPr>
          <w:highlight w:val="yellow"/>
        </w:rPr>
        <w:t>.</w:t>
      </w:r>
      <w:r w:rsidRPr="00EE5558">
        <w:t xml:space="preserve"> </w:t>
      </w:r>
      <w:r w:rsidR="00511E6D">
        <w:t xml:space="preserve"> </w:t>
      </w:r>
      <w:r w:rsidRPr="00EE5558">
        <w:t>Lycopene is soluble in lipids</w:t>
      </w:r>
      <w:r w:rsidR="00FC5489">
        <w:t xml:space="preserve">, </w:t>
      </w:r>
      <w:r w:rsidR="00FC5489" w:rsidRPr="00FC5489">
        <w:rPr>
          <w:highlight w:val="yellow"/>
        </w:rPr>
        <w:t>therefore</w:t>
      </w:r>
      <w:r w:rsidR="00596329" w:rsidRPr="00134B5E">
        <w:t xml:space="preserve"> using 10%</w:t>
      </w:r>
      <w:r w:rsidR="00596329" w:rsidRPr="00134B5E">
        <w:rPr>
          <w:vertAlign w:val="subscript"/>
        </w:rPr>
        <w:t>w/w</w:t>
      </w:r>
      <w:r w:rsidR="00596329" w:rsidRPr="00134B5E">
        <w:t xml:space="preserve"> of hazelnut oil as co-solvent has been reported to be optimum for supercritical extraction of lycopene from tomatoes </w:t>
      </w:r>
      <w:r w:rsidR="00596329" w:rsidRPr="00134B5E">
        <w:fldChar w:fldCharType="begin" w:fldLock="1"/>
      </w:r>
      <w:r w:rsidR="00596329" w:rsidRPr="00134B5E">
        <w:instrText>ADDIN CSL_CITATION {"citationItems":[{"id":"ITEM-1","itemData":{"DOI":"10.1007/978-3-030-46817-0_85","ISBN":"978-3-030-46817-0","author":[{"dropping-particle":"","family":"Margotta","given":"Maria","non-dropping-particle":"","parse-names":false,"suffix":""},{"dropping-particle":"","family":"Simone","given":"Marco Claudio","non-dropping-particle":"De","parse-names":false,"suffix":""}],"container-title":"New Technologies, Development and Application III","editor":[{"dropping-particle":"","family":"Karabegović","given":"Isak","non-dropping-particle":"","parse-names":false,"suffix":""}],"id":"ITEM-1","issued":{"date-parts":[["2020"]]},"page":"750-758","publisher":"Springer Nature Switzerland AG","publisher-place":"Cham, Switzerland","title":"Supercritical Fluid Extraction of Lycopene and Omega-3","type":"chapter"},"uris":["http://www.mendeley.com/documents/?uuid=8c8a6ef9-3579-40c1-a226-830e78b700df"]}],"mendeley":{"formattedCitation":"(Margotta and De Simone, 2020)","plainTextFormattedCitation":"(Margotta and De Simone, 2020)","previouslyFormattedCitation":"(Margotta and De Simone, 2020)"},"properties":{"noteIndex":0},"schema":"https://github.com/citation-style-language/schema/raw/master/csl-citation.json"}</w:instrText>
      </w:r>
      <w:r w:rsidR="00596329" w:rsidRPr="00134B5E">
        <w:fldChar w:fldCharType="separate"/>
      </w:r>
      <w:r w:rsidR="00596329" w:rsidRPr="00134B5E">
        <w:rPr>
          <w:noProof/>
        </w:rPr>
        <w:t>(Margotta and De Simone, 2020)</w:t>
      </w:r>
      <w:r w:rsidR="00596329" w:rsidRPr="00134B5E">
        <w:fldChar w:fldCharType="end"/>
      </w:r>
      <w:r w:rsidR="00596329" w:rsidRPr="00134B5E">
        <w:t>.</w:t>
      </w:r>
      <w:r w:rsidR="00596329" w:rsidRPr="00EE5558">
        <w:t xml:space="preserve"> High carotenoid recovery, including 98.5% recovery of lycopene from tomato flesh</w:t>
      </w:r>
      <w:r w:rsidR="0099464C">
        <w:t>,</w:t>
      </w:r>
      <w:r w:rsidR="00596329" w:rsidRPr="00EE5558">
        <w:t xml:space="preserve"> has been reported for supercritical CO</w:t>
      </w:r>
      <w:r w:rsidR="00596329" w:rsidRPr="00EE5558">
        <w:rPr>
          <w:vertAlign w:val="subscript"/>
        </w:rPr>
        <w:t>2</w:t>
      </w:r>
      <w:r w:rsidR="00596329" w:rsidRPr="00EE5558">
        <w:t xml:space="preserve"> </w:t>
      </w:r>
      <w:r w:rsidR="000F7DB0">
        <w:t>(SC-CO</w:t>
      </w:r>
      <w:r w:rsidR="000F7DB0" w:rsidRPr="002B7367">
        <w:rPr>
          <w:vertAlign w:val="subscript"/>
        </w:rPr>
        <w:t>2</w:t>
      </w:r>
      <w:r w:rsidR="000F7DB0">
        <w:t xml:space="preserve">) </w:t>
      </w:r>
      <w:r w:rsidR="00596329" w:rsidRPr="00EE5558">
        <w:t xml:space="preserve">extraction using ethanol as co-solvent </w:t>
      </w:r>
      <w:r w:rsidR="00596329" w:rsidRPr="00EE5558">
        <w:fldChar w:fldCharType="begin" w:fldLock="1"/>
      </w:r>
      <w:r w:rsidR="00232F59">
        <w:instrText>ADDIN CSL_CITATION {"citationItems":[{"id":"ITEM-1","itemData":{"DOI":"10.3390/molecules24030466","ISSN":"14203049","PMID":"30696092","abstract":"The aim of this work was to evaluate a previously-developed model on supercritical fluid extraction (SFE) for carotenoid recovery from carrot peels on various carotenoid-rich fruit and vegetable wastes. To this end, 15 matrices, including flesh and peels of sweet potato, tomato, apricot, pumpkin and peach, as well as flesh and wastes of green, yellow and red peppers, were submitted to SFE under optimised conditions (59 °C, 350 bar, 15 g/min CO2, 15.5% (v/v) ethanol as co-solvent, 30 min of extraction time). The obtained extracts were characterised for their total carotenoid content, antioxidant activity and total carotenoid recovery (TCR). TCR values were greater than 90% w/w for most samples, with β-carotene being the most successfully extracted compound (TCRs 88–100% w/w). More polar carotenoids, such as lutein and lycopene, exhibited lower TCRs. A comparison with literature data suggested that carotenoid extraction is partially dependent on the composition of vegetable matrices, specifically on polysaccharide and moisture content. The results indicated that the optimised SFE conditions can be used as a general model for carotenoid extraction from various fruit and vegetable matrices and as a viable method for adding value to these waste streams by generating carotenoid-rich extracts.","author":[{"dropping-particle":"","family":"Andrade Lima","given":"Micael","non-dropping-particle":"de","parse-names":false,"suffix":""},{"dropping-particle":"","family":"Kestekoglou","given":"Ioannis","non-dropping-particle":"","parse-names":false,"suffix":""},{"dropping-particle":"","family":"Charalampopoulos","given":"Dimitris","non-dropping-particle":"","parse-names":false,"suffix":""},{"dropping-particle":"","family":"Chatzifragkou","given":"Afroditi","non-dropping-particle":"","parse-names":false,"suffix":""}],"container-title":"Molecules","id":"ITEM-1","issue":"3","issued":{"date-parts":[["2019"]]},"title":"Supercritical fluid extraction of carotenoids from vegetable waste matrices","type":"article-journal","volume":"24"},"uris":["http://www.mendeley.com/documents/?uuid=2724edf5-b1b6-4384-9b68-a80b527c9b41"]}],"mendeley":{"formattedCitation":"(de Andrade Lima &lt;i&gt;et al.&lt;/i&gt;, 2019)","plainTextFormattedCitation":"(de Andrade Lima et al., 2019)","previouslyFormattedCitation":"(de Andrade Lima &lt;i&gt;et al.&lt;/i&gt;, 2019)"},"properties":{"noteIndex":0},"schema":"https://github.com/citation-style-language/schema/raw/master/csl-citation.json"}</w:instrText>
      </w:r>
      <w:r w:rsidR="00596329" w:rsidRPr="00EE5558">
        <w:fldChar w:fldCharType="separate"/>
      </w:r>
      <w:r w:rsidR="00EC7595" w:rsidRPr="00EC7595">
        <w:rPr>
          <w:noProof/>
        </w:rPr>
        <w:t xml:space="preserve">(de Andrade Lima </w:t>
      </w:r>
      <w:r w:rsidR="00EC7595" w:rsidRPr="00EC7595">
        <w:rPr>
          <w:i/>
          <w:noProof/>
        </w:rPr>
        <w:t>et al.</w:t>
      </w:r>
      <w:r w:rsidR="00EC7595" w:rsidRPr="00EC7595">
        <w:rPr>
          <w:noProof/>
        </w:rPr>
        <w:t>, 2019)</w:t>
      </w:r>
      <w:r w:rsidR="00596329" w:rsidRPr="00EE5558">
        <w:fldChar w:fldCharType="end"/>
      </w:r>
      <w:r w:rsidR="000F7DB0">
        <w:t>;</w:t>
      </w:r>
      <w:r w:rsidR="00596329" w:rsidRPr="00EE5558">
        <w:t xml:space="preserve"> </w:t>
      </w:r>
      <w:r w:rsidR="000F7DB0">
        <w:t>h</w:t>
      </w:r>
      <w:r w:rsidR="00596329" w:rsidRPr="00EE5558">
        <w:t xml:space="preserve">owever, </w:t>
      </w:r>
      <w:r w:rsidR="000F7DB0">
        <w:t xml:space="preserve">the </w:t>
      </w:r>
      <w:r w:rsidR="00596329" w:rsidRPr="00EE5558">
        <w:t xml:space="preserve">subsequent recovery of co-solvent is a downside of such </w:t>
      </w:r>
      <w:r w:rsidR="00596329">
        <w:t xml:space="preserve">a </w:t>
      </w:r>
      <w:r w:rsidR="00596329" w:rsidRPr="00EE5558">
        <w:t xml:space="preserve">process. </w:t>
      </w:r>
      <w:r w:rsidR="00596329">
        <w:t>Moreover, b</w:t>
      </w:r>
      <w:r w:rsidRPr="00EE5558">
        <w:t xml:space="preserve">reaking the biomass </w:t>
      </w:r>
      <w:r w:rsidR="00596329">
        <w:t xml:space="preserve">matrix </w:t>
      </w:r>
      <w:r w:rsidRPr="00EE5558">
        <w:t xml:space="preserve">could be </w:t>
      </w:r>
      <w:r w:rsidR="00596329">
        <w:t>beneficial</w:t>
      </w:r>
      <w:r w:rsidR="000F7DB0">
        <w:t>:</w:t>
      </w:r>
      <w:r w:rsidRPr="00EE5558">
        <w:t xml:space="preserve"> </w:t>
      </w:r>
      <w:r w:rsidR="00F514B1">
        <w:t xml:space="preserve">the </w:t>
      </w:r>
      <w:r w:rsidRPr="00EE5558">
        <w:t xml:space="preserve">application of hydrolytic enzymes has been </w:t>
      </w:r>
      <w:r w:rsidR="00B933D4" w:rsidRPr="00EE5558">
        <w:t>successfully</w:t>
      </w:r>
      <w:r w:rsidRPr="00EE5558">
        <w:t xml:space="preserve"> attempted for </w:t>
      </w:r>
      <w:r w:rsidR="00F514B1">
        <w:t xml:space="preserve">the </w:t>
      </w:r>
      <w:r w:rsidRPr="00EE5558">
        <w:t xml:space="preserve">recovery of valuable products from tomato pomace, including lycopene </w:t>
      </w:r>
      <w:r w:rsidRPr="00EE5558">
        <w:fldChar w:fldCharType="begin" w:fldLock="1"/>
      </w:r>
      <w:r w:rsidR="00232F59">
        <w:instrText>ADDIN CSL_CITATION {"citationItems":[{"id":"ITEM-1","itemData":{"DOI":"10.1016/j.biteb.2023.101693","ISSN":"2589014X","abstract":"Tomato pomace (TP) was of interest as feedstock to extract the lycopene (lyc). This work aimed to design a process based on the use of enzymes to increase lyc extraction and at the same time to obtain additional products following a cascade approach. The pre-treatment with a mix of pectinase and cellulase doubled the lyc extraction recovery concerning the standard extraction. After the separation from the peel, the oil extract from the seeds was similar to edible oils but richer in bioactives. Indeed, the water solution (WP) in which the enzymes hydrolyzed the cell wall of the peel was significantly enriched on mono/oligosaccharides of industrial interest. The proposed approach gave more high value-added products and potential economic revenue from TP of the full scale tomato cannery industry of North Italy with respect to the current destination of the anaerobic digestion sector.","author":[{"dropping-particle":"","family":"Scaglia","given":"Barbara","non-dropping-particle":"","parse-names":false,"suffix":""},{"dropping-particle":"","family":"Squillace","given":"Pietro","non-dropping-particle":"","parse-names":false,"suffix":""},{"dropping-particle":"","family":"Abbasi-Parizad","given":"Parisa","non-dropping-particle":"","parse-names":false,"suffix":""},{"dropping-particle":"","family":"Papa","given":"Gabriella","non-dropping-particle":"","parse-names":false,"suffix":""},{"dropping-particle":"","family":"Nisi","given":"Patrizia","non-dropping-particle":"De","parse-names":false,"suffix":""},{"dropping-particle":"","family":"Tambone","given":"Fulvia","non-dropping-particle":"","parse-names":false,"suffix":""}],"container-title":"Bioresource Technology Reports","id":"ITEM-1","issue":"June","issued":{"date-parts":[["2023"]]},"page":"101693","publisher":"Elsevier Ltd","title":"Valorization of the tomato pomace to obtain lycopene, carbohydrates-rich fraction and oil by applying a hydrolytic enzyme-based approach","type":"article-journal","volume":"24"},"uris":["http://www.mendeley.com/documents/?uuid=260471f2-5431-4682-816b-47fea23e1d49"]}],"mendeley":{"formattedCitation":"(Scaglia &lt;i&gt;et al.&lt;/i&gt;, 2023)","plainTextFormattedCitation":"(Scaglia et al., 2023)","previouslyFormattedCitation":"(Scaglia &lt;i&gt;et al.&lt;/i&gt;, 2023)"},"properties":{"noteIndex":0},"schema":"https://github.com/citation-style-language/schema/raw/master/csl-citation.json"}</w:instrText>
      </w:r>
      <w:r w:rsidRPr="00EE5558">
        <w:fldChar w:fldCharType="separate"/>
      </w:r>
      <w:r w:rsidR="00EC7595" w:rsidRPr="00EC7595">
        <w:rPr>
          <w:noProof/>
        </w:rPr>
        <w:t xml:space="preserve">(Scaglia </w:t>
      </w:r>
      <w:r w:rsidR="00EC7595" w:rsidRPr="00EC7595">
        <w:rPr>
          <w:i/>
          <w:noProof/>
        </w:rPr>
        <w:t>et al.</w:t>
      </w:r>
      <w:r w:rsidR="00EC7595" w:rsidRPr="00EC7595">
        <w:rPr>
          <w:noProof/>
        </w:rPr>
        <w:t>, 2023)</w:t>
      </w:r>
      <w:r w:rsidRPr="00EE5558">
        <w:fldChar w:fldCharType="end"/>
      </w:r>
      <w:r w:rsidRPr="00EE5558">
        <w:t>.</w:t>
      </w:r>
      <w:r w:rsidR="00511E6D">
        <w:t xml:space="preserve"> </w:t>
      </w:r>
      <w:r w:rsidRPr="00EE5558">
        <w:t xml:space="preserve">Processes based on </w:t>
      </w:r>
      <w:r w:rsidR="00A56C40">
        <w:t>SC-</w:t>
      </w:r>
      <w:r w:rsidRPr="00EE5558">
        <w:t>CO</w:t>
      </w:r>
      <w:r w:rsidRPr="00EE5558">
        <w:rPr>
          <w:vertAlign w:val="subscript"/>
        </w:rPr>
        <w:t>2</w:t>
      </w:r>
      <w:r w:rsidRPr="00EE5558">
        <w:t>, such as extraction</w:t>
      </w:r>
      <w:r w:rsidR="00A56C40">
        <w:t>,</w:t>
      </w:r>
      <w:r w:rsidRPr="00EE5558">
        <w:t xml:space="preserve"> impregnation, </w:t>
      </w:r>
      <w:r w:rsidR="00A56C40">
        <w:t>and</w:t>
      </w:r>
      <w:r w:rsidR="00A56C40" w:rsidRPr="00EE5558">
        <w:t xml:space="preserve"> </w:t>
      </w:r>
      <w:r w:rsidRPr="00EE5558">
        <w:t xml:space="preserve">grafting </w:t>
      </w:r>
      <w:r w:rsidRPr="00EE5558">
        <w:fldChar w:fldCharType="begin" w:fldLock="1"/>
      </w:r>
      <w:r w:rsidR="00232F59">
        <w:instrText>ADDIN CSL_CITATION {"citationItems":[{"id":"ITEM-1","itemData":{"DOI":"10.1016/j.supflu.2023.106058","ISSN":"08968446","abstract":"The study reports an effluent-free, green process for the production of materials with favorable antibiofilm properties by cellulose acetate grafting with quaternary ammonium compounds in supercritical carbon dioxide. Two quaternary ammonium compounds, N-(2-Hydroxyethyl)-N,N-dimethylundecan-1-aminium Bromide and N-(11-Hydroxyundecanyl-N,N-dimethyltetradecan- 1-aminium Bromide, were synthesized and chemically attached to cellulose acetate via hexamethylene diisocyanate as a linker under the conditions of 30 MPa and 70 °C. The polymer modification occurred in its whole volume. The chemical conversion led to a decrease in the degree of crystallinity and the appearance of a rugged polymer surface. However, the cross-section imaging of the newly obtained materials revealed a compact polymer structure. The functionalized materials acquired hydrophobic properties. Microbiological tests showed the impossibility of Staphylococcus aureus ATCC 29213, Methicillin-resistant Staphylococcus aureus ATCC 43300, Escherichia coli ATCC 10536, and Salmonella Enteritidis ATCC 13076 attachment to the material obtained by the cellulose acetate grafting procedure with N-(11-Hydroxyundecanyl-N,N-dimethyltetradecan- 1-aminium Bromide.","author":[{"dropping-particle":"","family":"Nowak","given":"Mariusz","non-dropping-particle":"","parse-names":false,"suffix":""},{"dropping-particle":"","family":"Semba","given":"Damian","non-dropping-particle":"","parse-names":false,"suffix":""},{"dropping-particle":"","family":"Misic","given":"Dusan","non-dropping-particle":"","parse-names":false,"suffix":""},{"dropping-particle":"","family":"Półbrat","given":"Tomasz","non-dropping-particle":"","parse-names":false,"suffix":""},{"dropping-particle":"","family":"Stojanovic","given":"Dusica","non-dropping-particle":"","parse-names":false,"suffix":""},{"dropping-particle":"","family":"Stanojevic","given":"Slavoljub","non-dropping-particle":"","parse-names":false,"suffix":""},{"dropping-particle":"","family":"Trusek","given":"Anna","non-dropping-particle":"","parse-names":false,"suffix":""},{"dropping-particle":"","family":"Zizovic","given":"Irena","non-dropping-particle":"","parse-names":false,"suffix":""}],"container-title":"Journal of Supercritical Fluids","id":"ITEM-1","issue":"July","issued":{"date-parts":[["2023"]]},"title":"The transformation of cellulose acetate into a new biocidal polymer by effluent-free grafting in supercritical carbon dioxide","type":"article-journal","volume":"202"},"uris":["http://www.mendeley.com/documents/?uuid=98eaabfe-1346-4a05-b30a-1497070219e3"]}],"mendeley":{"formattedCitation":"(Nowak &lt;i&gt;et al.&lt;/i&gt;, 2023)","plainTextFormattedCitation":"(Nowak et al., 2023)","previouslyFormattedCitation":"(Nowak &lt;i&gt;et al.&lt;/i&gt;, 2023)"},"properties":{"noteIndex":0},"schema":"https://github.com/citation-style-language/schema/raw/master/csl-citation.json"}</w:instrText>
      </w:r>
      <w:r w:rsidRPr="00EE5558">
        <w:fldChar w:fldCharType="separate"/>
      </w:r>
      <w:r w:rsidR="00EC7595" w:rsidRPr="00EC7595">
        <w:rPr>
          <w:noProof/>
        </w:rPr>
        <w:t xml:space="preserve">(Nowak </w:t>
      </w:r>
      <w:r w:rsidR="00EC7595" w:rsidRPr="00EC7595">
        <w:rPr>
          <w:i/>
          <w:noProof/>
        </w:rPr>
        <w:t>et al.</w:t>
      </w:r>
      <w:r w:rsidR="00EC7595" w:rsidRPr="00EC7595">
        <w:rPr>
          <w:noProof/>
        </w:rPr>
        <w:t>, 2023)</w:t>
      </w:r>
      <w:r w:rsidRPr="00EE5558">
        <w:fldChar w:fldCharType="end"/>
      </w:r>
      <w:r w:rsidRPr="00EE5558">
        <w:t xml:space="preserve">, </w:t>
      </w:r>
      <w:r w:rsidR="001D4609">
        <w:t>attracted</w:t>
      </w:r>
      <w:r w:rsidRPr="00EE5558">
        <w:t xml:space="preserve"> some attention recently, due to the fact that </w:t>
      </w:r>
      <w:r w:rsidR="00B10B67">
        <w:t>SC-</w:t>
      </w:r>
      <w:r w:rsidRPr="00EE5558">
        <w:t>CO</w:t>
      </w:r>
      <w:r w:rsidRPr="00EE5558">
        <w:rPr>
          <w:vertAlign w:val="subscript"/>
        </w:rPr>
        <w:t>2</w:t>
      </w:r>
      <w:r w:rsidRPr="00EE5558">
        <w:t xml:space="preserve"> is an excellent solvent for non-polar solutes </w:t>
      </w:r>
      <w:r w:rsidRPr="00EE5558">
        <w:fldChar w:fldCharType="begin" w:fldLock="1"/>
      </w:r>
      <w:r w:rsidR="00A04792">
        <w:instrText>ADDIN CSL_CITATION {"citationItems":[{"id":"ITEM-1","itemData":{"DOI":"10.1016/j.cofs.2015.06.009","ISSN":"22147993","abstract":"Food processing residues are often rich in bioactive compounds which, if properly extracted and recovered, can be re-utilized as food supplements or in nutraceutical formulations, with obvious advantages from the health and economical standpoints. High pressure extraction processes can be utilized for such purpose. They are usually performed or using supercritical fluids, namely supercritical CO&lt;inf&gt;2&lt;/inf&gt; suitable for extracting non-polar solutes, or using pressurized liquids, for instance water capable to extract polar and semi-polar compounds. This short review highlights the application of high pressure technologies for the extraction of bioactives from food processing residues with special emphasis on the most recent works and patents.","author":[{"dropping-particle":"","family":"Duba","given":"Kurabachew Simon","non-dropping-particle":"","parse-names":false,"suffix":""},{"dropping-particle":"","family":"Fiori","given":"Luca","non-dropping-particle":"","parse-names":false,"suffix":""}],"container-title":"Current Opinion in Food Science","id":"ITEM-1","issued":{"date-parts":[["2015"]]},"page":"14-22","publisher":"Elsevier Ltd","title":"Extraction of bioactives from food processing residues using techniques performed at high pressures","type":"article-journal","volume":"5"},"uris":["http://www.mendeley.com/documents/?uuid=5edf078e-6e2c-45bd-acda-cb9fb4ff7d67"]}],"mendeley":{"formattedCitation":"(Duba and Fiori, 2015)","plainTextFormattedCitation":"(Duba and Fiori, 2015)","previouslyFormattedCitation":"(Duba and Fiori, 2015)"},"properties":{"noteIndex":0},"schema":"https://github.com/citation-style-language/schema/raw/master/csl-citation.json"}</w:instrText>
      </w:r>
      <w:r w:rsidRPr="00EE5558">
        <w:fldChar w:fldCharType="separate"/>
      </w:r>
      <w:r w:rsidR="00A7246F" w:rsidRPr="00EE5558">
        <w:rPr>
          <w:noProof/>
        </w:rPr>
        <w:t>(Duba and Fiori, 2015)</w:t>
      </w:r>
      <w:r w:rsidRPr="00EE5558">
        <w:fldChar w:fldCharType="end"/>
      </w:r>
      <w:r w:rsidRPr="00EE5558">
        <w:t xml:space="preserve">. </w:t>
      </w:r>
      <w:r w:rsidR="00596329">
        <w:t xml:space="preserve">Moreover, </w:t>
      </w:r>
      <w:r w:rsidR="00B10B67">
        <w:t>SC-</w:t>
      </w:r>
      <w:r w:rsidRPr="00EE5558">
        <w:t>CO</w:t>
      </w:r>
      <w:r w:rsidRPr="00EE5558">
        <w:rPr>
          <w:vertAlign w:val="subscript"/>
        </w:rPr>
        <w:t>2</w:t>
      </w:r>
      <w:r w:rsidRPr="00EE5558">
        <w:t xml:space="preserve"> extraction allows relatively easy recovery of the solvent by simple depressurisation and </w:t>
      </w:r>
      <w:r w:rsidR="00B10B67">
        <w:t>subsequent condensation</w:t>
      </w:r>
      <w:r w:rsidRPr="00EE5558">
        <w:t xml:space="preserve">, </w:t>
      </w:r>
      <w:r w:rsidR="00B10B67">
        <w:t xml:space="preserve">so </w:t>
      </w:r>
      <w:r w:rsidRPr="00EE5558">
        <w:t xml:space="preserve">no elaborate distillation is needed to </w:t>
      </w:r>
      <w:r w:rsidR="00EB5AB6">
        <w:t>close the CO</w:t>
      </w:r>
      <w:r w:rsidR="00EB5AB6" w:rsidRPr="00D207FB">
        <w:rPr>
          <w:vertAlign w:val="subscript"/>
        </w:rPr>
        <w:t>2</w:t>
      </w:r>
      <w:r w:rsidR="00EB5AB6">
        <w:t xml:space="preserve"> loop</w:t>
      </w:r>
      <w:r w:rsidRPr="00EE5558">
        <w:t xml:space="preserve">. Thus, </w:t>
      </w:r>
      <w:r w:rsidR="00F514B1">
        <w:t xml:space="preserve">the </w:t>
      </w:r>
      <w:r w:rsidRPr="00EE5558">
        <w:t xml:space="preserve">economics of such </w:t>
      </w:r>
      <w:r w:rsidR="00F514B1">
        <w:t xml:space="preserve">a </w:t>
      </w:r>
      <w:r w:rsidRPr="00EE5558">
        <w:t xml:space="preserve">process is in many cases favourable with high return on investment and short payback periods </w:t>
      </w:r>
      <w:r w:rsidRPr="00EE5558">
        <w:fldChar w:fldCharType="begin" w:fldLock="1"/>
      </w:r>
      <w:r w:rsidR="00A04792">
        <w:instrText>ADDIN CSL_CITATION {"citationItems":[{"id":"ITEM-1","itemData":{"DOI":"10.1111/ijfs.14104","ISSN":"13652621","abstract":"This work presents a scale-up and feasibility study for the establishment of supercritical CO 2 extraction plants to produce grape seeds oil. The scale-up factors are determined using experimental and modelling results based on seeds from six grape cultivars over 2 harvest years. The purchased cost of the production plant is estimated using ‘the six-tenth rule’ from the cost of a pilot scale unit. The results indicate that, at the current minimum retail selling price of extra virgin grape seeds oil, the proposed project is technically viable and economically feasible with a breakeven point of US$ 7.46 per kg-oil and rate of return on investment of 28%.","author":[{"dropping-particle":"","family":"Duba","given":"Kurabachew","non-dropping-particle":"","parse-names":false,"suffix":""},{"dropping-particle":"","family":"Fiori","given":"Luca","non-dropping-particle":"","parse-names":false,"suffix":""}],"container-title":"International Journal of Food Science and Technology","id":"ITEM-1","issue":"4","issued":{"date-parts":[["2019"]]},"page":"1306-1312","title":"Supercritical CO 2 extraction of grape seeds oil: scale-up and economic analysis","type":"article-journal","volume":"54"},"uris":["http://www.mendeley.com/documents/?uuid=5195b24b-60b2-4cd9-ab10-68704c88f535"]}],"mendeley":{"formattedCitation":"(Duba and Fiori, 2019)","plainTextFormattedCitation":"(Duba and Fiori, 2019)","previouslyFormattedCitation":"(Duba and Fiori, 2019)"},"properties":{"noteIndex":0},"schema":"https://github.com/citation-style-language/schema/raw/master/csl-citation.json"}</w:instrText>
      </w:r>
      <w:r w:rsidRPr="00EE5558">
        <w:fldChar w:fldCharType="separate"/>
      </w:r>
      <w:r w:rsidR="00A7246F" w:rsidRPr="00EE5558">
        <w:rPr>
          <w:noProof/>
        </w:rPr>
        <w:t>(Duba and Fiori, 2019)</w:t>
      </w:r>
      <w:r w:rsidRPr="00EE5558">
        <w:fldChar w:fldCharType="end"/>
      </w:r>
      <w:r w:rsidRPr="00EE5558">
        <w:t xml:space="preserve">. Therefore, </w:t>
      </w:r>
      <w:r w:rsidR="00F514B1">
        <w:t xml:space="preserve">an </w:t>
      </w:r>
      <w:r w:rsidRPr="00EE5558">
        <w:t xml:space="preserve">effective process for lycopene recovery from tomato waste </w:t>
      </w:r>
      <w:r w:rsidRPr="00EE5558">
        <w:lastRenderedPageBreak/>
        <w:t xml:space="preserve">should </w:t>
      </w:r>
      <w:r w:rsidR="00FC5489" w:rsidRPr="00FC5489">
        <w:rPr>
          <w:highlight w:val="yellow"/>
        </w:rPr>
        <w:t>consider</w:t>
      </w:r>
      <w:r w:rsidRPr="00EE5558">
        <w:t xml:space="preserve"> unit operations </w:t>
      </w:r>
      <w:r w:rsidR="00FC5489" w:rsidRPr="00FC5489">
        <w:rPr>
          <w:highlight w:val="yellow"/>
        </w:rPr>
        <w:t>facilitating</w:t>
      </w:r>
      <w:r w:rsidR="00511E6D">
        <w:t xml:space="preserve"> b</w:t>
      </w:r>
      <w:r w:rsidRPr="00511E6D">
        <w:t xml:space="preserve">reaking down </w:t>
      </w:r>
      <w:r w:rsidR="00F514B1" w:rsidRPr="00511E6D">
        <w:t xml:space="preserve">the </w:t>
      </w:r>
      <w:r w:rsidRPr="00511E6D">
        <w:t xml:space="preserve">solid matrix, where lycopene is stored </w:t>
      </w:r>
      <w:r w:rsidR="00FC5489">
        <w:t>(</w:t>
      </w:r>
      <w:r w:rsidRPr="00511E6D">
        <w:t>chromoplasts</w:t>
      </w:r>
      <w:r w:rsidR="00FC5489">
        <w:t>),</w:t>
      </w:r>
      <w:r w:rsidRPr="00511E6D">
        <w:t xml:space="preserve"> </w:t>
      </w:r>
      <w:r w:rsidR="00511E6D">
        <w:t>s</w:t>
      </w:r>
      <w:r w:rsidRPr="00EE5558">
        <w:t>elective dissolving of lycopene</w:t>
      </w:r>
      <w:r w:rsidR="00FD2200">
        <w:t xml:space="preserve"> in the extraction solvent</w:t>
      </w:r>
      <w:r w:rsidR="00FC5489" w:rsidRPr="00FC5489">
        <w:rPr>
          <w:highlight w:val="yellow"/>
        </w:rPr>
        <w:t xml:space="preserve">, </w:t>
      </w:r>
      <w:r w:rsidR="00511E6D">
        <w:t>e</w:t>
      </w:r>
      <w:r w:rsidRPr="00EE5558">
        <w:t>nergy-efficient recovery of the solvent</w:t>
      </w:r>
      <w:r w:rsidR="00FC5489" w:rsidRPr="00FC5489">
        <w:rPr>
          <w:highlight w:val="yellow"/>
        </w:rPr>
        <w:t>, and</w:t>
      </w:r>
      <w:r w:rsidR="00511E6D">
        <w:t xml:space="preserve"> d</w:t>
      </w:r>
      <w:r w:rsidRPr="00511E6D">
        <w:t>issolving of the recovered lycopene in oi</w:t>
      </w:r>
      <w:r w:rsidR="00511E6D">
        <w:t>l for increased bioavailability.</w:t>
      </w:r>
      <w:r w:rsidR="00071ADA">
        <w:t xml:space="preserve"> </w:t>
      </w:r>
      <w:r w:rsidR="00F514B1">
        <w:t xml:space="preserve">The </w:t>
      </w:r>
      <w:r w:rsidR="00AB5B51">
        <w:t>c</w:t>
      </w:r>
      <w:r w:rsidRPr="00EE5558">
        <w:t>ascade biorefinery approach seems to be capable of providing viable solution</w:t>
      </w:r>
      <w:r w:rsidR="00F514B1">
        <w:t>s</w:t>
      </w:r>
      <w:r w:rsidRPr="00EE5558">
        <w:t xml:space="preserve"> for such </w:t>
      </w:r>
      <w:r w:rsidR="00AB5B51">
        <w:t>issues</w:t>
      </w:r>
      <w:r w:rsidRPr="00EE5558">
        <w:t xml:space="preserve">. </w:t>
      </w:r>
      <w:r w:rsidR="00FC5489" w:rsidRPr="00FC5489">
        <w:rPr>
          <w:highlight w:val="yellow"/>
        </w:rPr>
        <w:t xml:space="preserve">One </w:t>
      </w:r>
      <w:r w:rsidR="00FC5489">
        <w:rPr>
          <w:highlight w:val="yellow"/>
        </w:rPr>
        <w:t xml:space="preserve">such </w:t>
      </w:r>
      <w:r w:rsidR="00FC5489" w:rsidRPr="00FC5489">
        <w:rPr>
          <w:highlight w:val="yellow"/>
        </w:rPr>
        <w:t>concept</w:t>
      </w:r>
      <w:r w:rsidRPr="00EE5558">
        <w:t xml:space="preserve"> </w:t>
      </w:r>
      <w:r w:rsidRPr="00EE5558">
        <w:fldChar w:fldCharType="begin" w:fldLock="1"/>
      </w:r>
      <w:r w:rsidR="00134E43">
        <w:instrText>ADDIN CSL_CITATION {"citationItems":[{"id":"ITEM-1","itemData":{"DOI":"10.1186/s13068-016-0676-x","ISSN":"17546834","abstract":"Background: In today’s consumer perception of industrial processes and food production, aspects like food quality, human health, environmental safety, and energy security have become the keywords. Therefore, much effort has been extended toward adding value to biowastes of agri-food industries through biorefinery processing approaches. This study focused, for the first time, on the valorization of tomato by-products of a Tunisian industry for the recovery of value-added compounds using biorefinery cascade processing. Results: The process integrated supercritical CO2 extraction of carotenoids within the oil fractions from tomato seeds (TS) and tomato peels (TP), followed by a batch isolation of protein from the residues. The remaining lignocellulosic matter from both fractions was then submitted to a liquid hot water (LHW) hydrolysis. Supercritical CO2 experiments extracted 5.79% oleoresin, 410.53 mg lycopene/kg, and 31.38 mg β-carotene/kg from TP and 26.29% oil, 27.84 mg lycopene/kg, and 5.25 mg β-carotene/kg from TS, on dry weights. Protein extraction yields, nearing 30% of the initial protein contents equal to 13.28% in TP and 39.26% in TS, revealed that TP and TS are a rich source of essential amino acids. LHW treatment run at 120–200 °C, 50 bar for 30 min showed that a temperature of 160 °C was the most convenient for cellulose and hemicellulose hydrolysis from TP and TS, while keeping the degradation products low. Conclusions: Results indicated that tomato by-products are not only a green source of lycopene-rich oleoresin and tomato seed oil (TSO) and of protein with good nutritional quality but also a source of lignocellulosic matter with potential for bioethanol production. This study would provide an important reference for the concept and the feasibility of the cascade fractionation of valuable compounds from tomato industrial by-products.","author":[{"dropping-particle":"","family":"Kehili","given":"Mouna","non-dropping-particle":"","parse-names":false,"suffix":""},{"dropping-particle":"","family":"Schmidt","given":"Lisa Marie","non-dropping-particle":"","parse-names":false,"suffix":""},{"dropping-particle":"","family":"Reynolds","given":"Wienke","non-dropping-particle":"","parse-names":false,"suffix":""},{"dropping-particle":"","family":"Zammel","given":"Ayachi","non-dropping-particle":"","parse-names":false,"suffix":""},{"dropping-particle":"","family":"Zetzl","given":"Carsten","non-dropping-particle":"","parse-names":false,"suffix":""},{"dropping-particle":"","family":"Smirnova","given":"Irina","non-dropping-particle":"","parse-names":false,"suffix":""},{"dropping-particle":"","family":"Allouche","given":"Noureddine","non-dropping-particle":"","parse-names":false,"suffix":""},{"dropping-particle":"","family":"Sayadi","given":"Sami","non-dropping-particle":"","parse-names":false,"suffix":""}],"container-title":"Biotechnology for Biofuels","id":"ITEM-1","issue":"1","issued":{"date-parts":[["2016"]]},"page":"1-12","publisher":"BioMed Central","title":"Biorefinery cascade processing for creating added value on tomato industrial by-products from Tunisia","type":"article-journal","volume":"9"},"uris":["http://www.mendeley.com/documents/?uuid=1eb9233c-7389-4657-bf9a-dfd586083cec"]}],"mendeley":{"formattedCitation":"(Kehili &lt;i&gt;et al.&lt;/i&gt;, 2016)","plainTextFormattedCitation":"(Kehili et al., 2016)","previouslyFormattedCitation":"(Kehili &lt;i&gt;et al.&lt;/i&gt;, 2016)"},"properties":{"noteIndex":0},"schema":"https://github.com/citation-style-language/schema/raw/master/csl-citation.json"}</w:instrText>
      </w:r>
      <w:r w:rsidRPr="00EE5558">
        <w:fldChar w:fldCharType="separate"/>
      </w:r>
      <w:r w:rsidR="00134E43" w:rsidRPr="00134E43">
        <w:rPr>
          <w:noProof/>
        </w:rPr>
        <w:t xml:space="preserve">(Kehili </w:t>
      </w:r>
      <w:r w:rsidR="00134E43" w:rsidRPr="00134E43">
        <w:rPr>
          <w:i/>
          <w:noProof/>
        </w:rPr>
        <w:t>et al.</w:t>
      </w:r>
      <w:r w:rsidR="00134E43" w:rsidRPr="00134E43">
        <w:rPr>
          <w:noProof/>
        </w:rPr>
        <w:t>, 2016)</w:t>
      </w:r>
      <w:r w:rsidRPr="00EE5558">
        <w:fldChar w:fldCharType="end"/>
      </w:r>
      <w:r w:rsidRPr="00EE5558">
        <w:t xml:space="preserve"> proposed </w:t>
      </w:r>
      <w:r w:rsidR="000E0FF3">
        <w:t>SC-</w:t>
      </w:r>
      <w:r w:rsidRPr="00EE5558">
        <w:t>CO</w:t>
      </w:r>
      <w:r w:rsidRPr="00F514B1">
        <w:rPr>
          <w:vertAlign w:val="subscript"/>
        </w:rPr>
        <w:t>2</w:t>
      </w:r>
      <w:r w:rsidRPr="00EE5558">
        <w:t xml:space="preserve"> extraction of lycopene and β-carotene, followed by hydrolysis in NaOH solution (0.05 M) for </w:t>
      </w:r>
      <w:r w:rsidR="007E019D">
        <w:t xml:space="preserve">the </w:t>
      </w:r>
      <w:r w:rsidRPr="00EE5558">
        <w:t>recovery of proteins, and sub</w:t>
      </w:r>
      <w:r w:rsidR="00E81332">
        <w:t>sequent hydrothermal treatment (</w:t>
      </w:r>
      <w:r w:rsidRPr="00EE5558">
        <w:t xml:space="preserve">120 and 200 °C) for </w:t>
      </w:r>
      <w:r w:rsidR="007E019D">
        <w:t xml:space="preserve">the </w:t>
      </w:r>
      <w:r w:rsidRPr="00EE5558">
        <w:t>recovery of sugars and carboxylic acids</w:t>
      </w:r>
      <w:r w:rsidR="00E81332">
        <w:t>.</w:t>
      </w:r>
      <w:r w:rsidR="00FC5489">
        <w:t xml:space="preserve"> Additionally, </w:t>
      </w:r>
      <w:r w:rsidR="00FC5489" w:rsidRPr="00EE5558">
        <w:t>a method based on acetic acid extraction and subsequent solid phase extraction</w:t>
      </w:r>
      <w:r w:rsidR="00FC5489">
        <w:t xml:space="preserve"> has been proposed </w:t>
      </w:r>
      <w:r w:rsidR="00FC5489" w:rsidRPr="00EE5558">
        <w:fldChar w:fldCharType="begin" w:fldLock="1"/>
      </w:r>
      <w:r w:rsidR="00FC5489" w:rsidRPr="00583020">
        <w:rPr>
          <w:lang w:val="en-US"/>
        </w:rPr>
        <w:instrText>ADDIN CSL_CITATION {"citationItems":[{"id":"ITEM-1","itemData":{"DOI":"10.1016/j.jclepro.2023.136743","ISSN":"09596526","abstract":"Tomato plants produce, among other defensive molecules, glycoalkaloides (i.e. all-tomatine). All-tomatine, found in highest concentrations in green fruits, leaves and stems, has demonstrated a wide variety of biological activities useful in fields such as agronomy and biopesticides. Despite the interest in its potential use, extraction methods for all-tomatine are few and mostly developed with an analytical scope. In analogy with other active principles (pyrethroids, nicotinoids), the all-tomatine can represent an alternative to the use of synthetic pesticides currently discouraged for their environmental persistence and progressive reduction of efficacy against target organisms. The aim of this work was to attempt the development of a process to extract all-tomatine based on the re-use of tomato waste industry residues as feedstock and to apply a cascade production approach. To do so, the lab-scale methods to extract all-tomatine were employed as a starting point and different tomato portions (green fruits, leaves, and stems) as feedstock. The best process in terms of feasibility and recovery was identified by mixing the extraction (acetic acid 5% v/v) and purification (ammonia 25% v/v precipitation) steps of different methods. The pro</w:instrText>
      </w:r>
      <w:r w:rsidR="00FC5489">
        <w:rPr>
          <w:lang w:val="it-IT"/>
        </w:rPr>
        <w:instrText>cess was successively tested using the residues of the full-scale tomato cannery plant waste composed by stems + leaves (SL), and green fruits (GT) currently not valorized. The best recovery was obtained by the SL (yield of the extract: 10.8 mg g−1 dry matter (DM) of the starting biomass; all-tomatine pureness: 864 mg g−1 DM extract). The use of the acetic acid as extraction agent gave a solvent-free by-product (68% DM starting biomass), reusable as cultivation substrate. At the purification phase, the dialysis-treatment of the wastewater, recovered a solution rich in sugars and organic acid to get a full starting biomass recovery of 85.6% DM starting biomass.","author":[{"dropping-particle":"","family":"Abbasi-Parizad","given":"Parisa","non-dropping-particle":"","parse-names":false,"suffix":""},{"dropping-particle":"","family":"Salvino","given":"Rosachiara Antonia","non-dropping-particle":"","parse-names":false,"suffix":""},{"dropping-particle":"","family":"Passera","given":"Alessandro","non-dropping-particle":"","parse-names":false,"suffix":""},{"dropping-particle":"","family":"Follador","given":"Alessia Regina Vera","non-dropping-particle":"","parse-names":false,"suffix":""},</w:instrText>
      </w:r>
      <w:r w:rsidR="00FC5489" w:rsidRPr="00E2521B">
        <w:rPr>
          <w:lang w:val="en-US"/>
        </w:rPr>
        <w:instrText>{"dropping-particle":"","family":"Cosentino","given":"Cesare","non-dropping-particle":"","parse-names":false,"suffix":""},{"dropping-particle":"","family":"Jucker","given":"Costanza","non-dropping-particle":"","parse-names":false,"suffix":""},{"dropping-particle":"","family":"Savoldelli","given":"Sara","non-dropping-particle":"","parse-names":false,"suffix":""},{"dropping-particle":"","family":"Bacenetti","given":"Jacopo","non-dropping-particle":"","parse-names":false,"suffix":""},{"dropping-particle":"","family":"Casati","given":"Paola","non-dropping-particle":"","parse-names":false,"suffix":""},{"dropping-particle":"","family":"Scaglia","given":"Barbara","non-dropping-particle":"","parse-names":false,"suffix":""}],"container-title":"Journal of Cleaner Production","id":"ITEM-1","issue":"November 2022","issued":{"date-parts":[["2023"]]},"page":"136743","publisher":"Elsevier Ltd","title":"Development of a cascade production system finalized to the extraction of all-tomatine-rich fraction using the tomato cannery waste as feedstock","type":"article-journal","volume":"401"},"uris":["http://www.mendeley.com/documents/?uuid=5e76b720-7fa2-4eca-b972-f00a574a6dfd"]}],"mendeley":{"formattedCitation":"(Abbasi-Parizad &lt;i&gt;et al.&lt;/i&gt;, 2023)","plainTextFormattedCitation":"(Abbasi-Parizad et al., 2023)","previouslyFormattedCitation":"(Abbasi-Parizad &lt;i&gt;et al.&lt;/i&gt;, 2023)"},"properties":{"noteIndex":0},"schema":"https://github.com/citation-style-language/schema/raw/master/csl-citation.json"}</w:instrText>
      </w:r>
      <w:r w:rsidR="00FC5489" w:rsidRPr="00EE5558">
        <w:fldChar w:fldCharType="separate"/>
      </w:r>
      <w:r w:rsidR="00FC5489" w:rsidRPr="00134E43">
        <w:rPr>
          <w:noProof/>
        </w:rPr>
        <w:t xml:space="preserve">(Abbasi-Parizad </w:t>
      </w:r>
      <w:r w:rsidR="00FC5489" w:rsidRPr="00134E43">
        <w:rPr>
          <w:i/>
          <w:noProof/>
        </w:rPr>
        <w:t>et al.</w:t>
      </w:r>
      <w:r w:rsidR="00FC5489" w:rsidRPr="00134E43">
        <w:rPr>
          <w:noProof/>
        </w:rPr>
        <w:t>, 2023)</w:t>
      </w:r>
      <w:r w:rsidR="00FC5489" w:rsidRPr="00EE5558">
        <w:fldChar w:fldCharType="end"/>
      </w:r>
      <w:r w:rsidR="00FC5489" w:rsidRPr="00FC5489">
        <w:rPr>
          <w:highlight w:val="yellow"/>
        </w:rPr>
        <w:t>, aiming</w:t>
      </w:r>
      <w:r w:rsidR="00FC5489" w:rsidRPr="00EE5558">
        <w:t xml:space="preserve"> at </w:t>
      </w:r>
      <w:r w:rsidR="00FC5489">
        <w:t xml:space="preserve">the </w:t>
      </w:r>
      <w:r w:rsidR="00FC5489" w:rsidRPr="00EE5558">
        <w:t>recovery of gly</w:t>
      </w:r>
      <w:r w:rsidR="00FC5489">
        <w:t>coalkaloids (all-tomatine)</w:t>
      </w:r>
      <w:r w:rsidR="00FC5489" w:rsidRPr="00EE5558">
        <w:t xml:space="preserve"> used as biopesticides.</w:t>
      </w:r>
      <w:r w:rsidR="00E81332">
        <w:t xml:space="preserve"> </w:t>
      </w:r>
      <w:r w:rsidR="00FC5489" w:rsidRPr="00FC5489">
        <w:rPr>
          <w:highlight w:val="yellow"/>
        </w:rPr>
        <w:t>Overall,</w:t>
      </w:r>
      <w:r w:rsidR="00FC5489">
        <w:t xml:space="preserve"> b</w:t>
      </w:r>
      <w:r w:rsidRPr="00EE5558">
        <w:t xml:space="preserve">reaking </w:t>
      </w:r>
      <w:r w:rsidR="002353C1">
        <w:t>the</w:t>
      </w:r>
      <w:r w:rsidR="002353C1" w:rsidRPr="00EE5558">
        <w:t xml:space="preserve"> </w:t>
      </w:r>
      <w:r w:rsidRPr="00EE5558">
        <w:t xml:space="preserve">structure of </w:t>
      </w:r>
      <w:r w:rsidR="002353C1">
        <w:t xml:space="preserve">the </w:t>
      </w:r>
      <w:r w:rsidRPr="00EE5558">
        <w:t xml:space="preserve">waste biomass </w:t>
      </w:r>
      <w:r w:rsidR="00FE74AE" w:rsidRPr="00FE74AE">
        <w:rPr>
          <w:highlight w:val="yellow"/>
        </w:rPr>
        <w:t>along with</w:t>
      </w:r>
      <w:r w:rsidRPr="00EE5558">
        <w:t xml:space="preserve"> a </w:t>
      </w:r>
      <w:r w:rsidR="00B933D4" w:rsidRPr="00EE5558">
        <w:t>selective</w:t>
      </w:r>
      <w:r w:rsidRPr="00EE5558">
        <w:t xml:space="preserve"> extraction process aiming </w:t>
      </w:r>
      <w:r w:rsidR="00AF723A">
        <w:t>at</w:t>
      </w:r>
      <w:r w:rsidR="00AF723A" w:rsidRPr="00EE5558">
        <w:t xml:space="preserve"> </w:t>
      </w:r>
      <w:r w:rsidR="00F514B1">
        <w:t xml:space="preserve">the </w:t>
      </w:r>
      <w:r w:rsidR="007E025B">
        <w:t>recovery</w:t>
      </w:r>
      <w:r w:rsidR="007E025B" w:rsidRPr="00EE5558">
        <w:t xml:space="preserve"> </w:t>
      </w:r>
      <w:r w:rsidRPr="00EE5558">
        <w:t xml:space="preserve">of </w:t>
      </w:r>
      <w:r w:rsidR="00B541BC" w:rsidRPr="00B541BC">
        <w:rPr>
          <w:highlight w:val="yellow"/>
        </w:rPr>
        <w:t>different bio</w:t>
      </w:r>
      <w:r w:rsidR="00B541BC">
        <w:rPr>
          <w:highlight w:val="yellow"/>
        </w:rPr>
        <w:t>-</w:t>
      </w:r>
      <w:r w:rsidR="00B541BC" w:rsidRPr="00B541BC">
        <w:rPr>
          <w:highlight w:val="yellow"/>
        </w:rPr>
        <w:t>compounds</w:t>
      </w:r>
      <w:r w:rsidRPr="00EE5558">
        <w:t xml:space="preserve">, </w:t>
      </w:r>
      <w:r w:rsidR="000E0FF3">
        <w:t>e.g.</w:t>
      </w:r>
      <w:r w:rsidR="002353C1">
        <w:t xml:space="preserve"> through</w:t>
      </w:r>
      <w:r w:rsidRPr="00EE5558">
        <w:t xml:space="preserve"> </w:t>
      </w:r>
      <w:r w:rsidR="000E0FF3">
        <w:t>SC-</w:t>
      </w:r>
      <w:r w:rsidRPr="00EE5558">
        <w:t>CO</w:t>
      </w:r>
      <w:r w:rsidRPr="00D207FB">
        <w:rPr>
          <w:vertAlign w:val="subscript"/>
        </w:rPr>
        <w:t>2</w:t>
      </w:r>
      <w:r w:rsidRPr="00EE5558">
        <w:t xml:space="preserve"> </w:t>
      </w:r>
      <w:r w:rsidR="00B541BC" w:rsidRPr="00B541BC">
        <w:rPr>
          <w:highlight w:val="yellow"/>
        </w:rPr>
        <w:t xml:space="preserve">and </w:t>
      </w:r>
      <w:r w:rsidR="00B541BC">
        <w:rPr>
          <w:highlight w:val="yellow"/>
        </w:rPr>
        <w:t xml:space="preserve">subcritical </w:t>
      </w:r>
      <w:r w:rsidR="00B541BC" w:rsidRPr="00B541BC">
        <w:rPr>
          <w:highlight w:val="yellow"/>
        </w:rPr>
        <w:t xml:space="preserve">water </w:t>
      </w:r>
      <w:r w:rsidRPr="00B541BC">
        <w:rPr>
          <w:highlight w:val="yellow"/>
        </w:rPr>
        <w:t>extraction</w:t>
      </w:r>
      <w:r w:rsidR="00B541BC" w:rsidRPr="00B541BC">
        <w:rPr>
          <w:highlight w:val="yellow"/>
        </w:rPr>
        <w:t xml:space="preserve"> (SWE)</w:t>
      </w:r>
      <w:r w:rsidRPr="00EE5558">
        <w:t xml:space="preserve">, could be considered a viable solution for modern biorefineries. </w:t>
      </w:r>
      <w:r w:rsidR="00B541BC" w:rsidRPr="00B541BC">
        <w:rPr>
          <w:highlight w:val="yellow"/>
        </w:rPr>
        <w:t>Processing</w:t>
      </w:r>
      <w:r w:rsidRPr="00EE5558">
        <w:t xml:space="preserve"> methods should be </w:t>
      </w:r>
      <w:r w:rsidR="00B933D4" w:rsidRPr="00EE5558">
        <w:t>evaluated</w:t>
      </w:r>
      <w:r w:rsidR="00E81332">
        <w:t xml:space="preserve"> for the </w:t>
      </w:r>
      <w:r w:rsidR="00E81332" w:rsidRPr="00EE5558">
        <w:t>recovery of valuable compo</w:t>
      </w:r>
      <w:r w:rsidR="00E81332">
        <w:t>unds,</w:t>
      </w:r>
      <w:r w:rsidRPr="00EE5558">
        <w:t xml:space="preserve"> </w:t>
      </w:r>
      <w:r w:rsidR="009152BD">
        <w:t>their</w:t>
      </w:r>
      <w:r w:rsidR="009152BD" w:rsidRPr="00EE5558">
        <w:t xml:space="preserve"> </w:t>
      </w:r>
      <w:r w:rsidRPr="00EE5558">
        <w:t xml:space="preserve">influence on further </w:t>
      </w:r>
      <w:r w:rsidR="009152BD">
        <w:t>steps</w:t>
      </w:r>
      <w:r w:rsidR="009152BD" w:rsidRPr="00EE5558">
        <w:t xml:space="preserve"> </w:t>
      </w:r>
      <w:r w:rsidR="006517A0">
        <w:t>and</w:t>
      </w:r>
      <w:r w:rsidRPr="00EE5558">
        <w:t xml:space="preserve"> </w:t>
      </w:r>
      <w:r w:rsidR="006517A0">
        <w:t xml:space="preserve">their </w:t>
      </w:r>
      <w:r w:rsidRPr="00EE5558">
        <w:t xml:space="preserve">consumption of energy and auxiliary substrates/catalysts. Such </w:t>
      </w:r>
      <w:r w:rsidR="00F514B1">
        <w:t>a</w:t>
      </w:r>
      <w:r w:rsidR="000A5C24">
        <w:t xml:space="preserve"> cascade</w:t>
      </w:r>
      <w:r w:rsidR="00F514B1">
        <w:t xml:space="preserve"> </w:t>
      </w:r>
      <w:r w:rsidRPr="00EE5558">
        <w:t xml:space="preserve">approach would </w:t>
      </w:r>
      <w:r w:rsidR="00572F5D">
        <w:t>be</w:t>
      </w:r>
      <w:r w:rsidRPr="00EE5558">
        <w:t xml:space="preserve"> well in line with </w:t>
      </w:r>
      <w:r w:rsidR="00F514B1">
        <w:t xml:space="preserve">the </w:t>
      </w:r>
      <w:r w:rsidRPr="00EE5558">
        <w:t>principles of circular economy</w:t>
      </w:r>
      <w:r w:rsidR="00A332A2">
        <w:t xml:space="preserve"> and the </w:t>
      </w:r>
      <w:r w:rsidR="00A332A2" w:rsidRPr="00EE5558">
        <w:t>modern zero-waste approach</w:t>
      </w:r>
      <w:r w:rsidRPr="00EE5558">
        <w:t>.</w:t>
      </w:r>
    </w:p>
    <w:bookmarkEnd w:id="0"/>
    <w:p w14:paraId="509419E5" w14:textId="4C22D125" w:rsidR="00AD51B6" w:rsidRPr="00AD3ED8" w:rsidRDefault="00AD51B6" w:rsidP="00AD3ED8">
      <w:pPr>
        <w:pStyle w:val="CETHeading1"/>
        <w:rPr>
          <w:lang w:val="en-GB"/>
        </w:rPr>
      </w:pPr>
      <w:r w:rsidRPr="00EE5558">
        <w:rPr>
          <w:lang w:val="en-GB"/>
        </w:rPr>
        <w:t>Materials and methods</w:t>
      </w:r>
    </w:p>
    <w:p w14:paraId="706F95D5" w14:textId="68E7D9B5" w:rsidR="00717756" w:rsidRPr="0016110C" w:rsidRDefault="00223E14" w:rsidP="00717756">
      <w:pPr>
        <w:pStyle w:val="CETBodytext"/>
      </w:pPr>
      <w:r w:rsidRPr="00E03EC5">
        <w:rPr>
          <w:highlight w:val="yellow"/>
          <w:lang w:val="en-GB"/>
        </w:rPr>
        <w:t>The sample of tomato waste</w:t>
      </w:r>
      <w:r w:rsidR="00676D04">
        <w:rPr>
          <w:highlight w:val="yellow"/>
          <w:lang w:val="en-GB"/>
        </w:rPr>
        <w:t>,</w:t>
      </w:r>
      <w:r w:rsidRPr="00E03EC5">
        <w:rPr>
          <w:highlight w:val="yellow"/>
          <w:lang w:val="en-GB"/>
        </w:rPr>
        <w:t xml:space="preserve"> </w:t>
      </w:r>
      <w:r w:rsidR="00676D04" w:rsidRPr="00E03EC5">
        <w:rPr>
          <w:highlight w:val="yellow"/>
          <w:lang w:val="en-GB"/>
        </w:rPr>
        <w:t>p</w:t>
      </w:r>
      <w:r w:rsidR="00676D04">
        <w:rPr>
          <w:highlight w:val="yellow"/>
          <w:lang w:val="en-GB"/>
        </w:rPr>
        <w:t>eels and seeds (PS)</w:t>
      </w:r>
      <w:r w:rsidR="00676D04" w:rsidRPr="00E03EC5">
        <w:rPr>
          <w:highlight w:val="yellow"/>
          <w:lang w:val="en-GB"/>
        </w:rPr>
        <w:t xml:space="preserve"> with a small amo</w:t>
      </w:r>
      <w:r w:rsidR="00676D04">
        <w:rPr>
          <w:highlight w:val="yellow"/>
          <w:lang w:val="en-GB"/>
        </w:rPr>
        <w:t xml:space="preserve">unt of woody material coming </w:t>
      </w:r>
      <w:r w:rsidR="00676D04" w:rsidRPr="00E03EC5">
        <w:rPr>
          <w:highlight w:val="yellow"/>
          <w:lang w:val="en-GB"/>
        </w:rPr>
        <w:t>from pedicels</w:t>
      </w:r>
      <w:r w:rsidR="00676D04">
        <w:rPr>
          <w:highlight w:val="yellow"/>
          <w:lang w:val="en-GB"/>
        </w:rPr>
        <w:t>,</w:t>
      </w:r>
      <w:r w:rsidR="00676D04" w:rsidRPr="00E03EC5">
        <w:rPr>
          <w:highlight w:val="yellow"/>
          <w:lang w:val="en-GB"/>
        </w:rPr>
        <w:t xml:space="preserve"> </w:t>
      </w:r>
      <w:r w:rsidR="00F468D3" w:rsidRPr="00E03EC5">
        <w:rPr>
          <w:highlight w:val="yellow"/>
          <w:lang w:val="en-GB"/>
        </w:rPr>
        <w:t>was provided by a company producing tomato sauce.</w:t>
      </w:r>
      <w:r w:rsidR="00676D04">
        <w:rPr>
          <w:lang w:val="en-GB"/>
        </w:rPr>
        <w:t xml:space="preserve"> </w:t>
      </w:r>
      <w:r w:rsidRPr="00EE5558">
        <w:rPr>
          <w:lang w:val="en-GB"/>
        </w:rPr>
        <w:t xml:space="preserve">The sample was pre-dried by </w:t>
      </w:r>
      <w:r w:rsidR="00676D04" w:rsidRPr="00EE5558">
        <w:rPr>
          <w:lang w:val="en-GB"/>
        </w:rPr>
        <w:t xml:space="preserve">vacuum drying </w:t>
      </w:r>
      <w:r w:rsidRPr="00EE5558">
        <w:rPr>
          <w:lang w:val="en-GB"/>
        </w:rPr>
        <w:t>a</w:t>
      </w:r>
      <w:r w:rsidR="00676D04">
        <w:rPr>
          <w:lang w:val="en-GB"/>
        </w:rPr>
        <w:t>t</w:t>
      </w:r>
      <w:r w:rsidRPr="00EE5558">
        <w:rPr>
          <w:lang w:val="en-GB"/>
        </w:rPr>
        <w:t xml:space="preserve"> </w:t>
      </w:r>
      <w:r w:rsidR="00676D04" w:rsidRPr="00EE5558">
        <w:rPr>
          <w:lang w:val="en-GB"/>
        </w:rPr>
        <w:t>40 °C</w:t>
      </w:r>
      <w:r w:rsidR="006E48B9" w:rsidRPr="00EE5558">
        <w:rPr>
          <w:lang w:val="en-GB"/>
        </w:rPr>
        <w:t>, sealed</w:t>
      </w:r>
      <w:r w:rsidRPr="00EE5558">
        <w:rPr>
          <w:lang w:val="en-GB"/>
        </w:rPr>
        <w:t xml:space="preserve"> in </w:t>
      </w:r>
      <w:r w:rsidR="00F468D3">
        <w:rPr>
          <w:lang w:val="en-GB"/>
        </w:rPr>
        <w:t>air</w:t>
      </w:r>
      <w:r w:rsidR="00F514B1">
        <w:rPr>
          <w:lang w:val="en-GB"/>
        </w:rPr>
        <w:t>-</w:t>
      </w:r>
      <w:r w:rsidRPr="00EE5558">
        <w:rPr>
          <w:lang w:val="en-GB"/>
        </w:rPr>
        <w:t>tight plastic bag</w:t>
      </w:r>
      <w:r w:rsidR="00ED1C7A">
        <w:rPr>
          <w:lang w:val="en-GB"/>
        </w:rPr>
        <w:t>s</w:t>
      </w:r>
      <w:r w:rsidR="00676D04">
        <w:rPr>
          <w:lang w:val="en-GB"/>
        </w:rPr>
        <w:t xml:space="preserve"> and</w:t>
      </w:r>
      <w:r w:rsidRPr="00EE5558">
        <w:rPr>
          <w:lang w:val="en-GB"/>
        </w:rPr>
        <w:t xml:space="preserve"> stored at 4 °C.</w:t>
      </w:r>
      <w:r w:rsidR="00A845D1">
        <w:rPr>
          <w:lang w:val="en-GB"/>
        </w:rPr>
        <w:t xml:space="preserve"> </w:t>
      </w:r>
      <w:r w:rsidRPr="00EE5558">
        <w:t>The</w:t>
      </w:r>
      <w:r w:rsidR="00E22073" w:rsidRPr="00EE5558">
        <w:t xml:space="preserve"> supercritical CO</w:t>
      </w:r>
      <w:r w:rsidR="00E22073" w:rsidRPr="00EE5558">
        <w:rPr>
          <w:vertAlign w:val="subscript"/>
        </w:rPr>
        <w:t>2</w:t>
      </w:r>
      <w:r w:rsidR="00E22073" w:rsidRPr="00EE5558">
        <w:t xml:space="preserve"> extraction </w:t>
      </w:r>
      <w:r w:rsidR="003C7FE8" w:rsidRPr="00EE5558">
        <w:t>(</w:t>
      </w:r>
      <w:bookmarkStart w:id="2" w:name="_Hlk191646025"/>
      <w:r w:rsidR="003C7FE8" w:rsidRPr="00EE5558">
        <w:t>S</w:t>
      </w:r>
      <w:r w:rsidR="003C7FE8">
        <w:t>C</w:t>
      </w:r>
      <w:r w:rsidR="003C7FE8" w:rsidRPr="00EE5558">
        <w:t>O</w:t>
      </w:r>
      <w:r w:rsidR="003C7FE8" w:rsidRPr="00EE5558">
        <w:rPr>
          <w:vertAlign w:val="subscript"/>
        </w:rPr>
        <w:t>2</w:t>
      </w:r>
      <w:r w:rsidR="003C7FE8">
        <w:t>E</w:t>
      </w:r>
      <w:bookmarkEnd w:id="2"/>
      <w:r w:rsidR="003C7FE8" w:rsidRPr="00EE5558">
        <w:t xml:space="preserve">) </w:t>
      </w:r>
      <w:r w:rsidR="00E22073" w:rsidRPr="00EE5558">
        <w:t>of the PS was performed using the rig shown in Figure 1</w:t>
      </w:r>
      <w:r w:rsidR="00B933D4" w:rsidRPr="00EE5558">
        <w:t xml:space="preserve"> (left)</w:t>
      </w:r>
      <w:r w:rsidR="00E22073" w:rsidRPr="00EE5558">
        <w:t>. During these experiments</w:t>
      </w:r>
      <w:r w:rsidR="00F514B1">
        <w:t>,</w:t>
      </w:r>
      <w:r w:rsidR="00E22073" w:rsidRPr="00EE5558">
        <w:t xml:space="preserve"> the water route (with HPLC</w:t>
      </w:r>
      <w:r w:rsidR="0056522F" w:rsidRPr="00AE1AB3">
        <w:rPr>
          <w:highlight w:val="yellow"/>
        </w:rPr>
        <w:t>-</w:t>
      </w:r>
      <w:r w:rsidR="00E2521B" w:rsidRPr="00AE1AB3">
        <w:rPr>
          <w:highlight w:val="yellow"/>
        </w:rPr>
        <w:t>type</w:t>
      </w:r>
      <w:r w:rsidR="00E2521B">
        <w:t xml:space="preserve"> </w:t>
      </w:r>
      <w:r w:rsidR="00E22073" w:rsidRPr="00EE5558">
        <w:t>pump) was cut off by a valve, and only CO</w:t>
      </w:r>
      <w:r w:rsidR="00E22073" w:rsidRPr="00EE5558">
        <w:rPr>
          <w:vertAlign w:val="subscript"/>
        </w:rPr>
        <w:t>2</w:t>
      </w:r>
      <w:r w:rsidR="00E22073" w:rsidRPr="00EE5558">
        <w:t xml:space="preserve"> was supplied to the extraction basket.</w:t>
      </w:r>
      <w:r w:rsidR="00DF7C37" w:rsidRPr="00EE5558">
        <w:t xml:space="preserve"> </w:t>
      </w:r>
      <w:r w:rsidR="00F514B1">
        <w:t xml:space="preserve">The </w:t>
      </w:r>
      <w:r w:rsidR="00DF7C37" w:rsidRPr="00EE5558">
        <w:t>CO</w:t>
      </w:r>
      <w:r w:rsidR="00DF7C37" w:rsidRPr="00EE5558">
        <w:rPr>
          <w:vertAlign w:val="subscript"/>
        </w:rPr>
        <w:t>2</w:t>
      </w:r>
      <w:r w:rsidR="00DF7C37" w:rsidRPr="00EE5558">
        <w:t xml:space="preserve"> </w:t>
      </w:r>
      <w:r w:rsidR="003C7FE8">
        <w:t>f</w:t>
      </w:r>
      <w:r w:rsidR="003C7FE8" w:rsidRPr="00EE5558">
        <w:t xml:space="preserve">low </w:t>
      </w:r>
      <w:r w:rsidR="00DF7C37" w:rsidRPr="00EE5558">
        <w:t xml:space="preserve">was measured using </w:t>
      </w:r>
      <w:r w:rsidR="00F514B1">
        <w:t xml:space="preserve">a </w:t>
      </w:r>
      <w:r w:rsidR="00DF7C37" w:rsidRPr="00EE5558">
        <w:t>Coriolis digital mass flow meter (</w:t>
      </w:r>
      <w:proofErr w:type="gramStart"/>
      <w:r w:rsidR="00DF7C37" w:rsidRPr="00EE5558">
        <w:t>mini</w:t>
      </w:r>
      <w:r w:rsidR="00232F59">
        <w:t xml:space="preserve"> </w:t>
      </w:r>
      <w:r w:rsidR="00DF7C37" w:rsidRPr="00EE5558">
        <w:t>Cori</w:t>
      </w:r>
      <w:proofErr w:type="gramEnd"/>
      <w:r w:rsidR="00DF7C37" w:rsidRPr="00EE5558">
        <w:t xml:space="preserve">-Flow, Bronkhorst, </w:t>
      </w:r>
      <w:proofErr w:type="spellStart"/>
      <w:r w:rsidR="00DF7C37" w:rsidRPr="00EE5558">
        <w:t>Ruurlo</w:t>
      </w:r>
      <w:proofErr w:type="spellEnd"/>
      <w:r w:rsidR="00DF7C37" w:rsidRPr="00EE5558">
        <w:t>, The Netherlands).</w:t>
      </w:r>
      <w:r w:rsidR="002214E1">
        <w:t xml:space="preserve"> </w:t>
      </w:r>
      <w:r w:rsidR="00F514B1">
        <w:t>The m</w:t>
      </w:r>
      <w:r w:rsidR="002214E1">
        <w:t xml:space="preserve">ass of the collected oil was recorded manually every 10 minutes. </w:t>
      </w:r>
      <w:r w:rsidR="00A04792">
        <w:t xml:space="preserve">Process conditions were selected based on previous works on this type of feedstock </w:t>
      </w:r>
      <w:r w:rsidR="00A04792">
        <w:fldChar w:fldCharType="begin" w:fldLock="1"/>
      </w:r>
      <w:r w:rsidR="00232F59">
        <w:instrText>ADDIN CSL_CITATION {"citationItems":[{"id":"ITEM-1","itemData":{"DOI":"10.1016/j.foodchem.2020.126224","ISSN":"18737072","PMID":"32007813","abstract":"This work considered lycopene (lyc) amount and (all-E)-lyc:Z-lyc (E:Z) ratio as driving parameters of the tomato pomace (TP) supercritical CO2 extraction (SFE_CO2) performance. By testing lyc concentrations solubilization in tomato seed oil and E:Z ratios of 75:25, 59:39 and 25:75, full and partial equations (SE) were calculated. The application of mass balances to experimental TP_SFE_CO2 highlighted an extraction yield of 84.6% TP lyc, although the recovery into the extract was 48.4% of the extracted lyc (lyc = .1339 μg g−1 oil). The SE application to TP_SFE_CO2 data confirmed that partial solubilization mainly depended on oil availability vs. lyc amount. Thus an improved TP_SFE_CO2 was designed in which 703 g of exogenous tomato oil will be fluxed from the co-solvent tank: the new process will produce 884 g kg−1 d.m. of extract with an expected recovery of 99.3% of the extractable lyc (lyc = .502 μg g−1 oil).","author":[{"dropping-particle":"","family":"Squillace","given":"Pietro","non-dropping-particle":"","parse-names":false,"suffix":""},{"dropping-particle":"","family":"Adani","given":"Fabrizio","non-dropping-particle":"","parse-names":false,"suffix":""},{"dropping-particle":"","family":"Scaglia","given":"Barbara","non-dropping-particle":"","parse-names":false,"suffix":""}],"container-title":"Food Chemistry","id":"ITEM-1","issue":"January","issued":{"date-parts":[["2020"]]},"page":"126224","publisher":"Elsevier","title":"Supercritical CO2 extraction of tomato pomace: Evaluation of the solubility of lycopene in tomato oil as limiting factor of the process performance","type":"article-journal","volume":"315"},"uris":["http://www.mendeley.com/documents/?uuid=32d203d3-f436-4f7b-b3a0-a5240f24c3e2"]},{"id":"ITEM-2","itemData":{"DOI":"10.1016/j.jclepro.2019.118650","ISSN":"09596526","abstract":"Tomato peels and seeds (TP) are the most abundant canning industry waste actually used to produce biogas. TP is rich in lycopene (lyc) and represent a more sustainable feedstock than tomato fruits actually employed. It was therefore chosen as feedstock together with supercritical CO2 extraction (SFE-CO2) technology to develop a TP-SFE-CO2 biorefinery, topic scarcely investigated. Two TP were tested and although TP-SFE-CO2 parameters were the same, lyc recoveries depended by peel structure changes occurred during pre -SFE-CO2 drying step. Higher moisture (102.7 g kg−1 wet weight) permitted 97% lyc recovery and gave a water-in-oil emulsion as extract. Mass balance confirmed that lyc isomerisation did not cause lyc losses. After a significant oil extraction, exhaust TP showed a biodegradability 64% higher than the raw one, attributable to fibre structure disruption. The biorefinery proposed (SFE_CO2+anaerobic digestion) determined positive economic revenue (+787.9 € t−1 TP) on the contrary of the actual TP management.","author":[{"dropping-particle":"","family":"Scaglia","given":"Barbara","non-dropping-particle":"","parse-names":false,"suffix":""},{"dropping-particle":"","family":"D'Incecco","given":"Paolo","non-dropping-particle":"","parse-names":false,"suffix":""},{"dropping-particle":"","family":"Squillace","given":"Pietro","non-dropping-particle":"","parse-names":false,"suffix":""},{"dropping-particle":"","family":"Dell'Orto","given":"Marta","non-dropping-particle":"","parse-names":false,"suffix":""},{"dropping-particle":"","family":"Nisi","given":"Patrizia","non-dropping-particle":"De","parse-names":false,"suffix":""},{"dropping-particle":"","family":"Pellegrino","given":"Luisa","non-dropping-particle":"","parse-names":false,"suffix":""},{"dropping-particle":"","family":"Botto","given":"Alfonso","non-dropping-particle":"","parse-names":false,"suffix":""},{"dropping-particle":"","family":"Cavicchi","given":"Cristiano","non-dropping-particle":"","parse-names":false,"suffix":""},{"dropping-particle":"","family":"Adani","given":"Fabrizio","non-dropping-particle":"","parse-names":false,"suffix":""}],"container-title":"Journal of Cleaner Production","id":"ITEM-2","issued":{"date-parts":[["2020"]]},"page":"118650","publisher":"Elsevier Ltd","title":"Development of a tomato pomace biorefinery based on a CO2-supercritical extraction process for the production of a high value lycopene product, bioenergy and digestate","type":"article-journal","volume":"243"},"uris":["http://www.mendeley.com/documents/?uuid=60970aa4-036d-47c2-a899-f45cb34a109b"]}],"mendeley":{"formattedCitation":"(Scaglia &lt;i&gt;et al.&lt;/i&gt;, 2020; Squillace, Adani and Scaglia, 2020)","plainTextFormattedCitation":"(Scaglia et al., 2020; Squillace, Adani and Scaglia, 2020)","previouslyFormattedCitation":"(Scaglia &lt;i&gt;et al.&lt;/i&gt;, 2020; Squillace, Adani and Scaglia, 2020)"},"properties":{"noteIndex":0},"schema":"https://github.com/citation-style-language/schema/raw/master/csl-citation.json"}</w:instrText>
      </w:r>
      <w:r w:rsidR="00A04792">
        <w:fldChar w:fldCharType="separate"/>
      </w:r>
      <w:r w:rsidR="00EC7595" w:rsidRPr="00EC7595">
        <w:rPr>
          <w:noProof/>
        </w:rPr>
        <w:t xml:space="preserve">(Scaglia </w:t>
      </w:r>
      <w:r w:rsidR="00EC7595" w:rsidRPr="00EC7595">
        <w:rPr>
          <w:i/>
          <w:noProof/>
        </w:rPr>
        <w:t>et al.</w:t>
      </w:r>
      <w:r w:rsidR="00EC7595" w:rsidRPr="00EC7595">
        <w:rPr>
          <w:noProof/>
        </w:rPr>
        <w:t>, 2020; Squillace, Adani and Scaglia, 2020)</w:t>
      </w:r>
      <w:r w:rsidR="00A04792">
        <w:fldChar w:fldCharType="end"/>
      </w:r>
      <w:r w:rsidR="00A04792">
        <w:t xml:space="preserve">. </w:t>
      </w:r>
      <w:r w:rsidR="00B933D4" w:rsidRPr="00EE5558">
        <w:t>Subcritical water extraction (SWE) in a continuous mode was performed using the same setup as for SCO</w:t>
      </w:r>
      <w:r w:rsidR="00B933D4" w:rsidRPr="00EE5558">
        <w:rPr>
          <w:vertAlign w:val="subscript"/>
        </w:rPr>
        <w:t>2</w:t>
      </w:r>
      <w:r w:rsidR="00E15748">
        <w:t>E</w:t>
      </w:r>
      <w:r w:rsidR="00B933D4" w:rsidRPr="00EE5558">
        <w:t>, whereas, for the batch</w:t>
      </w:r>
      <w:r w:rsidR="00E15748">
        <w:t xml:space="preserve"> SWE</w:t>
      </w:r>
      <w:r w:rsidR="00B933D4" w:rsidRPr="00EE5558">
        <w:t xml:space="preserve"> experiments </w:t>
      </w:r>
      <w:r w:rsidR="00E15748">
        <w:t xml:space="preserve">a </w:t>
      </w:r>
      <w:r w:rsidR="00B933D4" w:rsidRPr="00EE5558">
        <w:t xml:space="preserve">small autoclave was used, as shown in Figure 1 (right). Batch SWE experiments were performed with </w:t>
      </w:r>
      <w:r w:rsidR="00F514B1">
        <w:t xml:space="preserve">a </w:t>
      </w:r>
      <w:r w:rsidR="00E15748">
        <w:t>dry b</w:t>
      </w:r>
      <w:r w:rsidR="00927867" w:rsidRPr="00EE5558">
        <w:t>iomass</w:t>
      </w:r>
      <w:r w:rsidR="00F514B1">
        <w:t>-to-w</w:t>
      </w:r>
      <w:r w:rsidR="00927867" w:rsidRPr="00EE5558">
        <w:t>ater</w:t>
      </w:r>
      <w:r w:rsidR="00B933D4" w:rsidRPr="00EE5558">
        <w:t xml:space="preserve"> ratio of</w:t>
      </w:r>
      <w:r w:rsidR="00927867" w:rsidRPr="00EE5558">
        <w:t xml:space="preserve"> 0.1</w:t>
      </w:r>
      <w:r w:rsidR="00B933D4" w:rsidRPr="00EE5558">
        <w:t>.</w:t>
      </w:r>
      <w:r w:rsidR="006E48B9" w:rsidRPr="00EE5558">
        <w:t xml:space="preserve"> Pressure in the batch SWE experiments </w:t>
      </w:r>
      <w:r w:rsidR="00E15748">
        <w:t>depended</w:t>
      </w:r>
      <w:r w:rsidR="006E48B9" w:rsidRPr="00EE5558">
        <w:t xml:space="preserve"> on</w:t>
      </w:r>
      <w:r w:rsidR="00E15748">
        <w:t xml:space="preserve"> the</w:t>
      </w:r>
      <w:r w:rsidR="006E48B9" w:rsidRPr="00EE5558">
        <w:t xml:space="preserve"> water saturation pressure </w:t>
      </w:r>
      <w:r w:rsidR="00E15748">
        <w:t xml:space="preserve">(at </w:t>
      </w:r>
      <w:r w:rsidR="006E48B9" w:rsidRPr="00EE5558">
        <w:t>process temperature</w:t>
      </w:r>
      <w:r w:rsidR="00E15748">
        <w:t>)</w:t>
      </w:r>
      <w:r w:rsidR="006E48B9" w:rsidRPr="00EE5558">
        <w:t xml:space="preserve"> and </w:t>
      </w:r>
      <w:r w:rsidR="00E15748">
        <w:t xml:space="preserve">the </w:t>
      </w:r>
      <w:r w:rsidR="006E48B9" w:rsidRPr="00EE5558">
        <w:t xml:space="preserve">production of gases. </w:t>
      </w:r>
      <w:r w:rsidR="00F514B1">
        <w:t>A s</w:t>
      </w:r>
      <w:r w:rsidR="00B933D4" w:rsidRPr="00EE5558">
        <w:t xml:space="preserve">ummary of </w:t>
      </w:r>
      <w:r w:rsidR="00E15748">
        <w:t xml:space="preserve">the </w:t>
      </w:r>
      <w:r w:rsidR="00B933D4" w:rsidRPr="00EE5558">
        <w:t>p</w:t>
      </w:r>
      <w:r w:rsidR="004314C7" w:rsidRPr="00EE5558">
        <w:t xml:space="preserve">rocess conditions for </w:t>
      </w:r>
      <w:r w:rsidR="00E15748">
        <w:t xml:space="preserve">the </w:t>
      </w:r>
      <w:r w:rsidR="004314C7" w:rsidRPr="00EE5558">
        <w:t xml:space="preserve">performed </w:t>
      </w:r>
      <w:r w:rsidR="00E22073" w:rsidRPr="00EE5558">
        <w:t xml:space="preserve">experiments </w:t>
      </w:r>
      <w:r w:rsidR="00B933D4" w:rsidRPr="00EE5558">
        <w:t>is</w:t>
      </w:r>
      <w:r w:rsidR="004314C7" w:rsidRPr="00EE5558">
        <w:t xml:space="preserve"> shown in </w:t>
      </w:r>
      <w:r w:rsidR="00F514B1">
        <w:t>T</w:t>
      </w:r>
      <w:r w:rsidR="004314C7" w:rsidRPr="00EE5558">
        <w:t>able 1.</w:t>
      </w:r>
      <w:r w:rsidR="00A845D1">
        <w:t xml:space="preserve"> </w:t>
      </w:r>
      <w:r w:rsidR="00676D04">
        <w:t>T</w:t>
      </w:r>
      <w:r w:rsidR="00596329">
        <w:t xml:space="preserve">he </w:t>
      </w:r>
      <w:r w:rsidR="00596329" w:rsidRPr="00EE5558">
        <w:t>baseline oil content of PS was determined using</w:t>
      </w:r>
      <w:r w:rsidR="00232F59">
        <w:t xml:space="preserve"> </w:t>
      </w:r>
      <w:r w:rsidR="00232F59" w:rsidRPr="00232F59">
        <w:rPr>
          <w:highlight w:val="yellow"/>
        </w:rPr>
        <w:t xml:space="preserve">submersion method </w:t>
      </w:r>
      <w:r w:rsidR="00232F59" w:rsidRPr="00232F59">
        <w:rPr>
          <w:highlight w:val="yellow"/>
        </w:rPr>
        <w:fldChar w:fldCharType="begin" w:fldLock="1"/>
      </w:r>
      <w:r w:rsidR="00232F59" w:rsidRPr="00232F59">
        <w:rPr>
          <w:highlight w:val="yellow"/>
        </w:rPr>
        <w:instrText>ADDIN CSL_CITATION {"citationItems":[{"id":"ITEM-1","itemData":{"DOI":"10.1093/jaoac/86.5.888","ISSN":"1060-3271","PMID":"14632388","abstract":"A method for determining crude fat in animal feed, cereal grain, and forage (plant tissue) was collaboratively studied. Crude fat was extracted from the animal feed, cereal grain, or forage material with diethyl ether by the Randall method, also called the Soxtec method or the submersion method. The proposed submersion method considerably decreases the extraction time required to complete a batch of samples. The increase in throughput is very desirable in the quest for faster turnaround times and the greater efficiency in the use of labor. In addition, this method provides for reclamation of the solvent as a step of the method. The submersion method for fat extraction was previously studied for meat and meat products and was accepted as AOAC Official Method 991.36. Fourteen blind samples were sent to 12 collaborators in the United States, Sweden, Canada, and Germany. The within-laboratory relative standard deviation (repeatability) ranged from 1.09 to 9.26% for crude fat. Among-laboratory (including within) relative standard deviation (reproducibility) ranged from 1.0 to 21.0%. The method is recommended for Official First Action.","author":[{"dropping-particle":"","family":"Thiex","given":"Nancy J.","non-dropping-particle":"","parse-names":false,"suffix":""},{"dropping-particle":"","family":"Anderson","given":"Shirley","non-dropping-particle":"","parse-names":false,"suffix":""},{"dropping-particle":"","family":"Gildemeister","given":"Bryan","non-dropping-particle":"","parse-names":false,"suffix":""},{"dropping-particle":"","family":"Adcock","given":"W","non-dropping-particle":"","parse-names":false,"suffix":""},{"dropping-particle":"","family":"Boedigheimer","given":"J","non-dropping-particle":"","parse-names":false,"suffix":""},{"dropping-particle":"","family":"Bogren","given":"E","non-dropping-particle":"","parse-names":false,"suffix":""},{"dropping-particle":"","family":"Coffin","given":"R","non-dropping-particle":"","parse-names":false,"suffix":""},{"dropping-particle":"","family":"Conway","given":"K","non-dropping-particle":"","parse-names":false,"suffix":""},{"dropping-particle":"","family":"DeBaker","given":"A","non-dropping-particle":"","parse-names":false,"suffix":""},{"dropping-particle":"","family":"Frankenius","given":"E","non-dropping-particle":"","parse-names":false,"suffix":""},{"dropping-particle":"","family":"Gramse","given":"M","non-dropping-particle":"","parse-names":false,"suffix":""},{"dropping-particle":"","family":"Hogan","given":"P","non-dropping-particle":"","parse-names":false,"suffix":""},{"dropping-particle":"","family":"Knese","given":"T","non-dropping-particle":"","parse-names":false,"suffix":""},{"dropping-particle":"","family":"MacDonald","given":"J","non-dropping-particle":"","parse-names":false,"suffix":""},{"dropping-particle":"","family":"M</w:instrText>
      </w:r>
      <w:r w:rsidR="00232F59" w:rsidRPr="00232F59">
        <w:rPr>
          <w:rFonts w:cs="Arial"/>
          <w:highlight w:val="yellow"/>
        </w:rPr>
        <w:instrText>�</w:instrText>
      </w:r>
      <w:r w:rsidR="00232F59" w:rsidRPr="00232F59">
        <w:rPr>
          <w:highlight w:val="yellow"/>
        </w:rPr>
        <w:instrText>ller","given":"J","non-dropping-particle":"","parse-names":false,"suffix":""},{"dropping-particle":"","family":"Royle","given":"R","non-dropping-particle":"","parse-names":false,"suffix":""},{"dropping-particle":"","family":"Russell","given":"M","non-dropping-particle":"","parse-names":false,"suffix":""},{"dropping-particle":"","family":"Shafiee","given":"F","non-dropping-particle":"","parse-names":false,"suffix":""},{"dropping-particle":"","family":"Shreve","given":"B","non-dropping-particle":"","parse-names":false,"suffix":""},{"dropping-particle":"","family":"Sieh","given":"J","non-dropping-particle":"","parse-names":false,"suffix":""},{"dropping-particle":"","family":"Spann","given":"M","non-dropping-particle":"","parse-names":false,"suffix":""},{"dropping-particle":"","family":"Töpler","given":"E","non-dropping-particle":"","parse-names":false,"suffix":""},{"dropping-particle":"","family":"Watts","given":"M","non-dropping-particle":"","parse-names":false,"suffix":""}],"container-title":"Journal of AOAC INTERNATIONAL","id":"ITEM-1","issue":"5","issued":{"date-parts":[["2003","9","1"]]},"page":"888-898","title":"Crude Fat, Diethyl Ether Extraction, in Feed, Cereal Grain, and Forage (Randall/Soxtec/Submersion Method): Collaborative Study","type":"article-journal","volume":"86"},"uris":["http://www.mendeley.com/documents/?uuid=328986d7-f9c8-49cd-9840-29460580d445"]}],"mendeley":{"formattedCitation":"(Thiex &lt;i&gt;et al.&lt;/i&gt;, 2003)","plainTextFormattedCitation":"(Thiex et al., 2003)","previouslyFormattedCitation":"(Thiex &lt;i&gt;et al.&lt;/i&gt;, 2003)"},"properties":{"noteIndex":0},"schema":"https://github.com/citation-style-language/schema/raw/master/csl-citation.json"}</w:instrText>
      </w:r>
      <w:r w:rsidR="00232F59" w:rsidRPr="00232F59">
        <w:rPr>
          <w:highlight w:val="yellow"/>
        </w:rPr>
        <w:fldChar w:fldCharType="separate"/>
      </w:r>
      <w:r w:rsidR="00232F59" w:rsidRPr="00232F59">
        <w:rPr>
          <w:noProof/>
          <w:highlight w:val="yellow"/>
        </w:rPr>
        <w:t xml:space="preserve">(Thiex </w:t>
      </w:r>
      <w:r w:rsidR="00232F59" w:rsidRPr="00232F59">
        <w:rPr>
          <w:i/>
          <w:noProof/>
          <w:highlight w:val="yellow"/>
        </w:rPr>
        <w:t>et al.</w:t>
      </w:r>
      <w:r w:rsidR="00232F59" w:rsidRPr="00232F59">
        <w:rPr>
          <w:noProof/>
          <w:highlight w:val="yellow"/>
        </w:rPr>
        <w:t>, 2003)</w:t>
      </w:r>
      <w:r w:rsidR="00232F59" w:rsidRPr="00232F59">
        <w:rPr>
          <w:highlight w:val="yellow"/>
        </w:rPr>
        <w:fldChar w:fldCharType="end"/>
      </w:r>
      <w:r w:rsidR="00232F59" w:rsidRPr="00232F59">
        <w:rPr>
          <w:highlight w:val="yellow"/>
        </w:rPr>
        <w:t>,</w:t>
      </w:r>
      <w:r w:rsidR="00232F59">
        <w:t xml:space="preserve"> with</w:t>
      </w:r>
      <w:r w:rsidR="00596329" w:rsidRPr="00EE5558">
        <w:t xml:space="preserve"> SER 148/3 Randall extractor (SER 148, </w:t>
      </w:r>
      <w:proofErr w:type="spellStart"/>
      <w:r w:rsidR="00596329" w:rsidRPr="00EE5558">
        <w:t>Velp</w:t>
      </w:r>
      <w:proofErr w:type="spellEnd"/>
      <w:r w:rsidR="00596329" w:rsidRPr="00EE5558">
        <w:t xml:space="preserve"> </w:t>
      </w:r>
      <w:proofErr w:type="spellStart"/>
      <w:r w:rsidR="00596329" w:rsidRPr="00EE5558">
        <w:t>Scientifica</w:t>
      </w:r>
      <w:proofErr w:type="spellEnd"/>
      <w:r w:rsidR="00596329" w:rsidRPr="00EE5558">
        <w:t xml:space="preserve">). Extraction using </w:t>
      </w:r>
      <w:r w:rsidR="00596329" w:rsidRPr="00D207FB">
        <w:rPr>
          <w:i/>
          <w:iCs/>
        </w:rPr>
        <w:t>n</w:t>
      </w:r>
      <w:r w:rsidR="00596329">
        <w:t>-</w:t>
      </w:r>
      <w:r w:rsidR="00596329" w:rsidRPr="00EE5558">
        <w:t>hexane (</w:t>
      </w:r>
      <w:r w:rsidR="00596329">
        <w:t>purity</w:t>
      </w:r>
      <w:r w:rsidR="00596329" w:rsidRPr="00EE5558">
        <w:t xml:space="preserve"> 95%, Honeywell Riedel-de </w:t>
      </w:r>
      <w:proofErr w:type="spellStart"/>
      <w:r w:rsidR="00596329" w:rsidRPr="00EE5558">
        <w:t>Haën</w:t>
      </w:r>
      <w:proofErr w:type="spellEnd"/>
      <w:r w:rsidR="00596329" w:rsidRPr="00EE5558">
        <w:t>)</w:t>
      </w:r>
      <w:r w:rsidR="00C7395B">
        <w:t xml:space="preserve">, </w:t>
      </w:r>
      <w:r w:rsidR="00C7395B" w:rsidRPr="00C7395B">
        <w:rPr>
          <w:highlight w:val="yellow"/>
        </w:rPr>
        <w:t xml:space="preserve">which exhibits one of the highest efficiencies in </w:t>
      </w:r>
      <w:proofErr w:type="spellStart"/>
      <w:r w:rsidR="00C7395B" w:rsidRPr="00C7395B">
        <w:rPr>
          <w:highlight w:val="yellow"/>
        </w:rPr>
        <w:t>soxhlet</w:t>
      </w:r>
      <w:proofErr w:type="spellEnd"/>
      <w:r w:rsidR="00C7395B" w:rsidRPr="00C7395B">
        <w:rPr>
          <w:highlight w:val="yellow"/>
        </w:rPr>
        <w:t xml:space="preserve"> extraction of lipids </w:t>
      </w:r>
      <w:r w:rsidR="00C7395B" w:rsidRPr="00C7395B">
        <w:rPr>
          <w:highlight w:val="yellow"/>
        </w:rPr>
        <w:fldChar w:fldCharType="begin" w:fldLock="1"/>
      </w:r>
      <w:r w:rsidR="00AC2EC4">
        <w:rPr>
          <w:highlight w:val="yellow"/>
        </w:rPr>
        <w:instrText>ADDIN CSL_CITATION {"citationItems":[{"id":"ITEM-1","itemData":{"DOI":"10.1016/j.btre.2019.e00340","ISSN":"2215017X","abstract":"Cell disruption and lipid extraction methods for macroalgae are not well reported. Therefore, we compared various lipid extraction methods and extraction efficiency of various solvents to improve lipid yields from Oedogonium fresh water macroalgae. Lipid extraction was done by 2 methods viz., modified Bligh and Dyer method and soxhlet extraction using either single solvents or mixtures. In soxhlet extraction method five solvents were used (1) Hexane commonly used solvent for lipid extractions, (2) chloroform: methanol (2:1), (3) Chloroform: hexane (1:1), (4) Chloroform: hexane (1:2), (5) Dichloromethane + methanol (2:1). To improve lipid extraction yields, various cell disruption methods were also compared during the present study. Impurities of chlorophyll and protein were also detected in the extracted lipids. Hydrothermal liquefaction of algal biomass with TiO2 was also conducted at 300 °C. HTL was more effective by which 23.3 wt% of bio-crude oil was obtained.","author":[{"dropping-particle":"","family":"Ramola","given":"Bharti","non-dropping-particle":"","parse-names":false,"suffix":""},{"dropping-particle":"","family":"Kumar","given":"Vinod","non-dropping-particle":"","parse-names":false,"suffix":""},{"dropping-particle":"","family":"Nanda","given":"Manisha","non-dropping-particle":"","parse-names":false,"suffix":""},{"dropping-particle":"","family":"Mishra","given":"Yashi","non-dropping-particle":"","parse-names":false,"suffix":""},{"dropping-particle":"","family":"Tyagi","given":"Tushar","non-dropping-particle":"","parse-names":false,"suffix":""},{"dropping-particle":"","family":"Gupta","given":"Ayushi","non-dropping-particle":"","parse-names":false,"suffix":""},{"dropping-particle":"","family":"Sharma","given":"Nishesh","non-dropping-particle":"","parse-names":false,"suffix":""}],"container-title":"Biotechnology Reports","id":"ITEM-1","issued":{"date-parts":[["2019"]]},"page":"e00340","publisher":"Elsevier B.V.","title":"Evaluation, comparison of different solvent extraction, cell disruption methods and hydrothermal liquefaction of Oedogonium macroalgae for biofuel production","type":"article-journal","volume":"22"},"uris":["http://www.mendeley.com/documents/?uuid=470a5e6a-8191-4e3d-ae36-52cdd018a9d3"]}],"mendeley":{"formattedCitation":"(Ramola &lt;i&gt;et al.&lt;/i&gt;, 2019)","plainTextFormattedCitation":"(Ramola et al., 2019)","previouslyFormattedCitation":"(Ramola &lt;i&gt;et al.&lt;/i&gt;, 2019)"},"properties":{"noteIndex":0},"schema":"https://github.com/citation-style-language/schema/raw/master/csl-citation.json"}</w:instrText>
      </w:r>
      <w:r w:rsidR="00C7395B" w:rsidRPr="00C7395B">
        <w:rPr>
          <w:highlight w:val="yellow"/>
        </w:rPr>
        <w:fldChar w:fldCharType="separate"/>
      </w:r>
      <w:r w:rsidR="00C7395B" w:rsidRPr="00C7395B">
        <w:rPr>
          <w:noProof/>
          <w:highlight w:val="yellow"/>
        </w:rPr>
        <w:t xml:space="preserve">(Ramola </w:t>
      </w:r>
      <w:r w:rsidR="00C7395B" w:rsidRPr="00C7395B">
        <w:rPr>
          <w:i/>
          <w:noProof/>
          <w:highlight w:val="yellow"/>
        </w:rPr>
        <w:t>et al.</w:t>
      </w:r>
      <w:r w:rsidR="00C7395B" w:rsidRPr="00C7395B">
        <w:rPr>
          <w:noProof/>
          <w:highlight w:val="yellow"/>
        </w:rPr>
        <w:t>, 2019)</w:t>
      </w:r>
      <w:r w:rsidR="00C7395B" w:rsidRPr="00C7395B">
        <w:rPr>
          <w:highlight w:val="yellow"/>
        </w:rPr>
        <w:fldChar w:fldCharType="end"/>
      </w:r>
      <w:r w:rsidR="00C7395B">
        <w:t>,</w:t>
      </w:r>
      <w:r w:rsidR="00596329" w:rsidRPr="00EE5558">
        <w:t xml:space="preserve"> took place at </w:t>
      </w:r>
      <w:r w:rsidR="00596329">
        <w:t>the boiling temperature of the solvent (69</w:t>
      </w:r>
      <w:r w:rsidR="00596329" w:rsidRPr="00EE5558">
        <w:t xml:space="preserve"> °C</w:t>
      </w:r>
      <w:r w:rsidR="00596329">
        <w:t>)</w:t>
      </w:r>
      <w:r w:rsidR="00596329" w:rsidRPr="00EE5558">
        <w:t xml:space="preserve">, with </w:t>
      </w:r>
      <w:r w:rsidR="00596329">
        <w:t xml:space="preserve">a </w:t>
      </w:r>
      <w:r w:rsidR="00596329" w:rsidRPr="00EE5558">
        <w:t xml:space="preserve">60 min immersion </w:t>
      </w:r>
      <w:r w:rsidR="00596329">
        <w:t xml:space="preserve">step </w:t>
      </w:r>
      <w:r w:rsidR="00596329" w:rsidRPr="00EE5558">
        <w:t xml:space="preserve">in </w:t>
      </w:r>
      <w:r w:rsidR="00596329">
        <w:t xml:space="preserve">the </w:t>
      </w:r>
      <w:r w:rsidR="00596329" w:rsidRPr="00EE5558">
        <w:t>hot solvent followed by 110 minutes of reflux washing</w:t>
      </w:r>
      <w:r w:rsidR="00596329">
        <w:t xml:space="preserve"> similar to the standard Soxhlet technique</w:t>
      </w:r>
      <w:r w:rsidR="00596329" w:rsidRPr="00EE5558">
        <w:t xml:space="preserve">. </w:t>
      </w:r>
      <w:r w:rsidR="00596329">
        <w:t>The cellulose t</w:t>
      </w:r>
      <w:r w:rsidR="00596329" w:rsidRPr="00EE5558">
        <w:t xml:space="preserve">himbles with </w:t>
      </w:r>
      <w:r w:rsidR="00596329">
        <w:t xml:space="preserve">the solid </w:t>
      </w:r>
      <w:r w:rsidR="00596329" w:rsidRPr="00EE5558">
        <w:t xml:space="preserve">samples </w:t>
      </w:r>
      <w:r w:rsidR="00596329">
        <w:t xml:space="preserve">residual from extraction </w:t>
      </w:r>
      <w:r w:rsidR="00596329" w:rsidRPr="00EE5558">
        <w:t xml:space="preserve">were subsequently placed in </w:t>
      </w:r>
      <w:r w:rsidR="00596329">
        <w:t>a</w:t>
      </w:r>
      <w:r w:rsidR="00596329" w:rsidRPr="00EE5558">
        <w:t xml:space="preserve"> </w:t>
      </w:r>
      <w:r w:rsidR="00596329">
        <w:t>ventilated oven</w:t>
      </w:r>
      <w:r w:rsidR="00596329" w:rsidRPr="00EE5558">
        <w:t xml:space="preserve"> at 105 °C</w:t>
      </w:r>
      <w:r w:rsidR="00596329" w:rsidRPr="00EE5558" w:rsidDel="005C4C61">
        <w:t xml:space="preserve"> </w:t>
      </w:r>
      <w:r w:rsidR="00596329" w:rsidRPr="00EE5558">
        <w:t>overnight</w:t>
      </w:r>
      <w:r w:rsidR="00596329" w:rsidRPr="00EE5558" w:rsidDel="005C4C61">
        <w:t xml:space="preserve"> </w:t>
      </w:r>
      <w:r w:rsidR="00596329" w:rsidRPr="00EE5558">
        <w:t>for drying, evaporat</w:t>
      </w:r>
      <w:r w:rsidR="00596329">
        <w:t>ing</w:t>
      </w:r>
      <w:r w:rsidR="00596329" w:rsidRPr="00EE5558">
        <w:t xml:space="preserve"> any remaining hexane. The mass of both beakers with oil and thimbles with extracted solids was determined on the next day, using Mettler Toledo ML204/01 balance (max. weight 220 g; permissible error 0.1 mg).</w:t>
      </w:r>
      <w:r w:rsidR="00BF7666">
        <w:t xml:space="preserve"> Residual m</w:t>
      </w:r>
      <w:r w:rsidR="00BF7666" w:rsidRPr="00EE5558">
        <w:t xml:space="preserve">oisture content </w:t>
      </w:r>
      <w:r w:rsidR="00BF7666">
        <w:t xml:space="preserve">of PS </w:t>
      </w:r>
      <w:r w:rsidR="00BF7666" w:rsidRPr="00EE5558">
        <w:t xml:space="preserve">was determined by a gravimetric method, drying </w:t>
      </w:r>
      <w:r w:rsidR="00BF7666">
        <w:t xml:space="preserve">PS </w:t>
      </w:r>
      <w:r w:rsidR="00BF7666" w:rsidRPr="00EE5558">
        <w:t>at 105 °C for approximately 20 hours, in compliance with EN ISO 18134-2:2015.</w:t>
      </w:r>
      <w:r w:rsidR="00BF7666">
        <w:t xml:space="preserve"> Average PS particle density was determined using </w:t>
      </w:r>
      <w:proofErr w:type="spellStart"/>
      <w:r w:rsidR="00BF7666">
        <w:t>pycnometry</w:t>
      </w:r>
      <w:proofErr w:type="spellEnd"/>
      <w:r w:rsidR="00BF7666">
        <w:t xml:space="preserve">, according to the standard </w:t>
      </w:r>
      <w:r w:rsidR="00BF7666" w:rsidRPr="00CB28F7">
        <w:t>EN ISO 17892-3</w:t>
      </w:r>
      <w:r w:rsidR="00BF7666">
        <w:t xml:space="preserve">, with ethanol used instead of water, </w:t>
      </w:r>
      <w:proofErr w:type="gramStart"/>
      <w:r w:rsidR="00BF7666">
        <w:t>due to the fact that</w:t>
      </w:r>
      <w:proofErr w:type="gramEnd"/>
      <w:r w:rsidR="00BF7666">
        <w:t xml:space="preserve"> some particles within the sample batch </w:t>
      </w:r>
      <w:r w:rsidR="008479D2" w:rsidRPr="008479D2">
        <w:t>did not sink completely into the water</w:t>
      </w:r>
      <w:r w:rsidR="00BF7666">
        <w:t>.</w:t>
      </w:r>
      <w:r w:rsidR="00A845D1">
        <w:t xml:space="preserve"> </w:t>
      </w:r>
      <w:r w:rsidR="00321316" w:rsidRPr="00A20974">
        <w:t xml:space="preserve">SCO2E-p410T70 and SCO2E-p390T70 </w:t>
      </w:r>
      <w:r w:rsidR="00321316" w:rsidRPr="008C19C6">
        <w:rPr>
          <w:highlight w:val="yellow"/>
        </w:rPr>
        <w:t xml:space="preserve">oil extracts were </w:t>
      </w:r>
      <w:proofErr w:type="spellStart"/>
      <w:r w:rsidR="00321316" w:rsidRPr="008C19C6">
        <w:rPr>
          <w:highlight w:val="yellow"/>
        </w:rPr>
        <w:t>analysed</w:t>
      </w:r>
      <w:proofErr w:type="spellEnd"/>
      <w:r w:rsidR="00321316" w:rsidRPr="008C19C6">
        <w:rPr>
          <w:highlight w:val="yellow"/>
        </w:rPr>
        <w:t xml:space="preserve"> for lycopene content</w:t>
      </w:r>
      <w:r w:rsidR="00321316" w:rsidRPr="00A20974">
        <w:t xml:space="preserve"> and the quantification was performed by using Agilent 1260 Infinity HPLC system equipped with a C30 </w:t>
      </w:r>
      <w:proofErr w:type="spellStart"/>
      <w:r w:rsidR="00321316" w:rsidRPr="00A20974">
        <w:t>Develosil</w:t>
      </w:r>
      <w:proofErr w:type="spellEnd"/>
      <w:r w:rsidR="00321316" w:rsidRPr="00A20974">
        <w:t xml:space="preserve"> column (5 µm, 250 x 4.6 mm) </w:t>
      </w:r>
      <w:r w:rsidR="00321316">
        <w:fldChar w:fldCharType="begin" w:fldLock="1"/>
      </w:r>
      <w:r w:rsidR="00232F59">
        <w:instrText>ADDIN CSL_CITATION {"citationItems":[{"id":"ITEM-1","itemData":{"DOI":"10.1016/j.jclepro.2019.118650","ISSN":"09596526","abstract":"Tomato peels and seeds (TP) are the most abundant canning industry waste actually used to produce biogas. TP is rich in lycopene (lyc) and represent a more sustainable feedstock than tomato fruits actually employed. It was therefore chosen as feedstock together with supercritical CO2 extraction (SFE-CO2) technology to develop a TP-SFE-CO2 biorefinery, topic scarcely investigated. Two TP were tested and although TP-SFE-CO2 parameters were the same, lyc recoveries depended by peel structure changes occurred during pre -SFE-CO2 drying step. Higher moisture (102.7 g kg−1 wet weight) permitted 97% lyc recovery and gave a water-in-oil emulsion as extract. Mass balance confirmed that lyc isomerisation did not cause lyc losses. After a significant oil extraction, exhaust TP showed a biodegradability 64% higher than the raw one, attributable to fibre structure disruption. The biorefinery proposed (SFE_CO2+anaerobic digestion) determined positive economic revenue (+787.9 € t−1 TP) on the contrary of the actual TP management.","author":[{"dropping-particle":"","family":"Scaglia","given":"Barbara","non-dropping-particle":"","parse-names":false,"suffix":""},{"dropping-particle":"","family":"D'Incecco","given":"Paolo","non-dropping-particle":"","parse-names":false,"suffix":""},{"dropping-particle":"","family":"Squillace","given":"Pietro","non-dropping-particle":"","parse-names":false,"suffix":""},{"dropping-particle":"","family":"Dell'Orto","given":"Marta","non-dropping-particle":"","parse-names":false,"suffix":""},{"dropping-particle":"","family":"Nisi","given":"Patrizia","non-dropping-particle":"De","parse-names":false,"suffix":""},{"dropping-particle":"","family":"Pellegrino","given":"Luisa","non-dropping-particle":"","parse-names":false,"suffix":""},{"dropping-particle":"","family":"Botto","given":"Alfonso","non-dropping-particle":"","parse-names":false,"suffix":""},{"dropping-particle":"","family":"Cavicchi","given":"Cristiano","non-dropping-particle":"","parse-names":false,"suffix":""},{"dropping-particle":"","family":"Adani","given":"Fabrizio","non-dropping-particle":"","parse-names":false,"suffix":""}],"container-title":"Journal of Cleaner Production","id":"ITEM-1","issued":{"date-parts":[["2020"]]},"page":"118650","publisher":"Elsevier Ltd","title":"Development of a tomato pomace biorefinery based on a CO2-supercritical extraction process for the production of a high value lycopene product, bioenergy and digestate","type":"article-journal","volume":"243"},"uris":["http://www.mendeley.com/documents/?uuid=60970aa4-036d-47c2-a899-f45cb34a109b"]}],"mendeley":{"formattedCitation":"(Scaglia &lt;i&gt;et al.&lt;/i&gt;, 2020)","plainTextFormattedCitation":"(Scaglia et al., 2020)","previouslyFormattedCitation":"(Scaglia &lt;i&gt;et al.&lt;/i&gt;, 2020)"},"properties":{"noteIndex":0},"schema":"https://github.com/citation-style-language/schema/raw/master/csl-citation.json"}</w:instrText>
      </w:r>
      <w:r w:rsidR="00321316">
        <w:fldChar w:fldCharType="separate"/>
      </w:r>
      <w:r w:rsidR="00EC7595" w:rsidRPr="00EC7595">
        <w:rPr>
          <w:noProof/>
        </w:rPr>
        <w:t xml:space="preserve">(Scaglia </w:t>
      </w:r>
      <w:r w:rsidR="00EC7595" w:rsidRPr="00EC7595">
        <w:rPr>
          <w:i/>
          <w:noProof/>
        </w:rPr>
        <w:t>et al.</w:t>
      </w:r>
      <w:r w:rsidR="00EC7595" w:rsidRPr="00EC7595">
        <w:rPr>
          <w:noProof/>
        </w:rPr>
        <w:t>, 2020)</w:t>
      </w:r>
      <w:r w:rsidR="00321316">
        <w:fldChar w:fldCharType="end"/>
      </w:r>
      <w:r w:rsidR="00321316" w:rsidRPr="00A20974">
        <w:t>.</w:t>
      </w:r>
      <w:r w:rsidR="00321316">
        <w:t xml:space="preserve"> </w:t>
      </w:r>
      <w:r w:rsidR="00321316" w:rsidRPr="001B02FF">
        <w:t>The protein fraction was solubilized in 50 mM sodium phosphate buffer, pH 9</w:t>
      </w:r>
      <w:r w:rsidR="003C1B02" w:rsidRPr="003C1B02">
        <w:t xml:space="preserve"> </w:t>
      </w:r>
      <w:r w:rsidR="003C1B02" w:rsidRPr="00755C09">
        <w:rPr>
          <w:highlight w:val="yellow"/>
        </w:rPr>
        <w:t>with a dry biomass-to-water ratio of 0</w:t>
      </w:r>
      <w:r w:rsidR="00755C09">
        <w:rPr>
          <w:highlight w:val="yellow"/>
        </w:rPr>
        <w:t>.</w:t>
      </w:r>
      <w:r w:rsidR="003C1B02" w:rsidRPr="00755C09">
        <w:rPr>
          <w:highlight w:val="yellow"/>
        </w:rPr>
        <w:t>1</w:t>
      </w:r>
      <w:r w:rsidR="00321316" w:rsidRPr="00755C09">
        <w:rPr>
          <w:highlight w:val="yellow"/>
        </w:rPr>
        <w:t>.</w:t>
      </w:r>
      <w:r w:rsidR="00321316" w:rsidRPr="001B02FF">
        <w:t xml:space="preserve"> The suspension was stirred for 1 hour at 4 °C and the solubilized protein fraction was separated by centrifugation at 10000×g for 20 min. The protein profiling was carried out on the extracts by SDS-PAGE in reducing condition according to </w:t>
      </w:r>
      <w:r w:rsidR="00321316" w:rsidRPr="009624FC">
        <w:rPr>
          <w:highlight w:val="yellow"/>
        </w:rPr>
        <w:fldChar w:fldCharType="begin" w:fldLock="1"/>
      </w:r>
      <w:r w:rsidR="00321316" w:rsidRPr="009624FC">
        <w:rPr>
          <w:highlight w:val="yellow"/>
        </w:rPr>
        <w:instrText>ADDIN CSL_CITATION {"citationItems":[{"id":"ITEM-1","itemData":{"DOI":"10.1038/227680a0","ISSN":"0028-0836","author":[{"dropping-particle":"","family":"Laemmli","given":"U. K.","non-dropping-particle":"","parse-names":false,"suffix":""}],"container-title":"Nature","id":"ITEM-1","issue":"5259","issued":{"date-parts":[["1970","8"]]},"page":"680-685","title":"Cleavage of Structural Proteins during the Assembly of the Head of Bacteriophage T4","type":"article-journal","volume":"227"},"uris":["http://www.mendeley.com/documents/?uuid=1af595ee-8b99-4d8e-bd44-0d22a65964d1"]}],"mendeley":{"formattedCitation":"(Laemmli, 1970)","plainTextFormattedCitation":"(Laemmli, 1970)","previouslyFormattedCitation":"(Laemmli, 1970)"},"properties":{"noteIndex":0},"schema":"https://github.com/citation-style-language/schema/raw/master/csl-citation.json"}</w:instrText>
      </w:r>
      <w:r w:rsidR="00321316" w:rsidRPr="009624FC">
        <w:rPr>
          <w:highlight w:val="yellow"/>
        </w:rPr>
        <w:fldChar w:fldCharType="separate"/>
      </w:r>
      <w:r w:rsidR="00321316" w:rsidRPr="009624FC">
        <w:rPr>
          <w:noProof/>
          <w:highlight w:val="yellow"/>
        </w:rPr>
        <w:t>(Laemmli, 1970)</w:t>
      </w:r>
      <w:r w:rsidR="00321316" w:rsidRPr="009624FC">
        <w:rPr>
          <w:highlight w:val="yellow"/>
        </w:rPr>
        <w:fldChar w:fldCharType="end"/>
      </w:r>
      <w:r w:rsidR="003C1B02" w:rsidRPr="009624FC">
        <w:rPr>
          <w:highlight w:val="yellow"/>
        </w:rPr>
        <w:t xml:space="preserve"> and the d</w:t>
      </w:r>
      <w:r w:rsidR="00BE31D9" w:rsidRPr="009624FC">
        <w:rPr>
          <w:highlight w:val="yellow"/>
        </w:rPr>
        <w:t xml:space="preserve">ensitometric analysis was performed using </w:t>
      </w:r>
      <w:proofErr w:type="spellStart"/>
      <w:r w:rsidR="00BE31D9" w:rsidRPr="009624FC">
        <w:rPr>
          <w:highlight w:val="yellow"/>
        </w:rPr>
        <w:t>ImageLab</w:t>
      </w:r>
      <w:proofErr w:type="spellEnd"/>
      <w:r w:rsidR="00BE31D9" w:rsidRPr="009624FC">
        <w:rPr>
          <w:highlight w:val="yellow"/>
        </w:rPr>
        <w:t xml:space="preserve"> software (</w:t>
      </w:r>
      <w:proofErr w:type="spellStart"/>
      <w:r w:rsidR="00BE31D9" w:rsidRPr="009624FC">
        <w:rPr>
          <w:highlight w:val="yellow"/>
        </w:rPr>
        <w:t>BioRad</w:t>
      </w:r>
      <w:proofErr w:type="spellEnd"/>
      <w:r w:rsidR="00BE31D9" w:rsidRPr="009624FC">
        <w:rPr>
          <w:highlight w:val="yellow"/>
        </w:rPr>
        <w:t>)</w:t>
      </w:r>
      <w:r w:rsidR="00717756" w:rsidRPr="009624FC">
        <w:rPr>
          <w:highlight w:val="yellow"/>
        </w:rPr>
        <w:t>.</w:t>
      </w:r>
      <w:r w:rsidR="0016110C">
        <w:t xml:space="preserve"> </w:t>
      </w:r>
      <w:r w:rsidR="00717756" w:rsidRPr="001B02FF">
        <w:rPr>
          <w:lang w:val="en-GB"/>
        </w:rPr>
        <w:t xml:space="preserve">Proteins were loaded on a 17% acrylamide gel and run in a </w:t>
      </w:r>
      <w:proofErr w:type="spellStart"/>
      <w:r w:rsidR="00717756" w:rsidRPr="001B02FF">
        <w:rPr>
          <w:lang w:val="en-GB"/>
        </w:rPr>
        <w:t>Miniprotean</w:t>
      </w:r>
      <w:proofErr w:type="spellEnd"/>
      <w:r w:rsidR="00717756" w:rsidRPr="001B02FF">
        <w:rPr>
          <w:lang w:val="en-GB"/>
        </w:rPr>
        <w:t xml:space="preserve"> II apparatus (Bio-Rad Laboratories, Hercules, CA, USA). The gel was Coomassie Blue-stained</w:t>
      </w:r>
      <w:r w:rsidR="00717756">
        <w:rPr>
          <w:lang w:val="en-GB"/>
        </w:rPr>
        <w:t xml:space="preserve"> </w:t>
      </w:r>
      <w:r w:rsidR="00717756" w:rsidRPr="001B02FF">
        <w:rPr>
          <w:lang w:val="en-GB"/>
        </w:rPr>
        <w:t xml:space="preserve">after fixing with 10% </w:t>
      </w:r>
      <w:proofErr w:type="spellStart"/>
      <w:r w:rsidR="00717756" w:rsidRPr="0029535A">
        <w:rPr>
          <w:lang w:val="en-GB"/>
        </w:rPr>
        <w:t>Tricolori</w:t>
      </w:r>
      <w:proofErr w:type="spellEnd"/>
      <w:r w:rsidR="00717756" w:rsidRPr="0029535A">
        <w:rPr>
          <w:lang w:val="en-GB"/>
        </w:rPr>
        <w:t xml:space="preserve"> Acetic Acid</w:t>
      </w:r>
      <w:r w:rsidR="00717756">
        <w:rPr>
          <w:lang w:val="en-GB"/>
        </w:rPr>
        <w:t xml:space="preserve"> (TCA)</w:t>
      </w:r>
      <w:r w:rsidR="00717756" w:rsidRPr="001B02FF">
        <w:rPr>
          <w:lang w:val="en-GB"/>
        </w:rPr>
        <w:t>.</w:t>
      </w:r>
      <w:r w:rsidR="00717756">
        <w:rPr>
          <w:lang w:val="en-GB"/>
        </w:rPr>
        <w:t xml:space="preserve"> </w:t>
      </w:r>
      <w:r w:rsidR="00717756" w:rsidRPr="001B02FF">
        <w:rPr>
          <w:lang w:val="en-GB"/>
        </w:rPr>
        <w:t>Primary</w:t>
      </w:r>
      <w:r w:rsidR="0016110C">
        <w:rPr>
          <w:lang w:val="en-GB"/>
        </w:rPr>
        <w:t xml:space="preserve"> amines </w:t>
      </w:r>
      <w:r w:rsidR="00717756" w:rsidRPr="001B02FF">
        <w:rPr>
          <w:lang w:val="en-GB"/>
        </w:rPr>
        <w:t>were quantified by the</w:t>
      </w:r>
      <w:r w:rsidR="00717756">
        <w:rPr>
          <w:lang w:val="en-GB"/>
        </w:rPr>
        <w:t xml:space="preserve"> </w:t>
      </w:r>
      <w:r w:rsidR="00717756" w:rsidRPr="0029535A">
        <w:rPr>
          <w:lang w:val="en-GB"/>
        </w:rPr>
        <w:t>O-</w:t>
      </w:r>
      <w:proofErr w:type="spellStart"/>
      <w:r w:rsidR="00717756" w:rsidRPr="0029535A">
        <w:rPr>
          <w:lang w:val="en-GB"/>
        </w:rPr>
        <w:t>Pthalaldehyde</w:t>
      </w:r>
      <w:proofErr w:type="spellEnd"/>
      <w:r w:rsidR="00717756" w:rsidRPr="001B02FF">
        <w:rPr>
          <w:lang w:val="en-GB"/>
        </w:rPr>
        <w:t xml:space="preserve"> </w:t>
      </w:r>
      <w:r w:rsidR="00717756">
        <w:rPr>
          <w:lang w:val="en-GB"/>
        </w:rPr>
        <w:t>(</w:t>
      </w:r>
      <w:r w:rsidR="00717756" w:rsidRPr="0029535A">
        <w:rPr>
          <w:lang w:val="en-GB"/>
        </w:rPr>
        <w:t>OPA</w:t>
      </w:r>
      <w:r w:rsidR="00717756">
        <w:rPr>
          <w:lang w:val="en-GB"/>
        </w:rPr>
        <w:t>)</w:t>
      </w:r>
      <w:r w:rsidR="00717756" w:rsidRPr="001B02FF">
        <w:rPr>
          <w:lang w:val="en-GB"/>
        </w:rPr>
        <w:t xml:space="preserve"> assay </w:t>
      </w:r>
      <w:r w:rsidR="00717756">
        <w:rPr>
          <w:lang w:val="en-GB"/>
        </w:rPr>
        <w:fldChar w:fldCharType="begin" w:fldLock="1"/>
      </w:r>
      <w:r w:rsidR="00717756">
        <w:rPr>
          <w:lang w:val="en-GB"/>
        </w:rPr>
        <w:instrText>ADDIN CSL_CITATION {"citationItems":[{"id":"ITEM-1","itemData":{"DOI":"10.1016/0003-2697(85)90549-4","ISSN":"00032697","author":[{"dropping-particle":"","family":"Church","given":"Frank C.","non-dropping-particle":"","parse-names":false,"suffix":""},{"dropping-particle":"","family":"Porter","given":"David H.","non-dropping-particle":"","parse-names":false,"suffix":""},{"dropping-particle":"","family":"Catignani","given":"George L.","non-dropping-particle":"","parse-names":false,"suffix":""},{"dropping-particle":"","family":"Swaisgood","given":"Harold E.","non-dropping-particle":"","parse-names":false,"suffix":""}],"container-title":"Analytical Biochemistry","id":"ITEM-1","issue":"2","issued":{"date-parts":[["1985","5"]]},"page":"343-348","title":"An o-phthalaldehyde spectrophotometric assay for proteinases","type":"article-journal","volume":"146"},"uris":["http://www.mendeley.com/documents/?uuid=859eac1b-70e9-4812-914a-9907c7cef263"]}],"mendeley":{"formattedCitation":"(Church &lt;i&gt;et al.&lt;/i&gt;, 1985)","plainTextFormattedCitation":"(Church et al., 1985)","previouslyFormattedCitation":"(Church &lt;i&gt;et al.&lt;/i&gt;, 1985)"},"properties":{"noteIndex":0},"schema":"https://github.com/citation-style-language/schema/raw/master/csl-citation.json"}</w:instrText>
      </w:r>
      <w:r w:rsidR="00717756">
        <w:rPr>
          <w:lang w:val="en-GB"/>
        </w:rPr>
        <w:fldChar w:fldCharType="separate"/>
      </w:r>
      <w:r w:rsidR="00717756" w:rsidRPr="00EC7595">
        <w:rPr>
          <w:noProof/>
          <w:lang w:val="en-GB"/>
        </w:rPr>
        <w:t xml:space="preserve">(Church </w:t>
      </w:r>
      <w:r w:rsidR="00717756" w:rsidRPr="00EC7595">
        <w:rPr>
          <w:i/>
          <w:noProof/>
          <w:lang w:val="en-GB"/>
        </w:rPr>
        <w:t>et al.</w:t>
      </w:r>
      <w:r w:rsidR="00717756" w:rsidRPr="00EC7595">
        <w:rPr>
          <w:noProof/>
          <w:lang w:val="en-GB"/>
        </w:rPr>
        <w:t>, 1985)</w:t>
      </w:r>
      <w:r w:rsidR="00717756">
        <w:rPr>
          <w:lang w:val="en-GB"/>
        </w:rPr>
        <w:fldChar w:fldCharType="end"/>
      </w:r>
      <w:r w:rsidR="00717756" w:rsidRPr="001B02FF">
        <w:rPr>
          <w:lang w:val="en-GB"/>
        </w:rPr>
        <w:t xml:space="preserve"> with slight modifications. The OPA working solution was prepared by mixing 0.5 mL of OPA reagent (40 g/L in ethanol), 2.5 mL of </w:t>
      </w:r>
      <w:r w:rsidR="00717756" w:rsidRPr="0029535A">
        <w:rPr>
          <w:lang w:val="en-GB"/>
        </w:rPr>
        <w:t xml:space="preserve">Sodium </w:t>
      </w:r>
      <w:proofErr w:type="spellStart"/>
      <w:r w:rsidR="00717756" w:rsidRPr="0029535A">
        <w:rPr>
          <w:lang w:val="en-GB"/>
        </w:rPr>
        <w:t>Dodecil</w:t>
      </w:r>
      <w:proofErr w:type="spellEnd"/>
      <w:r w:rsidR="00717756" w:rsidRPr="0029535A">
        <w:rPr>
          <w:lang w:val="en-GB"/>
        </w:rPr>
        <w:t xml:space="preserve"> Sulphate </w:t>
      </w:r>
      <w:r w:rsidR="00717756">
        <w:rPr>
          <w:lang w:val="en-GB"/>
        </w:rPr>
        <w:t>(</w:t>
      </w:r>
      <w:r w:rsidR="00717756" w:rsidRPr="0029535A">
        <w:rPr>
          <w:lang w:val="en-GB"/>
        </w:rPr>
        <w:t>SDS</w:t>
      </w:r>
      <w:r w:rsidR="00717756">
        <w:rPr>
          <w:lang w:val="en-GB"/>
        </w:rPr>
        <w:t>)</w:t>
      </w:r>
      <w:r w:rsidR="00717756" w:rsidRPr="001B02FF">
        <w:rPr>
          <w:lang w:val="en-GB"/>
        </w:rPr>
        <w:t xml:space="preserve"> 10% w/v, 12.5 mL of 0.1 M borate buffer, 0.5 mL of 2-mercapto-ethansulfonic acid solution (200g/L), 1.25 mL of Triton X-100 (100 g/L), </w:t>
      </w:r>
      <w:r w:rsidR="00717756">
        <w:rPr>
          <w:lang w:val="en-GB"/>
        </w:rPr>
        <w:t xml:space="preserve">and </w:t>
      </w:r>
      <w:r w:rsidR="00717756" w:rsidRPr="001B02FF">
        <w:rPr>
          <w:lang w:val="en-GB"/>
        </w:rPr>
        <w:t>7.75 mL of water. Samples (8 µL) and standards were added to a 96-well plate, followed by 232 µL of the OPA working solution. After incubation at 30</w:t>
      </w:r>
      <w:r w:rsidR="00717756">
        <w:rPr>
          <w:lang w:val="en-GB"/>
        </w:rPr>
        <w:t xml:space="preserve"> </w:t>
      </w:r>
      <w:r w:rsidR="00717756" w:rsidRPr="001B02FF">
        <w:rPr>
          <w:lang w:val="en-GB"/>
        </w:rPr>
        <w:t>°C for 10 min in the dark, absorb</w:t>
      </w:r>
      <w:r w:rsidR="0016110C">
        <w:rPr>
          <w:lang w:val="en-GB"/>
        </w:rPr>
        <w:t xml:space="preserve">ance was measured at 335 nm by </w:t>
      </w:r>
      <w:r w:rsidR="00717756" w:rsidRPr="001B02FF">
        <w:rPr>
          <w:lang w:val="en-GB"/>
        </w:rPr>
        <w:t>a microplate reader (Tecan Infinite® M Nano+). Results were expressed as mmol of primary amine L</w:t>
      </w:r>
      <w:r w:rsidR="00717756" w:rsidRPr="002B7367">
        <w:rPr>
          <w:vertAlign w:val="superscript"/>
          <w:lang w:val="en-GB"/>
        </w:rPr>
        <w:t>-1</w:t>
      </w:r>
      <w:r w:rsidR="00717756" w:rsidRPr="001B02FF">
        <w:rPr>
          <w:lang w:val="en-GB"/>
        </w:rPr>
        <w:t xml:space="preserve"> determined through</w:t>
      </w:r>
      <w:r w:rsidR="0016110C">
        <w:rPr>
          <w:lang w:val="en-GB"/>
        </w:rPr>
        <w:t xml:space="preserve"> a calibration curve</w:t>
      </w:r>
      <w:r w:rsidR="00717756" w:rsidRPr="001B02FF">
        <w:rPr>
          <w:lang w:val="en-GB"/>
        </w:rPr>
        <w:t xml:space="preserve"> by using L-glutamic acid in 0.5 M perchloric acid as a standard.</w:t>
      </w:r>
    </w:p>
    <w:p w14:paraId="1ACDBC98" w14:textId="77777777" w:rsidR="00717756" w:rsidRPr="00EE5558" w:rsidRDefault="00717756" w:rsidP="00A845D1">
      <w:pPr>
        <w:pStyle w:val="CETBodytext"/>
      </w:pPr>
    </w:p>
    <w:p w14:paraId="305F2B6E" w14:textId="349CC306" w:rsidR="00E22073" w:rsidRPr="006848F7" w:rsidRDefault="00E22073" w:rsidP="00596329">
      <w:pPr>
        <w:pStyle w:val="CET-table-title"/>
        <w:spacing w:before="0"/>
        <w:rPr>
          <w:highlight w:val="yellow"/>
          <w:lang w:val="en-GB"/>
        </w:rPr>
      </w:pPr>
      <w:r w:rsidRPr="006848F7">
        <w:rPr>
          <w:highlight w:val="yellow"/>
          <w:lang w:val="en-GB"/>
        </w:rPr>
        <w:t xml:space="preserve">Table 1:  </w:t>
      </w:r>
      <w:r w:rsidR="004314C7" w:rsidRPr="006848F7">
        <w:rPr>
          <w:highlight w:val="yellow"/>
          <w:lang w:val="en-GB"/>
        </w:rPr>
        <w:t>Process conditions for each extraction experiment (A – autogenic pressure</w:t>
      </w:r>
      <w:r w:rsidR="003B1805">
        <w:rPr>
          <w:highlight w:val="yellow"/>
          <w:lang w:val="en-GB"/>
        </w:rPr>
        <w:t>;</w:t>
      </w:r>
      <w:r w:rsidR="004314C7" w:rsidRPr="006848F7">
        <w:rPr>
          <w:highlight w:val="yellow"/>
          <w:lang w:val="en-GB"/>
        </w:rPr>
        <w:t xml:space="preserve"> </w:t>
      </w:r>
      <w:r w:rsidR="004314C7" w:rsidRPr="006848F7">
        <w:rPr>
          <w:rFonts w:cs="Arial"/>
          <w:szCs w:val="18"/>
          <w:highlight w:val="yellow"/>
          <w:lang w:val="en-GB"/>
        </w:rPr>
        <w:t>n.a.</w:t>
      </w:r>
      <w:r w:rsidR="004314C7" w:rsidRPr="006848F7">
        <w:rPr>
          <w:highlight w:val="yellow"/>
          <w:lang w:val="en-GB"/>
        </w:rPr>
        <w:t xml:space="preserve"> – not available)</w:t>
      </w:r>
      <w:r w:rsidRPr="006848F7">
        <w:rPr>
          <w:highlight w:val="yellow"/>
          <w:lang w:val="en-GB"/>
        </w:rPr>
        <w:t>.</w:t>
      </w:r>
    </w:p>
    <w:tbl>
      <w:tblPr>
        <w:tblW w:w="8363" w:type="dxa"/>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1418"/>
        <w:gridCol w:w="1134"/>
        <w:gridCol w:w="567"/>
        <w:gridCol w:w="850"/>
        <w:gridCol w:w="1418"/>
        <w:gridCol w:w="850"/>
        <w:gridCol w:w="709"/>
        <w:gridCol w:w="1417"/>
      </w:tblGrid>
      <w:tr w:rsidR="004314C7" w:rsidRPr="006848F7" w14:paraId="0DCE7EF1" w14:textId="77777777" w:rsidTr="00927867">
        <w:tc>
          <w:tcPr>
            <w:tcW w:w="1418" w:type="dxa"/>
            <w:tcBorders>
              <w:top w:val="single" w:sz="12" w:space="0" w:color="008000"/>
              <w:bottom w:val="single" w:sz="6" w:space="0" w:color="008000"/>
            </w:tcBorders>
            <w:shd w:val="clear" w:color="auto" w:fill="FFFFFF"/>
          </w:tcPr>
          <w:p w14:paraId="4E11D721" w14:textId="5D7EC000" w:rsidR="004314C7" w:rsidRPr="006848F7" w:rsidRDefault="004314C7" w:rsidP="00C76DD4">
            <w:pPr>
              <w:pStyle w:val="CETBodytext"/>
              <w:rPr>
                <w:highlight w:val="yellow"/>
                <w:lang w:val="en-GB"/>
              </w:rPr>
            </w:pPr>
            <w:r w:rsidRPr="006848F7">
              <w:rPr>
                <w:highlight w:val="yellow"/>
                <w:lang w:val="en-GB"/>
              </w:rPr>
              <w:t>Solvent</w:t>
            </w:r>
          </w:p>
        </w:tc>
        <w:tc>
          <w:tcPr>
            <w:tcW w:w="1134" w:type="dxa"/>
            <w:tcBorders>
              <w:top w:val="single" w:sz="12" w:space="0" w:color="008000"/>
              <w:bottom w:val="single" w:sz="6" w:space="0" w:color="008000"/>
            </w:tcBorders>
            <w:shd w:val="clear" w:color="auto" w:fill="FFFFFF"/>
          </w:tcPr>
          <w:p w14:paraId="647653DA" w14:textId="15233AB2" w:rsidR="004314C7" w:rsidRPr="006848F7" w:rsidRDefault="004314C7" w:rsidP="00C76DD4">
            <w:pPr>
              <w:pStyle w:val="CETBodytext"/>
              <w:ind w:right="-1"/>
              <w:jc w:val="center"/>
              <w:rPr>
                <w:rFonts w:cs="Arial"/>
                <w:szCs w:val="18"/>
                <w:highlight w:val="yellow"/>
                <w:lang w:val="en-GB"/>
              </w:rPr>
            </w:pPr>
            <w:r w:rsidRPr="006848F7">
              <w:rPr>
                <w:rFonts w:cs="Arial"/>
                <w:szCs w:val="18"/>
                <w:highlight w:val="yellow"/>
                <w:lang w:val="en-GB"/>
              </w:rPr>
              <w:t>Process type</w:t>
            </w:r>
          </w:p>
        </w:tc>
        <w:tc>
          <w:tcPr>
            <w:tcW w:w="567" w:type="dxa"/>
            <w:tcBorders>
              <w:top w:val="single" w:sz="12" w:space="0" w:color="008000"/>
              <w:bottom w:val="single" w:sz="6" w:space="0" w:color="008000"/>
            </w:tcBorders>
            <w:shd w:val="clear" w:color="auto" w:fill="FFFFFF"/>
            <w:vAlign w:val="center"/>
          </w:tcPr>
          <w:p w14:paraId="1D76E15C" w14:textId="1C8D410E" w:rsidR="004314C7" w:rsidRPr="006848F7" w:rsidRDefault="004314C7" w:rsidP="00C76DD4">
            <w:pPr>
              <w:pStyle w:val="CETBodytext"/>
              <w:ind w:right="-1"/>
              <w:jc w:val="center"/>
              <w:rPr>
                <w:rFonts w:cs="Arial"/>
                <w:szCs w:val="18"/>
                <w:highlight w:val="yellow"/>
                <w:lang w:val="en-GB"/>
              </w:rPr>
            </w:pPr>
            <w:r w:rsidRPr="006848F7">
              <w:rPr>
                <w:rFonts w:cs="Arial"/>
                <w:szCs w:val="18"/>
                <w:highlight w:val="yellow"/>
                <w:lang w:val="en-GB"/>
              </w:rPr>
              <w:t>T (°C)</w:t>
            </w:r>
          </w:p>
        </w:tc>
        <w:tc>
          <w:tcPr>
            <w:tcW w:w="850" w:type="dxa"/>
            <w:tcBorders>
              <w:top w:val="single" w:sz="12" w:space="0" w:color="008000"/>
              <w:bottom w:val="single" w:sz="6" w:space="0" w:color="008000"/>
            </w:tcBorders>
            <w:shd w:val="clear" w:color="auto" w:fill="FFFFFF"/>
            <w:vAlign w:val="center"/>
          </w:tcPr>
          <w:p w14:paraId="74B04E20" w14:textId="44F194DC" w:rsidR="004314C7" w:rsidRPr="006848F7" w:rsidRDefault="004314C7" w:rsidP="00C76DD4">
            <w:pPr>
              <w:pStyle w:val="CETBodytext"/>
              <w:ind w:right="-1"/>
              <w:jc w:val="center"/>
              <w:rPr>
                <w:rFonts w:cs="Arial"/>
                <w:szCs w:val="18"/>
                <w:highlight w:val="yellow"/>
                <w:lang w:val="en-GB"/>
              </w:rPr>
            </w:pPr>
            <w:r w:rsidRPr="006848F7">
              <w:rPr>
                <w:rFonts w:cs="Arial"/>
                <w:szCs w:val="18"/>
                <w:highlight w:val="yellow"/>
                <w:lang w:val="en-GB"/>
              </w:rPr>
              <w:t>p (</w:t>
            </w:r>
            <w:r w:rsidR="00B83832" w:rsidRPr="006848F7">
              <w:rPr>
                <w:rFonts w:cs="Arial"/>
                <w:szCs w:val="18"/>
                <w:highlight w:val="yellow"/>
                <w:lang w:val="en-GB"/>
              </w:rPr>
              <w:t>bar</w:t>
            </w:r>
            <w:r w:rsidRPr="006848F7">
              <w:rPr>
                <w:rFonts w:cs="Arial"/>
                <w:szCs w:val="18"/>
                <w:highlight w:val="yellow"/>
                <w:lang w:val="en-GB"/>
              </w:rPr>
              <w:t>)</w:t>
            </w:r>
          </w:p>
        </w:tc>
        <w:tc>
          <w:tcPr>
            <w:tcW w:w="1418" w:type="dxa"/>
            <w:tcBorders>
              <w:top w:val="single" w:sz="12" w:space="0" w:color="008000"/>
              <w:bottom w:val="single" w:sz="6" w:space="0" w:color="008000"/>
            </w:tcBorders>
            <w:shd w:val="clear" w:color="auto" w:fill="FFFFFF"/>
          </w:tcPr>
          <w:p w14:paraId="04BB3114" w14:textId="2F963A16" w:rsidR="004314C7" w:rsidRPr="006848F7" w:rsidRDefault="004314C7" w:rsidP="00C76DD4">
            <w:pPr>
              <w:pStyle w:val="CETBodytext"/>
              <w:ind w:right="-1"/>
              <w:jc w:val="center"/>
              <w:rPr>
                <w:rFonts w:cs="Arial"/>
                <w:szCs w:val="18"/>
                <w:highlight w:val="yellow"/>
                <w:lang w:val="en-GB"/>
              </w:rPr>
            </w:pPr>
            <w:r w:rsidRPr="006848F7">
              <w:rPr>
                <w:rFonts w:cs="Arial"/>
                <w:szCs w:val="18"/>
                <w:highlight w:val="yellow"/>
                <w:lang w:val="en-GB"/>
              </w:rPr>
              <w:t>Flow rate (g/min)</w:t>
            </w:r>
          </w:p>
        </w:tc>
        <w:tc>
          <w:tcPr>
            <w:tcW w:w="850" w:type="dxa"/>
            <w:tcBorders>
              <w:top w:val="single" w:sz="12" w:space="0" w:color="008000"/>
              <w:bottom w:val="single" w:sz="6" w:space="0" w:color="008000"/>
            </w:tcBorders>
            <w:shd w:val="clear" w:color="auto" w:fill="FFFFFF"/>
          </w:tcPr>
          <w:p w14:paraId="6D1D3E74" w14:textId="3E20645A" w:rsidR="004314C7" w:rsidRPr="006848F7" w:rsidRDefault="004314C7" w:rsidP="00C76DD4">
            <w:pPr>
              <w:pStyle w:val="CETBodytext"/>
              <w:ind w:right="-1"/>
              <w:jc w:val="center"/>
              <w:rPr>
                <w:rFonts w:cs="Arial"/>
                <w:szCs w:val="18"/>
                <w:highlight w:val="yellow"/>
                <w:lang w:val="en-GB"/>
              </w:rPr>
            </w:pPr>
            <w:r w:rsidRPr="006848F7">
              <w:rPr>
                <w:rFonts w:cs="Arial"/>
                <w:szCs w:val="18"/>
                <w:highlight w:val="yellow"/>
                <w:lang w:val="en-GB"/>
              </w:rPr>
              <w:t>t (min)</w:t>
            </w:r>
          </w:p>
        </w:tc>
        <w:tc>
          <w:tcPr>
            <w:tcW w:w="709" w:type="dxa"/>
            <w:tcBorders>
              <w:top w:val="single" w:sz="12" w:space="0" w:color="008000"/>
              <w:bottom w:val="single" w:sz="6" w:space="0" w:color="008000"/>
            </w:tcBorders>
            <w:shd w:val="clear" w:color="auto" w:fill="FFFFFF"/>
          </w:tcPr>
          <w:p w14:paraId="1858DD64" w14:textId="268D1AF4" w:rsidR="004314C7" w:rsidRPr="006848F7" w:rsidRDefault="004314C7" w:rsidP="00C76DD4">
            <w:pPr>
              <w:pStyle w:val="CETBodytext"/>
              <w:ind w:right="-1"/>
              <w:jc w:val="center"/>
              <w:rPr>
                <w:rFonts w:cs="Arial"/>
                <w:szCs w:val="18"/>
                <w:highlight w:val="yellow"/>
                <w:lang w:val="en-GB"/>
              </w:rPr>
            </w:pPr>
            <w:proofErr w:type="spellStart"/>
            <w:r w:rsidRPr="006848F7">
              <w:rPr>
                <w:rFonts w:cs="Arial"/>
                <w:szCs w:val="18"/>
                <w:highlight w:val="yellow"/>
                <w:lang w:val="en-GB"/>
              </w:rPr>
              <w:t>V</w:t>
            </w:r>
            <w:r w:rsidR="005D6E9D" w:rsidRPr="006848F7">
              <w:rPr>
                <w:rFonts w:cs="Arial"/>
                <w:szCs w:val="18"/>
                <w:highlight w:val="yellow"/>
                <w:vertAlign w:val="subscript"/>
                <w:lang w:val="en-GB"/>
              </w:rPr>
              <w:t>extr</w:t>
            </w:r>
            <w:proofErr w:type="spellEnd"/>
            <w:r w:rsidR="005D6E9D" w:rsidRPr="006848F7">
              <w:rPr>
                <w:rFonts w:cs="Arial"/>
                <w:szCs w:val="18"/>
                <w:highlight w:val="yellow"/>
                <w:lang w:val="en-GB"/>
              </w:rPr>
              <w:t>.</w:t>
            </w:r>
            <w:r w:rsidR="00927867" w:rsidRPr="006848F7">
              <w:rPr>
                <w:rFonts w:cs="Arial"/>
                <w:szCs w:val="18"/>
                <w:highlight w:val="yellow"/>
                <w:lang w:val="en-GB"/>
              </w:rPr>
              <w:t xml:space="preserve"> (mL)</w:t>
            </w:r>
          </w:p>
        </w:tc>
        <w:tc>
          <w:tcPr>
            <w:tcW w:w="1417" w:type="dxa"/>
            <w:tcBorders>
              <w:top w:val="single" w:sz="12" w:space="0" w:color="008000"/>
              <w:bottom w:val="single" w:sz="6" w:space="0" w:color="008000"/>
            </w:tcBorders>
            <w:shd w:val="clear" w:color="auto" w:fill="FFFFFF"/>
            <w:vAlign w:val="center"/>
          </w:tcPr>
          <w:p w14:paraId="2AB21B4F" w14:textId="2F317B6D" w:rsidR="004314C7" w:rsidRPr="006848F7" w:rsidRDefault="004314C7" w:rsidP="00C76DD4">
            <w:pPr>
              <w:pStyle w:val="CETBodytext"/>
              <w:ind w:right="-1"/>
              <w:jc w:val="center"/>
              <w:rPr>
                <w:rFonts w:cs="Arial"/>
                <w:szCs w:val="18"/>
                <w:highlight w:val="yellow"/>
                <w:lang w:val="en-GB"/>
              </w:rPr>
            </w:pPr>
            <w:r w:rsidRPr="006848F7">
              <w:rPr>
                <w:rFonts w:cs="Arial"/>
                <w:szCs w:val="18"/>
                <w:highlight w:val="yellow"/>
                <w:lang w:val="en-GB"/>
              </w:rPr>
              <w:t>Code</w:t>
            </w:r>
          </w:p>
        </w:tc>
      </w:tr>
      <w:tr w:rsidR="004314C7" w:rsidRPr="006848F7" w14:paraId="41CB4896" w14:textId="77777777" w:rsidTr="00927867">
        <w:tc>
          <w:tcPr>
            <w:tcW w:w="1418" w:type="dxa"/>
            <w:shd w:val="clear" w:color="auto" w:fill="FFFFFF"/>
          </w:tcPr>
          <w:p w14:paraId="45E8A3D7" w14:textId="5352EB35" w:rsidR="004314C7" w:rsidRPr="006848F7" w:rsidRDefault="004314C7" w:rsidP="00C76DD4">
            <w:pPr>
              <w:pStyle w:val="CETBodytext"/>
              <w:rPr>
                <w:highlight w:val="yellow"/>
                <w:lang w:val="en-GB"/>
              </w:rPr>
            </w:pPr>
            <w:bookmarkStart w:id="3" w:name="_Hlk189478000"/>
            <w:r w:rsidRPr="006848F7">
              <w:rPr>
                <w:highlight w:val="yellow"/>
                <w:lang w:val="en-GB"/>
              </w:rPr>
              <w:t>Supercritical CO</w:t>
            </w:r>
            <w:r w:rsidRPr="006848F7">
              <w:rPr>
                <w:highlight w:val="yellow"/>
                <w:vertAlign w:val="subscript"/>
                <w:lang w:val="en-GB"/>
              </w:rPr>
              <w:t>2</w:t>
            </w:r>
            <w:r w:rsidRPr="006848F7">
              <w:rPr>
                <w:highlight w:val="yellow"/>
                <w:lang w:val="en-GB"/>
              </w:rPr>
              <w:t xml:space="preserve"> </w:t>
            </w:r>
          </w:p>
        </w:tc>
        <w:tc>
          <w:tcPr>
            <w:tcW w:w="1134" w:type="dxa"/>
            <w:shd w:val="clear" w:color="auto" w:fill="FFFFFF"/>
          </w:tcPr>
          <w:p w14:paraId="67E50B86" w14:textId="0ACA5DC8" w:rsidR="004314C7" w:rsidRPr="006848F7" w:rsidRDefault="004314C7" w:rsidP="00C76DD4">
            <w:pPr>
              <w:pStyle w:val="CETBodytext"/>
              <w:ind w:right="-1"/>
              <w:jc w:val="center"/>
              <w:rPr>
                <w:rFonts w:cs="Arial"/>
                <w:szCs w:val="18"/>
                <w:highlight w:val="yellow"/>
                <w:lang w:val="en-GB"/>
              </w:rPr>
            </w:pPr>
            <w:r w:rsidRPr="006848F7">
              <w:rPr>
                <w:rFonts w:cs="Arial"/>
                <w:szCs w:val="18"/>
                <w:highlight w:val="yellow"/>
                <w:lang w:val="en-GB"/>
              </w:rPr>
              <w:t>Continuous</w:t>
            </w:r>
          </w:p>
        </w:tc>
        <w:tc>
          <w:tcPr>
            <w:tcW w:w="567" w:type="dxa"/>
            <w:shd w:val="clear" w:color="auto" w:fill="FFFFFF"/>
            <w:vAlign w:val="center"/>
          </w:tcPr>
          <w:p w14:paraId="08E2431B" w14:textId="2E4A9A4C" w:rsidR="004314C7" w:rsidRPr="006848F7" w:rsidRDefault="004314C7" w:rsidP="00C76DD4">
            <w:pPr>
              <w:pStyle w:val="CETBodytext"/>
              <w:ind w:right="-1"/>
              <w:jc w:val="center"/>
              <w:rPr>
                <w:rFonts w:cs="Arial"/>
                <w:szCs w:val="18"/>
                <w:highlight w:val="yellow"/>
                <w:lang w:val="en-GB"/>
              </w:rPr>
            </w:pPr>
            <w:r w:rsidRPr="006848F7">
              <w:rPr>
                <w:rFonts w:cs="Arial"/>
                <w:szCs w:val="18"/>
                <w:highlight w:val="yellow"/>
                <w:lang w:val="en-GB"/>
              </w:rPr>
              <w:t>60</w:t>
            </w:r>
          </w:p>
        </w:tc>
        <w:tc>
          <w:tcPr>
            <w:tcW w:w="850" w:type="dxa"/>
            <w:shd w:val="clear" w:color="auto" w:fill="FFFFFF"/>
            <w:vAlign w:val="center"/>
          </w:tcPr>
          <w:p w14:paraId="6B3507AC" w14:textId="312A4B9A" w:rsidR="004314C7" w:rsidRPr="006848F7" w:rsidRDefault="004314C7" w:rsidP="00C76DD4">
            <w:pPr>
              <w:pStyle w:val="CETBodytext"/>
              <w:ind w:right="-1"/>
              <w:jc w:val="center"/>
              <w:rPr>
                <w:rFonts w:cs="Arial"/>
                <w:szCs w:val="18"/>
                <w:highlight w:val="yellow"/>
                <w:lang w:val="en-GB"/>
              </w:rPr>
            </w:pPr>
            <w:r w:rsidRPr="006848F7">
              <w:rPr>
                <w:rFonts w:cs="Arial"/>
                <w:szCs w:val="18"/>
                <w:highlight w:val="yellow"/>
                <w:lang w:val="en-GB"/>
              </w:rPr>
              <w:t>380</w:t>
            </w:r>
          </w:p>
        </w:tc>
        <w:tc>
          <w:tcPr>
            <w:tcW w:w="1418" w:type="dxa"/>
            <w:shd w:val="clear" w:color="auto" w:fill="FFFFFF"/>
          </w:tcPr>
          <w:p w14:paraId="3B41C6C9" w14:textId="557E64E6" w:rsidR="004314C7" w:rsidRPr="006848F7" w:rsidRDefault="004314C7" w:rsidP="00C76DD4">
            <w:pPr>
              <w:pStyle w:val="CETBodytext"/>
              <w:ind w:right="-1"/>
              <w:jc w:val="center"/>
              <w:rPr>
                <w:rFonts w:cs="Arial"/>
                <w:szCs w:val="18"/>
                <w:highlight w:val="yellow"/>
                <w:lang w:val="en-GB"/>
              </w:rPr>
            </w:pPr>
            <w:r w:rsidRPr="006848F7">
              <w:rPr>
                <w:rFonts w:cs="Arial"/>
                <w:szCs w:val="18"/>
                <w:highlight w:val="yellow"/>
                <w:lang w:val="en-GB"/>
              </w:rPr>
              <w:t>22.2</w:t>
            </w:r>
          </w:p>
        </w:tc>
        <w:tc>
          <w:tcPr>
            <w:tcW w:w="850" w:type="dxa"/>
            <w:shd w:val="clear" w:color="auto" w:fill="FFFFFF"/>
          </w:tcPr>
          <w:p w14:paraId="77694364" w14:textId="2AA1F0F8" w:rsidR="004314C7" w:rsidRPr="006848F7" w:rsidRDefault="004314C7" w:rsidP="00C76DD4">
            <w:pPr>
              <w:pStyle w:val="CETBodytext"/>
              <w:ind w:right="-1"/>
              <w:jc w:val="center"/>
              <w:rPr>
                <w:rFonts w:cs="Arial"/>
                <w:szCs w:val="18"/>
                <w:highlight w:val="yellow"/>
                <w:lang w:val="en-GB"/>
              </w:rPr>
            </w:pPr>
            <w:r w:rsidRPr="006848F7">
              <w:rPr>
                <w:rFonts w:cs="Arial"/>
                <w:szCs w:val="18"/>
                <w:highlight w:val="yellow"/>
                <w:lang w:val="en-GB"/>
              </w:rPr>
              <w:t>30</w:t>
            </w:r>
          </w:p>
        </w:tc>
        <w:tc>
          <w:tcPr>
            <w:tcW w:w="709" w:type="dxa"/>
            <w:shd w:val="clear" w:color="auto" w:fill="FFFFFF"/>
          </w:tcPr>
          <w:p w14:paraId="2D8A1858" w14:textId="1A70CF75" w:rsidR="004314C7" w:rsidRPr="006848F7" w:rsidRDefault="00927867" w:rsidP="00C76DD4">
            <w:pPr>
              <w:pStyle w:val="CETBodytext"/>
              <w:ind w:right="-1"/>
              <w:jc w:val="center"/>
              <w:rPr>
                <w:rFonts w:cs="Arial"/>
                <w:szCs w:val="18"/>
                <w:highlight w:val="yellow"/>
                <w:lang w:val="en-GB"/>
              </w:rPr>
            </w:pPr>
            <w:r w:rsidRPr="006848F7">
              <w:rPr>
                <w:rFonts w:cs="Arial"/>
                <w:szCs w:val="18"/>
                <w:highlight w:val="yellow"/>
                <w:lang w:val="en-GB"/>
              </w:rPr>
              <w:t>200</w:t>
            </w:r>
          </w:p>
        </w:tc>
        <w:tc>
          <w:tcPr>
            <w:tcW w:w="1417" w:type="dxa"/>
            <w:shd w:val="clear" w:color="auto" w:fill="FFFFFF"/>
            <w:vAlign w:val="center"/>
          </w:tcPr>
          <w:p w14:paraId="6C743968" w14:textId="5E4FE819" w:rsidR="004314C7" w:rsidRPr="006848F7" w:rsidRDefault="004314C7" w:rsidP="00C76DD4">
            <w:pPr>
              <w:pStyle w:val="CETBodytext"/>
              <w:ind w:right="-1"/>
              <w:jc w:val="center"/>
              <w:rPr>
                <w:rFonts w:cs="Arial"/>
                <w:szCs w:val="18"/>
                <w:highlight w:val="yellow"/>
                <w:lang w:val="en-GB"/>
              </w:rPr>
            </w:pPr>
            <w:r w:rsidRPr="006848F7">
              <w:rPr>
                <w:rFonts w:cs="Arial"/>
                <w:szCs w:val="18"/>
                <w:highlight w:val="yellow"/>
                <w:lang w:val="en-GB"/>
              </w:rPr>
              <w:t>SCO2E-p380T60</w:t>
            </w:r>
          </w:p>
        </w:tc>
      </w:tr>
      <w:tr w:rsidR="004314C7" w:rsidRPr="006848F7" w14:paraId="7EC1EAA9" w14:textId="77777777" w:rsidTr="00927867">
        <w:tc>
          <w:tcPr>
            <w:tcW w:w="1418" w:type="dxa"/>
            <w:shd w:val="clear" w:color="auto" w:fill="FFFFFF"/>
          </w:tcPr>
          <w:p w14:paraId="2EAC7B6F" w14:textId="60953FD8" w:rsidR="004314C7" w:rsidRPr="006848F7" w:rsidRDefault="004314C7" w:rsidP="004314C7">
            <w:pPr>
              <w:pStyle w:val="CETBodytext"/>
              <w:ind w:right="-1"/>
              <w:rPr>
                <w:rFonts w:cs="Arial"/>
                <w:szCs w:val="18"/>
                <w:highlight w:val="yellow"/>
                <w:lang w:val="en-GB"/>
              </w:rPr>
            </w:pPr>
            <w:r w:rsidRPr="006848F7">
              <w:rPr>
                <w:highlight w:val="yellow"/>
                <w:lang w:val="en-GB"/>
              </w:rPr>
              <w:t>Supercritical CO</w:t>
            </w:r>
            <w:r w:rsidRPr="006848F7">
              <w:rPr>
                <w:highlight w:val="yellow"/>
                <w:vertAlign w:val="subscript"/>
                <w:lang w:val="en-GB"/>
              </w:rPr>
              <w:t>2</w:t>
            </w:r>
            <w:r w:rsidRPr="006848F7">
              <w:rPr>
                <w:highlight w:val="yellow"/>
                <w:lang w:val="en-GB"/>
              </w:rPr>
              <w:t xml:space="preserve"> </w:t>
            </w:r>
          </w:p>
        </w:tc>
        <w:tc>
          <w:tcPr>
            <w:tcW w:w="1134" w:type="dxa"/>
            <w:shd w:val="clear" w:color="auto" w:fill="FFFFFF"/>
          </w:tcPr>
          <w:p w14:paraId="3B9C0AC3" w14:textId="58BF37EE" w:rsidR="004314C7" w:rsidRPr="006848F7" w:rsidRDefault="004314C7" w:rsidP="004314C7">
            <w:pPr>
              <w:pStyle w:val="CETBodytext"/>
              <w:ind w:right="-1"/>
              <w:jc w:val="center"/>
              <w:rPr>
                <w:rFonts w:cs="Arial"/>
                <w:szCs w:val="18"/>
                <w:highlight w:val="yellow"/>
                <w:lang w:val="en-GB"/>
              </w:rPr>
            </w:pPr>
            <w:r w:rsidRPr="006848F7">
              <w:rPr>
                <w:rFonts w:cs="Arial"/>
                <w:szCs w:val="18"/>
                <w:highlight w:val="yellow"/>
                <w:lang w:val="en-GB"/>
              </w:rPr>
              <w:t>Continuous</w:t>
            </w:r>
          </w:p>
        </w:tc>
        <w:tc>
          <w:tcPr>
            <w:tcW w:w="567" w:type="dxa"/>
            <w:shd w:val="clear" w:color="auto" w:fill="FFFFFF"/>
            <w:vAlign w:val="center"/>
          </w:tcPr>
          <w:p w14:paraId="2A081C1B" w14:textId="5A1366DA" w:rsidR="004314C7" w:rsidRPr="006848F7" w:rsidRDefault="004314C7" w:rsidP="004314C7">
            <w:pPr>
              <w:pStyle w:val="CETBodytext"/>
              <w:ind w:right="-1"/>
              <w:jc w:val="center"/>
              <w:rPr>
                <w:rFonts w:cs="Arial"/>
                <w:szCs w:val="18"/>
                <w:highlight w:val="yellow"/>
                <w:lang w:val="en-GB"/>
              </w:rPr>
            </w:pPr>
            <w:r w:rsidRPr="006848F7">
              <w:rPr>
                <w:rFonts w:cs="Arial"/>
                <w:szCs w:val="18"/>
                <w:highlight w:val="yellow"/>
                <w:lang w:val="en-GB"/>
              </w:rPr>
              <w:t>70</w:t>
            </w:r>
          </w:p>
        </w:tc>
        <w:tc>
          <w:tcPr>
            <w:tcW w:w="850" w:type="dxa"/>
            <w:shd w:val="clear" w:color="auto" w:fill="FFFFFF"/>
            <w:vAlign w:val="center"/>
          </w:tcPr>
          <w:p w14:paraId="142AF5ED" w14:textId="3EA330D5" w:rsidR="004314C7" w:rsidRPr="006848F7" w:rsidRDefault="004314C7" w:rsidP="004314C7">
            <w:pPr>
              <w:pStyle w:val="CETBodytext"/>
              <w:ind w:right="-1"/>
              <w:jc w:val="center"/>
              <w:rPr>
                <w:rFonts w:cs="Arial"/>
                <w:szCs w:val="18"/>
                <w:highlight w:val="yellow"/>
                <w:lang w:val="en-GB"/>
              </w:rPr>
            </w:pPr>
            <w:r w:rsidRPr="006848F7">
              <w:rPr>
                <w:rFonts w:cs="Arial"/>
                <w:szCs w:val="18"/>
                <w:highlight w:val="yellow"/>
                <w:lang w:val="en-GB"/>
              </w:rPr>
              <w:t>380</w:t>
            </w:r>
          </w:p>
        </w:tc>
        <w:tc>
          <w:tcPr>
            <w:tcW w:w="1418" w:type="dxa"/>
            <w:shd w:val="clear" w:color="auto" w:fill="FFFFFF"/>
          </w:tcPr>
          <w:p w14:paraId="296F62FA" w14:textId="3D045C7D" w:rsidR="004314C7" w:rsidRPr="006848F7" w:rsidRDefault="004314C7" w:rsidP="004314C7">
            <w:pPr>
              <w:pStyle w:val="CETBodytext"/>
              <w:ind w:right="-1"/>
              <w:jc w:val="center"/>
              <w:rPr>
                <w:rFonts w:cs="Arial"/>
                <w:szCs w:val="18"/>
                <w:highlight w:val="yellow"/>
                <w:lang w:val="en-GB"/>
              </w:rPr>
            </w:pPr>
            <w:r w:rsidRPr="006848F7">
              <w:rPr>
                <w:rFonts w:cs="Arial"/>
                <w:szCs w:val="18"/>
                <w:highlight w:val="yellow"/>
                <w:lang w:val="en-GB"/>
              </w:rPr>
              <w:t>40.5</w:t>
            </w:r>
          </w:p>
        </w:tc>
        <w:tc>
          <w:tcPr>
            <w:tcW w:w="850" w:type="dxa"/>
            <w:shd w:val="clear" w:color="auto" w:fill="FFFFFF"/>
          </w:tcPr>
          <w:p w14:paraId="114634C7" w14:textId="2879ED8A" w:rsidR="004314C7" w:rsidRPr="006848F7" w:rsidRDefault="004314C7" w:rsidP="004314C7">
            <w:pPr>
              <w:pStyle w:val="CETBodytext"/>
              <w:ind w:right="-1"/>
              <w:jc w:val="center"/>
              <w:rPr>
                <w:rFonts w:cs="Arial"/>
                <w:szCs w:val="18"/>
                <w:highlight w:val="yellow"/>
                <w:lang w:val="en-GB"/>
              </w:rPr>
            </w:pPr>
            <w:r w:rsidRPr="006848F7">
              <w:rPr>
                <w:rFonts w:cs="Arial"/>
                <w:szCs w:val="18"/>
                <w:highlight w:val="yellow"/>
                <w:lang w:val="en-GB"/>
              </w:rPr>
              <w:t>40</w:t>
            </w:r>
          </w:p>
        </w:tc>
        <w:tc>
          <w:tcPr>
            <w:tcW w:w="709" w:type="dxa"/>
            <w:shd w:val="clear" w:color="auto" w:fill="FFFFFF"/>
          </w:tcPr>
          <w:p w14:paraId="6B9530F8" w14:textId="040F556F" w:rsidR="004314C7" w:rsidRPr="006848F7" w:rsidRDefault="00927867" w:rsidP="004314C7">
            <w:pPr>
              <w:pStyle w:val="CETBodytext"/>
              <w:ind w:right="-1"/>
              <w:jc w:val="center"/>
              <w:rPr>
                <w:rFonts w:cs="Arial"/>
                <w:szCs w:val="18"/>
                <w:highlight w:val="yellow"/>
                <w:lang w:val="en-GB"/>
              </w:rPr>
            </w:pPr>
            <w:r w:rsidRPr="006848F7">
              <w:rPr>
                <w:rFonts w:cs="Arial"/>
                <w:szCs w:val="18"/>
                <w:highlight w:val="yellow"/>
                <w:lang w:val="en-GB"/>
              </w:rPr>
              <w:t>200</w:t>
            </w:r>
          </w:p>
        </w:tc>
        <w:tc>
          <w:tcPr>
            <w:tcW w:w="1417" w:type="dxa"/>
            <w:shd w:val="clear" w:color="auto" w:fill="FFFFFF"/>
            <w:vAlign w:val="center"/>
          </w:tcPr>
          <w:p w14:paraId="4F294ED4" w14:textId="16FAA744" w:rsidR="004314C7" w:rsidRPr="006848F7" w:rsidRDefault="004314C7" w:rsidP="004314C7">
            <w:pPr>
              <w:pStyle w:val="CETBodytext"/>
              <w:ind w:right="-1"/>
              <w:jc w:val="center"/>
              <w:rPr>
                <w:rFonts w:cs="Arial"/>
                <w:szCs w:val="18"/>
                <w:highlight w:val="yellow"/>
                <w:lang w:val="en-GB"/>
              </w:rPr>
            </w:pPr>
            <w:r w:rsidRPr="006848F7">
              <w:rPr>
                <w:rFonts w:cs="Arial"/>
                <w:szCs w:val="18"/>
                <w:highlight w:val="yellow"/>
                <w:lang w:val="en-GB"/>
              </w:rPr>
              <w:t>SCO2E-p380T70</w:t>
            </w:r>
          </w:p>
        </w:tc>
      </w:tr>
      <w:bookmarkEnd w:id="3"/>
      <w:tr w:rsidR="004314C7" w:rsidRPr="006848F7" w14:paraId="2D24D6A5" w14:textId="77777777" w:rsidTr="00927867">
        <w:tc>
          <w:tcPr>
            <w:tcW w:w="1418" w:type="dxa"/>
            <w:shd w:val="clear" w:color="auto" w:fill="FFFFFF"/>
          </w:tcPr>
          <w:p w14:paraId="705458D1" w14:textId="69AEA96D" w:rsidR="004314C7" w:rsidRPr="006848F7" w:rsidRDefault="004314C7" w:rsidP="004314C7">
            <w:pPr>
              <w:pStyle w:val="CETBodytext"/>
              <w:ind w:right="-1"/>
              <w:rPr>
                <w:rFonts w:cs="Arial"/>
                <w:szCs w:val="18"/>
                <w:highlight w:val="yellow"/>
                <w:lang w:val="en-GB"/>
              </w:rPr>
            </w:pPr>
            <w:r w:rsidRPr="006848F7">
              <w:rPr>
                <w:highlight w:val="yellow"/>
                <w:lang w:val="en-GB"/>
              </w:rPr>
              <w:t>Supercritical CO</w:t>
            </w:r>
            <w:r w:rsidRPr="006848F7">
              <w:rPr>
                <w:highlight w:val="yellow"/>
                <w:vertAlign w:val="subscript"/>
                <w:lang w:val="en-GB"/>
              </w:rPr>
              <w:t>2</w:t>
            </w:r>
            <w:r w:rsidRPr="006848F7">
              <w:rPr>
                <w:highlight w:val="yellow"/>
                <w:lang w:val="en-GB"/>
              </w:rPr>
              <w:t xml:space="preserve"> </w:t>
            </w:r>
          </w:p>
        </w:tc>
        <w:tc>
          <w:tcPr>
            <w:tcW w:w="1134" w:type="dxa"/>
            <w:shd w:val="clear" w:color="auto" w:fill="FFFFFF"/>
          </w:tcPr>
          <w:p w14:paraId="2FFE3D81" w14:textId="6CA6A0B9" w:rsidR="004314C7" w:rsidRPr="006848F7" w:rsidRDefault="004314C7" w:rsidP="004314C7">
            <w:pPr>
              <w:pStyle w:val="CETBodytext"/>
              <w:ind w:right="-1"/>
              <w:jc w:val="center"/>
              <w:rPr>
                <w:rFonts w:cs="Arial"/>
                <w:szCs w:val="18"/>
                <w:highlight w:val="yellow"/>
                <w:lang w:val="en-GB"/>
              </w:rPr>
            </w:pPr>
            <w:r w:rsidRPr="006848F7">
              <w:rPr>
                <w:rFonts w:cs="Arial"/>
                <w:szCs w:val="18"/>
                <w:highlight w:val="yellow"/>
                <w:lang w:val="en-GB"/>
              </w:rPr>
              <w:t>Continuous</w:t>
            </w:r>
          </w:p>
        </w:tc>
        <w:tc>
          <w:tcPr>
            <w:tcW w:w="567" w:type="dxa"/>
            <w:shd w:val="clear" w:color="auto" w:fill="FFFFFF"/>
            <w:vAlign w:val="center"/>
          </w:tcPr>
          <w:p w14:paraId="6EE03AD7" w14:textId="1088E75C" w:rsidR="004314C7" w:rsidRPr="006848F7" w:rsidRDefault="004314C7" w:rsidP="004314C7">
            <w:pPr>
              <w:pStyle w:val="CETBodytext"/>
              <w:ind w:right="-1"/>
              <w:jc w:val="center"/>
              <w:rPr>
                <w:rFonts w:cs="Arial"/>
                <w:szCs w:val="18"/>
                <w:highlight w:val="yellow"/>
                <w:lang w:val="en-GB"/>
              </w:rPr>
            </w:pPr>
            <w:r w:rsidRPr="006848F7">
              <w:rPr>
                <w:rFonts w:cs="Arial"/>
                <w:szCs w:val="18"/>
                <w:highlight w:val="yellow"/>
                <w:lang w:val="en-GB"/>
              </w:rPr>
              <w:t>70</w:t>
            </w:r>
          </w:p>
        </w:tc>
        <w:tc>
          <w:tcPr>
            <w:tcW w:w="850" w:type="dxa"/>
            <w:shd w:val="clear" w:color="auto" w:fill="FFFFFF"/>
            <w:vAlign w:val="center"/>
          </w:tcPr>
          <w:p w14:paraId="2B3E401E" w14:textId="159525B6" w:rsidR="004314C7" w:rsidRPr="006848F7" w:rsidRDefault="004314C7" w:rsidP="004314C7">
            <w:pPr>
              <w:pStyle w:val="CETBodytext"/>
              <w:ind w:right="-1"/>
              <w:jc w:val="center"/>
              <w:rPr>
                <w:rFonts w:cs="Arial"/>
                <w:szCs w:val="18"/>
                <w:highlight w:val="yellow"/>
                <w:lang w:val="en-GB"/>
              </w:rPr>
            </w:pPr>
            <w:r w:rsidRPr="006848F7">
              <w:rPr>
                <w:rFonts w:cs="Arial"/>
                <w:szCs w:val="18"/>
                <w:highlight w:val="yellow"/>
                <w:lang w:val="en-GB"/>
              </w:rPr>
              <w:t>41</w:t>
            </w:r>
            <w:r w:rsidR="00B83832" w:rsidRPr="006848F7">
              <w:rPr>
                <w:rFonts w:cs="Arial"/>
                <w:szCs w:val="18"/>
                <w:highlight w:val="yellow"/>
                <w:lang w:val="en-GB"/>
              </w:rPr>
              <w:t>0</w:t>
            </w:r>
          </w:p>
        </w:tc>
        <w:tc>
          <w:tcPr>
            <w:tcW w:w="1418" w:type="dxa"/>
            <w:shd w:val="clear" w:color="auto" w:fill="FFFFFF"/>
          </w:tcPr>
          <w:p w14:paraId="52E50C0E" w14:textId="513FD2AE" w:rsidR="004314C7" w:rsidRPr="006848F7" w:rsidRDefault="004314C7" w:rsidP="004314C7">
            <w:pPr>
              <w:pStyle w:val="CETBodytext"/>
              <w:ind w:right="-1"/>
              <w:jc w:val="center"/>
              <w:rPr>
                <w:rFonts w:cs="Arial"/>
                <w:szCs w:val="18"/>
                <w:highlight w:val="yellow"/>
                <w:lang w:val="en-GB"/>
              </w:rPr>
            </w:pPr>
            <w:r w:rsidRPr="006848F7">
              <w:rPr>
                <w:rFonts w:cs="Arial"/>
                <w:szCs w:val="18"/>
                <w:highlight w:val="yellow"/>
                <w:lang w:val="en-GB"/>
              </w:rPr>
              <w:t>9.5</w:t>
            </w:r>
          </w:p>
        </w:tc>
        <w:tc>
          <w:tcPr>
            <w:tcW w:w="850" w:type="dxa"/>
            <w:shd w:val="clear" w:color="auto" w:fill="FFFFFF"/>
          </w:tcPr>
          <w:p w14:paraId="7D38F591" w14:textId="6485B812" w:rsidR="004314C7" w:rsidRPr="006848F7" w:rsidRDefault="004314C7" w:rsidP="004314C7">
            <w:pPr>
              <w:pStyle w:val="CETBodytext"/>
              <w:ind w:right="-1"/>
              <w:jc w:val="center"/>
              <w:rPr>
                <w:rFonts w:cs="Arial"/>
                <w:szCs w:val="18"/>
                <w:highlight w:val="yellow"/>
                <w:lang w:val="en-GB"/>
              </w:rPr>
            </w:pPr>
            <w:r w:rsidRPr="006848F7">
              <w:rPr>
                <w:rFonts w:cs="Arial"/>
                <w:szCs w:val="18"/>
                <w:highlight w:val="yellow"/>
                <w:lang w:val="en-GB"/>
              </w:rPr>
              <w:t>130</w:t>
            </w:r>
          </w:p>
        </w:tc>
        <w:tc>
          <w:tcPr>
            <w:tcW w:w="709" w:type="dxa"/>
            <w:shd w:val="clear" w:color="auto" w:fill="FFFFFF"/>
          </w:tcPr>
          <w:p w14:paraId="56493F05" w14:textId="3EC8AACA" w:rsidR="004314C7" w:rsidRPr="006848F7" w:rsidRDefault="00927867" w:rsidP="004314C7">
            <w:pPr>
              <w:pStyle w:val="CETBodytext"/>
              <w:ind w:right="-1"/>
              <w:jc w:val="center"/>
              <w:rPr>
                <w:rFonts w:cs="Arial"/>
                <w:szCs w:val="18"/>
                <w:highlight w:val="yellow"/>
                <w:lang w:val="en-GB"/>
              </w:rPr>
            </w:pPr>
            <w:r w:rsidRPr="006848F7">
              <w:rPr>
                <w:rFonts w:cs="Arial"/>
                <w:szCs w:val="18"/>
                <w:highlight w:val="yellow"/>
                <w:lang w:val="en-GB"/>
              </w:rPr>
              <w:t>200</w:t>
            </w:r>
          </w:p>
        </w:tc>
        <w:tc>
          <w:tcPr>
            <w:tcW w:w="1417" w:type="dxa"/>
            <w:shd w:val="clear" w:color="auto" w:fill="FFFFFF"/>
            <w:vAlign w:val="center"/>
          </w:tcPr>
          <w:p w14:paraId="0E2E9C0A" w14:textId="121E0E7A" w:rsidR="004314C7" w:rsidRPr="006848F7" w:rsidRDefault="004314C7" w:rsidP="004314C7">
            <w:pPr>
              <w:pStyle w:val="CETBodytext"/>
              <w:ind w:right="-1"/>
              <w:jc w:val="center"/>
              <w:rPr>
                <w:rFonts w:cs="Arial"/>
                <w:szCs w:val="18"/>
                <w:highlight w:val="yellow"/>
                <w:lang w:val="en-GB"/>
              </w:rPr>
            </w:pPr>
            <w:r w:rsidRPr="006848F7">
              <w:rPr>
                <w:rFonts w:cs="Arial"/>
                <w:szCs w:val="18"/>
                <w:highlight w:val="yellow"/>
                <w:lang w:val="en-GB"/>
              </w:rPr>
              <w:t>SCO2E-p41</w:t>
            </w:r>
            <w:r w:rsidR="00D207FB" w:rsidRPr="006848F7">
              <w:rPr>
                <w:rFonts w:cs="Arial"/>
                <w:szCs w:val="18"/>
                <w:highlight w:val="yellow"/>
                <w:lang w:val="en-GB"/>
              </w:rPr>
              <w:t>0</w:t>
            </w:r>
            <w:r w:rsidRPr="006848F7">
              <w:rPr>
                <w:rFonts w:cs="Arial"/>
                <w:szCs w:val="18"/>
                <w:highlight w:val="yellow"/>
                <w:lang w:val="en-GB"/>
              </w:rPr>
              <w:t>T70</w:t>
            </w:r>
          </w:p>
        </w:tc>
      </w:tr>
      <w:tr w:rsidR="004314C7" w:rsidRPr="006848F7" w14:paraId="31B51191" w14:textId="77777777" w:rsidTr="00927867">
        <w:tc>
          <w:tcPr>
            <w:tcW w:w="1418" w:type="dxa"/>
            <w:shd w:val="clear" w:color="auto" w:fill="FFFFFF"/>
          </w:tcPr>
          <w:p w14:paraId="21E1278E" w14:textId="656F4F40" w:rsidR="004314C7" w:rsidRPr="006848F7" w:rsidRDefault="004314C7" w:rsidP="004314C7">
            <w:pPr>
              <w:pStyle w:val="CETBodytext"/>
              <w:ind w:right="-1"/>
              <w:rPr>
                <w:rFonts w:cs="Arial"/>
                <w:szCs w:val="18"/>
                <w:highlight w:val="yellow"/>
                <w:lang w:val="en-GB"/>
              </w:rPr>
            </w:pPr>
            <w:r w:rsidRPr="006848F7">
              <w:rPr>
                <w:highlight w:val="yellow"/>
                <w:lang w:val="en-GB"/>
              </w:rPr>
              <w:t>Supercritical CO</w:t>
            </w:r>
            <w:r w:rsidRPr="006848F7">
              <w:rPr>
                <w:highlight w:val="yellow"/>
                <w:vertAlign w:val="subscript"/>
                <w:lang w:val="en-GB"/>
              </w:rPr>
              <w:t>2</w:t>
            </w:r>
            <w:r w:rsidRPr="006848F7">
              <w:rPr>
                <w:highlight w:val="yellow"/>
                <w:lang w:val="en-GB"/>
              </w:rPr>
              <w:t xml:space="preserve"> </w:t>
            </w:r>
          </w:p>
        </w:tc>
        <w:tc>
          <w:tcPr>
            <w:tcW w:w="1134" w:type="dxa"/>
            <w:shd w:val="clear" w:color="auto" w:fill="FFFFFF"/>
          </w:tcPr>
          <w:p w14:paraId="1EAD0496" w14:textId="7A4037CB" w:rsidR="004314C7" w:rsidRPr="006848F7" w:rsidRDefault="004314C7" w:rsidP="004314C7">
            <w:pPr>
              <w:pStyle w:val="CETBodytext"/>
              <w:ind w:right="-1"/>
              <w:jc w:val="center"/>
              <w:rPr>
                <w:rFonts w:cs="Arial"/>
                <w:szCs w:val="18"/>
                <w:highlight w:val="yellow"/>
                <w:lang w:val="en-GB"/>
              </w:rPr>
            </w:pPr>
            <w:r w:rsidRPr="006848F7">
              <w:rPr>
                <w:rFonts w:cs="Arial"/>
                <w:szCs w:val="18"/>
                <w:highlight w:val="yellow"/>
                <w:lang w:val="en-GB"/>
              </w:rPr>
              <w:t>Continuous</w:t>
            </w:r>
          </w:p>
        </w:tc>
        <w:tc>
          <w:tcPr>
            <w:tcW w:w="567" w:type="dxa"/>
            <w:shd w:val="clear" w:color="auto" w:fill="FFFFFF"/>
            <w:vAlign w:val="center"/>
          </w:tcPr>
          <w:p w14:paraId="55B728D5" w14:textId="4CBCAC01" w:rsidR="004314C7" w:rsidRPr="006848F7" w:rsidRDefault="004314C7" w:rsidP="004314C7">
            <w:pPr>
              <w:pStyle w:val="CETBodytext"/>
              <w:ind w:right="-1"/>
              <w:jc w:val="center"/>
              <w:rPr>
                <w:rFonts w:cs="Arial"/>
                <w:szCs w:val="18"/>
                <w:highlight w:val="yellow"/>
                <w:lang w:val="en-GB"/>
              </w:rPr>
            </w:pPr>
            <w:r w:rsidRPr="006848F7">
              <w:rPr>
                <w:rFonts w:cs="Arial"/>
                <w:szCs w:val="18"/>
                <w:highlight w:val="yellow"/>
                <w:lang w:val="en-GB"/>
              </w:rPr>
              <w:t>70</w:t>
            </w:r>
          </w:p>
        </w:tc>
        <w:tc>
          <w:tcPr>
            <w:tcW w:w="850" w:type="dxa"/>
            <w:shd w:val="clear" w:color="auto" w:fill="FFFFFF"/>
            <w:vAlign w:val="center"/>
          </w:tcPr>
          <w:p w14:paraId="6EA660B2" w14:textId="50663B8B" w:rsidR="004314C7" w:rsidRPr="006848F7" w:rsidRDefault="004314C7" w:rsidP="004314C7">
            <w:pPr>
              <w:pStyle w:val="CETBodytext"/>
              <w:ind w:right="-1"/>
              <w:jc w:val="center"/>
              <w:rPr>
                <w:rFonts w:cs="Arial"/>
                <w:szCs w:val="18"/>
                <w:highlight w:val="yellow"/>
                <w:lang w:val="en-GB"/>
              </w:rPr>
            </w:pPr>
            <w:r w:rsidRPr="006848F7">
              <w:rPr>
                <w:rFonts w:cs="Arial"/>
                <w:szCs w:val="18"/>
                <w:highlight w:val="yellow"/>
                <w:lang w:val="en-GB"/>
              </w:rPr>
              <w:t>3</w:t>
            </w:r>
            <w:r w:rsidR="00B83832" w:rsidRPr="006848F7">
              <w:rPr>
                <w:rFonts w:cs="Arial"/>
                <w:szCs w:val="18"/>
                <w:highlight w:val="yellow"/>
                <w:lang w:val="en-GB"/>
              </w:rPr>
              <w:t>90</w:t>
            </w:r>
          </w:p>
        </w:tc>
        <w:tc>
          <w:tcPr>
            <w:tcW w:w="1418" w:type="dxa"/>
            <w:shd w:val="clear" w:color="auto" w:fill="FFFFFF"/>
          </w:tcPr>
          <w:p w14:paraId="49933EE9" w14:textId="13CCB64C" w:rsidR="004314C7" w:rsidRPr="006848F7" w:rsidRDefault="004314C7" w:rsidP="004314C7">
            <w:pPr>
              <w:pStyle w:val="CETBodytext"/>
              <w:ind w:right="-1"/>
              <w:jc w:val="center"/>
              <w:rPr>
                <w:rFonts w:cs="Arial"/>
                <w:szCs w:val="18"/>
                <w:highlight w:val="yellow"/>
                <w:lang w:val="en-GB"/>
              </w:rPr>
            </w:pPr>
            <w:r w:rsidRPr="006848F7">
              <w:rPr>
                <w:rFonts w:cs="Arial"/>
                <w:szCs w:val="18"/>
                <w:highlight w:val="yellow"/>
                <w:lang w:val="en-GB"/>
              </w:rPr>
              <w:t>5.7</w:t>
            </w:r>
          </w:p>
        </w:tc>
        <w:tc>
          <w:tcPr>
            <w:tcW w:w="850" w:type="dxa"/>
            <w:shd w:val="clear" w:color="auto" w:fill="FFFFFF"/>
          </w:tcPr>
          <w:p w14:paraId="4740E113" w14:textId="2DB67C80" w:rsidR="004314C7" w:rsidRPr="006848F7" w:rsidRDefault="004314C7" w:rsidP="004314C7">
            <w:pPr>
              <w:pStyle w:val="CETBodytext"/>
              <w:ind w:right="-1"/>
              <w:jc w:val="center"/>
              <w:rPr>
                <w:rFonts w:cs="Arial"/>
                <w:szCs w:val="18"/>
                <w:highlight w:val="yellow"/>
                <w:lang w:val="en-GB"/>
              </w:rPr>
            </w:pPr>
            <w:r w:rsidRPr="006848F7">
              <w:rPr>
                <w:rFonts w:cs="Arial"/>
                <w:szCs w:val="18"/>
                <w:highlight w:val="yellow"/>
                <w:lang w:val="en-GB"/>
              </w:rPr>
              <w:t>460</w:t>
            </w:r>
          </w:p>
        </w:tc>
        <w:tc>
          <w:tcPr>
            <w:tcW w:w="709" w:type="dxa"/>
            <w:shd w:val="clear" w:color="auto" w:fill="FFFFFF"/>
          </w:tcPr>
          <w:p w14:paraId="497897B1" w14:textId="31EF2021" w:rsidR="004314C7" w:rsidRPr="006848F7" w:rsidRDefault="00927867" w:rsidP="004314C7">
            <w:pPr>
              <w:pStyle w:val="CETBodytext"/>
              <w:ind w:right="-1"/>
              <w:jc w:val="center"/>
              <w:rPr>
                <w:rFonts w:cs="Arial"/>
                <w:szCs w:val="18"/>
                <w:highlight w:val="yellow"/>
                <w:lang w:val="en-GB"/>
              </w:rPr>
            </w:pPr>
            <w:r w:rsidRPr="006848F7">
              <w:rPr>
                <w:rFonts w:cs="Arial"/>
                <w:szCs w:val="18"/>
                <w:highlight w:val="yellow"/>
                <w:lang w:val="en-GB"/>
              </w:rPr>
              <w:t>500</w:t>
            </w:r>
          </w:p>
        </w:tc>
        <w:tc>
          <w:tcPr>
            <w:tcW w:w="1417" w:type="dxa"/>
            <w:shd w:val="clear" w:color="auto" w:fill="FFFFFF"/>
            <w:vAlign w:val="center"/>
          </w:tcPr>
          <w:p w14:paraId="7FD88D63" w14:textId="7B5CD15C" w:rsidR="004314C7" w:rsidRPr="006848F7" w:rsidRDefault="004314C7" w:rsidP="004314C7">
            <w:pPr>
              <w:pStyle w:val="CETBodytext"/>
              <w:ind w:right="-1"/>
              <w:jc w:val="center"/>
              <w:rPr>
                <w:rFonts w:cs="Arial"/>
                <w:szCs w:val="18"/>
                <w:highlight w:val="yellow"/>
                <w:lang w:val="en-GB"/>
              </w:rPr>
            </w:pPr>
            <w:r w:rsidRPr="006848F7">
              <w:rPr>
                <w:rFonts w:cs="Arial"/>
                <w:szCs w:val="18"/>
                <w:highlight w:val="yellow"/>
                <w:lang w:val="en-GB"/>
              </w:rPr>
              <w:t>SCO2E-p3</w:t>
            </w:r>
            <w:r w:rsidR="00D207FB" w:rsidRPr="006848F7">
              <w:rPr>
                <w:rFonts w:cs="Arial"/>
                <w:szCs w:val="18"/>
                <w:highlight w:val="yellow"/>
                <w:lang w:val="en-GB"/>
              </w:rPr>
              <w:t>90</w:t>
            </w:r>
            <w:r w:rsidRPr="006848F7">
              <w:rPr>
                <w:rFonts w:cs="Arial"/>
                <w:szCs w:val="18"/>
                <w:highlight w:val="yellow"/>
                <w:lang w:val="en-GB"/>
              </w:rPr>
              <w:t>T70</w:t>
            </w:r>
          </w:p>
        </w:tc>
      </w:tr>
      <w:tr w:rsidR="004314C7" w:rsidRPr="006848F7" w14:paraId="0CDEC0A3" w14:textId="77777777" w:rsidTr="00927867">
        <w:tc>
          <w:tcPr>
            <w:tcW w:w="1418" w:type="dxa"/>
            <w:shd w:val="clear" w:color="auto" w:fill="FFFFFF"/>
          </w:tcPr>
          <w:p w14:paraId="76CBAA09" w14:textId="4AE5864A" w:rsidR="004314C7" w:rsidRPr="006848F7" w:rsidRDefault="004314C7" w:rsidP="004314C7">
            <w:pPr>
              <w:pStyle w:val="CETBodytext"/>
              <w:ind w:right="-1"/>
              <w:rPr>
                <w:rFonts w:cs="Arial"/>
                <w:szCs w:val="18"/>
                <w:highlight w:val="yellow"/>
                <w:lang w:val="en-GB"/>
              </w:rPr>
            </w:pPr>
            <w:r w:rsidRPr="006848F7">
              <w:rPr>
                <w:rFonts w:cs="Arial"/>
                <w:szCs w:val="18"/>
                <w:highlight w:val="yellow"/>
                <w:lang w:val="en-GB"/>
              </w:rPr>
              <w:t>Water</w:t>
            </w:r>
          </w:p>
        </w:tc>
        <w:tc>
          <w:tcPr>
            <w:tcW w:w="1134" w:type="dxa"/>
            <w:shd w:val="clear" w:color="auto" w:fill="FFFFFF"/>
          </w:tcPr>
          <w:p w14:paraId="7F67A242" w14:textId="5376E1CB" w:rsidR="004314C7" w:rsidRPr="006848F7" w:rsidRDefault="004314C7" w:rsidP="004314C7">
            <w:pPr>
              <w:pStyle w:val="CETBodytext"/>
              <w:ind w:right="-1"/>
              <w:jc w:val="center"/>
              <w:rPr>
                <w:rFonts w:cs="Arial"/>
                <w:szCs w:val="18"/>
                <w:highlight w:val="yellow"/>
                <w:lang w:val="en-GB"/>
              </w:rPr>
            </w:pPr>
            <w:r w:rsidRPr="006848F7">
              <w:rPr>
                <w:rFonts w:cs="Arial"/>
                <w:szCs w:val="18"/>
                <w:highlight w:val="yellow"/>
                <w:lang w:val="en-GB"/>
              </w:rPr>
              <w:t>Continuous</w:t>
            </w:r>
          </w:p>
        </w:tc>
        <w:tc>
          <w:tcPr>
            <w:tcW w:w="567" w:type="dxa"/>
            <w:shd w:val="clear" w:color="auto" w:fill="FFFFFF"/>
            <w:vAlign w:val="center"/>
          </w:tcPr>
          <w:p w14:paraId="7E472163" w14:textId="4771FF4A" w:rsidR="004314C7" w:rsidRPr="006848F7" w:rsidRDefault="006D1F38" w:rsidP="004314C7">
            <w:pPr>
              <w:pStyle w:val="CETBodytext"/>
              <w:ind w:right="-1"/>
              <w:jc w:val="center"/>
              <w:rPr>
                <w:rFonts w:cs="Arial"/>
                <w:szCs w:val="18"/>
                <w:highlight w:val="yellow"/>
                <w:lang w:val="en-GB"/>
              </w:rPr>
            </w:pPr>
            <w:r w:rsidRPr="006848F7">
              <w:rPr>
                <w:rFonts w:cs="Arial"/>
                <w:szCs w:val="18"/>
                <w:highlight w:val="yellow"/>
                <w:lang w:val="en-GB"/>
              </w:rPr>
              <w:t>120</w:t>
            </w:r>
          </w:p>
        </w:tc>
        <w:tc>
          <w:tcPr>
            <w:tcW w:w="850" w:type="dxa"/>
            <w:shd w:val="clear" w:color="auto" w:fill="FFFFFF"/>
            <w:vAlign w:val="center"/>
          </w:tcPr>
          <w:p w14:paraId="09D8D891" w14:textId="7D071910" w:rsidR="004314C7" w:rsidRPr="006848F7" w:rsidRDefault="006D1F38" w:rsidP="004314C7">
            <w:pPr>
              <w:pStyle w:val="CETBodytext"/>
              <w:ind w:right="-1"/>
              <w:jc w:val="center"/>
              <w:rPr>
                <w:rFonts w:cs="Arial"/>
                <w:szCs w:val="18"/>
                <w:highlight w:val="yellow"/>
                <w:lang w:val="en-GB"/>
              </w:rPr>
            </w:pPr>
            <w:r w:rsidRPr="006848F7">
              <w:rPr>
                <w:rFonts w:cs="Arial"/>
                <w:szCs w:val="18"/>
                <w:highlight w:val="yellow"/>
                <w:lang w:val="en-GB"/>
              </w:rPr>
              <w:t>9</w:t>
            </w:r>
            <w:r w:rsidR="00B83832" w:rsidRPr="006848F7">
              <w:rPr>
                <w:rFonts w:cs="Arial"/>
                <w:szCs w:val="18"/>
                <w:highlight w:val="yellow"/>
                <w:lang w:val="en-GB"/>
              </w:rPr>
              <w:t>0</w:t>
            </w:r>
          </w:p>
        </w:tc>
        <w:tc>
          <w:tcPr>
            <w:tcW w:w="1418" w:type="dxa"/>
            <w:shd w:val="clear" w:color="auto" w:fill="FFFFFF"/>
          </w:tcPr>
          <w:p w14:paraId="4D4C9038" w14:textId="5BF97F8E" w:rsidR="004314C7" w:rsidRPr="006848F7" w:rsidRDefault="006D1F38" w:rsidP="004314C7">
            <w:pPr>
              <w:pStyle w:val="CETBodytext"/>
              <w:ind w:right="-1"/>
              <w:jc w:val="center"/>
              <w:rPr>
                <w:rFonts w:cs="Arial"/>
                <w:szCs w:val="18"/>
                <w:highlight w:val="yellow"/>
                <w:lang w:val="en-GB"/>
              </w:rPr>
            </w:pPr>
            <w:r w:rsidRPr="006848F7">
              <w:rPr>
                <w:rFonts w:cs="Arial"/>
                <w:szCs w:val="18"/>
                <w:highlight w:val="yellow"/>
                <w:lang w:val="en-GB"/>
              </w:rPr>
              <w:t>3</w:t>
            </w:r>
            <w:r w:rsidR="0056522F" w:rsidRPr="00AE1AB3">
              <w:rPr>
                <w:rFonts w:cs="Arial"/>
                <w:szCs w:val="18"/>
                <w:highlight w:val="yellow"/>
                <w:lang w:val="en-GB"/>
              </w:rPr>
              <w:t>.0</w:t>
            </w:r>
          </w:p>
        </w:tc>
        <w:tc>
          <w:tcPr>
            <w:tcW w:w="850" w:type="dxa"/>
            <w:shd w:val="clear" w:color="auto" w:fill="FFFFFF"/>
          </w:tcPr>
          <w:p w14:paraId="7C67B168" w14:textId="2E15889B" w:rsidR="004314C7" w:rsidRPr="006848F7" w:rsidRDefault="00927867" w:rsidP="004314C7">
            <w:pPr>
              <w:pStyle w:val="CETBodytext"/>
              <w:ind w:right="-1"/>
              <w:jc w:val="center"/>
              <w:rPr>
                <w:rFonts w:cs="Arial"/>
                <w:szCs w:val="18"/>
                <w:highlight w:val="yellow"/>
                <w:lang w:val="en-GB"/>
              </w:rPr>
            </w:pPr>
            <w:r w:rsidRPr="006848F7">
              <w:rPr>
                <w:rFonts w:cs="Arial"/>
                <w:szCs w:val="18"/>
                <w:highlight w:val="yellow"/>
                <w:lang w:val="en-GB"/>
              </w:rPr>
              <w:t>30</w:t>
            </w:r>
          </w:p>
        </w:tc>
        <w:tc>
          <w:tcPr>
            <w:tcW w:w="709" w:type="dxa"/>
            <w:shd w:val="clear" w:color="auto" w:fill="FFFFFF"/>
          </w:tcPr>
          <w:p w14:paraId="31EBF8B0" w14:textId="252193A2" w:rsidR="004314C7" w:rsidRPr="006848F7" w:rsidRDefault="00927867" w:rsidP="004314C7">
            <w:pPr>
              <w:pStyle w:val="CETBodytext"/>
              <w:ind w:right="-1"/>
              <w:jc w:val="center"/>
              <w:rPr>
                <w:rFonts w:cs="Arial"/>
                <w:szCs w:val="18"/>
                <w:highlight w:val="yellow"/>
                <w:lang w:val="en-GB"/>
              </w:rPr>
            </w:pPr>
            <w:r w:rsidRPr="006848F7">
              <w:rPr>
                <w:rFonts w:cs="Arial"/>
                <w:szCs w:val="18"/>
                <w:highlight w:val="yellow"/>
                <w:lang w:val="en-GB"/>
              </w:rPr>
              <w:t>200</w:t>
            </w:r>
          </w:p>
        </w:tc>
        <w:tc>
          <w:tcPr>
            <w:tcW w:w="1417" w:type="dxa"/>
            <w:shd w:val="clear" w:color="auto" w:fill="FFFFFF"/>
            <w:vAlign w:val="center"/>
          </w:tcPr>
          <w:p w14:paraId="5EF8E10E" w14:textId="34BB7927" w:rsidR="004314C7" w:rsidRPr="006848F7" w:rsidRDefault="00927867" w:rsidP="004314C7">
            <w:pPr>
              <w:pStyle w:val="CETBodytext"/>
              <w:ind w:right="-1"/>
              <w:jc w:val="center"/>
              <w:rPr>
                <w:rFonts w:cs="Arial"/>
                <w:szCs w:val="18"/>
                <w:highlight w:val="yellow"/>
                <w:lang w:val="en-GB"/>
              </w:rPr>
            </w:pPr>
            <w:r w:rsidRPr="006848F7">
              <w:rPr>
                <w:rFonts w:cs="Arial"/>
                <w:szCs w:val="18"/>
                <w:highlight w:val="yellow"/>
                <w:lang w:val="en-GB"/>
              </w:rPr>
              <w:t>SWEC-p9</w:t>
            </w:r>
            <w:r w:rsidR="002A30CC" w:rsidRPr="006848F7">
              <w:rPr>
                <w:rFonts w:cs="Arial"/>
                <w:szCs w:val="18"/>
                <w:highlight w:val="yellow"/>
                <w:lang w:val="en-GB"/>
              </w:rPr>
              <w:t>0</w:t>
            </w:r>
            <w:r w:rsidR="00E55002" w:rsidRPr="006848F7">
              <w:rPr>
                <w:rFonts w:cs="Arial"/>
                <w:szCs w:val="18"/>
                <w:highlight w:val="yellow"/>
                <w:lang w:val="en-GB"/>
              </w:rPr>
              <w:t>T</w:t>
            </w:r>
            <w:r w:rsidRPr="006848F7">
              <w:rPr>
                <w:rFonts w:cs="Arial"/>
                <w:szCs w:val="18"/>
                <w:highlight w:val="yellow"/>
                <w:lang w:val="en-GB"/>
              </w:rPr>
              <w:t>120</w:t>
            </w:r>
          </w:p>
        </w:tc>
      </w:tr>
      <w:tr w:rsidR="006D1F38" w:rsidRPr="006848F7" w14:paraId="23107E21" w14:textId="77777777" w:rsidTr="00927867">
        <w:tc>
          <w:tcPr>
            <w:tcW w:w="1418" w:type="dxa"/>
            <w:shd w:val="clear" w:color="auto" w:fill="FFFFFF"/>
          </w:tcPr>
          <w:p w14:paraId="08C32579" w14:textId="7E3D3954" w:rsidR="006D1F38" w:rsidRPr="006848F7" w:rsidRDefault="00927867" w:rsidP="006D1F38">
            <w:pPr>
              <w:pStyle w:val="CETBodytext"/>
              <w:ind w:right="-1"/>
              <w:rPr>
                <w:rFonts w:cs="Arial"/>
                <w:szCs w:val="18"/>
                <w:highlight w:val="yellow"/>
                <w:lang w:val="en-GB"/>
              </w:rPr>
            </w:pPr>
            <w:r w:rsidRPr="006848F7">
              <w:rPr>
                <w:rFonts w:cs="Arial"/>
                <w:szCs w:val="18"/>
                <w:highlight w:val="yellow"/>
                <w:lang w:val="en-GB"/>
              </w:rPr>
              <w:t>Water</w:t>
            </w:r>
          </w:p>
        </w:tc>
        <w:tc>
          <w:tcPr>
            <w:tcW w:w="1134" w:type="dxa"/>
            <w:shd w:val="clear" w:color="auto" w:fill="FFFFFF"/>
          </w:tcPr>
          <w:p w14:paraId="41814BAE" w14:textId="0AEBC9A5" w:rsidR="006D1F38" w:rsidRPr="006848F7" w:rsidRDefault="006D1F38" w:rsidP="006D1F38">
            <w:pPr>
              <w:pStyle w:val="CETBodytext"/>
              <w:ind w:right="-1"/>
              <w:jc w:val="center"/>
              <w:rPr>
                <w:rFonts w:cs="Arial"/>
                <w:szCs w:val="18"/>
                <w:highlight w:val="yellow"/>
                <w:lang w:val="en-GB"/>
              </w:rPr>
            </w:pPr>
            <w:r w:rsidRPr="006848F7">
              <w:rPr>
                <w:rFonts w:cs="Arial"/>
                <w:szCs w:val="18"/>
                <w:highlight w:val="yellow"/>
                <w:lang w:val="en-GB"/>
              </w:rPr>
              <w:t>Batch</w:t>
            </w:r>
          </w:p>
        </w:tc>
        <w:tc>
          <w:tcPr>
            <w:tcW w:w="567" w:type="dxa"/>
            <w:shd w:val="clear" w:color="auto" w:fill="FFFFFF"/>
            <w:vAlign w:val="center"/>
          </w:tcPr>
          <w:p w14:paraId="184118F2" w14:textId="57572156" w:rsidR="006D1F38" w:rsidRPr="006848F7" w:rsidRDefault="00927867" w:rsidP="006D1F38">
            <w:pPr>
              <w:pStyle w:val="CETBodytext"/>
              <w:ind w:right="-1"/>
              <w:jc w:val="center"/>
              <w:rPr>
                <w:rFonts w:cs="Arial"/>
                <w:szCs w:val="18"/>
                <w:highlight w:val="yellow"/>
                <w:lang w:val="en-GB"/>
              </w:rPr>
            </w:pPr>
            <w:r w:rsidRPr="006848F7">
              <w:rPr>
                <w:rFonts w:cs="Arial"/>
                <w:szCs w:val="18"/>
                <w:highlight w:val="yellow"/>
                <w:lang w:val="en-GB"/>
              </w:rPr>
              <w:t>100</w:t>
            </w:r>
          </w:p>
        </w:tc>
        <w:tc>
          <w:tcPr>
            <w:tcW w:w="850" w:type="dxa"/>
            <w:shd w:val="clear" w:color="auto" w:fill="FFFFFF"/>
            <w:vAlign w:val="center"/>
          </w:tcPr>
          <w:p w14:paraId="1466C160" w14:textId="4CF0B188" w:rsidR="006D1F38" w:rsidRPr="006848F7" w:rsidRDefault="006D1F38" w:rsidP="006D1F38">
            <w:pPr>
              <w:pStyle w:val="CETBodytext"/>
              <w:ind w:right="-1"/>
              <w:jc w:val="center"/>
              <w:rPr>
                <w:rFonts w:cs="Arial"/>
                <w:szCs w:val="18"/>
                <w:highlight w:val="yellow"/>
                <w:lang w:val="en-GB"/>
              </w:rPr>
            </w:pPr>
            <w:r w:rsidRPr="006848F7">
              <w:rPr>
                <w:rFonts w:cs="Arial"/>
                <w:szCs w:val="18"/>
                <w:highlight w:val="yellow"/>
                <w:lang w:val="en-GB"/>
              </w:rPr>
              <w:t>A</w:t>
            </w:r>
          </w:p>
        </w:tc>
        <w:tc>
          <w:tcPr>
            <w:tcW w:w="1418" w:type="dxa"/>
            <w:shd w:val="clear" w:color="auto" w:fill="FFFFFF"/>
          </w:tcPr>
          <w:p w14:paraId="451541F6" w14:textId="37A23CAD" w:rsidR="006D1F38" w:rsidRPr="006848F7" w:rsidRDefault="006D1F38" w:rsidP="006D1F38">
            <w:pPr>
              <w:pStyle w:val="CETBodytext"/>
              <w:ind w:right="-1"/>
              <w:jc w:val="center"/>
              <w:rPr>
                <w:rFonts w:cs="Arial"/>
                <w:szCs w:val="18"/>
                <w:highlight w:val="yellow"/>
                <w:lang w:val="en-GB"/>
              </w:rPr>
            </w:pPr>
            <w:r w:rsidRPr="006848F7">
              <w:rPr>
                <w:rFonts w:cs="Arial"/>
                <w:szCs w:val="18"/>
                <w:highlight w:val="yellow"/>
                <w:lang w:val="en-GB"/>
              </w:rPr>
              <w:t>n.a.</w:t>
            </w:r>
          </w:p>
        </w:tc>
        <w:tc>
          <w:tcPr>
            <w:tcW w:w="850" w:type="dxa"/>
            <w:shd w:val="clear" w:color="auto" w:fill="FFFFFF"/>
          </w:tcPr>
          <w:p w14:paraId="5B905C26" w14:textId="5288A20D" w:rsidR="006D1F38" w:rsidRPr="006848F7" w:rsidRDefault="00927867" w:rsidP="006D1F38">
            <w:pPr>
              <w:pStyle w:val="CETBodytext"/>
              <w:ind w:right="-1"/>
              <w:jc w:val="center"/>
              <w:rPr>
                <w:rFonts w:cs="Arial"/>
                <w:szCs w:val="18"/>
                <w:highlight w:val="yellow"/>
                <w:lang w:val="en-GB"/>
              </w:rPr>
            </w:pPr>
            <w:r w:rsidRPr="006848F7">
              <w:rPr>
                <w:rFonts w:cs="Arial"/>
                <w:szCs w:val="18"/>
                <w:highlight w:val="yellow"/>
                <w:lang w:val="en-GB"/>
              </w:rPr>
              <w:t>30</w:t>
            </w:r>
          </w:p>
        </w:tc>
        <w:tc>
          <w:tcPr>
            <w:tcW w:w="709" w:type="dxa"/>
            <w:shd w:val="clear" w:color="auto" w:fill="FFFFFF"/>
          </w:tcPr>
          <w:p w14:paraId="4C2BF937" w14:textId="1719908E" w:rsidR="006D1F38" w:rsidRPr="006848F7" w:rsidRDefault="00927867" w:rsidP="006D1F38">
            <w:pPr>
              <w:pStyle w:val="CETBodytext"/>
              <w:ind w:right="-1"/>
              <w:jc w:val="center"/>
              <w:rPr>
                <w:rFonts w:cs="Arial"/>
                <w:szCs w:val="18"/>
                <w:highlight w:val="yellow"/>
                <w:lang w:val="en-GB"/>
              </w:rPr>
            </w:pPr>
            <w:r w:rsidRPr="006848F7">
              <w:rPr>
                <w:rFonts w:cs="Arial"/>
                <w:szCs w:val="18"/>
                <w:highlight w:val="yellow"/>
                <w:lang w:val="en-GB"/>
              </w:rPr>
              <w:t>50</w:t>
            </w:r>
          </w:p>
        </w:tc>
        <w:tc>
          <w:tcPr>
            <w:tcW w:w="1417" w:type="dxa"/>
            <w:shd w:val="clear" w:color="auto" w:fill="FFFFFF"/>
            <w:vAlign w:val="center"/>
          </w:tcPr>
          <w:p w14:paraId="4E04A3E6" w14:textId="49D5DA42" w:rsidR="006D1F38" w:rsidRPr="006848F7" w:rsidRDefault="00927867" w:rsidP="006D1F38">
            <w:pPr>
              <w:pStyle w:val="CETBodytext"/>
              <w:ind w:right="-1"/>
              <w:jc w:val="center"/>
              <w:rPr>
                <w:rFonts w:cs="Arial"/>
                <w:szCs w:val="18"/>
                <w:highlight w:val="yellow"/>
                <w:lang w:val="en-GB"/>
              </w:rPr>
            </w:pPr>
            <w:r w:rsidRPr="006848F7">
              <w:rPr>
                <w:rFonts w:cs="Arial"/>
                <w:szCs w:val="18"/>
                <w:highlight w:val="yellow"/>
                <w:lang w:val="en-GB"/>
              </w:rPr>
              <w:t>SWEB-T100</w:t>
            </w:r>
          </w:p>
        </w:tc>
      </w:tr>
      <w:tr w:rsidR="00927867" w:rsidRPr="006848F7" w14:paraId="24BDC266" w14:textId="77777777" w:rsidTr="00927867">
        <w:tc>
          <w:tcPr>
            <w:tcW w:w="1418" w:type="dxa"/>
            <w:shd w:val="clear" w:color="auto" w:fill="FFFFFF"/>
          </w:tcPr>
          <w:p w14:paraId="79BA2553" w14:textId="0DCD3E02" w:rsidR="00927867" w:rsidRPr="006848F7" w:rsidRDefault="00927867" w:rsidP="00927867">
            <w:pPr>
              <w:pStyle w:val="CETBodytext"/>
              <w:ind w:right="-1"/>
              <w:rPr>
                <w:rFonts w:cs="Arial"/>
                <w:szCs w:val="18"/>
                <w:highlight w:val="yellow"/>
                <w:lang w:val="en-GB"/>
              </w:rPr>
            </w:pPr>
            <w:r w:rsidRPr="006848F7">
              <w:rPr>
                <w:rFonts w:cs="Arial"/>
                <w:szCs w:val="18"/>
                <w:highlight w:val="yellow"/>
                <w:lang w:val="en-GB"/>
              </w:rPr>
              <w:t>Water</w:t>
            </w:r>
          </w:p>
        </w:tc>
        <w:tc>
          <w:tcPr>
            <w:tcW w:w="1134" w:type="dxa"/>
            <w:shd w:val="clear" w:color="auto" w:fill="FFFFFF"/>
          </w:tcPr>
          <w:p w14:paraId="7536ED6A" w14:textId="55FF3A57" w:rsidR="00927867" w:rsidRPr="006848F7" w:rsidRDefault="00927867" w:rsidP="00927867">
            <w:pPr>
              <w:pStyle w:val="CETBodytext"/>
              <w:ind w:right="-1"/>
              <w:jc w:val="center"/>
              <w:rPr>
                <w:rFonts w:cs="Arial"/>
                <w:szCs w:val="18"/>
                <w:highlight w:val="yellow"/>
                <w:lang w:val="en-GB"/>
              </w:rPr>
            </w:pPr>
            <w:r w:rsidRPr="006848F7">
              <w:rPr>
                <w:rFonts w:cs="Arial"/>
                <w:szCs w:val="18"/>
                <w:highlight w:val="yellow"/>
                <w:lang w:val="en-GB"/>
              </w:rPr>
              <w:t>Batch</w:t>
            </w:r>
          </w:p>
        </w:tc>
        <w:tc>
          <w:tcPr>
            <w:tcW w:w="567" w:type="dxa"/>
            <w:shd w:val="clear" w:color="auto" w:fill="FFFFFF"/>
            <w:vAlign w:val="center"/>
          </w:tcPr>
          <w:p w14:paraId="573EFCE8" w14:textId="2E628A1D" w:rsidR="00927867" w:rsidRPr="006848F7" w:rsidRDefault="00927867" w:rsidP="00927867">
            <w:pPr>
              <w:pStyle w:val="CETBodytext"/>
              <w:ind w:right="-1"/>
              <w:jc w:val="center"/>
              <w:rPr>
                <w:rFonts w:cs="Arial"/>
                <w:szCs w:val="18"/>
                <w:highlight w:val="yellow"/>
                <w:lang w:val="en-GB"/>
              </w:rPr>
            </w:pPr>
            <w:r w:rsidRPr="006848F7">
              <w:rPr>
                <w:rFonts w:cs="Arial"/>
                <w:szCs w:val="18"/>
                <w:highlight w:val="yellow"/>
                <w:lang w:val="en-GB"/>
              </w:rPr>
              <w:t>120</w:t>
            </w:r>
          </w:p>
        </w:tc>
        <w:tc>
          <w:tcPr>
            <w:tcW w:w="850" w:type="dxa"/>
            <w:shd w:val="clear" w:color="auto" w:fill="FFFFFF"/>
            <w:vAlign w:val="center"/>
          </w:tcPr>
          <w:p w14:paraId="267944CC" w14:textId="1817E0C8" w:rsidR="00927867" w:rsidRPr="006848F7" w:rsidRDefault="00927867" w:rsidP="00927867">
            <w:pPr>
              <w:pStyle w:val="CETBodytext"/>
              <w:ind w:right="-1"/>
              <w:jc w:val="center"/>
              <w:rPr>
                <w:rFonts w:cs="Arial"/>
                <w:szCs w:val="18"/>
                <w:highlight w:val="yellow"/>
                <w:lang w:val="en-GB"/>
              </w:rPr>
            </w:pPr>
            <w:r w:rsidRPr="006848F7">
              <w:rPr>
                <w:rFonts w:cs="Arial"/>
                <w:szCs w:val="18"/>
                <w:highlight w:val="yellow"/>
                <w:lang w:val="en-GB"/>
              </w:rPr>
              <w:t>A</w:t>
            </w:r>
          </w:p>
        </w:tc>
        <w:tc>
          <w:tcPr>
            <w:tcW w:w="1418" w:type="dxa"/>
            <w:shd w:val="clear" w:color="auto" w:fill="FFFFFF"/>
          </w:tcPr>
          <w:p w14:paraId="15510AE5" w14:textId="72C4164E" w:rsidR="00927867" w:rsidRPr="006848F7" w:rsidRDefault="00927867" w:rsidP="00927867">
            <w:pPr>
              <w:pStyle w:val="CETBodytext"/>
              <w:ind w:right="-1"/>
              <w:jc w:val="center"/>
              <w:rPr>
                <w:rFonts w:cs="Arial"/>
                <w:szCs w:val="18"/>
                <w:highlight w:val="yellow"/>
                <w:lang w:val="en-GB"/>
              </w:rPr>
            </w:pPr>
            <w:r w:rsidRPr="006848F7">
              <w:rPr>
                <w:rFonts w:cs="Arial"/>
                <w:szCs w:val="18"/>
                <w:highlight w:val="yellow"/>
                <w:lang w:val="en-GB"/>
              </w:rPr>
              <w:t>n.a.</w:t>
            </w:r>
          </w:p>
        </w:tc>
        <w:tc>
          <w:tcPr>
            <w:tcW w:w="850" w:type="dxa"/>
            <w:shd w:val="clear" w:color="auto" w:fill="FFFFFF"/>
          </w:tcPr>
          <w:p w14:paraId="611BC34A" w14:textId="14B89103" w:rsidR="00927867" w:rsidRPr="006848F7" w:rsidRDefault="00927867" w:rsidP="00927867">
            <w:pPr>
              <w:pStyle w:val="CETBodytext"/>
              <w:ind w:right="-1"/>
              <w:jc w:val="center"/>
              <w:rPr>
                <w:rFonts w:cs="Arial"/>
                <w:szCs w:val="18"/>
                <w:highlight w:val="yellow"/>
                <w:lang w:val="en-GB"/>
              </w:rPr>
            </w:pPr>
            <w:r w:rsidRPr="006848F7">
              <w:rPr>
                <w:rFonts w:cs="Arial"/>
                <w:szCs w:val="18"/>
                <w:highlight w:val="yellow"/>
                <w:lang w:val="en-GB"/>
              </w:rPr>
              <w:t>30</w:t>
            </w:r>
          </w:p>
        </w:tc>
        <w:tc>
          <w:tcPr>
            <w:tcW w:w="709" w:type="dxa"/>
            <w:shd w:val="clear" w:color="auto" w:fill="FFFFFF"/>
          </w:tcPr>
          <w:p w14:paraId="011FCE65" w14:textId="71B6FB83" w:rsidR="00927867" w:rsidRPr="006848F7" w:rsidRDefault="00927867" w:rsidP="00927867">
            <w:pPr>
              <w:pStyle w:val="CETBodytext"/>
              <w:ind w:right="-1"/>
              <w:jc w:val="center"/>
              <w:rPr>
                <w:rFonts w:cs="Arial"/>
                <w:szCs w:val="18"/>
                <w:highlight w:val="yellow"/>
                <w:lang w:val="en-GB"/>
              </w:rPr>
            </w:pPr>
            <w:r w:rsidRPr="006848F7">
              <w:rPr>
                <w:rFonts w:cs="Arial"/>
                <w:szCs w:val="18"/>
                <w:highlight w:val="yellow"/>
                <w:lang w:val="en-GB"/>
              </w:rPr>
              <w:t>50</w:t>
            </w:r>
          </w:p>
        </w:tc>
        <w:tc>
          <w:tcPr>
            <w:tcW w:w="1417" w:type="dxa"/>
            <w:shd w:val="clear" w:color="auto" w:fill="FFFFFF"/>
            <w:vAlign w:val="center"/>
          </w:tcPr>
          <w:p w14:paraId="3C3DAA5F" w14:textId="45F9CF86" w:rsidR="00927867" w:rsidRPr="006848F7" w:rsidRDefault="00927867" w:rsidP="00927867">
            <w:pPr>
              <w:pStyle w:val="CETBodytext"/>
              <w:ind w:right="-1"/>
              <w:jc w:val="center"/>
              <w:rPr>
                <w:rFonts w:cs="Arial"/>
                <w:szCs w:val="18"/>
                <w:highlight w:val="yellow"/>
                <w:lang w:val="en-GB"/>
              </w:rPr>
            </w:pPr>
            <w:r w:rsidRPr="006848F7">
              <w:rPr>
                <w:rFonts w:cs="Arial"/>
                <w:szCs w:val="18"/>
                <w:highlight w:val="yellow"/>
                <w:lang w:val="en-GB"/>
              </w:rPr>
              <w:t>SWEB-T120</w:t>
            </w:r>
          </w:p>
        </w:tc>
      </w:tr>
      <w:tr w:rsidR="00927867" w:rsidRPr="006848F7" w14:paraId="086DE611" w14:textId="77777777" w:rsidTr="00927867">
        <w:tc>
          <w:tcPr>
            <w:tcW w:w="1418" w:type="dxa"/>
            <w:shd w:val="clear" w:color="auto" w:fill="FFFFFF"/>
          </w:tcPr>
          <w:p w14:paraId="01D72BBC" w14:textId="15D09B2F" w:rsidR="00927867" w:rsidRPr="006848F7" w:rsidRDefault="00927867" w:rsidP="00927867">
            <w:pPr>
              <w:pStyle w:val="CETBodytext"/>
              <w:ind w:right="-1"/>
              <w:rPr>
                <w:rFonts w:cs="Arial"/>
                <w:szCs w:val="18"/>
                <w:highlight w:val="yellow"/>
                <w:lang w:val="en-GB"/>
              </w:rPr>
            </w:pPr>
            <w:r w:rsidRPr="006848F7">
              <w:rPr>
                <w:rFonts w:cs="Arial"/>
                <w:szCs w:val="18"/>
                <w:highlight w:val="yellow"/>
                <w:lang w:val="en-GB"/>
              </w:rPr>
              <w:t>Water</w:t>
            </w:r>
          </w:p>
        </w:tc>
        <w:tc>
          <w:tcPr>
            <w:tcW w:w="1134" w:type="dxa"/>
            <w:shd w:val="clear" w:color="auto" w:fill="FFFFFF"/>
          </w:tcPr>
          <w:p w14:paraId="42E9A8CD" w14:textId="3B6DFAD7" w:rsidR="00927867" w:rsidRPr="006848F7" w:rsidRDefault="00927867" w:rsidP="00927867">
            <w:pPr>
              <w:pStyle w:val="CETBodytext"/>
              <w:ind w:right="-1"/>
              <w:jc w:val="center"/>
              <w:rPr>
                <w:rFonts w:cs="Arial"/>
                <w:szCs w:val="18"/>
                <w:highlight w:val="yellow"/>
                <w:lang w:val="en-GB"/>
              </w:rPr>
            </w:pPr>
            <w:r w:rsidRPr="006848F7">
              <w:rPr>
                <w:rFonts w:cs="Arial"/>
                <w:szCs w:val="18"/>
                <w:highlight w:val="yellow"/>
                <w:lang w:val="en-GB"/>
              </w:rPr>
              <w:t>Batch</w:t>
            </w:r>
          </w:p>
        </w:tc>
        <w:tc>
          <w:tcPr>
            <w:tcW w:w="567" w:type="dxa"/>
            <w:shd w:val="clear" w:color="auto" w:fill="FFFFFF"/>
            <w:vAlign w:val="center"/>
          </w:tcPr>
          <w:p w14:paraId="36B58D9C" w14:textId="253F77F2" w:rsidR="00927867" w:rsidRPr="006848F7" w:rsidRDefault="00927867" w:rsidP="00927867">
            <w:pPr>
              <w:pStyle w:val="CETBodytext"/>
              <w:ind w:right="-1"/>
              <w:jc w:val="center"/>
              <w:rPr>
                <w:rFonts w:cs="Arial"/>
                <w:szCs w:val="18"/>
                <w:highlight w:val="yellow"/>
                <w:lang w:val="en-GB"/>
              </w:rPr>
            </w:pPr>
            <w:r w:rsidRPr="006848F7">
              <w:rPr>
                <w:rFonts w:cs="Arial"/>
                <w:szCs w:val="18"/>
                <w:highlight w:val="yellow"/>
                <w:lang w:val="en-GB"/>
              </w:rPr>
              <w:t>170</w:t>
            </w:r>
          </w:p>
        </w:tc>
        <w:tc>
          <w:tcPr>
            <w:tcW w:w="850" w:type="dxa"/>
            <w:shd w:val="clear" w:color="auto" w:fill="FFFFFF"/>
            <w:vAlign w:val="center"/>
          </w:tcPr>
          <w:p w14:paraId="6E0669FF" w14:textId="67170E61" w:rsidR="00927867" w:rsidRPr="006848F7" w:rsidRDefault="00927867" w:rsidP="00927867">
            <w:pPr>
              <w:pStyle w:val="CETBodytext"/>
              <w:ind w:right="-1"/>
              <w:jc w:val="center"/>
              <w:rPr>
                <w:rFonts w:cs="Arial"/>
                <w:szCs w:val="18"/>
                <w:highlight w:val="yellow"/>
                <w:lang w:val="en-GB"/>
              </w:rPr>
            </w:pPr>
            <w:r w:rsidRPr="006848F7">
              <w:rPr>
                <w:rFonts w:cs="Arial"/>
                <w:szCs w:val="18"/>
                <w:highlight w:val="yellow"/>
                <w:lang w:val="en-GB"/>
              </w:rPr>
              <w:t>A</w:t>
            </w:r>
          </w:p>
        </w:tc>
        <w:tc>
          <w:tcPr>
            <w:tcW w:w="1418" w:type="dxa"/>
            <w:shd w:val="clear" w:color="auto" w:fill="FFFFFF"/>
          </w:tcPr>
          <w:p w14:paraId="41AE6443" w14:textId="65087180" w:rsidR="00927867" w:rsidRPr="006848F7" w:rsidRDefault="00927867" w:rsidP="00927867">
            <w:pPr>
              <w:pStyle w:val="CETBodytext"/>
              <w:ind w:right="-1"/>
              <w:jc w:val="center"/>
              <w:rPr>
                <w:rFonts w:cs="Arial"/>
                <w:szCs w:val="18"/>
                <w:highlight w:val="yellow"/>
                <w:lang w:val="en-GB"/>
              </w:rPr>
            </w:pPr>
            <w:r w:rsidRPr="006848F7">
              <w:rPr>
                <w:rFonts w:cs="Arial"/>
                <w:szCs w:val="18"/>
                <w:highlight w:val="yellow"/>
                <w:lang w:val="en-GB"/>
              </w:rPr>
              <w:t>n.a.</w:t>
            </w:r>
          </w:p>
        </w:tc>
        <w:tc>
          <w:tcPr>
            <w:tcW w:w="850" w:type="dxa"/>
            <w:shd w:val="clear" w:color="auto" w:fill="FFFFFF"/>
          </w:tcPr>
          <w:p w14:paraId="7B8A9D92" w14:textId="18C0BC25" w:rsidR="00927867" w:rsidRPr="006848F7" w:rsidRDefault="00927867" w:rsidP="00927867">
            <w:pPr>
              <w:pStyle w:val="CETBodytext"/>
              <w:ind w:right="-1"/>
              <w:jc w:val="center"/>
              <w:rPr>
                <w:rFonts w:cs="Arial"/>
                <w:szCs w:val="18"/>
                <w:highlight w:val="yellow"/>
                <w:lang w:val="en-GB"/>
              </w:rPr>
            </w:pPr>
            <w:r w:rsidRPr="006848F7">
              <w:rPr>
                <w:rFonts w:cs="Arial"/>
                <w:szCs w:val="18"/>
                <w:highlight w:val="yellow"/>
                <w:lang w:val="en-GB"/>
              </w:rPr>
              <w:t>30</w:t>
            </w:r>
          </w:p>
        </w:tc>
        <w:tc>
          <w:tcPr>
            <w:tcW w:w="709" w:type="dxa"/>
            <w:shd w:val="clear" w:color="auto" w:fill="FFFFFF"/>
          </w:tcPr>
          <w:p w14:paraId="3C0A27C9" w14:textId="13DBC6E8" w:rsidR="00927867" w:rsidRPr="006848F7" w:rsidRDefault="00927867" w:rsidP="00927867">
            <w:pPr>
              <w:pStyle w:val="CETBodytext"/>
              <w:ind w:right="-1"/>
              <w:jc w:val="center"/>
              <w:rPr>
                <w:rFonts w:cs="Arial"/>
                <w:szCs w:val="18"/>
                <w:highlight w:val="yellow"/>
                <w:lang w:val="en-GB"/>
              </w:rPr>
            </w:pPr>
            <w:r w:rsidRPr="006848F7">
              <w:rPr>
                <w:rFonts w:cs="Arial"/>
                <w:szCs w:val="18"/>
                <w:highlight w:val="yellow"/>
                <w:lang w:val="en-GB"/>
              </w:rPr>
              <w:t>50</w:t>
            </w:r>
          </w:p>
        </w:tc>
        <w:tc>
          <w:tcPr>
            <w:tcW w:w="1417" w:type="dxa"/>
            <w:shd w:val="clear" w:color="auto" w:fill="FFFFFF"/>
            <w:vAlign w:val="center"/>
          </w:tcPr>
          <w:p w14:paraId="071D41B1" w14:textId="2BA382FF" w:rsidR="00927867" w:rsidRPr="006848F7" w:rsidRDefault="00927867" w:rsidP="00927867">
            <w:pPr>
              <w:pStyle w:val="CETBodytext"/>
              <w:ind w:right="-1"/>
              <w:jc w:val="center"/>
              <w:rPr>
                <w:rFonts w:cs="Arial"/>
                <w:szCs w:val="18"/>
                <w:highlight w:val="yellow"/>
                <w:lang w:val="en-GB"/>
              </w:rPr>
            </w:pPr>
            <w:r w:rsidRPr="006848F7">
              <w:rPr>
                <w:rFonts w:cs="Arial"/>
                <w:szCs w:val="18"/>
                <w:highlight w:val="yellow"/>
                <w:lang w:val="en-GB"/>
              </w:rPr>
              <w:t>SWEB-T170</w:t>
            </w:r>
          </w:p>
        </w:tc>
      </w:tr>
      <w:tr w:rsidR="00927867" w:rsidRPr="00EE5558" w14:paraId="083B8981" w14:textId="77777777" w:rsidTr="00927867">
        <w:tc>
          <w:tcPr>
            <w:tcW w:w="1418" w:type="dxa"/>
            <w:shd w:val="clear" w:color="auto" w:fill="FFFFFF"/>
          </w:tcPr>
          <w:p w14:paraId="794B3574" w14:textId="7EDE2659" w:rsidR="00927867" w:rsidRPr="006848F7" w:rsidRDefault="00927867" w:rsidP="00927867">
            <w:pPr>
              <w:pStyle w:val="CETBodytext"/>
              <w:ind w:right="-1"/>
              <w:rPr>
                <w:rFonts w:cs="Arial"/>
                <w:szCs w:val="18"/>
                <w:highlight w:val="yellow"/>
                <w:lang w:val="en-GB"/>
              </w:rPr>
            </w:pPr>
            <w:r w:rsidRPr="006848F7">
              <w:rPr>
                <w:rFonts w:cs="Arial"/>
                <w:szCs w:val="18"/>
                <w:highlight w:val="yellow"/>
                <w:lang w:val="en-GB"/>
              </w:rPr>
              <w:t>Water</w:t>
            </w:r>
          </w:p>
        </w:tc>
        <w:tc>
          <w:tcPr>
            <w:tcW w:w="1134" w:type="dxa"/>
            <w:shd w:val="clear" w:color="auto" w:fill="FFFFFF"/>
          </w:tcPr>
          <w:p w14:paraId="532CEB35" w14:textId="053CDEC7" w:rsidR="00927867" w:rsidRPr="006848F7" w:rsidRDefault="00927867" w:rsidP="00927867">
            <w:pPr>
              <w:pStyle w:val="CETBodytext"/>
              <w:ind w:right="-1"/>
              <w:jc w:val="center"/>
              <w:rPr>
                <w:rFonts w:cs="Arial"/>
                <w:szCs w:val="18"/>
                <w:highlight w:val="yellow"/>
                <w:lang w:val="en-GB"/>
              </w:rPr>
            </w:pPr>
            <w:r w:rsidRPr="006848F7">
              <w:rPr>
                <w:rFonts w:cs="Arial"/>
                <w:szCs w:val="18"/>
                <w:highlight w:val="yellow"/>
                <w:lang w:val="en-GB"/>
              </w:rPr>
              <w:t>Batch</w:t>
            </w:r>
          </w:p>
        </w:tc>
        <w:tc>
          <w:tcPr>
            <w:tcW w:w="567" w:type="dxa"/>
            <w:shd w:val="clear" w:color="auto" w:fill="FFFFFF"/>
            <w:vAlign w:val="center"/>
          </w:tcPr>
          <w:p w14:paraId="554EA836" w14:textId="2FEDE153" w:rsidR="00927867" w:rsidRPr="006848F7" w:rsidRDefault="00927867" w:rsidP="00927867">
            <w:pPr>
              <w:pStyle w:val="CETBodytext"/>
              <w:ind w:right="-1"/>
              <w:jc w:val="center"/>
              <w:rPr>
                <w:rFonts w:cs="Arial"/>
                <w:szCs w:val="18"/>
                <w:highlight w:val="yellow"/>
                <w:lang w:val="en-GB"/>
              </w:rPr>
            </w:pPr>
            <w:r w:rsidRPr="006848F7">
              <w:rPr>
                <w:rFonts w:cs="Arial"/>
                <w:szCs w:val="18"/>
                <w:highlight w:val="yellow"/>
                <w:lang w:val="en-GB"/>
              </w:rPr>
              <w:t>220</w:t>
            </w:r>
          </w:p>
        </w:tc>
        <w:tc>
          <w:tcPr>
            <w:tcW w:w="850" w:type="dxa"/>
            <w:shd w:val="clear" w:color="auto" w:fill="FFFFFF"/>
            <w:vAlign w:val="center"/>
          </w:tcPr>
          <w:p w14:paraId="4598103C" w14:textId="6E809649" w:rsidR="00927867" w:rsidRPr="006848F7" w:rsidRDefault="00927867" w:rsidP="00927867">
            <w:pPr>
              <w:pStyle w:val="CETBodytext"/>
              <w:ind w:right="-1"/>
              <w:jc w:val="center"/>
              <w:rPr>
                <w:rFonts w:cs="Arial"/>
                <w:szCs w:val="18"/>
                <w:highlight w:val="yellow"/>
                <w:lang w:val="en-GB"/>
              </w:rPr>
            </w:pPr>
            <w:r w:rsidRPr="006848F7">
              <w:rPr>
                <w:rFonts w:cs="Arial"/>
                <w:szCs w:val="18"/>
                <w:highlight w:val="yellow"/>
                <w:lang w:val="en-GB"/>
              </w:rPr>
              <w:t>A</w:t>
            </w:r>
          </w:p>
        </w:tc>
        <w:tc>
          <w:tcPr>
            <w:tcW w:w="1418" w:type="dxa"/>
            <w:shd w:val="clear" w:color="auto" w:fill="FFFFFF"/>
          </w:tcPr>
          <w:p w14:paraId="45BDD13A" w14:textId="16508CE4" w:rsidR="00927867" w:rsidRPr="006848F7" w:rsidRDefault="00927867" w:rsidP="00927867">
            <w:pPr>
              <w:pStyle w:val="CETBodytext"/>
              <w:ind w:right="-1"/>
              <w:jc w:val="center"/>
              <w:rPr>
                <w:rFonts w:cs="Arial"/>
                <w:szCs w:val="18"/>
                <w:highlight w:val="yellow"/>
                <w:lang w:val="en-GB"/>
              </w:rPr>
            </w:pPr>
            <w:r w:rsidRPr="006848F7">
              <w:rPr>
                <w:rFonts w:cs="Arial"/>
                <w:szCs w:val="18"/>
                <w:highlight w:val="yellow"/>
                <w:lang w:val="en-GB"/>
              </w:rPr>
              <w:t>n.a.</w:t>
            </w:r>
          </w:p>
        </w:tc>
        <w:tc>
          <w:tcPr>
            <w:tcW w:w="850" w:type="dxa"/>
            <w:shd w:val="clear" w:color="auto" w:fill="FFFFFF"/>
          </w:tcPr>
          <w:p w14:paraId="1C64C42B" w14:textId="25D357A5" w:rsidR="00927867" w:rsidRPr="006848F7" w:rsidRDefault="00927867" w:rsidP="00927867">
            <w:pPr>
              <w:pStyle w:val="CETBodytext"/>
              <w:ind w:right="-1"/>
              <w:jc w:val="center"/>
              <w:rPr>
                <w:rFonts w:cs="Arial"/>
                <w:szCs w:val="18"/>
                <w:highlight w:val="yellow"/>
                <w:lang w:val="en-GB"/>
              </w:rPr>
            </w:pPr>
            <w:r w:rsidRPr="006848F7">
              <w:rPr>
                <w:rFonts w:cs="Arial"/>
                <w:szCs w:val="18"/>
                <w:highlight w:val="yellow"/>
                <w:lang w:val="en-GB"/>
              </w:rPr>
              <w:t>30</w:t>
            </w:r>
          </w:p>
        </w:tc>
        <w:tc>
          <w:tcPr>
            <w:tcW w:w="709" w:type="dxa"/>
            <w:shd w:val="clear" w:color="auto" w:fill="FFFFFF"/>
          </w:tcPr>
          <w:p w14:paraId="12B18AE3" w14:textId="716A5E90" w:rsidR="00927867" w:rsidRPr="006848F7" w:rsidRDefault="00927867" w:rsidP="00927867">
            <w:pPr>
              <w:pStyle w:val="CETBodytext"/>
              <w:ind w:right="-1"/>
              <w:jc w:val="center"/>
              <w:rPr>
                <w:rFonts w:cs="Arial"/>
                <w:szCs w:val="18"/>
                <w:highlight w:val="yellow"/>
                <w:lang w:val="en-GB"/>
              </w:rPr>
            </w:pPr>
            <w:r w:rsidRPr="006848F7">
              <w:rPr>
                <w:rFonts w:cs="Arial"/>
                <w:szCs w:val="18"/>
                <w:highlight w:val="yellow"/>
                <w:lang w:val="en-GB"/>
              </w:rPr>
              <w:t>50</w:t>
            </w:r>
          </w:p>
        </w:tc>
        <w:tc>
          <w:tcPr>
            <w:tcW w:w="1417" w:type="dxa"/>
            <w:shd w:val="clear" w:color="auto" w:fill="FFFFFF"/>
            <w:vAlign w:val="center"/>
          </w:tcPr>
          <w:p w14:paraId="75B3A7DC" w14:textId="33E04873" w:rsidR="00927867" w:rsidRPr="00EE5558" w:rsidRDefault="00927867" w:rsidP="00927867">
            <w:pPr>
              <w:pStyle w:val="CETBodytext"/>
              <w:ind w:right="-1"/>
              <w:jc w:val="center"/>
              <w:rPr>
                <w:rFonts w:cs="Arial"/>
                <w:szCs w:val="18"/>
                <w:lang w:val="en-GB"/>
              </w:rPr>
            </w:pPr>
            <w:r w:rsidRPr="006848F7">
              <w:rPr>
                <w:rFonts w:cs="Arial"/>
                <w:szCs w:val="18"/>
                <w:highlight w:val="yellow"/>
                <w:lang w:val="en-GB"/>
              </w:rPr>
              <w:t>SWEB-T220</w:t>
            </w:r>
          </w:p>
        </w:tc>
      </w:tr>
    </w:tbl>
    <w:p w14:paraId="6F16C099" w14:textId="77777777" w:rsidR="00E22073" w:rsidRPr="00EE5558" w:rsidRDefault="00E22073" w:rsidP="00E22073">
      <w:pPr>
        <w:pStyle w:val="CETBodytext"/>
        <w:rPr>
          <w:lang w:val="en-GB"/>
        </w:rPr>
      </w:pPr>
    </w:p>
    <w:p w14:paraId="0E389921" w14:textId="75591A55" w:rsidR="001627B2" w:rsidRPr="00EE5558" w:rsidRDefault="001E23F9" w:rsidP="005C77F5">
      <w:pPr>
        <w:pStyle w:val="CETBodytext"/>
        <w:rPr>
          <w:lang w:val="en-GB"/>
        </w:rPr>
      </w:pPr>
      <w:r w:rsidRPr="00EE5558">
        <w:rPr>
          <w:lang w:val="en-GB"/>
        </w:rPr>
        <w:t xml:space="preserve"> </w:t>
      </w:r>
      <w:r w:rsidR="00E22073" w:rsidRPr="00EE5558">
        <w:rPr>
          <w:rFonts w:ascii="Times New Roman" w:hAnsi="Times New Roman"/>
          <w:noProof/>
          <w:lang w:val="it-IT" w:eastAsia="it-IT"/>
        </w:rPr>
        <w:drawing>
          <wp:inline distT="0" distB="0" distL="0" distR="0" wp14:anchorId="14745BD5" wp14:editId="65F9E7AA">
            <wp:extent cx="2894420" cy="1565753"/>
            <wp:effectExtent l="0" t="0" r="0" b="0"/>
            <wp:docPr id="1963608502" name="Picture 1"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608502" name="Picture 1" descr="A diagram of a machine&#10;&#10;Description automatically generated"/>
                    <pic:cNvPicPr/>
                  </pic:nvPicPr>
                  <pic:blipFill rotWithShape="1">
                    <a:blip r:embed="rId16"/>
                    <a:srcRect l="2694" t="1677"/>
                    <a:stretch/>
                  </pic:blipFill>
                  <pic:spPr bwMode="auto">
                    <a:xfrm>
                      <a:off x="0" y="0"/>
                      <a:ext cx="2912547" cy="1575559"/>
                    </a:xfrm>
                    <a:prstGeom prst="rect">
                      <a:avLst/>
                    </a:prstGeom>
                    <a:ln>
                      <a:noFill/>
                    </a:ln>
                    <a:extLst>
                      <a:ext uri="{53640926-AAD7-44D8-BBD7-CCE9431645EC}">
                        <a14:shadowObscured xmlns:a14="http://schemas.microsoft.com/office/drawing/2010/main"/>
                      </a:ext>
                    </a:extLst>
                  </pic:spPr>
                </pic:pic>
              </a:graphicData>
            </a:graphic>
          </wp:inline>
        </w:drawing>
      </w:r>
      <w:r w:rsidR="00E22073" w:rsidRPr="00EE5558">
        <w:rPr>
          <w:rFonts w:ascii="Times New Roman" w:hAnsi="Times New Roman"/>
          <w:noProof/>
          <w:lang w:val="it-IT" w:eastAsia="it-IT"/>
        </w:rPr>
        <w:drawing>
          <wp:inline distT="0" distB="0" distL="0" distR="0" wp14:anchorId="76541EBE" wp14:editId="20F6D58D">
            <wp:extent cx="2636485" cy="1582455"/>
            <wp:effectExtent l="0" t="0" r="0" b="0"/>
            <wp:docPr id="519942644" name="Picture 1" descr="Diagram of a chemical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942644" name="Picture 1" descr="Diagram of a chemical proces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2411" cy="1598016"/>
                    </a:xfrm>
                    <a:prstGeom prst="rect">
                      <a:avLst/>
                    </a:prstGeom>
                  </pic:spPr>
                </pic:pic>
              </a:graphicData>
            </a:graphic>
          </wp:inline>
        </w:drawing>
      </w:r>
    </w:p>
    <w:p w14:paraId="61054475" w14:textId="6364C824" w:rsidR="00D35D02" w:rsidRPr="00EE5558" w:rsidRDefault="00C9165B" w:rsidP="00BF7666">
      <w:pPr>
        <w:pStyle w:val="CETCaption"/>
        <w:spacing w:before="0"/>
      </w:pPr>
      <w:r w:rsidRPr="00EE5558">
        <w:t xml:space="preserve">Figure 1: </w:t>
      </w:r>
      <w:r w:rsidR="00E22073" w:rsidRPr="00EE5558">
        <w:t>Left:</w:t>
      </w:r>
      <w:r w:rsidRPr="00EE5558">
        <w:t xml:space="preserve"> </w:t>
      </w:r>
      <w:r w:rsidR="00E22073" w:rsidRPr="00EE5558">
        <w:t xml:space="preserve">Diagram of the rig used for </w:t>
      </w:r>
      <w:r w:rsidR="00D975C3">
        <w:t>s</w:t>
      </w:r>
      <w:r w:rsidR="00D975C3" w:rsidRPr="00EE5558">
        <w:t xml:space="preserve">upercritical </w:t>
      </w:r>
      <w:r w:rsidR="00E22073" w:rsidRPr="00EE5558">
        <w:t>CO</w:t>
      </w:r>
      <w:r w:rsidR="00E22073" w:rsidRPr="00EE5558">
        <w:rPr>
          <w:vertAlign w:val="subscript"/>
        </w:rPr>
        <w:t>2</w:t>
      </w:r>
      <w:r w:rsidR="00E22073" w:rsidRPr="00EE5558">
        <w:t xml:space="preserve"> extraction and </w:t>
      </w:r>
      <w:r w:rsidR="00D975C3">
        <w:t>subcritical</w:t>
      </w:r>
      <w:r w:rsidR="00D975C3" w:rsidRPr="00EE5558">
        <w:t xml:space="preserve"> </w:t>
      </w:r>
      <w:r w:rsidR="00D975C3">
        <w:t>w</w:t>
      </w:r>
      <w:r w:rsidR="00E22073" w:rsidRPr="00EE5558">
        <w:t xml:space="preserve">ater </w:t>
      </w:r>
      <w:r w:rsidR="00D975C3">
        <w:t>e</w:t>
      </w:r>
      <w:r w:rsidR="00E22073" w:rsidRPr="00EE5558">
        <w:t xml:space="preserve">xtraction in continuous mode (from </w:t>
      </w:r>
      <w:r w:rsidR="00E22073" w:rsidRPr="00EE5558">
        <w:fldChar w:fldCharType="begin" w:fldLock="1"/>
      </w:r>
      <w:r w:rsidR="00232F59">
        <w:instrText>ADDIN CSL_CITATION {"citationItems":[{"id":"ITEM-1","itemData":{"DOI":"10.1016/j.fbp.2015.01.001","ISSN":"09603085","abstract":"Polyphenols were extracted from grape skins and defatted grape seeds (cultivar: Pinot Nero) by using subcritical water in a semi-continuous mode. Extractions were performed at a pressure of 10 MPa, at three different temperatures (80, 100 and 120 °C) and with two water flows. For both skins and defatted seeds, total polyphenol (TP) yield significantly increased with temperature: for skins from 44.3 ± 0.4 to 77 ± 3 mg/g, while for defatted seeds from 44 ± 2 to 124 ± 1 mg/g when the temperature increased from 80 to 120 °C. Importantly, TP yield decreased with flow rate at constant temperature. The extraction kinetics was simulated by a simple model from literature. The model adjustable parameters were calculated by best fitting procedures with experimental data: the model fitted the experimental kinetics curves in a satisfactory way, providing reference values for the adjustable parameters. The present research outlines the potentialities of using subcritical water for extracting valuable polyphenols from food processing by-products, and the effect of the operating conditions. Moreover, it proves that a very simple model from literature allows the interpretation of the extraction curves on the base of mass transfer and partition coefficients.","author":[{"dropping-particle":"","family":"Duba","given":"Kurabachew Simon","non-dropping-particle":"","parse-names":false,"suffix":""},{"dropping-particle":"","family":"Casazza","given":"Alessandro Alberto","non-dropping-particle":"","parse-names":false,"suffix":""},{"dropping-particle":"Ben","family":"Mohamed","given":"Hatem","non-dropping-particle":"","parse-names":false,"suffix":""},{"dropping-particle":"","family":"Perego","given":"Patrizia","non-dropping-particle":"","parse-names":false,"suffix":""},{"dropping-particle":"","family":"Fiori","given":"Luca","non-dropping-particle":"","parse-names":false,"suffix":""}],"container-title":"Food and Bioproducts Processing","id":"ITEM-1","issued":{"date-parts":[["2015"]]},"page":"29-38","publisher":"Institution of Chemical Engineers","title":"Extraction of polyphenols from grape skins and defatted grape seeds using subcritical water: Experiments and modeling","type":"article-journal","volume":"94"},"uris":["http://www.mendeley.com/documents/?uuid=b34997d6-15fc-4e1a-bf4d-4caabaa4abde"]}],"mendeley":{"formattedCitation":"(Duba &lt;i&gt;et al.&lt;/i&gt;, 2015)","plainTextFormattedCitation":"(Duba et al., 2015)","previouslyFormattedCitation":"(Duba &lt;i&gt;et al.&lt;/i&gt;, 2015)"},"properties":{"noteIndex":0},"schema":"https://github.com/citation-style-language/schema/raw/master/csl-citation.json"}</w:instrText>
      </w:r>
      <w:r w:rsidR="00E22073" w:rsidRPr="00EE5558">
        <w:fldChar w:fldCharType="separate"/>
      </w:r>
      <w:r w:rsidR="00EC7595" w:rsidRPr="00EC7595">
        <w:rPr>
          <w:i w:val="0"/>
          <w:noProof/>
        </w:rPr>
        <w:t xml:space="preserve">(Duba </w:t>
      </w:r>
      <w:r w:rsidR="00EC7595" w:rsidRPr="00EC7595">
        <w:rPr>
          <w:noProof/>
        </w:rPr>
        <w:t>et al.</w:t>
      </w:r>
      <w:r w:rsidR="00EC7595" w:rsidRPr="00EC7595">
        <w:rPr>
          <w:i w:val="0"/>
          <w:noProof/>
        </w:rPr>
        <w:t>, 2015)</w:t>
      </w:r>
      <w:r w:rsidR="00E22073" w:rsidRPr="00EE5558">
        <w:fldChar w:fldCharType="end"/>
      </w:r>
      <w:r w:rsidR="00E22073" w:rsidRPr="00EE5558">
        <w:t>). Right:</w:t>
      </w:r>
      <w:r w:rsidRPr="00EE5558">
        <w:t xml:space="preserve"> </w:t>
      </w:r>
      <w:r w:rsidR="00D975C3">
        <w:t>subcritical</w:t>
      </w:r>
      <w:r w:rsidR="00D975C3" w:rsidRPr="00EE5558">
        <w:t xml:space="preserve"> </w:t>
      </w:r>
      <w:r w:rsidR="00D975C3">
        <w:t>w</w:t>
      </w:r>
      <w:r w:rsidR="00D975C3" w:rsidRPr="00EE5558">
        <w:t xml:space="preserve">ater </w:t>
      </w:r>
      <w:r w:rsidR="00D975C3">
        <w:t>e</w:t>
      </w:r>
      <w:r w:rsidR="00D975C3" w:rsidRPr="00EE5558">
        <w:t xml:space="preserve">xtraction </w:t>
      </w:r>
      <w:r w:rsidR="00E22073" w:rsidRPr="00EE5558">
        <w:t xml:space="preserve">batch rig (1 – </w:t>
      </w:r>
      <w:r w:rsidR="00335089">
        <w:t>extractor</w:t>
      </w:r>
      <w:r w:rsidR="00335089" w:rsidRPr="00EE5558">
        <w:t xml:space="preserve"> </w:t>
      </w:r>
      <w:r w:rsidR="00E22073" w:rsidRPr="00EE5558">
        <w:t>vessel; 2 – band heater; 3 – rupture disc; 4 – N</w:t>
      </w:r>
      <w:r w:rsidR="00E22073" w:rsidRPr="00D207FB">
        <w:rPr>
          <w:vertAlign w:val="subscript"/>
        </w:rPr>
        <w:t>2</w:t>
      </w:r>
      <w:r w:rsidR="00E22073" w:rsidRPr="00EE5558">
        <w:t xml:space="preserve"> cylinder; 5 – open tank with water; 6 – cylinder for gas volume measurement; 7 – vacuum pump; 8 – vent of the fume hood cabinet; T – thermocouple; p – pressure sensor)</w:t>
      </w:r>
    </w:p>
    <w:p w14:paraId="45528260" w14:textId="77777777" w:rsidR="000C047B" w:rsidRPr="00EE5558" w:rsidRDefault="000C047B" w:rsidP="000C047B">
      <w:pPr>
        <w:pStyle w:val="CETHeading1"/>
        <w:tabs>
          <w:tab w:val="clear" w:pos="360"/>
          <w:tab w:val="right" w:pos="7100"/>
        </w:tabs>
        <w:jc w:val="both"/>
        <w:rPr>
          <w:lang w:val="en-GB"/>
        </w:rPr>
      </w:pPr>
      <w:r w:rsidRPr="00EE5558">
        <w:rPr>
          <w:lang w:val="en-GB"/>
        </w:rPr>
        <w:t>Results and discussion</w:t>
      </w:r>
    </w:p>
    <w:p w14:paraId="09607C1D" w14:textId="0E322621" w:rsidR="000C047B" w:rsidRDefault="00F45E49" w:rsidP="00EE5558">
      <w:pPr>
        <w:pStyle w:val="CETBodytext"/>
        <w:rPr>
          <w:lang w:val="en-GB"/>
        </w:rPr>
      </w:pPr>
      <w:r w:rsidRPr="00EE5558">
        <w:rPr>
          <w:lang w:val="en-GB"/>
        </w:rPr>
        <w:t xml:space="preserve">The </w:t>
      </w:r>
      <w:r w:rsidR="00637F49">
        <w:rPr>
          <w:lang w:val="en-GB"/>
        </w:rPr>
        <w:t xml:space="preserve">residual </w:t>
      </w:r>
      <w:r w:rsidRPr="00EE5558">
        <w:rPr>
          <w:lang w:val="en-GB"/>
        </w:rPr>
        <w:t xml:space="preserve">moisture content of the pre-dried </w:t>
      </w:r>
      <w:r w:rsidR="008C19C6" w:rsidRPr="008C19C6">
        <w:rPr>
          <w:highlight w:val="yellow"/>
          <w:lang w:val="en-GB"/>
        </w:rPr>
        <w:t>tomato peels and seeds</w:t>
      </w:r>
      <w:r w:rsidRPr="00EE5558">
        <w:rPr>
          <w:lang w:val="en-GB"/>
        </w:rPr>
        <w:t xml:space="preserve"> </w:t>
      </w:r>
      <w:r w:rsidR="00510AD8">
        <w:rPr>
          <w:lang w:val="en-GB"/>
        </w:rPr>
        <w:t xml:space="preserve">(PS) </w:t>
      </w:r>
      <w:r w:rsidRPr="00EE5558">
        <w:rPr>
          <w:lang w:val="en-GB"/>
        </w:rPr>
        <w:t>was 6.</w:t>
      </w:r>
      <w:r w:rsidR="00637F49">
        <w:rPr>
          <w:lang w:val="en-GB"/>
        </w:rPr>
        <w:t>8</w:t>
      </w:r>
      <w:r w:rsidR="00637F49" w:rsidRPr="00EE5558">
        <w:rPr>
          <w:lang w:val="en-GB"/>
        </w:rPr>
        <w:t xml:space="preserve"> </w:t>
      </w:r>
      <w:r w:rsidRPr="00EE5558">
        <w:rPr>
          <w:lang w:val="en-GB"/>
        </w:rPr>
        <w:t>% (wet basis)</w:t>
      </w:r>
      <w:r w:rsidR="00A04792">
        <w:rPr>
          <w:lang w:val="en-GB"/>
        </w:rPr>
        <w:t xml:space="preserve"> and </w:t>
      </w:r>
      <w:r w:rsidR="00637F49">
        <w:rPr>
          <w:lang w:val="en-GB"/>
        </w:rPr>
        <w:t xml:space="preserve">its </w:t>
      </w:r>
      <w:r w:rsidR="00A04792">
        <w:rPr>
          <w:lang w:val="en-GB"/>
        </w:rPr>
        <w:t>density was 1.22 g/cm</w:t>
      </w:r>
      <w:r w:rsidR="00A04792" w:rsidRPr="00A04792">
        <w:rPr>
          <w:vertAlign w:val="superscript"/>
          <w:lang w:val="en-GB"/>
        </w:rPr>
        <w:t>3</w:t>
      </w:r>
      <w:r w:rsidRPr="00EE5558">
        <w:rPr>
          <w:lang w:val="en-GB"/>
        </w:rPr>
        <w:t xml:space="preserve">. The oil yield </w:t>
      </w:r>
      <w:r w:rsidR="004501AB">
        <w:rPr>
          <w:lang w:val="en-GB"/>
        </w:rPr>
        <w:t>resulting from</w:t>
      </w:r>
      <w:r w:rsidR="004501AB" w:rsidRPr="00EE5558">
        <w:rPr>
          <w:lang w:val="en-GB"/>
        </w:rPr>
        <w:t xml:space="preserve"> </w:t>
      </w:r>
      <w:r w:rsidRPr="00EE5558">
        <w:rPr>
          <w:lang w:val="en-GB"/>
        </w:rPr>
        <w:t xml:space="preserve">Randall extraction was 0.108 </w:t>
      </w:r>
      <w:proofErr w:type="spellStart"/>
      <w:r w:rsidRPr="00EE5558">
        <w:rPr>
          <w:lang w:val="en-GB"/>
        </w:rPr>
        <w:t>g</w:t>
      </w:r>
      <w:r w:rsidRPr="00EE5558">
        <w:rPr>
          <w:vertAlign w:val="subscript"/>
          <w:lang w:val="en-GB"/>
        </w:rPr>
        <w:t>oil</w:t>
      </w:r>
      <w:proofErr w:type="spellEnd"/>
      <w:r w:rsidRPr="00EE5558">
        <w:rPr>
          <w:lang w:val="en-GB"/>
        </w:rPr>
        <w:t>/</w:t>
      </w:r>
      <w:proofErr w:type="spellStart"/>
      <w:r w:rsidRPr="00EE5558">
        <w:rPr>
          <w:lang w:val="en-GB"/>
        </w:rPr>
        <w:t>g</w:t>
      </w:r>
      <w:r w:rsidRPr="00EE5558">
        <w:rPr>
          <w:vertAlign w:val="subscript"/>
          <w:lang w:val="en-GB"/>
        </w:rPr>
        <w:t>dry</w:t>
      </w:r>
      <w:proofErr w:type="spellEnd"/>
      <w:r w:rsidRPr="00EE5558">
        <w:rPr>
          <w:vertAlign w:val="subscript"/>
          <w:lang w:val="en-GB"/>
        </w:rPr>
        <w:t>-feedstock</w:t>
      </w:r>
      <w:r w:rsidRPr="00EE5558">
        <w:rPr>
          <w:lang w:val="en-GB"/>
        </w:rPr>
        <w:t>.</w:t>
      </w:r>
      <w:r w:rsidR="00E23DC8" w:rsidRPr="00EE5558">
        <w:rPr>
          <w:lang w:val="en-GB"/>
        </w:rPr>
        <w:t xml:space="preserve"> During </w:t>
      </w:r>
      <w:r w:rsidR="00011CCA" w:rsidRPr="00EE5558">
        <w:t>S</w:t>
      </w:r>
      <w:r w:rsidR="00011CCA">
        <w:t>C</w:t>
      </w:r>
      <w:r w:rsidR="00011CCA" w:rsidRPr="00EE5558">
        <w:t>O</w:t>
      </w:r>
      <w:r w:rsidR="00011CCA" w:rsidRPr="00EE5558">
        <w:rPr>
          <w:vertAlign w:val="subscript"/>
        </w:rPr>
        <w:t>2</w:t>
      </w:r>
      <w:r w:rsidR="00011CCA">
        <w:t>E</w:t>
      </w:r>
      <w:r w:rsidR="00E23DC8" w:rsidRPr="00EE5558">
        <w:rPr>
          <w:lang w:val="en-GB"/>
        </w:rPr>
        <w:t xml:space="preserve">, </w:t>
      </w:r>
      <w:r w:rsidR="00C639F1">
        <w:rPr>
          <w:lang w:val="en-GB"/>
        </w:rPr>
        <w:t xml:space="preserve">extraction </w:t>
      </w:r>
      <w:r w:rsidR="00E23DC8" w:rsidRPr="00EE5558">
        <w:rPr>
          <w:lang w:val="en-GB"/>
        </w:rPr>
        <w:t>efficiencies higher than 50% were achieved (Table 2). Performed research clearly shows that</w:t>
      </w:r>
      <w:r w:rsidR="00210D22">
        <w:rPr>
          <w:lang w:val="en-GB"/>
        </w:rPr>
        <w:t>,</w:t>
      </w:r>
      <w:r w:rsidR="00E23DC8" w:rsidRPr="00EE5558">
        <w:rPr>
          <w:lang w:val="en-GB"/>
        </w:rPr>
        <w:t xml:space="preserve"> apart from temperature and pressure</w:t>
      </w:r>
      <w:r w:rsidR="00210D22">
        <w:rPr>
          <w:lang w:val="en-GB"/>
        </w:rPr>
        <w:t xml:space="preserve">, </w:t>
      </w:r>
      <w:r w:rsidR="00E23DC8" w:rsidRPr="00EE5558">
        <w:rPr>
          <w:lang w:val="en-GB"/>
        </w:rPr>
        <w:t>also flow rate is</w:t>
      </w:r>
      <w:r w:rsidR="00EE5558" w:rsidRPr="00EE5558">
        <w:rPr>
          <w:lang w:val="en-GB"/>
        </w:rPr>
        <w:t xml:space="preserve"> an important parameter since SCO2E-p380T60 and SCO2E-p380T70 experiments were performed with much higher flow rates than SCO2E-p41</w:t>
      </w:r>
      <w:r w:rsidR="00D207FB">
        <w:rPr>
          <w:lang w:val="en-GB"/>
        </w:rPr>
        <w:t>0</w:t>
      </w:r>
      <w:r w:rsidR="00EE5558" w:rsidRPr="00EE5558">
        <w:rPr>
          <w:lang w:val="en-GB"/>
        </w:rPr>
        <w:t>T70 and SCO2E-p3</w:t>
      </w:r>
      <w:r w:rsidR="00D207FB">
        <w:rPr>
          <w:lang w:val="en-GB"/>
        </w:rPr>
        <w:t>90</w:t>
      </w:r>
      <w:r w:rsidR="00EE5558" w:rsidRPr="00EE5558">
        <w:rPr>
          <w:lang w:val="en-GB"/>
        </w:rPr>
        <w:t xml:space="preserve">T70, the two latter achieving much higher efficiencies. Since </w:t>
      </w:r>
      <w:r w:rsidR="00F514B1">
        <w:rPr>
          <w:lang w:val="en-GB"/>
        </w:rPr>
        <w:t xml:space="preserve">the </w:t>
      </w:r>
      <w:r w:rsidR="00EE5558" w:rsidRPr="00EE5558">
        <w:rPr>
          <w:lang w:val="en-GB"/>
        </w:rPr>
        <w:t>solubility of any solute in SC</w:t>
      </w:r>
      <w:r w:rsidR="001B436C">
        <w:rPr>
          <w:lang w:val="en-GB"/>
        </w:rPr>
        <w:t>-C</w:t>
      </w:r>
      <w:r w:rsidR="00EE5558" w:rsidRPr="00EE5558">
        <w:rPr>
          <w:lang w:val="en-GB"/>
        </w:rPr>
        <w:t>O</w:t>
      </w:r>
      <w:r w:rsidR="00EE5558" w:rsidRPr="00EE5558">
        <w:rPr>
          <w:vertAlign w:val="subscript"/>
          <w:lang w:val="en-GB"/>
        </w:rPr>
        <w:t>2</w:t>
      </w:r>
      <w:r w:rsidR="00EE5558" w:rsidRPr="00EE5558">
        <w:rPr>
          <w:lang w:val="en-GB"/>
        </w:rPr>
        <w:t xml:space="preserve"> depends on </w:t>
      </w:r>
      <w:r w:rsidR="00F514B1">
        <w:rPr>
          <w:lang w:val="en-GB"/>
        </w:rPr>
        <w:t xml:space="preserve">the </w:t>
      </w:r>
      <w:r w:rsidR="00EE5558" w:rsidRPr="00EE5558">
        <w:rPr>
          <w:lang w:val="en-GB"/>
        </w:rPr>
        <w:t xml:space="preserve">temperature and pressure of extraction </w:t>
      </w:r>
      <w:r w:rsidR="00EE5558" w:rsidRPr="00EE5558">
        <w:rPr>
          <w:lang w:val="en-GB"/>
        </w:rPr>
        <w:fldChar w:fldCharType="begin" w:fldLock="1"/>
      </w:r>
      <w:r w:rsidR="00A04792">
        <w:rPr>
          <w:lang w:val="en-GB"/>
        </w:rPr>
        <w:instrText>ADDIN CSL_CITATION {"citationItems":[{"id":"ITEM-1","itemData":{"DOI":"10.1016/j.cofs.2015.06.009","ISSN":"22147993","abstract":"Food processing residues are often rich in bioactive compounds which, if properly extracted and recovered, can be re-utilized as food supplements or in nutraceutical formulations, with obvious advantages from the health and economical standpoints. High pressure extraction processes can be utilized for such purpose. They are usually performed or using supercritical fluids, namely supercritical CO&lt;inf&gt;2&lt;/inf&gt; suitable for extracting non-polar solutes, or using pressurized liquids, for instance water capable to extract polar and semi-polar compounds. This short review highlights the application of high pressure technologies for the extraction of bioactives from food processing residues with special emphasis on the most recent works and patents.","author":[{"dropping-particle":"","family":"Duba","given":"Kurabachew Simon","non-dropping-particle":"","parse-names":false,"suffix":""},{"dropping-particle":"","family":"Fiori","given":"Luca","non-dropping-particle":"","parse-names":false,"suffix":""}],"container-title":"Current Opinion in Food Science","id":"ITEM-1","issued":{"date-parts":[["2015"]]},"page":"14-22","publisher":"Elsevier Ltd","title":"Extraction of bioactives from food processing residues using techniques performed at high pressures","type":"article-journal","volume":"5"},"uris":["http://www.mendeley.com/documents/?uuid=5edf078e-6e2c-45bd-acda-cb9fb4ff7d67"]}],"mendeley":{"formattedCitation":"(Duba and Fiori, 2015)","plainTextFormattedCitation":"(Duba and Fiori, 2015)","previouslyFormattedCitation":"(Duba and Fiori, 2015)"},"properties":{"noteIndex":0},"schema":"https://github.com/citation-style-language/schema/raw/master/csl-citation.json"}</w:instrText>
      </w:r>
      <w:r w:rsidR="00EE5558" w:rsidRPr="00EE5558">
        <w:rPr>
          <w:lang w:val="en-GB"/>
        </w:rPr>
        <w:fldChar w:fldCharType="separate"/>
      </w:r>
      <w:r w:rsidR="00EE5558" w:rsidRPr="00EE5558">
        <w:rPr>
          <w:noProof/>
          <w:lang w:val="en-GB"/>
        </w:rPr>
        <w:t>(Duba and Fiori, 2015)</w:t>
      </w:r>
      <w:r w:rsidR="00EE5558" w:rsidRPr="00EE5558">
        <w:rPr>
          <w:lang w:val="en-GB"/>
        </w:rPr>
        <w:fldChar w:fldCharType="end"/>
      </w:r>
      <w:r w:rsidR="00EE5558" w:rsidRPr="00EE5558">
        <w:rPr>
          <w:lang w:val="en-GB"/>
        </w:rPr>
        <w:t xml:space="preserve">, it seems plausible to hypothesize that </w:t>
      </w:r>
      <w:r w:rsidR="00F514B1">
        <w:rPr>
          <w:lang w:val="en-GB"/>
        </w:rPr>
        <w:t xml:space="preserve">the </w:t>
      </w:r>
      <w:r w:rsidR="00EE5558">
        <w:rPr>
          <w:lang w:val="en-GB"/>
        </w:rPr>
        <w:t xml:space="preserve">observed </w:t>
      </w:r>
      <w:r w:rsidR="00EE5558" w:rsidRPr="00EE5558">
        <w:rPr>
          <w:lang w:val="en-GB"/>
        </w:rPr>
        <w:t>dependence of</w:t>
      </w:r>
      <w:r w:rsidR="00EE5558">
        <w:rPr>
          <w:lang w:val="en-GB"/>
        </w:rPr>
        <w:t xml:space="preserve"> the oil extraction efficiency on the CO</w:t>
      </w:r>
      <w:r w:rsidR="00EE5558" w:rsidRPr="00EE5558">
        <w:rPr>
          <w:vertAlign w:val="subscript"/>
          <w:lang w:val="en-GB"/>
        </w:rPr>
        <w:t>2</w:t>
      </w:r>
      <w:r w:rsidR="00EE5558">
        <w:rPr>
          <w:lang w:val="en-GB"/>
        </w:rPr>
        <w:t xml:space="preserve"> flow rate is not caused by differences in solubility, but rather by losses during depressurisation and oil collection stage. </w:t>
      </w:r>
      <w:r w:rsidR="007C7022">
        <w:rPr>
          <w:lang w:val="en-GB"/>
        </w:rPr>
        <w:t xml:space="preserve">For the same geometry and temperatures, </w:t>
      </w:r>
      <w:r w:rsidR="00F514B1">
        <w:rPr>
          <w:lang w:val="en-GB"/>
        </w:rPr>
        <w:t xml:space="preserve">a </w:t>
      </w:r>
      <w:r w:rsidR="007C7022">
        <w:rPr>
          <w:lang w:val="en-GB"/>
        </w:rPr>
        <w:t xml:space="preserve">higher flow rate is always associated with higher velocities. Since </w:t>
      </w:r>
      <w:r w:rsidR="00F514B1">
        <w:rPr>
          <w:lang w:val="en-GB"/>
        </w:rPr>
        <w:t xml:space="preserve">the </w:t>
      </w:r>
      <w:r w:rsidR="007C7022">
        <w:rPr>
          <w:lang w:val="en-GB"/>
        </w:rPr>
        <w:t xml:space="preserve">depressurised solution </w:t>
      </w:r>
      <w:r w:rsidR="00846442">
        <w:rPr>
          <w:lang w:val="en-GB"/>
        </w:rPr>
        <w:t>(CO</w:t>
      </w:r>
      <w:r w:rsidR="00846442" w:rsidRPr="00D207FB">
        <w:rPr>
          <w:vertAlign w:val="subscript"/>
          <w:lang w:val="en-GB"/>
        </w:rPr>
        <w:t>2</w:t>
      </w:r>
      <w:r w:rsidR="00846442">
        <w:rPr>
          <w:lang w:val="en-GB"/>
        </w:rPr>
        <w:t xml:space="preserve"> + oil) </w:t>
      </w:r>
      <w:r w:rsidR="007C7022">
        <w:rPr>
          <w:lang w:val="en-GB"/>
        </w:rPr>
        <w:t xml:space="preserve">was split in a glass separation funnel, it seems sensible to suspect that higher velocities caused </w:t>
      </w:r>
      <w:r w:rsidR="00F514B1">
        <w:rPr>
          <w:lang w:val="en-GB"/>
        </w:rPr>
        <w:t xml:space="preserve">a </w:t>
      </w:r>
      <w:r w:rsidR="007C7022">
        <w:rPr>
          <w:lang w:val="en-GB"/>
        </w:rPr>
        <w:t>higher loss of droplets of condensing oil, entrained by the CO</w:t>
      </w:r>
      <w:r w:rsidR="007C7022" w:rsidRPr="007C7022">
        <w:rPr>
          <w:vertAlign w:val="subscript"/>
          <w:lang w:val="en-GB"/>
        </w:rPr>
        <w:t>2</w:t>
      </w:r>
      <w:r w:rsidR="007C7022">
        <w:rPr>
          <w:lang w:val="en-GB"/>
        </w:rPr>
        <w:t xml:space="preserve"> flowing out of the separator. Additionally, during </w:t>
      </w:r>
      <w:r w:rsidR="007C7022" w:rsidRPr="00EE5558">
        <w:rPr>
          <w:lang w:val="en-GB"/>
        </w:rPr>
        <w:t>SCO2E-p380T60 and SCO2E-p380T70 experiments</w:t>
      </w:r>
      <w:r w:rsidR="00F32275">
        <w:rPr>
          <w:lang w:val="en-GB"/>
        </w:rPr>
        <w:t>, the</w:t>
      </w:r>
      <w:r w:rsidR="0076408A">
        <w:rPr>
          <w:lang w:val="en-GB"/>
        </w:rPr>
        <w:t xml:space="preserve"> formation of dry ice </w:t>
      </w:r>
      <w:r w:rsidR="00F32275">
        <w:rPr>
          <w:lang w:val="en-GB"/>
        </w:rPr>
        <w:t>was</w:t>
      </w:r>
      <w:r w:rsidR="0076408A">
        <w:rPr>
          <w:lang w:val="en-GB"/>
        </w:rPr>
        <w:t xml:space="preserve"> observed, which could be attributed to the high</w:t>
      </w:r>
      <w:r w:rsidR="007C7022">
        <w:rPr>
          <w:lang w:val="en-GB"/>
        </w:rPr>
        <w:t xml:space="preserve"> flow rates exacerbat</w:t>
      </w:r>
      <w:r w:rsidR="0076408A">
        <w:rPr>
          <w:lang w:val="en-GB"/>
        </w:rPr>
        <w:t>ing</w:t>
      </w:r>
      <w:r w:rsidR="007C7022">
        <w:rPr>
          <w:lang w:val="en-GB"/>
        </w:rPr>
        <w:t xml:space="preserve"> </w:t>
      </w:r>
      <w:r w:rsidR="00F514B1">
        <w:rPr>
          <w:lang w:val="en-GB"/>
        </w:rPr>
        <w:t xml:space="preserve">the </w:t>
      </w:r>
      <w:r w:rsidR="007C7022">
        <w:rPr>
          <w:lang w:val="en-GB"/>
        </w:rPr>
        <w:t>Joule-Thomson cooling effect</w:t>
      </w:r>
      <w:r w:rsidR="0076408A">
        <w:rPr>
          <w:lang w:val="en-GB"/>
        </w:rPr>
        <w:t>.</w:t>
      </w:r>
    </w:p>
    <w:p w14:paraId="4337CA37" w14:textId="2F274A9A" w:rsidR="0016110C" w:rsidRDefault="0016110C" w:rsidP="0016110C">
      <w:pPr>
        <w:pStyle w:val="CETBodytext"/>
        <w:rPr>
          <w:lang w:val="en-GB"/>
        </w:rPr>
      </w:pPr>
      <w:r>
        <w:rPr>
          <w:lang w:val="en-GB"/>
        </w:rPr>
        <w:t xml:space="preserve">Extraction time influenced the </w:t>
      </w:r>
      <w:r w:rsidRPr="00EE5558">
        <w:t>S</w:t>
      </w:r>
      <w:r>
        <w:t>C</w:t>
      </w:r>
      <w:r w:rsidRPr="00EE5558">
        <w:t>O</w:t>
      </w:r>
      <w:r w:rsidRPr="00EE5558">
        <w:rPr>
          <w:vertAlign w:val="subscript"/>
        </w:rPr>
        <w:t>2</w:t>
      </w:r>
      <w:r>
        <w:t>E</w:t>
      </w:r>
      <w:r>
        <w:rPr>
          <w:lang w:val="en-GB"/>
        </w:rPr>
        <w:t xml:space="preserve"> efficiency only for the case of short extraction times, i.e., 30 min for </w:t>
      </w:r>
      <w:r w:rsidRPr="00712268">
        <w:rPr>
          <w:lang w:val="en-GB"/>
        </w:rPr>
        <w:t>SCO2E-p380T60</w:t>
      </w:r>
      <w:r>
        <w:rPr>
          <w:lang w:val="en-GB"/>
        </w:rPr>
        <w:t xml:space="preserve"> and 40 min for </w:t>
      </w:r>
      <w:r w:rsidRPr="00712268">
        <w:rPr>
          <w:lang w:val="en-GB"/>
        </w:rPr>
        <w:t>SCO2E-p380T70</w:t>
      </w:r>
      <w:r>
        <w:rPr>
          <w:lang w:val="en-GB"/>
        </w:rPr>
        <w:t xml:space="preserve">, which resulted in </w:t>
      </w:r>
      <w:r w:rsidRPr="00232F59">
        <w:rPr>
          <w:highlight w:val="yellow"/>
          <w:lang w:val="en-GB"/>
        </w:rPr>
        <w:t>relative</w:t>
      </w:r>
      <w:r>
        <w:rPr>
          <w:lang w:val="en-GB"/>
        </w:rPr>
        <w:t xml:space="preserve"> oil extraction efficiencies of 34.9 and 41.9%, respectively. For </w:t>
      </w:r>
      <w:r w:rsidRPr="006A4356">
        <w:rPr>
          <w:lang w:val="en-GB"/>
        </w:rPr>
        <w:t>SCO2E-p41</w:t>
      </w:r>
      <w:r>
        <w:rPr>
          <w:lang w:val="en-GB"/>
        </w:rPr>
        <w:t>0</w:t>
      </w:r>
      <w:r w:rsidRPr="006A4356">
        <w:rPr>
          <w:lang w:val="en-GB"/>
        </w:rPr>
        <w:t>T70</w:t>
      </w:r>
      <w:r>
        <w:rPr>
          <w:lang w:val="en-GB"/>
        </w:rPr>
        <w:t xml:space="preserve"> and </w:t>
      </w:r>
      <w:r w:rsidRPr="006A4356">
        <w:rPr>
          <w:lang w:val="en-GB"/>
        </w:rPr>
        <w:t>SCO2E-p3</w:t>
      </w:r>
      <w:r>
        <w:rPr>
          <w:lang w:val="en-GB"/>
        </w:rPr>
        <w:t>90</w:t>
      </w:r>
      <w:r w:rsidRPr="006A4356">
        <w:rPr>
          <w:lang w:val="en-GB"/>
        </w:rPr>
        <w:t>T70</w:t>
      </w:r>
      <w:r>
        <w:rPr>
          <w:lang w:val="en-GB"/>
        </w:rPr>
        <w:t xml:space="preserve">, differences in extraction time did not matter in terms of their respective </w:t>
      </w:r>
      <w:r w:rsidRPr="00232F59">
        <w:rPr>
          <w:highlight w:val="yellow"/>
          <w:lang w:val="en-GB"/>
        </w:rPr>
        <w:t>relative</w:t>
      </w:r>
      <w:r>
        <w:rPr>
          <w:lang w:val="en-GB"/>
        </w:rPr>
        <w:t xml:space="preserve"> oil extraction efficiencies, since both experiments were conducted until </w:t>
      </w:r>
      <w:r w:rsidR="005F6093" w:rsidRPr="00AE1AB3">
        <w:rPr>
          <w:highlight w:val="yellow"/>
          <w:lang w:val="en-GB"/>
        </w:rPr>
        <w:t>no more oil was extracted</w:t>
      </w:r>
      <w:r>
        <w:rPr>
          <w:lang w:val="en-GB"/>
        </w:rPr>
        <w:t xml:space="preserve">. Much longer extraction time in the case of </w:t>
      </w:r>
      <w:r w:rsidRPr="006A4356">
        <w:rPr>
          <w:lang w:val="en-GB"/>
        </w:rPr>
        <w:t>SCO2E-p3</w:t>
      </w:r>
      <w:r>
        <w:rPr>
          <w:lang w:val="en-GB"/>
        </w:rPr>
        <w:t>90</w:t>
      </w:r>
      <w:r w:rsidRPr="006A4356">
        <w:rPr>
          <w:lang w:val="en-GB"/>
        </w:rPr>
        <w:t>T70</w:t>
      </w:r>
      <w:r>
        <w:rPr>
          <w:lang w:val="en-GB"/>
        </w:rPr>
        <w:t xml:space="preserve"> was related to the use of </w:t>
      </w:r>
      <w:r w:rsidR="00A03034" w:rsidRPr="00AE1AB3">
        <w:rPr>
          <w:highlight w:val="yellow"/>
          <w:lang w:val="en-GB"/>
        </w:rPr>
        <w:t>a</w:t>
      </w:r>
      <w:r>
        <w:rPr>
          <w:lang w:val="en-GB"/>
        </w:rPr>
        <w:t xml:space="preserve"> bigger volume of the extraction basket (500 vs 200 mL), which was filled with more PS, thus requiring a longer time to exhaust the matrix. Nonetheless, from the point of view of </w:t>
      </w:r>
      <w:r w:rsidRPr="00EE5558">
        <w:t>S</w:t>
      </w:r>
      <w:r>
        <w:t>C</w:t>
      </w:r>
      <w:r w:rsidRPr="00EE5558">
        <w:t>O</w:t>
      </w:r>
      <w:r w:rsidRPr="00EE5558">
        <w:rPr>
          <w:vertAlign w:val="subscript"/>
        </w:rPr>
        <w:t>2</w:t>
      </w:r>
      <w:r>
        <w:t>E</w:t>
      </w:r>
      <w:r>
        <w:rPr>
          <w:lang w:val="en-GB"/>
        </w:rPr>
        <w:t xml:space="preserve"> kinetics, basket size did not matter, as similar kinetics could be observed for both </w:t>
      </w:r>
      <w:r w:rsidRPr="00A04792">
        <w:rPr>
          <w:lang w:val="en-GB"/>
        </w:rPr>
        <w:t>SCO2E-p41</w:t>
      </w:r>
      <w:r>
        <w:rPr>
          <w:lang w:val="en-GB"/>
        </w:rPr>
        <w:t>0</w:t>
      </w:r>
      <w:r w:rsidRPr="00A04792">
        <w:rPr>
          <w:lang w:val="en-GB"/>
        </w:rPr>
        <w:t>T70</w:t>
      </w:r>
      <w:r>
        <w:rPr>
          <w:lang w:val="en-GB"/>
        </w:rPr>
        <w:t xml:space="preserve"> and </w:t>
      </w:r>
      <w:r w:rsidRPr="00A04792">
        <w:rPr>
          <w:lang w:val="en-GB"/>
        </w:rPr>
        <w:t>SCO2E-p3</w:t>
      </w:r>
      <w:r>
        <w:rPr>
          <w:lang w:val="en-GB"/>
        </w:rPr>
        <w:t>90</w:t>
      </w:r>
      <w:r w:rsidRPr="00A04792">
        <w:rPr>
          <w:lang w:val="en-GB"/>
        </w:rPr>
        <w:t>T70</w:t>
      </w:r>
      <w:r>
        <w:rPr>
          <w:lang w:val="en-GB"/>
        </w:rPr>
        <w:t xml:space="preserve"> (Figure 2). Especially, for the part of the extraction process limited by the solubility of the oil in SC-CO</w:t>
      </w:r>
      <w:r w:rsidRPr="00444251">
        <w:rPr>
          <w:vertAlign w:val="subscript"/>
          <w:lang w:val="en-GB"/>
        </w:rPr>
        <w:t>2</w:t>
      </w:r>
      <w:r>
        <w:rPr>
          <w:lang w:val="en-GB"/>
        </w:rPr>
        <w:t>, a similar linear trend was found (see trend lines for the linear part of the curve – Figure 2).</w:t>
      </w:r>
    </w:p>
    <w:p w14:paraId="01830C2F" w14:textId="77777777" w:rsidR="007F7096" w:rsidRDefault="007F7096" w:rsidP="0016110C">
      <w:pPr>
        <w:pStyle w:val="CETBodytext"/>
        <w:rPr>
          <w:lang w:val="en-GB"/>
        </w:rPr>
      </w:pPr>
    </w:p>
    <w:p w14:paraId="3FDEC295" w14:textId="77777777" w:rsidR="0016110C" w:rsidRPr="0016110C" w:rsidRDefault="0016110C" w:rsidP="0016110C">
      <w:pPr>
        <w:pStyle w:val="CETBodytext"/>
        <w:rPr>
          <w:sz w:val="6"/>
          <w:szCs w:val="6"/>
          <w:lang w:val="en-GB"/>
        </w:rPr>
      </w:pPr>
    </w:p>
    <w:p w14:paraId="2E302E0B" w14:textId="4E5577B9" w:rsidR="00E23DC8" w:rsidRPr="00EE5558" w:rsidRDefault="00E23DC8" w:rsidP="0016110C">
      <w:pPr>
        <w:pStyle w:val="CETBodytext"/>
        <w:rPr>
          <w:lang w:val="en-GB"/>
        </w:rPr>
      </w:pPr>
      <w:r w:rsidRPr="00EE5558">
        <w:rPr>
          <w:lang w:val="en-GB"/>
        </w:rPr>
        <w:lastRenderedPageBreak/>
        <w:t>Table 2:  Yields for performed SC</w:t>
      </w:r>
      <w:r w:rsidR="001B436C">
        <w:rPr>
          <w:lang w:val="en-GB"/>
        </w:rPr>
        <w:t>-C</w:t>
      </w:r>
      <w:r w:rsidRPr="00EE5558">
        <w:rPr>
          <w:lang w:val="en-GB"/>
        </w:rPr>
        <w:t>O</w:t>
      </w:r>
      <w:r w:rsidRPr="00EE5558">
        <w:rPr>
          <w:vertAlign w:val="subscript"/>
          <w:lang w:val="en-GB"/>
        </w:rPr>
        <w:t>2</w:t>
      </w:r>
      <w:r w:rsidRPr="00EE5558">
        <w:rPr>
          <w:lang w:val="en-GB"/>
        </w:rPr>
        <w:t xml:space="preserve"> </w:t>
      </w:r>
      <w:r w:rsidR="00E359EA">
        <w:rPr>
          <w:lang w:val="en-GB"/>
        </w:rPr>
        <w:t>e</w:t>
      </w:r>
      <w:r w:rsidRPr="00EE5558">
        <w:rPr>
          <w:lang w:val="en-GB"/>
        </w:rPr>
        <w:t>xtraction and SWE (n.d. – not determined; n.a. – not available).</w:t>
      </w:r>
    </w:p>
    <w:tbl>
      <w:tblPr>
        <w:tblW w:w="7587" w:type="dxa"/>
        <w:jc w:val="center"/>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1418"/>
        <w:gridCol w:w="1276"/>
        <w:gridCol w:w="850"/>
        <w:gridCol w:w="992"/>
        <w:gridCol w:w="851"/>
        <w:gridCol w:w="994"/>
        <w:gridCol w:w="1206"/>
      </w:tblGrid>
      <w:tr w:rsidR="00134E43" w:rsidRPr="00EE5558" w14:paraId="41A46D7A" w14:textId="0100D539" w:rsidTr="00134E43">
        <w:trPr>
          <w:jc w:val="center"/>
        </w:trPr>
        <w:tc>
          <w:tcPr>
            <w:tcW w:w="1418" w:type="dxa"/>
            <w:tcBorders>
              <w:top w:val="single" w:sz="12" w:space="0" w:color="008000"/>
              <w:bottom w:val="single" w:sz="6" w:space="0" w:color="008000"/>
            </w:tcBorders>
            <w:shd w:val="clear" w:color="auto" w:fill="FFFFFF"/>
          </w:tcPr>
          <w:p w14:paraId="09632A73" w14:textId="77777777" w:rsidR="00134E43" w:rsidRPr="00EE5558" w:rsidRDefault="00134E43" w:rsidP="00676ABF">
            <w:pPr>
              <w:pStyle w:val="CETBodytext"/>
              <w:rPr>
                <w:lang w:val="en-GB"/>
              </w:rPr>
            </w:pPr>
            <w:r w:rsidRPr="00EE5558">
              <w:rPr>
                <w:lang w:val="en-GB"/>
              </w:rPr>
              <w:t>Sample</w:t>
            </w:r>
          </w:p>
        </w:tc>
        <w:tc>
          <w:tcPr>
            <w:tcW w:w="1276" w:type="dxa"/>
            <w:tcBorders>
              <w:top w:val="single" w:sz="12" w:space="0" w:color="008000"/>
              <w:bottom w:val="single" w:sz="6" w:space="0" w:color="008000"/>
            </w:tcBorders>
            <w:shd w:val="clear" w:color="auto" w:fill="FFFFFF"/>
            <w:vAlign w:val="center"/>
          </w:tcPr>
          <w:p w14:paraId="7B3C7C51" w14:textId="77777777" w:rsidR="00134E43" w:rsidRPr="00EE5558" w:rsidRDefault="00134E43" w:rsidP="00676ABF">
            <w:pPr>
              <w:pStyle w:val="CETBodytext"/>
              <w:ind w:right="-1"/>
              <w:jc w:val="center"/>
              <w:rPr>
                <w:rFonts w:cs="Arial"/>
                <w:szCs w:val="18"/>
                <w:lang w:val="en-GB"/>
              </w:rPr>
            </w:pPr>
            <w:r w:rsidRPr="00EE5558">
              <w:rPr>
                <w:rFonts w:cs="Arial"/>
                <w:szCs w:val="18"/>
                <w:lang w:val="en-GB"/>
              </w:rPr>
              <w:t>Oil Yield (</w:t>
            </w:r>
            <w:proofErr w:type="spellStart"/>
            <w:r w:rsidRPr="00EE5558">
              <w:rPr>
                <w:lang w:val="en-GB"/>
              </w:rPr>
              <w:t>g</w:t>
            </w:r>
            <w:r w:rsidRPr="00EE5558">
              <w:rPr>
                <w:vertAlign w:val="subscript"/>
                <w:lang w:val="en-GB"/>
              </w:rPr>
              <w:t>oil</w:t>
            </w:r>
            <w:proofErr w:type="spellEnd"/>
            <w:r w:rsidRPr="00EE5558">
              <w:rPr>
                <w:lang w:val="en-GB"/>
              </w:rPr>
              <w:t>/</w:t>
            </w:r>
            <w:proofErr w:type="spellStart"/>
            <w:r w:rsidRPr="00EE5558">
              <w:rPr>
                <w:lang w:val="en-GB"/>
              </w:rPr>
              <w:t>g</w:t>
            </w:r>
            <w:r w:rsidRPr="00EE5558">
              <w:rPr>
                <w:vertAlign w:val="subscript"/>
                <w:lang w:val="en-GB"/>
              </w:rPr>
              <w:t>dry</w:t>
            </w:r>
            <w:proofErr w:type="spellEnd"/>
            <w:r w:rsidRPr="00EE5558">
              <w:rPr>
                <w:vertAlign w:val="subscript"/>
                <w:lang w:val="en-GB"/>
              </w:rPr>
              <w:t>-feedstock</w:t>
            </w:r>
            <w:r w:rsidRPr="00EE5558">
              <w:rPr>
                <w:rFonts w:cs="Arial"/>
                <w:szCs w:val="18"/>
                <w:lang w:val="en-GB"/>
              </w:rPr>
              <w:t>)</w:t>
            </w:r>
          </w:p>
        </w:tc>
        <w:tc>
          <w:tcPr>
            <w:tcW w:w="850" w:type="dxa"/>
            <w:tcBorders>
              <w:top w:val="single" w:sz="12" w:space="0" w:color="008000"/>
              <w:bottom w:val="single" w:sz="6" w:space="0" w:color="008000"/>
            </w:tcBorders>
            <w:shd w:val="clear" w:color="auto" w:fill="FFFFFF"/>
          </w:tcPr>
          <w:p w14:paraId="5A7A3A6B" w14:textId="77777777" w:rsidR="00134E43" w:rsidRPr="00EE5558" w:rsidRDefault="00134E43" w:rsidP="00676ABF">
            <w:pPr>
              <w:pStyle w:val="CETBodytext"/>
              <w:ind w:right="-1"/>
              <w:jc w:val="center"/>
              <w:rPr>
                <w:rFonts w:cs="Arial"/>
                <w:szCs w:val="18"/>
                <w:lang w:val="en-GB"/>
              </w:rPr>
            </w:pPr>
            <w:r w:rsidRPr="00EE5558">
              <w:rPr>
                <w:rFonts w:cs="Arial"/>
                <w:szCs w:val="18"/>
                <w:lang w:val="en-GB"/>
              </w:rPr>
              <w:t>Solid yield (%)</w:t>
            </w:r>
          </w:p>
        </w:tc>
        <w:tc>
          <w:tcPr>
            <w:tcW w:w="992" w:type="dxa"/>
            <w:tcBorders>
              <w:top w:val="single" w:sz="12" w:space="0" w:color="008000"/>
              <w:bottom w:val="single" w:sz="6" w:space="0" w:color="008000"/>
            </w:tcBorders>
            <w:shd w:val="clear" w:color="auto" w:fill="FFFFFF"/>
          </w:tcPr>
          <w:p w14:paraId="1E1FF29D" w14:textId="77777777" w:rsidR="00134E43" w:rsidRPr="00EE5558" w:rsidRDefault="00134E43" w:rsidP="00676ABF">
            <w:pPr>
              <w:pStyle w:val="CETBodytext"/>
              <w:ind w:right="-1"/>
              <w:jc w:val="center"/>
              <w:rPr>
                <w:rFonts w:cs="Arial"/>
                <w:szCs w:val="18"/>
                <w:lang w:val="en-GB"/>
              </w:rPr>
            </w:pPr>
            <w:r w:rsidRPr="00EE5558">
              <w:rPr>
                <w:rFonts w:cs="Arial"/>
                <w:szCs w:val="18"/>
                <w:lang w:val="en-GB"/>
              </w:rPr>
              <w:t>Liquid yield (%)</w:t>
            </w:r>
          </w:p>
        </w:tc>
        <w:tc>
          <w:tcPr>
            <w:tcW w:w="851" w:type="dxa"/>
            <w:tcBorders>
              <w:top w:val="single" w:sz="12" w:space="0" w:color="008000"/>
              <w:bottom w:val="single" w:sz="6" w:space="0" w:color="008000"/>
            </w:tcBorders>
            <w:shd w:val="clear" w:color="auto" w:fill="FFFFFF"/>
          </w:tcPr>
          <w:p w14:paraId="4AAB3F69" w14:textId="77777777" w:rsidR="00134E43" w:rsidRPr="00EE5558" w:rsidRDefault="00134E43" w:rsidP="00676ABF">
            <w:pPr>
              <w:pStyle w:val="CETBodytext"/>
              <w:ind w:right="-1"/>
              <w:jc w:val="center"/>
              <w:rPr>
                <w:rFonts w:cs="Arial"/>
                <w:szCs w:val="18"/>
                <w:lang w:val="en-GB"/>
              </w:rPr>
            </w:pPr>
            <w:r w:rsidRPr="00EE5558">
              <w:rPr>
                <w:rFonts w:cs="Arial"/>
                <w:szCs w:val="18"/>
                <w:lang w:val="en-GB"/>
              </w:rPr>
              <w:t>Gas yield (%)</w:t>
            </w:r>
          </w:p>
        </w:tc>
        <w:tc>
          <w:tcPr>
            <w:tcW w:w="994" w:type="dxa"/>
            <w:tcBorders>
              <w:top w:val="single" w:sz="12" w:space="0" w:color="008000"/>
              <w:bottom w:val="single" w:sz="6" w:space="0" w:color="008000"/>
            </w:tcBorders>
            <w:shd w:val="clear" w:color="auto" w:fill="FFFFFF"/>
            <w:vAlign w:val="center"/>
          </w:tcPr>
          <w:p w14:paraId="26AC78D6" w14:textId="1D5B473D" w:rsidR="00134E43" w:rsidRPr="00EE5558" w:rsidRDefault="00134E43" w:rsidP="00676ABF">
            <w:pPr>
              <w:pStyle w:val="CETBodytext"/>
              <w:ind w:right="-1"/>
              <w:jc w:val="center"/>
              <w:rPr>
                <w:rFonts w:cs="Arial"/>
                <w:szCs w:val="18"/>
                <w:lang w:val="en-GB"/>
              </w:rPr>
            </w:pPr>
            <w:r w:rsidRPr="00232F59">
              <w:rPr>
                <w:rFonts w:cs="Arial"/>
                <w:szCs w:val="18"/>
                <w:highlight w:val="yellow"/>
                <w:lang w:val="en-GB"/>
              </w:rPr>
              <w:t>Rel.</w:t>
            </w:r>
            <w:r>
              <w:rPr>
                <w:rFonts w:cs="Arial"/>
                <w:szCs w:val="18"/>
                <w:lang w:val="en-GB"/>
              </w:rPr>
              <w:t xml:space="preserve"> </w:t>
            </w:r>
            <w:r w:rsidRPr="00EE5558">
              <w:rPr>
                <w:rFonts w:cs="Arial"/>
                <w:szCs w:val="18"/>
                <w:lang w:val="en-GB"/>
              </w:rPr>
              <w:t xml:space="preserve">Oil </w:t>
            </w:r>
            <w:proofErr w:type="spellStart"/>
            <w:r w:rsidRPr="00EE5558">
              <w:rPr>
                <w:rFonts w:cs="Arial"/>
                <w:szCs w:val="18"/>
                <w:lang w:val="en-GB"/>
              </w:rPr>
              <w:t>extr</w:t>
            </w:r>
            <w:proofErr w:type="spellEnd"/>
            <w:r w:rsidRPr="00EE5558">
              <w:rPr>
                <w:rFonts w:cs="Arial"/>
                <w:szCs w:val="18"/>
                <w:lang w:val="en-GB"/>
              </w:rPr>
              <w:t xml:space="preserve">. </w:t>
            </w:r>
            <w:proofErr w:type="spellStart"/>
            <w:r w:rsidRPr="00EE5558">
              <w:rPr>
                <w:rFonts w:cs="Arial"/>
                <w:szCs w:val="18"/>
                <w:lang w:val="en-GB"/>
              </w:rPr>
              <w:t>effic</w:t>
            </w:r>
            <w:proofErr w:type="spellEnd"/>
            <w:r w:rsidRPr="00EE5558">
              <w:rPr>
                <w:rFonts w:cs="Arial"/>
                <w:szCs w:val="18"/>
                <w:lang w:val="en-GB"/>
              </w:rPr>
              <w:t>. (</w:t>
            </w:r>
            <w:r w:rsidRPr="00EE5558">
              <w:rPr>
                <w:lang w:val="en-GB"/>
              </w:rPr>
              <w:t>%</w:t>
            </w:r>
            <w:r w:rsidRPr="00EE5558">
              <w:rPr>
                <w:rFonts w:cs="Arial"/>
                <w:szCs w:val="18"/>
                <w:lang w:val="en-GB"/>
              </w:rPr>
              <w:t>)</w:t>
            </w:r>
          </w:p>
        </w:tc>
        <w:tc>
          <w:tcPr>
            <w:tcW w:w="1206" w:type="dxa"/>
            <w:tcBorders>
              <w:top w:val="single" w:sz="12" w:space="0" w:color="008000"/>
              <w:bottom w:val="single" w:sz="6" w:space="0" w:color="008000"/>
            </w:tcBorders>
            <w:shd w:val="clear" w:color="auto" w:fill="FFFFFF"/>
          </w:tcPr>
          <w:p w14:paraId="6A4DA2D3" w14:textId="7A159E46" w:rsidR="00134E43" w:rsidRDefault="00134E43" w:rsidP="00676ABF">
            <w:pPr>
              <w:pStyle w:val="CETBodytext"/>
              <w:ind w:right="-1"/>
              <w:jc w:val="center"/>
              <w:rPr>
                <w:rFonts w:cs="Arial"/>
                <w:szCs w:val="18"/>
                <w:lang w:val="en-GB"/>
              </w:rPr>
            </w:pPr>
            <w:r>
              <w:rPr>
                <w:rFonts w:cs="Arial"/>
                <w:szCs w:val="18"/>
                <w:lang w:val="en-GB"/>
              </w:rPr>
              <w:t>Tot. lycopene (</w:t>
            </w:r>
            <w:r w:rsidRPr="00DD2279">
              <w:rPr>
                <w:rFonts w:cs="Arial"/>
                <w:sz w:val="15"/>
                <w:szCs w:val="15"/>
                <w:lang w:val="en-GB"/>
              </w:rPr>
              <w:t>mg/g oil</w:t>
            </w:r>
            <w:r>
              <w:rPr>
                <w:rFonts w:cs="Arial"/>
                <w:szCs w:val="18"/>
                <w:lang w:val="en-GB"/>
              </w:rPr>
              <w:t>)</w:t>
            </w:r>
          </w:p>
        </w:tc>
      </w:tr>
      <w:tr w:rsidR="00134E43" w:rsidRPr="00EE5558" w14:paraId="736370CD" w14:textId="6968A47A" w:rsidTr="00134E43">
        <w:trPr>
          <w:jc w:val="center"/>
        </w:trPr>
        <w:tc>
          <w:tcPr>
            <w:tcW w:w="1418" w:type="dxa"/>
            <w:shd w:val="clear" w:color="auto" w:fill="FFFFFF"/>
            <w:vAlign w:val="center"/>
          </w:tcPr>
          <w:p w14:paraId="5C08C2F3" w14:textId="77777777" w:rsidR="00134E43" w:rsidRPr="00EE5558" w:rsidRDefault="00134E43" w:rsidP="001B02FF">
            <w:pPr>
              <w:pStyle w:val="CETBodytext"/>
              <w:rPr>
                <w:lang w:val="en-GB"/>
              </w:rPr>
            </w:pPr>
            <w:r w:rsidRPr="00EE5558">
              <w:rPr>
                <w:rFonts w:cs="Arial"/>
                <w:szCs w:val="18"/>
                <w:lang w:val="en-GB"/>
              </w:rPr>
              <w:t>SCO2E-p380T60</w:t>
            </w:r>
          </w:p>
        </w:tc>
        <w:tc>
          <w:tcPr>
            <w:tcW w:w="1276" w:type="dxa"/>
            <w:shd w:val="clear" w:color="auto" w:fill="FFFFFF"/>
            <w:vAlign w:val="center"/>
          </w:tcPr>
          <w:p w14:paraId="49BA188C" w14:textId="77777777" w:rsidR="00134E43" w:rsidRPr="00EE5558" w:rsidRDefault="00134E43" w:rsidP="001B02FF">
            <w:pPr>
              <w:pStyle w:val="CETBodytext"/>
              <w:ind w:right="-1"/>
              <w:jc w:val="center"/>
              <w:rPr>
                <w:rFonts w:cs="Arial"/>
                <w:szCs w:val="18"/>
                <w:lang w:val="en-GB"/>
              </w:rPr>
            </w:pPr>
            <w:r w:rsidRPr="00EE5558">
              <w:rPr>
                <w:rFonts w:cs="Arial"/>
                <w:szCs w:val="18"/>
                <w:lang w:val="en-GB"/>
              </w:rPr>
              <w:t>0.038</w:t>
            </w:r>
          </w:p>
        </w:tc>
        <w:tc>
          <w:tcPr>
            <w:tcW w:w="850" w:type="dxa"/>
            <w:shd w:val="clear" w:color="auto" w:fill="FFFFFF"/>
          </w:tcPr>
          <w:p w14:paraId="034C844F" w14:textId="77777777" w:rsidR="00134E43" w:rsidRPr="00EE5558" w:rsidRDefault="00134E43" w:rsidP="001B02FF">
            <w:pPr>
              <w:pStyle w:val="CETBodytext"/>
              <w:ind w:right="-1"/>
              <w:jc w:val="center"/>
              <w:rPr>
                <w:rFonts w:cs="Arial"/>
                <w:szCs w:val="18"/>
                <w:lang w:val="en-GB"/>
              </w:rPr>
            </w:pPr>
            <w:r w:rsidRPr="00EE5558">
              <w:rPr>
                <w:rFonts w:cs="Arial"/>
                <w:szCs w:val="18"/>
                <w:lang w:val="en-GB"/>
              </w:rPr>
              <w:t>n.a.</w:t>
            </w:r>
          </w:p>
        </w:tc>
        <w:tc>
          <w:tcPr>
            <w:tcW w:w="992" w:type="dxa"/>
            <w:shd w:val="clear" w:color="auto" w:fill="FFFFFF"/>
          </w:tcPr>
          <w:p w14:paraId="297C8F2F" w14:textId="77777777" w:rsidR="00134E43" w:rsidRPr="00EE5558" w:rsidRDefault="00134E43" w:rsidP="001B02FF">
            <w:pPr>
              <w:pStyle w:val="CETBodytext"/>
              <w:ind w:right="-1"/>
              <w:jc w:val="center"/>
              <w:rPr>
                <w:rFonts w:cs="Arial"/>
                <w:szCs w:val="18"/>
                <w:lang w:val="en-GB"/>
              </w:rPr>
            </w:pPr>
            <w:r w:rsidRPr="00EE5558">
              <w:rPr>
                <w:rFonts w:cs="Arial"/>
                <w:szCs w:val="18"/>
                <w:lang w:val="en-GB"/>
              </w:rPr>
              <w:t>n.a.</w:t>
            </w:r>
          </w:p>
        </w:tc>
        <w:tc>
          <w:tcPr>
            <w:tcW w:w="851" w:type="dxa"/>
            <w:shd w:val="clear" w:color="auto" w:fill="FFFFFF"/>
          </w:tcPr>
          <w:p w14:paraId="2A8DD8AB" w14:textId="77777777" w:rsidR="00134E43" w:rsidRPr="00EE5558" w:rsidRDefault="00134E43" w:rsidP="001B02FF">
            <w:pPr>
              <w:pStyle w:val="CETBodytext"/>
              <w:ind w:right="-1"/>
              <w:jc w:val="center"/>
              <w:rPr>
                <w:rFonts w:cs="Arial"/>
                <w:szCs w:val="18"/>
                <w:lang w:val="en-GB"/>
              </w:rPr>
            </w:pPr>
            <w:r w:rsidRPr="00EE5558">
              <w:rPr>
                <w:rFonts w:cs="Arial"/>
                <w:szCs w:val="18"/>
                <w:lang w:val="en-GB"/>
              </w:rPr>
              <w:t>n.a.</w:t>
            </w:r>
          </w:p>
        </w:tc>
        <w:tc>
          <w:tcPr>
            <w:tcW w:w="994" w:type="dxa"/>
            <w:shd w:val="clear" w:color="auto" w:fill="FFFFFF"/>
          </w:tcPr>
          <w:p w14:paraId="1EBDD364" w14:textId="77777777" w:rsidR="00134E43" w:rsidRPr="00EE5558" w:rsidRDefault="00134E43" w:rsidP="001B02FF">
            <w:pPr>
              <w:pStyle w:val="CETBodytext"/>
              <w:ind w:right="-1"/>
              <w:jc w:val="center"/>
              <w:rPr>
                <w:rFonts w:cs="Arial"/>
                <w:szCs w:val="18"/>
                <w:lang w:val="en-GB"/>
              </w:rPr>
            </w:pPr>
            <w:r w:rsidRPr="00EE5558">
              <w:rPr>
                <w:rFonts w:cs="Arial"/>
                <w:szCs w:val="18"/>
                <w:lang w:val="en-GB"/>
              </w:rPr>
              <w:t>34.9</w:t>
            </w:r>
          </w:p>
        </w:tc>
        <w:tc>
          <w:tcPr>
            <w:tcW w:w="1206" w:type="dxa"/>
            <w:shd w:val="clear" w:color="auto" w:fill="FFFFFF"/>
          </w:tcPr>
          <w:p w14:paraId="3CE43812" w14:textId="34041130" w:rsidR="00134E43" w:rsidRPr="00EE5558" w:rsidRDefault="00134E43" w:rsidP="001B02FF">
            <w:pPr>
              <w:pStyle w:val="CETBodytext"/>
              <w:ind w:right="-1"/>
              <w:jc w:val="center"/>
              <w:rPr>
                <w:rFonts w:cs="Arial"/>
                <w:szCs w:val="18"/>
                <w:lang w:val="en-GB"/>
              </w:rPr>
            </w:pPr>
            <w:r w:rsidRPr="00EE5558">
              <w:rPr>
                <w:rFonts w:cs="Arial"/>
                <w:szCs w:val="18"/>
                <w:lang w:val="en-GB"/>
              </w:rPr>
              <w:t>n.d.</w:t>
            </w:r>
          </w:p>
        </w:tc>
      </w:tr>
      <w:tr w:rsidR="00134E43" w:rsidRPr="00EE5558" w14:paraId="030DFA69" w14:textId="76975666" w:rsidTr="00134E43">
        <w:trPr>
          <w:jc w:val="center"/>
        </w:trPr>
        <w:tc>
          <w:tcPr>
            <w:tcW w:w="1418" w:type="dxa"/>
            <w:shd w:val="clear" w:color="auto" w:fill="FFFFFF"/>
            <w:vAlign w:val="center"/>
          </w:tcPr>
          <w:p w14:paraId="48EB61A2" w14:textId="77777777" w:rsidR="00134E43" w:rsidRPr="00EE5558" w:rsidRDefault="00134E43" w:rsidP="001B02FF">
            <w:pPr>
              <w:pStyle w:val="CETBodytext"/>
              <w:ind w:right="-1"/>
              <w:rPr>
                <w:rFonts w:cs="Arial"/>
                <w:szCs w:val="18"/>
                <w:lang w:val="en-GB"/>
              </w:rPr>
            </w:pPr>
            <w:r w:rsidRPr="00EE5558">
              <w:rPr>
                <w:rFonts w:cs="Arial"/>
                <w:szCs w:val="18"/>
                <w:lang w:val="en-GB"/>
              </w:rPr>
              <w:t>SCO2E-p380T70</w:t>
            </w:r>
          </w:p>
        </w:tc>
        <w:tc>
          <w:tcPr>
            <w:tcW w:w="1276" w:type="dxa"/>
            <w:shd w:val="clear" w:color="auto" w:fill="FFFFFF"/>
          </w:tcPr>
          <w:p w14:paraId="17FF9A75" w14:textId="77777777" w:rsidR="00134E43" w:rsidRPr="00EE5558" w:rsidRDefault="00134E43" w:rsidP="001B02FF">
            <w:pPr>
              <w:pStyle w:val="CETBodytext"/>
              <w:ind w:right="-1"/>
              <w:jc w:val="center"/>
              <w:rPr>
                <w:rFonts w:cs="Arial"/>
                <w:szCs w:val="18"/>
                <w:lang w:val="en-GB"/>
              </w:rPr>
            </w:pPr>
            <w:r w:rsidRPr="00EE5558">
              <w:rPr>
                <w:rFonts w:cs="Arial"/>
                <w:szCs w:val="18"/>
                <w:lang w:val="en-GB"/>
              </w:rPr>
              <w:t>0.045</w:t>
            </w:r>
          </w:p>
        </w:tc>
        <w:tc>
          <w:tcPr>
            <w:tcW w:w="850" w:type="dxa"/>
            <w:shd w:val="clear" w:color="auto" w:fill="FFFFFF"/>
          </w:tcPr>
          <w:p w14:paraId="43D52F54" w14:textId="77777777" w:rsidR="00134E43" w:rsidRPr="00EE5558" w:rsidRDefault="00134E43" w:rsidP="001B02FF">
            <w:pPr>
              <w:pStyle w:val="CETBodytext"/>
              <w:ind w:right="-1"/>
              <w:jc w:val="center"/>
              <w:rPr>
                <w:rFonts w:cs="Arial"/>
                <w:szCs w:val="18"/>
                <w:lang w:val="en-GB"/>
              </w:rPr>
            </w:pPr>
            <w:r w:rsidRPr="00EE5558">
              <w:rPr>
                <w:rFonts w:cs="Arial"/>
                <w:szCs w:val="18"/>
                <w:lang w:val="en-GB"/>
              </w:rPr>
              <w:t>n.a.</w:t>
            </w:r>
          </w:p>
        </w:tc>
        <w:tc>
          <w:tcPr>
            <w:tcW w:w="992" w:type="dxa"/>
            <w:shd w:val="clear" w:color="auto" w:fill="FFFFFF"/>
          </w:tcPr>
          <w:p w14:paraId="64858587" w14:textId="77777777" w:rsidR="00134E43" w:rsidRPr="00EE5558" w:rsidRDefault="00134E43" w:rsidP="001B02FF">
            <w:pPr>
              <w:pStyle w:val="CETBodytext"/>
              <w:ind w:right="-1"/>
              <w:jc w:val="center"/>
              <w:rPr>
                <w:rFonts w:cs="Arial"/>
                <w:szCs w:val="18"/>
                <w:lang w:val="en-GB"/>
              </w:rPr>
            </w:pPr>
            <w:r w:rsidRPr="00EE5558">
              <w:rPr>
                <w:rFonts w:cs="Arial"/>
                <w:szCs w:val="18"/>
                <w:lang w:val="en-GB"/>
              </w:rPr>
              <w:t>n.a.</w:t>
            </w:r>
          </w:p>
        </w:tc>
        <w:tc>
          <w:tcPr>
            <w:tcW w:w="851" w:type="dxa"/>
            <w:shd w:val="clear" w:color="auto" w:fill="FFFFFF"/>
          </w:tcPr>
          <w:p w14:paraId="716067FA" w14:textId="77777777" w:rsidR="00134E43" w:rsidRPr="00EE5558" w:rsidRDefault="00134E43" w:rsidP="001B02FF">
            <w:pPr>
              <w:pStyle w:val="CETBodytext"/>
              <w:ind w:right="-1"/>
              <w:jc w:val="center"/>
              <w:rPr>
                <w:rFonts w:cs="Arial"/>
                <w:szCs w:val="18"/>
                <w:lang w:val="en-GB"/>
              </w:rPr>
            </w:pPr>
            <w:r w:rsidRPr="00EE5558">
              <w:rPr>
                <w:rFonts w:cs="Arial"/>
                <w:szCs w:val="18"/>
                <w:lang w:val="en-GB"/>
              </w:rPr>
              <w:t>n.a.</w:t>
            </w:r>
          </w:p>
        </w:tc>
        <w:tc>
          <w:tcPr>
            <w:tcW w:w="994" w:type="dxa"/>
            <w:shd w:val="clear" w:color="auto" w:fill="FFFFFF"/>
          </w:tcPr>
          <w:p w14:paraId="1A81DD28" w14:textId="77777777" w:rsidR="00134E43" w:rsidRPr="00EE5558" w:rsidRDefault="00134E43" w:rsidP="001B02FF">
            <w:pPr>
              <w:pStyle w:val="CETBodytext"/>
              <w:ind w:right="-1"/>
              <w:jc w:val="center"/>
              <w:rPr>
                <w:rFonts w:cs="Arial"/>
                <w:szCs w:val="18"/>
                <w:lang w:val="en-GB"/>
              </w:rPr>
            </w:pPr>
            <w:r w:rsidRPr="00EE5558">
              <w:rPr>
                <w:rFonts w:cs="Arial"/>
                <w:szCs w:val="18"/>
                <w:lang w:val="en-GB"/>
              </w:rPr>
              <w:t>41.9</w:t>
            </w:r>
          </w:p>
        </w:tc>
        <w:tc>
          <w:tcPr>
            <w:tcW w:w="1206" w:type="dxa"/>
            <w:shd w:val="clear" w:color="auto" w:fill="FFFFFF"/>
          </w:tcPr>
          <w:p w14:paraId="52BDD2A9" w14:textId="722D140D" w:rsidR="00134E43" w:rsidRPr="00EE5558" w:rsidRDefault="00134E43" w:rsidP="001B02FF">
            <w:pPr>
              <w:pStyle w:val="CETBodytext"/>
              <w:ind w:right="-1"/>
              <w:jc w:val="center"/>
              <w:rPr>
                <w:rFonts w:cs="Arial"/>
                <w:szCs w:val="18"/>
                <w:lang w:val="en-GB"/>
              </w:rPr>
            </w:pPr>
            <w:r w:rsidRPr="00EE5558">
              <w:rPr>
                <w:rFonts w:cs="Arial"/>
                <w:szCs w:val="18"/>
                <w:lang w:val="en-GB"/>
              </w:rPr>
              <w:t>n.d.</w:t>
            </w:r>
          </w:p>
        </w:tc>
      </w:tr>
      <w:tr w:rsidR="00134E43" w:rsidRPr="00EE5558" w14:paraId="1F187C28" w14:textId="25E8DEBB" w:rsidTr="00134E43">
        <w:trPr>
          <w:jc w:val="center"/>
        </w:trPr>
        <w:tc>
          <w:tcPr>
            <w:tcW w:w="1418" w:type="dxa"/>
            <w:tcBorders>
              <w:bottom w:val="nil"/>
            </w:tcBorders>
            <w:shd w:val="clear" w:color="auto" w:fill="FFFFFF"/>
            <w:vAlign w:val="center"/>
          </w:tcPr>
          <w:p w14:paraId="4A4C4E6F" w14:textId="552AF3CD" w:rsidR="00134E43" w:rsidRPr="00EE5558" w:rsidRDefault="00134E43" w:rsidP="001B02FF">
            <w:pPr>
              <w:pStyle w:val="CETBodytext"/>
              <w:ind w:right="-1"/>
              <w:rPr>
                <w:rFonts w:cs="Arial"/>
                <w:szCs w:val="18"/>
                <w:lang w:val="en-GB"/>
              </w:rPr>
            </w:pPr>
            <w:r w:rsidRPr="00EE5558">
              <w:rPr>
                <w:rFonts w:cs="Arial"/>
                <w:szCs w:val="18"/>
                <w:lang w:val="en-GB"/>
              </w:rPr>
              <w:t>SCO2E-p41</w:t>
            </w:r>
            <w:r>
              <w:rPr>
                <w:rFonts w:cs="Arial"/>
                <w:szCs w:val="18"/>
                <w:lang w:val="en-GB"/>
              </w:rPr>
              <w:t>0</w:t>
            </w:r>
            <w:r w:rsidRPr="00EE5558">
              <w:rPr>
                <w:rFonts w:cs="Arial"/>
                <w:szCs w:val="18"/>
                <w:lang w:val="en-GB"/>
              </w:rPr>
              <w:t>T70</w:t>
            </w:r>
          </w:p>
        </w:tc>
        <w:tc>
          <w:tcPr>
            <w:tcW w:w="1276" w:type="dxa"/>
            <w:tcBorders>
              <w:bottom w:val="nil"/>
            </w:tcBorders>
            <w:shd w:val="clear" w:color="auto" w:fill="FFFFFF"/>
          </w:tcPr>
          <w:p w14:paraId="0E4092EA" w14:textId="77777777" w:rsidR="00134E43" w:rsidRPr="00EE5558" w:rsidRDefault="00134E43" w:rsidP="001B02FF">
            <w:pPr>
              <w:pStyle w:val="CETBodytext"/>
              <w:ind w:right="-1"/>
              <w:jc w:val="center"/>
              <w:rPr>
                <w:rFonts w:cs="Arial"/>
                <w:szCs w:val="18"/>
                <w:lang w:val="en-GB"/>
              </w:rPr>
            </w:pPr>
            <w:r w:rsidRPr="00EE5558">
              <w:rPr>
                <w:rFonts w:cs="Arial"/>
                <w:szCs w:val="18"/>
                <w:lang w:val="en-GB"/>
              </w:rPr>
              <w:t>0.063</w:t>
            </w:r>
          </w:p>
        </w:tc>
        <w:tc>
          <w:tcPr>
            <w:tcW w:w="850" w:type="dxa"/>
            <w:tcBorders>
              <w:bottom w:val="nil"/>
            </w:tcBorders>
            <w:shd w:val="clear" w:color="auto" w:fill="FFFFFF"/>
          </w:tcPr>
          <w:p w14:paraId="5E50C258" w14:textId="77777777" w:rsidR="00134E43" w:rsidRPr="00EE5558" w:rsidRDefault="00134E43" w:rsidP="001B02FF">
            <w:pPr>
              <w:pStyle w:val="CETBodytext"/>
              <w:ind w:right="-1"/>
              <w:jc w:val="center"/>
              <w:rPr>
                <w:rFonts w:cs="Arial"/>
                <w:szCs w:val="18"/>
                <w:lang w:val="en-GB"/>
              </w:rPr>
            </w:pPr>
            <w:r w:rsidRPr="00EE5558">
              <w:rPr>
                <w:rFonts w:cs="Arial"/>
                <w:szCs w:val="18"/>
                <w:lang w:val="en-GB"/>
              </w:rPr>
              <w:t>n.a.</w:t>
            </w:r>
          </w:p>
        </w:tc>
        <w:tc>
          <w:tcPr>
            <w:tcW w:w="992" w:type="dxa"/>
            <w:tcBorders>
              <w:bottom w:val="nil"/>
            </w:tcBorders>
            <w:shd w:val="clear" w:color="auto" w:fill="FFFFFF"/>
          </w:tcPr>
          <w:p w14:paraId="5B3C91AB" w14:textId="77777777" w:rsidR="00134E43" w:rsidRPr="00EE5558" w:rsidRDefault="00134E43" w:rsidP="001B02FF">
            <w:pPr>
              <w:pStyle w:val="CETBodytext"/>
              <w:ind w:right="-1"/>
              <w:jc w:val="center"/>
              <w:rPr>
                <w:rFonts w:cs="Arial"/>
                <w:szCs w:val="18"/>
                <w:lang w:val="en-GB"/>
              </w:rPr>
            </w:pPr>
            <w:r w:rsidRPr="00EE5558">
              <w:rPr>
                <w:rFonts w:cs="Arial"/>
                <w:szCs w:val="18"/>
                <w:lang w:val="en-GB"/>
              </w:rPr>
              <w:t>n.a.</w:t>
            </w:r>
          </w:p>
        </w:tc>
        <w:tc>
          <w:tcPr>
            <w:tcW w:w="851" w:type="dxa"/>
            <w:tcBorders>
              <w:bottom w:val="nil"/>
            </w:tcBorders>
            <w:shd w:val="clear" w:color="auto" w:fill="FFFFFF"/>
          </w:tcPr>
          <w:p w14:paraId="3DAD35F2" w14:textId="77777777" w:rsidR="00134E43" w:rsidRPr="00EE5558" w:rsidRDefault="00134E43" w:rsidP="001B02FF">
            <w:pPr>
              <w:pStyle w:val="CETBodytext"/>
              <w:ind w:right="-1"/>
              <w:jc w:val="center"/>
              <w:rPr>
                <w:rFonts w:cs="Arial"/>
                <w:szCs w:val="18"/>
                <w:lang w:val="en-GB"/>
              </w:rPr>
            </w:pPr>
            <w:r w:rsidRPr="00EE5558">
              <w:rPr>
                <w:rFonts w:cs="Arial"/>
                <w:szCs w:val="18"/>
                <w:lang w:val="en-GB"/>
              </w:rPr>
              <w:t>n.a.</w:t>
            </w:r>
          </w:p>
        </w:tc>
        <w:tc>
          <w:tcPr>
            <w:tcW w:w="994" w:type="dxa"/>
            <w:tcBorders>
              <w:bottom w:val="nil"/>
            </w:tcBorders>
            <w:shd w:val="clear" w:color="auto" w:fill="FFFFFF"/>
          </w:tcPr>
          <w:p w14:paraId="38FB632D" w14:textId="77777777" w:rsidR="00134E43" w:rsidRPr="00EE5558" w:rsidRDefault="00134E43" w:rsidP="001B02FF">
            <w:pPr>
              <w:pStyle w:val="CETBodytext"/>
              <w:ind w:right="-1"/>
              <w:jc w:val="center"/>
              <w:rPr>
                <w:rFonts w:cs="Arial"/>
                <w:szCs w:val="18"/>
                <w:lang w:val="en-GB"/>
              </w:rPr>
            </w:pPr>
            <w:r w:rsidRPr="00EE5558">
              <w:rPr>
                <w:rFonts w:cs="Arial"/>
                <w:szCs w:val="18"/>
                <w:lang w:val="en-GB"/>
              </w:rPr>
              <w:t>58.6</w:t>
            </w:r>
          </w:p>
        </w:tc>
        <w:tc>
          <w:tcPr>
            <w:tcW w:w="1206" w:type="dxa"/>
            <w:tcBorders>
              <w:bottom w:val="nil"/>
            </w:tcBorders>
            <w:shd w:val="clear" w:color="auto" w:fill="FFFFFF"/>
          </w:tcPr>
          <w:p w14:paraId="6C4E639D" w14:textId="27F272BE" w:rsidR="00134E43" w:rsidRPr="00EE5558" w:rsidRDefault="00134E43" w:rsidP="001B02FF">
            <w:pPr>
              <w:pStyle w:val="CETBodytext"/>
              <w:ind w:right="-1"/>
              <w:jc w:val="center"/>
              <w:rPr>
                <w:rFonts w:cs="Arial"/>
                <w:szCs w:val="18"/>
                <w:lang w:val="en-GB"/>
              </w:rPr>
            </w:pPr>
            <w:r>
              <w:rPr>
                <w:rFonts w:cs="Arial"/>
                <w:szCs w:val="18"/>
                <w:lang w:val="en-GB"/>
              </w:rPr>
              <w:t>0.66</w:t>
            </w:r>
          </w:p>
        </w:tc>
      </w:tr>
      <w:tr w:rsidR="00134E43" w:rsidRPr="00EE5558" w14:paraId="5D2E45F6" w14:textId="56A12ABD" w:rsidTr="00134E43">
        <w:trPr>
          <w:jc w:val="center"/>
        </w:trPr>
        <w:tc>
          <w:tcPr>
            <w:tcW w:w="1418" w:type="dxa"/>
            <w:tcBorders>
              <w:top w:val="nil"/>
              <w:bottom w:val="single" w:sz="6" w:space="0" w:color="009644"/>
            </w:tcBorders>
            <w:shd w:val="clear" w:color="auto" w:fill="FFFFFF"/>
            <w:vAlign w:val="center"/>
          </w:tcPr>
          <w:p w14:paraId="095FD6F6" w14:textId="4912286A" w:rsidR="00134E43" w:rsidRPr="00EE5558" w:rsidRDefault="00134E43" w:rsidP="001B02FF">
            <w:pPr>
              <w:pStyle w:val="CETBodytext"/>
              <w:ind w:right="-1"/>
              <w:rPr>
                <w:rFonts w:cs="Arial"/>
                <w:szCs w:val="18"/>
                <w:lang w:val="en-GB"/>
              </w:rPr>
            </w:pPr>
            <w:r w:rsidRPr="00EE5558">
              <w:rPr>
                <w:rFonts w:cs="Arial"/>
                <w:szCs w:val="18"/>
                <w:lang w:val="en-GB"/>
              </w:rPr>
              <w:t>SCO2E-p3</w:t>
            </w:r>
            <w:r>
              <w:rPr>
                <w:rFonts w:cs="Arial"/>
                <w:szCs w:val="18"/>
                <w:lang w:val="en-GB"/>
              </w:rPr>
              <w:t>90</w:t>
            </w:r>
            <w:r w:rsidRPr="00EE5558">
              <w:rPr>
                <w:rFonts w:cs="Arial"/>
                <w:szCs w:val="18"/>
                <w:lang w:val="en-GB"/>
              </w:rPr>
              <w:t>T70</w:t>
            </w:r>
          </w:p>
        </w:tc>
        <w:tc>
          <w:tcPr>
            <w:tcW w:w="1276" w:type="dxa"/>
            <w:tcBorders>
              <w:top w:val="nil"/>
              <w:bottom w:val="single" w:sz="6" w:space="0" w:color="009644"/>
            </w:tcBorders>
            <w:shd w:val="clear" w:color="auto" w:fill="FFFFFF"/>
          </w:tcPr>
          <w:p w14:paraId="5D696234" w14:textId="77777777" w:rsidR="00134E43" w:rsidRPr="00EE5558" w:rsidRDefault="00134E43" w:rsidP="001B02FF">
            <w:pPr>
              <w:pStyle w:val="CETBodytext"/>
              <w:ind w:right="-1"/>
              <w:jc w:val="center"/>
              <w:rPr>
                <w:rFonts w:cs="Arial"/>
                <w:szCs w:val="18"/>
                <w:lang w:val="en-GB"/>
              </w:rPr>
            </w:pPr>
            <w:r w:rsidRPr="00EE5558">
              <w:rPr>
                <w:rFonts w:cs="Arial"/>
                <w:szCs w:val="18"/>
                <w:lang w:val="en-GB"/>
              </w:rPr>
              <w:t>0.059</w:t>
            </w:r>
          </w:p>
        </w:tc>
        <w:tc>
          <w:tcPr>
            <w:tcW w:w="850" w:type="dxa"/>
            <w:tcBorders>
              <w:top w:val="nil"/>
              <w:bottom w:val="single" w:sz="6" w:space="0" w:color="009644"/>
            </w:tcBorders>
            <w:shd w:val="clear" w:color="auto" w:fill="FFFFFF"/>
          </w:tcPr>
          <w:p w14:paraId="2EE95CB4" w14:textId="77777777" w:rsidR="00134E43" w:rsidRPr="00EE5558" w:rsidRDefault="00134E43" w:rsidP="001B02FF">
            <w:pPr>
              <w:pStyle w:val="CETBodytext"/>
              <w:ind w:right="-1"/>
              <w:jc w:val="center"/>
              <w:rPr>
                <w:rFonts w:cs="Arial"/>
                <w:szCs w:val="18"/>
                <w:lang w:val="en-GB"/>
              </w:rPr>
            </w:pPr>
            <w:r w:rsidRPr="00EE5558">
              <w:rPr>
                <w:rFonts w:cs="Arial"/>
                <w:szCs w:val="18"/>
                <w:lang w:val="en-GB"/>
              </w:rPr>
              <w:t>n.a.</w:t>
            </w:r>
          </w:p>
        </w:tc>
        <w:tc>
          <w:tcPr>
            <w:tcW w:w="992" w:type="dxa"/>
            <w:tcBorders>
              <w:top w:val="nil"/>
              <w:bottom w:val="single" w:sz="6" w:space="0" w:color="009644"/>
            </w:tcBorders>
            <w:shd w:val="clear" w:color="auto" w:fill="FFFFFF"/>
          </w:tcPr>
          <w:p w14:paraId="499629E0" w14:textId="77777777" w:rsidR="00134E43" w:rsidRPr="00EE5558" w:rsidRDefault="00134E43" w:rsidP="001B02FF">
            <w:pPr>
              <w:pStyle w:val="CETBodytext"/>
              <w:ind w:right="-1"/>
              <w:jc w:val="center"/>
              <w:rPr>
                <w:rFonts w:cs="Arial"/>
                <w:szCs w:val="18"/>
                <w:lang w:val="en-GB"/>
              </w:rPr>
            </w:pPr>
            <w:r w:rsidRPr="00EE5558">
              <w:rPr>
                <w:rFonts w:cs="Arial"/>
                <w:szCs w:val="18"/>
                <w:lang w:val="en-GB"/>
              </w:rPr>
              <w:t>n.a.</w:t>
            </w:r>
          </w:p>
        </w:tc>
        <w:tc>
          <w:tcPr>
            <w:tcW w:w="851" w:type="dxa"/>
            <w:tcBorders>
              <w:top w:val="nil"/>
              <w:bottom w:val="single" w:sz="6" w:space="0" w:color="009644"/>
            </w:tcBorders>
            <w:shd w:val="clear" w:color="auto" w:fill="FFFFFF"/>
          </w:tcPr>
          <w:p w14:paraId="20D150F7" w14:textId="77777777" w:rsidR="00134E43" w:rsidRPr="00EE5558" w:rsidRDefault="00134E43" w:rsidP="001B02FF">
            <w:pPr>
              <w:pStyle w:val="CETBodytext"/>
              <w:ind w:right="-1"/>
              <w:jc w:val="center"/>
              <w:rPr>
                <w:rFonts w:cs="Arial"/>
                <w:szCs w:val="18"/>
                <w:lang w:val="en-GB"/>
              </w:rPr>
            </w:pPr>
            <w:r w:rsidRPr="00EE5558">
              <w:rPr>
                <w:rFonts w:cs="Arial"/>
                <w:szCs w:val="18"/>
                <w:lang w:val="en-GB"/>
              </w:rPr>
              <w:t>n.a.</w:t>
            </w:r>
          </w:p>
        </w:tc>
        <w:tc>
          <w:tcPr>
            <w:tcW w:w="994" w:type="dxa"/>
            <w:tcBorders>
              <w:top w:val="nil"/>
              <w:bottom w:val="single" w:sz="6" w:space="0" w:color="009644"/>
            </w:tcBorders>
            <w:shd w:val="clear" w:color="auto" w:fill="FFFFFF"/>
          </w:tcPr>
          <w:p w14:paraId="191BDE5D" w14:textId="77777777" w:rsidR="00134E43" w:rsidRPr="00EE5558" w:rsidRDefault="00134E43" w:rsidP="001B02FF">
            <w:pPr>
              <w:pStyle w:val="CETBodytext"/>
              <w:ind w:right="-1"/>
              <w:jc w:val="center"/>
              <w:rPr>
                <w:rFonts w:cs="Arial"/>
                <w:szCs w:val="18"/>
                <w:lang w:val="en-GB"/>
              </w:rPr>
            </w:pPr>
            <w:r w:rsidRPr="00EE5558">
              <w:rPr>
                <w:rFonts w:cs="Arial"/>
                <w:szCs w:val="18"/>
                <w:lang w:val="en-GB"/>
              </w:rPr>
              <w:t>54.7</w:t>
            </w:r>
          </w:p>
        </w:tc>
        <w:tc>
          <w:tcPr>
            <w:tcW w:w="1206" w:type="dxa"/>
            <w:tcBorders>
              <w:top w:val="nil"/>
              <w:bottom w:val="single" w:sz="6" w:space="0" w:color="009644"/>
            </w:tcBorders>
            <w:shd w:val="clear" w:color="auto" w:fill="FFFFFF"/>
          </w:tcPr>
          <w:p w14:paraId="24FA0AAC" w14:textId="1B28BCDD" w:rsidR="00134E43" w:rsidRPr="00EE5558" w:rsidRDefault="00134E43" w:rsidP="001B02FF">
            <w:pPr>
              <w:pStyle w:val="CETBodytext"/>
              <w:ind w:right="-1"/>
              <w:jc w:val="center"/>
              <w:rPr>
                <w:rFonts w:cs="Arial"/>
                <w:szCs w:val="18"/>
                <w:lang w:val="en-GB"/>
              </w:rPr>
            </w:pPr>
            <w:r>
              <w:rPr>
                <w:rFonts w:cs="Arial"/>
                <w:szCs w:val="18"/>
                <w:lang w:val="en-GB"/>
              </w:rPr>
              <w:t>0.63</w:t>
            </w:r>
          </w:p>
        </w:tc>
      </w:tr>
      <w:tr w:rsidR="00134E43" w:rsidRPr="00EE5558" w14:paraId="2F6AF453" w14:textId="6BD2BA0D" w:rsidTr="00134E43">
        <w:trPr>
          <w:jc w:val="center"/>
        </w:trPr>
        <w:tc>
          <w:tcPr>
            <w:tcW w:w="1418" w:type="dxa"/>
            <w:tcBorders>
              <w:top w:val="nil"/>
              <w:bottom w:val="single" w:sz="6" w:space="0" w:color="009644"/>
            </w:tcBorders>
            <w:shd w:val="clear" w:color="auto" w:fill="FFFFFF"/>
            <w:vAlign w:val="center"/>
          </w:tcPr>
          <w:p w14:paraId="533EE6B4" w14:textId="2CD7046E" w:rsidR="00134E43" w:rsidRPr="00EE5558" w:rsidRDefault="00134E43" w:rsidP="001B02FF">
            <w:pPr>
              <w:pStyle w:val="CETBodytext"/>
              <w:ind w:right="-1"/>
              <w:rPr>
                <w:rFonts w:cs="Arial"/>
                <w:szCs w:val="18"/>
                <w:lang w:val="en-GB"/>
              </w:rPr>
            </w:pPr>
            <w:r w:rsidRPr="00EE5558">
              <w:rPr>
                <w:rFonts w:cs="Arial"/>
                <w:szCs w:val="18"/>
                <w:lang w:val="en-GB"/>
              </w:rPr>
              <w:t>SWEC-p9</w:t>
            </w:r>
            <w:r>
              <w:rPr>
                <w:rFonts w:cs="Arial"/>
                <w:szCs w:val="18"/>
                <w:lang w:val="en-GB"/>
              </w:rPr>
              <w:t>0</w:t>
            </w:r>
            <w:r w:rsidRPr="00EE5558">
              <w:rPr>
                <w:rFonts w:cs="Arial"/>
                <w:szCs w:val="18"/>
                <w:lang w:val="en-GB"/>
              </w:rPr>
              <w:t>T120</w:t>
            </w:r>
          </w:p>
        </w:tc>
        <w:tc>
          <w:tcPr>
            <w:tcW w:w="1276" w:type="dxa"/>
            <w:tcBorders>
              <w:top w:val="nil"/>
              <w:bottom w:val="single" w:sz="6" w:space="0" w:color="009644"/>
            </w:tcBorders>
            <w:shd w:val="clear" w:color="auto" w:fill="FFFFFF"/>
          </w:tcPr>
          <w:p w14:paraId="7BF97C25" w14:textId="77777777" w:rsidR="00134E43" w:rsidRPr="00EE5558" w:rsidRDefault="00134E43" w:rsidP="001B02FF">
            <w:pPr>
              <w:pStyle w:val="CETBodytext"/>
              <w:ind w:right="-1"/>
              <w:jc w:val="center"/>
              <w:rPr>
                <w:rFonts w:cs="Arial"/>
                <w:szCs w:val="18"/>
                <w:lang w:val="en-GB"/>
              </w:rPr>
            </w:pPr>
            <w:r w:rsidRPr="00EE5558">
              <w:rPr>
                <w:rFonts w:cs="Arial"/>
                <w:szCs w:val="18"/>
                <w:lang w:val="en-GB"/>
              </w:rPr>
              <w:t>n.d.</w:t>
            </w:r>
          </w:p>
        </w:tc>
        <w:tc>
          <w:tcPr>
            <w:tcW w:w="850" w:type="dxa"/>
            <w:tcBorders>
              <w:top w:val="nil"/>
              <w:bottom w:val="single" w:sz="6" w:space="0" w:color="009644"/>
            </w:tcBorders>
            <w:shd w:val="clear" w:color="auto" w:fill="FFFFFF"/>
          </w:tcPr>
          <w:p w14:paraId="2D1C98FE" w14:textId="77777777" w:rsidR="00134E43" w:rsidRPr="00EE5558" w:rsidRDefault="00134E43" w:rsidP="001B02FF">
            <w:pPr>
              <w:pStyle w:val="CETBodytext"/>
              <w:ind w:right="-1"/>
              <w:jc w:val="center"/>
              <w:rPr>
                <w:rFonts w:cs="Arial"/>
                <w:szCs w:val="18"/>
                <w:lang w:val="en-GB"/>
              </w:rPr>
            </w:pPr>
            <w:r w:rsidRPr="00EE5558">
              <w:rPr>
                <w:rFonts w:cs="Arial"/>
                <w:szCs w:val="18"/>
                <w:lang w:val="en-GB"/>
              </w:rPr>
              <w:t>76.6</w:t>
            </w:r>
          </w:p>
        </w:tc>
        <w:tc>
          <w:tcPr>
            <w:tcW w:w="992" w:type="dxa"/>
            <w:tcBorders>
              <w:top w:val="nil"/>
              <w:bottom w:val="single" w:sz="6" w:space="0" w:color="009644"/>
            </w:tcBorders>
            <w:shd w:val="clear" w:color="auto" w:fill="FFFFFF"/>
          </w:tcPr>
          <w:p w14:paraId="3D26245C" w14:textId="77777777" w:rsidR="00134E43" w:rsidRPr="00EE5558" w:rsidRDefault="00134E43" w:rsidP="001B02FF">
            <w:pPr>
              <w:pStyle w:val="CETBodytext"/>
              <w:ind w:right="-1"/>
              <w:jc w:val="center"/>
              <w:rPr>
                <w:rFonts w:cs="Arial"/>
                <w:szCs w:val="18"/>
                <w:lang w:val="en-GB"/>
              </w:rPr>
            </w:pPr>
            <w:r w:rsidRPr="00EE5558">
              <w:rPr>
                <w:rFonts w:cs="Arial"/>
                <w:szCs w:val="18"/>
                <w:lang w:val="en-GB"/>
              </w:rPr>
              <w:t>n.d.</w:t>
            </w:r>
          </w:p>
        </w:tc>
        <w:tc>
          <w:tcPr>
            <w:tcW w:w="851" w:type="dxa"/>
            <w:tcBorders>
              <w:top w:val="nil"/>
              <w:bottom w:val="single" w:sz="6" w:space="0" w:color="009644"/>
            </w:tcBorders>
            <w:shd w:val="clear" w:color="auto" w:fill="FFFFFF"/>
          </w:tcPr>
          <w:p w14:paraId="7B4DC053" w14:textId="77777777" w:rsidR="00134E43" w:rsidRPr="00EE5558" w:rsidRDefault="00134E43" w:rsidP="001B02FF">
            <w:pPr>
              <w:pStyle w:val="CETBodytext"/>
              <w:ind w:right="-1"/>
              <w:jc w:val="center"/>
              <w:rPr>
                <w:rFonts w:cs="Arial"/>
                <w:szCs w:val="18"/>
                <w:lang w:val="en-GB"/>
              </w:rPr>
            </w:pPr>
            <w:r w:rsidRPr="00EE5558">
              <w:rPr>
                <w:rFonts w:cs="Arial"/>
                <w:szCs w:val="18"/>
                <w:lang w:val="en-GB"/>
              </w:rPr>
              <w:t>n.d.</w:t>
            </w:r>
          </w:p>
        </w:tc>
        <w:tc>
          <w:tcPr>
            <w:tcW w:w="994" w:type="dxa"/>
            <w:tcBorders>
              <w:top w:val="nil"/>
              <w:bottom w:val="single" w:sz="6" w:space="0" w:color="009644"/>
            </w:tcBorders>
            <w:shd w:val="clear" w:color="auto" w:fill="FFFFFF"/>
          </w:tcPr>
          <w:p w14:paraId="70D8275C" w14:textId="77777777" w:rsidR="00134E43" w:rsidRPr="00EE5558" w:rsidRDefault="00134E43" w:rsidP="001B02FF">
            <w:pPr>
              <w:pStyle w:val="CETBodytext"/>
              <w:ind w:right="-1"/>
              <w:jc w:val="center"/>
              <w:rPr>
                <w:rFonts w:cs="Arial"/>
                <w:szCs w:val="18"/>
                <w:lang w:val="en-GB"/>
              </w:rPr>
            </w:pPr>
            <w:r w:rsidRPr="00EE5558">
              <w:rPr>
                <w:rFonts w:cs="Arial"/>
                <w:szCs w:val="18"/>
                <w:lang w:val="en-GB"/>
              </w:rPr>
              <w:t>n.d.</w:t>
            </w:r>
          </w:p>
        </w:tc>
        <w:tc>
          <w:tcPr>
            <w:tcW w:w="1206" w:type="dxa"/>
            <w:tcBorders>
              <w:top w:val="nil"/>
              <w:bottom w:val="single" w:sz="6" w:space="0" w:color="009644"/>
            </w:tcBorders>
            <w:shd w:val="clear" w:color="auto" w:fill="FFFFFF"/>
          </w:tcPr>
          <w:p w14:paraId="46961560" w14:textId="6A0E7A98" w:rsidR="00134E43" w:rsidRPr="00EE5558" w:rsidRDefault="00134E43" w:rsidP="001B02FF">
            <w:pPr>
              <w:pStyle w:val="CETBodytext"/>
              <w:ind w:right="-1"/>
              <w:jc w:val="center"/>
              <w:rPr>
                <w:rFonts w:cs="Arial"/>
                <w:szCs w:val="18"/>
                <w:lang w:val="en-GB"/>
              </w:rPr>
            </w:pPr>
            <w:r>
              <w:rPr>
                <w:rFonts w:cs="Arial"/>
                <w:szCs w:val="18"/>
                <w:lang w:val="en-GB"/>
              </w:rPr>
              <w:t>n.a.</w:t>
            </w:r>
          </w:p>
        </w:tc>
      </w:tr>
      <w:tr w:rsidR="00134E43" w:rsidRPr="00EE5558" w14:paraId="76D8B487" w14:textId="24C6FE18" w:rsidTr="00134E43">
        <w:trPr>
          <w:jc w:val="center"/>
        </w:trPr>
        <w:tc>
          <w:tcPr>
            <w:tcW w:w="1418" w:type="dxa"/>
            <w:tcBorders>
              <w:top w:val="single" w:sz="6" w:space="0" w:color="009644"/>
            </w:tcBorders>
            <w:shd w:val="clear" w:color="auto" w:fill="FFFFFF"/>
            <w:vAlign w:val="center"/>
          </w:tcPr>
          <w:p w14:paraId="352BF064" w14:textId="77777777" w:rsidR="00134E43" w:rsidRPr="00EE5558" w:rsidRDefault="00134E43" w:rsidP="001B02FF">
            <w:pPr>
              <w:pStyle w:val="CETBodytext"/>
              <w:ind w:right="-1"/>
              <w:rPr>
                <w:rFonts w:cs="Arial"/>
                <w:szCs w:val="18"/>
                <w:lang w:val="en-GB"/>
              </w:rPr>
            </w:pPr>
            <w:r w:rsidRPr="00EE5558">
              <w:rPr>
                <w:rFonts w:cs="Arial"/>
                <w:szCs w:val="18"/>
                <w:lang w:val="en-GB"/>
              </w:rPr>
              <w:t>SWEB-T100</w:t>
            </w:r>
          </w:p>
        </w:tc>
        <w:tc>
          <w:tcPr>
            <w:tcW w:w="1276" w:type="dxa"/>
            <w:tcBorders>
              <w:top w:val="single" w:sz="6" w:space="0" w:color="009644"/>
            </w:tcBorders>
            <w:shd w:val="clear" w:color="auto" w:fill="FFFFFF"/>
          </w:tcPr>
          <w:p w14:paraId="18D098BF" w14:textId="77777777" w:rsidR="00134E43" w:rsidRPr="00EE5558" w:rsidRDefault="00134E43" w:rsidP="001B02FF">
            <w:pPr>
              <w:pStyle w:val="CETBodytext"/>
              <w:ind w:right="-1"/>
              <w:jc w:val="center"/>
              <w:rPr>
                <w:rFonts w:cs="Arial"/>
                <w:szCs w:val="18"/>
                <w:lang w:val="en-GB"/>
              </w:rPr>
            </w:pPr>
            <w:r w:rsidRPr="00EE5558">
              <w:rPr>
                <w:rFonts w:cs="Arial"/>
                <w:szCs w:val="18"/>
                <w:lang w:val="en-GB"/>
              </w:rPr>
              <w:t>n.d.</w:t>
            </w:r>
          </w:p>
        </w:tc>
        <w:tc>
          <w:tcPr>
            <w:tcW w:w="850" w:type="dxa"/>
            <w:tcBorders>
              <w:top w:val="single" w:sz="6" w:space="0" w:color="009644"/>
            </w:tcBorders>
            <w:shd w:val="clear" w:color="auto" w:fill="FFFFFF"/>
            <w:vAlign w:val="center"/>
          </w:tcPr>
          <w:p w14:paraId="1580980E" w14:textId="77777777" w:rsidR="00134E43" w:rsidRPr="00EE5558" w:rsidRDefault="00134E43" w:rsidP="001B02FF">
            <w:pPr>
              <w:pStyle w:val="CETBodytext"/>
              <w:ind w:right="-1"/>
              <w:jc w:val="center"/>
              <w:rPr>
                <w:rFonts w:cs="Arial"/>
                <w:szCs w:val="18"/>
                <w:lang w:val="en-GB"/>
              </w:rPr>
            </w:pPr>
            <w:r w:rsidRPr="00EE5558">
              <w:rPr>
                <w:rFonts w:cs="Arial"/>
                <w:szCs w:val="18"/>
                <w:lang w:val="en-GB"/>
              </w:rPr>
              <w:t>84.7</w:t>
            </w:r>
          </w:p>
        </w:tc>
        <w:tc>
          <w:tcPr>
            <w:tcW w:w="992" w:type="dxa"/>
            <w:tcBorders>
              <w:top w:val="single" w:sz="6" w:space="0" w:color="009644"/>
            </w:tcBorders>
            <w:shd w:val="clear" w:color="auto" w:fill="FFFFFF"/>
            <w:vAlign w:val="center"/>
          </w:tcPr>
          <w:p w14:paraId="0155FB33" w14:textId="77777777" w:rsidR="00134E43" w:rsidRPr="00EE5558" w:rsidRDefault="00134E43" w:rsidP="001B02FF">
            <w:pPr>
              <w:pStyle w:val="CETBodytext"/>
              <w:ind w:right="-1"/>
              <w:jc w:val="center"/>
              <w:rPr>
                <w:rFonts w:cs="Arial"/>
                <w:szCs w:val="18"/>
                <w:lang w:val="en-GB"/>
              </w:rPr>
            </w:pPr>
            <w:r w:rsidRPr="00EE5558">
              <w:rPr>
                <w:rFonts w:cs="Arial"/>
                <w:szCs w:val="18"/>
                <w:lang w:val="en-GB"/>
              </w:rPr>
              <w:t>15.1</w:t>
            </w:r>
          </w:p>
        </w:tc>
        <w:tc>
          <w:tcPr>
            <w:tcW w:w="851" w:type="dxa"/>
            <w:tcBorders>
              <w:top w:val="single" w:sz="6" w:space="0" w:color="009644"/>
            </w:tcBorders>
            <w:shd w:val="clear" w:color="auto" w:fill="FFFFFF"/>
            <w:vAlign w:val="center"/>
          </w:tcPr>
          <w:p w14:paraId="5A928A26" w14:textId="77777777" w:rsidR="00134E43" w:rsidRPr="00EE5558" w:rsidRDefault="00134E43" w:rsidP="001B02FF">
            <w:pPr>
              <w:pStyle w:val="CETBodytext"/>
              <w:ind w:right="-1"/>
              <w:jc w:val="center"/>
              <w:rPr>
                <w:rFonts w:cs="Arial"/>
                <w:szCs w:val="18"/>
                <w:lang w:val="en-GB"/>
              </w:rPr>
            </w:pPr>
            <w:r w:rsidRPr="00EE5558">
              <w:rPr>
                <w:rFonts w:cs="Arial"/>
                <w:szCs w:val="18"/>
                <w:lang w:val="en-GB"/>
              </w:rPr>
              <w:t>0.3</w:t>
            </w:r>
          </w:p>
        </w:tc>
        <w:tc>
          <w:tcPr>
            <w:tcW w:w="994" w:type="dxa"/>
            <w:tcBorders>
              <w:top w:val="single" w:sz="6" w:space="0" w:color="009644"/>
            </w:tcBorders>
            <w:shd w:val="clear" w:color="auto" w:fill="FFFFFF"/>
          </w:tcPr>
          <w:p w14:paraId="42CABD9B" w14:textId="77777777" w:rsidR="00134E43" w:rsidRPr="00EE5558" w:rsidRDefault="00134E43" w:rsidP="001B02FF">
            <w:pPr>
              <w:pStyle w:val="CETBodytext"/>
              <w:ind w:right="-1"/>
              <w:jc w:val="center"/>
              <w:rPr>
                <w:rFonts w:cs="Arial"/>
                <w:szCs w:val="18"/>
                <w:lang w:val="en-GB"/>
              </w:rPr>
            </w:pPr>
            <w:r w:rsidRPr="00EE5558">
              <w:rPr>
                <w:rFonts w:cs="Arial"/>
                <w:szCs w:val="18"/>
                <w:lang w:val="en-GB"/>
              </w:rPr>
              <w:t>n.d.</w:t>
            </w:r>
          </w:p>
        </w:tc>
        <w:tc>
          <w:tcPr>
            <w:tcW w:w="1206" w:type="dxa"/>
            <w:tcBorders>
              <w:top w:val="single" w:sz="6" w:space="0" w:color="009644"/>
            </w:tcBorders>
            <w:shd w:val="clear" w:color="auto" w:fill="FFFFFF"/>
          </w:tcPr>
          <w:p w14:paraId="6218F4FD" w14:textId="48821214" w:rsidR="00134E43" w:rsidRPr="00EE5558" w:rsidRDefault="00134E43" w:rsidP="001B02FF">
            <w:pPr>
              <w:pStyle w:val="CETBodytext"/>
              <w:ind w:right="-1"/>
              <w:jc w:val="center"/>
              <w:rPr>
                <w:rFonts w:cs="Arial"/>
                <w:szCs w:val="18"/>
                <w:lang w:val="en-GB"/>
              </w:rPr>
            </w:pPr>
            <w:r>
              <w:rPr>
                <w:rFonts w:cs="Arial"/>
                <w:szCs w:val="18"/>
                <w:lang w:val="en-GB"/>
              </w:rPr>
              <w:t>n.a.</w:t>
            </w:r>
          </w:p>
        </w:tc>
      </w:tr>
      <w:tr w:rsidR="00134E43" w:rsidRPr="00EE5558" w14:paraId="12144898" w14:textId="2A4FD434" w:rsidTr="00134E43">
        <w:trPr>
          <w:jc w:val="center"/>
        </w:trPr>
        <w:tc>
          <w:tcPr>
            <w:tcW w:w="1418" w:type="dxa"/>
            <w:shd w:val="clear" w:color="auto" w:fill="FFFFFF"/>
            <w:vAlign w:val="center"/>
          </w:tcPr>
          <w:p w14:paraId="72929B59" w14:textId="77777777" w:rsidR="00134E43" w:rsidRPr="00EE5558" w:rsidRDefault="00134E43" w:rsidP="001B02FF">
            <w:pPr>
              <w:pStyle w:val="CETBodytext"/>
              <w:ind w:right="-1"/>
              <w:rPr>
                <w:rFonts w:cs="Arial"/>
                <w:szCs w:val="18"/>
                <w:lang w:val="en-GB"/>
              </w:rPr>
            </w:pPr>
            <w:r w:rsidRPr="00EE5558">
              <w:rPr>
                <w:rFonts w:cs="Arial"/>
                <w:szCs w:val="18"/>
                <w:lang w:val="en-GB"/>
              </w:rPr>
              <w:t>SWEB-T120</w:t>
            </w:r>
          </w:p>
        </w:tc>
        <w:tc>
          <w:tcPr>
            <w:tcW w:w="1276" w:type="dxa"/>
            <w:shd w:val="clear" w:color="auto" w:fill="FFFFFF"/>
          </w:tcPr>
          <w:p w14:paraId="306484E9" w14:textId="77777777" w:rsidR="00134E43" w:rsidRPr="00EE5558" w:rsidRDefault="00134E43" w:rsidP="001B02FF">
            <w:pPr>
              <w:pStyle w:val="CETBodytext"/>
              <w:ind w:right="-1"/>
              <w:jc w:val="center"/>
              <w:rPr>
                <w:rFonts w:cs="Arial"/>
                <w:szCs w:val="18"/>
                <w:lang w:val="en-GB"/>
              </w:rPr>
            </w:pPr>
            <w:r w:rsidRPr="00EE5558">
              <w:rPr>
                <w:rFonts w:cs="Arial"/>
                <w:szCs w:val="18"/>
                <w:lang w:val="en-GB"/>
              </w:rPr>
              <w:t>n.d.</w:t>
            </w:r>
          </w:p>
        </w:tc>
        <w:tc>
          <w:tcPr>
            <w:tcW w:w="850" w:type="dxa"/>
            <w:shd w:val="clear" w:color="auto" w:fill="FFFFFF"/>
            <w:vAlign w:val="center"/>
          </w:tcPr>
          <w:p w14:paraId="1B4BA0A9" w14:textId="77777777" w:rsidR="00134E43" w:rsidRPr="00EE5558" w:rsidRDefault="00134E43" w:rsidP="001B02FF">
            <w:pPr>
              <w:pStyle w:val="CETBodytext"/>
              <w:ind w:right="-1"/>
              <w:jc w:val="center"/>
              <w:rPr>
                <w:rFonts w:cs="Arial"/>
                <w:szCs w:val="18"/>
                <w:lang w:val="en-GB"/>
              </w:rPr>
            </w:pPr>
            <w:r w:rsidRPr="00EE5558">
              <w:rPr>
                <w:rFonts w:cs="Arial"/>
                <w:szCs w:val="18"/>
                <w:lang w:val="en-GB"/>
              </w:rPr>
              <w:t>83.8</w:t>
            </w:r>
          </w:p>
        </w:tc>
        <w:tc>
          <w:tcPr>
            <w:tcW w:w="992" w:type="dxa"/>
            <w:shd w:val="clear" w:color="auto" w:fill="FFFFFF"/>
            <w:vAlign w:val="center"/>
          </w:tcPr>
          <w:p w14:paraId="3F5F27D8" w14:textId="77777777" w:rsidR="00134E43" w:rsidRPr="00EE5558" w:rsidRDefault="00134E43" w:rsidP="001B02FF">
            <w:pPr>
              <w:pStyle w:val="CETBodytext"/>
              <w:ind w:right="-1"/>
              <w:jc w:val="center"/>
              <w:rPr>
                <w:rFonts w:cs="Arial"/>
                <w:szCs w:val="18"/>
                <w:lang w:val="en-GB"/>
              </w:rPr>
            </w:pPr>
            <w:r w:rsidRPr="00EE5558">
              <w:rPr>
                <w:rFonts w:cs="Arial"/>
                <w:szCs w:val="18"/>
                <w:lang w:val="en-GB"/>
              </w:rPr>
              <w:t>15.6</w:t>
            </w:r>
          </w:p>
        </w:tc>
        <w:tc>
          <w:tcPr>
            <w:tcW w:w="851" w:type="dxa"/>
            <w:shd w:val="clear" w:color="auto" w:fill="FFFFFF"/>
            <w:vAlign w:val="center"/>
          </w:tcPr>
          <w:p w14:paraId="40886901" w14:textId="77777777" w:rsidR="00134E43" w:rsidRPr="00EE5558" w:rsidRDefault="00134E43" w:rsidP="001B02FF">
            <w:pPr>
              <w:pStyle w:val="CETBodytext"/>
              <w:ind w:right="-1"/>
              <w:jc w:val="center"/>
              <w:rPr>
                <w:rFonts w:cs="Arial"/>
                <w:szCs w:val="18"/>
                <w:lang w:val="en-GB"/>
              </w:rPr>
            </w:pPr>
            <w:r w:rsidRPr="00EE5558">
              <w:rPr>
                <w:rFonts w:cs="Arial"/>
                <w:szCs w:val="18"/>
                <w:lang w:val="en-GB"/>
              </w:rPr>
              <w:t>0.6</w:t>
            </w:r>
          </w:p>
        </w:tc>
        <w:tc>
          <w:tcPr>
            <w:tcW w:w="994" w:type="dxa"/>
            <w:shd w:val="clear" w:color="auto" w:fill="FFFFFF"/>
          </w:tcPr>
          <w:p w14:paraId="4C31158B" w14:textId="77777777" w:rsidR="00134E43" w:rsidRPr="00EE5558" w:rsidRDefault="00134E43" w:rsidP="001B02FF">
            <w:pPr>
              <w:pStyle w:val="CETBodytext"/>
              <w:ind w:right="-1"/>
              <w:jc w:val="center"/>
              <w:rPr>
                <w:rFonts w:cs="Arial"/>
                <w:szCs w:val="18"/>
                <w:lang w:val="en-GB"/>
              </w:rPr>
            </w:pPr>
            <w:r w:rsidRPr="00EE5558">
              <w:rPr>
                <w:rFonts w:cs="Arial"/>
                <w:szCs w:val="18"/>
                <w:lang w:val="en-GB"/>
              </w:rPr>
              <w:t>n.d.</w:t>
            </w:r>
          </w:p>
        </w:tc>
        <w:tc>
          <w:tcPr>
            <w:tcW w:w="1206" w:type="dxa"/>
            <w:shd w:val="clear" w:color="auto" w:fill="FFFFFF"/>
          </w:tcPr>
          <w:p w14:paraId="060E027B" w14:textId="40FC6295" w:rsidR="00134E43" w:rsidRPr="00EE5558" w:rsidRDefault="00134E43" w:rsidP="001B02FF">
            <w:pPr>
              <w:pStyle w:val="CETBodytext"/>
              <w:ind w:right="-1"/>
              <w:jc w:val="center"/>
              <w:rPr>
                <w:rFonts w:cs="Arial"/>
                <w:szCs w:val="18"/>
                <w:lang w:val="en-GB"/>
              </w:rPr>
            </w:pPr>
            <w:r>
              <w:rPr>
                <w:rFonts w:cs="Arial"/>
                <w:szCs w:val="18"/>
                <w:lang w:val="en-GB"/>
              </w:rPr>
              <w:t>n.a.</w:t>
            </w:r>
          </w:p>
        </w:tc>
      </w:tr>
      <w:tr w:rsidR="00134E43" w:rsidRPr="00EE5558" w14:paraId="5B492C8E" w14:textId="54A25D15" w:rsidTr="00134E43">
        <w:trPr>
          <w:jc w:val="center"/>
        </w:trPr>
        <w:tc>
          <w:tcPr>
            <w:tcW w:w="1418" w:type="dxa"/>
            <w:shd w:val="clear" w:color="auto" w:fill="FFFFFF"/>
            <w:vAlign w:val="center"/>
          </w:tcPr>
          <w:p w14:paraId="2F31B38E" w14:textId="77777777" w:rsidR="00134E43" w:rsidRPr="00EE5558" w:rsidRDefault="00134E43" w:rsidP="001B02FF">
            <w:pPr>
              <w:pStyle w:val="CETBodytext"/>
              <w:ind w:right="-1"/>
              <w:rPr>
                <w:rFonts w:cs="Arial"/>
                <w:szCs w:val="18"/>
                <w:lang w:val="en-GB"/>
              </w:rPr>
            </w:pPr>
            <w:r w:rsidRPr="00EE5558">
              <w:rPr>
                <w:rFonts w:cs="Arial"/>
                <w:szCs w:val="18"/>
                <w:lang w:val="en-GB"/>
              </w:rPr>
              <w:t>SWEB-T170</w:t>
            </w:r>
          </w:p>
        </w:tc>
        <w:tc>
          <w:tcPr>
            <w:tcW w:w="1276" w:type="dxa"/>
            <w:shd w:val="clear" w:color="auto" w:fill="FFFFFF"/>
          </w:tcPr>
          <w:p w14:paraId="52ED0A0B" w14:textId="77777777" w:rsidR="00134E43" w:rsidRPr="00EE5558" w:rsidRDefault="00134E43" w:rsidP="001B02FF">
            <w:pPr>
              <w:pStyle w:val="CETBodytext"/>
              <w:ind w:right="-1"/>
              <w:jc w:val="center"/>
              <w:rPr>
                <w:rFonts w:cs="Arial"/>
                <w:szCs w:val="18"/>
                <w:lang w:val="en-GB"/>
              </w:rPr>
            </w:pPr>
            <w:r w:rsidRPr="00EE5558">
              <w:rPr>
                <w:rFonts w:cs="Arial"/>
                <w:szCs w:val="18"/>
                <w:lang w:val="en-GB"/>
              </w:rPr>
              <w:t>n.d.</w:t>
            </w:r>
          </w:p>
        </w:tc>
        <w:tc>
          <w:tcPr>
            <w:tcW w:w="850" w:type="dxa"/>
            <w:shd w:val="clear" w:color="auto" w:fill="FFFFFF"/>
            <w:vAlign w:val="center"/>
          </w:tcPr>
          <w:p w14:paraId="6AA719BE" w14:textId="77777777" w:rsidR="00134E43" w:rsidRPr="00EE5558" w:rsidRDefault="00134E43" w:rsidP="001B02FF">
            <w:pPr>
              <w:pStyle w:val="CETBodytext"/>
              <w:ind w:right="-1"/>
              <w:jc w:val="center"/>
              <w:rPr>
                <w:rFonts w:cs="Arial"/>
                <w:szCs w:val="18"/>
                <w:lang w:val="en-GB"/>
              </w:rPr>
            </w:pPr>
            <w:r w:rsidRPr="00EE5558">
              <w:rPr>
                <w:rFonts w:cs="Arial"/>
                <w:szCs w:val="18"/>
                <w:lang w:val="en-GB"/>
              </w:rPr>
              <w:t>71.0</w:t>
            </w:r>
          </w:p>
        </w:tc>
        <w:tc>
          <w:tcPr>
            <w:tcW w:w="992" w:type="dxa"/>
            <w:shd w:val="clear" w:color="auto" w:fill="FFFFFF"/>
            <w:vAlign w:val="center"/>
          </w:tcPr>
          <w:p w14:paraId="27936E62" w14:textId="77777777" w:rsidR="00134E43" w:rsidRPr="00EE5558" w:rsidRDefault="00134E43" w:rsidP="001B02FF">
            <w:pPr>
              <w:pStyle w:val="CETBodytext"/>
              <w:ind w:right="-1"/>
              <w:jc w:val="center"/>
              <w:rPr>
                <w:rFonts w:cs="Arial"/>
                <w:szCs w:val="18"/>
                <w:lang w:val="en-GB"/>
              </w:rPr>
            </w:pPr>
            <w:r w:rsidRPr="00EE5558">
              <w:rPr>
                <w:rFonts w:cs="Arial"/>
                <w:szCs w:val="18"/>
                <w:lang w:val="en-GB"/>
              </w:rPr>
              <w:t>27.6</w:t>
            </w:r>
          </w:p>
        </w:tc>
        <w:tc>
          <w:tcPr>
            <w:tcW w:w="851" w:type="dxa"/>
            <w:shd w:val="clear" w:color="auto" w:fill="FFFFFF"/>
            <w:vAlign w:val="center"/>
          </w:tcPr>
          <w:p w14:paraId="5DFE6FB4" w14:textId="77777777" w:rsidR="00134E43" w:rsidRPr="00EE5558" w:rsidRDefault="00134E43" w:rsidP="001B02FF">
            <w:pPr>
              <w:pStyle w:val="CETBodytext"/>
              <w:ind w:right="-1"/>
              <w:jc w:val="center"/>
              <w:rPr>
                <w:rFonts w:cs="Arial"/>
                <w:szCs w:val="18"/>
                <w:lang w:val="en-GB"/>
              </w:rPr>
            </w:pPr>
            <w:r w:rsidRPr="00EE5558">
              <w:rPr>
                <w:rFonts w:cs="Arial"/>
                <w:szCs w:val="18"/>
                <w:lang w:val="en-GB"/>
              </w:rPr>
              <w:t>1.4</w:t>
            </w:r>
          </w:p>
        </w:tc>
        <w:tc>
          <w:tcPr>
            <w:tcW w:w="994" w:type="dxa"/>
            <w:shd w:val="clear" w:color="auto" w:fill="FFFFFF"/>
          </w:tcPr>
          <w:p w14:paraId="05103EE3" w14:textId="77777777" w:rsidR="00134E43" w:rsidRPr="00EE5558" w:rsidRDefault="00134E43" w:rsidP="001B02FF">
            <w:pPr>
              <w:pStyle w:val="CETBodytext"/>
              <w:ind w:right="-1"/>
              <w:jc w:val="center"/>
              <w:rPr>
                <w:rFonts w:cs="Arial"/>
                <w:szCs w:val="18"/>
                <w:lang w:val="en-GB"/>
              </w:rPr>
            </w:pPr>
            <w:r w:rsidRPr="00EE5558">
              <w:rPr>
                <w:rFonts w:cs="Arial"/>
                <w:szCs w:val="18"/>
                <w:lang w:val="en-GB"/>
              </w:rPr>
              <w:t>n.d.</w:t>
            </w:r>
          </w:p>
        </w:tc>
        <w:tc>
          <w:tcPr>
            <w:tcW w:w="1206" w:type="dxa"/>
            <w:shd w:val="clear" w:color="auto" w:fill="FFFFFF"/>
          </w:tcPr>
          <w:p w14:paraId="2D88844E" w14:textId="2D5EB563" w:rsidR="00134E43" w:rsidRPr="00EE5558" w:rsidRDefault="00134E43" w:rsidP="001B02FF">
            <w:pPr>
              <w:pStyle w:val="CETBodytext"/>
              <w:ind w:right="-1"/>
              <w:jc w:val="center"/>
              <w:rPr>
                <w:rFonts w:cs="Arial"/>
                <w:szCs w:val="18"/>
                <w:lang w:val="en-GB"/>
              </w:rPr>
            </w:pPr>
            <w:r>
              <w:rPr>
                <w:rFonts w:cs="Arial"/>
                <w:szCs w:val="18"/>
                <w:lang w:val="en-GB"/>
              </w:rPr>
              <w:t>n.a.</w:t>
            </w:r>
          </w:p>
        </w:tc>
      </w:tr>
      <w:tr w:rsidR="00134E43" w:rsidRPr="00EE5558" w14:paraId="684D5ADE" w14:textId="06AA0139" w:rsidTr="00134E43">
        <w:trPr>
          <w:jc w:val="center"/>
        </w:trPr>
        <w:tc>
          <w:tcPr>
            <w:tcW w:w="1418" w:type="dxa"/>
            <w:shd w:val="clear" w:color="auto" w:fill="FFFFFF"/>
            <w:vAlign w:val="center"/>
          </w:tcPr>
          <w:p w14:paraId="213F363A" w14:textId="77777777" w:rsidR="00134E43" w:rsidRPr="00EE5558" w:rsidRDefault="00134E43" w:rsidP="001B02FF">
            <w:pPr>
              <w:pStyle w:val="CETBodytext"/>
              <w:ind w:right="-1"/>
              <w:rPr>
                <w:rFonts w:cs="Arial"/>
                <w:szCs w:val="18"/>
                <w:lang w:val="en-GB"/>
              </w:rPr>
            </w:pPr>
            <w:r w:rsidRPr="00EE5558">
              <w:rPr>
                <w:rFonts w:cs="Arial"/>
                <w:szCs w:val="18"/>
                <w:lang w:val="en-GB"/>
              </w:rPr>
              <w:t>SWEB-T220</w:t>
            </w:r>
          </w:p>
        </w:tc>
        <w:tc>
          <w:tcPr>
            <w:tcW w:w="1276" w:type="dxa"/>
            <w:shd w:val="clear" w:color="auto" w:fill="FFFFFF"/>
          </w:tcPr>
          <w:p w14:paraId="57C8A6D3" w14:textId="77777777" w:rsidR="00134E43" w:rsidRPr="00EE5558" w:rsidRDefault="00134E43" w:rsidP="001B02FF">
            <w:pPr>
              <w:pStyle w:val="CETBodytext"/>
              <w:ind w:right="-1"/>
              <w:jc w:val="center"/>
              <w:rPr>
                <w:rFonts w:cs="Arial"/>
                <w:szCs w:val="18"/>
                <w:lang w:val="en-GB"/>
              </w:rPr>
            </w:pPr>
            <w:r w:rsidRPr="00EE5558">
              <w:rPr>
                <w:rFonts w:cs="Arial"/>
                <w:szCs w:val="18"/>
                <w:lang w:val="en-GB"/>
              </w:rPr>
              <w:t>n.d.</w:t>
            </w:r>
          </w:p>
        </w:tc>
        <w:tc>
          <w:tcPr>
            <w:tcW w:w="850" w:type="dxa"/>
            <w:shd w:val="clear" w:color="auto" w:fill="FFFFFF"/>
            <w:vAlign w:val="center"/>
          </w:tcPr>
          <w:p w14:paraId="47B4C119" w14:textId="77777777" w:rsidR="00134E43" w:rsidRPr="00EE5558" w:rsidRDefault="00134E43" w:rsidP="001B02FF">
            <w:pPr>
              <w:pStyle w:val="CETBodytext"/>
              <w:ind w:right="-1"/>
              <w:jc w:val="center"/>
              <w:rPr>
                <w:rFonts w:cs="Arial"/>
                <w:szCs w:val="18"/>
                <w:lang w:val="en-GB"/>
              </w:rPr>
            </w:pPr>
            <w:r w:rsidRPr="00EE5558">
              <w:rPr>
                <w:rFonts w:cs="Arial"/>
                <w:szCs w:val="18"/>
                <w:lang w:val="en-GB"/>
              </w:rPr>
              <w:t>71.9</w:t>
            </w:r>
          </w:p>
        </w:tc>
        <w:tc>
          <w:tcPr>
            <w:tcW w:w="992" w:type="dxa"/>
            <w:shd w:val="clear" w:color="auto" w:fill="FFFFFF"/>
            <w:vAlign w:val="center"/>
          </w:tcPr>
          <w:p w14:paraId="7C60AAC1" w14:textId="77777777" w:rsidR="00134E43" w:rsidRPr="00EE5558" w:rsidRDefault="00134E43" w:rsidP="001B02FF">
            <w:pPr>
              <w:pStyle w:val="CETBodytext"/>
              <w:ind w:right="-1"/>
              <w:jc w:val="center"/>
              <w:rPr>
                <w:rFonts w:cs="Arial"/>
                <w:szCs w:val="18"/>
                <w:lang w:val="en-GB"/>
              </w:rPr>
            </w:pPr>
            <w:r w:rsidRPr="00EE5558">
              <w:rPr>
                <w:rFonts w:cs="Arial"/>
                <w:szCs w:val="18"/>
                <w:lang w:val="en-GB"/>
              </w:rPr>
              <w:t>24.7</w:t>
            </w:r>
          </w:p>
        </w:tc>
        <w:tc>
          <w:tcPr>
            <w:tcW w:w="851" w:type="dxa"/>
            <w:shd w:val="clear" w:color="auto" w:fill="FFFFFF"/>
            <w:vAlign w:val="center"/>
          </w:tcPr>
          <w:p w14:paraId="2383A3AE" w14:textId="77777777" w:rsidR="00134E43" w:rsidRPr="00EE5558" w:rsidRDefault="00134E43" w:rsidP="001B02FF">
            <w:pPr>
              <w:pStyle w:val="CETBodytext"/>
              <w:ind w:right="-1"/>
              <w:jc w:val="center"/>
              <w:rPr>
                <w:rFonts w:cs="Arial"/>
                <w:szCs w:val="18"/>
                <w:lang w:val="en-GB"/>
              </w:rPr>
            </w:pPr>
            <w:r w:rsidRPr="00EE5558">
              <w:rPr>
                <w:rFonts w:cs="Arial"/>
                <w:szCs w:val="18"/>
                <w:lang w:val="en-GB"/>
              </w:rPr>
              <w:t>3.3</w:t>
            </w:r>
          </w:p>
        </w:tc>
        <w:tc>
          <w:tcPr>
            <w:tcW w:w="994" w:type="dxa"/>
            <w:shd w:val="clear" w:color="auto" w:fill="FFFFFF"/>
          </w:tcPr>
          <w:p w14:paraId="0C2AFD8A" w14:textId="77777777" w:rsidR="00134E43" w:rsidRPr="00EE5558" w:rsidRDefault="00134E43" w:rsidP="001B02FF">
            <w:pPr>
              <w:pStyle w:val="CETBodytext"/>
              <w:ind w:right="-1"/>
              <w:jc w:val="center"/>
              <w:rPr>
                <w:rFonts w:cs="Arial"/>
                <w:szCs w:val="18"/>
                <w:lang w:val="en-GB"/>
              </w:rPr>
            </w:pPr>
            <w:r w:rsidRPr="00EE5558">
              <w:rPr>
                <w:rFonts w:cs="Arial"/>
                <w:szCs w:val="18"/>
                <w:lang w:val="en-GB"/>
              </w:rPr>
              <w:t>n.d.</w:t>
            </w:r>
          </w:p>
        </w:tc>
        <w:tc>
          <w:tcPr>
            <w:tcW w:w="1206" w:type="dxa"/>
            <w:shd w:val="clear" w:color="auto" w:fill="FFFFFF"/>
          </w:tcPr>
          <w:p w14:paraId="1C42DFDA" w14:textId="256166D7" w:rsidR="00134E43" w:rsidRPr="00EE5558" w:rsidRDefault="00134E43" w:rsidP="001B02FF">
            <w:pPr>
              <w:pStyle w:val="CETBodytext"/>
              <w:ind w:right="-1"/>
              <w:jc w:val="center"/>
              <w:rPr>
                <w:rFonts w:cs="Arial"/>
                <w:szCs w:val="18"/>
                <w:lang w:val="en-GB"/>
              </w:rPr>
            </w:pPr>
            <w:r>
              <w:rPr>
                <w:rFonts w:cs="Arial"/>
                <w:szCs w:val="18"/>
                <w:lang w:val="en-GB"/>
              </w:rPr>
              <w:t>n.a.</w:t>
            </w:r>
          </w:p>
        </w:tc>
      </w:tr>
    </w:tbl>
    <w:p w14:paraId="7AA3D847" w14:textId="77777777" w:rsidR="00E23DC8" w:rsidRPr="0016110C" w:rsidRDefault="00E23DC8" w:rsidP="00E23DC8">
      <w:pPr>
        <w:pStyle w:val="CETBodytext"/>
        <w:rPr>
          <w:sz w:val="6"/>
          <w:szCs w:val="6"/>
          <w:lang w:val="en-GB"/>
        </w:rPr>
      </w:pPr>
    </w:p>
    <w:p w14:paraId="6337E06D" w14:textId="4A7CE3D3" w:rsidR="00A845D1" w:rsidRDefault="00252D61" w:rsidP="008953D6">
      <w:pPr>
        <w:pStyle w:val="CETBodytext"/>
        <w:rPr>
          <w:rFonts w:cs="Arial"/>
          <w:lang w:val="en-GB"/>
        </w:rPr>
      </w:pPr>
      <w:r>
        <w:rPr>
          <w:lang w:val="en-GB"/>
        </w:rPr>
        <w:t xml:space="preserve">Obtained solid yields for batch SWE show that mass loss due to hydrolysis significantly increases when increasing the temperature, </w:t>
      </w:r>
      <w:proofErr w:type="gramStart"/>
      <w:r>
        <w:rPr>
          <w:lang w:val="en-GB"/>
        </w:rPr>
        <w:t>in particular from</w:t>
      </w:r>
      <w:proofErr w:type="gramEnd"/>
      <w:r>
        <w:rPr>
          <w:lang w:val="en-GB"/>
        </w:rPr>
        <w:t xml:space="preserve"> 120 to 170 </w:t>
      </w:r>
      <w:r>
        <w:rPr>
          <w:rFonts w:cs="Arial"/>
          <w:lang w:val="en-GB"/>
        </w:rPr>
        <w:t>°</w:t>
      </w:r>
      <w:r>
        <w:rPr>
          <w:lang w:val="en-GB"/>
        </w:rPr>
        <w:t xml:space="preserve">C (Table 2). Further increase in temperature did not lead to significant variation in solid yield, which could be explained by the concurrent and counterbalancing densification of the original PS undergoing solid to solid carbonization reactions and the formation of secondary chars resulting from liquid to solid reactions, which is known to occur already at 220 </w:t>
      </w:r>
      <w:r>
        <w:rPr>
          <w:rFonts w:cs="Arial"/>
          <w:lang w:val="en-GB"/>
        </w:rPr>
        <w:t>°</w:t>
      </w:r>
      <w:r>
        <w:rPr>
          <w:lang w:val="en-GB"/>
        </w:rPr>
        <w:t xml:space="preserve">C  </w:t>
      </w:r>
      <w:r>
        <w:rPr>
          <w:lang w:val="en-GB"/>
        </w:rPr>
        <w:fldChar w:fldCharType="begin" w:fldLock="1"/>
      </w:r>
      <w:r w:rsidR="00232F59">
        <w:rPr>
          <w:lang w:val="en-GB"/>
        </w:rPr>
        <w:instrText>ADDIN CSL_CITATION {"citationItems":[{"id":"ITEM-1","itemData":{"DOI":"10.3390/agronomy14050955","ISSN":"2073-4395","abstract":"Hydrothermal carbonization (HTC) has emerged as a pivotal technology in the battle against climate change and fosters circular economies. Operating within a unique reaction environment characterized by water as a solvent and moderate temperatures at self-generated pressures, HTC efficiently converts biomass residues into valuable bio-based products. Despite HTC’s potential—from the management of challenging biomass wastes to the synthesis of advanced carbons and the implementation of biorefineries—it encounters hurdles transitioning from academic exploration to industrial implementation. Gaps persist, from a general comprehension of reaction intricacies to the difficulty of large-scale integration with wastewater treatments, to the management of process water, to the absence of standardized assessment techniques for HTC products. Addressing these challenges demands collaboration to bridge the many scientific sectors touched by HTC. Thus, this article reviews the current state of some hot topics considered crucial for HTC development: It emphasizes the role of HTC as a cornerstone for waste management and biorefineries, highlighting potentialities and challenges for its development. In particular, it surveys fundamental research aspects, delving into reaction pathways, predictive models, analytical techniques, and HTC modifications while exploring HTC’s crucial technological applications and challenges, with a peculiar focus on combined HTC, wastewater integration, and plant energy efficiency.","author":[{"dropping-particle":"","family":"Ischia","given":"Giulia","non-dropping-particle":"","parse-names":false,"suffix":""},{"dropping-particle":"","family":"Berge","given":"Nicole D.","non-dropping-particle":"","parse-names":false,"suffix":""},{"dropping-particle":"","family":"Bae","given":"Sunyoung","non-dropping-particle":"","parse-names":false,"suffix":""},{"dropping-particle":"","family":"Marzban","given":"Nader","non-dropping-particle":"","parse-names":false,"suffix":""},{"dropping-particle":"","family":"Román","given":"Silvia","non-dropping-particle":"","parse-names":false,"suffix":""},{"dropping-particle":"","family":"Farru","given":"Gianluigi","non-dropping-particle":"","parse-names":false,"suffix":""},{"dropping-particle":"","family":"Wilk","given":"Małgorzata","non-dropping-particle":"","parse-names":false,"suffix":""},{"dropping-particle":"","family":"Kulli","given":"Beatrice","non-dropping-particle":"","parse-names":false,"suffix":""},{"dropping-particle":"","family":"Fiori","given":"Luca","non-dropping-particle":"","parse-names":false,"suffix":""}],"container-title":"Agronomy","id":"ITEM-1","issue":"5","issued":{"date-parts":[["2024","5","2"]]},"page":"955","title":"Advances in Research and Technology of Hydrothermal Carbonization: Achievements and Future Directions","type":"article-journal","volume":"14"},"uris":["http://www.mendeley.com/documents/?uuid=d82e1223-bbd1-4abc-9f71-751b92c1b11b"]}],"mendeley":{"formattedCitation":"(Ischia &lt;i&gt;et al.&lt;/i&gt;, 2024)","plainTextFormattedCitation":"(Ischia et al., 2024)","previouslyFormattedCitation":"(Ischia &lt;i&gt;et al.&lt;/i&gt;, 2024)"},"properties":{"noteIndex":0},"schema":"https://github.com/citation-style-language/schema/raw/master/csl-citation.json"}</w:instrText>
      </w:r>
      <w:r>
        <w:rPr>
          <w:lang w:val="en-GB"/>
        </w:rPr>
        <w:fldChar w:fldCharType="separate"/>
      </w:r>
      <w:r w:rsidR="00EC7595" w:rsidRPr="00EC7595">
        <w:rPr>
          <w:noProof/>
          <w:lang w:val="en-GB"/>
        </w:rPr>
        <w:t xml:space="preserve">(Ischia </w:t>
      </w:r>
      <w:r w:rsidR="00EC7595" w:rsidRPr="00EC7595">
        <w:rPr>
          <w:i/>
          <w:noProof/>
          <w:lang w:val="en-GB"/>
        </w:rPr>
        <w:t>et al.</w:t>
      </w:r>
      <w:r w:rsidR="00EC7595" w:rsidRPr="00EC7595">
        <w:rPr>
          <w:noProof/>
          <w:lang w:val="en-GB"/>
        </w:rPr>
        <w:t>, 2024)</w:t>
      </w:r>
      <w:r>
        <w:rPr>
          <w:lang w:val="en-GB"/>
        </w:rPr>
        <w:fldChar w:fldCharType="end"/>
      </w:r>
      <w:r>
        <w:rPr>
          <w:lang w:val="en-GB"/>
        </w:rPr>
        <w:t xml:space="preserve">. For the same temperature (120 </w:t>
      </w:r>
      <w:r>
        <w:rPr>
          <w:rFonts w:cs="Arial"/>
          <w:lang w:val="en-GB"/>
        </w:rPr>
        <w:t>°</w:t>
      </w:r>
      <w:r>
        <w:rPr>
          <w:lang w:val="en-GB"/>
        </w:rPr>
        <w:t xml:space="preserve">C) continuous SWE resulted in comparably lower solid yield (continuous: 76.6% vs batch: 83.8%), which could be explained by the fact that during continuous SWE treatment, the solution of water and extractives was gradually being replaced by the flow of fresh solvent, thus preventing saturation of the solution. </w:t>
      </w:r>
      <w:r w:rsidRPr="00A20974">
        <w:rPr>
          <w:lang w:val="en-GB"/>
        </w:rPr>
        <w:t xml:space="preserve">There was only </w:t>
      </w:r>
      <w:r w:rsidR="007521BD">
        <w:rPr>
          <w:lang w:val="en-GB"/>
        </w:rPr>
        <w:t xml:space="preserve">a </w:t>
      </w:r>
      <w:r w:rsidRPr="00A20974">
        <w:rPr>
          <w:lang w:val="en-GB"/>
        </w:rPr>
        <w:t>slight numerical difference in amount between lycopene content of SCO2E-p410T70 and SCO2E-p390T70 oil extracts</w:t>
      </w:r>
      <w:r w:rsidR="00B92936">
        <w:rPr>
          <w:lang w:val="en-GB"/>
        </w:rPr>
        <w:t>, with concentrations reaching 0.66 and 0.63 mg of lycopene per g of oil, respectively</w:t>
      </w:r>
      <w:r w:rsidRPr="00A20974">
        <w:rPr>
          <w:lang w:val="en-GB"/>
        </w:rPr>
        <w:t>.</w:t>
      </w:r>
      <w:r w:rsidR="00B92936">
        <w:rPr>
          <w:lang w:val="en-GB"/>
        </w:rPr>
        <w:t xml:space="preserve"> This is less than achievable lycopene concentration reported by </w:t>
      </w:r>
      <w:r w:rsidR="00B92936">
        <w:rPr>
          <w:lang w:val="en-GB"/>
        </w:rPr>
        <w:fldChar w:fldCharType="begin" w:fldLock="1"/>
      </w:r>
      <w:r w:rsidR="00232F59">
        <w:rPr>
          <w:lang w:val="en-GB"/>
        </w:rPr>
        <w:instrText>ADDIN CSL_CITATION {"citationItems":[{"id":"ITEM-1","itemData":{"DOI":"10.1016/j.foodchem.2020.126224","ISSN":"18737072","PMID":"32007813","abstract":"This work considered lycopene (lyc) amount and (all-E)-lyc:Z-lyc (E:Z) ratio as driving parameters of the tomato pomace (TP) supercritical CO2 extraction (SFE_CO2) performance. By testing lyc concentrations solubilization in tomato seed oil and E:Z ratios of 75:25, 59:39 and 25:75, full and partial equations (SE) were calculated. The application of mass balances to experimental TP_SFE_CO2 highlighted an extraction yield of 84.6% TP lyc, although the recovery into the extract was 48.4% of the extracted lyc (lyc = .1339 μg g−1 oil). The SE application to TP_SFE_CO2 data confirmed that partial solubilization mainly depended on oil availability vs. lyc amount. Thus an improved TP_SFE_CO2 was designed in which 703 g of exogenous tomato oil will be fluxed from the co-solvent tank: the new process will produce 884 g kg−1 d.m. of extract with an expected recovery of 99.3% of the extractable lyc (lyc = .502 μg g−1 oil).","author":[{"dropping-particle":"","family":"Squillace","given":"Pietro","non-dropping-particle":"","parse-names":false,"suffix":""},{"dropping-particle":"","family":"Adani","given":"Fabrizio","non-dropping-particle":"","parse-names":false,"suffix":""},{"dropping-particle":"","family":"Scaglia","given":"Barbara","non-dropping-particle":"","parse-names":false,"suffix":""}],"container-title":"Food Chemistry","id":"ITEM-1","issue":"January","issued":{"date-parts":[["2020"]]},"page":"126224","publisher":"Elsevier","title":"Supercritical CO2 extraction of tomato pomace: Evaluation of the solubility of lycopene in tomato oil as limiting factor of the process performance","type":"article-journal","volume":"315"},"uris":["http://www.mendeley.com/documents/?uuid=32d203d3-f436-4f7b-b3a0-a5240f24c3e2"]}],"mendeley":{"formattedCitation":"(Squillace, Adani and Scaglia, 2020)","plainTextFormattedCitation":"(Squillace, Adani and Scaglia, 2020)","previouslyFormattedCitation":"(Squillace, Adani and Scaglia, 2020)"},"properties":{"noteIndex":0},"schema":"https://github.com/citation-style-language/schema/raw/master/csl-citation.json"}</w:instrText>
      </w:r>
      <w:r w:rsidR="00B92936">
        <w:rPr>
          <w:lang w:val="en-GB"/>
        </w:rPr>
        <w:fldChar w:fldCharType="separate"/>
      </w:r>
      <w:r w:rsidR="00EC7595" w:rsidRPr="00EC7595">
        <w:rPr>
          <w:noProof/>
          <w:lang w:val="en-GB"/>
        </w:rPr>
        <w:t>(Squillace, Adani and Scaglia, 2020)</w:t>
      </w:r>
      <w:r w:rsidR="00B92936">
        <w:rPr>
          <w:lang w:val="en-GB"/>
        </w:rPr>
        <w:fldChar w:fldCharType="end"/>
      </w:r>
      <w:r w:rsidR="00B92936">
        <w:rPr>
          <w:lang w:val="en-GB"/>
        </w:rPr>
        <w:t xml:space="preserve"> as 3.75 and 1.59 mg of lycopene per g of oil for tomato peels and raw tomato fruits, respectively. This indicates that increasing the oil content, either by improving </w:t>
      </w:r>
      <w:r w:rsidR="00011CCA" w:rsidRPr="00EE5558">
        <w:t>S</w:t>
      </w:r>
      <w:r w:rsidR="00011CCA">
        <w:t>C</w:t>
      </w:r>
      <w:r w:rsidR="00011CCA" w:rsidRPr="00EE5558">
        <w:t>O</w:t>
      </w:r>
      <w:r w:rsidR="00011CCA" w:rsidRPr="00EE5558">
        <w:rPr>
          <w:vertAlign w:val="subscript"/>
        </w:rPr>
        <w:t>2</w:t>
      </w:r>
      <w:r w:rsidR="00011CCA">
        <w:t>E</w:t>
      </w:r>
      <w:r w:rsidR="00B92936">
        <w:rPr>
          <w:lang w:val="en-GB"/>
        </w:rPr>
        <w:t xml:space="preserve"> efficiency or adding a co-feedstock rich in oil, could improve the overall performance of</w:t>
      </w:r>
      <w:r w:rsidR="001B7816">
        <w:rPr>
          <w:lang w:val="en-GB"/>
        </w:rPr>
        <w:t xml:space="preserve"> lycopene extraction</w:t>
      </w:r>
      <w:r w:rsidR="00134B5E">
        <w:rPr>
          <w:lang w:val="en-GB"/>
        </w:rPr>
        <w:t xml:space="preserve"> </w:t>
      </w:r>
      <w:r w:rsidR="00134B5E" w:rsidRPr="00134B5E">
        <w:rPr>
          <w:highlight w:val="yellow"/>
          <w:lang w:val="en-GB"/>
        </w:rPr>
        <w:fldChar w:fldCharType="begin" w:fldLock="1"/>
      </w:r>
      <w:r w:rsidR="00134E43">
        <w:rPr>
          <w:highlight w:val="yellow"/>
          <w:lang w:val="en-GB"/>
        </w:rPr>
        <w:instrText>ADDIN CSL_CITATION {"citationItems":[{"id":"ITEM-1","itemData":{"DOI":"10.1016/S0896-8446(03)00039-1","ISSN":"08968446","abstract":"This work describes an innovative process for the extraction of lycopene from tomato using supercritical carbon dioxide in the presence of vegetable oil as co-solvent. The presence of the co-solvent improves the yields of the lycopene extract and has a beneficial role in the stability of the pigment. A complete description of the extraction process is also reported. The experiments carried out with and without co-solvent at pressures and temperatures ranging from 335 to 450 bar and 45 to 70°C, respectively, bar have shown that the amount of the extractable lycopene depends on the experimental conditions. Also, the maximum amount of the extractable lycopene from dried tomato (6% of moisture, average particle size of about 1 mm), at 450 bar and 66°C in the presence of co-solvent and utilizing a flow rate of about 20 kg CO2/h, was 60%. The extracts were analyzed by high-performance liquid chromatography and UV-vis spectra. © 2003 Elsevier B.V. All rights reserved.","author":[{"dropping-particle":"","family":"Vasapollo","given":"Giuseppe","non-dropping-particle":"","parse-names":false,"suffix":""},{"dropping-particle":"","family":"Longo","given":"Luigia","non-dropping-particle":"","parse-names":false,"suffix":""},{"dropping-particle":"","family":"Rescio","given":"Leonardo","non-dropping-particle":"","parse-names":false,"suffix":""},{"dropping-particle":"","family":"Ciurlia","given":"Loredana","non-dropping-particle":"","parse-names":false,"suffix":""}],"container-title":"The Journal of Supercritical Fluids","id":"ITEM-1","issue":"1-2","issued":{"date-parts":[["2004","4"]]},"page":"87-96","title":"Innovative supercritical CO2 extraction of lycopene from tomato in the presence of vegetable oil as co-solvent","type":"article-journal","volume":"29"},"uris":["http://www.mendeley.com/documents/?uuid=80673942-fb48-42c0-93ff-1e9273cafff3"]}],"mendeley":{"formattedCitation":"(Vasapollo &lt;i&gt;et al.&lt;/i&gt;, 2004)","plainTextFormattedCitation":"(Vasapollo et al., 2004)","previouslyFormattedCitation":"(Vasapollo &lt;i&gt;et al.&lt;/i&gt;, 2004)"},"properties":{"noteIndex":0},"schema":"https://github.com/citation-style-language/schema/raw/master/csl-citation.json"}</w:instrText>
      </w:r>
      <w:r w:rsidR="00134B5E" w:rsidRPr="00134B5E">
        <w:rPr>
          <w:highlight w:val="yellow"/>
          <w:lang w:val="en-GB"/>
        </w:rPr>
        <w:fldChar w:fldCharType="separate"/>
      </w:r>
      <w:r w:rsidR="00134B5E" w:rsidRPr="00134B5E">
        <w:rPr>
          <w:noProof/>
          <w:highlight w:val="yellow"/>
          <w:lang w:val="en-GB"/>
        </w:rPr>
        <w:t xml:space="preserve">(Vasapollo </w:t>
      </w:r>
      <w:r w:rsidR="00134B5E" w:rsidRPr="00134B5E">
        <w:rPr>
          <w:i/>
          <w:noProof/>
          <w:highlight w:val="yellow"/>
          <w:lang w:val="en-GB"/>
        </w:rPr>
        <w:t>et al.</w:t>
      </w:r>
      <w:r w:rsidR="00134B5E" w:rsidRPr="00134B5E">
        <w:rPr>
          <w:noProof/>
          <w:highlight w:val="yellow"/>
          <w:lang w:val="en-GB"/>
        </w:rPr>
        <w:t>, 2004)</w:t>
      </w:r>
      <w:r w:rsidR="00134B5E" w:rsidRPr="00134B5E">
        <w:rPr>
          <w:highlight w:val="yellow"/>
          <w:lang w:val="en-GB"/>
        </w:rPr>
        <w:fldChar w:fldCharType="end"/>
      </w:r>
      <w:r w:rsidR="001B7816">
        <w:rPr>
          <w:lang w:val="en-GB"/>
        </w:rPr>
        <w:t>.</w:t>
      </w:r>
      <w:r w:rsidR="0016110C">
        <w:rPr>
          <w:lang w:val="en-GB"/>
        </w:rPr>
        <w:t xml:space="preserve"> </w:t>
      </w:r>
      <w:r w:rsidR="00596329" w:rsidRPr="0086328C">
        <w:rPr>
          <w:lang w:val="en-GB"/>
        </w:rPr>
        <w:t xml:space="preserve">The protein profile in solid sample after </w:t>
      </w:r>
      <w:r w:rsidR="00011CCA" w:rsidRPr="00EE5558">
        <w:t>S</w:t>
      </w:r>
      <w:r w:rsidR="00011CCA">
        <w:t>C</w:t>
      </w:r>
      <w:r w:rsidR="00011CCA" w:rsidRPr="00EE5558">
        <w:t>O</w:t>
      </w:r>
      <w:r w:rsidR="00011CCA" w:rsidRPr="00EE5558">
        <w:rPr>
          <w:vertAlign w:val="subscript"/>
        </w:rPr>
        <w:t>2</w:t>
      </w:r>
      <w:r w:rsidR="00011CCA">
        <w:t>E</w:t>
      </w:r>
      <w:r w:rsidR="00596329" w:rsidRPr="0086328C">
        <w:rPr>
          <w:lang w:val="en-GB"/>
        </w:rPr>
        <w:t xml:space="preserve"> is comparable to that of the untreated sample (</w:t>
      </w:r>
      <w:r w:rsidR="006E235F">
        <w:rPr>
          <w:lang w:val="en-GB"/>
        </w:rPr>
        <w:t>F</w:t>
      </w:r>
      <w:r w:rsidR="00596329" w:rsidRPr="0086328C">
        <w:rPr>
          <w:lang w:val="en-GB"/>
        </w:rPr>
        <w:t xml:space="preserve">igure </w:t>
      </w:r>
      <w:r w:rsidR="00596329" w:rsidRPr="009624FC">
        <w:rPr>
          <w:highlight w:val="yellow"/>
          <w:lang w:val="en-GB"/>
        </w:rPr>
        <w:t>3</w:t>
      </w:r>
      <w:r w:rsidR="00510AD8" w:rsidRPr="009624FC">
        <w:rPr>
          <w:highlight w:val="yellow"/>
          <w:lang w:val="en-GB"/>
        </w:rPr>
        <w:t>A</w:t>
      </w:r>
      <w:r w:rsidR="00596329" w:rsidRPr="009624FC">
        <w:rPr>
          <w:highlight w:val="yellow"/>
          <w:lang w:val="en-GB"/>
        </w:rPr>
        <w:t>)</w:t>
      </w:r>
      <w:r w:rsidR="00596329" w:rsidRPr="0086328C">
        <w:rPr>
          <w:lang w:val="en-GB"/>
        </w:rPr>
        <w:t xml:space="preserve"> suggesting that </w:t>
      </w:r>
      <w:r w:rsidR="00011CCA" w:rsidRPr="00EE5558">
        <w:t>S</w:t>
      </w:r>
      <w:r w:rsidR="00011CCA">
        <w:t>C</w:t>
      </w:r>
      <w:r w:rsidR="00011CCA" w:rsidRPr="00EE5558">
        <w:t>O</w:t>
      </w:r>
      <w:r w:rsidR="00011CCA" w:rsidRPr="00EE5558">
        <w:rPr>
          <w:vertAlign w:val="subscript"/>
        </w:rPr>
        <w:t>2</w:t>
      </w:r>
      <w:r w:rsidR="00011CCA">
        <w:t>E</w:t>
      </w:r>
      <w:r w:rsidR="00596329" w:rsidRPr="0086328C">
        <w:rPr>
          <w:lang w:val="en-GB"/>
        </w:rPr>
        <w:t xml:space="preserve"> did not affect the overall properties of proteins. On the contrary, peptides represent the only species </w:t>
      </w:r>
      <w:r w:rsidR="00596329" w:rsidRPr="008753B0">
        <w:rPr>
          <w:lang w:val="en-GB"/>
        </w:rPr>
        <w:t>present in both the SWE extract and in the solid materials remaining after the SWE treatment.</w:t>
      </w:r>
      <w:r w:rsidR="00596329" w:rsidRPr="0086328C">
        <w:rPr>
          <w:lang w:val="en-GB"/>
        </w:rPr>
        <w:t xml:space="preserve"> The SDS-PAGE </w:t>
      </w:r>
      <w:r w:rsidR="00134E43" w:rsidRPr="0086328C">
        <w:rPr>
          <w:lang w:val="en-GB"/>
        </w:rPr>
        <w:t>tracings indicate</w:t>
      </w:r>
      <w:r w:rsidR="00596329" w:rsidRPr="0086328C">
        <w:rPr>
          <w:lang w:val="en-GB"/>
        </w:rPr>
        <w:t xml:space="preserve"> that the peptide profile in the liquid phase from SWE treatments at various temperature is </w:t>
      </w:r>
      <w:proofErr w:type="gramStart"/>
      <w:r w:rsidR="00596329" w:rsidRPr="0086328C">
        <w:rPr>
          <w:lang w:val="en-GB"/>
        </w:rPr>
        <w:t>similar to</w:t>
      </w:r>
      <w:proofErr w:type="gramEnd"/>
      <w:r w:rsidR="00596329" w:rsidRPr="0086328C">
        <w:rPr>
          <w:lang w:val="en-GB"/>
        </w:rPr>
        <w:t xml:space="preserve"> that of the corresponding residual solids.</w:t>
      </w:r>
      <w:r w:rsidR="00596329">
        <w:rPr>
          <w:lang w:val="en-GB"/>
        </w:rPr>
        <w:t xml:space="preserve"> </w:t>
      </w:r>
      <w:bookmarkStart w:id="4" w:name="_Hlk201242650"/>
      <w:r w:rsidR="00596329" w:rsidRPr="0086328C">
        <w:rPr>
          <w:lang w:val="en-GB"/>
        </w:rPr>
        <w:t xml:space="preserve">These results suggest </w:t>
      </w:r>
      <w:r w:rsidR="00A8059C" w:rsidRPr="00A8059C">
        <w:rPr>
          <w:highlight w:val="yellow"/>
          <w:lang w:val="en-GB"/>
        </w:rPr>
        <w:t>an</w:t>
      </w:r>
      <w:r w:rsidR="00596329" w:rsidRPr="0086328C">
        <w:rPr>
          <w:lang w:val="en-GB"/>
        </w:rPr>
        <w:t xml:space="preserve"> effect</w:t>
      </w:r>
      <w:bookmarkEnd w:id="4"/>
      <w:r w:rsidR="00596329" w:rsidRPr="0086328C">
        <w:rPr>
          <w:lang w:val="en-GB"/>
        </w:rPr>
        <w:t xml:space="preserve"> of SWE on the overall protein organization, with complete disappearance of the large-size proteins present in </w:t>
      </w:r>
      <w:r w:rsidR="00702086" w:rsidRPr="00702086">
        <w:rPr>
          <w:highlight w:val="yellow"/>
          <w:lang w:val="en-GB"/>
        </w:rPr>
        <w:t>peels and seeds</w:t>
      </w:r>
      <w:r w:rsidR="00596329" w:rsidRPr="0086328C">
        <w:rPr>
          <w:lang w:val="en-GB"/>
        </w:rPr>
        <w:t xml:space="preserve"> sample </w:t>
      </w:r>
      <w:r w:rsidR="007F7096" w:rsidRPr="007F7096">
        <w:rPr>
          <w:highlight w:val="yellow"/>
          <w:lang w:val="en-GB"/>
        </w:rPr>
        <w:t>as well as</w:t>
      </w:r>
      <w:r w:rsidR="00596329" w:rsidRPr="0086328C">
        <w:rPr>
          <w:lang w:val="en-GB"/>
        </w:rPr>
        <w:t xml:space="preserve"> in solids from </w:t>
      </w:r>
      <w:r w:rsidR="00011CCA" w:rsidRPr="00EE5558">
        <w:t>S</w:t>
      </w:r>
      <w:r w:rsidR="00011CCA">
        <w:t>C</w:t>
      </w:r>
      <w:r w:rsidR="00011CCA" w:rsidRPr="00EE5558">
        <w:t>O</w:t>
      </w:r>
      <w:r w:rsidR="00011CCA" w:rsidRPr="00EE5558">
        <w:rPr>
          <w:vertAlign w:val="subscript"/>
        </w:rPr>
        <w:t>2</w:t>
      </w:r>
      <w:r w:rsidR="00011CCA">
        <w:t>E</w:t>
      </w:r>
      <w:r w:rsidR="00596329" w:rsidRPr="0086328C">
        <w:rPr>
          <w:lang w:val="en-GB"/>
        </w:rPr>
        <w:t>. Even SWE treatments at the lowest temperature (100</w:t>
      </w:r>
      <w:r w:rsidR="00EF0496">
        <w:rPr>
          <w:lang w:val="en-GB"/>
        </w:rPr>
        <w:t xml:space="preserve"> </w:t>
      </w:r>
      <w:r w:rsidR="00596329" w:rsidRPr="0086328C">
        <w:rPr>
          <w:lang w:val="en-GB"/>
        </w:rPr>
        <w:t xml:space="preserve">°C) resulted in the formation of protein polymers that are insoluble in the non-denaturing conditions used for preparing samples to be </w:t>
      </w:r>
      <w:r w:rsidR="00EF0496" w:rsidRPr="0086328C">
        <w:rPr>
          <w:lang w:val="en-GB"/>
        </w:rPr>
        <w:t>analysed</w:t>
      </w:r>
      <w:r w:rsidR="00596329" w:rsidRPr="0086328C">
        <w:rPr>
          <w:lang w:val="en-GB"/>
        </w:rPr>
        <w:t xml:space="preserve"> by SDS-PAGE</w:t>
      </w:r>
      <w:r w:rsidR="00596329" w:rsidRPr="009624FC">
        <w:rPr>
          <w:highlight w:val="yellow"/>
          <w:lang w:val="en-GB"/>
        </w:rPr>
        <w:t>.</w:t>
      </w:r>
      <w:r w:rsidR="008753B0" w:rsidRPr="009624FC">
        <w:rPr>
          <w:highlight w:val="yellow"/>
          <w:lang w:val="en-GB"/>
        </w:rPr>
        <w:t xml:space="preserve"> The densitometric analysis confirms the similarity </w:t>
      </w:r>
      <w:r w:rsidR="006A34F7" w:rsidRPr="009624FC">
        <w:rPr>
          <w:highlight w:val="yellow"/>
          <w:lang w:val="en-GB"/>
        </w:rPr>
        <w:t xml:space="preserve">between </w:t>
      </w:r>
      <w:r w:rsidR="008753B0" w:rsidRPr="009624FC">
        <w:rPr>
          <w:highlight w:val="yellow"/>
          <w:lang w:val="en-GB"/>
        </w:rPr>
        <w:t>liquid and solid SWE samples also from a quantitative point of view and highlights that, among the liquid samples, SWEB-T12</w:t>
      </w:r>
      <w:r w:rsidR="008753B0" w:rsidRPr="00AE1AB3">
        <w:rPr>
          <w:highlight w:val="yellow"/>
          <w:lang w:val="en-GB"/>
        </w:rPr>
        <w:t>0</w:t>
      </w:r>
      <w:r w:rsidR="008753B0" w:rsidRPr="009624FC">
        <w:rPr>
          <w:highlight w:val="yellow"/>
          <w:lang w:val="en-GB"/>
        </w:rPr>
        <w:t xml:space="preserve"> has a peptide content 30% higher than SWEB-T100 and 20% higher than SWEB-T170.</w:t>
      </w:r>
      <w:r w:rsidR="00134E43">
        <w:rPr>
          <w:lang w:val="en-GB"/>
        </w:rPr>
        <w:t xml:space="preserve"> </w:t>
      </w:r>
      <w:r w:rsidR="00BF7666" w:rsidRPr="0086328C">
        <w:rPr>
          <w:lang w:val="en-GB"/>
        </w:rPr>
        <w:t xml:space="preserve">Data from the OPA assay </w:t>
      </w:r>
      <w:r w:rsidR="00BF7666" w:rsidRPr="009624FC">
        <w:rPr>
          <w:highlight w:val="yellow"/>
          <w:lang w:val="en-GB"/>
        </w:rPr>
        <w:t>(</w:t>
      </w:r>
      <w:r w:rsidR="001621A8" w:rsidRPr="009624FC">
        <w:rPr>
          <w:highlight w:val="yellow"/>
          <w:lang w:val="en-GB"/>
        </w:rPr>
        <w:t>Figure 3B</w:t>
      </w:r>
      <w:r w:rsidR="00BF7666" w:rsidRPr="009624FC">
        <w:rPr>
          <w:highlight w:val="yellow"/>
          <w:lang w:val="en-GB"/>
        </w:rPr>
        <w:t>)</w:t>
      </w:r>
      <w:r w:rsidR="00BF7666" w:rsidRPr="0086328C">
        <w:rPr>
          <w:lang w:val="en-GB"/>
        </w:rPr>
        <w:t xml:space="preserve"> shows that the amount of free primary amines in SWE liquid samples increases</w:t>
      </w:r>
      <w:r w:rsidR="00E85D58">
        <w:rPr>
          <w:lang w:val="en-GB"/>
        </w:rPr>
        <w:t>,</w:t>
      </w:r>
      <w:r w:rsidR="00E85D58" w:rsidRPr="00E85D58">
        <w:t xml:space="preserve"> </w:t>
      </w:r>
      <w:r w:rsidR="00E85D58" w:rsidRPr="009624FC">
        <w:rPr>
          <w:highlight w:val="yellow"/>
          <w:lang w:val="en-GB"/>
        </w:rPr>
        <w:t>especially</w:t>
      </w:r>
      <w:r w:rsidR="00BF7666" w:rsidRPr="0086328C">
        <w:rPr>
          <w:lang w:val="en-GB"/>
        </w:rPr>
        <w:t xml:space="preserve"> when the treatment is carried out at 170 and 220 °C</w:t>
      </w:r>
      <w:r w:rsidR="00E85D58" w:rsidRPr="009624FC">
        <w:rPr>
          <w:highlight w:val="yellow"/>
          <w:lang w:val="en-GB"/>
        </w:rPr>
        <w:t>, compared to untreated sample</w:t>
      </w:r>
      <w:r w:rsidR="00BF7666" w:rsidRPr="009624FC">
        <w:rPr>
          <w:highlight w:val="yellow"/>
          <w:lang w:val="en-GB"/>
        </w:rPr>
        <w:t>.</w:t>
      </w:r>
      <w:r w:rsidR="00BF7666" w:rsidRPr="0086328C">
        <w:rPr>
          <w:lang w:val="en-GB"/>
        </w:rPr>
        <w:t xml:space="preserve"> Given that the OPA assay detects all free amines (including free ammonia) and considering the apparent absence of stainable peptides in the SDS-PAGE profiles shown in Figure 3</w:t>
      </w:r>
      <w:r w:rsidR="00DB7072" w:rsidRPr="009624FC">
        <w:rPr>
          <w:highlight w:val="yellow"/>
          <w:lang w:val="en-GB"/>
        </w:rPr>
        <w:t>A</w:t>
      </w:r>
      <w:r w:rsidR="00BF7666" w:rsidRPr="009624FC">
        <w:rPr>
          <w:highlight w:val="yellow"/>
          <w:lang w:val="en-GB"/>
        </w:rPr>
        <w:t>,</w:t>
      </w:r>
      <w:r w:rsidR="00BF7666" w:rsidRPr="0086328C">
        <w:rPr>
          <w:lang w:val="en-GB"/>
        </w:rPr>
        <w:t xml:space="preserve"> it is likely that SWE samples from high-temperature treatments are rich in very small-sized peptides or in free amino acids, or even in ammonia from the deamidation of glutamine and asparagine.</w:t>
      </w:r>
      <w:r w:rsidR="00FA7B72">
        <w:rPr>
          <w:lang w:val="en-GB"/>
        </w:rPr>
        <w:t xml:space="preserve"> </w:t>
      </w:r>
      <w:r w:rsidR="00A845D1" w:rsidRPr="0086328C">
        <w:rPr>
          <w:lang w:val="en-GB"/>
        </w:rPr>
        <w:t>All these species are not visible in the SDS-PAGE tracings, either because they run out of the electrophoretic gel or because they do not have enough hydrophobic surfaces able to bind the Coomassie Blue stain.</w:t>
      </w:r>
      <w:r w:rsidR="00A845D1">
        <w:rPr>
          <w:lang w:val="en-GB"/>
        </w:rPr>
        <w:t xml:space="preserve"> Observed influence of the temperature is in good qualitative agreement with the model proposed for behaviour of proteins in hydrothermal conditions by </w:t>
      </w:r>
      <w:r w:rsidR="00A845D1">
        <w:rPr>
          <w:lang w:val="en-GB"/>
        </w:rPr>
        <w:fldChar w:fldCharType="begin" w:fldLock="1"/>
      </w:r>
      <w:r w:rsidR="00A845D1">
        <w:rPr>
          <w:lang w:val="en-GB"/>
        </w:rPr>
        <w:instrText>ADDIN CSL_CITATION {"citationItems":[{"id":"ITEM-1","itemData":{"DOI":"10.1016/j.energy.2023.127337","ISSN":"03605442","abstract":"Breast cancer is predominantly seen in women and is the leading cause of death in females worldwide. Diagnosis of breast cancer using biopsy tissue images is expensive, time-intensive, and fraught with conflicts among doctors. Pathologists can now diagnose breast cancer more consistently and promptly because of advances in the Computer- Aided Diagnosis (CAD) system. As a result, there has been a surge in demand for CAD-based machine learning techniques. This study describes a \"BreastMultiNet\" framework that focuses on the transfer learning concept for identifying distinct types of breast cancer by utilizing two publicly available datasets. The suggested \"BreastMultiNet\" architecture allows rapid and comprehensive breast cancer diagnosis. The suggested scheme extracts features from microscope images with the help of well-known conventional and deep learning models such as HOG, LBP, SURP, DenseNet201, and VGG19. Comparatively, transfer learning models provide good accuracy than conventional models. The collected properties of transfer learning models are subsequently dispatched into the summing layer, resulting in a fused vector. The proposed framework achieves 99% and 95% classification accuracy on both BreakHis and ICIAR dataset respectively, outperforming all the other state of the art techniques. In terms of accuracy, the \"BreastMultiNet\" framework may be employed as a modeling approach in hospitals and medical care contexts.","author":[{"dropping-particle":"","family":"Kossińska","given":"Nina","non-dropping-particle":"","parse-names":false,"suffix":""},{"dropping-particle":"","family":"Krzyżyńska","given":"Renata","non-dropping-particle":"","parse-names":false,"suffix":""},{"dropping-particle":"","family":"Ghazal","given":"Heba","non-dropping-particle":"","parse-names":false,"suffix":""},{"dropping-particle":"","family":"Jouhara","given":"Hussam","non-dropping-particle":"","parse-names":false,"suffix":""}],"container-title":"Energy","id":"ITEM-1","issue":"March","issued":{"date-parts":[["2023","3"]]},"page":"127337","publisher":"Elsevier Ltd","title":"Hydrothermal carbonisation of sewage sludge and resulting biofuels as a sustainable energy source","type":"article-journal","volume":"275"},"uris":["http://www.mendeley.com/documents/?uuid=15bed9a3-078b-4f8c-8392-b12643d96fe0"]}],"mendeley":{"formattedCitation":"(Kossińska &lt;i&gt;et al.&lt;/i&gt;, 2023)","plainTextFormattedCitation":"(Kossińska et al., 2023)","previouslyFormattedCitation":"(Kossińska &lt;i&gt;et al.&lt;/i&gt;, 2023)"},"properties":{"noteIndex":0},"schema":"https://github.com/citation-style-language/schema/raw/master/csl-citation.json"}</w:instrText>
      </w:r>
      <w:r w:rsidR="00A845D1">
        <w:rPr>
          <w:lang w:val="en-GB"/>
        </w:rPr>
        <w:fldChar w:fldCharType="separate"/>
      </w:r>
      <w:r w:rsidR="00A845D1" w:rsidRPr="00EC7595">
        <w:rPr>
          <w:noProof/>
          <w:lang w:val="en-GB"/>
        </w:rPr>
        <w:t xml:space="preserve">(Kossińska </w:t>
      </w:r>
      <w:r w:rsidR="00A845D1" w:rsidRPr="00EC7595">
        <w:rPr>
          <w:i/>
          <w:noProof/>
          <w:lang w:val="en-GB"/>
        </w:rPr>
        <w:t>et al.</w:t>
      </w:r>
      <w:r w:rsidR="00A845D1" w:rsidRPr="00EC7595">
        <w:rPr>
          <w:noProof/>
          <w:lang w:val="en-GB"/>
        </w:rPr>
        <w:t>, 2023)</w:t>
      </w:r>
      <w:r w:rsidR="00A845D1">
        <w:rPr>
          <w:lang w:val="en-GB"/>
        </w:rPr>
        <w:fldChar w:fldCharType="end"/>
      </w:r>
      <w:r w:rsidR="00A845D1">
        <w:rPr>
          <w:lang w:val="en-GB"/>
        </w:rPr>
        <w:t xml:space="preserve">, which suggests decomposition of proteins to single polypeptides and amino acids at temperatures </w:t>
      </w:r>
      <w:r w:rsidR="00FA7B72">
        <w:rPr>
          <w:lang w:val="en-GB"/>
        </w:rPr>
        <w:t>of</w:t>
      </w:r>
      <w:r w:rsidR="00A845D1">
        <w:rPr>
          <w:lang w:val="en-GB"/>
        </w:rPr>
        <w:t xml:space="preserve"> 150</w:t>
      </w:r>
      <w:r w:rsidR="00FA7B72">
        <w:rPr>
          <w:lang w:val="en-GB"/>
        </w:rPr>
        <w:t xml:space="preserve"> </w:t>
      </w:r>
      <w:r w:rsidR="000C50CA">
        <w:rPr>
          <w:lang w:val="en-GB"/>
        </w:rPr>
        <w:t>-</w:t>
      </w:r>
      <w:r w:rsidR="00A845D1">
        <w:rPr>
          <w:lang w:val="en-GB"/>
        </w:rPr>
        <w:t xml:space="preserve">180 </w:t>
      </w:r>
      <w:r w:rsidR="00A845D1">
        <w:rPr>
          <w:rFonts w:cs="Arial"/>
          <w:lang w:val="en-GB"/>
        </w:rPr>
        <w:t>°C.</w:t>
      </w:r>
    </w:p>
    <w:p w14:paraId="1E46A08C" w14:textId="2077898D" w:rsidR="0016110C" w:rsidRPr="00321316" w:rsidRDefault="0016110C" w:rsidP="0016110C">
      <w:pPr>
        <w:pStyle w:val="CETBodytext"/>
        <w:rPr>
          <w:iCs/>
          <w:lang w:val="en-GB"/>
        </w:rPr>
      </w:pPr>
      <w:r w:rsidRPr="00321316">
        <w:rPr>
          <w:highlight w:val="yellow"/>
          <w:lang w:val="en-GB"/>
        </w:rPr>
        <w:t>The recovery of valuable compounds, using non-toxic solvents,</w:t>
      </w:r>
      <w:r>
        <w:rPr>
          <w:highlight w:val="yellow"/>
          <w:lang w:val="en-GB"/>
        </w:rPr>
        <w:t xml:space="preserve"> </w:t>
      </w:r>
      <w:r w:rsidRPr="00321316">
        <w:rPr>
          <w:highlight w:val="yellow"/>
          <w:lang w:val="en-GB"/>
        </w:rPr>
        <w:t xml:space="preserve">represents a practical application of the circular economy in the tomato processing sector. Main economic benefits of such approach include avoiding </w:t>
      </w:r>
      <w:r w:rsidR="00EB6F33" w:rsidRPr="00321316">
        <w:rPr>
          <w:highlight w:val="yellow"/>
          <w:lang w:val="en-GB"/>
        </w:rPr>
        <w:t>waste</w:t>
      </w:r>
      <w:r w:rsidR="00EB6F33">
        <w:rPr>
          <w:highlight w:val="yellow"/>
          <w:lang w:val="en-GB"/>
        </w:rPr>
        <w:t xml:space="preserve"> </w:t>
      </w:r>
      <w:r w:rsidRPr="00321316">
        <w:rPr>
          <w:highlight w:val="yellow"/>
          <w:lang w:val="en-GB"/>
        </w:rPr>
        <w:t xml:space="preserve">generation and </w:t>
      </w:r>
      <w:r w:rsidR="00EB6F33">
        <w:rPr>
          <w:highlight w:val="yellow"/>
          <w:lang w:val="en-GB"/>
        </w:rPr>
        <w:t xml:space="preserve">creation of </w:t>
      </w:r>
      <w:r w:rsidRPr="00321316">
        <w:rPr>
          <w:highlight w:val="yellow"/>
          <w:lang w:val="en-GB"/>
        </w:rPr>
        <w:t>additional revenue streams of high added value products</w:t>
      </w:r>
      <w:r w:rsidRPr="005B135C">
        <w:rPr>
          <w:highlight w:val="yellow"/>
          <w:lang w:val="en-GB"/>
        </w:rPr>
        <w:t>.</w:t>
      </w:r>
      <w:r w:rsidR="007F1A13">
        <w:rPr>
          <w:highlight w:val="yellow"/>
          <w:lang w:val="en-GB"/>
        </w:rPr>
        <w:t xml:space="preserve"> Such products can have a profound effect on the economic performance of biorefine</w:t>
      </w:r>
      <w:r w:rsidR="007F1A13" w:rsidRPr="00AE1AB3">
        <w:rPr>
          <w:highlight w:val="yellow"/>
          <w:lang w:val="en-GB"/>
        </w:rPr>
        <w:t>ry,</w:t>
      </w:r>
      <w:r w:rsidR="00E045A3" w:rsidRPr="00AE1AB3">
        <w:rPr>
          <w:highlight w:val="yellow"/>
          <w:lang w:val="en-GB"/>
        </w:rPr>
        <w:t xml:space="preserve"> </w:t>
      </w:r>
      <w:r w:rsidR="007F1A13" w:rsidRPr="00AE1AB3">
        <w:rPr>
          <w:highlight w:val="yellow"/>
          <w:lang w:val="en-GB"/>
        </w:rPr>
        <w:t>e</w:t>
      </w:r>
      <w:r w:rsidR="007F1A13">
        <w:rPr>
          <w:highlight w:val="yellow"/>
          <w:lang w:val="en-GB"/>
        </w:rPr>
        <w:t>.g.</w:t>
      </w:r>
      <w:r w:rsidR="007F1A13" w:rsidRPr="00AC2EC4">
        <w:rPr>
          <w:highlight w:val="yellow"/>
          <w:lang w:val="en-GB"/>
        </w:rPr>
        <w:t>, recovery of lycopene from tomato waste using SCO</w:t>
      </w:r>
      <w:r w:rsidR="007F1A13" w:rsidRPr="00AC2EC4">
        <w:rPr>
          <w:highlight w:val="yellow"/>
          <w:vertAlign w:val="subscript"/>
          <w:lang w:val="en-GB"/>
        </w:rPr>
        <w:t>2</w:t>
      </w:r>
      <w:r w:rsidR="007F1A13" w:rsidRPr="00AC2EC4">
        <w:rPr>
          <w:highlight w:val="yellow"/>
          <w:lang w:val="en-GB"/>
        </w:rPr>
        <w:t xml:space="preserve"> has been reported to have a payback time of 0.32 years </w:t>
      </w:r>
      <w:r w:rsidR="007F1A13" w:rsidRPr="00AC2EC4">
        <w:rPr>
          <w:highlight w:val="yellow"/>
          <w:lang w:val="en-GB"/>
        </w:rPr>
        <w:fldChar w:fldCharType="begin" w:fldLock="1"/>
      </w:r>
      <w:r w:rsidR="007F1A13">
        <w:rPr>
          <w:highlight w:val="yellow"/>
          <w:lang w:val="en-GB"/>
        </w:rPr>
        <w:instrText>ADDIN CSL_CITATION {"citationItems":[{"id":"ITEM-1","itemData":{"DOI":"10.1016/j.jfoodeng.2023.111639","ISSN":"02608774","abstract":"There is a demand for natural lycopene in both nutraceutical and food industries. Tomato processing waste is a promising source to isolate high value lycopene. In recent years, there is a growing interest in green extraction methods such as supercritical carbon dioxide (SC–CO2) extraction due to benefits of SC–CO2 extraction and the drawbacks of the conventional solvent extraction methods. Lab scale SC–CO2 extraction of tomato processing byproducts (TPBP) has been reported in the literature as a green extraction method; however, there is no reported study on the economic and technical feasibility of scaling up this process. Therefore, this paper presents an economic evaluation package for SC–CO2 extraction of lycopene from TPBP and calculates its parameters one by one. The economic analysis was carried out for SC–CO2 extraction plant with a 100 L extractor volume by testing 15 scenarios at temperatures ranging from 40 to 80 °C, pressures ranging from 30 to 50 MPa, and peel mass fractions in the TPBP ranging from 0.3 to 0.7. The most promising condition for maximizing the manufacturing profit was 80 °C, 50 MPa, and feed with a peel mass fraction of 0.3, which leads to a net present value of 41.8 million USD and a payback period of 0.32 years.","author":[{"dropping-particle":"","family":"Hatami","given":"Tahmasb","non-dropping-particle":"","parse-names":false,"suffix":""},{"dropping-particle":"","family":"Ciftci","given":"Ozan N.","non-dropping-particle":"","parse-names":false,"suffix":""}],"container-title":"Journal of Food Engineering","id":"ITEM-1","issue":"June","issued":{"date-parts":[["2023"]]},"page":"111639","publisher":"Elsevier Ltd","title":"A step-by-step technoeconomic analysis of supercritical carbon dioxide extraction of lycopene from tomato processing waste","type":"article-journal","volume":"357"},"uris":["http://www.mendeley.com/documents/?uuid=45ad255c-51d8-4bfa-ae0f-133d479c73ae"]}],"mendeley":{"formattedCitation":"(Hatami and Ciftci, 2023)","plainTextFormattedCitation":"(Hatami and Ciftci, 2023)","previouslyFormattedCitation":"(Hatami and Ciftci, 2023)"},"properties":{"noteIndex":0},"schema":"https://github.com/citation-style-language/schema/raw/master/csl-citation.json"}</w:instrText>
      </w:r>
      <w:r w:rsidR="007F1A13" w:rsidRPr="00AC2EC4">
        <w:rPr>
          <w:highlight w:val="yellow"/>
          <w:lang w:val="en-GB"/>
        </w:rPr>
        <w:fldChar w:fldCharType="separate"/>
      </w:r>
      <w:r w:rsidR="007F1A13" w:rsidRPr="00AC2EC4">
        <w:rPr>
          <w:noProof/>
          <w:highlight w:val="yellow"/>
          <w:lang w:val="en-GB"/>
        </w:rPr>
        <w:t>(Hatami and Ciftci, 2023)</w:t>
      </w:r>
      <w:r w:rsidR="007F1A13" w:rsidRPr="00AC2EC4">
        <w:rPr>
          <w:highlight w:val="yellow"/>
          <w:lang w:val="en-GB"/>
        </w:rPr>
        <w:fldChar w:fldCharType="end"/>
      </w:r>
      <w:r w:rsidR="007F1A13">
        <w:rPr>
          <w:highlight w:val="yellow"/>
          <w:lang w:val="en-GB"/>
        </w:rPr>
        <w:t>.</w:t>
      </w:r>
      <w:r w:rsidR="007F1A13" w:rsidRPr="00AC2EC4">
        <w:rPr>
          <w:highlight w:val="yellow"/>
          <w:lang w:val="en-GB"/>
        </w:rPr>
        <w:t xml:space="preserve"> </w:t>
      </w:r>
      <w:r w:rsidR="007F1A13">
        <w:rPr>
          <w:highlight w:val="yellow"/>
          <w:lang w:val="en-GB"/>
        </w:rPr>
        <w:t>T</w:t>
      </w:r>
      <w:r w:rsidR="007F1A13" w:rsidRPr="00AC2EC4">
        <w:rPr>
          <w:highlight w:val="yellow"/>
          <w:lang w:val="en-GB"/>
        </w:rPr>
        <w:t>echno-economic analysis is advised to confirm similar effects for the cascade approach.</w:t>
      </w:r>
      <w:r w:rsidR="007F1A13">
        <w:rPr>
          <w:highlight w:val="yellow"/>
          <w:lang w:val="en-GB"/>
        </w:rPr>
        <w:t xml:space="preserve"> </w:t>
      </w:r>
      <w:r w:rsidRPr="005B135C">
        <w:rPr>
          <w:highlight w:val="yellow"/>
          <w:lang w:val="en-GB"/>
        </w:rPr>
        <w:t>Life cycle assessment is</w:t>
      </w:r>
      <w:r w:rsidR="007F1A13">
        <w:rPr>
          <w:highlight w:val="yellow"/>
          <w:lang w:val="en-GB"/>
        </w:rPr>
        <w:t xml:space="preserve"> also</w:t>
      </w:r>
      <w:r w:rsidRPr="005B135C">
        <w:rPr>
          <w:highlight w:val="yellow"/>
          <w:lang w:val="en-GB"/>
        </w:rPr>
        <w:t xml:space="preserve"> recommended as a </w:t>
      </w:r>
      <w:r w:rsidR="007F1A13">
        <w:rPr>
          <w:highlight w:val="yellow"/>
          <w:lang w:val="en-GB"/>
        </w:rPr>
        <w:t>mean of</w:t>
      </w:r>
      <w:r w:rsidRPr="005B135C">
        <w:rPr>
          <w:highlight w:val="yellow"/>
          <w:lang w:val="en-GB"/>
        </w:rPr>
        <w:t xml:space="preserve"> quantify</w:t>
      </w:r>
      <w:r w:rsidR="007F1A13">
        <w:rPr>
          <w:highlight w:val="yellow"/>
          <w:lang w:val="en-GB"/>
        </w:rPr>
        <w:t>ing</w:t>
      </w:r>
      <w:r w:rsidRPr="005B135C">
        <w:rPr>
          <w:highlight w:val="yellow"/>
          <w:lang w:val="en-GB"/>
        </w:rPr>
        <w:t xml:space="preserve"> the environmental benefits of </w:t>
      </w:r>
      <w:r w:rsidR="007F1A13">
        <w:rPr>
          <w:highlight w:val="yellow"/>
          <w:lang w:val="en-GB"/>
        </w:rPr>
        <w:t>the cascade</w:t>
      </w:r>
      <w:r w:rsidRPr="005B135C">
        <w:rPr>
          <w:highlight w:val="yellow"/>
          <w:lang w:val="en-GB"/>
        </w:rPr>
        <w:t xml:space="preserve"> appro</w:t>
      </w:r>
      <w:r w:rsidRPr="00AC2EC4">
        <w:rPr>
          <w:highlight w:val="yellow"/>
          <w:lang w:val="en-GB"/>
        </w:rPr>
        <w:t xml:space="preserve">ach. </w:t>
      </w:r>
    </w:p>
    <w:p w14:paraId="26E030D6" w14:textId="3DABF8F7" w:rsidR="00F35D2A" w:rsidRPr="00EE5558" w:rsidRDefault="000A45C0" w:rsidP="00F35D2A">
      <w:pPr>
        <w:pStyle w:val="CETBodytext"/>
        <w:rPr>
          <w:lang w:val="en-GB"/>
        </w:rPr>
      </w:pPr>
      <w:r>
        <w:rPr>
          <w:noProof/>
          <w:lang w:val="it-IT" w:eastAsia="it-IT"/>
        </w:rPr>
        <w:lastRenderedPageBreak/>
        <w:drawing>
          <wp:inline distT="0" distB="0" distL="0" distR="0" wp14:anchorId="097AF9C5" wp14:editId="56CFBAA1">
            <wp:extent cx="5577840" cy="1630680"/>
            <wp:effectExtent l="0" t="0" r="3810" b="7620"/>
            <wp:docPr id="1353013819" name="Picture 2" descr="A graph of two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013819" name="Picture 2" descr="A graph of two people&#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79745" cy="1631237"/>
                    </a:xfrm>
                    <a:prstGeom prst="rect">
                      <a:avLst/>
                    </a:prstGeom>
                  </pic:spPr>
                </pic:pic>
              </a:graphicData>
            </a:graphic>
          </wp:inline>
        </w:drawing>
      </w:r>
    </w:p>
    <w:p w14:paraId="7607752F" w14:textId="5826B535" w:rsidR="005F323F" w:rsidRDefault="00F35D2A" w:rsidP="00321316">
      <w:pPr>
        <w:pStyle w:val="CETBodytext"/>
        <w:rPr>
          <w:i/>
          <w:lang w:val="en-GB"/>
        </w:rPr>
      </w:pPr>
      <w:r w:rsidRPr="006848F7">
        <w:rPr>
          <w:highlight w:val="yellow"/>
          <w:lang w:val="en-GB"/>
        </w:rPr>
        <w:t>Figure 2:</w:t>
      </w:r>
      <w:r w:rsidRPr="006848F7">
        <w:rPr>
          <w:i/>
          <w:highlight w:val="yellow"/>
          <w:lang w:val="en-GB"/>
        </w:rPr>
        <w:t xml:space="preserve"> Kinetics of </w:t>
      </w:r>
      <w:r w:rsidR="00011CCA" w:rsidRPr="006848F7">
        <w:rPr>
          <w:i/>
          <w:highlight w:val="yellow"/>
          <w:lang w:val="en-GB"/>
        </w:rPr>
        <w:t>SCO</w:t>
      </w:r>
      <w:r w:rsidR="00011CCA" w:rsidRPr="006848F7">
        <w:rPr>
          <w:i/>
          <w:highlight w:val="yellow"/>
          <w:vertAlign w:val="subscript"/>
          <w:lang w:val="en-GB"/>
        </w:rPr>
        <w:t>2</w:t>
      </w:r>
      <w:r w:rsidR="00011CCA" w:rsidRPr="006848F7">
        <w:rPr>
          <w:i/>
          <w:highlight w:val="yellow"/>
          <w:lang w:val="en-GB"/>
        </w:rPr>
        <w:t>E</w:t>
      </w:r>
      <w:r w:rsidRPr="006848F7">
        <w:rPr>
          <w:i/>
          <w:highlight w:val="yellow"/>
          <w:lang w:val="en-GB"/>
        </w:rPr>
        <w:t>. Le</w:t>
      </w:r>
      <w:r w:rsidRPr="006848F7">
        <w:rPr>
          <w:highlight w:val="yellow"/>
          <w:lang w:val="en-GB"/>
        </w:rPr>
        <w:t>f</w:t>
      </w:r>
      <w:r w:rsidRPr="006848F7">
        <w:rPr>
          <w:i/>
          <w:highlight w:val="yellow"/>
          <w:lang w:val="en-GB"/>
        </w:rPr>
        <w:t>t: p</w:t>
      </w:r>
      <w:r w:rsidR="002E0CF2" w:rsidRPr="006848F7">
        <w:rPr>
          <w:i/>
          <w:highlight w:val="yellow"/>
          <w:lang w:val="en-GB"/>
        </w:rPr>
        <w:t>=</w:t>
      </w:r>
      <w:r w:rsidRPr="006848F7">
        <w:rPr>
          <w:i/>
          <w:highlight w:val="yellow"/>
          <w:lang w:val="en-GB"/>
        </w:rPr>
        <w:t>41</w:t>
      </w:r>
      <w:r w:rsidR="00D207FB" w:rsidRPr="006848F7">
        <w:rPr>
          <w:i/>
          <w:highlight w:val="yellow"/>
          <w:lang w:val="en-GB"/>
        </w:rPr>
        <w:t>0</w:t>
      </w:r>
      <w:r w:rsidR="002E0CF2" w:rsidRPr="006848F7">
        <w:rPr>
          <w:i/>
          <w:highlight w:val="yellow"/>
          <w:lang w:val="en-GB"/>
        </w:rPr>
        <w:t xml:space="preserve"> </w:t>
      </w:r>
      <w:r w:rsidR="00D207FB" w:rsidRPr="006848F7">
        <w:rPr>
          <w:i/>
          <w:highlight w:val="yellow"/>
          <w:lang w:val="en-GB"/>
        </w:rPr>
        <w:t>bar</w:t>
      </w:r>
      <w:r w:rsidRPr="006848F7">
        <w:rPr>
          <w:i/>
          <w:highlight w:val="yellow"/>
          <w:lang w:val="en-GB"/>
        </w:rPr>
        <w:t>, T</w:t>
      </w:r>
      <w:r w:rsidR="002E0CF2" w:rsidRPr="006848F7">
        <w:rPr>
          <w:i/>
          <w:highlight w:val="yellow"/>
          <w:lang w:val="en-GB"/>
        </w:rPr>
        <w:t>=</w:t>
      </w:r>
      <w:r w:rsidRPr="006848F7">
        <w:rPr>
          <w:i/>
          <w:highlight w:val="yellow"/>
          <w:lang w:val="en-GB"/>
        </w:rPr>
        <w:t xml:space="preserve">70 °C, </w:t>
      </w:r>
      <w:r w:rsidR="002E0CF2" w:rsidRPr="006848F7">
        <w:rPr>
          <w:i/>
          <w:highlight w:val="yellow"/>
          <w:lang w:val="en-GB"/>
        </w:rPr>
        <w:t>CO</w:t>
      </w:r>
      <w:r w:rsidR="002E0CF2" w:rsidRPr="006848F7">
        <w:rPr>
          <w:i/>
          <w:highlight w:val="yellow"/>
          <w:vertAlign w:val="subscript"/>
          <w:lang w:val="en-GB"/>
        </w:rPr>
        <w:t>2</w:t>
      </w:r>
      <w:r w:rsidR="002E0CF2" w:rsidRPr="006848F7">
        <w:rPr>
          <w:i/>
          <w:highlight w:val="yellow"/>
          <w:lang w:val="en-GB"/>
        </w:rPr>
        <w:t xml:space="preserve"> </w:t>
      </w:r>
      <w:r w:rsidRPr="006848F7">
        <w:rPr>
          <w:i/>
          <w:highlight w:val="yellow"/>
          <w:lang w:val="en-GB"/>
        </w:rPr>
        <w:t>flow rate</w:t>
      </w:r>
      <w:r w:rsidR="002E0CF2" w:rsidRPr="006848F7">
        <w:rPr>
          <w:i/>
          <w:highlight w:val="yellow"/>
          <w:lang w:val="en-GB"/>
        </w:rPr>
        <w:t>=</w:t>
      </w:r>
      <w:r w:rsidRPr="006848F7">
        <w:rPr>
          <w:i/>
          <w:highlight w:val="yellow"/>
          <w:lang w:val="en-GB"/>
        </w:rPr>
        <w:t>9.5 g/min</w:t>
      </w:r>
      <w:r w:rsidR="002214E1" w:rsidRPr="006848F7">
        <w:rPr>
          <w:i/>
          <w:highlight w:val="yellow"/>
          <w:lang w:val="en-GB"/>
        </w:rPr>
        <w:t xml:space="preserve">, </w:t>
      </w:r>
      <w:r w:rsidR="002E0CF2" w:rsidRPr="006848F7">
        <w:rPr>
          <w:i/>
          <w:highlight w:val="yellow"/>
          <w:lang w:val="en-GB"/>
        </w:rPr>
        <w:t xml:space="preserve">extraction </w:t>
      </w:r>
      <w:r w:rsidR="002214E1" w:rsidRPr="006848F7">
        <w:rPr>
          <w:i/>
          <w:highlight w:val="yellow"/>
          <w:lang w:val="en-GB"/>
        </w:rPr>
        <w:t>basket volume</w:t>
      </w:r>
      <w:r w:rsidR="002E0CF2" w:rsidRPr="006848F7">
        <w:rPr>
          <w:i/>
          <w:highlight w:val="yellow"/>
          <w:lang w:val="en-GB"/>
        </w:rPr>
        <w:t>=</w:t>
      </w:r>
      <w:r w:rsidR="002214E1" w:rsidRPr="006848F7">
        <w:rPr>
          <w:i/>
          <w:highlight w:val="yellow"/>
          <w:lang w:val="en-GB"/>
        </w:rPr>
        <w:t>200 mL</w:t>
      </w:r>
      <w:r w:rsidR="00A04792" w:rsidRPr="006848F7">
        <w:rPr>
          <w:i/>
          <w:highlight w:val="yellow"/>
          <w:lang w:val="en-GB"/>
        </w:rPr>
        <w:t xml:space="preserve"> (SCO2E-p41</w:t>
      </w:r>
      <w:r w:rsidR="00D207FB" w:rsidRPr="006848F7">
        <w:rPr>
          <w:i/>
          <w:highlight w:val="yellow"/>
          <w:lang w:val="en-GB"/>
        </w:rPr>
        <w:t>0</w:t>
      </w:r>
      <w:r w:rsidR="00A04792" w:rsidRPr="006848F7">
        <w:rPr>
          <w:i/>
          <w:highlight w:val="yellow"/>
          <w:lang w:val="en-GB"/>
        </w:rPr>
        <w:t>T70)</w:t>
      </w:r>
      <w:r w:rsidRPr="006848F7">
        <w:rPr>
          <w:i/>
          <w:highlight w:val="yellow"/>
          <w:lang w:val="en-GB"/>
        </w:rPr>
        <w:t>. Right: p 3</w:t>
      </w:r>
      <w:r w:rsidR="002E0CF2" w:rsidRPr="006848F7">
        <w:rPr>
          <w:i/>
          <w:highlight w:val="yellow"/>
          <w:lang w:val="en-GB"/>
        </w:rPr>
        <w:t>9</w:t>
      </w:r>
      <w:r w:rsidR="00D207FB" w:rsidRPr="006848F7">
        <w:rPr>
          <w:i/>
          <w:highlight w:val="yellow"/>
          <w:lang w:val="en-GB"/>
        </w:rPr>
        <w:t>0</w:t>
      </w:r>
      <w:r w:rsidR="002E0CF2" w:rsidRPr="006848F7">
        <w:rPr>
          <w:i/>
          <w:highlight w:val="yellow"/>
          <w:lang w:val="en-GB"/>
        </w:rPr>
        <w:t xml:space="preserve"> </w:t>
      </w:r>
      <w:r w:rsidR="00D207FB" w:rsidRPr="006848F7">
        <w:rPr>
          <w:i/>
          <w:highlight w:val="yellow"/>
          <w:lang w:val="en-GB"/>
        </w:rPr>
        <w:t>bar</w:t>
      </w:r>
      <w:r w:rsidRPr="006848F7">
        <w:rPr>
          <w:i/>
          <w:highlight w:val="yellow"/>
          <w:lang w:val="en-GB"/>
        </w:rPr>
        <w:t>, T</w:t>
      </w:r>
      <w:r w:rsidR="002E0CF2" w:rsidRPr="006848F7">
        <w:rPr>
          <w:i/>
          <w:highlight w:val="yellow"/>
          <w:lang w:val="en-GB"/>
        </w:rPr>
        <w:t>=</w:t>
      </w:r>
      <w:r w:rsidRPr="006848F7">
        <w:rPr>
          <w:i/>
          <w:highlight w:val="yellow"/>
          <w:lang w:val="en-GB"/>
        </w:rPr>
        <w:t xml:space="preserve">70 °C, </w:t>
      </w:r>
      <w:r w:rsidR="002E0CF2" w:rsidRPr="006848F7">
        <w:rPr>
          <w:i/>
          <w:highlight w:val="yellow"/>
          <w:lang w:val="en-GB"/>
        </w:rPr>
        <w:t>CO</w:t>
      </w:r>
      <w:r w:rsidR="002E0CF2" w:rsidRPr="006848F7">
        <w:rPr>
          <w:i/>
          <w:highlight w:val="yellow"/>
          <w:vertAlign w:val="subscript"/>
          <w:lang w:val="en-GB"/>
        </w:rPr>
        <w:t>2</w:t>
      </w:r>
      <w:r w:rsidR="002E0CF2" w:rsidRPr="006848F7">
        <w:rPr>
          <w:i/>
          <w:highlight w:val="yellow"/>
          <w:lang w:val="en-GB"/>
        </w:rPr>
        <w:t xml:space="preserve"> </w:t>
      </w:r>
      <w:r w:rsidRPr="006848F7">
        <w:rPr>
          <w:i/>
          <w:highlight w:val="yellow"/>
          <w:lang w:val="en-GB"/>
        </w:rPr>
        <w:t>flow rate</w:t>
      </w:r>
      <w:r w:rsidR="002E0CF2" w:rsidRPr="006848F7">
        <w:rPr>
          <w:i/>
          <w:highlight w:val="yellow"/>
          <w:lang w:val="en-GB"/>
        </w:rPr>
        <w:t>=</w:t>
      </w:r>
      <w:r w:rsidRPr="006848F7">
        <w:rPr>
          <w:i/>
          <w:highlight w:val="yellow"/>
          <w:lang w:val="en-GB"/>
        </w:rPr>
        <w:t>5.7 g/min</w:t>
      </w:r>
      <w:r w:rsidR="002214E1" w:rsidRPr="006848F7">
        <w:rPr>
          <w:i/>
          <w:highlight w:val="yellow"/>
          <w:lang w:val="en-GB"/>
        </w:rPr>
        <w:t xml:space="preserve">, </w:t>
      </w:r>
      <w:r w:rsidR="002E0CF2" w:rsidRPr="006848F7">
        <w:rPr>
          <w:i/>
          <w:highlight w:val="yellow"/>
          <w:lang w:val="en-GB"/>
        </w:rPr>
        <w:t xml:space="preserve">extraction </w:t>
      </w:r>
      <w:r w:rsidR="002214E1" w:rsidRPr="006848F7">
        <w:rPr>
          <w:i/>
          <w:highlight w:val="yellow"/>
          <w:lang w:val="en-GB"/>
        </w:rPr>
        <w:t>basket volume 500</w:t>
      </w:r>
      <w:r w:rsidR="002E0CF2" w:rsidRPr="006848F7">
        <w:rPr>
          <w:i/>
          <w:highlight w:val="yellow"/>
          <w:lang w:val="en-GB"/>
        </w:rPr>
        <w:t>=</w:t>
      </w:r>
      <w:r w:rsidR="002214E1" w:rsidRPr="006848F7">
        <w:rPr>
          <w:i/>
          <w:highlight w:val="yellow"/>
          <w:lang w:val="en-GB"/>
        </w:rPr>
        <w:t>mL</w:t>
      </w:r>
      <w:r w:rsidR="00A04792" w:rsidRPr="006848F7">
        <w:rPr>
          <w:i/>
          <w:highlight w:val="yellow"/>
          <w:lang w:val="en-GB"/>
        </w:rPr>
        <w:t xml:space="preserve"> (SCO2E-p3</w:t>
      </w:r>
      <w:r w:rsidR="00D207FB" w:rsidRPr="006848F7">
        <w:rPr>
          <w:i/>
          <w:highlight w:val="yellow"/>
          <w:lang w:val="en-GB"/>
        </w:rPr>
        <w:t>90</w:t>
      </w:r>
      <w:r w:rsidR="00A04792" w:rsidRPr="006848F7">
        <w:rPr>
          <w:i/>
          <w:highlight w:val="yellow"/>
          <w:lang w:val="en-GB"/>
        </w:rPr>
        <w:t>T70)</w:t>
      </w:r>
      <w:r w:rsidR="002214E1" w:rsidRPr="00EE5558">
        <w:rPr>
          <w:i/>
          <w:lang w:val="en-GB"/>
        </w:rPr>
        <w:t>.</w:t>
      </w:r>
    </w:p>
    <w:p w14:paraId="1689EC4F" w14:textId="77777777" w:rsidR="0016110C" w:rsidRPr="00EE5558" w:rsidRDefault="0016110C" w:rsidP="00321316">
      <w:pPr>
        <w:pStyle w:val="CETBodytext"/>
        <w:rPr>
          <w:lang w:val="en-GB"/>
        </w:rPr>
      </w:pPr>
    </w:p>
    <w:p w14:paraId="0A07418E" w14:textId="7984B540" w:rsidR="0086328C" w:rsidRDefault="00E8446F" w:rsidP="0086328C">
      <w:pPr>
        <w:pStyle w:val="CETBodytext"/>
        <w:rPr>
          <w:lang w:val="en-GB"/>
        </w:rPr>
      </w:pPr>
      <w:r w:rsidRPr="00DB7330">
        <w:rPr>
          <w:noProof/>
          <w:lang w:val="it-IT" w:eastAsia="it-IT"/>
        </w:rPr>
        <mc:AlternateContent>
          <mc:Choice Requires="wps">
            <w:drawing>
              <wp:anchor distT="0" distB="0" distL="114300" distR="114300" simplePos="0" relativeHeight="251657216" behindDoc="0" locked="0" layoutInCell="1" allowOverlap="1" wp14:anchorId="1ABA462E" wp14:editId="093390C7">
                <wp:simplePos x="0" y="0"/>
                <wp:positionH relativeFrom="column">
                  <wp:posOffset>2827020</wp:posOffset>
                </wp:positionH>
                <wp:positionV relativeFrom="paragraph">
                  <wp:posOffset>35560</wp:posOffset>
                </wp:positionV>
                <wp:extent cx="2702560" cy="2092325"/>
                <wp:effectExtent l="0" t="0" r="21590" b="22225"/>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2560" cy="2092325"/>
                        </a:xfrm>
                        <a:prstGeom prst="rect">
                          <a:avLst/>
                        </a:prstGeom>
                        <a:solidFill>
                          <a:srgbClr val="FFFFFF"/>
                        </a:solidFill>
                        <a:ln w="9525">
                          <a:solidFill>
                            <a:srgbClr val="000000"/>
                          </a:solidFill>
                          <a:miter lim="800000"/>
                          <a:headEnd/>
                          <a:tailEnd/>
                        </a:ln>
                      </wps:spPr>
                      <wps:txbx>
                        <w:txbxContent>
                          <w:p w14:paraId="6F4A1D35" w14:textId="77777777" w:rsidR="00DB7330" w:rsidRDefault="00DB7330">
                            <w:pPr>
                              <w:rPr>
                                <w:lang w:val="it-IT"/>
                              </w:rPr>
                            </w:pPr>
                          </w:p>
                          <w:p w14:paraId="6138FAD7" w14:textId="73C124AD" w:rsidR="00DB7330" w:rsidRDefault="00DB7330">
                            <w:r w:rsidRPr="00DB7330">
                              <w:rPr>
                                <w:noProof/>
                                <w:lang w:val="it-IT" w:eastAsia="it-IT"/>
                              </w:rPr>
                              <w:drawing>
                                <wp:inline distT="0" distB="0" distL="0" distR="0" wp14:anchorId="3C15C5A4" wp14:editId="59889856">
                                  <wp:extent cx="2670726" cy="1820334"/>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1440" cy="182082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BA462E" id="_x0000_t202" coordsize="21600,21600" o:spt="202" path="m,l,21600r21600,l21600,xe">
                <v:stroke joinstyle="miter"/>
                <v:path gradientshapeok="t" o:connecttype="rect"/>
              </v:shapetype>
              <v:shape id="Casella di testo 2" o:spid="_x0000_s1026" type="#_x0000_t202" style="position:absolute;left:0;text-align:left;margin-left:222.6pt;margin-top:2.8pt;width:212.8pt;height:16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">
                <v:textbox>
                  <w:txbxContent>
                    <w:p w14:paraId="6F4A1D35" w14:textId="77777777" w:rsidR="00DB7330" w:rsidRDefault="00DB7330">
                      <w:pPr>
                        <w:rPr>
                          <w:lang w:val="it-IT"/>
                        </w:rPr>
                      </w:pPr>
                    </w:p>
                    <w:p w14:paraId="6138FAD7" w14:textId="73C124AD" w:rsidR="00DB7330" w:rsidRDefault="00DB7330">
                      <w:r w:rsidRPr="00DB7330">
                        <w:rPr>
                          <w:noProof/>
                          <w:lang w:val="it-IT" w:eastAsia="it-IT"/>
                        </w:rPr>
                        <w:drawing>
                          <wp:inline distT="0" distB="0" distL="0" distR="0" wp14:anchorId="3C15C5A4" wp14:editId="59889856">
                            <wp:extent cx="2670726" cy="1820334"/>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1440" cy="1820821"/>
                                    </a:xfrm>
                                    <a:prstGeom prst="rect">
                                      <a:avLst/>
                                    </a:prstGeom>
                                    <a:noFill/>
                                    <a:ln>
                                      <a:noFill/>
                                    </a:ln>
                                  </pic:spPr>
                                </pic:pic>
                              </a:graphicData>
                            </a:graphic>
                          </wp:inline>
                        </w:drawing>
                      </w:r>
                    </w:p>
                  </w:txbxContent>
                </v:textbox>
              </v:shape>
            </w:pict>
          </mc:Fallback>
        </mc:AlternateContent>
      </w:r>
      <w:r w:rsidR="00DB7330" w:rsidRPr="00233290">
        <w:rPr>
          <w:noProof/>
          <w:lang w:val="it-IT" w:eastAsia="it-IT"/>
        </w:rPr>
        <mc:AlternateContent>
          <mc:Choice Requires="wps">
            <w:drawing>
              <wp:anchor distT="0" distB="0" distL="114300" distR="114300" simplePos="0" relativeHeight="251655168" behindDoc="0" locked="0" layoutInCell="1" allowOverlap="1" wp14:anchorId="4CDBF33E" wp14:editId="732A3F20">
                <wp:simplePos x="0" y="0"/>
                <wp:positionH relativeFrom="column">
                  <wp:posOffset>3598</wp:posOffset>
                </wp:positionH>
                <wp:positionV relativeFrom="paragraph">
                  <wp:posOffset>35560</wp:posOffset>
                </wp:positionV>
                <wp:extent cx="2702560" cy="2092537"/>
                <wp:effectExtent l="0" t="0" r="21590" b="22225"/>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2560" cy="2092537"/>
                        </a:xfrm>
                        <a:prstGeom prst="rect">
                          <a:avLst/>
                        </a:prstGeom>
                        <a:solidFill>
                          <a:srgbClr val="FFFFFF"/>
                        </a:solidFill>
                        <a:ln w="9525">
                          <a:solidFill>
                            <a:srgbClr val="000000"/>
                          </a:solidFill>
                          <a:miter lim="800000"/>
                          <a:headEnd/>
                          <a:tailEnd/>
                        </a:ln>
                      </wps:spPr>
                      <wps:txbx>
                        <w:txbxContent>
                          <w:p w14:paraId="451407BC" w14:textId="3102968D" w:rsidR="00233290" w:rsidRDefault="00233290">
                            <w:r w:rsidRPr="00233290">
                              <w:rPr>
                                <w:noProof/>
                                <w:lang w:val="it-IT" w:eastAsia="it-IT"/>
                              </w:rPr>
                              <w:drawing>
                                <wp:inline distT="0" distB="0" distL="0" distR="0" wp14:anchorId="318B275F" wp14:editId="22943604">
                                  <wp:extent cx="2509076" cy="2087033"/>
                                  <wp:effectExtent l="0" t="0" r="5715"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0790" cy="208845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DBF33E" id="_x0000_s1027" type="#_x0000_t202" style="position:absolute;left:0;text-align:left;margin-left:.3pt;margin-top:2.8pt;width:212.8pt;height:16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">
                <v:textbox>
                  <w:txbxContent>
                    <w:p w14:paraId="451407BC" w14:textId="3102968D" w:rsidR="00233290" w:rsidRDefault="00233290">
                      <w:r w:rsidRPr="00233290">
                        <w:rPr>
                          <w:noProof/>
                          <w:lang w:val="it-IT" w:eastAsia="it-IT"/>
                        </w:rPr>
                        <w:drawing>
                          <wp:inline distT="0" distB="0" distL="0" distR="0" wp14:anchorId="318B275F" wp14:editId="22943604">
                            <wp:extent cx="2509076" cy="2087033"/>
                            <wp:effectExtent l="0" t="0" r="5715"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0790" cy="2088458"/>
                                    </a:xfrm>
                                    <a:prstGeom prst="rect">
                                      <a:avLst/>
                                    </a:prstGeom>
                                    <a:noFill/>
                                    <a:ln>
                                      <a:noFill/>
                                    </a:ln>
                                  </pic:spPr>
                                </pic:pic>
                              </a:graphicData>
                            </a:graphic>
                          </wp:inline>
                        </w:drawing>
                      </w:r>
                    </w:p>
                  </w:txbxContent>
                </v:textbox>
              </v:shape>
            </w:pict>
          </mc:Fallback>
        </mc:AlternateContent>
      </w:r>
    </w:p>
    <w:p w14:paraId="47ED7921" w14:textId="2AEBDB9F" w:rsidR="00297679" w:rsidRDefault="00297679" w:rsidP="0086328C">
      <w:pPr>
        <w:pStyle w:val="CETBodytext"/>
        <w:jc w:val="center"/>
        <w:rPr>
          <w:lang w:val="en-GB"/>
        </w:rPr>
      </w:pPr>
    </w:p>
    <w:p w14:paraId="7C4CBFED" w14:textId="546EC1EC" w:rsidR="00297679" w:rsidRDefault="00297679" w:rsidP="0086328C">
      <w:pPr>
        <w:pStyle w:val="CETBodytext"/>
        <w:jc w:val="center"/>
        <w:rPr>
          <w:lang w:val="en-GB"/>
        </w:rPr>
      </w:pPr>
    </w:p>
    <w:p w14:paraId="276BD83E" w14:textId="77777777" w:rsidR="00297679" w:rsidRDefault="00297679" w:rsidP="0086328C">
      <w:pPr>
        <w:pStyle w:val="CETBodytext"/>
        <w:jc w:val="center"/>
        <w:rPr>
          <w:lang w:val="en-GB"/>
        </w:rPr>
      </w:pPr>
    </w:p>
    <w:p w14:paraId="6F5380C9" w14:textId="77777777" w:rsidR="00297679" w:rsidRDefault="00297679" w:rsidP="0086328C">
      <w:pPr>
        <w:pStyle w:val="CETBodytext"/>
        <w:jc w:val="center"/>
        <w:rPr>
          <w:lang w:val="en-GB"/>
        </w:rPr>
      </w:pPr>
    </w:p>
    <w:p w14:paraId="71809D0C" w14:textId="77777777" w:rsidR="00297679" w:rsidRDefault="00297679" w:rsidP="0086328C">
      <w:pPr>
        <w:pStyle w:val="CETBodytext"/>
        <w:jc w:val="center"/>
        <w:rPr>
          <w:lang w:val="en-GB"/>
        </w:rPr>
      </w:pPr>
    </w:p>
    <w:p w14:paraId="6E15C347" w14:textId="77777777" w:rsidR="00297679" w:rsidRDefault="00297679" w:rsidP="0086328C">
      <w:pPr>
        <w:pStyle w:val="CETBodytext"/>
        <w:jc w:val="center"/>
        <w:rPr>
          <w:lang w:val="en-GB"/>
        </w:rPr>
      </w:pPr>
    </w:p>
    <w:p w14:paraId="53F1669D" w14:textId="77777777" w:rsidR="00297679" w:rsidRDefault="00297679" w:rsidP="0086328C">
      <w:pPr>
        <w:pStyle w:val="CETBodytext"/>
        <w:jc w:val="center"/>
        <w:rPr>
          <w:lang w:val="en-GB"/>
        </w:rPr>
      </w:pPr>
    </w:p>
    <w:p w14:paraId="6EFA7D8F" w14:textId="77777777" w:rsidR="00297679" w:rsidRDefault="00297679" w:rsidP="0086328C">
      <w:pPr>
        <w:pStyle w:val="CETBodytext"/>
        <w:jc w:val="center"/>
        <w:rPr>
          <w:lang w:val="en-GB"/>
        </w:rPr>
      </w:pPr>
    </w:p>
    <w:p w14:paraId="5FE2A921" w14:textId="77777777" w:rsidR="00297679" w:rsidRDefault="00297679" w:rsidP="0086328C">
      <w:pPr>
        <w:pStyle w:val="CETBodytext"/>
        <w:jc w:val="center"/>
        <w:rPr>
          <w:lang w:val="en-GB"/>
        </w:rPr>
      </w:pPr>
    </w:p>
    <w:p w14:paraId="157F5086" w14:textId="77777777" w:rsidR="00297679" w:rsidRDefault="00297679" w:rsidP="0086328C">
      <w:pPr>
        <w:pStyle w:val="CETBodytext"/>
        <w:jc w:val="center"/>
        <w:rPr>
          <w:lang w:val="en-GB"/>
        </w:rPr>
      </w:pPr>
    </w:p>
    <w:p w14:paraId="5040EFFB" w14:textId="77777777" w:rsidR="00297679" w:rsidRDefault="00297679" w:rsidP="0086328C">
      <w:pPr>
        <w:pStyle w:val="CETBodytext"/>
        <w:jc w:val="center"/>
        <w:rPr>
          <w:lang w:val="en-GB"/>
        </w:rPr>
      </w:pPr>
    </w:p>
    <w:p w14:paraId="66435F13" w14:textId="3EBB1005" w:rsidR="00297679" w:rsidRDefault="0016110C" w:rsidP="0086328C">
      <w:pPr>
        <w:pStyle w:val="CETBodytext"/>
        <w:jc w:val="center"/>
        <w:rPr>
          <w:lang w:val="en-GB"/>
        </w:rPr>
      </w:pPr>
      <w:r w:rsidRPr="00DB7330">
        <w:rPr>
          <w:noProof/>
          <w:lang w:val="it-IT" w:eastAsia="it-IT"/>
        </w:rPr>
        <mc:AlternateContent>
          <mc:Choice Requires="wps">
            <w:drawing>
              <wp:anchor distT="0" distB="0" distL="114300" distR="114300" simplePos="0" relativeHeight="251659264" behindDoc="0" locked="0" layoutInCell="1" allowOverlap="1" wp14:anchorId="0E6D382E" wp14:editId="415F0DFA">
                <wp:simplePos x="0" y="0"/>
                <wp:positionH relativeFrom="column">
                  <wp:posOffset>5080</wp:posOffset>
                </wp:positionH>
                <wp:positionV relativeFrom="paragraph">
                  <wp:posOffset>95885</wp:posOffset>
                </wp:positionV>
                <wp:extent cx="320040" cy="1403985"/>
                <wp:effectExtent l="0" t="0" r="22860" b="11430"/>
                <wp:wrapNone/>
                <wp:docPr id="1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403985"/>
                        </a:xfrm>
                        <a:prstGeom prst="rect">
                          <a:avLst/>
                        </a:prstGeom>
                        <a:solidFill>
                          <a:srgbClr val="FFFFFF"/>
                        </a:solidFill>
                        <a:ln w="9525">
                          <a:solidFill>
                            <a:srgbClr val="000000"/>
                          </a:solidFill>
                          <a:miter lim="800000"/>
                          <a:headEnd/>
                          <a:tailEnd/>
                        </a:ln>
                      </wps:spPr>
                      <wps:txbx>
                        <w:txbxContent>
                          <w:p w14:paraId="0DF43DC6" w14:textId="5C23E170" w:rsidR="00DB7330" w:rsidRPr="00DB7330" w:rsidRDefault="00DB7330">
                            <w:pPr>
                              <w:rPr>
                                <w:b/>
                                <w:sz w:val="24"/>
                                <w:szCs w:val="24"/>
                              </w:rPr>
                            </w:pPr>
                            <w:r w:rsidRPr="00DB7330">
                              <w:rPr>
                                <w:b/>
                                <w:sz w:val="24"/>
                                <w:szCs w:val="24"/>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6D382E" id="_x0000_s1028" type="#_x0000_t202" style="position:absolute;left:0;text-align:left;margin-left:.4pt;margin-top:7.55pt;width:25.2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">
                <v:textbox style="mso-fit-shape-to-text:t">
                  <w:txbxContent>
                    <w:p w14:paraId="0DF43DC6" w14:textId="5C23E170" w:rsidR="00DB7330" w:rsidRPr="00DB7330" w:rsidRDefault="00DB7330">
                      <w:pPr>
                        <w:rPr>
                          <w:b/>
                          <w:sz w:val="24"/>
                          <w:szCs w:val="24"/>
                        </w:rPr>
                      </w:pPr>
                      <w:r w:rsidRPr="00DB7330">
                        <w:rPr>
                          <w:b/>
                          <w:sz w:val="24"/>
                          <w:szCs w:val="24"/>
                        </w:rPr>
                        <w:t>A</w:t>
                      </w:r>
                    </w:p>
                  </w:txbxContent>
                </v:textbox>
              </v:shape>
            </w:pict>
          </mc:Fallback>
        </mc:AlternateContent>
      </w:r>
      <w:r w:rsidR="00E8446F" w:rsidRPr="00DB7330">
        <w:rPr>
          <w:noProof/>
          <w:lang w:val="it-IT" w:eastAsia="it-IT"/>
        </w:rPr>
        <mc:AlternateContent>
          <mc:Choice Requires="wps">
            <w:drawing>
              <wp:anchor distT="0" distB="0" distL="114300" distR="114300" simplePos="0" relativeHeight="251661312" behindDoc="0" locked="0" layoutInCell="1" allowOverlap="1" wp14:anchorId="2E3CC04F" wp14:editId="2962763F">
                <wp:simplePos x="0" y="0"/>
                <wp:positionH relativeFrom="column">
                  <wp:posOffset>2832100</wp:posOffset>
                </wp:positionH>
                <wp:positionV relativeFrom="paragraph">
                  <wp:posOffset>95462</wp:posOffset>
                </wp:positionV>
                <wp:extent cx="320040" cy="1403985"/>
                <wp:effectExtent l="0" t="0" r="22860" b="11430"/>
                <wp:wrapNone/>
                <wp:docPr id="1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403985"/>
                        </a:xfrm>
                        <a:prstGeom prst="rect">
                          <a:avLst/>
                        </a:prstGeom>
                        <a:solidFill>
                          <a:srgbClr val="FFFFFF"/>
                        </a:solidFill>
                        <a:ln w="9525">
                          <a:solidFill>
                            <a:srgbClr val="000000"/>
                          </a:solidFill>
                          <a:miter lim="800000"/>
                          <a:headEnd/>
                          <a:tailEnd/>
                        </a:ln>
                      </wps:spPr>
                      <wps:txbx>
                        <w:txbxContent>
                          <w:p w14:paraId="29A9B872" w14:textId="2DC8B730" w:rsidR="00DB7330" w:rsidRPr="00DB7330" w:rsidRDefault="00DB7330" w:rsidP="00DB7330">
                            <w:pPr>
                              <w:rPr>
                                <w:b/>
                                <w:sz w:val="24"/>
                                <w:szCs w:val="24"/>
                              </w:rPr>
                            </w:pPr>
                            <w:r>
                              <w:rPr>
                                <w:b/>
                                <w:sz w:val="24"/>
                                <w:szCs w:val="24"/>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3CC04F" id="_x0000_s1029" type="#_x0000_t202" style="position:absolute;left:0;text-align:left;margin-left:223pt;margin-top:7.5pt;width:25.2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">
                <v:textbox style="mso-fit-shape-to-text:t">
                  <w:txbxContent>
                    <w:p w14:paraId="29A9B872" w14:textId="2DC8B730" w:rsidR="00DB7330" w:rsidRPr="00DB7330" w:rsidRDefault="00DB7330" w:rsidP="00DB7330">
                      <w:pPr>
                        <w:rPr>
                          <w:b/>
                          <w:sz w:val="24"/>
                          <w:szCs w:val="24"/>
                        </w:rPr>
                      </w:pPr>
                      <w:r>
                        <w:rPr>
                          <w:b/>
                          <w:sz w:val="24"/>
                          <w:szCs w:val="24"/>
                        </w:rPr>
                        <w:t>B</w:t>
                      </w:r>
                    </w:p>
                  </w:txbxContent>
                </v:textbox>
              </v:shape>
            </w:pict>
          </mc:Fallback>
        </mc:AlternateContent>
      </w:r>
    </w:p>
    <w:p w14:paraId="41A35583" w14:textId="505BE1BA" w:rsidR="00297679" w:rsidRDefault="00297679" w:rsidP="0086328C">
      <w:pPr>
        <w:pStyle w:val="CETBodytext"/>
        <w:jc w:val="center"/>
        <w:rPr>
          <w:lang w:val="en-GB"/>
        </w:rPr>
      </w:pPr>
    </w:p>
    <w:p w14:paraId="02B76332" w14:textId="77777777" w:rsidR="00297679" w:rsidRDefault="00297679" w:rsidP="0086328C">
      <w:pPr>
        <w:pStyle w:val="CETBodytext"/>
        <w:jc w:val="center"/>
        <w:rPr>
          <w:lang w:val="en-GB"/>
        </w:rPr>
      </w:pPr>
    </w:p>
    <w:p w14:paraId="32FF3A1E" w14:textId="0C8D9CFA" w:rsidR="0086328C" w:rsidRDefault="0086328C" w:rsidP="00321316">
      <w:pPr>
        <w:pStyle w:val="CETBodytext"/>
        <w:rPr>
          <w:i/>
          <w:lang w:val="en-GB"/>
        </w:rPr>
      </w:pPr>
      <w:r w:rsidRPr="00134E43">
        <w:rPr>
          <w:i/>
          <w:highlight w:val="yellow"/>
          <w:lang w:val="en-GB"/>
        </w:rPr>
        <w:t>Figure 3</w:t>
      </w:r>
      <w:r w:rsidR="00134E43" w:rsidRPr="00134E43">
        <w:rPr>
          <w:i/>
          <w:highlight w:val="yellow"/>
          <w:lang w:val="en-GB"/>
        </w:rPr>
        <w:t xml:space="preserve">. </w:t>
      </w:r>
      <w:r w:rsidR="00E85D58" w:rsidRPr="00134E43">
        <w:rPr>
          <w:i/>
          <w:highlight w:val="yellow"/>
          <w:lang w:val="en-GB"/>
        </w:rPr>
        <w:t>A</w:t>
      </w:r>
      <w:r w:rsidRPr="00134E43">
        <w:rPr>
          <w:i/>
          <w:highlight w:val="yellow"/>
          <w:lang w:val="en-GB"/>
        </w:rPr>
        <w:t xml:space="preserve">: SDS-PAGE profiles - under reducing conditions - of proteins in samples from: tomato waste (PS); </w:t>
      </w:r>
      <w:r w:rsidR="00011CCA" w:rsidRPr="00134E43">
        <w:rPr>
          <w:i/>
          <w:iCs/>
          <w:highlight w:val="yellow"/>
        </w:rPr>
        <w:t>SCO</w:t>
      </w:r>
      <w:r w:rsidR="00011CCA" w:rsidRPr="00134E43">
        <w:rPr>
          <w:i/>
          <w:iCs/>
          <w:highlight w:val="yellow"/>
          <w:vertAlign w:val="subscript"/>
        </w:rPr>
        <w:t>2</w:t>
      </w:r>
      <w:r w:rsidR="00011CCA" w:rsidRPr="00134E43">
        <w:rPr>
          <w:i/>
          <w:iCs/>
          <w:highlight w:val="yellow"/>
        </w:rPr>
        <w:t>E</w:t>
      </w:r>
      <w:r w:rsidRPr="00134E43">
        <w:rPr>
          <w:i/>
          <w:highlight w:val="yellow"/>
          <w:lang w:val="en-GB"/>
        </w:rPr>
        <w:t xml:space="preserve"> </w:t>
      </w:r>
      <w:r w:rsidR="00D04343" w:rsidRPr="00134E43">
        <w:rPr>
          <w:i/>
          <w:highlight w:val="yellow"/>
          <w:lang w:val="en-GB"/>
        </w:rPr>
        <w:t>solid samples</w:t>
      </w:r>
      <w:r w:rsidRPr="00134E43">
        <w:rPr>
          <w:i/>
          <w:highlight w:val="yellow"/>
          <w:lang w:val="en-GB"/>
        </w:rPr>
        <w:t xml:space="preserve">; batch </w:t>
      </w:r>
      <w:r w:rsidR="00011CCA" w:rsidRPr="00134E43">
        <w:rPr>
          <w:i/>
          <w:highlight w:val="yellow"/>
          <w:lang w:val="en-GB"/>
        </w:rPr>
        <w:t>SWE</w:t>
      </w:r>
      <w:r w:rsidRPr="00134E43">
        <w:rPr>
          <w:i/>
          <w:highlight w:val="yellow"/>
          <w:lang w:val="en-GB"/>
        </w:rPr>
        <w:t xml:space="preserve"> </w:t>
      </w:r>
      <w:r w:rsidR="00D04343" w:rsidRPr="00134E43">
        <w:rPr>
          <w:i/>
          <w:highlight w:val="yellow"/>
          <w:lang w:val="en-GB"/>
        </w:rPr>
        <w:t>solid and liquid samples</w:t>
      </w:r>
      <w:r w:rsidR="00134E43" w:rsidRPr="00134E43">
        <w:rPr>
          <w:i/>
          <w:highlight w:val="yellow"/>
          <w:lang w:val="en-GB"/>
        </w:rPr>
        <w:t xml:space="preserve">; B: </w:t>
      </w:r>
      <w:r w:rsidR="00134E43" w:rsidRPr="00134E43">
        <w:rPr>
          <w:highlight w:val="yellow"/>
          <w:lang w:val="en-GB"/>
        </w:rPr>
        <w:t>O-</w:t>
      </w:r>
      <w:proofErr w:type="spellStart"/>
      <w:r w:rsidR="00134E43" w:rsidRPr="00134E43">
        <w:rPr>
          <w:highlight w:val="yellow"/>
          <w:lang w:val="en-GB"/>
        </w:rPr>
        <w:t>Pthalaldehyde</w:t>
      </w:r>
      <w:proofErr w:type="spellEnd"/>
      <w:r w:rsidR="00134E43" w:rsidRPr="00134E43">
        <w:rPr>
          <w:highlight w:val="yellow"/>
          <w:lang w:val="en-GB"/>
        </w:rPr>
        <w:t xml:space="preserve"> (OPA) assay of </w:t>
      </w:r>
      <w:r w:rsidR="00134E43" w:rsidRPr="00134E43">
        <w:rPr>
          <w:i/>
          <w:highlight w:val="yellow"/>
          <w:lang w:val="en-GB"/>
        </w:rPr>
        <w:t>tomato waste (PS) and batch SWE liquid samples</w:t>
      </w:r>
      <w:r w:rsidRPr="00134E43">
        <w:rPr>
          <w:i/>
          <w:highlight w:val="yellow"/>
          <w:lang w:val="en-GB"/>
        </w:rPr>
        <w:t xml:space="preserve"> </w:t>
      </w:r>
      <w:r w:rsidR="00134E43" w:rsidRPr="00134E43">
        <w:rPr>
          <w:i/>
          <w:highlight w:val="yellow"/>
          <w:lang w:val="en-GB"/>
        </w:rPr>
        <w:t>(</w:t>
      </w:r>
      <w:r w:rsidR="00557668" w:rsidRPr="00583020">
        <w:rPr>
          <w:i/>
          <w:iCs/>
          <w:highlight w:val="yellow"/>
        </w:rPr>
        <w:t>M</w:t>
      </w:r>
      <w:r w:rsidR="00134E43" w:rsidRPr="00583020">
        <w:rPr>
          <w:i/>
          <w:iCs/>
          <w:highlight w:val="yellow"/>
        </w:rPr>
        <w:t xml:space="preserve"> -</w:t>
      </w:r>
      <w:r w:rsidR="00557668" w:rsidRPr="00583020">
        <w:rPr>
          <w:i/>
          <w:iCs/>
          <w:highlight w:val="yellow"/>
        </w:rPr>
        <w:t xml:space="preserve"> </w:t>
      </w:r>
      <w:r w:rsidR="00557668" w:rsidRPr="00134E43">
        <w:rPr>
          <w:i/>
          <w:iCs/>
          <w:highlight w:val="yellow"/>
        </w:rPr>
        <w:t>Unstained Protein Molecular Weight Marker (</w:t>
      </w:r>
      <w:proofErr w:type="spellStart"/>
      <w:r w:rsidR="00557668" w:rsidRPr="00134E43">
        <w:rPr>
          <w:i/>
          <w:iCs/>
          <w:highlight w:val="yellow"/>
        </w:rPr>
        <w:t>Thermoscientific</w:t>
      </w:r>
      <w:proofErr w:type="spellEnd"/>
      <w:r w:rsidR="00557668" w:rsidRPr="00134E43">
        <w:rPr>
          <w:i/>
          <w:iCs/>
          <w:highlight w:val="yellow"/>
        </w:rPr>
        <w:t>): 116=b-galactosidase, 66.2=Bovine serum albumin, 45=Ovalbumin, 35=Lactate dehydrogenase, 25=</w:t>
      </w:r>
      <w:proofErr w:type="spellStart"/>
      <w:r w:rsidR="00557668" w:rsidRPr="00134E43">
        <w:rPr>
          <w:i/>
          <w:iCs/>
          <w:highlight w:val="yellow"/>
        </w:rPr>
        <w:t>REase</w:t>
      </w:r>
      <w:proofErr w:type="spellEnd"/>
      <w:r w:rsidR="00557668" w:rsidRPr="00134E43">
        <w:rPr>
          <w:i/>
          <w:iCs/>
          <w:highlight w:val="yellow"/>
        </w:rPr>
        <w:t xml:space="preserve"> Bsp98I, 18.4=b-lactoglobulin, 14.4=Lysozyme</w:t>
      </w:r>
      <w:r w:rsidR="00134E43" w:rsidRPr="00134E43">
        <w:rPr>
          <w:i/>
          <w:iCs/>
          <w:highlight w:val="yellow"/>
        </w:rPr>
        <w:t>);</w:t>
      </w:r>
      <w:r w:rsidR="00134E43" w:rsidRPr="00134E43">
        <w:rPr>
          <w:i/>
          <w:highlight w:val="yellow"/>
          <w:lang w:val="en-GB"/>
        </w:rPr>
        <w:t xml:space="preserve"> </w:t>
      </w:r>
    </w:p>
    <w:p w14:paraId="2D763CF9" w14:textId="77777777" w:rsidR="00FE2861" w:rsidRPr="00EE5558" w:rsidRDefault="003313CD" w:rsidP="00A845D1">
      <w:pPr>
        <w:pStyle w:val="CETHeading1"/>
        <w:tabs>
          <w:tab w:val="clear" w:pos="360"/>
          <w:tab w:val="right" w:pos="7100"/>
        </w:tabs>
        <w:spacing w:after="0"/>
        <w:jc w:val="both"/>
        <w:rPr>
          <w:lang w:val="en-GB"/>
        </w:rPr>
      </w:pPr>
      <w:r w:rsidRPr="00EE5558">
        <w:rPr>
          <w:lang w:val="en-GB"/>
        </w:rPr>
        <w:t>Conclusions</w:t>
      </w:r>
    </w:p>
    <w:p w14:paraId="61C2D035" w14:textId="77777777" w:rsidR="001D6B56" w:rsidRPr="001D6B56" w:rsidRDefault="001D6B56" w:rsidP="004A231C">
      <w:pPr>
        <w:pStyle w:val="CETBodytext"/>
        <w:rPr>
          <w:sz w:val="12"/>
          <w:szCs w:val="12"/>
          <w:lang w:val="en-GB"/>
        </w:rPr>
      </w:pPr>
    </w:p>
    <w:p w14:paraId="3705D022" w14:textId="27E044F9" w:rsidR="001B7816" w:rsidRDefault="001B7816" w:rsidP="004A231C">
      <w:pPr>
        <w:pStyle w:val="CETBodytext"/>
        <w:rPr>
          <w:lang w:val="en-GB"/>
        </w:rPr>
      </w:pPr>
      <w:r>
        <w:rPr>
          <w:lang w:val="en-GB"/>
        </w:rPr>
        <w:t xml:space="preserve">Recovery of oil during </w:t>
      </w:r>
      <w:r w:rsidR="00011CCA" w:rsidRPr="00EE5558">
        <w:t>S</w:t>
      </w:r>
      <w:r w:rsidR="00011CCA">
        <w:t>C</w:t>
      </w:r>
      <w:r w:rsidR="00011CCA" w:rsidRPr="00EE5558">
        <w:t>O</w:t>
      </w:r>
      <w:r w:rsidR="00011CCA" w:rsidRPr="00EE5558">
        <w:rPr>
          <w:vertAlign w:val="subscript"/>
        </w:rPr>
        <w:t>2</w:t>
      </w:r>
      <w:r w:rsidR="00011CCA">
        <w:t>E</w:t>
      </w:r>
      <w:r>
        <w:rPr>
          <w:lang w:val="en-GB"/>
        </w:rPr>
        <w:t xml:space="preserve"> was not limited by the solubility of oil in CO</w:t>
      </w:r>
      <w:r w:rsidRPr="001B7816">
        <w:rPr>
          <w:vertAlign w:val="subscript"/>
          <w:lang w:val="en-GB"/>
        </w:rPr>
        <w:t>2</w:t>
      </w:r>
      <w:r>
        <w:rPr>
          <w:lang w:val="en-GB"/>
        </w:rPr>
        <w:t xml:space="preserve"> but more likely by losses during depressurisation and oil collection stage. Thus, effective depressurisation and oil collection system seems to be as much important as correct selection of </w:t>
      </w:r>
      <w:r w:rsidR="00011CCA" w:rsidRPr="00EE5558">
        <w:t>S</w:t>
      </w:r>
      <w:r w:rsidR="00011CCA">
        <w:t>C</w:t>
      </w:r>
      <w:r w:rsidR="00011CCA" w:rsidRPr="00EE5558">
        <w:t>O</w:t>
      </w:r>
      <w:r w:rsidR="00011CCA" w:rsidRPr="00EE5558">
        <w:rPr>
          <w:vertAlign w:val="subscript"/>
        </w:rPr>
        <w:t>2</w:t>
      </w:r>
      <w:r w:rsidR="00011CCA">
        <w:t>E</w:t>
      </w:r>
      <w:r>
        <w:rPr>
          <w:lang w:val="en-GB"/>
        </w:rPr>
        <w:t xml:space="preserve"> parameters. Moreover, increasing the oil content of the feedstock, either by improving </w:t>
      </w:r>
      <w:r w:rsidR="00011CCA" w:rsidRPr="00EE5558">
        <w:t>S</w:t>
      </w:r>
      <w:r w:rsidR="00011CCA">
        <w:t>C</w:t>
      </w:r>
      <w:r w:rsidR="00011CCA" w:rsidRPr="00EE5558">
        <w:t>O</w:t>
      </w:r>
      <w:r w:rsidR="00011CCA" w:rsidRPr="00EE5558">
        <w:rPr>
          <w:vertAlign w:val="subscript"/>
        </w:rPr>
        <w:t>2</w:t>
      </w:r>
      <w:r w:rsidR="00011CCA">
        <w:t>E</w:t>
      </w:r>
      <w:r>
        <w:rPr>
          <w:lang w:val="en-GB"/>
        </w:rPr>
        <w:t xml:space="preserve"> efficiency or adding a co-feedstock rich in oil, could improve the overall performance of lycopene extraction</w:t>
      </w:r>
      <w:r w:rsidR="00F70AD2">
        <w:rPr>
          <w:lang w:val="en-GB"/>
        </w:rPr>
        <w:t xml:space="preserve">, </w:t>
      </w:r>
      <w:r w:rsidR="00F70AD2" w:rsidRPr="00F70AD2">
        <w:rPr>
          <w:highlight w:val="yellow"/>
          <w:lang w:val="en-GB"/>
        </w:rPr>
        <w:t>which in current settings reached 0.66 mg/g of recovered oil</w:t>
      </w:r>
      <w:r w:rsidRPr="00F70AD2">
        <w:rPr>
          <w:highlight w:val="yellow"/>
          <w:lang w:val="en-GB"/>
        </w:rPr>
        <w:t>.</w:t>
      </w:r>
    </w:p>
    <w:p w14:paraId="6B09D98E" w14:textId="6AE3AAD8" w:rsidR="0086328C" w:rsidRDefault="0086328C" w:rsidP="004A231C">
      <w:pPr>
        <w:pStyle w:val="CETBodytext"/>
        <w:rPr>
          <w:lang w:val="en-GB"/>
        </w:rPr>
      </w:pPr>
      <w:r w:rsidRPr="0086328C">
        <w:rPr>
          <w:lang w:val="en-GB"/>
        </w:rPr>
        <w:t xml:space="preserve">The overall properties of the proteins in solids after </w:t>
      </w:r>
      <w:r w:rsidR="00011CCA" w:rsidRPr="00EE5558">
        <w:t>S</w:t>
      </w:r>
      <w:r w:rsidR="00011CCA">
        <w:t>C</w:t>
      </w:r>
      <w:r w:rsidR="00011CCA" w:rsidRPr="00EE5558">
        <w:t>O</w:t>
      </w:r>
      <w:r w:rsidR="00011CCA" w:rsidRPr="00EE5558">
        <w:rPr>
          <w:vertAlign w:val="subscript"/>
        </w:rPr>
        <w:t>2</w:t>
      </w:r>
      <w:r w:rsidR="00011CCA">
        <w:t>E</w:t>
      </w:r>
      <w:r w:rsidRPr="0086328C">
        <w:rPr>
          <w:lang w:val="en-GB"/>
        </w:rPr>
        <w:t xml:space="preserve"> are non-modified. On the contrary, SWE deeply changes the overall properties of proteins, leaving small-sized peptides (and free amino acids) as the only soluble fraction. The </w:t>
      </w:r>
      <w:proofErr w:type="gramStart"/>
      <w:r w:rsidRPr="0086328C">
        <w:rPr>
          <w:lang w:val="en-GB"/>
        </w:rPr>
        <w:t>amount</w:t>
      </w:r>
      <w:proofErr w:type="gramEnd"/>
      <w:r w:rsidRPr="0086328C">
        <w:rPr>
          <w:lang w:val="en-GB"/>
        </w:rPr>
        <w:t xml:space="preserve"> of small-sized </w:t>
      </w:r>
      <w:r w:rsidR="00661946" w:rsidRPr="00661946">
        <w:rPr>
          <w:highlight w:val="yellow"/>
          <w:lang w:val="en-GB"/>
        </w:rPr>
        <w:t>products</w:t>
      </w:r>
      <w:r w:rsidRPr="0086328C">
        <w:rPr>
          <w:lang w:val="en-GB"/>
        </w:rPr>
        <w:t xml:space="preserve"> is highest when treatment is performed at 170 and 220 °C, although the true nature of possible chemical modifications occurring at these temperatures (such as deamidation or breakdown of peptide bonds) remains to be assessed.</w:t>
      </w:r>
    </w:p>
    <w:p w14:paraId="2B5319F4" w14:textId="77777777" w:rsidR="00E978D0" w:rsidRPr="00D207FB" w:rsidRDefault="00E978D0" w:rsidP="00A845D1">
      <w:pPr>
        <w:pStyle w:val="CETAcknowledgements"/>
        <w:spacing w:after="0"/>
        <w:rPr>
          <w:lang w:val="it-IT"/>
        </w:rPr>
      </w:pPr>
      <w:r w:rsidRPr="00D207FB">
        <w:rPr>
          <w:lang w:val="it-IT"/>
        </w:rPr>
        <w:t xml:space="preserve">Acknowledgments </w:t>
      </w:r>
    </w:p>
    <w:p w14:paraId="2E175D3D" w14:textId="104965BB" w:rsidR="00E978D0" w:rsidRPr="00D207FB" w:rsidRDefault="00C8339B" w:rsidP="00EE42A5">
      <w:pPr>
        <w:pStyle w:val="CETBodytext"/>
        <w:rPr>
          <w:lang w:val="it-IT"/>
        </w:rPr>
      </w:pPr>
      <w:r w:rsidRPr="00C8339B">
        <w:rPr>
          <w:lang w:val="it-IT"/>
        </w:rPr>
        <w:t>This research is part of the Rapid project</w:t>
      </w:r>
      <w:r w:rsidR="003A717D" w:rsidRPr="00D207FB">
        <w:rPr>
          <w:lang w:val="it-IT"/>
        </w:rPr>
        <w:t xml:space="preserve"> funded by PIANO NAZIONALE DI RIPRESA E RESILIENZA PNRR - Missione 4 “Istruzione e Ricerca” - Componente C2 - Investimento 1.1 “Fondo per il Programma Nazionale di Ricerca e progetti di Rilevante Interesse Nazionale (PRIN 2022 PNRR)</w:t>
      </w:r>
      <w:r>
        <w:rPr>
          <w:lang w:val="it-IT"/>
        </w:rPr>
        <w:t>”</w:t>
      </w:r>
      <w:r w:rsidR="003A717D" w:rsidRPr="00D207FB">
        <w:rPr>
          <w:lang w:val="it-IT"/>
        </w:rPr>
        <w:t>.</w:t>
      </w:r>
    </w:p>
    <w:p w14:paraId="5160BE75" w14:textId="1680A100" w:rsidR="00E978D0" w:rsidRPr="00D207FB" w:rsidRDefault="00E978D0" w:rsidP="003B1805">
      <w:pPr>
        <w:pStyle w:val="CETReference"/>
        <w:spacing w:after="0"/>
        <w:rPr>
          <w:lang w:val="it-IT"/>
        </w:rPr>
      </w:pPr>
      <w:r w:rsidRPr="00D207FB">
        <w:rPr>
          <w:lang w:val="it-IT"/>
        </w:rPr>
        <w:t>Reference</w:t>
      </w:r>
      <w:r w:rsidR="00316C54">
        <w:rPr>
          <w:lang w:val="it-IT"/>
        </w:rPr>
        <w:t>s</w:t>
      </w:r>
      <w:r w:rsidRPr="00D207FB">
        <w:rPr>
          <w:lang w:val="it-IT"/>
        </w:rPr>
        <w:t xml:space="preserve"> </w:t>
      </w:r>
    </w:p>
    <w:p w14:paraId="4299CC05" w14:textId="7A2620B5" w:rsidR="00134E43" w:rsidRPr="00134E43" w:rsidRDefault="004710EF" w:rsidP="00134E43">
      <w:pPr>
        <w:widowControl w:val="0"/>
        <w:autoSpaceDE w:val="0"/>
        <w:autoSpaceDN w:val="0"/>
        <w:adjustRightInd w:val="0"/>
        <w:spacing w:line="240" w:lineRule="auto"/>
        <w:rPr>
          <w:rFonts w:cs="Arial"/>
          <w:noProof/>
        </w:rPr>
      </w:pPr>
      <w:r w:rsidRPr="00EE5558">
        <w:rPr>
          <w:b/>
          <w:bCs/>
        </w:rPr>
        <w:fldChar w:fldCharType="begin" w:fldLock="1"/>
      </w:r>
      <w:r w:rsidRPr="00D207FB">
        <w:rPr>
          <w:b/>
          <w:bCs/>
          <w:lang w:val="it-IT"/>
        </w:rPr>
        <w:instrText xml:space="preserve">ADDIN Mendeley Bibliography CSL_BIBLIOGRAPHY </w:instrText>
      </w:r>
      <w:r w:rsidRPr="00EE5558">
        <w:rPr>
          <w:b/>
          <w:bCs/>
        </w:rPr>
        <w:fldChar w:fldCharType="separate"/>
      </w:r>
      <w:r w:rsidR="00134E43" w:rsidRPr="00E2521B">
        <w:rPr>
          <w:rFonts w:cs="Arial"/>
          <w:noProof/>
          <w:lang w:val="it-IT"/>
        </w:rPr>
        <w:t xml:space="preserve">Abbasi-Parizad, P. </w:t>
      </w:r>
      <w:r w:rsidR="00134E43" w:rsidRPr="00E2521B">
        <w:rPr>
          <w:rFonts w:cs="Arial"/>
          <w:i/>
          <w:iCs/>
          <w:noProof/>
          <w:lang w:val="it-IT"/>
        </w:rPr>
        <w:t>et al.</w:t>
      </w:r>
      <w:r w:rsidR="00134E43" w:rsidRPr="00E2521B">
        <w:rPr>
          <w:rFonts w:cs="Arial"/>
          <w:noProof/>
          <w:lang w:val="it-IT"/>
        </w:rPr>
        <w:t xml:space="preserve"> </w:t>
      </w:r>
      <w:r w:rsidR="00134E43" w:rsidRPr="00134E43">
        <w:rPr>
          <w:rFonts w:cs="Arial"/>
          <w:noProof/>
        </w:rPr>
        <w:t xml:space="preserve">(2020) ‘Antioxidant and Anti-Inflammatory Activities of the Crude Extracts of Raw and Fermented Tomato Pomace and Their Correlations with Aglycate-Polyphenols’, </w:t>
      </w:r>
      <w:r w:rsidR="00134E43" w:rsidRPr="00134E43">
        <w:rPr>
          <w:rFonts w:cs="Arial"/>
          <w:i/>
          <w:iCs/>
          <w:noProof/>
        </w:rPr>
        <w:t>Antioxidants</w:t>
      </w:r>
      <w:r w:rsidR="00134E43" w:rsidRPr="00134E43">
        <w:rPr>
          <w:rFonts w:cs="Arial"/>
          <w:noProof/>
        </w:rPr>
        <w:t>, 9(2), p. 179. doi:10.3390/antiox9020179.</w:t>
      </w:r>
    </w:p>
    <w:p w14:paraId="2134B2F6" w14:textId="77777777" w:rsidR="00134E43" w:rsidRPr="00134E43" w:rsidRDefault="00134E43" w:rsidP="00134E43">
      <w:pPr>
        <w:widowControl w:val="0"/>
        <w:autoSpaceDE w:val="0"/>
        <w:autoSpaceDN w:val="0"/>
        <w:adjustRightInd w:val="0"/>
        <w:spacing w:line="240" w:lineRule="auto"/>
        <w:rPr>
          <w:rFonts w:cs="Arial"/>
          <w:noProof/>
        </w:rPr>
      </w:pPr>
      <w:r w:rsidRPr="00E2521B">
        <w:rPr>
          <w:rFonts w:cs="Arial"/>
          <w:noProof/>
          <w:lang w:val="it-IT"/>
        </w:rPr>
        <w:lastRenderedPageBreak/>
        <w:t xml:space="preserve">Abbasi-Parizad, P. </w:t>
      </w:r>
      <w:r w:rsidRPr="00E2521B">
        <w:rPr>
          <w:rFonts w:cs="Arial"/>
          <w:i/>
          <w:iCs/>
          <w:noProof/>
          <w:lang w:val="it-IT"/>
        </w:rPr>
        <w:t>et al.</w:t>
      </w:r>
      <w:r w:rsidRPr="00E2521B">
        <w:rPr>
          <w:rFonts w:cs="Arial"/>
          <w:noProof/>
          <w:lang w:val="it-IT"/>
        </w:rPr>
        <w:t xml:space="preserve"> </w:t>
      </w:r>
      <w:r w:rsidRPr="00134E43">
        <w:rPr>
          <w:rFonts w:cs="Arial"/>
          <w:noProof/>
        </w:rPr>
        <w:t xml:space="preserve">(2023) ‘Development of a cascade production system finalized to the extraction of all-tomatine-rich fraction using the tomato cannery waste as feedstock’, </w:t>
      </w:r>
      <w:r w:rsidRPr="00134E43">
        <w:rPr>
          <w:rFonts w:cs="Arial"/>
          <w:i/>
          <w:iCs/>
          <w:noProof/>
        </w:rPr>
        <w:t>Journal of Cleaner Production</w:t>
      </w:r>
      <w:r w:rsidRPr="00134E43">
        <w:rPr>
          <w:rFonts w:cs="Arial"/>
          <w:noProof/>
        </w:rPr>
        <w:t>, 401(November 2022), p. 136743. doi:10.1016/j.jclepro.2023.136743.</w:t>
      </w:r>
    </w:p>
    <w:p w14:paraId="7DC2445B" w14:textId="77777777" w:rsidR="00134E43" w:rsidRPr="00134E43" w:rsidRDefault="00134E43" w:rsidP="00134E43">
      <w:pPr>
        <w:widowControl w:val="0"/>
        <w:autoSpaceDE w:val="0"/>
        <w:autoSpaceDN w:val="0"/>
        <w:adjustRightInd w:val="0"/>
        <w:spacing w:line="240" w:lineRule="auto"/>
        <w:rPr>
          <w:rFonts w:cs="Arial"/>
          <w:noProof/>
        </w:rPr>
      </w:pPr>
      <w:r w:rsidRPr="00E2521B">
        <w:rPr>
          <w:rFonts w:cs="Arial"/>
          <w:noProof/>
          <w:lang w:val="it-IT"/>
        </w:rPr>
        <w:t xml:space="preserve">de Andrade Lima, M. </w:t>
      </w:r>
      <w:r w:rsidRPr="00E2521B">
        <w:rPr>
          <w:rFonts w:cs="Arial"/>
          <w:i/>
          <w:iCs/>
          <w:noProof/>
          <w:lang w:val="it-IT"/>
        </w:rPr>
        <w:t>et al.</w:t>
      </w:r>
      <w:r w:rsidRPr="00E2521B">
        <w:rPr>
          <w:rFonts w:cs="Arial"/>
          <w:noProof/>
          <w:lang w:val="it-IT"/>
        </w:rPr>
        <w:t xml:space="preserve"> </w:t>
      </w:r>
      <w:r w:rsidRPr="00134E43">
        <w:rPr>
          <w:rFonts w:cs="Arial"/>
          <w:noProof/>
        </w:rPr>
        <w:t xml:space="preserve">(2019) ‘Supercritical fluid extraction of carotenoids from vegetable waste matrices’, </w:t>
      </w:r>
      <w:r w:rsidRPr="00134E43">
        <w:rPr>
          <w:rFonts w:cs="Arial"/>
          <w:i/>
          <w:iCs/>
          <w:noProof/>
        </w:rPr>
        <w:t>Molecules</w:t>
      </w:r>
      <w:r w:rsidRPr="00134E43">
        <w:rPr>
          <w:rFonts w:cs="Arial"/>
          <w:noProof/>
        </w:rPr>
        <w:t>, 24(3). doi:10.3390/molecules24030466.</w:t>
      </w:r>
    </w:p>
    <w:p w14:paraId="20C551B8" w14:textId="77777777" w:rsidR="00134E43" w:rsidRPr="00134E43" w:rsidRDefault="00134E43" w:rsidP="00134E43">
      <w:pPr>
        <w:widowControl w:val="0"/>
        <w:autoSpaceDE w:val="0"/>
        <w:autoSpaceDN w:val="0"/>
        <w:adjustRightInd w:val="0"/>
        <w:spacing w:line="240" w:lineRule="auto"/>
        <w:rPr>
          <w:rFonts w:cs="Arial"/>
          <w:noProof/>
        </w:rPr>
      </w:pPr>
      <w:r w:rsidRPr="00134E43">
        <w:rPr>
          <w:rFonts w:cs="Arial"/>
          <w:noProof/>
        </w:rPr>
        <w:t xml:space="preserve">Camara, B. </w:t>
      </w:r>
      <w:r w:rsidRPr="00134E43">
        <w:rPr>
          <w:rFonts w:cs="Arial"/>
          <w:i/>
          <w:iCs/>
          <w:noProof/>
        </w:rPr>
        <w:t>et al.</w:t>
      </w:r>
      <w:r w:rsidRPr="00134E43">
        <w:rPr>
          <w:rFonts w:cs="Arial"/>
          <w:noProof/>
        </w:rPr>
        <w:t xml:space="preserve"> (1995) ‘Biochemistry and Molecular Biology of Chromoplast Development’, in, pp. 175–247. doi:10.1016/S0074-7696(08)62211-1.</w:t>
      </w:r>
    </w:p>
    <w:p w14:paraId="4CDCC0A8" w14:textId="77777777" w:rsidR="00134E43" w:rsidRPr="00134E43" w:rsidRDefault="00134E43" w:rsidP="00134E43">
      <w:pPr>
        <w:widowControl w:val="0"/>
        <w:autoSpaceDE w:val="0"/>
        <w:autoSpaceDN w:val="0"/>
        <w:adjustRightInd w:val="0"/>
        <w:spacing w:line="240" w:lineRule="auto"/>
        <w:rPr>
          <w:rFonts w:cs="Arial"/>
          <w:noProof/>
        </w:rPr>
      </w:pPr>
      <w:r w:rsidRPr="00134E43">
        <w:rPr>
          <w:rFonts w:cs="Arial"/>
          <w:noProof/>
        </w:rPr>
        <w:t xml:space="preserve">Church, F.C. </w:t>
      </w:r>
      <w:r w:rsidRPr="00134E43">
        <w:rPr>
          <w:rFonts w:cs="Arial"/>
          <w:i/>
          <w:iCs/>
          <w:noProof/>
        </w:rPr>
        <w:t>et al.</w:t>
      </w:r>
      <w:r w:rsidRPr="00134E43">
        <w:rPr>
          <w:rFonts w:cs="Arial"/>
          <w:noProof/>
        </w:rPr>
        <w:t xml:space="preserve"> (1985) ‘An o-phthalaldehyde spectrophotometric assay for proteinases’, </w:t>
      </w:r>
      <w:r w:rsidRPr="00134E43">
        <w:rPr>
          <w:rFonts w:cs="Arial"/>
          <w:i/>
          <w:iCs/>
          <w:noProof/>
        </w:rPr>
        <w:t>Analytical Biochemistry</w:t>
      </w:r>
      <w:r w:rsidRPr="00134E43">
        <w:rPr>
          <w:rFonts w:cs="Arial"/>
          <w:noProof/>
        </w:rPr>
        <w:t>, 146(2), pp. 343–348. doi:10.1016/0003-2697(85)90549-4.</w:t>
      </w:r>
    </w:p>
    <w:p w14:paraId="4BD7CB71" w14:textId="77777777" w:rsidR="00134E43" w:rsidRPr="00134E43" w:rsidRDefault="00134E43" w:rsidP="00134E43">
      <w:pPr>
        <w:widowControl w:val="0"/>
        <w:autoSpaceDE w:val="0"/>
        <w:autoSpaceDN w:val="0"/>
        <w:adjustRightInd w:val="0"/>
        <w:spacing w:line="240" w:lineRule="auto"/>
        <w:rPr>
          <w:rFonts w:cs="Arial"/>
          <w:noProof/>
        </w:rPr>
      </w:pPr>
      <w:r w:rsidRPr="00134E43">
        <w:rPr>
          <w:rFonts w:cs="Arial"/>
          <w:noProof/>
        </w:rPr>
        <w:t xml:space="preserve">Duba, K. and Fiori, L. (2019) ‘Supercritical CO 2 extraction of grape seeds oil: scale-up and economic analysis’, </w:t>
      </w:r>
      <w:r w:rsidRPr="00134E43">
        <w:rPr>
          <w:rFonts w:cs="Arial"/>
          <w:i/>
          <w:iCs/>
          <w:noProof/>
        </w:rPr>
        <w:t>International Journal of Food Science and Technology</w:t>
      </w:r>
      <w:r w:rsidRPr="00134E43">
        <w:rPr>
          <w:rFonts w:cs="Arial"/>
          <w:noProof/>
        </w:rPr>
        <w:t>, 54(4), pp. 1306–1312. doi:10.1111/ijfs.14104.</w:t>
      </w:r>
    </w:p>
    <w:p w14:paraId="30A482CC" w14:textId="77777777" w:rsidR="00134E43" w:rsidRPr="00134E43" w:rsidRDefault="00134E43" w:rsidP="00134E43">
      <w:pPr>
        <w:widowControl w:val="0"/>
        <w:autoSpaceDE w:val="0"/>
        <w:autoSpaceDN w:val="0"/>
        <w:adjustRightInd w:val="0"/>
        <w:spacing w:line="240" w:lineRule="auto"/>
        <w:rPr>
          <w:rFonts w:cs="Arial"/>
          <w:noProof/>
        </w:rPr>
      </w:pPr>
      <w:r w:rsidRPr="00134E43">
        <w:rPr>
          <w:rFonts w:cs="Arial"/>
          <w:noProof/>
        </w:rPr>
        <w:t xml:space="preserve">Duba, K.S. </w:t>
      </w:r>
      <w:r w:rsidRPr="00134E43">
        <w:rPr>
          <w:rFonts w:cs="Arial"/>
          <w:i/>
          <w:iCs/>
          <w:noProof/>
        </w:rPr>
        <w:t>et al.</w:t>
      </w:r>
      <w:r w:rsidRPr="00134E43">
        <w:rPr>
          <w:rFonts w:cs="Arial"/>
          <w:noProof/>
        </w:rPr>
        <w:t xml:space="preserve"> (2015) ‘Extraction of polyphenols from grape skins and defatted grape seeds using subcritical water: Experiments and modeling’, </w:t>
      </w:r>
      <w:r w:rsidRPr="00134E43">
        <w:rPr>
          <w:rFonts w:cs="Arial"/>
          <w:i/>
          <w:iCs/>
          <w:noProof/>
        </w:rPr>
        <w:t>Food and Bioproducts Processing</w:t>
      </w:r>
      <w:r w:rsidRPr="00134E43">
        <w:rPr>
          <w:rFonts w:cs="Arial"/>
          <w:noProof/>
        </w:rPr>
        <w:t>, 94, pp. 29–38. doi:10.1016/j.fbp.2015.01.001.</w:t>
      </w:r>
    </w:p>
    <w:p w14:paraId="323A904C" w14:textId="77777777" w:rsidR="00134E43" w:rsidRPr="00134E43" w:rsidRDefault="00134E43" w:rsidP="00134E43">
      <w:pPr>
        <w:widowControl w:val="0"/>
        <w:autoSpaceDE w:val="0"/>
        <w:autoSpaceDN w:val="0"/>
        <w:adjustRightInd w:val="0"/>
        <w:spacing w:line="240" w:lineRule="auto"/>
        <w:rPr>
          <w:rFonts w:cs="Arial"/>
          <w:noProof/>
        </w:rPr>
      </w:pPr>
      <w:r w:rsidRPr="00134E43">
        <w:rPr>
          <w:rFonts w:cs="Arial"/>
          <w:noProof/>
        </w:rPr>
        <w:t xml:space="preserve">Duba, K.S. and Fiori, L. (2015) ‘Extraction of bioactives from food processing residues using techniques performed at high pressures’, </w:t>
      </w:r>
      <w:r w:rsidRPr="00134E43">
        <w:rPr>
          <w:rFonts w:cs="Arial"/>
          <w:i/>
          <w:iCs/>
          <w:noProof/>
        </w:rPr>
        <w:t>Current Opinion in Food Science</w:t>
      </w:r>
      <w:r w:rsidRPr="00134E43">
        <w:rPr>
          <w:rFonts w:cs="Arial"/>
          <w:noProof/>
        </w:rPr>
        <w:t>, 5, pp. 14–22. doi:10.1016/j.cofs.2015.06.009.</w:t>
      </w:r>
    </w:p>
    <w:p w14:paraId="0BBE7254" w14:textId="77777777" w:rsidR="00134E43" w:rsidRPr="00134E43" w:rsidRDefault="00134E43" w:rsidP="00134E43">
      <w:pPr>
        <w:widowControl w:val="0"/>
        <w:autoSpaceDE w:val="0"/>
        <w:autoSpaceDN w:val="0"/>
        <w:adjustRightInd w:val="0"/>
        <w:spacing w:line="240" w:lineRule="auto"/>
        <w:rPr>
          <w:rFonts w:cs="Arial"/>
          <w:noProof/>
        </w:rPr>
      </w:pPr>
      <w:r w:rsidRPr="00134E43">
        <w:rPr>
          <w:rFonts w:cs="Arial"/>
          <w:noProof/>
        </w:rPr>
        <w:t xml:space="preserve">Hatami, T. and Ciftci, O.N. (2023) ‘A step-by-step technoeconomic analysis of supercritical carbon dioxide extraction of lycopene from tomato processing waste’, </w:t>
      </w:r>
      <w:r w:rsidRPr="00134E43">
        <w:rPr>
          <w:rFonts w:cs="Arial"/>
          <w:i/>
          <w:iCs/>
          <w:noProof/>
        </w:rPr>
        <w:t>Journal of Food Engineering</w:t>
      </w:r>
      <w:r w:rsidRPr="00134E43">
        <w:rPr>
          <w:rFonts w:cs="Arial"/>
          <w:noProof/>
        </w:rPr>
        <w:t>, 357(June), p. 111639. doi:10.1016/j.jfoodeng.2023.111639.</w:t>
      </w:r>
    </w:p>
    <w:p w14:paraId="2434B544" w14:textId="77777777" w:rsidR="00134E43" w:rsidRPr="00134E43" w:rsidRDefault="00134E43" w:rsidP="00134E43">
      <w:pPr>
        <w:widowControl w:val="0"/>
        <w:autoSpaceDE w:val="0"/>
        <w:autoSpaceDN w:val="0"/>
        <w:adjustRightInd w:val="0"/>
        <w:spacing w:line="240" w:lineRule="auto"/>
        <w:rPr>
          <w:rFonts w:cs="Arial"/>
          <w:noProof/>
        </w:rPr>
      </w:pPr>
      <w:r w:rsidRPr="00134E43">
        <w:rPr>
          <w:rFonts w:cs="Arial"/>
          <w:noProof/>
        </w:rPr>
        <w:t xml:space="preserve">Ischia, G. </w:t>
      </w:r>
      <w:r w:rsidRPr="00134E43">
        <w:rPr>
          <w:rFonts w:cs="Arial"/>
          <w:i/>
          <w:iCs/>
          <w:noProof/>
        </w:rPr>
        <w:t>et al.</w:t>
      </w:r>
      <w:r w:rsidRPr="00134E43">
        <w:rPr>
          <w:rFonts w:cs="Arial"/>
          <w:noProof/>
        </w:rPr>
        <w:t xml:space="preserve"> (2024) ‘Advances in Research and Technology of Hydrothermal Carbonization: Achievements and Future Directions’, </w:t>
      </w:r>
      <w:r w:rsidRPr="00134E43">
        <w:rPr>
          <w:rFonts w:cs="Arial"/>
          <w:i/>
          <w:iCs/>
          <w:noProof/>
        </w:rPr>
        <w:t>Agronomy</w:t>
      </w:r>
      <w:r w:rsidRPr="00134E43">
        <w:rPr>
          <w:rFonts w:cs="Arial"/>
          <w:noProof/>
        </w:rPr>
        <w:t>, 14(5), p. 955. doi:10.3390/agronomy14050955.</w:t>
      </w:r>
    </w:p>
    <w:p w14:paraId="151AC6C0" w14:textId="77777777" w:rsidR="00134E43" w:rsidRPr="00134E43" w:rsidRDefault="00134E43" w:rsidP="00134E43">
      <w:pPr>
        <w:widowControl w:val="0"/>
        <w:autoSpaceDE w:val="0"/>
        <w:autoSpaceDN w:val="0"/>
        <w:adjustRightInd w:val="0"/>
        <w:spacing w:line="240" w:lineRule="auto"/>
        <w:rPr>
          <w:rFonts w:cs="Arial"/>
          <w:noProof/>
        </w:rPr>
      </w:pPr>
      <w:r w:rsidRPr="00134E43">
        <w:rPr>
          <w:rFonts w:cs="Arial"/>
          <w:noProof/>
        </w:rPr>
        <w:t xml:space="preserve">Kehili, M. </w:t>
      </w:r>
      <w:r w:rsidRPr="00134E43">
        <w:rPr>
          <w:rFonts w:cs="Arial"/>
          <w:i/>
          <w:iCs/>
          <w:noProof/>
        </w:rPr>
        <w:t>et al.</w:t>
      </w:r>
      <w:r w:rsidRPr="00134E43">
        <w:rPr>
          <w:rFonts w:cs="Arial"/>
          <w:noProof/>
        </w:rPr>
        <w:t xml:space="preserve"> (2016) ‘Biorefinery cascade processing for creating added value on tomato industrial by-products from Tunisia’, </w:t>
      </w:r>
      <w:r w:rsidRPr="00134E43">
        <w:rPr>
          <w:rFonts w:cs="Arial"/>
          <w:i/>
          <w:iCs/>
          <w:noProof/>
        </w:rPr>
        <w:t>Biotechnology for Biofuels</w:t>
      </w:r>
      <w:r w:rsidRPr="00134E43">
        <w:rPr>
          <w:rFonts w:cs="Arial"/>
          <w:noProof/>
        </w:rPr>
        <w:t>, 9(1), pp. 1–12. doi:10.1186/s13068-016-0676-x.</w:t>
      </w:r>
    </w:p>
    <w:p w14:paraId="3F476D72" w14:textId="77777777" w:rsidR="00134E43" w:rsidRPr="00134E43" w:rsidRDefault="00134E43" w:rsidP="00134E43">
      <w:pPr>
        <w:widowControl w:val="0"/>
        <w:autoSpaceDE w:val="0"/>
        <w:autoSpaceDN w:val="0"/>
        <w:adjustRightInd w:val="0"/>
        <w:spacing w:line="240" w:lineRule="auto"/>
        <w:rPr>
          <w:rFonts w:cs="Arial"/>
          <w:noProof/>
        </w:rPr>
      </w:pPr>
      <w:r w:rsidRPr="00134E43">
        <w:rPr>
          <w:rFonts w:cs="Arial"/>
          <w:noProof/>
        </w:rPr>
        <w:t xml:space="preserve">Kossińska, N. </w:t>
      </w:r>
      <w:r w:rsidRPr="00134E43">
        <w:rPr>
          <w:rFonts w:cs="Arial"/>
          <w:i/>
          <w:iCs/>
          <w:noProof/>
        </w:rPr>
        <w:t>et al.</w:t>
      </w:r>
      <w:r w:rsidRPr="00134E43">
        <w:rPr>
          <w:rFonts w:cs="Arial"/>
          <w:noProof/>
        </w:rPr>
        <w:t xml:space="preserve"> (2023) ‘Hydrothermal carbonisation of sewage sludge and resulting biofuels as a sustainable energy source’, </w:t>
      </w:r>
      <w:r w:rsidRPr="00134E43">
        <w:rPr>
          <w:rFonts w:cs="Arial"/>
          <w:i/>
          <w:iCs/>
          <w:noProof/>
        </w:rPr>
        <w:t>Energy</w:t>
      </w:r>
      <w:r w:rsidRPr="00134E43">
        <w:rPr>
          <w:rFonts w:cs="Arial"/>
          <w:noProof/>
        </w:rPr>
        <w:t>, 275(March), p. 127337. doi:10.1016/j.energy.2023.127337.</w:t>
      </w:r>
    </w:p>
    <w:p w14:paraId="323E8302" w14:textId="77777777" w:rsidR="00134E43" w:rsidRPr="00134E43" w:rsidRDefault="00134E43" w:rsidP="00134E43">
      <w:pPr>
        <w:widowControl w:val="0"/>
        <w:autoSpaceDE w:val="0"/>
        <w:autoSpaceDN w:val="0"/>
        <w:adjustRightInd w:val="0"/>
        <w:spacing w:line="240" w:lineRule="auto"/>
        <w:rPr>
          <w:rFonts w:cs="Arial"/>
          <w:noProof/>
        </w:rPr>
      </w:pPr>
      <w:r w:rsidRPr="00134E43">
        <w:rPr>
          <w:rFonts w:cs="Arial"/>
          <w:noProof/>
        </w:rPr>
        <w:t xml:space="preserve">Laemmli, U.K. (1970) ‘Cleavage of Structural Proteins during the Assembly of the Head of Bacteriophage T4’, </w:t>
      </w:r>
      <w:r w:rsidRPr="00134E43">
        <w:rPr>
          <w:rFonts w:cs="Arial"/>
          <w:i/>
          <w:iCs/>
          <w:noProof/>
        </w:rPr>
        <w:t>Nature</w:t>
      </w:r>
      <w:r w:rsidRPr="00134E43">
        <w:rPr>
          <w:rFonts w:cs="Arial"/>
          <w:noProof/>
        </w:rPr>
        <w:t>, 227(5259), pp. 680–685. doi:10.1038/227680a0.</w:t>
      </w:r>
    </w:p>
    <w:p w14:paraId="2334C057" w14:textId="77777777" w:rsidR="00134E43" w:rsidRPr="00134E43" w:rsidRDefault="00134E43" w:rsidP="00134E43">
      <w:pPr>
        <w:widowControl w:val="0"/>
        <w:autoSpaceDE w:val="0"/>
        <w:autoSpaceDN w:val="0"/>
        <w:adjustRightInd w:val="0"/>
        <w:spacing w:line="240" w:lineRule="auto"/>
        <w:rPr>
          <w:rFonts w:cs="Arial"/>
          <w:noProof/>
        </w:rPr>
      </w:pPr>
      <w:r w:rsidRPr="00134E43">
        <w:rPr>
          <w:rFonts w:cs="Arial"/>
          <w:noProof/>
        </w:rPr>
        <w:t xml:space="preserve">Liu, C. </w:t>
      </w:r>
      <w:r w:rsidRPr="00134E43">
        <w:rPr>
          <w:rFonts w:cs="Arial"/>
          <w:i/>
          <w:iCs/>
          <w:noProof/>
        </w:rPr>
        <w:t>et al.</w:t>
      </w:r>
      <w:r w:rsidRPr="00134E43">
        <w:rPr>
          <w:rFonts w:cs="Arial"/>
          <w:noProof/>
        </w:rPr>
        <w:t xml:space="preserve"> (2021) ‘Carotenoids from fungi and microalgae: A review on their recent production, extraction, and developments’, </w:t>
      </w:r>
      <w:r w:rsidRPr="00134E43">
        <w:rPr>
          <w:rFonts w:cs="Arial"/>
          <w:i/>
          <w:iCs/>
          <w:noProof/>
        </w:rPr>
        <w:t>Bioresource Technology</w:t>
      </w:r>
      <w:r w:rsidRPr="00134E43">
        <w:rPr>
          <w:rFonts w:cs="Arial"/>
          <w:noProof/>
        </w:rPr>
        <w:t>, 337(April), p. 125398. doi:10.1016/j.biortech.2021.125398.</w:t>
      </w:r>
    </w:p>
    <w:p w14:paraId="39C39090" w14:textId="77777777" w:rsidR="00134E43" w:rsidRPr="00134E43" w:rsidRDefault="00134E43" w:rsidP="00134E43">
      <w:pPr>
        <w:widowControl w:val="0"/>
        <w:autoSpaceDE w:val="0"/>
        <w:autoSpaceDN w:val="0"/>
        <w:adjustRightInd w:val="0"/>
        <w:spacing w:line="240" w:lineRule="auto"/>
        <w:rPr>
          <w:rFonts w:cs="Arial"/>
          <w:noProof/>
        </w:rPr>
      </w:pPr>
      <w:r w:rsidRPr="00134E43">
        <w:rPr>
          <w:rFonts w:cs="Arial"/>
          <w:noProof/>
        </w:rPr>
        <w:t xml:space="preserve">Margotta, M. and De Simone, M.C. (2020) ‘Supercritical Fluid Extraction of Lycopene and Omega-3’, in Karabegović, I. (ed.) </w:t>
      </w:r>
      <w:r w:rsidRPr="00134E43">
        <w:rPr>
          <w:rFonts w:cs="Arial"/>
          <w:i/>
          <w:iCs/>
          <w:noProof/>
        </w:rPr>
        <w:t>New Technologies, Development and Application III</w:t>
      </w:r>
      <w:r w:rsidRPr="00134E43">
        <w:rPr>
          <w:rFonts w:cs="Arial"/>
          <w:noProof/>
        </w:rPr>
        <w:t>. Cham, Switzerland: Springer Nature Switzerland AG, pp. 750–758. doi:10.1007/978-3-030-46817-0_85.</w:t>
      </w:r>
    </w:p>
    <w:p w14:paraId="1E8DBEAE" w14:textId="77777777" w:rsidR="00134E43" w:rsidRPr="00134E43" w:rsidRDefault="00134E43" w:rsidP="00134E43">
      <w:pPr>
        <w:widowControl w:val="0"/>
        <w:autoSpaceDE w:val="0"/>
        <w:autoSpaceDN w:val="0"/>
        <w:adjustRightInd w:val="0"/>
        <w:spacing w:line="240" w:lineRule="auto"/>
        <w:rPr>
          <w:rFonts w:cs="Arial"/>
          <w:noProof/>
        </w:rPr>
      </w:pPr>
      <w:r w:rsidRPr="00E2521B">
        <w:rPr>
          <w:rFonts w:cs="Arial"/>
          <w:noProof/>
          <w:lang w:val="it-IT"/>
        </w:rPr>
        <w:t xml:space="preserve">Méndez-Carmona, J.Y. </w:t>
      </w:r>
      <w:r w:rsidRPr="00E2521B">
        <w:rPr>
          <w:rFonts w:cs="Arial"/>
          <w:i/>
          <w:iCs/>
          <w:noProof/>
          <w:lang w:val="it-IT"/>
        </w:rPr>
        <w:t>et al.</w:t>
      </w:r>
      <w:r w:rsidRPr="00E2521B">
        <w:rPr>
          <w:rFonts w:cs="Arial"/>
          <w:noProof/>
          <w:lang w:val="it-IT"/>
        </w:rPr>
        <w:t xml:space="preserve"> </w:t>
      </w:r>
      <w:r w:rsidRPr="00134E43">
        <w:rPr>
          <w:rFonts w:cs="Arial"/>
          <w:noProof/>
        </w:rPr>
        <w:t xml:space="preserve">(2022) ‘Tomato waste as a bioresource for lycopene extraction using emerging technologies’, </w:t>
      </w:r>
      <w:r w:rsidRPr="00134E43">
        <w:rPr>
          <w:rFonts w:cs="Arial"/>
          <w:i/>
          <w:iCs/>
          <w:noProof/>
        </w:rPr>
        <w:t>Food Bioscience</w:t>
      </w:r>
      <w:r w:rsidRPr="00134E43">
        <w:rPr>
          <w:rFonts w:cs="Arial"/>
          <w:noProof/>
        </w:rPr>
        <w:t>, 49(August). doi:10.1016/j.fbio.2022.101966.</w:t>
      </w:r>
    </w:p>
    <w:p w14:paraId="3ED8CEEF" w14:textId="77777777" w:rsidR="00134E43" w:rsidRPr="00134E43" w:rsidRDefault="00134E43" w:rsidP="00134E43">
      <w:pPr>
        <w:widowControl w:val="0"/>
        <w:autoSpaceDE w:val="0"/>
        <w:autoSpaceDN w:val="0"/>
        <w:adjustRightInd w:val="0"/>
        <w:spacing w:line="240" w:lineRule="auto"/>
        <w:rPr>
          <w:rFonts w:cs="Arial"/>
          <w:noProof/>
        </w:rPr>
      </w:pPr>
      <w:r w:rsidRPr="00134E43">
        <w:rPr>
          <w:rFonts w:cs="Arial"/>
          <w:noProof/>
        </w:rPr>
        <w:t xml:space="preserve">Nguyen, M., Francis, D. and Schwartz, S. (2001) ‘Thermal isomerisation susceptibility of carotenoids in different tomato varieties’, </w:t>
      </w:r>
      <w:r w:rsidRPr="00134E43">
        <w:rPr>
          <w:rFonts w:cs="Arial"/>
          <w:i/>
          <w:iCs/>
          <w:noProof/>
        </w:rPr>
        <w:t>Journal of the Science of Food and Agriculture</w:t>
      </w:r>
      <w:r w:rsidRPr="00134E43">
        <w:rPr>
          <w:rFonts w:cs="Arial"/>
          <w:noProof/>
        </w:rPr>
        <w:t>, 81(9), pp. 910–917. doi:10.1002/jsfa.911.</w:t>
      </w:r>
    </w:p>
    <w:p w14:paraId="1E8789BB" w14:textId="77777777" w:rsidR="00134E43" w:rsidRPr="00134E43" w:rsidRDefault="00134E43" w:rsidP="00134E43">
      <w:pPr>
        <w:widowControl w:val="0"/>
        <w:autoSpaceDE w:val="0"/>
        <w:autoSpaceDN w:val="0"/>
        <w:adjustRightInd w:val="0"/>
        <w:spacing w:line="240" w:lineRule="auto"/>
        <w:rPr>
          <w:rFonts w:cs="Arial"/>
          <w:noProof/>
        </w:rPr>
      </w:pPr>
      <w:r w:rsidRPr="00134E43">
        <w:rPr>
          <w:rFonts w:cs="Arial"/>
          <w:noProof/>
        </w:rPr>
        <w:t xml:space="preserve">Nowak, M. </w:t>
      </w:r>
      <w:r w:rsidRPr="00134E43">
        <w:rPr>
          <w:rFonts w:cs="Arial"/>
          <w:i/>
          <w:iCs/>
          <w:noProof/>
        </w:rPr>
        <w:t>et al.</w:t>
      </w:r>
      <w:r w:rsidRPr="00134E43">
        <w:rPr>
          <w:rFonts w:cs="Arial"/>
          <w:noProof/>
        </w:rPr>
        <w:t xml:space="preserve"> (2023) ‘The transformation of cellulose acetate into a new biocidal polymer by effluent-free grafting in supercritical carbon dioxide’, </w:t>
      </w:r>
      <w:r w:rsidRPr="00134E43">
        <w:rPr>
          <w:rFonts w:cs="Arial"/>
          <w:i/>
          <w:iCs/>
          <w:noProof/>
        </w:rPr>
        <w:t>Journal of Supercritical Fluids</w:t>
      </w:r>
      <w:r w:rsidRPr="00134E43">
        <w:rPr>
          <w:rFonts w:cs="Arial"/>
          <w:noProof/>
        </w:rPr>
        <w:t>, 202(July). doi:10.1016/j.supflu.2023.106058.</w:t>
      </w:r>
    </w:p>
    <w:p w14:paraId="50BB9BC8" w14:textId="77777777" w:rsidR="00134E43" w:rsidRPr="00134E43" w:rsidRDefault="00134E43" w:rsidP="00134E43">
      <w:pPr>
        <w:widowControl w:val="0"/>
        <w:autoSpaceDE w:val="0"/>
        <w:autoSpaceDN w:val="0"/>
        <w:adjustRightInd w:val="0"/>
        <w:spacing w:line="240" w:lineRule="auto"/>
        <w:rPr>
          <w:rFonts w:cs="Arial"/>
          <w:noProof/>
        </w:rPr>
      </w:pPr>
      <w:r w:rsidRPr="00134E43">
        <w:rPr>
          <w:rFonts w:cs="Arial"/>
          <w:noProof/>
        </w:rPr>
        <w:t xml:space="preserve">Ramola, B. </w:t>
      </w:r>
      <w:r w:rsidRPr="00134E43">
        <w:rPr>
          <w:rFonts w:cs="Arial"/>
          <w:i/>
          <w:iCs/>
          <w:noProof/>
        </w:rPr>
        <w:t>et al.</w:t>
      </w:r>
      <w:r w:rsidRPr="00134E43">
        <w:rPr>
          <w:rFonts w:cs="Arial"/>
          <w:noProof/>
        </w:rPr>
        <w:t xml:space="preserve"> (2019) ‘Evaluation, comparison of different solvent extraction, cell disruption methods and hydrothermal liquefaction of Oedogonium macroalgae for biofuel production’, </w:t>
      </w:r>
      <w:r w:rsidRPr="00134E43">
        <w:rPr>
          <w:rFonts w:cs="Arial"/>
          <w:i/>
          <w:iCs/>
          <w:noProof/>
        </w:rPr>
        <w:t>Biotechnology Reports</w:t>
      </w:r>
      <w:r w:rsidRPr="00134E43">
        <w:rPr>
          <w:rFonts w:cs="Arial"/>
          <w:noProof/>
        </w:rPr>
        <w:t>, 22, p. e00340. doi:10.1016/j.btre.2019.e00340.</w:t>
      </w:r>
    </w:p>
    <w:p w14:paraId="4854211F" w14:textId="77777777" w:rsidR="00134E43" w:rsidRPr="00134E43" w:rsidRDefault="00134E43" w:rsidP="00134E43">
      <w:pPr>
        <w:widowControl w:val="0"/>
        <w:autoSpaceDE w:val="0"/>
        <w:autoSpaceDN w:val="0"/>
        <w:adjustRightInd w:val="0"/>
        <w:spacing w:line="240" w:lineRule="auto"/>
        <w:rPr>
          <w:rFonts w:cs="Arial"/>
          <w:noProof/>
        </w:rPr>
      </w:pPr>
      <w:r w:rsidRPr="00134E43">
        <w:rPr>
          <w:rFonts w:cs="Arial"/>
          <w:noProof/>
        </w:rPr>
        <w:t xml:space="preserve">Scaglia, B. </w:t>
      </w:r>
      <w:r w:rsidRPr="00134E43">
        <w:rPr>
          <w:rFonts w:cs="Arial"/>
          <w:i/>
          <w:iCs/>
          <w:noProof/>
        </w:rPr>
        <w:t>et al.</w:t>
      </w:r>
      <w:r w:rsidRPr="00134E43">
        <w:rPr>
          <w:rFonts w:cs="Arial"/>
          <w:noProof/>
        </w:rPr>
        <w:t xml:space="preserve"> (2020) ‘Development of a tomato pomace biorefinery based on a CO2-supercritical extraction process for the production of a high value lycopene product, bioenergy and digestate’, </w:t>
      </w:r>
      <w:r w:rsidRPr="00134E43">
        <w:rPr>
          <w:rFonts w:cs="Arial"/>
          <w:i/>
          <w:iCs/>
          <w:noProof/>
        </w:rPr>
        <w:t>Journal of Cleaner Production</w:t>
      </w:r>
      <w:r w:rsidRPr="00134E43">
        <w:rPr>
          <w:rFonts w:cs="Arial"/>
          <w:noProof/>
        </w:rPr>
        <w:t>, 243, p. 118650. doi:10.1016/j.jclepro.2019.118650.</w:t>
      </w:r>
    </w:p>
    <w:p w14:paraId="5E877774" w14:textId="77777777" w:rsidR="00134E43" w:rsidRPr="00134E43" w:rsidRDefault="00134E43" w:rsidP="00134E43">
      <w:pPr>
        <w:widowControl w:val="0"/>
        <w:autoSpaceDE w:val="0"/>
        <w:autoSpaceDN w:val="0"/>
        <w:adjustRightInd w:val="0"/>
        <w:spacing w:line="240" w:lineRule="auto"/>
        <w:rPr>
          <w:rFonts w:cs="Arial"/>
          <w:noProof/>
        </w:rPr>
      </w:pPr>
      <w:r w:rsidRPr="00134E43">
        <w:rPr>
          <w:rFonts w:cs="Arial"/>
          <w:noProof/>
        </w:rPr>
        <w:t xml:space="preserve">Scaglia, B. </w:t>
      </w:r>
      <w:r w:rsidRPr="00134E43">
        <w:rPr>
          <w:rFonts w:cs="Arial"/>
          <w:i/>
          <w:iCs/>
          <w:noProof/>
        </w:rPr>
        <w:t>et al.</w:t>
      </w:r>
      <w:r w:rsidRPr="00134E43">
        <w:rPr>
          <w:rFonts w:cs="Arial"/>
          <w:noProof/>
        </w:rPr>
        <w:t xml:space="preserve"> (2023) ‘Valorization of the tomato pomace to obtain lycopene, carbohydrates-rich fraction and oil by applying a hydrolytic enzyme-based approach’, </w:t>
      </w:r>
      <w:r w:rsidRPr="00134E43">
        <w:rPr>
          <w:rFonts w:cs="Arial"/>
          <w:i/>
          <w:iCs/>
          <w:noProof/>
        </w:rPr>
        <w:t>Bioresource Technology Reports</w:t>
      </w:r>
      <w:r w:rsidRPr="00134E43">
        <w:rPr>
          <w:rFonts w:cs="Arial"/>
          <w:noProof/>
        </w:rPr>
        <w:t>, 24(June), p. 101693. doi:10.1016/j.biteb.2023.101693.</w:t>
      </w:r>
    </w:p>
    <w:p w14:paraId="0DFE8B24" w14:textId="77777777" w:rsidR="00134E43" w:rsidRPr="00134E43" w:rsidRDefault="00134E43" w:rsidP="00134E43">
      <w:pPr>
        <w:widowControl w:val="0"/>
        <w:autoSpaceDE w:val="0"/>
        <w:autoSpaceDN w:val="0"/>
        <w:adjustRightInd w:val="0"/>
        <w:spacing w:line="240" w:lineRule="auto"/>
        <w:rPr>
          <w:rFonts w:cs="Arial"/>
          <w:noProof/>
        </w:rPr>
      </w:pPr>
      <w:r w:rsidRPr="00134E43">
        <w:rPr>
          <w:rFonts w:cs="Arial"/>
          <w:noProof/>
        </w:rPr>
        <w:t xml:space="preserve">Schweiggert, R.M. </w:t>
      </w:r>
      <w:r w:rsidRPr="00134E43">
        <w:rPr>
          <w:rFonts w:cs="Arial"/>
          <w:i/>
          <w:iCs/>
          <w:noProof/>
        </w:rPr>
        <w:t>et al.</w:t>
      </w:r>
      <w:r w:rsidRPr="00134E43">
        <w:rPr>
          <w:rFonts w:cs="Arial"/>
          <w:noProof/>
        </w:rPr>
        <w:t xml:space="preserve"> (2012) ‘Influence of chromoplast morphology on carotenoid bioaccessibility of carrot, mango, papaya, and tomato’, </w:t>
      </w:r>
      <w:r w:rsidRPr="00134E43">
        <w:rPr>
          <w:rFonts w:cs="Arial"/>
          <w:i/>
          <w:iCs/>
          <w:noProof/>
        </w:rPr>
        <w:t>Food Chemistry</w:t>
      </w:r>
      <w:r w:rsidRPr="00134E43">
        <w:rPr>
          <w:rFonts w:cs="Arial"/>
          <w:noProof/>
        </w:rPr>
        <w:t>, 135(4), pp. 2736–2742. doi:10.1016/j.foodchem.2012.07.035.</w:t>
      </w:r>
    </w:p>
    <w:p w14:paraId="792C8A10" w14:textId="77777777" w:rsidR="00134E43" w:rsidRPr="00134E43" w:rsidRDefault="00134E43" w:rsidP="00134E43">
      <w:pPr>
        <w:widowControl w:val="0"/>
        <w:autoSpaceDE w:val="0"/>
        <w:autoSpaceDN w:val="0"/>
        <w:adjustRightInd w:val="0"/>
        <w:spacing w:line="240" w:lineRule="auto"/>
        <w:rPr>
          <w:rFonts w:cs="Arial"/>
          <w:noProof/>
        </w:rPr>
      </w:pPr>
      <w:r w:rsidRPr="00134E43">
        <w:rPr>
          <w:rFonts w:cs="Arial"/>
          <w:noProof/>
        </w:rPr>
        <w:t xml:space="preserve">Squillace, P., Adani, F. and Scaglia, B. (2020) ‘Supercritical CO2 extraction of tomato pomace: Evaluation of the solubility of lycopene in tomato oil as limiting factor of the process performance’, </w:t>
      </w:r>
      <w:r w:rsidRPr="00134E43">
        <w:rPr>
          <w:rFonts w:cs="Arial"/>
          <w:i/>
          <w:iCs/>
          <w:noProof/>
        </w:rPr>
        <w:t>Food Chemistry</w:t>
      </w:r>
      <w:r w:rsidRPr="00134E43">
        <w:rPr>
          <w:rFonts w:cs="Arial"/>
          <w:noProof/>
        </w:rPr>
        <w:t>, 315(January), p. 126224. doi:10.1016/j.foodchem.2020.126224.</w:t>
      </w:r>
    </w:p>
    <w:p w14:paraId="3CB98B89" w14:textId="77777777" w:rsidR="00134E43" w:rsidRPr="00134E43" w:rsidRDefault="00134E43" w:rsidP="00134E43">
      <w:pPr>
        <w:widowControl w:val="0"/>
        <w:autoSpaceDE w:val="0"/>
        <w:autoSpaceDN w:val="0"/>
        <w:adjustRightInd w:val="0"/>
        <w:spacing w:line="240" w:lineRule="auto"/>
        <w:rPr>
          <w:rFonts w:cs="Arial"/>
          <w:noProof/>
        </w:rPr>
      </w:pPr>
      <w:r w:rsidRPr="00134E43">
        <w:rPr>
          <w:rFonts w:cs="Arial"/>
          <w:noProof/>
        </w:rPr>
        <w:t xml:space="preserve">Story, E.N. </w:t>
      </w:r>
      <w:r w:rsidRPr="00134E43">
        <w:rPr>
          <w:rFonts w:cs="Arial"/>
          <w:i/>
          <w:iCs/>
          <w:noProof/>
        </w:rPr>
        <w:t>et al.</w:t>
      </w:r>
      <w:r w:rsidRPr="00134E43">
        <w:rPr>
          <w:rFonts w:cs="Arial"/>
          <w:noProof/>
        </w:rPr>
        <w:t xml:space="preserve"> (2010) ‘An update on the health effects of tomato lycopene’, </w:t>
      </w:r>
      <w:r w:rsidRPr="00134E43">
        <w:rPr>
          <w:rFonts w:cs="Arial"/>
          <w:i/>
          <w:iCs/>
          <w:noProof/>
        </w:rPr>
        <w:t>Annual Review of Food Science and Technology</w:t>
      </w:r>
      <w:r w:rsidRPr="00134E43">
        <w:rPr>
          <w:rFonts w:cs="Arial"/>
          <w:noProof/>
        </w:rPr>
        <w:t>, 1(1), pp. 189–210. doi:10.1146/annurev.food.102308.124120.</w:t>
      </w:r>
    </w:p>
    <w:p w14:paraId="352AED33" w14:textId="77777777" w:rsidR="00134E43" w:rsidRPr="00134E43" w:rsidRDefault="00134E43" w:rsidP="00134E43">
      <w:pPr>
        <w:widowControl w:val="0"/>
        <w:autoSpaceDE w:val="0"/>
        <w:autoSpaceDN w:val="0"/>
        <w:adjustRightInd w:val="0"/>
        <w:spacing w:line="240" w:lineRule="auto"/>
        <w:rPr>
          <w:rFonts w:cs="Arial"/>
          <w:noProof/>
        </w:rPr>
      </w:pPr>
      <w:r w:rsidRPr="00134E43">
        <w:rPr>
          <w:rFonts w:cs="Arial"/>
          <w:noProof/>
        </w:rPr>
        <w:t xml:space="preserve">Thiex, N.J. </w:t>
      </w:r>
      <w:r w:rsidRPr="00134E43">
        <w:rPr>
          <w:rFonts w:cs="Arial"/>
          <w:i/>
          <w:iCs/>
          <w:noProof/>
        </w:rPr>
        <w:t>et al.</w:t>
      </w:r>
      <w:r w:rsidRPr="00134E43">
        <w:rPr>
          <w:rFonts w:cs="Arial"/>
          <w:noProof/>
        </w:rPr>
        <w:t xml:space="preserve"> (2003) ‘Crude Fat, Diethyl Ether Extraction, in Feed, Cereal Grain, and Forage (Randall/Soxtec/Submersion Method): Collaborative Study’, </w:t>
      </w:r>
      <w:r w:rsidRPr="00134E43">
        <w:rPr>
          <w:rFonts w:cs="Arial"/>
          <w:i/>
          <w:iCs/>
          <w:noProof/>
        </w:rPr>
        <w:t>Journal of AOAC INTERNATIONAL</w:t>
      </w:r>
      <w:r w:rsidRPr="00134E43">
        <w:rPr>
          <w:rFonts w:cs="Arial"/>
          <w:noProof/>
        </w:rPr>
        <w:t>, 86(5), pp. 888–898. doi:10.1093/jaoac/86.5.888.</w:t>
      </w:r>
    </w:p>
    <w:p w14:paraId="4ADA7C9E" w14:textId="77777777" w:rsidR="00134E43" w:rsidRPr="00134E43" w:rsidRDefault="00134E43" w:rsidP="00134E43">
      <w:pPr>
        <w:widowControl w:val="0"/>
        <w:autoSpaceDE w:val="0"/>
        <w:autoSpaceDN w:val="0"/>
        <w:adjustRightInd w:val="0"/>
        <w:spacing w:line="240" w:lineRule="auto"/>
        <w:rPr>
          <w:rFonts w:cs="Arial"/>
          <w:noProof/>
        </w:rPr>
      </w:pPr>
      <w:r w:rsidRPr="00134E43">
        <w:rPr>
          <w:rFonts w:cs="Arial"/>
          <w:noProof/>
        </w:rPr>
        <w:t xml:space="preserve">Vasapollo, G. </w:t>
      </w:r>
      <w:r w:rsidRPr="00134E43">
        <w:rPr>
          <w:rFonts w:cs="Arial"/>
          <w:i/>
          <w:iCs/>
          <w:noProof/>
        </w:rPr>
        <w:t>et al.</w:t>
      </w:r>
      <w:r w:rsidRPr="00134E43">
        <w:rPr>
          <w:rFonts w:cs="Arial"/>
          <w:noProof/>
        </w:rPr>
        <w:t xml:space="preserve"> (2004) ‘Innovative supercritical CO2 extraction of lycopene from tomato in the presence of vegetable oil as co-solvent’, </w:t>
      </w:r>
      <w:r w:rsidRPr="00134E43">
        <w:rPr>
          <w:rFonts w:cs="Arial"/>
          <w:i/>
          <w:iCs/>
          <w:noProof/>
        </w:rPr>
        <w:t>The Journal of Supercritical Fluids</w:t>
      </w:r>
      <w:r w:rsidRPr="00134E43">
        <w:rPr>
          <w:rFonts w:cs="Arial"/>
          <w:noProof/>
        </w:rPr>
        <w:t>, 29(1–2), pp. 87–96. doi:10.1016/S0896-8446(03)00039-1.</w:t>
      </w:r>
    </w:p>
    <w:p w14:paraId="51860CAA" w14:textId="3DABE2BA" w:rsidR="003A717D" w:rsidRPr="00596329" w:rsidRDefault="004710EF" w:rsidP="004710EF">
      <w:pPr>
        <w:pStyle w:val="CETReference"/>
        <w:spacing w:before="0" w:after="0"/>
        <w:rPr>
          <w:b w:val="0"/>
          <w:bCs/>
          <w:sz w:val="4"/>
          <w:szCs w:val="4"/>
          <w:lang w:val="it-IT"/>
        </w:rPr>
      </w:pPr>
      <w:r w:rsidRPr="00EE5558">
        <w:rPr>
          <w:b w:val="0"/>
          <w:bCs/>
        </w:rPr>
        <w:fldChar w:fldCharType="end"/>
      </w:r>
    </w:p>
    <w:sectPr w:rsidR="003A717D" w:rsidRPr="00596329" w:rsidSect="00657F81">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DF5013" w14:textId="77777777" w:rsidR="003029FA" w:rsidRPr="00EE5558" w:rsidRDefault="003029FA" w:rsidP="004F5E36">
      <w:r w:rsidRPr="00EE5558">
        <w:separator/>
      </w:r>
    </w:p>
  </w:endnote>
  <w:endnote w:type="continuationSeparator" w:id="0">
    <w:p w14:paraId="65A0BC5C" w14:textId="77777777" w:rsidR="003029FA" w:rsidRPr="00EE5558" w:rsidRDefault="003029FA" w:rsidP="004F5E36">
      <w:r w:rsidRPr="00EE555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D2F03" w14:textId="77777777" w:rsidR="00071ADA" w:rsidRDefault="00071A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2B9B3" w14:textId="77777777" w:rsidR="00071ADA" w:rsidRDefault="00071A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F8669" w14:textId="77777777" w:rsidR="00071ADA" w:rsidRDefault="00071A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2BA6B2" w14:textId="77777777" w:rsidR="003029FA" w:rsidRPr="00EE5558" w:rsidRDefault="003029FA" w:rsidP="004F5E36">
      <w:r w:rsidRPr="00EE5558">
        <w:separator/>
      </w:r>
    </w:p>
  </w:footnote>
  <w:footnote w:type="continuationSeparator" w:id="0">
    <w:p w14:paraId="1753CE2D" w14:textId="77777777" w:rsidR="003029FA" w:rsidRPr="00EE5558" w:rsidRDefault="003029FA" w:rsidP="004F5E36">
      <w:r w:rsidRPr="00EE555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F37CF" w14:textId="77777777" w:rsidR="00071ADA" w:rsidRDefault="00071A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6C287" w14:textId="77777777" w:rsidR="00071ADA" w:rsidRDefault="00071A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533C4" w14:textId="77777777" w:rsidR="00071ADA" w:rsidRDefault="00071A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D75986"/>
    <w:multiLevelType w:val="hybridMultilevel"/>
    <w:tmpl w:val="7DB61E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0BBF416A"/>
    <w:multiLevelType w:val="hybridMultilevel"/>
    <w:tmpl w:val="939A07BA"/>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2" w15:restartNumberingAfterBreak="0">
    <w:nsid w:val="1EB70C05"/>
    <w:multiLevelType w:val="hybridMultilevel"/>
    <w:tmpl w:val="D7D47FEC"/>
    <w:lvl w:ilvl="0" w:tplc="0409000D">
      <w:start w:val="1"/>
      <w:numFmt w:val="bullet"/>
      <w:lvlText w:val=""/>
      <w:lvlJc w:val="left"/>
      <w:pPr>
        <w:ind w:left="720" w:hanging="360"/>
      </w:pPr>
      <w:rPr>
        <w:rFonts w:ascii="Wingdings" w:hAnsi="Wingdings" w:hint="default"/>
        <w:w w:val="10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438217E"/>
    <w:multiLevelType w:val="multilevel"/>
    <w:tmpl w:val="0784B0C2"/>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2693" w:firstLine="0"/>
      </w:pPr>
      <w:rPr>
        <w:rFonts w:hint="default"/>
      </w:rPr>
    </w:lvl>
    <w:lvl w:ilvl="2">
      <w:start w:val="1"/>
      <w:numFmt w:val="decimal"/>
      <w:pStyle w:val="CETheadingx"/>
      <w:suff w:val="space"/>
      <w:lvlText w:val="%2.%3"/>
      <w:lvlJc w:val="left"/>
      <w:pPr>
        <w:ind w:left="4961"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4" w15:restartNumberingAfterBreak="0">
    <w:nsid w:val="351E0394"/>
    <w:multiLevelType w:val="hybridMultilevel"/>
    <w:tmpl w:val="ED14CA0C"/>
    <w:lvl w:ilvl="0" w:tplc="B13489D8">
      <w:start w:val="1"/>
      <w:numFmt w:val="bullet"/>
      <w:pStyle w:val="CETnumberingbullets"/>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6"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6865266D"/>
    <w:multiLevelType w:val="hybridMultilevel"/>
    <w:tmpl w:val="7AB4E1CE"/>
    <w:lvl w:ilvl="0" w:tplc="33FE03FA">
      <w:start w:val="1"/>
      <w:numFmt w:val="lowerLetter"/>
      <w:pStyle w:val="CETnumberinga"/>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02313992">
    <w:abstractNumId w:val="13"/>
  </w:num>
  <w:num w:numId="2" w16cid:durableId="1383871305">
    <w:abstractNumId w:val="8"/>
  </w:num>
  <w:num w:numId="3" w16cid:durableId="134952873">
    <w:abstractNumId w:val="3"/>
  </w:num>
  <w:num w:numId="4" w16cid:durableId="1191603444">
    <w:abstractNumId w:val="2"/>
  </w:num>
  <w:num w:numId="5" w16cid:durableId="1814979870">
    <w:abstractNumId w:val="1"/>
  </w:num>
  <w:num w:numId="6" w16cid:durableId="2141261112">
    <w:abstractNumId w:val="0"/>
  </w:num>
  <w:num w:numId="7" w16cid:durableId="1017464036">
    <w:abstractNumId w:val="9"/>
  </w:num>
  <w:num w:numId="8" w16cid:durableId="947616725">
    <w:abstractNumId w:val="7"/>
  </w:num>
  <w:num w:numId="9" w16cid:durableId="2127461993">
    <w:abstractNumId w:val="6"/>
  </w:num>
  <w:num w:numId="10" w16cid:durableId="819538219">
    <w:abstractNumId w:val="5"/>
  </w:num>
  <w:num w:numId="11" w16cid:durableId="400949265">
    <w:abstractNumId w:val="4"/>
  </w:num>
  <w:num w:numId="12" w16cid:durableId="1508246189">
    <w:abstractNumId w:val="15"/>
  </w:num>
  <w:num w:numId="13" w16cid:durableId="348407767">
    <w:abstractNumId w:val="14"/>
  </w:num>
  <w:num w:numId="14" w16cid:durableId="920721819">
    <w:abstractNumId w:val="16"/>
  </w:num>
  <w:num w:numId="15" w16cid:durableId="1397583235">
    <w:abstractNumId w:val="17"/>
  </w:num>
  <w:num w:numId="16" w16cid:durableId="161051627">
    <w:abstractNumId w:val="10"/>
  </w:num>
  <w:num w:numId="17" w16cid:durableId="2072002983">
    <w:abstractNumId w:val="11"/>
  </w:num>
  <w:num w:numId="18" w16cid:durableId="1022635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K3sDAwMrcE0sbm5ko6SsGpxcWZ+XkgBYZGtQDXmW/DLQAAAA=="/>
  </w:docVars>
  <w:rsids>
    <w:rsidRoot w:val="000E414A"/>
    <w:rsid w:val="000027C0"/>
    <w:rsid w:val="0000672F"/>
    <w:rsid w:val="000117CB"/>
    <w:rsid w:val="00011CCA"/>
    <w:rsid w:val="000144AC"/>
    <w:rsid w:val="00021A2C"/>
    <w:rsid w:val="000245F5"/>
    <w:rsid w:val="0003148D"/>
    <w:rsid w:val="00032884"/>
    <w:rsid w:val="000344BB"/>
    <w:rsid w:val="0004173F"/>
    <w:rsid w:val="000452FF"/>
    <w:rsid w:val="00051566"/>
    <w:rsid w:val="000537B7"/>
    <w:rsid w:val="00053C7A"/>
    <w:rsid w:val="0005783A"/>
    <w:rsid w:val="00057B01"/>
    <w:rsid w:val="00062A9A"/>
    <w:rsid w:val="00071ADA"/>
    <w:rsid w:val="000933CA"/>
    <w:rsid w:val="00093504"/>
    <w:rsid w:val="000A03B2"/>
    <w:rsid w:val="000A45C0"/>
    <w:rsid w:val="000A5C24"/>
    <w:rsid w:val="000C047B"/>
    <w:rsid w:val="000C2790"/>
    <w:rsid w:val="000C43B8"/>
    <w:rsid w:val="000C50CA"/>
    <w:rsid w:val="000D2124"/>
    <w:rsid w:val="000D34BE"/>
    <w:rsid w:val="000E0FF3"/>
    <w:rsid w:val="000E36F1"/>
    <w:rsid w:val="000E3A73"/>
    <w:rsid w:val="000E414A"/>
    <w:rsid w:val="000F093C"/>
    <w:rsid w:val="000F1A51"/>
    <w:rsid w:val="000F7DB0"/>
    <w:rsid w:val="0010017B"/>
    <w:rsid w:val="00112153"/>
    <w:rsid w:val="0011291C"/>
    <w:rsid w:val="001141D2"/>
    <w:rsid w:val="00115DD5"/>
    <w:rsid w:val="0013121F"/>
    <w:rsid w:val="00132703"/>
    <w:rsid w:val="00134B5E"/>
    <w:rsid w:val="00134DE4"/>
    <w:rsid w:val="00134E43"/>
    <w:rsid w:val="001417A3"/>
    <w:rsid w:val="001451B7"/>
    <w:rsid w:val="0014652B"/>
    <w:rsid w:val="00150E59"/>
    <w:rsid w:val="00152DE3"/>
    <w:rsid w:val="0016110C"/>
    <w:rsid w:val="001621A8"/>
    <w:rsid w:val="001627B2"/>
    <w:rsid w:val="00162C7E"/>
    <w:rsid w:val="001732AD"/>
    <w:rsid w:val="0017725C"/>
    <w:rsid w:val="00184AD6"/>
    <w:rsid w:val="0019105E"/>
    <w:rsid w:val="00193C9D"/>
    <w:rsid w:val="001A1216"/>
    <w:rsid w:val="001A5F27"/>
    <w:rsid w:val="001B0157"/>
    <w:rsid w:val="001B02FF"/>
    <w:rsid w:val="001B436C"/>
    <w:rsid w:val="001B65C1"/>
    <w:rsid w:val="001B7816"/>
    <w:rsid w:val="001C0E07"/>
    <w:rsid w:val="001C684B"/>
    <w:rsid w:val="001D4609"/>
    <w:rsid w:val="001D53FC"/>
    <w:rsid w:val="001D6B56"/>
    <w:rsid w:val="001E23F9"/>
    <w:rsid w:val="001E3439"/>
    <w:rsid w:val="001F10A4"/>
    <w:rsid w:val="001F26A9"/>
    <w:rsid w:val="001F7F21"/>
    <w:rsid w:val="001F7F3B"/>
    <w:rsid w:val="002037D2"/>
    <w:rsid w:val="00204A3E"/>
    <w:rsid w:val="002079CD"/>
    <w:rsid w:val="00210020"/>
    <w:rsid w:val="00210D22"/>
    <w:rsid w:val="002214E1"/>
    <w:rsid w:val="00223403"/>
    <w:rsid w:val="00223E14"/>
    <w:rsid w:val="00225DBF"/>
    <w:rsid w:val="00232F59"/>
    <w:rsid w:val="00233290"/>
    <w:rsid w:val="0023418D"/>
    <w:rsid w:val="002353C1"/>
    <w:rsid w:val="00242D2E"/>
    <w:rsid w:val="002447EF"/>
    <w:rsid w:val="00251550"/>
    <w:rsid w:val="00252D61"/>
    <w:rsid w:val="00253C17"/>
    <w:rsid w:val="00263B05"/>
    <w:rsid w:val="0027221A"/>
    <w:rsid w:val="00275B61"/>
    <w:rsid w:val="00282656"/>
    <w:rsid w:val="00287FBA"/>
    <w:rsid w:val="0029535A"/>
    <w:rsid w:val="00296B83"/>
    <w:rsid w:val="00297679"/>
    <w:rsid w:val="002A000F"/>
    <w:rsid w:val="002A30CC"/>
    <w:rsid w:val="002B2E77"/>
    <w:rsid w:val="002B7367"/>
    <w:rsid w:val="002C0581"/>
    <w:rsid w:val="002C1364"/>
    <w:rsid w:val="002C3DDC"/>
    <w:rsid w:val="002D5440"/>
    <w:rsid w:val="002D5C79"/>
    <w:rsid w:val="002D66E3"/>
    <w:rsid w:val="002E0CF2"/>
    <w:rsid w:val="002E1DDA"/>
    <w:rsid w:val="002F1A50"/>
    <w:rsid w:val="003009B7"/>
    <w:rsid w:val="00300E56"/>
    <w:rsid w:val="00301482"/>
    <w:rsid w:val="003029FA"/>
    <w:rsid w:val="0030469C"/>
    <w:rsid w:val="00305443"/>
    <w:rsid w:val="00311FBD"/>
    <w:rsid w:val="0031522B"/>
    <w:rsid w:val="003160F1"/>
    <w:rsid w:val="00316C54"/>
    <w:rsid w:val="00321157"/>
    <w:rsid w:val="00321316"/>
    <w:rsid w:val="00324E4E"/>
    <w:rsid w:val="003313CD"/>
    <w:rsid w:val="00335089"/>
    <w:rsid w:val="003723D4"/>
    <w:rsid w:val="00384CC8"/>
    <w:rsid w:val="003871FD"/>
    <w:rsid w:val="003A4240"/>
    <w:rsid w:val="003A717D"/>
    <w:rsid w:val="003A7D1C"/>
    <w:rsid w:val="003B1805"/>
    <w:rsid w:val="003B3146"/>
    <w:rsid w:val="003C1B02"/>
    <w:rsid w:val="003C3484"/>
    <w:rsid w:val="003C711E"/>
    <w:rsid w:val="003C7FE8"/>
    <w:rsid w:val="003D32AA"/>
    <w:rsid w:val="003D5883"/>
    <w:rsid w:val="003D5A91"/>
    <w:rsid w:val="003D6C33"/>
    <w:rsid w:val="003E046C"/>
    <w:rsid w:val="003E4B07"/>
    <w:rsid w:val="003F2668"/>
    <w:rsid w:val="003F2CB9"/>
    <w:rsid w:val="003F4107"/>
    <w:rsid w:val="003F7E51"/>
    <w:rsid w:val="0041446B"/>
    <w:rsid w:val="004155B9"/>
    <w:rsid w:val="00416575"/>
    <w:rsid w:val="0042112F"/>
    <w:rsid w:val="004314C7"/>
    <w:rsid w:val="00435F6D"/>
    <w:rsid w:val="00444251"/>
    <w:rsid w:val="004501AB"/>
    <w:rsid w:val="0046045B"/>
    <w:rsid w:val="0046164A"/>
    <w:rsid w:val="00462DCD"/>
    <w:rsid w:val="004648AD"/>
    <w:rsid w:val="004710EF"/>
    <w:rsid w:val="00483338"/>
    <w:rsid w:val="004A0D10"/>
    <w:rsid w:val="004A231C"/>
    <w:rsid w:val="004A24CF"/>
    <w:rsid w:val="004C21E4"/>
    <w:rsid w:val="004D3416"/>
    <w:rsid w:val="004D3F4F"/>
    <w:rsid w:val="004D42CE"/>
    <w:rsid w:val="004D5D9F"/>
    <w:rsid w:val="004E3CE8"/>
    <w:rsid w:val="004E4DD6"/>
    <w:rsid w:val="004F2E97"/>
    <w:rsid w:val="004F386B"/>
    <w:rsid w:val="004F5E36"/>
    <w:rsid w:val="00500430"/>
    <w:rsid w:val="00502040"/>
    <w:rsid w:val="00507F97"/>
    <w:rsid w:val="00510AD8"/>
    <w:rsid w:val="005119A5"/>
    <w:rsid w:val="00511E6D"/>
    <w:rsid w:val="00524AC5"/>
    <w:rsid w:val="005278B7"/>
    <w:rsid w:val="00531868"/>
    <w:rsid w:val="00532016"/>
    <w:rsid w:val="005346C8"/>
    <w:rsid w:val="00535786"/>
    <w:rsid w:val="00542B67"/>
    <w:rsid w:val="00543E7D"/>
    <w:rsid w:val="00557668"/>
    <w:rsid w:val="00557BAC"/>
    <w:rsid w:val="00557F09"/>
    <w:rsid w:val="0056522F"/>
    <w:rsid w:val="00565A01"/>
    <w:rsid w:val="00571CC3"/>
    <w:rsid w:val="00572F5D"/>
    <w:rsid w:val="00582829"/>
    <w:rsid w:val="00583020"/>
    <w:rsid w:val="0059280E"/>
    <w:rsid w:val="00595AB9"/>
    <w:rsid w:val="00596329"/>
    <w:rsid w:val="005B135C"/>
    <w:rsid w:val="005B61E6"/>
    <w:rsid w:val="005C3F11"/>
    <w:rsid w:val="005C4C61"/>
    <w:rsid w:val="005C77E1"/>
    <w:rsid w:val="005C77F5"/>
    <w:rsid w:val="005D6A2F"/>
    <w:rsid w:val="005D6E9D"/>
    <w:rsid w:val="005E0C47"/>
    <w:rsid w:val="005E1A82"/>
    <w:rsid w:val="005E794C"/>
    <w:rsid w:val="005F0A28"/>
    <w:rsid w:val="005F0E5E"/>
    <w:rsid w:val="005F2BF3"/>
    <w:rsid w:val="005F323F"/>
    <w:rsid w:val="005F6093"/>
    <w:rsid w:val="00604880"/>
    <w:rsid w:val="00610CD6"/>
    <w:rsid w:val="00614DFE"/>
    <w:rsid w:val="00620DEE"/>
    <w:rsid w:val="006223DB"/>
    <w:rsid w:val="00625639"/>
    <w:rsid w:val="006357D0"/>
    <w:rsid w:val="00637F49"/>
    <w:rsid w:val="0064184D"/>
    <w:rsid w:val="00643CF5"/>
    <w:rsid w:val="00645B79"/>
    <w:rsid w:val="006517A0"/>
    <w:rsid w:val="006522CA"/>
    <w:rsid w:val="0065618F"/>
    <w:rsid w:val="00657F81"/>
    <w:rsid w:val="00660E3E"/>
    <w:rsid w:val="00661946"/>
    <w:rsid w:val="00662E74"/>
    <w:rsid w:val="006731F7"/>
    <w:rsid w:val="0067511F"/>
    <w:rsid w:val="00676ABF"/>
    <w:rsid w:val="00676D04"/>
    <w:rsid w:val="006777BE"/>
    <w:rsid w:val="00680C23"/>
    <w:rsid w:val="00682DAB"/>
    <w:rsid w:val="006848F7"/>
    <w:rsid w:val="006939E5"/>
    <w:rsid w:val="00697E3D"/>
    <w:rsid w:val="006A1540"/>
    <w:rsid w:val="006A3281"/>
    <w:rsid w:val="006A34F7"/>
    <w:rsid w:val="006A4356"/>
    <w:rsid w:val="006C46B3"/>
    <w:rsid w:val="006C5579"/>
    <w:rsid w:val="006D056C"/>
    <w:rsid w:val="006D0766"/>
    <w:rsid w:val="006D1F38"/>
    <w:rsid w:val="006D2203"/>
    <w:rsid w:val="006E16F4"/>
    <w:rsid w:val="006E235F"/>
    <w:rsid w:val="006E48B9"/>
    <w:rsid w:val="006F0319"/>
    <w:rsid w:val="006F291E"/>
    <w:rsid w:val="006F411B"/>
    <w:rsid w:val="006F4512"/>
    <w:rsid w:val="006F4837"/>
    <w:rsid w:val="00702086"/>
    <w:rsid w:val="00706252"/>
    <w:rsid w:val="00712268"/>
    <w:rsid w:val="00717756"/>
    <w:rsid w:val="007207E8"/>
    <w:rsid w:val="00720A24"/>
    <w:rsid w:val="00730B97"/>
    <w:rsid w:val="00737199"/>
    <w:rsid w:val="00743F75"/>
    <w:rsid w:val="00744629"/>
    <w:rsid w:val="007447F3"/>
    <w:rsid w:val="00744B87"/>
    <w:rsid w:val="007479F3"/>
    <w:rsid w:val="007521BD"/>
    <w:rsid w:val="00755C09"/>
    <w:rsid w:val="0076408A"/>
    <w:rsid w:val="007661C8"/>
    <w:rsid w:val="00770CBD"/>
    <w:rsid w:val="007754A6"/>
    <w:rsid w:val="00780F4F"/>
    <w:rsid w:val="00786722"/>
    <w:rsid w:val="00787A0C"/>
    <w:rsid w:val="00796CC5"/>
    <w:rsid w:val="007B0C50"/>
    <w:rsid w:val="007B20C8"/>
    <w:rsid w:val="007B340F"/>
    <w:rsid w:val="007B37A5"/>
    <w:rsid w:val="007B4C85"/>
    <w:rsid w:val="007C1A43"/>
    <w:rsid w:val="007C7022"/>
    <w:rsid w:val="007E019D"/>
    <w:rsid w:val="007E025B"/>
    <w:rsid w:val="007E3FB0"/>
    <w:rsid w:val="007E5CCF"/>
    <w:rsid w:val="007F1A13"/>
    <w:rsid w:val="007F5D98"/>
    <w:rsid w:val="007F6106"/>
    <w:rsid w:val="007F7096"/>
    <w:rsid w:val="00802C86"/>
    <w:rsid w:val="008068A9"/>
    <w:rsid w:val="00813288"/>
    <w:rsid w:val="00816792"/>
    <w:rsid w:val="008168FC"/>
    <w:rsid w:val="0082064C"/>
    <w:rsid w:val="00822C8B"/>
    <w:rsid w:val="00823066"/>
    <w:rsid w:val="008237A5"/>
    <w:rsid w:val="00823F4A"/>
    <w:rsid w:val="00846442"/>
    <w:rsid w:val="008479D2"/>
    <w:rsid w:val="00862CEC"/>
    <w:rsid w:val="0086328C"/>
    <w:rsid w:val="008753B0"/>
    <w:rsid w:val="0087637F"/>
    <w:rsid w:val="0088061D"/>
    <w:rsid w:val="00891302"/>
    <w:rsid w:val="008953D6"/>
    <w:rsid w:val="008A02A5"/>
    <w:rsid w:val="008A0738"/>
    <w:rsid w:val="008A1512"/>
    <w:rsid w:val="008A5BCC"/>
    <w:rsid w:val="008B2909"/>
    <w:rsid w:val="008B55D1"/>
    <w:rsid w:val="008B5E53"/>
    <w:rsid w:val="008C12A8"/>
    <w:rsid w:val="008C19C6"/>
    <w:rsid w:val="008C7430"/>
    <w:rsid w:val="008D0A21"/>
    <w:rsid w:val="008D15B4"/>
    <w:rsid w:val="008D4FA3"/>
    <w:rsid w:val="008E0846"/>
    <w:rsid w:val="008E08E4"/>
    <w:rsid w:val="008E2462"/>
    <w:rsid w:val="008E330C"/>
    <w:rsid w:val="008E566E"/>
    <w:rsid w:val="008E7802"/>
    <w:rsid w:val="008F6C4A"/>
    <w:rsid w:val="00901EB6"/>
    <w:rsid w:val="009152BD"/>
    <w:rsid w:val="00924457"/>
    <w:rsid w:val="00924DAC"/>
    <w:rsid w:val="009271CA"/>
    <w:rsid w:val="00927867"/>
    <w:rsid w:val="00932FB0"/>
    <w:rsid w:val="009450CE"/>
    <w:rsid w:val="00945194"/>
    <w:rsid w:val="0095164B"/>
    <w:rsid w:val="0095612F"/>
    <w:rsid w:val="009624FC"/>
    <w:rsid w:val="0096344A"/>
    <w:rsid w:val="00967D54"/>
    <w:rsid w:val="00977974"/>
    <w:rsid w:val="00985FC6"/>
    <w:rsid w:val="0099464C"/>
    <w:rsid w:val="00994CB2"/>
    <w:rsid w:val="00996483"/>
    <w:rsid w:val="00996F5A"/>
    <w:rsid w:val="009A6F11"/>
    <w:rsid w:val="009A7AED"/>
    <w:rsid w:val="009B041A"/>
    <w:rsid w:val="009B12AA"/>
    <w:rsid w:val="009B7833"/>
    <w:rsid w:val="009C0D29"/>
    <w:rsid w:val="009C1CB6"/>
    <w:rsid w:val="009C7C86"/>
    <w:rsid w:val="009D2FF7"/>
    <w:rsid w:val="009E1F1A"/>
    <w:rsid w:val="009E788A"/>
    <w:rsid w:val="009F4F40"/>
    <w:rsid w:val="00A00863"/>
    <w:rsid w:val="00A03034"/>
    <w:rsid w:val="00A04289"/>
    <w:rsid w:val="00A04792"/>
    <w:rsid w:val="00A05446"/>
    <w:rsid w:val="00A07BB5"/>
    <w:rsid w:val="00A11224"/>
    <w:rsid w:val="00A127DA"/>
    <w:rsid w:val="00A1763D"/>
    <w:rsid w:val="00A17CEC"/>
    <w:rsid w:val="00A20974"/>
    <w:rsid w:val="00A27EF0"/>
    <w:rsid w:val="00A31665"/>
    <w:rsid w:val="00A332A2"/>
    <w:rsid w:val="00A4054B"/>
    <w:rsid w:val="00A45FD1"/>
    <w:rsid w:val="00A47FA1"/>
    <w:rsid w:val="00A50B20"/>
    <w:rsid w:val="00A51390"/>
    <w:rsid w:val="00A51D44"/>
    <w:rsid w:val="00A56C40"/>
    <w:rsid w:val="00A60D13"/>
    <w:rsid w:val="00A65642"/>
    <w:rsid w:val="00A66D06"/>
    <w:rsid w:val="00A702CB"/>
    <w:rsid w:val="00A704D7"/>
    <w:rsid w:val="00A7246F"/>
    <w:rsid w:val="00A72745"/>
    <w:rsid w:val="00A76123"/>
    <w:rsid w:val="00A76EFC"/>
    <w:rsid w:val="00A8059C"/>
    <w:rsid w:val="00A845D1"/>
    <w:rsid w:val="00A91010"/>
    <w:rsid w:val="00A92235"/>
    <w:rsid w:val="00A97F29"/>
    <w:rsid w:val="00AA702E"/>
    <w:rsid w:val="00AA788D"/>
    <w:rsid w:val="00AB0964"/>
    <w:rsid w:val="00AB5B51"/>
    <w:rsid w:val="00AC2EC4"/>
    <w:rsid w:val="00AD16B9"/>
    <w:rsid w:val="00AD3B00"/>
    <w:rsid w:val="00AD3ED8"/>
    <w:rsid w:val="00AD4D10"/>
    <w:rsid w:val="00AD51B6"/>
    <w:rsid w:val="00AE1AB3"/>
    <w:rsid w:val="00AE377D"/>
    <w:rsid w:val="00AF29C4"/>
    <w:rsid w:val="00AF723A"/>
    <w:rsid w:val="00B028C6"/>
    <w:rsid w:val="00B0330D"/>
    <w:rsid w:val="00B10B67"/>
    <w:rsid w:val="00B112DD"/>
    <w:rsid w:val="00B11492"/>
    <w:rsid w:val="00B17FBD"/>
    <w:rsid w:val="00B20DDB"/>
    <w:rsid w:val="00B315A6"/>
    <w:rsid w:val="00B31813"/>
    <w:rsid w:val="00B31C88"/>
    <w:rsid w:val="00B36207"/>
    <w:rsid w:val="00B4346E"/>
    <w:rsid w:val="00B45049"/>
    <w:rsid w:val="00B47C85"/>
    <w:rsid w:val="00B541BC"/>
    <w:rsid w:val="00B54231"/>
    <w:rsid w:val="00B71B46"/>
    <w:rsid w:val="00B71FBA"/>
    <w:rsid w:val="00B75650"/>
    <w:rsid w:val="00B77C5E"/>
    <w:rsid w:val="00B83832"/>
    <w:rsid w:val="00B92936"/>
    <w:rsid w:val="00B92C6C"/>
    <w:rsid w:val="00B933D4"/>
    <w:rsid w:val="00BA0B4F"/>
    <w:rsid w:val="00BB38AC"/>
    <w:rsid w:val="00BC30C9"/>
    <w:rsid w:val="00BC4656"/>
    <w:rsid w:val="00BE31D9"/>
    <w:rsid w:val="00BE3E58"/>
    <w:rsid w:val="00BE6E1A"/>
    <w:rsid w:val="00BF63C9"/>
    <w:rsid w:val="00BF7666"/>
    <w:rsid w:val="00C01616"/>
    <w:rsid w:val="00C0162B"/>
    <w:rsid w:val="00C2430D"/>
    <w:rsid w:val="00C345B1"/>
    <w:rsid w:val="00C34823"/>
    <w:rsid w:val="00C40142"/>
    <w:rsid w:val="00C4283C"/>
    <w:rsid w:val="00C57182"/>
    <w:rsid w:val="00C626F5"/>
    <w:rsid w:val="00C639F1"/>
    <w:rsid w:val="00C655FD"/>
    <w:rsid w:val="00C65B65"/>
    <w:rsid w:val="00C6639C"/>
    <w:rsid w:val="00C7395B"/>
    <w:rsid w:val="00C73BDC"/>
    <w:rsid w:val="00C74639"/>
    <w:rsid w:val="00C76517"/>
    <w:rsid w:val="00C76DD4"/>
    <w:rsid w:val="00C80244"/>
    <w:rsid w:val="00C8339B"/>
    <w:rsid w:val="00C904EB"/>
    <w:rsid w:val="00C9165B"/>
    <w:rsid w:val="00C94434"/>
    <w:rsid w:val="00C95939"/>
    <w:rsid w:val="00C9618D"/>
    <w:rsid w:val="00C97666"/>
    <w:rsid w:val="00CA1C95"/>
    <w:rsid w:val="00CA2F20"/>
    <w:rsid w:val="00CA481A"/>
    <w:rsid w:val="00CA5A9C"/>
    <w:rsid w:val="00CB28F7"/>
    <w:rsid w:val="00CD13F3"/>
    <w:rsid w:val="00CD43A1"/>
    <w:rsid w:val="00CD5FE2"/>
    <w:rsid w:val="00CD64E6"/>
    <w:rsid w:val="00CD6CC0"/>
    <w:rsid w:val="00CF1C41"/>
    <w:rsid w:val="00D012D2"/>
    <w:rsid w:val="00D01DEE"/>
    <w:rsid w:val="00D02B4C"/>
    <w:rsid w:val="00D04343"/>
    <w:rsid w:val="00D057CB"/>
    <w:rsid w:val="00D06DC1"/>
    <w:rsid w:val="00D07419"/>
    <w:rsid w:val="00D07B53"/>
    <w:rsid w:val="00D14960"/>
    <w:rsid w:val="00D1680F"/>
    <w:rsid w:val="00D207FB"/>
    <w:rsid w:val="00D22DB9"/>
    <w:rsid w:val="00D24F3D"/>
    <w:rsid w:val="00D26172"/>
    <w:rsid w:val="00D35D02"/>
    <w:rsid w:val="00D37C8A"/>
    <w:rsid w:val="00D5389B"/>
    <w:rsid w:val="00D56740"/>
    <w:rsid w:val="00D60F32"/>
    <w:rsid w:val="00D64B80"/>
    <w:rsid w:val="00D64D2C"/>
    <w:rsid w:val="00D72F9A"/>
    <w:rsid w:val="00D80D7B"/>
    <w:rsid w:val="00D84576"/>
    <w:rsid w:val="00D8644C"/>
    <w:rsid w:val="00D87AD2"/>
    <w:rsid w:val="00D90CF1"/>
    <w:rsid w:val="00D9638E"/>
    <w:rsid w:val="00D975C3"/>
    <w:rsid w:val="00DA23BB"/>
    <w:rsid w:val="00DB412B"/>
    <w:rsid w:val="00DB7072"/>
    <w:rsid w:val="00DB7330"/>
    <w:rsid w:val="00DC044F"/>
    <w:rsid w:val="00DC39D9"/>
    <w:rsid w:val="00DD2ACC"/>
    <w:rsid w:val="00DD595C"/>
    <w:rsid w:val="00DE1753"/>
    <w:rsid w:val="00DE264A"/>
    <w:rsid w:val="00DF1E87"/>
    <w:rsid w:val="00DF5326"/>
    <w:rsid w:val="00DF7C37"/>
    <w:rsid w:val="00E03EC5"/>
    <w:rsid w:val="00E041E7"/>
    <w:rsid w:val="00E045A3"/>
    <w:rsid w:val="00E0683E"/>
    <w:rsid w:val="00E13146"/>
    <w:rsid w:val="00E13532"/>
    <w:rsid w:val="00E1396D"/>
    <w:rsid w:val="00E15748"/>
    <w:rsid w:val="00E22073"/>
    <w:rsid w:val="00E221CF"/>
    <w:rsid w:val="00E23CA1"/>
    <w:rsid w:val="00E23DC8"/>
    <w:rsid w:val="00E2521B"/>
    <w:rsid w:val="00E32BB6"/>
    <w:rsid w:val="00E344C7"/>
    <w:rsid w:val="00E359EA"/>
    <w:rsid w:val="00E409A8"/>
    <w:rsid w:val="00E51E28"/>
    <w:rsid w:val="00E53019"/>
    <w:rsid w:val="00E53E35"/>
    <w:rsid w:val="00E55002"/>
    <w:rsid w:val="00E7209D"/>
    <w:rsid w:val="00E77223"/>
    <w:rsid w:val="00E81332"/>
    <w:rsid w:val="00E8446F"/>
    <w:rsid w:val="00E85B94"/>
    <w:rsid w:val="00E85D58"/>
    <w:rsid w:val="00E90D93"/>
    <w:rsid w:val="00E93997"/>
    <w:rsid w:val="00E93B4E"/>
    <w:rsid w:val="00E9518E"/>
    <w:rsid w:val="00E978D0"/>
    <w:rsid w:val="00EB5097"/>
    <w:rsid w:val="00EB5AB6"/>
    <w:rsid w:val="00EB5C18"/>
    <w:rsid w:val="00EB6F33"/>
    <w:rsid w:val="00EB760E"/>
    <w:rsid w:val="00EC0E49"/>
    <w:rsid w:val="00EC7595"/>
    <w:rsid w:val="00ED1C7A"/>
    <w:rsid w:val="00ED28E9"/>
    <w:rsid w:val="00ED3676"/>
    <w:rsid w:val="00EE0131"/>
    <w:rsid w:val="00EE373B"/>
    <w:rsid w:val="00EE42A5"/>
    <w:rsid w:val="00EE4A17"/>
    <w:rsid w:val="00EE5558"/>
    <w:rsid w:val="00EF0496"/>
    <w:rsid w:val="00EF5A65"/>
    <w:rsid w:val="00EF6017"/>
    <w:rsid w:val="00EF74C7"/>
    <w:rsid w:val="00F06D99"/>
    <w:rsid w:val="00F21C1F"/>
    <w:rsid w:val="00F30C64"/>
    <w:rsid w:val="00F32275"/>
    <w:rsid w:val="00F32CDB"/>
    <w:rsid w:val="00F32F70"/>
    <w:rsid w:val="00F35D2A"/>
    <w:rsid w:val="00F409BA"/>
    <w:rsid w:val="00F40C00"/>
    <w:rsid w:val="00F42F37"/>
    <w:rsid w:val="00F45E49"/>
    <w:rsid w:val="00F468D3"/>
    <w:rsid w:val="00F514B1"/>
    <w:rsid w:val="00F573BA"/>
    <w:rsid w:val="00F62D52"/>
    <w:rsid w:val="00F65E10"/>
    <w:rsid w:val="00F70AD2"/>
    <w:rsid w:val="00F75243"/>
    <w:rsid w:val="00F81826"/>
    <w:rsid w:val="00F876A3"/>
    <w:rsid w:val="00FA0C0C"/>
    <w:rsid w:val="00FA7B72"/>
    <w:rsid w:val="00FB730C"/>
    <w:rsid w:val="00FC2695"/>
    <w:rsid w:val="00FC37E8"/>
    <w:rsid w:val="00FC3E03"/>
    <w:rsid w:val="00FC5489"/>
    <w:rsid w:val="00FC555A"/>
    <w:rsid w:val="00FC6A36"/>
    <w:rsid w:val="00FD2200"/>
    <w:rsid w:val="00FD72E9"/>
    <w:rsid w:val="00FD7F8E"/>
    <w:rsid w:val="00FE2861"/>
    <w:rsid w:val="00FE74AE"/>
    <w:rsid w:val="00FE758B"/>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B4EE4"/>
  <w15:docId w15:val="{0EFB3D96-F30E-4959-BE4A-A6A656D80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locked="1" w:semiHidden="1" w:unhideWhenUsed="1"/>
    <w:lsdException w:name="Strong" w:locked="1" w:uiPriority="22"/>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locked="1" w:semiHidden="1" w:unhideWhenUsed="1"/>
    <w:lsdException w:name="HTML Address"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semiHidden="1" w:unhideWhenUsed="1"/>
    <w:lsdException w:name="Outline List 3" w:semiHidden="1" w:unhideWhenUsed="1"/>
    <w:lsdException w:name="Table Simple 1" w:semiHidden="1" w:uiPriority="0" w:unhideWhenUsed="1"/>
    <w:lsdException w:name="Table Simple 2" w:locked="1" w:semiHidden="1" w:unhideWhenUsed="1"/>
    <w:lsdException w:name="Table Simple 3" w:locked="1" w:semiHidden="1" w:unhideWhenUsed="1"/>
    <w:lsdException w:name="Table Classic 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59"/>
    <w:lsdException w:name="Table Theme" w:locked="1" w:semiHidden="1" w:unhideWhenUsed="1"/>
    <w:lsdException w:name="Placeholder Text" w:locked="1" w:semiHidden="1"/>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locked="1" w:uiPriority="34" w:qFormat="1"/>
    <w:lsdException w:name="Quote" w:uiPriority="29"/>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lsdException w:name="Intense Emphasis" w:locked="1" w:uiPriority="21"/>
    <w:lsdException w:name="Subtle Reference" w:locked="1" w:uiPriority="31" w:qFormat="1"/>
    <w:lsdException w:name="Intense Reference" w:locked="1" w:uiPriority="32" w:qFormat="1"/>
    <w:lsdException w:name="Book Title" w:locked="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locked/>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locked/>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locked/>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locked/>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locked/>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locked/>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locked/>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locked/>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rsid w:val="009E788A"/>
    <w:pPr>
      <w:keepNext/>
      <w:numPr>
        <w:ilvl w:val="1"/>
        <w:numId w:val="1"/>
      </w:numPr>
      <w:tabs>
        <w:tab w:val="num" w:pos="360"/>
      </w:tabs>
      <w:suppressAutoHyphens/>
      <w:spacing w:before="240" w:after="120" w:line="240" w:lineRule="auto"/>
      <w:ind w:left="0"/>
    </w:pPr>
    <w:rPr>
      <w:rFonts w:ascii="Arial" w:eastAsia="Times New Roman" w:hAnsi="Arial" w:cs="Times New Roman"/>
      <w:b/>
      <w:sz w:val="20"/>
      <w:szCs w:val="20"/>
      <w:lang w:val="en-US"/>
    </w:rPr>
  </w:style>
  <w:style w:type="paragraph" w:customStyle="1" w:styleId="CETBodytext">
    <w:name w:val="CET Body text"/>
    <w:link w:val="CETBodytextCarattere"/>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rsid w:val="006F0319"/>
    <w:pPr>
      <w:keepNext/>
      <w:numPr>
        <w:ilvl w:val="2"/>
        <w:numId w:val="1"/>
      </w:numPr>
      <w:suppressAutoHyphens/>
      <w:spacing w:before="120" w:after="120" w:line="240" w:lineRule="auto"/>
      <w:ind w:left="0"/>
    </w:pPr>
    <w:rPr>
      <w:rFonts w:ascii="Arial" w:eastAsia="Times New Roman" w:hAnsi="Arial" w:cs="Times New Roman"/>
      <w:b/>
      <w:sz w:val="18"/>
      <w:szCs w:val="20"/>
      <w:lang w:val="en-US"/>
    </w:rPr>
  </w:style>
  <w:style w:type="paragraph" w:customStyle="1" w:styleId="CETAddress">
    <w:name w:val="CET Address"/>
    <w:link w:val="CETAddressCarattere"/>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locked/>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rsid w:val="00FC2695"/>
    <w:pPr>
      <w:spacing w:before="200" w:after="120" w:line="240" w:lineRule="auto"/>
    </w:pPr>
    <w:rPr>
      <w:rFonts w:ascii="Arial" w:eastAsia="Times New Roman" w:hAnsi="Arial" w:cs="Times New Roman"/>
      <w:b/>
      <w:sz w:val="18"/>
      <w:szCs w:val="20"/>
      <w:lang w:val="en-GB"/>
    </w:rPr>
  </w:style>
  <w:style w:type="paragraph" w:customStyle="1" w:styleId="CETReference-text">
    <w:name w:val="CET Reference-text"/>
    <w:rsid w:val="009E788A"/>
    <w:pPr>
      <w:spacing w:after="0" w:line="264" w:lineRule="auto"/>
      <w:ind w:left="284" w:hanging="284"/>
      <w:jc w:val="both"/>
    </w:pPr>
    <w:rPr>
      <w:rFonts w:ascii="Arial" w:eastAsia="Times New Roman" w:hAnsi="Arial" w:cs="Times New Roman"/>
      <w:sz w:val="18"/>
      <w:szCs w:val="20"/>
      <w:lang w:val="en-GB"/>
    </w:rPr>
  </w:style>
  <w:style w:type="paragraph" w:customStyle="1" w:styleId="CETCaption">
    <w:name w:val="CET Caption"/>
    <w:link w:val="CETCaptionCarattere"/>
    <w:rsid w:val="009E788A"/>
    <w:pPr>
      <w:spacing w:before="240" w:after="240" w:line="264" w:lineRule="auto"/>
      <w:jc w:val="both"/>
    </w:pPr>
    <w:rPr>
      <w:rFonts w:ascii="Arial" w:eastAsia="Times New Roman" w:hAnsi="Arial" w:cs="Times New Roman"/>
      <w:i/>
      <w:sz w:val="18"/>
      <w:szCs w:val="20"/>
      <w:lang w:val="en-GB"/>
    </w:rPr>
  </w:style>
  <w:style w:type="paragraph" w:customStyle="1" w:styleId="CET-table-title">
    <w:name w:val="CET-table-title"/>
    <w:rsid w:val="000E414A"/>
    <w:pPr>
      <w:keepNext/>
      <w:spacing w:before="240" w:after="80" w:line="240" w:lineRule="exact"/>
    </w:pPr>
    <w:rPr>
      <w:rFonts w:ascii="Arial" w:eastAsia="Times New Roman" w:hAnsi="Arial" w:cs="Times New Roman"/>
      <w:i/>
      <w:sz w:val="18"/>
      <w:szCs w:val="20"/>
      <w:lang w:val="en-US"/>
    </w:rPr>
  </w:style>
  <w:style w:type="character" w:customStyle="1" w:styleId="CETheadingxCarattere">
    <w:name w:val="CET headingx Carattere"/>
    <w:link w:val="CETheadingx"/>
    <w:rsid w:val="006F0319"/>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paragraph" w:customStyle="1" w:styleId="CETAcknowledgements">
    <w:name w:val="CET_Acknowledgements"/>
    <w:next w:val="CETBodytext"/>
    <w:qFormat/>
    <w:rsid w:val="00FC2695"/>
    <w:pPr>
      <w:spacing w:before="200" w:after="120"/>
    </w:pPr>
    <w:rPr>
      <w:rFonts w:ascii="Arial" w:eastAsia="Times New Roman" w:hAnsi="Arial" w:cs="Times New Roman"/>
      <w:b/>
      <w:sz w:val="18"/>
      <w:szCs w:val="20"/>
      <w:lang w:val="en-GB"/>
    </w:rPr>
  </w:style>
  <w:style w:type="paragraph" w:styleId="BalloonText">
    <w:name w:val="Balloon Text"/>
    <w:basedOn w:val="Normal"/>
    <w:link w:val="BalloonTextChar"/>
    <w:uiPriority w:val="99"/>
    <w:semiHidden/>
    <w:unhideWhenUsed/>
    <w:lock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Normal"/>
    <w:next w:val="Normal"/>
    <w:uiPriority w:val="37"/>
    <w:semiHidden/>
    <w:unhideWhenUsed/>
    <w:rsid w:val="0003148D"/>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lock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locked/>
    <w:rsid w:val="0003148D"/>
    <w:pPr>
      <w:spacing w:line="240" w:lineRule="auto"/>
    </w:pPr>
    <w:rPr>
      <w:b/>
      <w:bCs/>
      <w:color w:val="4F81BD" w:themeColor="accent1"/>
      <w:szCs w:val="18"/>
    </w:rPr>
  </w:style>
  <w:style w:type="paragraph" w:styleId="List">
    <w:name w:val="List"/>
    <w:basedOn w:val="Normal"/>
    <w:uiPriority w:val="99"/>
    <w:semiHidden/>
    <w:unhideWhenUsed/>
    <w:locked/>
    <w:rsid w:val="0003148D"/>
    <w:pPr>
      <w:ind w:left="283" w:hanging="283"/>
      <w:contextualSpacing/>
    </w:pPr>
  </w:style>
  <w:style w:type="paragraph" w:styleId="List2">
    <w:name w:val="List 2"/>
    <w:basedOn w:val="Normal"/>
    <w:uiPriority w:val="99"/>
    <w:semiHidden/>
    <w:unhideWhenUsed/>
    <w:locked/>
    <w:rsid w:val="0003148D"/>
    <w:pPr>
      <w:ind w:left="566" w:hanging="283"/>
      <w:contextualSpacing/>
    </w:pPr>
  </w:style>
  <w:style w:type="paragraph" w:styleId="List3">
    <w:name w:val="List 3"/>
    <w:basedOn w:val="Normal"/>
    <w:uiPriority w:val="99"/>
    <w:semiHidden/>
    <w:unhideWhenUsed/>
    <w:locked/>
    <w:rsid w:val="0003148D"/>
    <w:pPr>
      <w:ind w:left="849" w:hanging="283"/>
      <w:contextualSpacing/>
    </w:pPr>
  </w:style>
  <w:style w:type="paragraph" w:styleId="List4">
    <w:name w:val="List 4"/>
    <w:basedOn w:val="Normal"/>
    <w:uiPriority w:val="99"/>
    <w:semiHidden/>
    <w:unhideWhenUsed/>
    <w:locked/>
    <w:rsid w:val="0003148D"/>
    <w:pPr>
      <w:ind w:left="1132" w:hanging="283"/>
      <w:contextualSpacing/>
    </w:pPr>
  </w:style>
  <w:style w:type="paragraph" w:styleId="List5">
    <w:name w:val="List 5"/>
    <w:basedOn w:val="Normal"/>
    <w:uiPriority w:val="99"/>
    <w:semiHidden/>
    <w:unhideWhenUsed/>
    <w:locked/>
    <w:rsid w:val="0003148D"/>
    <w:pPr>
      <w:ind w:left="1415" w:hanging="283"/>
      <w:contextualSpacing/>
    </w:pPr>
  </w:style>
  <w:style w:type="paragraph" w:styleId="ListContinue">
    <w:name w:val="List Continue"/>
    <w:basedOn w:val="Normal"/>
    <w:uiPriority w:val="99"/>
    <w:semiHidden/>
    <w:unhideWhenUsed/>
    <w:locked/>
    <w:rsid w:val="0003148D"/>
    <w:pPr>
      <w:spacing w:after="120"/>
      <w:ind w:left="283"/>
      <w:contextualSpacing/>
    </w:pPr>
  </w:style>
  <w:style w:type="paragraph" w:styleId="ListContinue2">
    <w:name w:val="List Continue 2"/>
    <w:basedOn w:val="Normal"/>
    <w:uiPriority w:val="99"/>
    <w:semiHidden/>
    <w:unhideWhenUsed/>
    <w:locked/>
    <w:rsid w:val="0003148D"/>
    <w:pPr>
      <w:spacing w:after="120"/>
      <w:ind w:left="566"/>
      <w:contextualSpacing/>
    </w:pPr>
  </w:style>
  <w:style w:type="paragraph" w:styleId="ListContinue3">
    <w:name w:val="List Continue 3"/>
    <w:basedOn w:val="Normal"/>
    <w:uiPriority w:val="99"/>
    <w:semiHidden/>
    <w:unhideWhenUsed/>
    <w:locked/>
    <w:rsid w:val="0003148D"/>
    <w:pPr>
      <w:spacing w:after="120"/>
      <w:ind w:left="849"/>
      <w:contextualSpacing/>
    </w:pPr>
  </w:style>
  <w:style w:type="paragraph" w:styleId="ListContinue4">
    <w:name w:val="List Continue 4"/>
    <w:basedOn w:val="Normal"/>
    <w:uiPriority w:val="99"/>
    <w:semiHidden/>
    <w:unhideWhenUsed/>
    <w:locked/>
    <w:rsid w:val="0003148D"/>
    <w:pPr>
      <w:spacing w:after="120"/>
      <w:ind w:left="1132"/>
      <w:contextualSpacing/>
    </w:pPr>
  </w:style>
  <w:style w:type="paragraph" w:styleId="ListContinue5">
    <w:name w:val="List Continue 5"/>
    <w:basedOn w:val="Normal"/>
    <w:uiPriority w:val="99"/>
    <w:semiHidden/>
    <w:unhideWhenUsed/>
    <w:locked/>
    <w:rsid w:val="0003148D"/>
    <w:pPr>
      <w:spacing w:after="120"/>
      <w:ind w:left="1415"/>
      <w:contextualSpacing/>
    </w:pPr>
  </w:style>
  <w:style w:type="paragraph" w:styleId="Signature">
    <w:name w:val="Signature"/>
    <w:basedOn w:val="Normal"/>
    <w:link w:val="SignatureChar"/>
    <w:uiPriority w:val="99"/>
    <w:semiHidden/>
    <w:unhideWhenUsed/>
    <w:lock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lock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lock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lock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locked/>
    <w:rsid w:val="0003148D"/>
    <w:pPr>
      <w:spacing w:line="240" w:lineRule="auto"/>
      <w:ind w:left="220" w:hanging="220"/>
    </w:pPr>
  </w:style>
  <w:style w:type="paragraph" w:styleId="Index2">
    <w:name w:val="index 2"/>
    <w:basedOn w:val="Normal"/>
    <w:next w:val="Normal"/>
    <w:autoRedefine/>
    <w:uiPriority w:val="99"/>
    <w:semiHidden/>
    <w:unhideWhenUsed/>
    <w:locked/>
    <w:rsid w:val="0003148D"/>
    <w:pPr>
      <w:spacing w:line="240" w:lineRule="auto"/>
      <w:ind w:left="440" w:hanging="220"/>
    </w:pPr>
  </w:style>
  <w:style w:type="paragraph" w:styleId="Index3">
    <w:name w:val="index 3"/>
    <w:basedOn w:val="Normal"/>
    <w:next w:val="Normal"/>
    <w:autoRedefine/>
    <w:uiPriority w:val="99"/>
    <w:semiHidden/>
    <w:unhideWhenUsed/>
    <w:locked/>
    <w:rsid w:val="0003148D"/>
    <w:pPr>
      <w:spacing w:line="240" w:lineRule="auto"/>
      <w:ind w:left="660" w:hanging="220"/>
    </w:pPr>
  </w:style>
  <w:style w:type="paragraph" w:styleId="Index4">
    <w:name w:val="index 4"/>
    <w:basedOn w:val="Normal"/>
    <w:next w:val="Normal"/>
    <w:autoRedefine/>
    <w:uiPriority w:val="99"/>
    <w:semiHidden/>
    <w:unhideWhenUsed/>
    <w:locked/>
    <w:rsid w:val="0003148D"/>
    <w:pPr>
      <w:spacing w:line="240" w:lineRule="auto"/>
      <w:ind w:left="880" w:hanging="220"/>
    </w:pPr>
  </w:style>
  <w:style w:type="paragraph" w:styleId="Index5">
    <w:name w:val="index 5"/>
    <w:basedOn w:val="Normal"/>
    <w:next w:val="Normal"/>
    <w:autoRedefine/>
    <w:uiPriority w:val="99"/>
    <w:semiHidden/>
    <w:unhideWhenUsed/>
    <w:locked/>
    <w:rsid w:val="0003148D"/>
    <w:pPr>
      <w:spacing w:line="240" w:lineRule="auto"/>
      <w:ind w:left="1100" w:hanging="220"/>
    </w:pPr>
  </w:style>
  <w:style w:type="paragraph" w:styleId="Index6">
    <w:name w:val="index 6"/>
    <w:basedOn w:val="Normal"/>
    <w:next w:val="Normal"/>
    <w:autoRedefine/>
    <w:uiPriority w:val="99"/>
    <w:semiHidden/>
    <w:unhideWhenUsed/>
    <w:locked/>
    <w:rsid w:val="0003148D"/>
    <w:pPr>
      <w:spacing w:line="240" w:lineRule="auto"/>
      <w:ind w:left="1320" w:hanging="220"/>
    </w:pPr>
  </w:style>
  <w:style w:type="paragraph" w:styleId="Index7">
    <w:name w:val="index 7"/>
    <w:basedOn w:val="Normal"/>
    <w:next w:val="Normal"/>
    <w:autoRedefine/>
    <w:uiPriority w:val="99"/>
    <w:semiHidden/>
    <w:unhideWhenUsed/>
    <w:locked/>
    <w:rsid w:val="0003148D"/>
    <w:pPr>
      <w:spacing w:line="240" w:lineRule="auto"/>
      <w:ind w:left="1540" w:hanging="220"/>
    </w:pPr>
  </w:style>
  <w:style w:type="paragraph" w:styleId="Index8">
    <w:name w:val="index 8"/>
    <w:basedOn w:val="Normal"/>
    <w:next w:val="Normal"/>
    <w:autoRedefine/>
    <w:uiPriority w:val="99"/>
    <w:semiHidden/>
    <w:unhideWhenUsed/>
    <w:locked/>
    <w:rsid w:val="0003148D"/>
    <w:pPr>
      <w:spacing w:line="240" w:lineRule="auto"/>
      <w:ind w:left="1760" w:hanging="220"/>
    </w:pPr>
  </w:style>
  <w:style w:type="paragraph" w:styleId="Index9">
    <w:name w:val="index 9"/>
    <w:basedOn w:val="Normal"/>
    <w:next w:val="Normal"/>
    <w:autoRedefine/>
    <w:uiPriority w:val="99"/>
    <w:semiHidden/>
    <w:unhideWhenUsed/>
    <w:locked/>
    <w:rsid w:val="0003148D"/>
    <w:pPr>
      <w:spacing w:line="240" w:lineRule="auto"/>
      <w:ind w:left="1980" w:hanging="220"/>
    </w:pPr>
  </w:style>
  <w:style w:type="paragraph" w:styleId="TableofFigures">
    <w:name w:val="table of figures"/>
    <w:basedOn w:val="Normal"/>
    <w:next w:val="Normal"/>
    <w:uiPriority w:val="99"/>
    <w:semiHidden/>
    <w:unhideWhenUsed/>
    <w:locked/>
    <w:rsid w:val="0003148D"/>
  </w:style>
  <w:style w:type="paragraph" w:styleId="TableofAuthorities">
    <w:name w:val="table of authorities"/>
    <w:basedOn w:val="Normal"/>
    <w:next w:val="Normal"/>
    <w:uiPriority w:val="99"/>
    <w:semiHidden/>
    <w:unhideWhenUsed/>
    <w:locked/>
    <w:rsid w:val="0003148D"/>
    <w:pPr>
      <w:ind w:left="220" w:hanging="220"/>
    </w:pPr>
  </w:style>
  <w:style w:type="paragraph" w:styleId="EnvelopeAddress">
    <w:name w:val="envelope address"/>
    <w:basedOn w:val="Normal"/>
    <w:uiPriority w:val="99"/>
    <w:semiHidden/>
    <w:unhideWhenUsed/>
    <w:lock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lock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lock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lock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lock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lock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locked/>
    <w:rsid w:val="0003148D"/>
    <w:rPr>
      <w:sz w:val="24"/>
      <w:szCs w:val="24"/>
    </w:rPr>
  </w:style>
  <w:style w:type="paragraph" w:styleId="ListNumber">
    <w:name w:val="List Number"/>
    <w:basedOn w:val="Normal"/>
    <w:uiPriority w:val="99"/>
    <w:semiHidden/>
    <w:unhideWhenUsed/>
    <w:locked/>
    <w:rsid w:val="0003148D"/>
    <w:pPr>
      <w:numPr>
        <w:numId w:val="2"/>
      </w:numPr>
      <w:contextualSpacing/>
    </w:pPr>
  </w:style>
  <w:style w:type="paragraph" w:styleId="ListNumber2">
    <w:name w:val="List Number 2"/>
    <w:basedOn w:val="Normal"/>
    <w:uiPriority w:val="99"/>
    <w:semiHidden/>
    <w:unhideWhenUsed/>
    <w:locked/>
    <w:rsid w:val="0003148D"/>
    <w:pPr>
      <w:numPr>
        <w:numId w:val="3"/>
      </w:numPr>
      <w:contextualSpacing/>
    </w:pPr>
  </w:style>
  <w:style w:type="paragraph" w:styleId="ListNumber3">
    <w:name w:val="List Number 3"/>
    <w:basedOn w:val="Normal"/>
    <w:uiPriority w:val="99"/>
    <w:semiHidden/>
    <w:unhideWhenUsed/>
    <w:locked/>
    <w:rsid w:val="0003148D"/>
    <w:pPr>
      <w:numPr>
        <w:numId w:val="4"/>
      </w:numPr>
      <w:contextualSpacing/>
    </w:pPr>
  </w:style>
  <w:style w:type="paragraph" w:styleId="ListNumber4">
    <w:name w:val="List Number 4"/>
    <w:basedOn w:val="Normal"/>
    <w:uiPriority w:val="99"/>
    <w:semiHidden/>
    <w:unhideWhenUsed/>
    <w:locked/>
    <w:rsid w:val="0003148D"/>
    <w:pPr>
      <w:numPr>
        <w:numId w:val="5"/>
      </w:numPr>
      <w:contextualSpacing/>
    </w:pPr>
  </w:style>
  <w:style w:type="paragraph" w:styleId="ListNumber5">
    <w:name w:val="List Number 5"/>
    <w:basedOn w:val="Normal"/>
    <w:uiPriority w:val="99"/>
    <w:semiHidden/>
    <w:unhideWhenUsed/>
    <w:locked/>
    <w:rsid w:val="0003148D"/>
    <w:pPr>
      <w:numPr>
        <w:numId w:val="6"/>
      </w:numPr>
      <w:contextualSpacing/>
    </w:pPr>
  </w:style>
  <w:style w:type="paragraph" w:styleId="HTMLPreformatted">
    <w:name w:val="HTML Preformatted"/>
    <w:basedOn w:val="Normal"/>
    <w:link w:val="HTMLPreformattedChar"/>
    <w:uiPriority w:val="99"/>
    <w:semiHidden/>
    <w:unhideWhenUsed/>
    <w:lock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lock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lock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lock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locked/>
    <w:rsid w:val="0003148D"/>
    <w:pPr>
      <w:numPr>
        <w:numId w:val="7"/>
      </w:numPr>
      <w:contextualSpacing/>
    </w:pPr>
  </w:style>
  <w:style w:type="paragraph" w:styleId="ListBullet2">
    <w:name w:val="List Bullet 2"/>
    <w:basedOn w:val="Normal"/>
    <w:uiPriority w:val="99"/>
    <w:semiHidden/>
    <w:unhideWhenUsed/>
    <w:locked/>
    <w:rsid w:val="0003148D"/>
    <w:pPr>
      <w:numPr>
        <w:numId w:val="8"/>
      </w:numPr>
      <w:contextualSpacing/>
    </w:pPr>
  </w:style>
  <w:style w:type="paragraph" w:styleId="ListBullet3">
    <w:name w:val="List Bullet 3"/>
    <w:basedOn w:val="Normal"/>
    <w:uiPriority w:val="99"/>
    <w:semiHidden/>
    <w:unhideWhenUsed/>
    <w:locked/>
    <w:rsid w:val="0003148D"/>
    <w:pPr>
      <w:numPr>
        <w:numId w:val="9"/>
      </w:numPr>
      <w:contextualSpacing/>
    </w:pPr>
  </w:style>
  <w:style w:type="paragraph" w:styleId="ListBullet4">
    <w:name w:val="List Bullet 4"/>
    <w:basedOn w:val="Normal"/>
    <w:uiPriority w:val="99"/>
    <w:semiHidden/>
    <w:unhideWhenUsed/>
    <w:locked/>
    <w:rsid w:val="0003148D"/>
    <w:pPr>
      <w:numPr>
        <w:numId w:val="10"/>
      </w:numPr>
      <w:contextualSpacing/>
    </w:pPr>
  </w:style>
  <w:style w:type="paragraph" w:styleId="ListBullet5">
    <w:name w:val="List Bullet 5"/>
    <w:basedOn w:val="Normal"/>
    <w:uiPriority w:val="99"/>
    <w:semiHidden/>
    <w:unhideWhenUsed/>
    <w:locked/>
    <w:rsid w:val="0003148D"/>
    <w:pPr>
      <w:numPr>
        <w:numId w:val="11"/>
      </w:numPr>
      <w:contextualSpacing/>
    </w:pPr>
  </w:style>
  <w:style w:type="paragraph" w:styleId="BodyTextIndent2">
    <w:name w:val="Body Text Indent 2"/>
    <w:basedOn w:val="Normal"/>
    <w:link w:val="BodyTextIndent2Char"/>
    <w:uiPriority w:val="99"/>
    <w:semiHidden/>
    <w:unhideWhenUsed/>
    <w:lock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lock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locked/>
    <w:rsid w:val="0003148D"/>
    <w:pPr>
      <w:ind w:left="720"/>
    </w:pPr>
  </w:style>
  <w:style w:type="paragraph" w:styleId="CommentText">
    <w:name w:val="annotation text"/>
    <w:basedOn w:val="Normal"/>
    <w:link w:val="CommentTextChar"/>
    <w:uiPriority w:val="99"/>
    <w:unhideWhenUsed/>
    <w:lock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lock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locked/>
    <w:rsid w:val="0003148D"/>
    <w:pPr>
      <w:spacing w:after="100"/>
    </w:pPr>
  </w:style>
  <w:style w:type="paragraph" w:styleId="TOC2">
    <w:name w:val="toc 2"/>
    <w:basedOn w:val="Normal"/>
    <w:next w:val="Normal"/>
    <w:autoRedefine/>
    <w:uiPriority w:val="39"/>
    <w:semiHidden/>
    <w:unhideWhenUsed/>
    <w:locked/>
    <w:rsid w:val="0003148D"/>
    <w:pPr>
      <w:spacing w:after="100"/>
      <w:ind w:left="220"/>
    </w:pPr>
  </w:style>
  <w:style w:type="paragraph" w:styleId="TOC3">
    <w:name w:val="toc 3"/>
    <w:basedOn w:val="Normal"/>
    <w:next w:val="Normal"/>
    <w:autoRedefine/>
    <w:uiPriority w:val="39"/>
    <w:semiHidden/>
    <w:unhideWhenUsed/>
    <w:locked/>
    <w:rsid w:val="0003148D"/>
    <w:pPr>
      <w:spacing w:after="100"/>
      <w:ind w:left="440"/>
    </w:pPr>
  </w:style>
  <w:style w:type="paragraph" w:styleId="TOC4">
    <w:name w:val="toc 4"/>
    <w:basedOn w:val="Normal"/>
    <w:next w:val="Normal"/>
    <w:autoRedefine/>
    <w:uiPriority w:val="39"/>
    <w:semiHidden/>
    <w:unhideWhenUsed/>
    <w:locked/>
    <w:rsid w:val="0003148D"/>
    <w:pPr>
      <w:spacing w:after="100"/>
      <w:ind w:left="660"/>
    </w:pPr>
  </w:style>
  <w:style w:type="paragraph" w:styleId="TOC5">
    <w:name w:val="toc 5"/>
    <w:basedOn w:val="Normal"/>
    <w:next w:val="Normal"/>
    <w:autoRedefine/>
    <w:uiPriority w:val="39"/>
    <w:semiHidden/>
    <w:unhideWhenUsed/>
    <w:locked/>
    <w:rsid w:val="0003148D"/>
    <w:pPr>
      <w:spacing w:after="100"/>
      <w:ind w:left="880"/>
    </w:pPr>
  </w:style>
  <w:style w:type="paragraph" w:styleId="TOC6">
    <w:name w:val="toc 6"/>
    <w:basedOn w:val="Normal"/>
    <w:next w:val="Normal"/>
    <w:autoRedefine/>
    <w:uiPriority w:val="39"/>
    <w:semiHidden/>
    <w:unhideWhenUsed/>
    <w:locked/>
    <w:rsid w:val="0003148D"/>
    <w:pPr>
      <w:spacing w:after="100"/>
      <w:ind w:left="1100"/>
    </w:pPr>
  </w:style>
  <w:style w:type="paragraph" w:styleId="TOC7">
    <w:name w:val="toc 7"/>
    <w:basedOn w:val="Normal"/>
    <w:next w:val="Normal"/>
    <w:autoRedefine/>
    <w:uiPriority w:val="39"/>
    <w:semiHidden/>
    <w:unhideWhenUsed/>
    <w:locked/>
    <w:rsid w:val="0003148D"/>
    <w:pPr>
      <w:spacing w:after="100"/>
      <w:ind w:left="1320"/>
    </w:pPr>
  </w:style>
  <w:style w:type="paragraph" w:styleId="TOC8">
    <w:name w:val="toc 8"/>
    <w:basedOn w:val="Normal"/>
    <w:next w:val="Normal"/>
    <w:autoRedefine/>
    <w:uiPriority w:val="39"/>
    <w:semiHidden/>
    <w:unhideWhenUsed/>
    <w:locked/>
    <w:rsid w:val="0003148D"/>
    <w:pPr>
      <w:spacing w:after="100"/>
      <w:ind w:left="1540"/>
    </w:pPr>
  </w:style>
  <w:style w:type="paragraph" w:styleId="TOC9">
    <w:name w:val="toc 9"/>
    <w:basedOn w:val="Normal"/>
    <w:next w:val="Normal"/>
    <w:autoRedefine/>
    <w:uiPriority w:val="39"/>
    <w:semiHidden/>
    <w:unhideWhenUsed/>
    <w:locked/>
    <w:rsid w:val="0003148D"/>
    <w:pPr>
      <w:spacing w:after="100"/>
      <w:ind w:left="1760"/>
    </w:pPr>
  </w:style>
  <w:style w:type="paragraph" w:styleId="BlockText">
    <w:name w:val="Block Text"/>
    <w:basedOn w:val="Normal"/>
    <w:uiPriority w:val="99"/>
    <w:semiHidden/>
    <w:unhideWhenUsed/>
    <w:lock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lock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lock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lock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lock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lock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lock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locked/>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qFormat/>
    <w:rsid w:val="00901EB6"/>
    <w:rPr>
      <w:b/>
    </w:rPr>
  </w:style>
  <w:style w:type="paragraph" w:customStyle="1" w:styleId="CETnumberingbullets">
    <w:name w:val="CET numbering (bullets)"/>
    <w:rsid w:val="00C57182"/>
    <w:pPr>
      <w:numPr>
        <w:numId w:val="13"/>
      </w:numPr>
      <w:spacing w:after="120" w:line="264" w:lineRule="auto"/>
    </w:pPr>
    <w:rPr>
      <w:rFonts w:ascii="Arial" w:eastAsia="Times New Roman" w:hAnsi="Arial" w:cs="Times New Roman"/>
      <w:sz w:val="18"/>
      <w:szCs w:val="20"/>
      <w:lang w:val="en-GB"/>
    </w:rPr>
  </w:style>
  <w:style w:type="paragraph" w:customStyle="1" w:styleId="CETnumbering1">
    <w:name w:val="CET numbering (1"/>
    <w:aliases w:val="2..)"/>
    <w:rsid w:val="00184AD6"/>
    <w:pPr>
      <w:numPr>
        <w:numId w:val="14"/>
      </w:numPr>
      <w:spacing w:after="120" w:line="264" w:lineRule="auto"/>
      <w:ind w:left="714" w:hanging="357"/>
    </w:pPr>
    <w:rPr>
      <w:rFonts w:ascii="Arial" w:eastAsia="Times New Roman" w:hAnsi="Arial" w:cs="Times New Roman"/>
      <w:sz w:val="18"/>
      <w:szCs w:val="20"/>
      <w:lang w:val="en-US"/>
    </w:rPr>
  </w:style>
  <w:style w:type="paragraph" w:customStyle="1" w:styleId="CETnumberinga">
    <w:name w:val="CET numbering (a"/>
    <w:aliases w:val="b,..)"/>
    <w:rsid w:val="00C57182"/>
    <w:pPr>
      <w:numPr>
        <w:numId w:val="15"/>
      </w:numPr>
      <w:spacing w:after="120" w:line="264" w:lineRule="auto"/>
      <w:ind w:left="714" w:hanging="357"/>
    </w:pPr>
    <w:rPr>
      <w:rFonts w:ascii="Arial" w:eastAsia="Times New Roman" w:hAnsi="Arial" w:cs="Times New Roman"/>
      <w:sz w:val="18"/>
      <w:szCs w:val="20"/>
      <w:lang w:val="en-GB"/>
    </w:rPr>
  </w:style>
  <w:style w:type="paragraph" w:styleId="Header">
    <w:name w:val="header"/>
    <w:basedOn w:val="Normal"/>
    <w:link w:val="HeaderChar"/>
    <w:uiPriority w:val="99"/>
    <w:unhideWhenUsed/>
    <w:lock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lock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locked/>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tbodytext0">
    <w:name w:val="cetbodytext"/>
    <w:basedOn w:val="Normal"/>
    <w:rsid w:val="003871FD"/>
    <w:pPr>
      <w:tabs>
        <w:tab w:val="clear" w:pos="7100"/>
      </w:tabs>
      <w:spacing w:before="100" w:beforeAutospacing="1" w:after="100" w:afterAutospacing="1" w:line="240" w:lineRule="auto"/>
      <w:jc w:val="left"/>
    </w:pPr>
    <w:rPr>
      <w:rFonts w:ascii="Times New Roman" w:hAnsi="Times New Roman"/>
      <w:sz w:val="24"/>
      <w:szCs w:val="24"/>
      <w:lang w:val="en-US"/>
    </w:rPr>
  </w:style>
  <w:style w:type="character" w:styleId="PlaceholderText">
    <w:name w:val="Placeholder Text"/>
    <w:basedOn w:val="DefaultParagraphFont"/>
    <w:uiPriority w:val="99"/>
    <w:semiHidden/>
    <w:locked/>
    <w:rsid w:val="00EF74C7"/>
    <w:rPr>
      <w:color w:val="808080"/>
    </w:rPr>
  </w:style>
  <w:style w:type="character" w:styleId="Hyperlink">
    <w:name w:val="Hyperlink"/>
    <w:basedOn w:val="DefaultParagraphFont"/>
    <w:uiPriority w:val="99"/>
    <w:unhideWhenUsed/>
    <w:locked/>
    <w:rsid w:val="000C2790"/>
    <w:rPr>
      <w:color w:val="0000FF"/>
      <w:u w:val="single"/>
    </w:rPr>
  </w:style>
  <w:style w:type="character" w:customStyle="1" w:styleId="UnresolvedMention1">
    <w:name w:val="Unresolved Mention1"/>
    <w:basedOn w:val="DefaultParagraphFont"/>
    <w:uiPriority w:val="99"/>
    <w:semiHidden/>
    <w:unhideWhenUsed/>
    <w:rsid w:val="00D64B80"/>
    <w:rPr>
      <w:color w:val="605E5C"/>
      <w:shd w:val="clear" w:color="auto" w:fill="E1DFDD"/>
    </w:rPr>
  </w:style>
  <w:style w:type="paragraph" w:customStyle="1" w:styleId="Mdeck2authorcorrespondence">
    <w:name w:val="M_deck_2_author_correspondence"/>
    <w:next w:val="Normal"/>
    <w:qFormat/>
    <w:rsid w:val="00D64B80"/>
    <w:pPr>
      <w:widowControl w:val="0"/>
      <w:kinsoku w:val="0"/>
      <w:overflowPunct w:val="0"/>
      <w:autoSpaceDE w:val="0"/>
      <w:autoSpaceDN w:val="0"/>
      <w:adjustRightInd w:val="0"/>
      <w:snapToGrid w:val="0"/>
      <w:spacing w:before="240" w:after="240" w:line="340" w:lineRule="atLeast"/>
      <w:ind w:left="284" w:hanging="284"/>
    </w:pPr>
    <w:rPr>
      <w:rFonts w:ascii="Times New Roman" w:eastAsia="Times New Roman" w:hAnsi="Times New Roman" w:cs="Times New Roman"/>
      <w:snapToGrid w:val="0"/>
      <w:color w:val="000000"/>
      <w:sz w:val="24"/>
      <w:szCs w:val="20"/>
      <w:lang w:val="en-US" w:eastAsia="de-DE" w:bidi="en-US"/>
    </w:rPr>
  </w:style>
  <w:style w:type="paragraph" w:styleId="ListParagraph">
    <w:name w:val="List Paragraph"/>
    <w:basedOn w:val="Normal"/>
    <w:uiPriority w:val="34"/>
    <w:qFormat/>
    <w:locked/>
    <w:rsid w:val="00643CF5"/>
    <w:pPr>
      <w:tabs>
        <w:tab w:val="clear" w:pos="7100"/>
      </w:tabs>
      <w:spacing w:after="160" w:line="278" w:lineRule="auto"/>
      <w:ind w:left="720"/>
      <w:contextualSpacing/>
      <w:jc w:val="left"/>
    </w:pPr>
    <w:rPr>
      <w:rFonts w:asciiTheme="minorHAnsi" w:eastAsiaTheme="minorEastAsia" w:hAnsiTheme="minorHAnsi" w:cstheme="minorBidi"/>
      <w:kern w:val="2"/>
      <w:sz w:val="24"/>
      <w:szCs w:val="24"/>
      <w:lang w:val="en-US" w:eastAsia="zh-CN"/>
    </w:rPr>
  </w:style>
  <w:style w:type="character" w:styleId="CommentReference">
    <w:name w:val="annotation reference"/>
    <w:basedOn w:val="DefaultParagraphFont"/>
    <w:uiPriority w:val="99"/>
    <w:semiHidden/>
    <w:unhideWhenUsed/>
    <w:locked/>
    <w:rsid w:val="001A5F27"/>
    <w:rPr>
      <w:sz w:val="16"/>
      <w:szCs w:val="16"/>
    </w:rPr>
  </w:style>
  <w:style w:type="paragraph" w:styleId="Revision">
    <w:name w:val="Revision"/>
    <w:hidden/>
    <w:uiPriority w:val="99"/>
    <w:semiHidden/>
    <w:rsid w:val="003F7E51"/>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1588831">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504527">
      <w:bodyDiv w:val="1"/>
      <w:marLeft w:val="0"/>
      <w:marRight w:val="0"/>
      <w:marTop w:val="0"/>
      <w:marBottom w:val="0"/>
      <w:divBdr>
        <w:top w:val="none" w:sz="0" w:space="0" w:color="auto"/>
        <w:left w:val="none" w:sz="0" w:space="0" w:color="auto"/>
        <w:bottom w:val="none" w:sz="0" w:space="0" w:color="auto"/>
        <w:right w:val="none" w:sz="0" w:space="0" w:color="auto"/>
      </w:divBdr>
    </w:div>
    <w:div w:id="1468742831">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92014">
      <w:bodyDiv w:val="1"/>
      <w:marLeft w:val="0"/>
      <w:marRight w:val="0"/>
      <w:marTop w:val="0"/>
      <w:marBottom w:val="0"/>
      <w:divBdr>
        <w:top w:val="none" w:sz="0" w:space="0" w:color="auto"/>
        <w:left w:val="none" w:sz="0" w:space="0" w:color="auto"/>
        <w:bottom w:val="none" w:sz="0" w:space="0" w:color="auto"/>
        <w:right w:val="none" w:sz="0" w:space="0" w:color="auto"/>
      </w:divBdr>
      <w:divsChild>
        <w:div w:id="1241410113">
          <w:marLeft w:val="0"/>
          <w:marRight w:val="0"/>
          <w:marTop w:val="0"/>
          <w:marBottom w:val="0"/>
          <w:divBdr>
            <w:top w:val="none" w:sz="0" w:space="0" w:color="auto"/>
            <w:left w:val="none" w:sz="0" w:space="0" w:color="auto"/>
            <w:bottom w:val="none" w:sz="0" w:space="0" w:color="auto"/>
            <w:right w:val="none" w:sz="0" w:space="0" w:color="auto"/>
          </w:divBdr>
          <w:divsChild>
            <w:div w:id="1792747485">
              <w:marLeft w:val="0"/>
              <w:marRight w:val="0"/>
              <w:marTop w:val="0"/>
              <w:marBottom w:val="0"/>
              <w:divBdr>
                <w:top w:val="none" w:sz="0" w:space="0" w:color="auto"/>
                <w:left w:val="none" w:sz="0" w:space="0" w:color="auto"/>
                <w:bottom w:val="none" w:sz="0" w:space="0" w:color="auto"/>
                <w:right w:val="none" w:sz="0" w:space="0" w:color="auto"/>
              </w:divBdr>
              <w:divsChild>
                <w:div w:id="81830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698031">
          <w:marLeft w:val="0"/>
          <w:marRight w:val="0"/>
          <w:marTop w:val="0"/>
          <w:marBottom w:val="0"/>
          <w:divBdr>
            <w:top w:val="none" w:sz="0" w:space="0" w:color="auto"/>
            <w:left w:val="none" w:sz="0" w:space="0" w:color="auto"/>
            <w:bottom w:val="none" w:sz="0" w:space="0" w:color="auto"/>
            <w:right w:val="none" w:sz="0" w:space="0" w:color="auto"/>
          </w:divBdr>
          <w:divsChild>
            <w:div w:id="20667509">
              <w:marLeft w:val="0"/>
              <w:marRight w:val="0"/>
              <w:marTop w:val="0"/>
              <w:marBottom w:val="0"/>
              <w:divBdr>
                <w:top w:val="none" w:sz="0" w:space="0" w:color="auto"/>
                <w:left w:val="none" w:sz="0" w:space="0" w:color="auto"/>
                <w:bottom w:val="none" w:sz="0" w:space="0" w:color="auto"/>
                <w:right w:val="none" w:sz="0" w:space="0" w:color="auto"/>
              </w:divBdr>
              <w:divsChild>
                <w:div w:id="835534419">
                  <w:marLeft w:val="0"/>
                  <w:marRight w:val="0"/>
                  <w:marTop w:val="0"/>
                  <w:marBottom w:val="0"/>
                  <w:divBdr>
                    <w:top w:val="none" w:sz="0" w:space="0" w:color="auto"/>
                    <w:left w:val="none" w:sz="0" w:space="0" w:color="auto"/>
                    <w:bottom w:val="none" w:sz="0" w:space="0" w:color="auto"/>
                    <w:right w:val="none" w:sz="0" w:space="0" w:color="auto"/>
                  </w:divBdr>
                  <w:divsChild>
                    <w:div w:id="191936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87E8FC-2811-4162-8C7C-9F90C0320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16318</Words>
  <Characters>93019</Characters>
  <Application>Microsoft Office Word</Application>
  <DocSecurity>0</DocSecurity>
  <Lines>775</Lines>
  <Paragraphs>218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109119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Niedzwiecki, Lukasz Karol</cp:lastModifiedBy>
  <cp:revision>3</cp:revision>
  <cp:lastPrinted>2015-05-12T18:31:00Z</cp:lastPrinted>
  <dcterms:created xsi:type="dcterms:W3CDTF">2025-06-30T18:39:00Z</dcterms:created>
  <dcterms:modified xsi:type="dcterms:W3CDTF">2025-06-30T18:40:00Z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http://www.zotero.org/styles/applied-energy</vt:lpwstr>
  </property>
  <property fmtid="{D5CDD505-2E9C-101B-9397-08002B2CF9AE}" pid="3" name="Mendeley Recent Style Name 0_1">
    <vt:lpwstr>Applied Energy</vt:lpwstr>
  </property>
  <property fmtid="{D5CDD505-2E9C-101B-9397-08002B2CF9AE}" pid="4" name="Mendeley Recent Style Id 1_1">
    <vt:lpwstr>http://www.zotero.org/styles/biofuel-research-journal</vt:lpwstr>
  </property>
  <property fmtid="{D5CDD505-2E9C-101B-9397-08002B2CF9AE}" pid="5" name="Mendeley Recent Style Name 1_1">
    <vt:lpwstr>Biofuel Research Journal</vt:lpwstr>
  </property>
  <property fmtid="{D5CDD505-2E9C-101B-9397-08002B2CF9AE}" pid="6" name="Mendeley Recent Style Id 2_1">
    <vt:lpwstr>http://www.zotero.org/styles/biomass-and-bioenergy</vt:lpwstr>
  </property>
  <property fmtid="{D5CDD505-2E9C-101B-9397-08002B2CF9AE}" pid="7" name="Mendeley Recent Style Name 2_1">
    <vt:lpwstr>Biomass and Bioenergy</vt:lpwstr>
  </property>
  <property fmtid="{D5CDD505-2E9C-101B-9397-08002B2CF9AE}" pid="8" name="Mendeley Recent Style Id 3_1">
    <vt:lpwstr>http://www.zotero.org/styles/carbon</vt:lpwstr>
  </property>
  <property fmtid="{D5CDD505-2E9C-101B-9397-08002B2CF9AE}" pid="9" name="Mendeley Recent Style Name 3_1">
    <vt:lpwstr>Carbon</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11th edition - Harvard</vt:lpwstr>
  </property>
  <property fmtid="{D5CDD505-2E9C-101B-9397-08002B2CF9AE}" pid="12" name="Mendeley Recent Style Id 5_1">
    <vt:lpwstr>http://www.zotero.org/styles/fuel-processing-technology</vt:lpwstr>
  </property>
  <property fmtid="{D5CDD505-2E9C-101B-9397-08002B2CF9AE}" pid="13" name="Mendeley Recent Style Name 5_1">
    <vt:lpwstr>Fuel Processing Technology</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http://www.zotero.org/styles/mitigation-and-adaptation-strategies-for-global-change</vt:lpwstr>
  </property>
  <property fmtid="{D5CDD505-2E9C-101B-9397-08002B2CF9AE}" pid="17" name="Mendeley Recent Style Name 7_1">
    <vt:lpwstr>Mitigation and Adaptation Strategies for Global Change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http://www.zotero.org/styles/waste-management</vt:lpwstr>
  </property>
  <property fmtid="{D5CDD505-2E9C-101B-9397-08002B2CF9AE}" pid="21" name="Mendeley Recent Style Name 9_1">
    <vt:lpwstr>Waste Management</vt:lpwstr>
  </property>
  <property fmtid="{D5CDD505-2E9C-101B-9397-08002B2CF9AE}" pid="22" name="Mendeley Document_1">
    <vt:lpwstr>True</vt:lpwstr>
  </property>
  <property fmtid="{D5CDD505-2E9C-101B-9397-08002B2CF9AE}" pid="23" name="Mendeley Unique User Id_1">
    <vt:lpwstr>a9c9fd35-66e9-3bda-ae02-1cc189d01d73</vt:lpwstr>
  </property>
  <property fmtid="{D5CDD505-2E9C-101B-9397-08002B2CF9AE}" pid="24" name="Mendeley Citation Style_1">
    <vt:lpwstr>http://www.zotero.org/styles/harvard1</vt:lpwstr>
  </property>
</Properties>
</file>