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90253579"/>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 xml:space="preserve">Laura Piazza, Francesco </w:t>
            </w:r>
            <w:proofErr w:type="spellStart"/>
            <w:r w:rsidR="00A0035F" w:rsidRPr="005E72C6">
              <w:rPr>
                <w:rFonts w:ascii="Tahoma" w:hAnsi="Tahoma" w:cs="Tahoma"/>
                <w:color w:val="000000"/>
                <w:sz w:val="14"/>
                <w:szCs w:val="14"/>
                <w:shd w:val="clear" w:color="auto" w:fill="FFFFFF"/>
                <w:lang w:val="it-IT"/>
              </w:rPr>
              <w:t>Donsì</w:t>
            </w:r>
            <w:proofErr w:type="spellEnd"/>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0B6ED63" w:rsidR="00E978D0" w:rsidRPr="00B57B36" w:rsidRDefault="001A165A" w:rsidP="00E978D0">
      <w:pPr>
        <w:pStyle w:val="CETTitle"/>
      </w:pPr>
      <w:r>
        <w:t>Enzymatic Hydrolysis of Hemp Seed Cake Flour: Impact on Technological Properties</w:t>
      </w:r>
    </w:p>
    <w:p w14:paraId="0488FED2" w14:textId="07C6F6D7" w:rsidR="00B57E6F" w:rsidRPr="00AC4208" w:rsidRDefault="001A165A" w:rsidP="00B57E6F">
      <w:pPr>
        <w:pStyle w:val="CETAuthors"/>
        <w:rPr>
          <w:lang w:val="it-IT"/>
        </w:rPr>
      </w:pPr>
      <w:r w:rsidRPr="00AC4208">
        <w:rPr>
          <w:lang w:val="it-IT"/>
        </w:rPr>
        <w:t>Francesca Malvano</w:t>
      </w:r>
      <w:r w:rsidR="00B57E6F" w:rsidRPr="00AC4208">
        <w:rPr>
          <w:vertAlign w:val="superscript"/>
          <w:lang w:val="it-IT"/>
        </w:rPr>
        <w:t>a</w:t>
      </w:r>
      <w:r w:rsidR="00B57E6F" w:rsidRPr="00AC4208">
        <w:rPr>
          <w:lang w:val="it-IT"/>
        </w:rPr>
        <w:t>,</w:t>
      </w:r>
      <w:r w:rsidR="00AC4208" w:rsidRPr="00AC4208">
        <w:rPr>
          <w:lang w:val="it-IT"/>
        </w:rPr>
        <w:t xml:space="preserve"> Concetta Condurso</w:t>
      </w:r>
      <w:r w:rsidR="00AC4208" w:rsidRPr="00AC4208">
        <w:rPr>
          <w:vertAlign w:val="superscript"/>
          <w:lang w:val="it-IT"/>
        </w:rPr>
        <w:t>b</w:t>
      </w:r>
      <w:r w:rsidR="00AC4208" w:rsidRPr="00AC4208">
        <w:rPr>
          <w:lang w:val="it-IT"/>
        </w:rPr>
        <w:t>, Fernanda Galgano</w:t>
      </w:r>
      <w:r w:rsidR="00AC4208" w:rsidRPr="00AC4208">
        <w:rPr>
          <w:vertAlign w:val="superscript"/>
          <w:lang w:val="it-IT"/>
        </w:rPr>
        <w:t>c</w:t>
      </w:r>
      <w:r w:rsidR="00AC4208" w:rsidRPr="00AC4208">
        <w:rPr>
          <w:lang w:val="it-IT"/>
        </w:rPr>
        <w:t>,</w:t>
      </w:r>
      <w:r w:rsidR="00AC4208">
        <w:rPr>
          <w:lang w:val="it-IT"/>
        </w:rPr>
        <w:t xml:space="preserve"> Anthea Miller</w:t>
      </w:r>
      <w:r w:rsidR="00AC4208" w:rsidRPr="00AC4208">
        <w:rPr>
          <w:vertAlign w:val="superscript"/>
          <w:lang w:val="it-IT"/>
        </w:rPr>
        <w:t>b</w:t>
      </w:r>
      <w:r w:rsidR="00AC4208">
        <w:rPr>
          <w:lang w:val="it-IT"/>
        </w:rPr>
        <w:t>, Nicola Condelli</w:t>
      </w:r>
      <w:r w:rsidR="00AC4208" w:rsidRPr="00AC4208">
        <w:rPr>
          <w:vertAlign w:val="superscript"/>
          <w:lang w:val="it-IT"/>
        </w:rPr>
        <w:t>c</w:t>
      </w:r>
      <w:r w:rsidR="00AC4208">
        <w:rPr>
          <w:lang w:val="it-IT"/>
        </w:rPr>
        <w:t>, Donatella Albanese</w:t>
      </w:r>
      <w:r w:rsidR="00AC4208" w:rsidRPr="00AC4208">
        <w:rPr>
          <w:vertAlign w:val="superscript"/>
          <w:lang w:val="it-IT"/>
        </w:rPr>
        <w:t>a*</w:t>
      </w:r>
      <w:r w:rsidR="00AC4208" w:rsidRPr="00AC4208">
        <w:rPr>
          <w:lang w:val="it-IT"/>
        </w:rPr>
        <w:t xml:space="preserve"> </w:t>
      </w:r>
      <w:r w:rsidR="00B57E6F" w:rsidRPr="00AC4208">
        <w:rPr>
          <w:lang w:val="it-IT"/>
        </w:rPr>
        <w:t xml:space="preserve"> </w:t>
      </w:r>
    </w:p>
    <w:p w14:paraId="6B2D21B3" w14:textId="34E5AF19" w:rsidR="00B57E6F" w:rsidRPr="00B57B36" w:rsidRDefault="00B57E6F" w:rsidP="00B57E6F">
      <w:pPr>
        <w:pStyle w:val="CETAddress"/>
      </w:pPr>
      <w:r w:rsidRPr="00B57B36">
        <w:rPr>
          <w:vertAlign w:val="superscript"/>
        </w:rPr>
        <w:t>a</w:t>
      </w:r>
      <w:r w:rsidR="00AC4208">
        <w:t>Department of Industrial Engineering, University of Salerno, Fisciano (SA), Italy</w:t>
      </w:r>
      <w:r w:rsidRPr="00B57B36">
        <w:t xml:space="preserve"> </w:t>
      </w:r>
    </w:p>
    <w:p w14:paraId="5C19E829" w14:textId="77777777" w:rsidR="00AC4208" w:rsidRDefault="00B57E6F" w:rsidP="00B57E6F">
      <w:pPr>
        <w:pStyle w:val="CETAddress"/>
      </w:pPr>
      <w:r w:rsidRPr="00B57B36">
        <w:rPr>
          <w:vertAlign w:val="superscript"/>
        </w:rPr>
        <w:t>b</w:t>
      </w:r>
      <w:r w:rsidR="00AC4208">
        <w:t>Department of Veterinary Science, University of Messina, Messina, Italy</w:t>
      </w:r>
      <w:r w:rsidRPr="00B57B36">
        <w:t xml:space="preserve"> </w:t>
      </w:r>
    </w:p>
    <w:p w14:paraId="3D72B0B0" w14:textId="6A81DD33" w:rsidR="00B57E6F" w:rsidRDefault="00AC4208" w:rsidP="00B57E6F">
      <w:pPr>
        <w:pStyle w:val="CETAddress"/>
      </w:pPr>
      <w:r w:rsidRPr="00AC4208">
        <w:rPr>
          <w:vertAlign w:val="superscript"/>
        </w:rPr>
        <w:t>c</w:t>
      </w:r>
      <w:r w:rsidR="00AF3C8A">
        <w:t>Department</w:t>
      </w:r>
      <w:r>
        <w:t xml:space="preserve"> of Agricultural, Forest, Food and Environmental Sciences, (</w:t>
      </w:r>
      <w:r w:rsidR="00AF3C8A">
        <w:t>D</w:t>
      </w:r>
      <w:r>
        <w:t xml:space="preserve">AFE), University of Basilicata, Italy </w:t>
      </w:r>
      <w:r w:rsidR="00B57E6F" w:rsidRPr="00B57B36">
        <w:t xml:space="preserve"> </w:t>
      </w:r>
    </w:p>
    <w:p w14:paraId="325C1225" w14:textId="3E7B8E78" w:rsidR="00AC4208" w:rsidRDefault="00AC4208" w:rsidP="00AC4208">
      <w:pPr>
        <w:pStyle w:val="CETemail"/>
      </w:pPr>
      <w:r>
        <w:t>dalbanese</w:t>
      </w:r>
      <w:r w:rsidR="00681460" w:rsidRPr="00B57B36">
        <w:t>@</w:t>
      </w:r>
      <w:r>
        <w:t>unisa.it</w:t>
      </w:r>
      <w:r w:rsidR="00681460" w:rsidRPr="009378F0">
        <w:t xml:space="preserve"> </w:t>
      </w:r>
    </w:p>
    <w:p w14:paraId="31EBB851" w14:textId="24037EE7" w:rsidR="000D2EF3" w:rsidRPr="00DE10E3" w:rsidRDefault="00AC4208" w:rsidP="00AC4208">
      <w:pPr>
        <w:pStyle w:val="CETBodytext"/>
        <w:rPr>
          <w:b/>
          <w:bCs/>
          <w:lang w:val="en-GB"/>
        </w:rPr>
      </w:pPr>
      <w:r w:rsidRPr="002E4667">
        <w:rPr>
          <w:b/>
          <w:bCs/>
          <w:lang w:val="en-GB"/>
        </w:rPr>
        <w:t>Abstract</w:t>
      </w:r>
      <w:r w:rsidR="00D40724" w:rsidRPr="002E4667">
        <w:rPr>
          <w:b/>
          <w:bCs/>
          <w:lang w:val="en-GB"/>
        </w:rPr>
        <w:t xml:space="preserve"> </w:t>
      </w:r>
    </w:p>
    <w:p w14:paraId="45ABE531" w14:textId="1496AB3E" w:rsidR="0081708C" w:rsidRDefault="00885226" w:rsidP="00885226">
      <w:pPr>
        <w:rPr>
          <w:rFonts w:cs="Arial"/>
          <w:color w:val="000000"/>
          <w:szCs w:val="18"/>
        </w:rPr>
      </w:pPr>
      <w:r w:rsidRPr="0046226D">
        <w:rPr>
          <w:rFonts w:cs="Arial"/>
          <w:color w:val="000000"/>
          <w:szCs w:val="18"/>
        </w:rPr>
        <w:t>This study explored improving the technological properties of hemp seed cake flour through enzymatic hydrolysis. Before hydrolysis, the biomass underwent a delignification pre-treatment using a deep eutectic solvent made of glycerol and choline chloride to remove lignin and enhance treatment yield. Hydrolysis significantly increased the polyphenol content</w:t>
      </w:r>
      <w:r w:rsidR="00C20CD2">
        <w:rPr>
          <w:rFonts w:cs="Arial"/>
          <w:color w:val="000000"/>
          <w:szCs w:val="18"/>
        </w:rPr>
        <w:t xml:space="preserve"> </w:t>
      </w:r>
      <w:r w:rsidR="00C20CD2" w:rsidRPr="00C20CD2">
        <w:rPr>
          <w:rFonts w:cs="Arial"/>
          <w:color w:val="FF0000"/>
          <w:szCs w:val="18"/>
        </w:rPr>
        <w:t>from</w:t>
      </w:r>
      <w:r w:rsidR="00C20CD2">
        <w:rPr>
          <w:rFonts w:cs="Arial"/>
          <w:color w:val="FF0000"/>
          <w:szCs w:val="18"/>
        </w:rPr>
        <w:t xml:space="preserve"> 1821</w:t>
      </w:r>
      <w:r w:rsidR="00C20CD2">
        <w:rPr>
          <w:rFonts w:cs="Arial"/>
          <w:color w:val="000000"/>
          <w:szCs w:val="18"/>
        </w:rPr>
        <w:t xml:space="preserve"> </w:t>
      </w:r>
      <w:proofErr w:type="spellStart"/>
      <w:r w:rsidR="00C20CD2">
        <w:rPr>
          <w:rFonts w:cs="Arial"/>
          <w:color w:val="FF0000"/>
          <w:szCs w:val="18"/>
        </w:rPr>
        <w:t>mgGAE</w:t>
      </w:r>
      <w:proofErr w:type="spellEnd"/>
      <w:r w:rsidR="00C20CD2">
        <w:rPr>
          <w:rFonts w:cs="Arial"/>
          <w:color w:val="FF0000"/>
          <w:szCs w:val="18"/>
        </w:rPr>
        <w:t>/</w:t>
      </w:r>
      <w:proofErr w:type="spellStart"/>
      <w:r w:rsidR="00C20CD2">
        <w:rPr>
          <w:rFonts w:cs="Arial"/>
          <w:color w:val="FF0000"/>
          <w:szCs w:val="18"/>
        </w:rPr>
        <w:t>kg</w:t>
      </w:r>
      <w:r w:rsidR="00C20CD2" w:rsidRPr="00C20CD2">
        <w:rPr>
          <w:rFonts w:cs="Arial"/>
          <w:color w:val="FF0000"/>
          <w:szCs w:val="18"/>
          <w:vertAlign w:val="subscript"/>
        </w:rPr>
        <w:t>dw</w:t>
      </w:r>
      <w:proofErr w:type="spellEnd"/>
      <w:r w:rsidR="00C20CD2" w:rsidRPr="00C20CD2">
        <w:rPr>
          <w:rFonts w:cs="Arial"/>
          <w:color w:val="FF0000"/>
          <w:szCs w:val="18"/>
        </w:rPr>
        <w:t xml:space="preserve"> </w:t>
      </w:r>
      <w:r w:rsidR="00C20CD2">
        <w:rPr>
          <w:rFonts w:cs="Arial"/>
          <w:color w:val="FF0000"/>
          <w:szCs w:val="18"/>
        </w:rPr>
        <w:t xml:space="preserve">for untreated flour up </w:t>
      </w:r>
      <w:r w:rsidR="00C20CD2" w:rsidRPr="00C20CD2">
        <w:rPr>
          <w:rFonts w:cs="Arial"/>
          <w:color w:val="FF0000"/>
          <w:szCs w:val="18"/>
        </w:rPr>
        <w:t>to</w:t>
      </w:r>
      <w:r w:rsidR="00C20CD2">
        <w:rPr>
          <w:rFonts w:cs="Arial"/>
          <w:color w:val="FF0000"/>
          <w:szCs w:val="18"/>
        </w:rPr>
        <w:t xml:space="preserve"> 4387 </w:t>
      </w:r>
      <w:proofErr w:type="spellStart"/>
      <w:r w:rsidR="00C20CD2">
        <w:rPr>
          <w:rFonts w:cs="Arial"/>
          <w:color w:val="FF0000"/>
          <w:szCs w:val="18"/>
        </w:rPr>
        <w:t>mgGAE</w:t>
      </w:r>
      <w:proofErr w:type="spellEnd"/>
      <w:r w:rsidR="00C20CD2">
        <w:rPr>
          <w:rFonts w:cs="Arial"/>
          <w:color w:val="FF0000"/>
          <w:szCs w:val="18"/>
        </w:rPr>
        <w:t>/</w:t>
      </w:r>
      <w:proofErr w:type="spellStart"/>
      <w:r w:rsidR="00C20CD2">
        <w:rPr>
          <w:rFonts w:cs="Arial"/>
          <w:color w:val="FF0000"/>
          <w:szCs w:val="18"/>
        </w:rPr>
        <w:t>kg</w:t>
      </w:r>
      <w:r w:rsidR="00C20CD2" w:rsidRPr="00C20CD2">
        <w:rPr>
          <w:rFonts w:cs="Arial"/>
          <w:color w:val="FF0000"/>
          <w:szCs w:val="18"/>
          <w:vertAlign w:val="subscript"/>
        </w:rPr>
        <w:t>dw</w:t>
      </w:r>
      <w:proofErr w:type="spellEnd"/>
      <w:r w:rsidR="00C20CD2" w:rsidRPr="00C20CD2">
        <w:rPr>
          <w:rFonts w:cs="Arial"/>
          <w:color w:val="FF0000"/>
          <w:szCs w:val="18"/>
        </w:rPr>
        <w:t xml:space="preserve"> </w:t>
      </w:r>
      <w:r w:rsidRPr="0046226D">
        <w:rPr>
          <w:rFonts w:cs="Arial"/>
          <w:color w:val="000000"/>
          <w:szCs w:val="18"/>
        </w:rPr>
        <w:t>due to enzymatic action and lignin removal, which made phenolic compounds more accessible within the matrix.</w:t>
      </w:r>
      <w:r w:rsidR="00C05D18">
        <w:rPr>
          <w:rFonts w:cs="Arial"/>
          <w:color w:val="000000"/>
          <w:szCs w:val="18"/>
        </w:rPr>
        <w:t xml:space="preserve"> </w:t>
      </w:r>
      <w:r w:rsidRPr="0046226D">
        <w:rPr>
          <w:rFonts w:cs="Arial"/>
          <w:color w:val="000000"/>
          <w:szCs w:val="18"/>
        </w:rPr>
        <w:t xml:space="preserve">The </w:t>
      </w:r>
      <w:proofErr w:type="spellStart"/>
      <w:r w:rsidR="004A4E58" w:rsidRPr="00A50757">
        <w:rPr>
          <w:rFonts w:cs="Arial"/>
          <w:color w:val="FF0000"/>
          <w:szCs w:val="18"/>
        </w:rPr>
        <w:t>hydroly</w:t>
      </w:r>
      <w:r w:rsidR="00A50757" w:rsidRPr="00A50757">
        <w:rPr>
          <w:rFonts w:cs="Arial"/>
          <w:color w:val="FF0000"/>
          <w:szCs w:val="18"/>
        </w:rPr>
        <w:t>z</w:t>
      </w:r>
      <w:r w:rsidR="004A4E58" w:rsidRPr="00A50757">
        <w:rPr>
          <w:rFonts w:cs="Arial"/>
          <w:color w:val="FF0000"/>
          <w:szCs w:val="18"/>
        </w:rPr>
        <w:t>ed</w:t>
      </w:r>
      <w:proofErr w:type="spellEnd"/>
      <w:r w:rsidRPr="0046226D">
        <w:rPr>
          <w:rFonts w:cs="Arial"/>
          <w:color w:val="000000"/>
          <w:szCs w:val="18"/>
        </w:rPr>
        <w:t xml:space="preserve"> flour exhibited higher oil adsorption and water-holding capacities, attributed to the increased availability of hydrophobic and polar ionizable groups. </w:t>
      </w:r>
      <w:r w:rsidR="004A4E58" w:rsidRPr="0046226D">
        <w:rPr>
          <w:rFonts w:cs="Arial"/>
          <w:color w:val="000000"/>
          <w:szCs w:val="18"/>
        </w:rPr>
        <w:t>M</w:t>
      </w:r>
      <w:r w:rsidRPr="0046226D">
        <w:rPr>
          <w:rFonts w:cs="Arial"/>
          <w:color w:val="000000"/>
          <w:szCs w:val="18"/>
        </w:rPr>
        <w:t xml:space="preserve">oreover, the process transformed insoluble </w:t>
      </w:r>
      <w:proofErr w:type="spellStart"/>
      <w:r w:rsidRPr="0046226D">
        <w:rPr>
          <w:rFonts w:cs="Arial"/>
          <w:color w:val="000000"/>
          <w:szCs w:val="18"/>
        </w:rPr>
        <w:t>fibers</w:t>
      </w:r>
      <w:proofErr w:type="spellEnd"/>
      <w:r w:rsidRPr="0046226D">
        <w:rPr>
          <w:rFonts w:cs="Arial"/>
          <w:color w:val="000000"/>
          <w:szCs w:val="18"/>
        </w:rPr>
        <w:t xml:space="preserve"> into a more amorphous form, enhancing water interaction and improving the swelling and water adsorption indices.</w:t>
      </w:r>
      <w:r w:rsidR="00C05D18">
        <w:rPr>
          <w:rFonts w:cs="Arial"/>
          <w:color w:val="000000"/>
          <w:szCs w:val="18"/>
        </w:rPr>
        <w:t xml:space="preserve"> </w:t>
      </w:r>
      <w:r w:rsidRPr="0046226D">
        <w:rPr>
          <w:rFonts w:cs="Arial"/>
          <w:color w:val="000000"/>
          <w:szCs w:val="18"/>
        </w:rPr>
        <w:t xml:space="preserve">Regarding foaming properties, enzymatic treatment increased foam capacity </w:t>
      </w:r>
      <w:r w:rsidR="006653FC" w:rsidRPr="006653FC">
        <w:rPr>
          <w:rFonts w:cs="Arial"/>
          <w:color w:val="FF0000"/>
          <w:szCs w:val="18"/>
        </w:rPr>
        <w:t>up t</w:t>
      </w:r>
      <w:r w:rsidR="006653FC">
        <w:rPr>
          <w:rFonts w:cs="Arial"/>
          <w:color w:val="FF0000"/>
          <w:szCs w:val="18"/>
        </w:rPr>
        <w:t>o 8.1 v/v</w:t>
      </w:r>
      <w:r w:rsidR="006653FC">
        <w:rPr>
          <w:rFonts w:cs="Arial"/>
          <w:color w:val="000000"/>
          <w:szCs w:val="18"/>
        </w:rPr>
        <w:t xml:space="preserve"> </w:t>
      </w:r>
      <w:r w:rsidRPr="0046226D">
        <w:rPr>
          <w:rFonts w:cs="Arial"/>
          <w:color w:val="000000"/>
          <w:szCs w:val="18"/>
        </w:rPr>
        <w:t xml:space="preserve">but reduced its stability, leading to its complete disappearance within 45 minutes. Finally, the </w:t>
      </w:r>
      <w:proofErr w:type="spellStart"/>
      <w:r w:rsidRPr="0046226D">
        <w:rPr>
          <w:rFonts w:cs="Arial"/>
          <w:color w:val="000000"/>
          <w:szCs w:val="18"/>
        </w:rPr>
        <w:t>hydrolyzed</w:t>
      </w:r>
      <w:proofErr w:type="spellEnd"/>
      <w:r w:rsidRPr="0046226D">
        <w:rPr>
          <w:rFonts w:cs="Arial"/>
          <w:color w:val="000000"/>
          <w:szCs w:val="18"/>
        </w:rPr>
        <w:t xml:space="preserve"> flour demonstrated reduced emulsifying capacity but improved emulsion stability.</w:t>
      </w:r>
    </w:p>
    <w:p w14:paraId="330F570F" w14:textId="349209F0" w:rsidR="000D2EF3" w:rsidRPr="000D2EF3" w:rsidRDefault="00600535" w:rsidP="000D2EF3">
      <w:pPr>
        <w:pStyle w:val="CETHeading1"/>
        <w:rPr>
          <w:lang w:val="en-GB"/>
        </w:rPr>
      </w:pPr>
      <w:r w:rsidRPr="00AF3C8A">
        <w:rPr>
          <w:lang w:val="en-GB"/>
        </w:rPr>
        <w:t>Introduction</w:t>
      </w:r>
    </w:p>
    <w:p w14:paraId="2B23B956" w14:textId="58CD391F" w:rsidR="0026222A" w:rsidRPr="00C33B4A" w:rsidRDefault="0026222A" w:rsidP="00AF3C8A">
      <w:pPr>
        <w:pStyle w:val="CETBodytext"/>
      </w:pPr>
      <w:r>
        <w:t xml:space="preserve">Food waste, traditionally considered as an environmental issue, has recently been recognized as a rich source of various valuable compounds. In the oilseed processing industry, a substantial </w:t>
      </w:r>
      <w:proofErr w:type="gramStart"/>
      <w:r>
        <w:t>amount</w:t>
      </w:r>
      <w:proofErr w:type="gramEnd"/>
      <w:r>
        <w:t xml:space="preserve"> of by-products is generated, including peels, seeds, defatted oilseed </w:t>
      </w:r>
      <w:r w:rsidRPr="007E2D30">
        <w:t>meals.</w:t>
      </w:r>
      <w:r>
        <w:t xml:space="preserve"> Among these, oilseed </w:t>
      </w:r>
      <w:r w:rsidRPr="007E2D30">
        <w:t>meals</w:t>
      </w:r>
      <w:r>
        <w:t xml:space="preserve"> stand out due to their high content of proteins, dietary fibers and other bioactive compounds that offer health benefits, making them valuable for use in food or </w:t>
      </w:r>
      <w:r w:rsidRPr="00C33B4A">
        <w:t>animal feed (</w:t>
      </w:r>
      <w:proofErr w:type="spellStart"/>
      <w:r w:rsidRPr="00C33B4A">
        <w:t>Caponio</w:t>
      </w:r>
      <w:proofErr w:type="spellEnd"/>
      <w:r w:rsidRPr="00C33B4A">
        <w:t xml:space="preserve"> et al., 2022). A particularly yet poorly investigated oilseed meal is the by-product of hemp seed (</w:t>
      </w:r>
      <w:r w:rsidRPr="00C33B4A">
        <w:rPr>
          <w:i/>
          <w:iCs/>
        </w:rPr>
        <w:t>Cannabis sativa</w:t>
      </w:r>
      <w:r w:rsidRPr="00C33B4A">
        <w:t xml:space="preserve"> L.) processing, that can be easily ground into hemp seed cake flour (HSCF) and could serve as a valuable ingredient for fortifying food products. </w:t>
      </w:r>
    </w:p>
    <w:p w14:paraId="4D19FCD8" w14:textId="43B0D97C" w:rsidR="00AF3C8A" w:rsidRPr="000E0598" w:rsidRDefault="009D05ED" w:rsidP="009D05ED">
      <w:pPr>
        <w:pStyle w:val="CETBodytext"/>
      </w:pPr>
      <w:r w:rsidRPr="00C33B4A">
        <w:t>H</w:t>
      </w:r>
      <w:r w:rsidR="0069350B" w:rsidRPr="00C33B4A">
        <w:t>emp seed cake flour</w:t>
      </w:r>
      <w:r w:rsidR="00C05D18" w:rsidRPr="00C33B4A">
        <w:t xml:space="preserve"> </w:t>
      </w:r>
      <w:r w:rsidRPr="00C33B4A">
        <w:t xml:space="preserve">is characterized not only by its high content of polyunsaturated fatty acids and essential amino acids but also by several health-promoting compounds, including phenols, tocopherols, phytosterols, vitamin E, and various minerals. Additionally, it </w:t>
      </w:r>
      <w:r w:rsidR="0026222A" w:rsidRPr="00C33B4A">
        <w:t>is characterized by</w:t>
      </w:r>
      <w:r w:rsidRPr="00C33B4A">
        <w:t xml:space="preserve"> a significant level of insoluble dietary fiber, particularly cellulose, hemicellulose, and lignin, which can be further processed and incorporated into food products for their potential health benefits (Barta et al., 2021; </w:t>
      </w:r>
      <w:proofErr w:type="spellStart"/>
      <w:r w:rsidRPr="00C33B4A">
        <w:t>Farinon</w:t>
      </w:r>
      <w:proofErr w:type="spellEnd"/>
      <w:r w:rsidRPr="00C33B4A">
        <w:t xml:space="preserve"> et al., 2020). To date, numerous studies have explored the potential applications of HSCF in the food sector, particularly within the bakery industry (Istrate et al., </w:t>
      </w:r>
      <w:r w:rsidRPr="00C33B4A">
        <w:rPr>
          <w:color w:val="FF0000"/>
        </w:rPr>
        <w:t>202</w:t>
      </w:r>
      <w:r w:rsidR="00C33B4A" w:rsidRPr="00C33B4A">
        <w:rPr>
          <w:color w:val="FF0000"/>
        </w:rPr>
        <w:t>1</w:t>
      </w:r>
      <w:r w:rsidRPr="00C33B4A">
        <w:t xml:space="preserve">; Rusu et al., 2021), as well as in the production of fresh and dried pasta (Merlino et al., 2022; </w:t>
      </w:r>
      <w:proofErr w:type="spellStart"/>
      <w:r w:rsidRPr="00C33B4A">
        <w:t>Teterycz</w:t>
      </w:r>
      <w:proofErr w:type="spellEnd"/>
      <w:r w:rsidRPr="00C33B4A">
        <w:t xml:space="preserve"> et al., 2021) and gluten-free products (</w:t>
      </w:r>
      <w:proofErr w:type="spellStart"/>
      <w:r w:rsidRPr="00C33B4A">
        <w:t>Jagelaviciute</w:t>
      </w:r>
      <w:proofErr w:type="spellEnd"/>
      <w:r w:rsidRPr="00C33B4A">
        <w:t xml:space="preserve"> et al., 2021; Korus et al., 2017).However, despite its nutritional value, HSCF exhibits poor technological properties, due to the presence of lignocellulosic compounds which limits its application in food formulations to low percentages.</w:t>
      </w:r>
      <w:r w:rsidR="00AF3C8A" w:rsidRPr="00C33B4A">
        <w:t xml:space="preserve"> </w:t>
      </w:r>
      <w:r w:rsidRPr="00C33B4A">
        <w:t>A useful approach used for the increasing technological properties of the lignocellulosic-based food waste is represented by the enzymatic treatments due to their high efficiency, specificity, and mild processing conditions (Wang et al., 2020). Cellulase-catalyzed hydrolysis increases the porosity of the fiber and the surface area, allowing for greater exposure of hydrophilic groups, which improves both water-holding and water-binding capacities (Li et al., 2024). Moreover</w:t>
      </w:r>
      <w:r w:rsidRPr="009D05ED">
        <w:t xml:space="preserve">, </w:t>
      </w:r>
      <w:r w:rsidRPr="009D05ED">
        <w:lastRenderedPageBreak/>
        <w:t xml:space="preserve">enzymatic hydrolysis using proteases leads to the formation of peptide molecules that can self-assemble into smaller </w:t>
      </w:r>
      <w:r w:rsidRPr="00C33B4A">
        <w:t>particles, promoting their adsorption at the oil/water interface and positioning them as effective emulsifying agents (</w:t>
      </w:r>
      <w:proofErr w:type="spellStart"/>
      <w:r w:rsidRPr="00C33B4A">
        <w:t>Bashash</w:t>
      </w:r>
      <w:proofErr w:type="spellEnd"/>
      <w:r w:rsidRPr="00C33B4A">
        <w:t xml:space="preserve"> et al., 2024).</w:t>
      </w:r>
      <w:r w:rsidRPr="000E0598">
        <w:t xml:space="preserve"> </w:t>
      </w:r>
    </w:p>
    <w:p w14:paraId="3881BA8F" w14:textId="657E0CA4" w:rsidR="00B25C45" w:rsidRPr="001060AC" w:rsidRDefault="009D05ED" w:rsidP="00600535">
      <w:pPr>
        <w:pStyle w:val="CETBodytext"/>
      </w:pPr>
      <w:r w:rsidRPr="000E0598">
        <w:t xml:space="preserve">To our knowledge, there are currently </w:t>
      </w:r>
      <w:r w:rsidR="00AF3C8A" w:rsidRPr="000E0598">
        <w:t>few</w:t>
      </w:r>
      <w:r w:rsidRPr="000E0598">
        <w:t xml:space="preserve"> studies</w:t>
      </w:r>
      <w:r w:rsidRPr="00AF3C8A">
        <w:t xml:space="preserve"> </w:t>
      </w:r>
      <w:r w:rsidR="0026222A" w:rsidRPr="00AF3C8A">
        <w:t>focusing</w:t>
      </w:r>
      <w:r w:rsidRPr="009D05ED">
        <w:t xml:space="preserve"> the application of enzymatic treatments to enhance the technological properties of HSCF. Therefore, this study aims to investigate the effects of enzymatic treatment using cellulases, </w:t>
      </w:r>
      <w:proofErr w:type="spellStart"/>
      <w:r w:rsidRPr="009D05ED">
        <w:t>hemicellulases</w:t>
      </w:r>
      <w:proofErr w:type="spellEnd"/>
      <w:r w:rsidRPr="009D05ED">
        <w:t xml:space="preserve">, and proteases on the key technological parameters of HSCF, including bulk density, swelling index, water-holding capacity, solubility, </w:t>
      </w:r>
      <w:r w:rsidRPr="00A64EE8">
        <w:t>emulsion and foam</w:t>
      </w:r>
      <w:r w:rsidRPr="009D05ED">
        <w:t xml:space="preserve"> capacity and stability. </w:t>
      </w:r>
      <w:r w:rsidR="0026222A">
        <w:t>Before the</w:t>
      </w:r>
      <w:r w:rsidRPr="009D05ED">
        <w:t xml:space="preserve"> enzymatic hydrolysis, a delignification pretreatment of the biomass was conducted using deep eutectic solvents to remove lignin and enhance the yield of the treatment.</w:t>
      </w:r>
    </w:p>
    <w:p w14:paraId="306CE0E4" w14:textId="1D91CD91" w:rsidR="00D40724" w:rsidRPr="00B25C45" w:rsidRDefault="00D40724" w:rsidP="00D40724">
      <w:pPr>
        <w:pStyle w:val="CETHeading1"/>
      </w:pPr>
      <w:r w:rsidRPr="00B25C45">
        <w:t>Material and Methods</w:t>
      </w:r>
    </w:p>
    <w:p w14:paraId="0636B784" w14:textId="2098EBB4" w:rsidR="00453E24" w:rsidRPr="00B25C45" w:rsidRDefault="0026222A" w:rsidP="001B473D">
      <w:pPr>
        <w:pStyle w:val="CETheadingx"/>
      </w:pPr>
      <w:r>
        <w:t xml:space="preserve">2.1 </w:t>
      </w:r>
      <w:r w:rsidR="00CF0C2B" w:rsidRPr="00B25C45">
        <w:t>Materials</w:t>
      </w:r>
    </w:p>
    <w:p w14:paraId="58E372AF" w14:textId="4C81D4D4" w:rsidR="0039361F" w:rsidRDefault="00916017" w:rsidP="00916017">
      <w:pPr>
        <w:pStyle w:val="CETBodytext"/>
      </w:pPr>
      <w:r w:rsidRPr="00B25C45">
        <w:rPr>
          <w:lang w:val="en-GB"/>
        </w:rPr>
        <w:t>Monovarietal hemp seed (</w:t>
      </w:r>
      <w:r w:rsidRPr="00B25C45">
        <w:rPr>
          <w:i/>
          <w:lang w:val="en-GB"/>
        </w:rPr>
        <w:t>Cannabis sativa</w:t>
      </w:r>
      <w:r w:rsidRPr="00B25C45">
        <w:rPr>
          <w:lang w:val="en-GB"/>
        </w:rPr>
        <w:t xml:space="preserve"> var. Futura 75) cake flour (HSCF) was purchased from </w:t>
      </w:r>
      <w:r w:rsidRPr="00B25C45">
        <w:rPr>
          <w:i/>
          <w:iCs/>
          <w:lang w:val="en-GB"/>
        </w:rPr>
        <w:t>Molino Crisafulli</w:t>
      </w:r>
      <w:r w:rsidRPr="00B25C45">
        <w:rPr>
          <w:lang w:val="en-GB"/>
        </w:rPr>
        <w:t>, a Sicilian</w:t>
      </w:r>
      <w:r w:rsidRPr="00916017">
        <w:rPr>
          <w:lang w:val="en-GB"/>
        </w:rPr>
        <w:t xml:space="preserve"> company</w:t>
      </w:r>
      <w:r>
        <w:rPr>
          <w:lang w:val="en-GB"/>
        </w:rPr>
        <w:t>.</w:t>
      </w:r>
      <w:r w:rsidR="00B364EE">
        <w:rPr>
          <w:lang w:val="en-GB"/>
        </w:rPr>
        <w:t xml:space="preserve"> </w:t>
      </w:r>
      <w:r w:rsidR="00B364EE" w:rsidRPr="00B364EE">
        <w:t>Choline chloride, glycerol, sodium citrate, citric acid and hydrochloric acid were obtained from Merck (</w:t>
      </w:r>
      <w:r w:rsidR="00A50757" w:rsidRPr="00A50757">
        <w:rPr>
          <w:color w:val="FF0000"/>
        </w:rPr>
        <w:t>Darmstadt</w:t>
      </w:r>
      <w:r w:rsidR="00A50757">
        <w:t xml:space="preserve">, </w:t>
      </w:r>
      <w:r w:rsidR="00B364EE" w:rsidRPr="00B364EE">
        <w:t xml:space="preserve">Germany). </w:t>
      </w:r>
    </w:p>
    <w:p w14:paraId="39151E52" w14:textId="1231B57B" w:rsidR="0039361F" w:rsidRDefault="0026222A" w:rsidP="001B473D">
      <w:pPr>
        <w:pStyle w:val="CETheadingx"/>
      </w:pPr>
      <w:r>
        <w:t xml:space="preserve">2.2 Deep Eutectic Solvent – pretreatment and </w:t>
      </w:r>
      <w:r w:rsidR="0039361F">
        <w:t>Enzymatic Hydrolysis</w:t>
      </w:r>
    </w:p>
    <w:p w14:paraId="25CA3A1C" w14:textId="7DED9366" w:rsidR="006F32AF" w:rsidRPr="00AA1D0B" w:rsidRDefault="0039361F" w:rsidP="009F128C">
      <w:pPr>
        <w:pStyle w:val="CETBodytext"/>
        <w:rPr>
          <w:strike/>
        </w:rPr>
      </w:pPr>
      <w:r>
        <w:t>The enzymatic hydrolysis was performed on raw and pretreated HSCF.</w:t>
      </w:r>
      <w:r w:rsidR="00AA1D0B">
        <w:t xml:space="preserve"> </w:t>
      </w:r>
      <w:r w:rsidR="006F32AF" w:rsidRPr="006F32AF">
        <w:rPr>
          <w:color w:val="FF0000"/>
        </w:rPr>
        <w:t xml:space="preserve">For the pretreatment, a deep solvent (DES) </w:t>
      </w:r>
      <w:r w:rsidR="009A1AB2">
        <w:rPr>
          <w:color w:val="FF0000"/>
        </w:rPr>
        <w:t>made</w:t>
      </w:r>
      <w:r w:rsidR="006F32AF" w:rsidRPr="006F32AF">
        <w:rPr>
          <w:color w:val="FF0000"/>
        </w:rPr>
        <w:t xml:space="preserve"> of choline chloride and glycerol </w:t>
      </w:r>
      <w:r w:rsidR="009A1AB2">
        <w:rPr>
          <w:color w:val="FF0000"/>
        </w:rPr>
        <w:t xml:space="preserve">in </w:t>
      </w:r>
      <w:r w:rsidR="006F32AF" w:rsidRPr="006F32AF">
        <w:rPr>
          <w:color w:val="FF0000"/>
        </w:rPr>
        <w:t xml:space="preserve">a molar ratio 1:2 was </w:t>
      </w:r>
      <w:r w:rsidR="006955CA">
        <w:rPr>
          <w:color w:val="FF0000"/>
        </w:rPr>
        <w:t>employed</w:t>
      </w:r>
      <w:r w:rsidR="006F32AF">
        <w:rPr>
          <w:color w:val="FF0000"/>
        </w:rPr>
        <w:t xml:space="preserve">. The DES was </w:t>
      </w:r>
      <w:r w:rsidR="006F32AF" w:rsidRPr="006F32AF">
        <w:rPr>
          <w:color w:val="FF0000"/>
        </w:rPr>
        <w:t xml:space="preserve">prepared </w:t>
      </w:r>
      <w:r w:rsidR="006F32AF">
        <w:rPr>
          <w:color w:val="FF0000"/>
        </w:rPr>
        <w:t>by</w:t>
      </w:r>
      <w:r w:rsidR="006F32AF" w:rsidRPr="006F32AF">
        <w:rPr>
          <w:color w:val="FF0000"/>
        </w:rPr>
        <w:t xml:space="preserve"> continuously stirring the mixture at 80°C until </w:t>
      </w:r>
      <w:r w:rsidR="006F32AF">
        <w:rPr>
          <w:color w:val="FF0000"/>
        </w:rPr>
        <w:t xml:space="preserve">a </w:t>
      </w:r>
      <w:r w:rsidR="006F32AF" w:rsidRPr="006F32AF">
        <w:rPr>
          <w:color w:val="FF0000"/>
        </w:rPr>
        <w:t xml:space="preserve">homogeneous colorless liquid </w:t>
      </w:r>
      <w:r w:rsidR="006F32AF">
        <w:rPr>
          <w:color w:val="FF0000"/>
        </w:rPr>
        <w:t xml:space="preserve">was </w:t>
      </w:r>
      <w:r w:rsidR="006F32AF" w:rsidRPr="006F32AF">
        <w:rPr>
          <w:color w:val="FF0000"/>
        </w:rPr>
        <w:t xml:space="preserve">formed. </w:t>
      </w:r>
      <w:r w:rsidR="006F32AF">
        <w:rPr>
          <w:color w:val="FF0000"/>
        </w:rPr>
        <w:t>The biomass was</w:t>
      </w:r>
      <w:r w:rsidR="009A1AB2">
        <w:rPr>
          <w:color w:val="FF0000"/>
        </w:rPr>
        <w:t xml:space="preserve"> then</w:t>
      </w:r>
      <w:r w:rsidR="006F32AF">
        <w:rPr>
          <w:color w:val="FF0000"/>
        </w:rPr>
        <w:t xml:space="preserve"> mixed with the DES with a biomass/DES ratio 1:8. </w:t>
      </w:r>
      <w:r w:rsidR="009A1AB2">
        <w:rPr>
          <w:color w:val="FF0000"/>
        </w:rPr>
        <w:t>P</w:t>
      </w:r>
      <w:r w:rsidR="006F32AF">
        <w:rPr>
          <w:color w:val="FF0000"/>
        </w:rPr>
        <w:t xml:space="preserve">retreatment was </w:t>
      </w:r>
      <w:r w:rsidR="009A1AB2">
        <w:rPr>
          <w:color w:val="FF0000"/>
        </w:rPr>
        <w:t>carried out</w:t>
      </w:r>
      <w:r w:rsidR="006F32AF">
        <w:rPr>
          <w:color w:val="FF0000"/>
        </w:rPr>
        <w:t xml:space="preserve"> at 120°C </w:t>
      </w:r>
      <w:r w:rsidR="009A1AB2">
        <w:rPr>
          <w:color w:val="FF0000"/>
        </w:rPr>
        <w:t>for</w:t>
      </w:r>
      <w:r w:rsidR="006F32AF">
        <w:rPr>
          <w:color w:val="FF0000"/>
        </w:rPr>
        <w:t xml:space="preserve"> 3h. </w:t>
      </w:r>
      <w:r w:rsidR="006F32AF" w:rsidRPr="006F32AF">
        <w:rPr>
          <w:color w:val="FF0000"/>
        </w:rPr>
        <w:t xml:space="preserve"> </w:t>
      </w:r>
    </w:p>
    <w:p w14:paraId="4EF5849E" w14:textId="5A241551" w:rsidR="009F128C" w:rsidRPr="00B5675D" w:rsidRDefault="00147407" w:rsidP="009F128C">
      <w:pPr>
        <w:pStyle w:val="CETBodytext"/>
      </w:pPr>
      <w:r>
        <w:t xml:space="preserve">After the reaction time, </w:t>
      </w:r>
      <w:r w:rsidRPr="00B5675D">
        <w:t xml:space="preserve">the mixture was washed with water and the flour was </w:t>
      </w:r>
      <w:r w:rsidR="009F128C" w:rsidRPr="00B5675D">
        <w:t xml:space="preserve">dried </w:t>
      </w:r>
      <w:r w:rsidR="009F128C" w:rsidRPr="00B5675D">
        <w:rPr>
          <w:lang w:val="en-GB"/>
        </w:rPr>
        <w:t>at 38 °C until a constant weight was achieved</w:t>
      </w:r>
      <w:r w:rsidRPr="00B5675D">
        <w:t>.</w:t>
      </w:r>
      <w:r w:rsidR="00C05D18" w:rsidRPr="00B5675D">
        <w:t xml:space="preserve"> </w:t>
      </w:r>
      <w:r w:rsidR="009F128C" w:rsidRPr="00B5675D">
        <w:rPr>
          <w:lang w:val="en-GB"/>
        </w:rPr>
        <w:t xml:space="preserve">The enzymatic hydrolysis of raw and DES-pretreated HSCF was carried out according to the procedure </w:t>
      </w:r>
      <w:r w:rsidR="009F128C" w:rsidRPr="00B5675D">
        <w:rPr>
          <w:color w:val="000000" w:themeColor="text1"/>
          <w:lang w:val="en-GB"/>
        </w:rPr>
        <w:t xml:space="preserve">proposed by </w:t>
      </w:r>
      <w:proofErr w:type="spellStart"/>
      <w:r w:rsidR="009F128C" w:rsidRPr="00B5675D">
        <w:rPr>
          <w:color w:val="000000" w:themeColor="text1"/>
          <w:lang w:val="en-GB"/>
        </w:rPr>
        <w:t>Procentese</w:t>
      </w:r>
      <w:proofErr w:type="spellEnd"/>
      <w:r w:rsidR="009F128C" w:rsidRPr="00B5675D">
        <w:rPr>
          <w:color w:val="000000" w:themeColor="text1"/>
          <w:lang w:val="en-GB"/>
        </w:rPr>
        <w:t xml:space="preserve"> et al. (2018).</w:t>
      </w:r>
      <w:r w:rsidR="00AF3C8A" w:rsidRPr="00B5675D">
        <w:rPr>
          <w:color w:val="000000" w:themeColor="text1"/>
          <w:lang w:val="en-GB"/>
        </w:rPr>
        <w:t xml:space="preserve"> </w:t>
      </w:r>
      <w:r w:rsidR="00277598" w:rsidRPr="00B5675D">
        <w:rPr>
          <w:lang w:val="en-GB"/>
        </w:rPr>
        <w:t xml:space="preserve">Cellulase, </w:t>
      </w:r>
      <w:proofErr w:type="spellStart"/>
      <w:r w:rsidR="00277598" w:rsidRPr="00B5675D">
        <w:rPr>
          <w:lang w:val="en-GB"/>
        </w:rPr>
        <w:t>hemicellulase</w:t>
      </w:r>
      <w:proofErr w:type="spellEnd"/>
      <w:r w:rsidR="00277598" w:rsidRPr="00B5675D">
        <w:rPr>
          <w:lang w:val="en-GB"/>
        </w:rPr>
        <w:t xml:space="preserve"> and protease enzymes were provided by Biocatalyst Ltd. (Wales, UK). </w:t>
      </w:r>
      <w:r w:rsidR="009F128C" w:rsidRPr="00B5675D">
        <w:rPr>
          <w:lang w:val="en-GB"/>
        </w:rPr>
        <w:t>10 g of biomass was mixed with 100 mL of 0.1 M Sodium Citrate Buffer (pH 5.0).</w:t>
      </w:r>
      <w:r w:rsidR="00C05D18" w:rsidRPr="00B5675D">
        <w:rPr>
          <w:lang w:val="en-GB"/>
        </w:rPr>
        <w:t xml:space="preserve"> </w:t>
      </w:r>
      <w:r w:rsidR="00F92B73" w:rsidRPr="00B5675D">
        <w:rPr>
          <w:lang w:val="en-GB"/>
        </w:rPr>
        <w:t xml:space="preserve">The enzymatic hydrolysis was carried </w:t>
      </w:r>
      <w:r w:rsidR="00901097" w:rsidRPr="00B5675D">
        <w:rPr>
          <w:lang w:val="en-GB"/>
        </w:rPr>
        <w:t>out with</w:t>
      </w:r>
      <w:r w:rsidR="00F92B73" w:rsidRPr="00B5675D">
        <w:rPr>
          <w:lang w:val="en-GB"/>
        </w:rPr>
        <w:t xml:space="preserve"> the addition </w:t>
      </w:r>
      <w:r w:rsidR="00901097" w:rsidRPr="00B5675D">
        <w:rPr>
          <w:lang w:val="en-GB"/>
        </w:rPr>
        <w:t xml:space="preserve">to the mixture </w:t>
      </w:r>
      <w:r w:rsidR="00F92B73" w:rsidRPr="00B5675D">
        <w:rPr>
          <w:lang w:val="en-GB"/>
        </w:rPr>
        <w:t xml:space="preserve">of a cocktail solution made </w:t>
      </w:r>
      <w:r w:rsidR="00C05D18" w:rsidRPr="00B5675D">
        <w:rPr>
          <w:lang w:val="en-GB"/>
        </w:rPr>
        <w:t>of</w:t>
      </w:r>
      <w:r w:rsidR="00F92B73" w:rsidRPr="00B5675D">
        <w:rPr>
          <w:lang w:val="en-GB"/>
        </w:rPr>
        <w:t xml:space="preserve"> cellulase and hemicellulose (10 </w:t>
      </w:r>
      <w:proofErr w:type="spellStart"/>
      <w:r w:rsidR="00F92B73" w:rsidRPr="00B5675D">
        <w:rPr>
          <w:lang w:val="en-GB"/>
        </w:rPr>
        <w:t>mg</w:t>
      </w:r>
      <w:r w:rsidR="00F92B73" w:rsidRPr="00B5675D">
        <w:rPr>
          <w:vertAlign w:val="subscript"/>
          <w:lang w:val="en-GB"/>
        </w:rPr>
        <w:t>enzyme</w:t>
      </w:r>
      <w:proofErr w:type="spellEnd"/>
      <w:r w:rsidR="00F92B73" w:rsidRPr="00B5675D">
        <w:rPr>
          <w:lang w:val="en-GB"/>
        </w:rPr>
        <w:t>/100g</w:t>
      </w:r>
      <w:r w:rsidR="00F92B73" w:rsidRPr="00B5675D">
        <w:rPr>
          <w:vertAlign w:val="subscript"/>
          <w:lang w:val="en-GB"/>
        </w:rPr>
        <w:t>biomass</w:t>
      </w:r>
      <w:r w:rsidR="00F92B73" w:rsidRPr="00B5675D">
        <w:rPr>
          <w:lang w:val="en-GB"/>
        </w:rPr>
        <w:t xml:space="preserve">) </w:t>
      </w:r>
      <w:r w:rsidR="00901097" w:rsidRPr="00B5675D">
        <w:rPr>
          <w:lang w:val="en-GB"/>
        </w:rPr>
        <w:t>and</w:t>
      </w:r>
      <w:r w:rsidR="00F92B73" w:rsidRPr="00B5675D">
        <w:rPr>
          <w:lang w:val="en-GB"/>
        </w:rPr>
        <w:t xml:space="preserve"> protease (12 </w:t>
      </w:r>
      <w:proofErr w:type="spellStart"/>
      <w:r w:rsidR="00F92B73" w:rsidRPr="00B5675D">
        <w:rPr>
          <w:lang w:val="en-GB"/>
        </w:rPr>
        <w:t>mg</w:t>
      </w:r>
      <w:r w:rsidR="00F92B73" w:rsidRPr="00B5675D">
        <w:rPr>
          <w:vertAlign w:val="subscript"/>
          <w:lang w:val="en-GB"/>
        </w:rPr>
        <w:t>enzyme</w:t>
      </w:r>
      <w:proofErr w:type="spellEnd"/>
      <w:r w:rsidR="00F92B73" w:rsidRPr="00B5675D">
        <w:rPr>
          <w:lang w:val="en-GB"/>
        </w:rPr>
        <w:t>/100g</w:t>
      </w:r>
      <w:r w:rsidR="00F92B73" w:rsidRPr="00B5675D">
        <w:rPr>
          <w:vertAlign w:val="subscript"/>
          <w:lang w:val="en-GB"/>
        </w:rPr>
        <w:t>biomass</w:t>
      </w:r>
      <w:r w:rsidR="00F92B73" w:rsidRPr="00B5675D">
        <w:rPr>
          <w:lang w:val="en-GB"/>
        </w:rPr>
        <w:t>)</w:t>
      </w:r>
      <w:r w:rsidR="00277598" w:rsidRPr="00B5675D">
        <w:rPr>
          <w:lang w:val="en-GB"/>
        </w:rPr>
        <w:t xml:space="preserve">. </w:t>
      </w:r>
      <w:r w:rsidR="009F128C" w:rsidRPr="00B5675D">
        <w:rPr>
          <w:lang w:val="en-GB"/>
        </w:rPr>
        <w:t>The hydrolysis was carried out under gentle mixing on a rotary shaker at 50 °C for 40 h.</w:t>
      </w:r>
    </w:p>
    <w:p w14:paraId="20E86179" w14:textId="77777777" w:rsidR="009F128C" w:rsidRPr="00B5675D" w:rsidRDefault="009F128C" w:rsidP="009F128C">
      <w:pPr>
        <w:pStyle w:val="CETBodytext"/>
        <w:rPr>
          <w:rFonts w:ascii="Times New Roman" w:hAnsi="Times New Roman"/>
          <w:sz w:val="20"/>
        </w:rPr>
      </w:pPr>
    </w:p>
    <w:p w14:paraId="434D29A5" w14:textId="360190C1" w:rsidR="0039361F" w:rsidRPr="00B5675D" w:rsidRDefault="009F128C" w:rsidP="009F128C">
      <w:pPr>
        <w:pStyle w:val="CETBodytext"/>
        <w:rPr>
          <w:b/>
        </w:rPr>
      </w:pPr>
      <w:r w:rsidRPr="00B5675D">
        <w:rPr>
          <w:b/>
        </w:rPr>
        <w:t xml:space="preserve">2.3 </w:t>
      </w:r>
      <w:r w:rsidR="0039361F" w:rsidRPr="00B5675D">
        <w:rPr>
          <w:b/>
        </w:rPr>
        <w:t>Chemical and physical characterization of raw and hydrolyzed hemp seed cake flour</w:t>
      </w:r>
    </w:p>
    <w:p w14:paraId="68FB5AA2" w14:textId="4F268198" w:rsidR="0039361F" w:rsidRPr="00B5675D" w:rsidRDefault="009F128C" w:rsidP="001B473D">
      <w:pPr>
        <w:pStyle w:val="CETheadingx"/>
      </w:pPr>
      <w:r w:rsidRPr="00B5675D">
        <w:t xml:space="preserve">2.3.1 </w:t>
      </w:r>
      <w:r w:rsidR="0039361F" w:rsidRPr="00B5675D">
        <w:t xml:space="preserve">Total Polyphenols </w:t>
      </w:r>
      <w:r w:rsidR="004A1E43" w:rsidRPr="00B5675D">
        <w:t>C</w:t>
      </w:r>
      <w:r w:rsidR="0039361F" w:rsidRPr="00B5675D">
        <w:t>ontent</w:t>
      </w:r>
    </w:p>
    <w:p w14:paraId="780F508F" w14:textId="710A3AA7" w:rsidR="0039361F" w:rsidRPr="00C05D18" w:rsidRDefault="0039361F" w:rsidP="0039361F">
      <w:pPr>
        <w:pStyle w:val="CETBodytext"/>
      </w:pPr>
      <w:r w:rsidRPr="00B5675D">
        <w:t xml:space="preserve">The total polyphenol content (TPC) of raw and hydrolyzed HSCF was determined through </w:t>
      </w:r>
      <w:r w:rsidR="0073289E" w:rsidRPr="00B5675D">
        <w:t xml:space="preserve">the </w:t>
      </w:r>
      <w:r w:rsidRPr="00B5675D">
        <w:t>Folin-</w:t>
      </w:r>
      <w:proofErr w:type="spellStart"/>
      <w:r w:rsidRPr="00B5675D">
        <w:t>Ciocalteu</w:t>
      </w:r>
      <w:proofErr w:type="spellEnd"/>
      <w:r w:rsidRPr="00B5675D">
        <w:t xml:space="preserve"> method (Singleton et al., 1965). For the </w:t>
      </w:r>
      <w:proofErr w:type="gramStart"/>
      <w:r w:rsidRPr="00B5675D">
        <w:t>polyphenols</w:t>
      </w:r>
      <w:proofErr w:type="gramEnd"/>
      <w:r w:rsidRPr="00B5675D">
        <w:t xml:space="preserve"> extraction, 2.5 g of sample was mixed with 50 mL of </w:t>
      </w:r>
      <w:proofErr w:type="gramStart"/>
      <w:r w:rsidRPr="00B5675D">
        <w:t>a</w:t>
      </w:r>
      <w:proofErr w:type="gramEnd"/>
      <w:r w:rsidRPr="00B5675D">
        <w:t xml:space="preserve"> 80:20 </w:t>
      </w:r>
      <w:proofErr w:type="spellStart"/>
      <w:proofErr w:type="gramStart"/>
      <w:r w:rsidRPr="00B5675D">
        <w:t>methanol:water</w:t>
      </w:r>
      <w:proofErr w:type="spellEnd"/>
      <w:proofErr w:type="gramEnd"/>
      <w:r w:rsidRPr="00B5675D">
        <w:t xml:space="preserve"> (v/v) solution. The solution was left to stir for 30 min and then centrifuged at 4000 g for 5 min. The supernatant was collected and analyzed.</w:t>
      </w:r>
      <w:r w:rsidR="00C05D18" w:rsidRPr="00B5675D">
        <w:t xml:space="preserve"> </w:t>
      </w:r>
      <w:r w:rsidRPr="00B5675D">
        <w:rPr>
          <w:lang w:val="en-GB"/>
        </w:rPr>
        <w:t>The absorbance at</w:t>
      </w:r>
      <w:r w:rsidR="00EB436E" w:rsidRPr="00B5675D">
        <w:rPr>
          <w:lang w:val="en-GB"/>
        </w:rPr>
        <w:t xml:space="preserve"> </w:t>
      </w:r>
      <w:r w:rsidRPr="00B5675D">
        <w:rPr>
          <w:i/>
          <w:iCs/>
          <w:lang w:val="en-GB"/>
        </w:rPr>
        <w:t>λ</w:t>
      </w:r>
      <w:r w:rsidRPr="00B5675D">
        <w:rPr>
          <w:lang w:val="en-GB"/>
        </w:rPr>
        <w:t xml:space="preserve"> = 760 nm was determined at room temperature using a UV – 6300PC Double Beam Spectrophotometer (VWR International </w:t>
      </w:r>
      <w:proofErr w:type="spellStart"/>
      <w:r w:rsidRPr="00B5675D">
        <w:rPr>
          <w:lang w:val="en-GB"/>
        </w:rPr>
        <w:t>S.r.l</w:t>
      </w:r>
      <w:proofErr w:type="spellEnd"/>
      <w:r w:rsidRPr="00B5675D">
        <w:rPr>
          <w:lang w:val="en-GB"/>
        </w:rPr>
        <w:t>.,</w:t>
      </w:r>
      <w:r w:rsidR="00A50757" w:rsidRPr="00B5675D">
        <w:rPr>
          <w:lang w:val="en-GB"/>
        </w:rPr>
        <w:t xml:space="preserve"> </w:t>
      </w:r>
      <w:r w:rsidR="00A50757" w:rsidRPr="00B5675D">
        <w:rPr>
          <w:color w:val="FF0000"/>
          <w:lang w:val="en-GB"/>
        </w:rPr>
        <w:t>Milano,</w:t>
      </w:r>
      <w:r w:rsidR="00A50757" w:rsidRPr="00B5675D">
        <w:rPr>
          <w:lang w:val="en-GB"/>
        </w:rPr>
        <w:t xml:space="preserve"> </w:t>
      </w:r>
      <w:r w:rsidRPr="00B5675D">
        <w:rPr>
          <w:lang w:val="en-GB"/>
        </w:rPr>
        <w:t>Italy). Quantification was based on a standard</w:t>
      </w:r>
      <w:r w:rsidRPr="0039361F">
        <w:rPr>
          <w:lang w:val="en-GB"/>
        </w:rPr>
        <w:t xml:space="preserve"> curve generated using gallic acid. The results were expressed as mg of gallic acid equivalent (GAE)/kg of dried </w:t>
      </w:r>
      <w:r w:rsidR="00F149BE" w:rsidRPr="0039361F">
        <w:rPr>
          <w:lang w:val="en-GB"/>
        </w:rPr>
        <w:t>flour</w:t>
      </w:r>
      <w:r w:rsidR="00F149BE">
        <w:rPr>
          <w:lang w:val="en-GB"/>
        </w:rPr>
        <w:t xml:space="preserve"> </w:t>
      </w:r>
      <w:r w:rsidR="0073289E">
        <w:rPr>
          <w:lang w:val="en-GB"/>
        </w:rPr>
        <w:t>weight</w:t>
      </w:r>
      <w:r w:rsidRPr="0039361F">
        <w:rPr>
          <w:lang w:val="en-GB"/>
        </w:rPr>
        <w:t xml:space="preserve"> (</w:t>
      </w:r>
      <w:proofErr w:type="spellStart"/>
      <w:r w:rsidRPr="0039361F">
        <w:rPr>
          <w:lang w:val="en-GB"/>
        </w:rPr>
        <w:t>dw</w:t>
      </w:r>
      <w:proofErr w:type="spellEnd"/>
      <w:r w:rsidRPr="0039361F">
        <w:rPr>
          <w:lang w:val="en-GB"/>
        </w:rPr>
        <w:t>)</w:t>
      </w:r>
      <w:r>
        <w:rPr>
          <w:lang w:val="en-GB"/>
        </w:rPr>
        <w:t>.</w:t>
      </w:r>
    </w:p>
    <w:p w14:paraId="398ECBC1" w14:textId="4E52A82C" w:rsidR="0039361F" w:rsidRPr="0039361F" w:rsidRDefault="0039361F" w:rsidP="001B473D">
      <w:pPr>
        <w:pStyle w:val="CETheadingx"/>
      </w:pPr>
      <w:r w:rsidRPr="0039361F">
        <w:t xml:space="preserve">2.3.2 </w:t>
      </w:r>
      <w:r>
        <w:t>DPPH Radical Scavenging Activity</w:t>
      </w:r>
    </w:p>
    <w:p w14:paraId="17E4A4B1" w14:textId="6E4EB154" w:rsidR="0039361F" w:rsidRDefault="0039361F" w:rsidP="00C05D18">
      <w:r w:rsidRPr="0039361F">
        <w:t>Antioxidant activity (AA) of raw</w:t>
      </w:r>
      <w:r>
        <w:t xml:space="preserve"> and</w:t>
      </w:r>
      <w:r w:rsidRPr="0039361F">
        <w:t xml:space="preserve"> </w:t>
      </w:r>
      <w:proofErr w:type="spellStart"/>
      <w:r w:rsidRPr="0039361F">
        <w:t>hydrolyzed</w:t>
      </w:r>
      <w:proofErr w:type="spellEnd"/>
      <w:r w:rsidRPr="0039361F">
        <w:t xml:space="preserve"> HSCF was determined by </w:t>
      </w:r>
      <w:r w:rsidRPr="009A1AB2">
        <w:rPr>
          <w:color w:val="FF0000"/>
        </w:rPr>
        <w:t>1,1-diphenil-2-picrylhydraz</w:t>
      </w:r>
      <w:r w:rsidR="009A1AB2" w:rsidRPr="009A1AB2">
        <w:rPr>
          <w:color w:val="FF0000"/>
        </w:rPr>
        <w:t>y</w:t>
      </w:r>
      <w:r w:rsidRPr="009A1AB2">
        <w:rPr>
          <w:color w:val="FF0000"/>
        </w:rPr>
        <w:t xml:space="preserve">l </w:t>
      </w:r>
      <w:r w:rsidRPr="0039361F">
        <w:t xml:space="preserve">(DPPH) radical scavenging </w:t>
      </w:r>
      <w:r w:rsidRPr="00B5675D">
        <w:t>assay (Brand-Williams et al., 1995).</w:t>
      </w:r>
      <w:r w:rsidR="00C05D18">
        <w:t xml:space="preserve"> </w:t>
      </w:r>
      <w:r w:rsidRPr="0039361F">
        <w:t>Methanolic extracts were prepared by dissolving 0.5 g of each sample in 5 mL of methanol under mixing for 30 min.</w:t>
      </w:r>
      <w:r>
        <w:t xml:space="preserve"> </w:t>
      </w:r>
      <w:r w:rsidRPr="0039361F">
        <w:t>3.9 mL of freshly prepared DPPH radical solution (6*10</w:t>
      </w:r>
      <w:r w:rsidRPr="009F128C">
        <w:rPr>
          <w:vertAlign w:val="superscript"/>
        </w:rPr>
        <w:t>-5</w:t>
      </w:r>
      <w:r w:rsidRPr="0039361F">
        <w:t xml:space="preserve"> M) was added to 134 µL of methanolic extract (0.1 g/ml) and incubated in the dark for 40 min at room temperature. The bleaching of DPPH was recorded at 515</w:t>
      </w:r>
      <w:r w:rsidR="0073289E">
        <w:t xml:space="preserve"> </w:t>
      </w:r>
      <w:r w:rsidRPr="0039361F">
        <w:t xml:space="preserve">nm by a UV – 6300PC Double Beam Spectrophotometer (VWR International </w:t>
      </w:r>
      <w:proofErr w:type="spellStart"/>
      <w:r w:rsidRPr="0039361F">
        <w:t>S.r.l</w:t>
      </w:r>
      <w:proofErr w:type="spellEnd"/>
      <w:r w:rsidRPr="0039361F">
        <w:t>.</w:t>
      </w:r>
      <w:r w:rsidR="00A50757">
        <w:t xml:space="preserve">, </w:t>
      </w:r>
      <w:r w:rsidR="00A50757" w:rsidRPr="00A50757">
        <w:rPr>
          <w:color w:val="FF0000"/>
        </w:rPr>
        <w:t>Milano,</w:t>
      </w:r>
      <w:r w:rsidRPr="0039361F">
        <w:t xml:space="preserve"> Italy) at room temperature (</w:t>
      </w:r>
      <w:proofErr w:type="spellStart"/>
      <w:r w:rsidRPr="0039361F">
        <w:t>A</w:t>
      </w:r>
      <w:r w:rsidRPr="0026222A">
        <w:rPr>
          <w:vertAlign w:val="subscript"/>
        </w:rPr>
        <w:t>sample</w:t>
      </w:r>
      <w:proofErr w:type="spellEnd"/>
      <w:r w:rsidRPr="0039361F">
        <w:t>). A blank experiment was also carried out by applying the same procedure to a solution without sample (</w:t>
      </w:r>
      <w:proofErr w:type="spellStart"/>
      <w:r w:rsidRPr="0039361F">
        <w:t>A</w:t>
      </w:r>
      <w:r w:rsidRPr="0026222A">
        <w:rPr>
          <w:vertAlign w:val="subscript"/>
        </w:rPr>
        <w:t>blank</w:t>
      </w:r>
      <w:proofErr w:type="spellEnd"/>
      <w:r w:rsidRPr="0039361F">
        <w:t>). The percentage inhibition was calculated as follows</w:t>
      </w:r>
      <w:r>
        <w:t>:</w:t>
      </w:r>
    </w:p>
    <w:p w14:paraId="1F2C76DE" w14:textId="3098A160" w:rsidR="0039361F" w:rsidRPr="00B47395" w:rsidRDefault="00B25C45" w:rsidP="007E65E5">
      <w:pPr>
        <w:pStyle w:val="CETBodytext"/>
        <w:spacing w:after="160"/>
        <w:jc w:val="left"/>
        <w:rPr>
          <w:rFonts w:cs="Arial"/>
          <w:iCs/>
          <w:lang w:val="en-GB"/>
        </w:rPr>
      </w:pPr>
      <m:oMath>
        <m:r>
          <m:rPr>
            <m:sty m:val="p"/>
          </m:rPr>
          <w:rPr>
            <w:rFonts w:ascii="Cambria Math" w:eastAsiaTheme="minorHAnsi" w:hAnsi="Cambria Math"/>
            <w:szCs w:val="18"/>
          </w:rPr>
          <m:t>% inhibition of DPPH=</m:t>
        </m:r>
        <m:f>
          <m:fPr>
            <m:ctrlPr>
              <w:rPr>
                <w:rFonts w:ascii="Cambria Math" w:eastAsiaTheme="minorHAnsi" w:hAnsi="Cambria Math"/>
                <w:szCs w:val="18"/>
              </w:rPr>
            </m:ctrlPr>
          </m:fPr>
          <m:num>
            <m:d>
              <m:dPr>
                <m:ctrlPr>
                  <w:rPr>
                    <w:rFonts w:ascii="Cambria Math" w:eastAsiaTheme="minorHAnsi" w:hAnsi="Cambria Math"/>
                    <w:szCs w:val="18"/>
                  </w:rPr>
                </m:ctrlPr>
              </m:dPr>
              <m:e>
                <m:sSub>
                  <m:sSubPr>
                    <m:ctrlPr>
                      <w:rPr>
                        <w:rFonts w:ascii="Cambria Math" w:eastAsiaTheme="minorHAnsi" w:hAnsi="Cambria Math"/>
                        <w:szCs w:val="18"/>
                      </w:rPr>
                    </m:ctrlPr>
                  </m:sSubPr>
                  <m:e>
                    <m:r>
                      <m:rPr>
                        <m:sty m:val="p"/>
                      </m:rPr>
                      <w:rPr>
                        <w:rFonts w:ascii="Cambria Math" w:eastAsiaTheme="minorHAnsi" w:hAnsi="Cambria Math"/>
                        <w:szCs w:val="18"/>
                      </w:rPr>
                      <m:t>A</m:t>
                    </m:r>
                  </m:e>
                  <m:sub>
                    <m:r>
                      <m:rPr>
                        <m:sty m:val="p"/>
                      </m:rPr>
                      <w:rPr>
                        <w:rFonts w:ascii="Cambria Math" w:eastAsiaTheme="minorHAnsi" w:hAnsi="Cambria Math"/>
                        <w:szCs w:val="18"/>
                      </w:rPr>
                      <m:t>blank</m:t>
                    </m:r>
                  </m:sub>
                </m:sSub>
                <m:r>
                  <m:rPr>
                    <m:sty m:val="p"/>
                  </m:rPr>
                  <w:rPr>
                    <w:rFonts w:ascii="Cambria Math" w:eastAsiaTheme="minorHAnsi" w:hAnsi="Cambria Math"/>
                    <w:szCs w:val="18"/>
                  </w:rPr>
                  <m:t>-</m:t>
                </m:r>
                <m:sSub>
                  <m:sSubPr>
                    <m:ctrlPr>
                      <w:rPr>
                        <w:rFonts w:ascii="Cambria Math" w:eastAsiaTheme="minorHAnsi" w:hAnsi="Cambria Math"/>
                        <w:szCs w:val="18"/>
                      </w:rPr>
                    </m:ctrlPr>
                  </m:sSubPr>
                  <m:e>
                    <m:r>
                      <m:rPr>
                        <m:sty m:val="p"/>
                      </m:rPr>
                      <w:rPr>
                        <w:rFonts w:ascii="Cambria Math" w:eastAsiaTheme="minorHAnsi" w:hAnsi="Cambria Math"/>
                        <w:szCs w:val="18"/>
                      </w:rPr>
                      <m:t>A</m:t>
                    </m:r>
                  </m:e>
                  <m:sub>
                    <m:r>
                      <m:rPr>
                        <m:sty m:val="p"/>
                      </m:rPr>
                      <w:rPr>
                        <w:rFonts w:ascii="Cambria Math" w:eastAsiaTheme="minorHAnsi" w:hAnsi="Cambria Math"/>
                        <w:szCs w:val="18"/>
                      </w:rPr>
                      <m:t>sample</m:t>
                    </m:r>
                  </m:sub>
                </m:sSub>
              </m:e>
            </m:d>
          </m:num>
          <m:den>
            <m:sSub>
              <m:sSubPr>
                <m:ctrlPr>
                  <w:rPr>
                    <w:rFonts w:ascii="Cambria Math" w:eastAsiaTheme="minorHAnsi" w:hAnsi="Cambria Math"/>
                    <w:szCs w:val="18"/>
                  </w:rPr>
                </m:ctrlPr>
              </m:sSubPr>
              <m:e>
                <m:r>
                  <m:rPr>
                    <m:sty m:val="p"/>
                  </m:rPr>
                  <w:rPr>
                    <w:rFonts w:ascii="Cambria Math" w:eastAsiaTheme="minorHAnsi" w:hAnsi="Cambria Math"/>
                    <w:szCs w:val="18"/>
                  </w:rPr>
                  <m:t>A</m:t>
                </m:r>
              </m:e>
              <m:sub>
                <m:r>
                  <m:rPr>
                    <m:sty m:val="p"/>
                  </m:rPr>
                  <w:rPr>
                    <w:rFonts w:ascii="Cambria Math" w:eastAsiaTheme="minorHAnsi" w:hAnsi="Cambria Math"/>
                    <w:szCs w:val="18"/>
                  </w:rPr>
                  <m:t>blank</m:t>
                </m:r>
              </m:sub>
            </m:sSub>
          </m:den>
        </m:f>
        <m:r>
          <m:rPr>
            <m:sty m:val="p"/>
          </m:rPr>
          <w:rPr>
            <w:rFonts w:ascii="Cambria Math" w:eastAsiaTheme="minorHAnsi" w:hAnsi="Cambria Math"/>
            <w:szCs w:val="18"/>
          </w:rPr>
          <m:t>*100</m:t>
        </m:r>
      </m:oMath>
      <w:r w:rsidR="0039361F" w:rsidRPr="00B47395">
        <w:rPr>
          <w:rFonts w:cs="Arial"/>
          <w:iCs/>
        </w:rPr>
        <w:t xml:space="preserve">                 (1)</w:t>
      </w:r>
    </w:p>
    <w:p w14:paraId="1717DD4A" w14:textId="75221E05" w:rsidR="0039361F" w:rsidRDefault="00A50757" w:rsidP="0039361F">
      <w:pPr>
        <w:pStyle w:val="CETBodytext"/>
        <w:rPr>
          <w:lang w:val="en-GB"/>
        </w:rPr>
      </w:pPr>
      <w:r w:rsidRPr="00A50757">
        <w:rPr>
          <w:color w:val="FF0000"/>
          <w:lang w:val="en-GB"/>
        </w:rPr>
        <w:t>AA</w:t>
      </w:r>
      <w:r w:rsidR="0039361F" w:rsidRPr="0039361F">
        <w:rPr>
          <w:lang w:val="en-GB"/>
        </w:rPr>
        <w:t xml:space="preserve"> was expressed as µmol of Trolox equivalent per gram of sample. Values were determined by a calibration curve of Trolox standard </w:t>
      </w:r>
      <w:r w:rsidR="009F128C" w:rsidRPr="0039361F">
        <w:rPr>
          <w:lang w:val="en-GB"/>
        </w:rPr>
        <w:t>solutions in</w:t>
      </w:r>
      <w:r w:rsidR="0039361F" w:rsidRPr="0039361F">
        <w:rPr>
          <w:lang w:val="en-GB"/>
        </w:rPr>
        <w:t xml:space="preserve"> the range 60-600 µM, performed according to sample preparation.</w:t>
      </w:r>
    </w:p>
    <w:p w14:paraId="3460407B" w14:textId="38E6A8DE" w:rsidR="0039361F" w:rsidRDefault="009F128C" w:rsidP="001B473D">
      <w:pPr>
        <w:pStyle w:val="CETheadingx"/>
      </w:pPr>
      <w:r>
        <w:lastRenderedPageBreak/>
        <w:t xml:space="preserve">2.3.3 </w:t>
      </w:r>
      <w:r w:rsidR="0039361F" w:rsidRPr="00A50757">
        <w:rPr>
          <w:color w:val="FF0000"/>
        </w:rPr>
        <w:t>Color</w:t>
      </w:r>
      <w:r w:rsidR="0039361F">
        <w:t xml:space="preserve"> Evaluation</w:t>
      </w:r>
    </w:p>
    <w:p w14:paraId="3FBD90DD" w14:textId="49DA36C4" w:rsidR="009F128C" w:rsidRPr="0039361F" w:rsidRDefault="0039361F" w:rsidP="007E65E5">
      <w:pPr>
        <w:spacing w:after="160"/>
      </w:pPr>
      <w:r w:rsidRPr="0039361F">
        <w:t xml:space="preserve">The </w:t>
      </w:r>
      <w:proofErr w:type="spellStart"/>
      <w:r w:rsidR="0026222A" w:rsidRPr="00A50757">
        <w:rPr>
          <w:color w:val="FF0000"/>
        </w:rPr>
        <w:t>color</w:t>
      </w:r>
      <w:proofErr w:type="spellEnd"/>
      <w:r w:rsidRPr="0039361F">
        <w:t xml:space="preserve"> of raw</w:t>
      </w:r>
      <w:r>
        <w:t xml:space="preserve"> </w:t>
      </w:r>
      <w:r w:rsidRPr="0039361F">
        <w:t xml:space="preserve">and </w:t>
      </w:r>
      <w:proofErr w:type="spellStart"/>
      <w:r w:rsidR="00612F7C">
        <w:t>hydrolyzed</w:t>
      </w:r>
      <w:proofErr w:type="spellEnd"/>
      <w:r w:rsidRPr="0039361F">
        <w:t xml:space="preserve"> HSCF was evaluated with a Minolta CR-400 </w:t>
      </w:r>
      <w:r w:rsidR="0026222A" w:rsidRPr="00A50757">
        <w:rPr>
          <w:color w:val="FF0000"/>
        </w:rPr>
        <w:t>colorimeter</w:t>
      </w:r>
      <w:r w:rsidRPr="00A50757">
        <w:rPr>
          <w:color w:val="FF0000"/>
        </w:rPr>
        <w:t xml:space="preserve"> </w:t>
      </w:r>
      <w:r w:rsidRPr="0039361F">
        <w:t xml:space="preserve">(Konica Minolta Sensing, Osaka, Japan) for the detection </w:t>
      </w:r>
      <w:r w:rsidR="009F128C" w:rsidRPr="0039361F">
        <w:t>of L</w:t>
      </w:r>
      <w:r w:rsidR="00A50757" w:rsidRPr="00A50757">
        <w:rPr>
          <w:color w:val="FF0000"/>
        </w:rPr>
        <w:t>*</w:t>
      </w:r>
      <w:r w:rsidRPr="0039361F">
        <w:t>, a</w:t>
      </w:r>
      <w:r w:rsidR="00A50757" w:rsidRPr="00A50757">
        <w:rPr>
          <w:color w:val="FF0000"/>
        </w:rPr>
        <w:t>*</w:t>
      </w:r>
      <w:r w:rsidRPr="0039361F">
        <w:t>, and b</w:t>
      </w:r>
      <w:r w:rsidR="00A50757" w:rsidRPr="00A50757">
        <w:rPr>
          <w:color w:val="FF0000"/>
        </w:rPr>
        <w:t>*</w:t>
      </w:r>
      <w:r w:rsidRPr="0039361F">
        <w:t xml:space="preserve"> (CIE L</w:t>
      </w:r>
      <w:r w:rsidR="00A50757" w:rsidRPr="00A50757">
        <w:rPr>
          <w:color w:val="FF0000"/>
        </w:rPr>
        <w:t>*</w:t>
      </w:r>
      <w:r w:rsidRPr="0039361F">
        <w:t>a</w:t>
      </w:r>
      <w:r w:rsidR="00A50757" w:rsidRPr="00A50757">
        <w:rPr>
          <w:color w:val="FF0000"/>
        </w:rPr>
        <w:t>*</w:t>
      </w:r>
      <w:r w:rsidRPr="0039361F">
        <w:t>b</w:t>
      </w:r>
      <w:r w:rsidR="00A50757" w:rsidRPr="00A50757">
        <w:rPr>
          <w:color w:val="FF0000"/>
        </w:rPr>
        <w:t>*</w:t>
      </w:r>
      <w:r w:rsidRPr="0039361F">
        <w:t xml:space="preserve"> </w:t>
      </w:r>
      <w:proofErr w:type="spellStart"/>
      <w:r w:rsidRPr="00A50757">
        <w:rPr>
          <w:color w:val="FF0000"/>
        </w:rPr>
        <w:t>color</w:t>
      </w:r>
      <w:proofErr w:type="spellEnd"/>
      <w:r w:rsidRPr="0039361F">
        <w:t xml:space="preserve"> space). </w:t>
      </w:r>
      <w:r w:rsidR="009F128C">
        <w:t xml:space="preserve">The overall </w:t>
      </w:r>
      <w:proofErr w:type="spellStart"/>
      <w:r w:rsidR="009F128C" w:rsidRPr="00A50757">
        <w:rPr>
          <w:color w:val="FF0000"/>
        </w:rPr>
        <w:t>color</w:t>
      </w:r>
      <w:proofErr w:type="spellEnd"/>
      <w:r w:rsidR="009F128C">
        <w:t xml:space="preserve"> </w:t>
      </w:r>
      <w:r w:rsidR="00173C06">
        <w:t>difference</w:t>
      </w:r>
      <w:r w:rsidR="009F128C">
        <w:t xml:space="preserve"> (</w:t>
      </w:r>
      <m:oMath>
        <m:r>
          <m:rPr>
            <m:sty m:val="p"/>
          </m:rPr>
          <w:rPr>
            <w:rFonts w:ascii="Cambria Math" w:hAnsi="Cambria Math"/>
          </w:rPr>
          <m:t>∆</m:t>
        </m:r>
        <m:r>
          <w:rPr>
            <w:rFonts w:ascii="Cambria Math" w:hAnsi="Cambria Math"/>
          </w:rPr>
          <m:t>E</m:t>
        </m:r>
      </m:oMath>
      <w:r w:rsidR="009F128C">
        <w:rPr>
          <w:iCs/>
        </w:rPr>
        <w:t>), Chroma (C</w:t>
      </w:r>
      <w:r w:rsidR="00A8016A">
        <w:rPr>
          <w:iCs/>
        </w:rPr>
        <w:t>*</w:t>
      </w:r>
      <w:r w:rsidR="009F128C">
        <w:rPr>
          <w:iCs/>
        </w:rPr>
        <w:t>) and Hue angle (</w:t>
      </w:r>
      <w:r w:rsidR="00A50757" w:rsidRPr="00A50757">
        <w:rPr>
          <w:iCs/>
          <w:color w:val="FF0000"/>
        </w:rPr>
        <w:t>h</w:t>
      </w:r>
      <w:r w:rsidR="009F128C">
        <w:rPr>
          <w:iCs/>
        </w:rPr>
        <w:t>°) were calculated as follows:</w:t>
      </w:r>
    </w:p>
    <w:p w14:paraId="56708865" w14:textId="6752BAF6" w:rsidR="0039361F" w:rsidRDefault="00A50757" w:rsidP="007E65E5">
      <w:pPr>
        <w:spacing w:after="160"/>
        <w:rPr>
          <w:rFonts w:cs="Arial"/>
        </w:rPr>
      </w:pPr>
      <m:oMath>
        <m:r>
          <m:rPr>
            <m:sty m:val="p"/>
          </m:rPr>
          <w:rPr>
            <w:rFonts w:ascii="Cambria Math" w:hAnsi="Cambria Math" w:cs="Arial"/>
            <w:color w:val="FF0000"/>
          </w:rPr>
          <m:t>∆</m:t>
        </m:r>
        <m:sSup>
          <m:sSupPr>
            <m:ctrlPr>
              <w:rPr>
                <w:rFonts w:ascii="Cambria Math" w:hAnsi="Cambria Math" w:cs="Arial"/>
                <w:color w:val="FF0000"/>
              </w:rPr>
            </m:ctrlPr>
          </m:sSupPr>
          <m:e>
            <m:r>
              <m:rPr>
                <m:sty m:val="p"/>
              </m:rPr>
              <w:rPr>
                <w:rFonts w:ascii="Cambria Math" w:hAnsi="Cambria Math" w:cs="Arial"/>
                <w:color w:val="FF0000"/>
              </w:rPr>
              <m:t>E</m:t>
            </m:r>
          </m:e>
          <m:sup>
            <m:r>
              <m:rPr>
                <m:sty m:val="p"/>
              </m:rPr>
              <w:rPr>
                <w:rFonts w:ascii="Cambria Math" w:hAnsi="Cambria Math" w:cs="Arial"/>
                <w:color w:val="FF0000"/>
              </w:rPr>
              <m:t>*</m:t>
            </m:r>
          </m:sup>
        </m:sSup>
        <m:r>
          <m:rPr>
            <m:sty m:val="p"/>
          </m:rPr>
          <w:rPr>
            <w:rFonts w:ascii="Cambria Math" w:hAnsi="Cambria Math" w:cs="Arial"/>
            <w:color w:val="FF0000"/>
          </w:rPr>
          <m:t>=</m:t>
        </m:r>
        <m:rad>
          <m:radPr>
            <m:degHide m:val="1"/>
            <m:ctrlPr>
              <w:rPr>
                <w:rFonts w:ascii="Cambria Math" w:hAnsi="Cambria Math" w:cs="Arial"/>
                <w:color w:val="FF0000"/>
              </w:rPr>
            </m:ctrlPr>
          </m:radPr>
          <m:deg/>
          <m:e>
            <m:sSup>
              <m:sSupPr>
                <m:ctrlPr>
                  <w:rPr>
                    <w:rFonts w:ascii="Cambria Math" w:hAnsi="Cambria Math" w:cs="Arial"/>
                    <w:color w:val="FF0000"/>
                  </w:rPr>
                </m:ctrlPr>
              </m:sSupPr>
              <m:e>
                <m:sSup>
                  <m:sSupPr>
                    <m:ctrlPr>
                      <w:rPr>
                        <w:rFonts w:ascii="Cambria Math" w:hAnsi="Cambria Math" w:cs="Arial"/>
                        <w:color w:val="FF0000"/>
                      </w:rPr>
                    </m:ctrlPr>
                  </m:sSupPr>
                  <m:e>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L</m:t>
                        </m:r>
                      </m:e>
                      <m:sub>
                        <m:r>
                          <m:rPr>
                            <m:sty m:val="p"/>
                          </m:rPr>
                          <w:rPr>
                            <w:rFonts w:ascii="Cambria Math" w:hAnsi="Cambria Math" w:cs="Arial"/>
                            <w:color w:val="FF0000"/>
                          </w:rPr>
                          <m:t>1</m:t>
                        </m:r>
                      </m:sub>
                    </m:sSub>
                  </m:e>
                  <m:sup>
                    <m:r>
                      <m:rPr>
                        <m:sty m:val="p"/>
                      </m:rPr>
                      <w:rPr>
                        <w:rFonts w:ascii="Cambria Math" w:hAnsi="Cambria Math" w:cs="Arial"/>
                        <w:color w:val="FF0000"/>
                      </w:rPr>
                      <m:t>*</m:t>
                    </m:r>
                  </m:sup>
                </m:sSup>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L</m:t>
                    </m:r>
                  </m:e>
                  <m:sub>
                    <m:r>
                      <m:rPr>
                        <m:sty m:val="p"/>
                      </m:rPr>
                      <w:rPr>
                        <w:rFonts w:ascii="Cambria Math" w:hAnsi="Cambria Math" w:cs="Arial"/>
                        <w:color w:val="FF0000"/>
                      </w:rPr>
                      <m:t>2</m:t>
                    </m:r>
                  </m:sub>
                  <m:sup>
                    <m:r>
                      <m:rPr>
                        <m:sty m:val="p"/>
                      </m:rPr>
                      <w:rPr>
                        <w:rFonts w:ascii="Cambria Math" w:hAnsi="Cambria Math" w:cs="Arial"/>
                        <w:color w:val="FF0000"/>
                      </w:rPr>
                      <m:t>*</m:t>
                    </m:r>
                  </m:sup>
                </m:sSubSup>
                <m:r>
                  <m:rPr>
                    <m:sty m:val="p"/>
                  </m:rPr>
                  <w:rPr>
                    <w:rFonts w:ascii="Cambria Math" w:hAnsi="Cambria Math" w:cs="Arial"/>
                    <w:color w:val="FF0000"/>
                  </w:rPr>
                  <m:t>)</m:t>
                </m:r>
              </m:e>
              <m:sup>
                <m:r>
                  <m:rPr>
                    <m:sty m:val="p"/>
                  </m:rPr>
                  <w:rPr>
                    <w:rFonts w:ascii="Cambria Math" w:hAnsi="Cambria Math" w:cs="Arial"/>
                    <w:color w:val="FF0000"/>
                  </w:rPr>
                  <m:t>2</m:t>
                </m:r>
              </m:sup>
            </m:sSup>
            <m:r>
              <m:rPr>
                <m:sty m:val="p"/>
              </m:rPr>
              <w:rPr>
                <w:rFonts w:ascii="Cambria Math" w:hAnsi="Cambria Math" w:cs="Arial"/>
                <w:color w:val="FF0000"/>
              </w:rPr>
              <m:t>+</m:t>
            </m:r>
            <m:sSup>
              <m:sSupPr>
                <m:ctrlPr>
                  <w:rPr>
                    <w:rFonts w:ascii="Cambria Math" w:hAnsi="Cambria Math" w:cs="Arial"/>
                    <w:color w:val="FF0000"/>
                  </w:rPr>
                </m:ctrlPr>
              </m:sSupPr>
              <m:e>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a</m:t>
                    </m:r>
                  </m:e>
                  <m:sub>
                    <m:r>
                      <m:rPr>
                        <m:sty m:val="p"/>
                      </m:rPr>
                      <w:rPr>
                        <w:rFonts w:ascii="Cambria Math" w:hAnsi="Cambria Math" w:cs="Arial"/>
                        <w:color w:val="FF0000"/>
                      </w:rPr>
                      <m:t>1</m:t>
                    </m:r>
                  </m:sub>
                  <m:sup>
                    <m:r>
                      <m:rPr>
                        <m:sty m:val="p"/>
                      </m:rPr>
                      <w:rPr>
                        <w:rFonts w:ascii="Cambria Math" w:hAnsi="Cambria Math" w:cs="Arial"/>
                        <w:color w:val="FF0000"/>
                      </w:rPr>
                      <m:t>*</m:t>
                    </m:r>
                  </m:sup>
                </m:sSubSup>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a</m:t>
                    </m:r>
                  </m:e>
                  <m:sub>
                    <m:r>
                      <m:rPr>
                        <m:sty m:val="p"/>
                      </m:rPr>
                      <w:rPr>
                        <w:rFonts w:ascii="Cambria Math" w:hAnsi="Cambria Math" w:cs="Arial"/>
                        <w:color w:val="FF0000"/>
                      </w:rPr>
                      <m:t>2</m:t>
                    </m:r>
                  </m:sub>
                  <m:sup>
                    <m:r>
                      <m:rPr>
                        <m:sty m:val="p"/>
                      </m:rPr>
                      <w:rPr>
                        <w:rFonts w:ascii="Cambria Math" w:hAnsi="Cambria Math" w:cs="Arial"/>
                        <w:color w:val="FF0000"/>
                      </w:rPr>
                      <m:t>*</m:t>
                    </m:r>
                  </m:sup>
                </m:sSubSup>
                <m:r>
                  <m:rPr>
                    <m:sty m:val="p"/>
                  </m:rPr>
                  <w:rPr>
                    <w:rFonts w:ascii="Cambria Math" w:hAnsi="Cambria Math" w:cs="Arial"/>
                    <w:color w:val="FF0000"/>
                  </w:rPr>
                  <m:t>)</m:t>
                </m:r>
              </m:e>
              <m:sup>
                <m:r>
                  <m:rPr>
                    <m:sty m:val="p"/>
                  </m:rPr>
                  <w:rPr>
                    <w:rFonts w:ascii="Cambria Math" w:hAnsi="Cambria Math" w:cs="Arial"/>
                    <w:color w:val="FF0000"/>
                  </w:rPr>
                  <m:t>2</m:t>
                </m:r>
              </m:sup>
            </m:sSup>
            <m:r>
              <m:rPr>
                <m:sty m:val="p"/>
              </m:rPr>
              <w:rPr>
                <w:rFonts w:ascii="Cambria Math" w:hAnsi="Cambria Math" w:cs="Arial"/>
                <w:color w:val="FF0000"/>
              </w:rPr>
              <m:t>+</m:t>
            </m:r>
            <m:sSup>
              <m:sSupPr>
                <m:ctrlPr>
                  <w:rPr>
                    <w:rFonts w:ascii="Cambria Math" w:hAnsi="Cambria Math" w:cs="Arial"/>
                    <w:color w:val="FF0000"/>
                  </w:rPr>
                </m:ctrlPr>
              </m:sSupPr>
              <m:e>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b</m:t>
                    </m:r>
                  </m:e>
                  <m:sub>
                    <m:r>
                      <m:rPr>
                        <m:sty m:val="p"/>
                      </m:rPr>
                      <w:rPr>
                        <w:rFonts w:ascii="Cambria Math" w:hAnsi="Cambria Math" w:cs="Arial"/>
                        <w:color w:val="FF0000"/>
                      </w:rPr>
                      <m:t>1</m:t>
                    </m:r>
                  </m:sub>
                  <m:sup>
                    <m:r>
                      <m:rPr>
                        <m:sty m:val="p"/>
                      </m:rPr>
                      <w:rPr>
                        <w:rFonts w:ascii="Cambria Math" w:hAnsi="Cambria Math" w:cs="Arial"/>
                        <w:color w:val="FF0000"/>
                      </w:rPr>
                      <m:t>*</m:t>
                    </m:r>
                  </m:sup>
                </m:sSubSup>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b</m:t>
                    </m:r>
                  </m:e>
                  <m:sub>
                    <m:r>
                      <m:rPr>
                        <m:sty m:val="p"/>
                      </m:rPr>
                      <w:rPr>
                        <w:rFonts w:ascii="Cambria Math" w:hAnsi="Cambria Math" w:cs="Arial"/>
                        <w:color w:val="FF0000"/>
                      </w:rPr>
                      <m:t>2</m:t>
                    </m:r>
                  </m:sub>
                  <m:sup>
                    <m:r>
                      <m:rPr>
                        <m:sty m:val="p"/>
                      </m:rPr>
                      <w:rPr>
                        <w:rFonts w:ascii="Cambria Math" w:hAnsi="Cambria Math" w:cs="Arial"/>
                        <w:color w:val="FF0000"/>
                      </w:rPr>
                      <m:t>*</m:t>
                    </m:r>
                  </m:sup>
                </m:sSubSup>
                <m:r>
                  <m:rPr>
                    <m:sty m:val="p"/>
                  </m:rPr>
                  <w:rPr>
                    <w:rFonts w:ascii="Cambria Math" w:hAnsi="Cambria Math" w:cs="Arial"/>
                    <w:color w:val="FF0000"/>
                  </w:rPr>
                  <m:t>)</m:t>
                </m:r>
              </m:e>
              <m:sup>
                <m:r>
                  <m:rPr>
                    <m:sty m:val="p"/>
                  </m:rPr>
                  <w:rPr>
                    <w:rFonts w:ascii="Cambria Math" w:hAnsi="Cambria Math" w:cs="Arial"/>
                    <w:color w:val="FF0000"/>
                  </w:rPr>
                  <m:t>2</m:t>
                </m:r>
              </m:sup>
            </m:sSup>
            <m:r>
              <m:rPr>
                <m:sty m:val="p"/>
              </m:rPr>
              <w:rPr>
                <w:rFonts w:ascii="Cambria Math" w:hAnsi="Cambria Math" w:cs="Arial"/>
                <w:color w:val="FF0000"/>
              </w:rPr>
              <m:t xml:space="preserve">  </m:t>
            </m:r>
          </m:e>
        </m:rad>
      </m:oMath>
      <w:r w:rsidR="0039361F" w:rsidRPr="00277598">
        <w:rPr>
          <w:rFonts w:cs="Arial"/>
        </w:rPr>
        <w:t xml:space="preserve">             (</w:t>
      </w:r>
      <w:r w:rsidR="009F128C" w:rsidRPr="00277598">
        <w:rPr>
          <w:rFonts w:cs="Arial"/>
        </w:rPr>
        <w:t>2</w:t>
      </w:r>
      <w:r w:rsidR="0039361F" w:rsidRPr="00277598">
        <w:rPr>
          <w:rFonts w:cs="Arial"/>
        </w:rPr>
        <w:t>)</w:t>
      </w:r>
    </w:p>
    <w:p w14:paraId="227E68F7" w14:textId="53D94B56" w:rsidR="009F128C" w:rsidRDefault="00000000" w:rsidP="007E65E5">
      <w:pPr>
        <w:spacing w:after="160"/>
        <w:rPr>
          <w:rFonts w:cs="Arial"/>
        </w:rPr>
      </w:pPr>
      <m:oMath>
        <m:sSup>
          <m:sSupPr>
            <m:ctrlPr>
              <w:rPr>
                <w:rFonts w:ascii="Cambria Math" w:hAnsi="Cambria Math" w:cs="Arial"/>
                <w:color w:val="FF0000"/>
              </w:rPr>
            </m:ctrlPr>
          </m:sSupPr>
          <m:e>
            <m:r>
              <m:rPr>
                <m:sty m:val="p"/>
              </m:rPr>
              <w:rPr>
                <w:rFonts w:ascii="Cambria Math" w:hAnsi="Cambria Math" w:cs="Arial"/>
                <w:color w:val="FF0000"/>
              </w:rPr>
              <m:t>C</m:t>
            </m:r>
          </m:e>
          <m:sup>
            <m:r>
              <m:rPr>
                <m:sty m:val="p"/>
              </m:rPr>
              <w:rPr>
                <w:rFonts w:ascii="Cambria Math" w:hAnsi="Cambria Math" w:cs="Arial"/>
                <w:color w:val="FF0000"/>
              </w:rPr>
              <m:t>*</m:t>
            </m:r>
          </m:sup>
        </m:sSup>
        <m:r>
          <m:rPr>
            <m:sty m:val="p"/>
          </m:rPr>
          <w:rPr>
            <w:rFonts w:ascii="Cambria Math" w:hAnsi="Cambria Math" w:cs="Arial"/>
            <w:color w:val="FF0000"/>
          </w:rPr>
          <m:t>=</m:t>
        </m:r>
        <m:rad>
          <m:radPr>
            <m:degHide m:val="1"/>
            <m:ctrlPr>
              <w:rPr>
                <w:rFonts w:ascii="Cambria Math" w:hAnsi="Cambria Math" w:cs="Arial"/>
                <w:color w:val="FF0000"/>
              </w:rPr>
            </m:ctrlPr>
          </m:radPr>
          <m:deg/>
          <m:e>
            <m:sSup>
              <m:sSupPr>
                <m:ctrlPr>
                  <w:rPr>
                    <w:rFonts w:ascii="Cambria Math" w:hAnsi="Cambria Math" w:cs="Arial"/>
                    <w:color w:val="FF0000"/>
                  </w:rPr>
                </m:ctrlPr>
              </m:sSupPr>
              <m:e>
                <m:sSup>
                  <m:sSupPr>
                    <m:ctrlPr>
                      <w:rPr>
                        <w:rFonts w:ascii="Cambria Math" w:hAnsi="Cambria Math" w:cs="Arial"/>
                        <w:color w:val="FF0000"/>
                      </w:rPr>
                    </m:ctrlPr>
                  </m:sSupPr>
                  <m:e>
                    <m:r>
                      <m:rPr>
                        <m:sty m:val="p"/>
                      </m:rPr>
                      <w:rPr>
                        <w:rFonts w:ascii="Cambria Math" w:hAnsi="Cambria Math" w:cs="Arial"/>
                        <w:color w:val="FF0000"/>
                      </w:rPr>
                      <m:t>a</m:t>
                    </m:r>
                  </m:e>
                  <m:sup>
                    <m:r>
                      <m:rPr>
                        <m:sty m:val="p"/>
                      </m:rPr>
                      <w:rPr>
                        <w:rFonts w:ascii="Cambria Math" w:hAnsi="Cambria Math" w:cs="Arial"/>
                        <w:color w:val="FF0000"/>
                      </w:rPr>
                      <m:t>*</m:t>
                    </m:r>
                  </m:sup>
                </m:sSup>
              </m:e>
              <m:sup>
                <m:r>
                  <m:rPr>
                    <m:sty m:val="p"/>
                  </m:rPr>
                  <w:rPr>
                    <w:rFonts w:ascii="Cambria Math" w:hAnsi="Cambria Math" w:cs="Arial"/>
                    <w:color w:val="FF0000"/>
                  </w:rPr>
                  <m:t>2</m:t>
                </m:r>
              </m:sup>
            </m:sSup>
            <m:r>
              <m:rPr>
                <m:sty m:val="p"/>
              </m:rPr>
              <w:rPr>
                <w:rFonts w:ascii="Cambria Math" w:hAnsi="Cambria Math" w:cs="Arial"/>
                <w:color w:val="FF0000"/>
              </w:rPr>
              <m:t>+</m:t>
            </m:r>
            <m:sSup>
              <m:sSupPr>
                <m:ctrlPr>
                  <w:rPr>
                    <w:rFonts w:ascii="Cambria Math" w:hAnsi="Cambria Math" w:cs="Arial"/>
                    <w:color w:val="FF0000"/>
                  </w:rPr>
                </m:ctrlPr>
              </m:sSupPr>
              <m:e>
                <m:sSup>
                  <m:sSupPr>
                    <m:ctrlPr>
                      <w:rPr>
                        <w:rFonts w:ascii="Cambria Math" w:hAnsi="Cambria Math" w:cs="Arial"/>
                        <w:color w:val="FF0000"/>
                      </w:rPr>
                    </m:ctrlPr>
                  </m:sSupPr>
                  <m:e>
                    <m:r>
                      <m:rPr>
                        <m:sty m:val="p"/>
                      </m:rPr>
                      <w:rPr>
                        <w:rFonts w:ascii="Cambria Math" w:hAnsi="Cambria Math" w:cs="Arial"/>
                        <w:color w:val="FF0000"/>
                      </w:rPr>
                      <m:t>b</m:t>
                    </m:r>
                  </m:e>
                  <m:sup>
                    <m:r>
                      <m:rPr>
                        <m:sty m:val="p"/>
                      </m:rPr>
                      <w:rPr>
                        <w:rFonts w:ascii="Cambria Math" w:hAnsi="Cambria Math" w:cs="Arial"/>
                        <w:color w:val="FF0000"/>
                      </w:rPr>
                      <m:t>*</m:t>
                    </m:r>
                  </m:sup>
                </m:sSup>
              </m:e>
              <m:sup>
                <m:r>
                  <m:rPr>
                    <m:sty m:val="p"/>
                  </m:rPr>
                  <w:rPr>
                    <w:rFonts w:ascii="Cambria Math" w:hAnsi="Cambria Math" w:cs="Arial"/>
                    <w:color w:val="FF0000"/>
                  </w:rPr>
                  <m:t>2</m:t>
                </m:r>
              </m:sup>
            </m:sSup>
          </m:e>
        </m:rad>
      </m:oMath>
      <w:r w:rsidR="009F128C" w:rsidRPr="00277598">
        <w:rPr>
          <w:rFonts w:cs="Arial"/>
        </w:rPr>
        <w:t xml:space="preserve">    (3)</w:t>
      </w:r>
    </w:p>
    <w:p w14:paraId="3EA36F50" w14:textId="177FC640" w:rsidR="009F128C" w:rsidRDefault="00000000" w:rsidP="007E65E5">
      <w:pPr>
        <w:spacing w:after="160"/>
        <w:rPr>
          <w:rFonts w:cs="Arial"/>
        </w:rPr>
      </w:pPr>
      <m:oMath>
        <m:sSup>
          <m:sSupPr>
            <m:ctrlPr>
              <w:rPr>
                <w:rFonts w:ascii="Cambria Math" w:hAnsi="Cambria Math" w:cs="Arial"/>
                <w:color w:val="FF0000"/>
              </w:rPr>
            </m:ctrlPr>
          </m:sSupPr>
          <m:e>
            <m:r>
              <m:rPr>
                <m:sty m:val="p"/>
              </m:rPr>
              <w:rPr>
                <w:rFonts w:ascii="Cambria Math" w:hAnsi="Cambria Math" w:cs="Arial"/>
                <w:color w:val="FF0000"/>
              </w:rPr>
              <m:t>h</m:t>
            </m:r>
          </m:e>
          <m:sup>
            <m:r>
              <m:rPr>
                <m:sty m:val="p"/>
              </m:rPr>
              <w:rPr>
                <w:rFonts w:ascii="Cambria Math" w:hAnsi="Cambria Math" w:cs="Arial"/>
                <w:color w:val="FF0000"/>
              </w:rPr>
              <m:t>°</m:t>
            </m:r>
          </m:sup>
        </m:sSup>
        <m:r>
          <m:rPr>
            <m:sty m:val="p"/>
          </m:rPr>
          <w:rPr>
            <w:rFonts w:ascii="Cambria Math" w:hAnsi="Cambria Math" w:cs="Arial"/>
            <w:color w:val="FF0000"/>
          </w:rPr>
          <m:t>=</m:t>
        </m:r>
        <m:func>
          <m:funcPr>
            <m:ctrlPr>
              <w:rPr>
                <w:rFonts w:ascii="Cambria Math" w:hAnsi="Cambria Math" w:cs="Arial"/>
                <w:color w:val="FF0000"/>
              </w:rPr>
            </m:ctrlPr>
          </m:funcPr>
          <m:fName>
            <m:sSup>
              <m:sSupPr>
                <m:ctrlPr>
                  <w:rPr>
                    <w:rFonts w:ascii="Cambria Math" w:hAnsi="Cambria Math" w:cs="Arial"/>
                    <w:color w:val="FF0000"/>
                  </w:rPr>
                </m:ctrlPr>
              </m:sSupPr>
              <m:e>
                <m:r>
                  <m:rPr>
                    <m:sty m:val="p"/>
                  </m:rPr>
                  <w:rPr>
                    <w:rFonts w:ascii="Cambria Math" w:hAnsi="Cambria Math" w:cs="Arial"/>
                    <w:color w:val="FF0000"/>
                  </w:rPr>
                  <m:t>tan</m:t>
                </m:r>
              </m:e>
              <m:sup>
                <m:r>
                  <m:rPr>
                    <m:sty m:val="p"/>
                  </m:rPr>
                  <w:rPr>
                    <w:rFonts w:ascii="Cambria Math" w:hAnsi="Cambria Math" w:cs="Arial"/>
                    <w:color w:val="FF0000"/>
                  </w:rPr>
                  <m:t>-1</m:t>
                </m:r>
              </m:sup>
            </m:sSup>
          </m:fName>
          <m:e>
            <m:d>
              <m:dPr>
                <m:ctrlPr>
                  <w:rPr>
                    <w:rFonts w:ascii="Cambria Math" w:hAnsi="Cambria Math" w:cs="Arial"/>
                    <w:color w:val="FF0000"/>
                  </w:rPr>
                </m:ctrlPr>
              </m:dPr>
              <m:e>
                <m:f>
                  <m:fPr>
                    <m:ctrlPr>
                      <w:rPr>
                        <w:rFonts w:ascii="Cambria Math" w:hAnsi="Cambria Math" w:cs="Arial"/>
                        <w:color w:val="FF0000"/>
                      </w:rPr>
                    </m:ctrlPr>
                  </m:fPr>
                  <m:num>
                    <m:sSup>
                      <m:sSupPr>
                        <m:ctrlPr>
                          <w:rPr>
                            <w:rFonts w:ascii="Cambria Math" w:hAnsi="Cambria Math" w:cs="Arial"/>
                            <w:color w:val="FF0000"/>
                          </w:rPr>
                        </m:ctrlPr>
                      </m:sSupPr>
                      <m:e>
                        <m:r>
                          <m:rPr>
                            <m:sty m:val="p"/>
                          </m:rPr>
                          <w:rPr>
                            <w:rFonts w:ascii="Cambria Math" w:hAnsi="Cambria Math" w:cs="Arial"/>
                            <w:color w:val="FF0000"/>
                          </w:rPr>
                          <m:t>b</m:t>
                        </m:r>
                      </m:e>
                      <m:sup>
                        <m:r>
                          <m:rPr>
                            <m:sty m:val="p"/>
                          </m:rPr>
                          <w:rPr>
                            <w:rFonts w:ascii="Cambria Math" w:hAnsi="Cambria Math" w:cs="Arial"/>
                            <w:color w:val="FF0000"/>
                          </w:rPr>
                          <m:t>*</m:t>
                        </m:r>
                      </m:sup>
                    </m:sSup>
                  </m:num>
                  <m:den>
                    <m:sSup>
                      <m:sSupPr>
                        <m:ctrlPr>
                          <w:rPr>
                            <w:rFonts w:ascii="Cambria Math" w:hAnsi="Cambria Math" w:cs="Arial"/>
                            <w:color w:val="FF0000"/>
                          </w:rPr>
                        </m:ctrlPr>
                      </m:sSupPr>
                      <m:e>
                        <m:r>
                          <m:rPr>
                            <m:sty m:val="p"/>
                          </m:rPr>
                          <w:rPr>
                            <w:rFonts w:ascii="Cambria Math" w:hAnsi="Cambria Math" w:cs="Arial"/>
                            <w:color w:val="FF0000"/>
                          </w:rPr>
                          <m:t>a</m:t>
                        </m:r>
                      </m:e>
                      <m:sup>
                        <m:r>
                          <m:rPr>
                            <m:sty m:val="p"/>
                          </m:rPr>
                          <w:rPr>
                            <w:rFonts w:ascii="Cambria Math" w:hAnsi="Cambria Math" w:cs="Arial"/>
                            <w:color w:val="FF0000"/>
                          </w:rPr>
                          <m:t>*</m:t>
                        </m:r>
                      </m:sup>
                    </m:sSup>
                  </m:den>
                </m:f>
              </m:e>
            </m:d>
            <m:r>
              <w:rPr>
                <w:rFonts w:ascii="Cambria Math" w:hAnsi="Cambria Math" w:cs="Arial"/>
                <w:color w:val="FF0000"/>
              </w:rPr>
              <m:t xml:space="preserve"> </m:t>
            </m:r>
          </m:e>
        </m:func>
      </m:oMath>
      <w:r w:rsidR="009F128C" w:rsidRPr="00277598">
        <w:rPr>
          <w:rFonts w:cs="Arial"/>
        </w:rPr>
        <w:t xml:space="preserve">           (4)</w:t>
      </w:r>
    </w:p>
    <w:p w14:paraId="7051589F" w14:textId="34AAECA4" w:rsidR="00B25C45" w:rsidRDefault="0039361F" w:rsidP="00B25C45">
      <w:r w:rsidRPr="0039361F">
        <w:t xml:space="preserve">where </w:t>
      </w:r>
      <w:r w:rsidRPr="00A50757">
        <w:rPr>
          <w:color w:val="FF0000"/>
        </w:rPr>
        <w:t>L</w:t>
      </w:r>
      <w:r w:rsidR="00A50757" w:rsidRPr="00A50757">
        <w:rPr>
          <w:color w:val="FF0000"/>
          <w:vertAlign w:val="subscript"/>
        </w:rPr>
        <w:t>1</w:t>
      </w:r>
      <w:r w:rsidRPr="00A50757">
        <w:rPr>
          <w:color w:val="FF0000"/>
        </w:rPr>
        <w:t>*, a</w:t>
      </w:r>
      <w:r w:rsidR="00A50757" w:rsidRPr="00A50757">
        <w:rPr>
          <w:color w:val="FF0000"/>
          <w:vertAlign w:val="subscript"/>
        </w:rPr>
        <w:t>1</w:t>
      </w:r>
      <w:r w:rsidRPr="00A50757">
        <w:rPr>
          <w:color w:val="FF0000"/>
        </w:rPr>
        <w:t xml:space="preserve">* </w:t>
      </w:r>
      <w:r w:rsidRPr="0039361F">
        <w:t xml:space="preserve">and </w:t>
      </w:r>
      <w:r w:rsidRPr="00A50757">
        <w:rPr>
          <w:color w:val="FF0000"/>
        </w:rPr>
        <w:t>b</w:t>
      </w:r>
      <w:r w:rsidR="00A50757" w:rsidRPr="00A50757">
        <w:rPr>
          <w:color w:val="FF0000"/>
          <w:vertAlign w:val="subscript"/>
        </w:rPr>
        <w:t>1</w:t>
      </w:r>
      <w:r w:rsidRPr="00A50757">
        <w:rPr>
          <w:color w:val="FF0000"/>
        </w:rPr>
        <w:t>*</w:t>
      </w:r>
      <w:r w:rsidRPr="0039361F">
        <w:t xml:space="preserve"> are the </w:t>
      </w:r>
      <w:proofErr w:type="spellStart"/>
      <w:r w:rsidRPr="00A50757">
        <w:rPr>
          <w:color w:val="FF0000"/>
        </w:rPr>
        <w:t>color</w:t>
      </w:r>
      <w:proofErr w:type="spellEnd"/>
      <w:r w:rsidRPr="0039361F">
        <w:t xml:space="preserve"> values of </w:t>
      </w:r>
      <w:proofErr w:type="spellStart"/>
      <w:r w:rsidRPr="0039361F">
        <w:t>hydrolyzed</w:t>
      </w:r>
      <w:proofErr w:type="spellEnd"/>
      <w:r w:rsidRPr="0039361F">
        <w:t xml:space="preserve"> samples, while </w:t>
      </w:r>
      <w:r w:rsidRPr="00A50757">
        <w:rPr>
          <w:color w:val="FF0000"/>
        </w:rPr>
        <w:t>L</w:t>
      </w:r>
      <w:r w:rsidR="00A50757" w:rsidRPr="00A50757">
        <w:rPr>
          <w:color w:val="FF0000"/>
          <w:vertAlign w:val="subscript"/>
        </w:rPr>
        <w:t>2</w:t>
      </w:r>
      <w:r w:rsidR="00A50757" w:rsidRPr="00A50757">
        <w:rPr>
          <w:color w:val="FF0000"/>
        </w:rPr>
        <w:t>*</w:t>
      </w:r>
      <w:r w:rsidRPr="0039361F">
        <w:t xml:space="preserve">, </w:t>
      </w:r>
      <w:r w:rsidRPr="00A50757">
        <w:rPr>
          <w:color w:val="FF0000"/>
        </w:rPr>
        <w:t>a</w:t>
      </w:r>
      <w:r w:rsidR="00A50757" w:rsidRPr="00A50757">
        <w:rPr>
          <w:color w:val="FF0000"/>
          <w:vertAlign w:val="subscript"/>
        </w:rPr>
        <w:t>2</w:t>
      </w:r>
      <w:r w:rsidR="00A50757" w:rsidRPr="00A50757">
        <w:rPr>
          <w:color w:val="FF0000"/>
        </w:rPr>
        <w:t>*</w:t>
      </w:r>
      <w:r w:rsidRPr="0039361F">
        <w:t xml:space="preserve"> and </w:t>
      </w:r>
      <w:r w:rsidRPr="00A50757">
        <w:rPr>
          <w:color w:val="FF0000"/>
        </w:rPr>
        <w:t>b</w:t>
      </w:r>
      <w:r w:rsidR="00A50757" w:rsidRPr="00A50757">
        <w:rPr>
          <w:color w:val="FF0000"/>
          <w:vertAlign w:val="subscript"/>
        </w:rPr>
        <w:t>2</w:t>
      </w:r>
      <w:r w:rsidR="00A50757" w:rsidRPr="00A50757">
        <w:rPr>
          <w:color w:val="FF0000"/>
        </w:rPr>
        <w:t>*</w:t>
      </w:r>
      <w:r w:rsidRPr="0039361F">
        <w:t xml:space="preserve"> are the </w:t>
      </w:r>
      <w:proofErr w:type="spellStart"/>
      <w:r w:rsidRPr="00A50757">
        <w:rPr>
          <w:color w:val="FF0000"/>
        </w:rPr>
        <w:t>color</w:t>
      </w:r>
      <w:proofErr w:type="spellEnd"/>
      <w:r w:rsidRPr="0039361F">
        <w:t xml:space="preserve"> </w:t>
      </w:r>
      <w:r w:rsidRPr="007E2D30">
        <w:t>value</w:t>
      </w:r>
      <w:r w:rsidR="007E2D30" w:rsidRPr="007E2D30">
        <w:t>s</w:t>
      </w:r>
      <w:r w:rsidRPr="0039361F">
        <w:t xml:space="preserve"> of raw flour. </w:t>
      </w:r>
    </w:p>
    <w:p w14:paraId="0D8196B7" w14:textId="61ED7F11" w:rsidR="00B25C45" w:rsidRPr="00AF3C8A" w:rsidRDefault="00B25C45" w:rsidP="001B473D">
      <w:pPr>
        <w:pStyle w:val="CETheadingx"/>
      </w:pPr>
      <w:r w:rsidRPr="00AF3C8A">
        <w:t>2.3.4 Particle Size Distribution</w:t>
      </w:r>
      <w:r w:rsidR="00AA1DCF">
        <w:t xml:space="preserve"> and</w:t>
      </w:r>
      <w:r w:rsidR="00F467AF">
        <w:t xml:space="preserve"> Bulk Density</w:t>
      </w:r>
    </w:p>
    <w:p w14:paraId="22FA95FB" w14:textId="194C1154" w:rsidR="00216759" w:rsidRDefault="00216759" w:rsidP="00216759">
      <w:pPr>
        <w:rPr>
          <w:color w:val="FF0000"/>
        </w:rPr>
      </w:pPr>
      <w:r w:rsidRPr="00216759">
        <w:rPr>
          <w:color w:val="FF0000"/>
        </w:rPr>
        <w:t xml:space="preserve">The particle size distribution (PSD) of raw and </w:t>
      </w:r>
      <w:proofErr w:type="spellStart"/>
      <w:r w:rsidRPr="00216759">
        <w:rPr>
          <w:color w:val="FF0000"/>
        </w:rPr>
        <w:t>hydrolyzed</w:t>
      </w:r>
      <w:proofErr w:type="spellEnd"/>
      <w:r w:rsidRPr="00216759">
        <w:rPr>
          <w:color w:val="FF0000"/>
        </w:rPr>
        <w:t xml:space="preserve"> HSCF was estimated through sieve analysis by using a set of ten round sieves with a rectangular mesh made of metal fibres with mesh sizes of 630, 560, 450, 400, 355, 280, 180, 140, 125, 80 </w:t>
      </w:r>
      <w:proofErr w:type="spellStart"/>
      <w:r w:rsidRPr="00216759">
        <w:rPr>
          <w:color w:val="FF0000"/>
        </w:rPr>
        <w:t>μm</w:t>
      </w:r>
      <w:proofErr w:type="spellEnd"/>
      <w:r w:rsidRPr="00216759">
        <w:rPr>
          <w:color w:val="FF0000"/>
        </w:rPr>
        <w:t xml:space="preserve"> placed on top of each other.  A</w:t>
      </w:r>
      <w:r w:rsidR="00BD004F">
        <w:rPr>
          <w:color w:val="FF0000"/>
        </w:rPr>
        <w:t xml:space="preserve"> </w:t>
      </w:r>
      <w:r w:rsidRPr="00216759">
        <w:rPr>
          <w:color w:val="FF0000"/>
        </w:rPr>
        <w:t>sample of 50 g was sieved was sieved for 10 min and the m</w:t>
      </w:r>
      <w:r w:rsidR="00A23C5C" w:rsidRPr="00216759">
        <w:rPr>
          <w:color w:val="FF0000"/>
        </w:rPr>
        <w:t>asses of individual fractions retained on sieves screens were determined.</w:t>
      </w:r>
      <w:r w:rsidR="00C05D18" w:rsidRPr="00216759">
        <w:rPr>
          <w:color w:val="FF0000"/>
        </w:rPr>
        <w:t xml:space="preserve"> </w:t>
      </w:r>
    </w:p>
    <w:p w14:paraId="31B2D650" w14:textId="1548D9B1" w:rsidR="00F467AF" w:rsidRDefault="00F467AF" w:rsidP="00216759">
      <w:r w:rsidRPr="00F467AF">
        <w:t xml:space="preserve">For the determination of bulk density, 10 g of sample was quantitatively transferred to a </w:t>
      </w:r>
      <w:r>
        <w:t>25</w:t>
      </w:r>
      <w:r w:rsidRPr="00F467AF">
        <w:t xml:space="preserve"> mL measuring cylinder</w:t>
      </w:r>
      <w:r w:rsidR="002D7517">
        <w:t xml:space="preserve">. </w:t>
      </w:r>
      <w:r w:rsidR="002D7517" w:rsidRPr="002D7517">
        <w:rPr>
          <w:color w:val="FF0000"/>
          <w:lang w:val="en-US"/>
        </w:rPr>
        <w:t xml:space="preserve">The cylinder’s bottom was gently tapped on the laboratory bench, allowing vibrations to aid particle settling and </w:t>
      </w:r>
      <w:proofErr w:type="spellStart"/>
      <w:r w:rsidR="002D7517" w:rsidRPr="002D7517">
        <w:rPr>
          <w:color w:val="FF0000"/>
          <w:lang w:val="en-US"/>
        </w:rPr>
        <w:t>minimise</w:t>
      </w:r>
      <w:proofErr w:type="spellEnd"/>
      <w:r w:rsidR="002D7517" w:rsidRPr="002D7517">
        <w:rPr>
          <w:color w:val="FF0000"/>
          <w:lang w:val="en-US"/>
        </w:rPr>
        <w:t xml:space="preserve"> excess air gaps until a stable volume was achieved. The bulk density was expressed as g/cm</w:t>
      </w:r>
      <w:r w:rsidR="002D7517" w:rsidRPr="002D7517">
        <w:rPr>
          <w:color w:val="FF0000"/>
          <w:vertAlign w:val="superscript"/>
          <w:lang w:val="en-US"/>
        </w:rPr>
        <w:t>3</w:t>
      </w:r>
      <w:r w:rsidR="002D7517" w:rsidRPr="002D7517">
        <w:rPr>
          <w:lang w:val="en-US"/>
        </w:rPr>
        <w:t>.</w:t>
      </w:r>
      <w:r w:rsidRPr="00F467AF">
        <w:t>The measurement was carried out in triplicate.</w:t>
      </w:r>
    </w:p>
    <w:p w14:paraId="7D2EBA2D" w14:textId="05F08EB2" w:rsidR="009F128C" w:rsidRDefault="00B25C45" w:rsidP="001B473D">
      <w:pPr>
        <w:pStyle w:val="CETheadingx"/>
      </w:pPr>
      <w:r w:rsidRPr="00AC4BDB">
        <w:t>2.3.</w:t>
      </w:r>
      <w:r w:rsidR="00D142EA">
        <w:t>5</w:t>
      </w:r>
      <w:r w:rsidRPr="00AC4BDB">
        <w:t xml:space="preserve"> </w:t>
      </w:r>
      <w:r w:rsidR="00AC4BDB" w:rsidRPr="00AC4BDB">
        <w:t>Technological</w:t>
      </w:r>
      <w:r w:rsidRPr="00AC4BDB">
        <w:t xml:space="preserve"> </w:t>
      </w:r>
      <w:r w:rsidR="003847DE">
        <w:t>Properties</w:t>
      </w:r>
      <w:r w:rsidR="009D05ED" w:rsidRPr="00AC4BDB">
        <w:t xml:space="preserve"> </w:t>
      </w:r>
    </w:p>
    <w:p w14:paraId="045C92E9" w14:textId="7A3CA660" w:rsidR="00ED032A" w:rsidRPr="00F863A0" w:rsidRDefault="003F14B0" w:rsidP="00172B10">
      <w:pPr>
        <w:pStyle w:val="CETBodytext"/>
        <w:spacing w:after="240"/>
        <w:rPr>
          <w:lang w:val="en-GB"/>
        </w:rPr>
      </w:pPr>
      <w:r>
        <w:t xml:space="preserve">The technological properties of </w:t>
      </w:r>
      <w:r w:rsidRPr="0039361F">
        <w:t>raw and hydrolyzed HSCF</w:t>
      </w:r>
      <w:r>
        <w:t xml:space="preserve"> were assessed through the determination of water holding capacity (WHC), oil absorption capacity (OAC), swelling</w:t>
      </w:r>
      <w:r w:rsidR="004D10C9">
        <w:t xml:space="preserve"> index </w:t>
      </w:r>
      <w:r>
        <w:t xml:space="preserve">(SI), water absorption </w:t>
      </w:r>
      <w:r w:rsidR="004D10C9">
        <w:t xml:space="preserve">index </w:t>
      </w:r>
      <w:r>
        <w:t>(WAI)</w:t>
      </w:r>
      <w:r w:rsidR="004D10C9">
        <w:t>,</w:t>
      </w:r>
      <w:r>
        <w:t xml:space="preserve"> water solubility </w:t>
      </w:r>
      <w:r w:rsidR="004D10C9">
        <w:t xml:space="preserve">index </w:t>
      </w:r>
      <w:r>
        <w:t>(WSI), emulsion capacity (EC) and stability (ES), and foam capacity (FC) and stability (FS).</w:t>
      </w:r>
      <w:r w:rsidR="00604D76">
        <w:t xml:space="preserve"> </w:t>
      </w:r>
      <w:r w:rsidR="004D10C9" w:rsidRPr="004D10C9">
        <w:t xml:space="preserve">WHC and SI were determined </w:t>
      </w:r>
      <w:r w:rsidR="00604D76" w:rsidRPr="00604D76">
        <w:t>by referring to</w:t>
      </w:r>
      <w:r w:rsidR="00604D76">
        <w:t xml:space="preserve"> </w:t>
      </w:r>
      <w:r w:rsidR="004D10C9" w:rsidRPr="004D10C9">
        <w:t>the methods reported by Merlino et al. (2022)</w:t>
      </w:r>
      <w:r w:rsidR="00E61F29">
        <w:t xml:space="preserve">, </w:t>
      </w:r>
      <w:r w:rsidR="004D10C9" w:rsidRPr="004D10C9">
        <w:t xml:space="preserve">whereas the OAC </w:t>
      </w:r>
      <w:r w:rsidR="0069580B">
        <w:t xml:space="preserve">was </w:t>
      </w:r>
      <w:r w:rsidR="004D10C9" w:rsidRPr="004D10C9">
        <w:t>assess</w:t>
      </w:r>
      <w:r w:rsidR="0069580B">
        <w:t xml:space="preserve">ed </w:t>
      </w:r>
      <w:r w:rsidR="0069580B" w:rsidRPr="00B5675D">
        <w:t xml:space="preserve">according to </w:t>
      </w:r>
      <w:proofErr w:type="spellStart"/>
      <w:r w:rsidR="004D10C9" w:rsidRPr="00B5675D">
        <w:t>Girotto</w:t>
      </w:r>
      <w:proofErr w:type="spellEnd"/>
      <w:r w:rsidR="004D10C9" w:rsidRPr="00B5675D">
        <w:t xml:space="preserve"> et al (2024). </w:t>
      </w:r>
      <w:r w:rsidR="00F863A0" w:rsidRPr="00B5675D">
        <w:rPr>
          <w:lang w:val="en-GB"/>
        </w:rPr>
        <w:t>The WAI and WSI were determined on the same sample</w:t>
      </w:r>
      <w:r w:rsidR="00B93FBD" w:rsidRPr="00B5675D">
        <w:rPr>
          <w:lang w:val="en-GB"/>
        </w:rPr>
        <w:t xml:space="preserve"> </w:t>
      </w:r>
      <w:r w:rsidR="00F863A0" w:rsidRPr="00B5675D">
        <w:rPr>
          <w:lang w:val="en-GB"/>
        </w:rPr>
        <w:t>after the SI</w:t>
      </w:r>
      <w:r w:rsidR="005D605A" w:rsidRPr="00B5675D">
        <w:rPr>
          <w:lang w:val="en-GB"/>
        </w:rPr>
        <w:t xml:space="preserve"> determination</w:t>
      </w:r>
      <w:r w:rsidR="00B93FBD" w:rsidRPr="00B5675D">
        <w:rPr>
          <w:lang w:val="en-GB"/>
        </w:rPr>
        <w:t>. In particular, the supernatant was separated from the solid residue and dried</w:t>
      </w:r>
      <w:r w:rsidR="00F863A0" w:rsidRPr="00B5675D">
        <w:rPr>
          <w:lang w:val="en-GB"/>
        </w:rPr>
        <w:t xml:space="preserve"> </w:t>
      </w:r>
      <w:r w:rsidR="00B93FBD" w:rsidRPr="00B5675D">
        <w:rPr>
          <w:lang w:val="en-GB"/>
        </w:rPr>
        <w:t xml:space="preserve">at 105°C to constant weight. The weight of the dried sediment was used to </w:t>
      </w:r>
      <w:r w:rsidR="005D605A" w:rsidRPr="00B5675D">
        <w:rPr>
          <w:lang w:val="en-GB"/>
        </w:rPr>
        <w:t>calculate</w:t>
      </w:r>
      <w:r w:rsidR="00B93FBD" w:rsidRPr="00B5675D">
        <w:rPr>
          <w:lang w:val="en-GB"/>
        </w:rPr>
        <w:t xml:space="preserve"> the solubility index, whereas the weight of the solid residue was used </w:t>
      </w:r>
      <w:r w:rsidR="005D605A" w:rsidRPr="00B5675D">
        <w:rPr>
          <w:lang w:val="en-GB"/>
        </w:rPr>
        <w:t>for calculating the WAI</w:t>
      </w:r>
      <w:r w:rsidR="00B93FBD" w:rsidRPr="00B5675D">
        <w:rPr>
          <w:lang w:val="en-GB"/>
        </w:rPr>
        <w:t xml:space="preserve">. </w:t>
      </w:r>
      <w:r w:rsidR="00D957E5" w:rsidRPr="00B5675D">
        <w:t xml:space="preserve">The EC and ES were determined </w:t>
      </w:r>
      <w:r w:rsidR="00832A04" w:rsidRPr="00B5675D">
        <w:t xml:space="preserve">by </w:t>
      </w:r>
      <w:r w:rsidR="00D957E5" w:rsidRPr="00B5675D">
        <w:t xml:space="preserve">using </w:t>
      </w:r>
      <w:r w:rsidR="00AE50F8" w:rsidRPr="00B5675D">
        <w:t>a 7</w:t>
      </w:r>
      <w:r w:rsidR="003B3961" w:rsidRPr="00B5675D">
        <w:t xml:space="preserve">.0 </w:t>
      </w:r>
      <w:r w:rsidR="00AE50F8" w:rsidRPr="00B5675D">
        <w:t xml:space="preserve">% aqueous suspension of raw or </w:t>
      </w:r>
      <w:r w:rsidR="00612F7C" w:rsidRPr="00B5675D">
        <w:t>hydrolyzed</w:t>
      </w:r>
      <w:r w:rsidR="00050907" w:rsidRPr="00B5675D">
        <w:t xml:space="preserve"> HSCF and sunflower oil</w:t>
      </w:r>
      <w:r w:rsidR="00904EA0" w:rsidRPr="00B5675D">
        <w:t xml:space="preserve"> following the procedures reported by Du</w:t>
      </w:r>
      <w:r w:rsidR="001702EE" w:rsidRPr="00B5675D">
        <w:t xml:space="preserve"> et al (2014).</w:t>
      </w:r>
      <w:r w:rsidR="001702EE" w:rsidRPr="00EB436E">
        <w:t xml:space="preserve"> </w:t>
      </w:r>
      <w:r w:rsidR="00994020">
        <w:t>F</w:t>
      </w:r>
      <w:r w:rsidR="00DC678B">
        <w:t xml:space="preserve">C </w:t>
      </w:r>
      <w:r w:rsidR="00994020">
        <w:t xml:space="preserve">was </w:t>
      </w:r>
      <w:r w:rsidR="003B3961">
        <w:t>estimated</w:t>
      </w:r>
      <w:r w:rsidR="00EA2CEF">
        <w:t xml:space="preserve"> </w:t>
      </w:r>
      <w:r w:rsidR="003B3961">
        <w:t xml:space="preserve">using 2.5% aqueous </w:t>
      </w:r>
      <w:r w:rsidR="000B3940">
        <w:t xml:space="preserve">flour </w:t>
      </w:r>
      <w:r w:rsidR="003B3961">
        <w:t>suspension</w:t>
      </w:r>
      <w:r w:rsidR="00D00AF5">
        <w:t xml:space="preserve">s </w:t>
      </w:r>
      <w:r w:rsidR="000B3940">
        <w:t>that</w:t>
      </w:r>
      <w:r w:rsidR="00B5135E">
        <w:t xml:space="preserve"> were </w:t>
      </w:r>
      <w:r w:rsidR="00B5135E" w:rsidRPr="002D7517">
        <w:t>whipped</w:t>
      </w:r>
      <w:r w:rsidR="00B5135E">
        <w:t xml:space="preserve"> </w:t>
      </w:r>
      <w:r w:rsidR="000B3940">
        <w:rPr>
          <w:lang w:val="en-GB"/>
        </w:rPr>
        <w:t xml:space="preserve">into </w:t>
      </w:r>
      <w:r w:rsidR="000B3940" w:rsidRPr="000B3940">
        <w:rPr>
          <w:lang w:val="en-GB"/>
        </w:rPr>
        <w:t>graduated cylinder</w:t>
      </w:r>
      <w:r w:rsidR="000B3940">
        <w:rPr>
          <w:lang w:val="en-GB"/>
        </w:rPr>
        <w:t>s</w:t>
      </w:r>
      <w:r w:rsidR="002D7517">
        <w:rPr>
          <w:lang w:val="en-GB"/>
        </w:rPr>
        <w:t xml:space="preserve"> </w:t>
      </w:r>
      <w:r w:rsidR="002D7517" w:rsidRPr="002D7517">
        <w:rPr>
          <w:color w:val="FF0000"/>
        </w:rPr>
        <w:t xml:space="preserve">using </w:t>
      </w:r>
      <w:proofErr w:type="gramStart"/>
      <w:r w:rsidR="002D7517" w:rsidRPr="002D7517">
        <w:rPr>
          <w:color w:val="FF0000"/>
        </w:rPr>
        <w:t>a</w:t>
      </w:r>
      <w:proofErr w:type="gramEnd"/>
      <w:r w:rsidR="002D7517" w:rsidRPr="002D7517">
        <w:rPr>
          <w:color w:val="FF0000"/>
        </w:rPr>
        <w:t xml:space="preserve"> Ultra-</w:t>
      </w:r>
      <w:proofErr w:type="spellStart"/>
      <w:r w:rsidR="002D7517" w:rsidRPr="002D7517">
        <w:rPr>
          <w:color w:val="FF0000"/>
        </w:rPr>
        <w:t>Turrax</w:t>
      </w:r>
      <w:proofErr w:type="spellEnd"/>
      <w:r w:rsidR="002D7517" w:rsidRPr="002D7517">
        <w:rPr>
          <w:color w:val="FF0000"/>
        </w:rPr>
        <w:t xml:space="preserve"> T18 </w:t>
      </w:r>
      <w:proofErr w:type="spellStart"/>
      <w:r w:rsidR="002D7517" w:rsidRPr="002D7517">
        <w:rPr>
          <w:color w:val="FF0000"/>
        </w:rPr>
        <w:t>homogeniser</w:t>
      </w:r>
      <w:proofErr w:type="spellEnd"/>
      <w:r w:rsidR="002D7517" w:rsidRPr="002D7517">
        <w:rPr>
          <w:color w:val="FF0000"/>
        </w:rPr>
        <w:t xml:space="preserve"> (Janke &amp; Kunkel, IKA Instruments, </w:t>
      </w:r>
      <w:proofErr w:type="spellStart"/>
      <w:r w:rsidR="002D7517" w:rsidRPr="002D7517">
        <w:rPr>
          <w:color w:val="FF0000"/>
        </w:rPr>
        <w:t>Staufen</w:t>
      </w:r>
      <w:proofErr w:type="spellEnd"/>
      <w:r w:rsidR="002D7517" w:rsidRPr="002D7517">
        <w:rPr>
          <w:color w:val="FF0000"/>
        </w:rPr>
        <w:t>, Germany);</w:t>
      </w:r>
      <w:r w:rsidR="00734802">
        <w:rPr>
          <w:lang w:val="en-GB"/>
        </w:rPr>
        <w:t xml:space="preserve"> t</w:t>
      </w:r>
      <w:r w:rsidR="00BB632E">
        <w:rPr>
          <w:lang w:val="en-GB"/>
        </w:rPr>
        <w:t xml:space="preserve">he volume of foam </w:t>
      </w:r>
      <w:r w:rsidR="00276F04">
        <w:rPr>
          <w:lang w:val="en-GB"/>
        </w:rPr>
        <w:t xml:space="preserve">formed was recorded </w:t>
      </w:r>
      <w:r w:rsidR="003D0260">
        <w:rPr>
          <w:lang w:val="en-GB"/>
        </w:rPr>
        <w:t xml:space="preserve">after </w:t>
      </w:r>
      <w:r w:rsidR="00D21481">
        <w:rPr>
          <w:lang w:val="en-GB"/>
        </w:rPr>
        <w:t>0.5</w:t>
      </w:r>
      <w:r w:rsidR="008E0B89">
        <w:rPr>
          <w:lang w:val="en-GB"/>
        </w:rPr>
        <w:t xml:space="preserve"> for </w:t>
      </w:r>
      <w:r w:rsidR="004E6861">
        <w:rPr>
          <w:lang w:val="en-GB"/>
        </w:rPr>
        <w:t xml:space="preserve">FC </w:t>
      </w:r>
      <w:r w:rsidR="00EA2CEF">
        <w:rPr>
          <w:lang w:val="en-GB"/>
        </w:rPr>
        <w:t xml:space="preserve">assessment </w:t>
      </w:r>
      <w:r w:rsidR="00D962FB">
        <w:rPr>
          <w:lang w:val="en-GB"/>
        </w:rPr>
        <w:t xml:space="preserve">and at </w:t>
      </w:r>
      <w:r w:rsidR="002A4614">
        <w:rPr>
          <w:lang w:val="en-GB"/>
        </w:rPr>
        <w:t xml:space="preserve">various intervals up to 120 min for </w:t>
      </w:r>
      <w:r w:rsidR="004E6861">
        <w:rPr>
          <w:lang w:val="en-GB"/>
        </w:rPr>
        <w:t>FS</w:t>
      </w:r>
      <w:r w:rsidR="00363BAC">
        <w:rPr>
          <w:lang w:val="en-GB"/>
        </w:rPr>
        <w:t xml:space="preserve">. </w:t>
      </w:r>
      <w:r w:rsidR="00ED032A">
        <w:t>All the determination</w:t>
      </w:r>
      <w:r w:rsidR="00832A04">
        <w:t>s</w:t>
      </w:r>
      <w:r w:rsidR="00ED032A">
        <w:t xml:space="preserve"> </w:t>
      </w:r>
      <w:r w:rsidR="00172B10">
        <w:t>were</w:t>
      </w:r>
      <w:r w:rsidR="00832A04">
        <w:t xml:space="preserve"> performed in triplicate and the results </w:t>
      </w:r>
      <w:r w:rsidR="00172B10">
        <w:t xml:space="preserve">were </w:t>
      </w:r>
      <w:r w:rsidR="00832A04">
        <w:t xml:space="preserve">expressed </w:t>
      </w:r>
      <w:r w:rsidR="008B73C5">
        <w:t>as</w:t>
      </w:r>
      <w:r w:rsidR="00832A04">
        <w:t xml:space="preserve"> below reported.</w:t>
      </w:r>
    </w:p>
    <w:p w14:paraId="5BC7B4CD" w14:textId="6334AF10" w:rsidR="009D05ED" w:rsidRPr="00E61F29" w:rsidRDefault="006203B3" w:rsidP="00DC678B">
      <w:pPr>
        <w:tabs>
          <w:tab w:val="clear" w:pos="7100"/>
        </w:tabs>
        <w:autoSpaceDE w:val="0"/>
        <w:autoSpaceDN w:val="0"/>
        <w:adjustRightInd w:val="0"/>
        <w:spacing w:after="160" w:line="240" w:lineRule="auto"/>
        <w:jc w:val="left"/>
        <w:rPr>
          <w:rFonts w:ascii="Times New Roman" w:eastAsiaTheme="minorHAnsi" w:hAnsi="Times New Roman"/>
          <w:i/>
          <w:iCs/>
          <w:szCs w:val="18"/>
          <w:lang w:val="en-US"/>
        </w:rPr>
      </w:pPr>
      <m:oMath>
        <m:r>
          <m:rPr>
            <m:sty m:val="p"/>
          </m:rPr>
          <w:rPr>
            <w:rFonts w:ascii="Cambria Math" w:eastAsiaTheme="minorHAnsi" w:hAnsi="Cambria Math"/>
            <w:szCs w:val="18"/>
            <w:lang w:val="en-US"/>
          </w:rPr>
          <m:t xml:space="preserve">SI </m:t>
        </m:r>
        <m:d>
          <m:dPr>
            <m:ctrlPr>
              <w:rPr>
                <w:rFonts w:ascii="Cambria Math" w:eastAsiaTheme="minorHAnsi" w:hAnsi="Cambria Math"/>
                <w:i/>
                <w:iCs/>
                <w:szCs w:val="18"/>
                <w:lang w:val="en-US"/>
              </w:rPr>
            </m:ctrlPr>
          </m:dPr>
          <m:e>
            <m:r>
              <w:rPr>
                <w:rFonts w:ascii="Cambria Math" w:eastAsiaTheme="minorHAnsi" w:hAnsi="Cambria Math"/>
                <w:szCs w:val="18"/>
                <w:lang w:val="en-US"/>
              </w:rPr>
              <m:t>%</m:t>
            </m:r>
          </m:e>
        </m:d>
        <m:r>
          <w:rPr>
            <w:rFonts w:ascii="Cambria Math" w:eastAsiaTheme="minorHAnsi" w:hAnsi="Cambria Math"/>
            <w:szCs w:val="18"/>
            <w:lang w:val="en-US"/>
          </w:rPr>
          <m:t>=</m:t>
        </m:r>
        <m:f>
          <m:fPr>
            <m:ctrlPr>
              <w:rPr>
                <w:rFonts w:ascii="Cambria Math" w:eastAsiaTheme="minorHAnsi" w:hAnsi="Cambria Math"/>
                <w:i/>
                <w:iCs/>
                <w:szCs w:val="18"/>
                <w:lang w:val="en-US"/>
              </w:rPr>
            </m:ctrlPr>
          </m:fPr>
          <m:num>
            <m:r>
              <w:rPr>
                <w:rFonts w:ascii="Cambria Math" w:eastAsiaTheme="minorHAnsi" w:hAnsi="Cambria Math"/>
                <w:szCs w:val="18"/>
                <w:lang w:val="en-US"/>
              </w:rPr>
              <m:t>Final sediment volume</m:t>
            </m:r>
          </m:num>
          <m:den>
            <m:r>
              <w:rPr>
                <w:rFonts w:ascii="Cambria Math" w:eastAsiaTheme="minorHAnsi" w:hAnsi="Cambria Math"/>
                <w:szCs w:val="18"/>
                <w:lang w:val="en-US"/>
              </w:rPr>
              <m:t>Initial powder volume*initial powder weight</m:t>
            </m:r>
          </m:den>
        </m:f>
        <m:r>
          <w:rPr>
            <w:rFonts w:ascii="Cambria Math" w:eastAsiaTheme="minorHAnsi" w:hAnsi="Cambria Math"/>
            <w:szCs w:val="18"/>
            <w:lang w:val="en-US"/>
          </w:rPr>
          <m:t>*100</m:t>
        </m:r>
      </m:oMath>
      <w:r w:rsidR="00CA1449">
        <w:rPr>
          <w:rFonts w:ascii="Times New Roman" w:eastAsiaTheme="minorEastAsia" w:hAnsi="Times New Roman"/>
          <w:i/>
          <w:szCs w:val="18"/>
          <w:lang w:val="en-US"/>
        </w:rPr>
        <w:t xml:space="preserve"> </w:t>
      </w:r>
      <w:r w:rsidR="00F03CEE" w:rsidRPr="00277598">
        <w:rPr>
          <w:rFonts w:cs="Arial"/>
        </w:rPr>
        <w:t xml:space="preserve">           (</w:t>
      </w:r>
      <w:r w:rsidR="00F03CEE">
        <w:rPr>
          <w:rFonts w:cs="Arial"/>
        </w:rPr>
        <w:t>5</w:t>
      </w:r>
      <w:r w:rsidR="00F03CEE" w:rsidRPr="00277598">
        <w:rPr>
          <w:rFonts w:cs="Arial"/>
        </w:rPr>
        <w:t>)</w:t>
      </w:r>
    </w:p>
    <w:p w14:paraId="022575CE" w14:textId="72565437" w:rsidR="006408FC" w:rsidRPr="00CC7901" w:rsidRDefault="006408FC" w:rsidP="00DC678B">
      <w:pPr>
        <w:spacing w:before="120" w:after="160" w:line="257" w:lineRule="auto"/>
        <w:rPr>
          <w:szCs w:val="18"/>
        </w:rPr>
      </w:pPr>
      <m:oMath>
        <m:r>
          <m:rPr>
            <m:sty m:val="p"/>
          </m:rPr>
          <w:rPr>
            <w:rFonts w:ascii="Cambria Math" w:hAnsi="Cambria Math"/>
            <w:szCs w:val="18"/>
          </w:rPr>
          <m:t xml:space="preserve">WAI </m:t>
        </m:r>
        <m:d>
          <m:dPr>
            <m:ctrlPr>
              <w:rPr>
                <w:rFonts w:ascii="Cambria Math" w:hAnsi="Cambria Math"/>
                <w:szCs w:val="18"/>
              </w:rPr>
            </m:ctrlPr>
          </m:dPr>
          <m:e>
            <m:r>
              <m:rPr>
                <m:sty m:val="p"/>
              </m:rPr>
              <w:rPr>
                <w:rFonts w:ascii="Cambria Math" w:hAnsi="Cambria Math"/>
                <w:szCs w:val="18"/>
              </w:rPr>
              <m:t>%</m:t>
            </m:r>
          </m:e>
        </m:d>
        <m:r>
          <m:rPr>
            <m:sty m:val="p"/>
          </m:rPr>
          <w:rPr>
            <w:rFonts w:ascii="Cambria Math" w:hAnsi="Cambria Math"/>
            <w:szCs w:val="18"/>
          </w:rPr>
          <m:t xml:space="preserve">= </m:t>
        </m:r>
        <m:f>
          <m:fPr>
            <m:ctrlPr>
              <w:rPr>
                <w:rFonts w:ascii="Cambria Math" w:hAnsi="Cambria Math"/>
                <w:i/>
                <w:szCs w:val="18"/>
              </w:rPr>
            </m:ctrlPr>
          </m:fPr>
          <m:num>
            <m:r>
              <m:rPr>
                <m:sty m:val="p"/>
              </m:rPr>
              <w:rPr>
                <w:rFonts w:ascii="Cambria Math" w:hAnsi="Cambria Math"/>
                <w:szCs w:val="18"/>
                <w:lang w:val="en-US"/>
              </w:rPr>
              <m:t>Final sediment weight</m:t>
            </m:r>
          </m:num>
          <m:den>
            <m:r>
              <m:rPr>
                <m:sty m:val="p"/>
              </m:rPr>
              <w:rPr>
                <w:rFonts w:ascii="Cambria Math" w:hAnsi="Cambria Math"/>
                <w:szCs w:val="18"/>
              </w:rPr>
              <m:t xml:space="preserve"> I</m:t>
            </m:r>
            <m:r>
              <m:rPr>
                <m:sty m:val="p"/>
              </m:rPr>
              <w:rPr>
                <w:rFonts w:ascii="Cambria Math" w:hAnsi="Cambria Math"/>
                <w:szCs w:val="18"/>
                <w:lang w:val="en-US"/>
              </w:rPr>
              <m:t xml:space="preserve">nitial </m:t>
            </m:r>
            <m:r>
              <m:rPr>
                <m:sty m:val="p"/>
              </m:rPr>
              <w:rPr>
                <w:rFonts w:ascii="Cambria Math" w:hAnsi="Cambria Math"/>
                <w:szCs w:val="18"/>
              </w:rPr>
              <m:t xml:space="preserve">powder weight  </m:t>
            </m:r>
          </m:den>
        </m:f>
        <m:r>
          <w:rPr>
            <w:rFonts w:ascii="Cambria Math" w:hAnsi="Cambria Math"/>
            <w:szCs w:val="18"/>
          </w:rPr>
          <m:t>*100</m:t>
        </m:r>
      </m:oMath>
      <w:r w:rsidR="00CA1449">
        <w:rPr>
          <w:szCs w:val="18"/>
        </w:rPr>
        <w:t xml:space="preserve"> </w:t>
      </w:r>
      <w:r w:rsidR="00F03CEE" w:rsidRPr="00277598">
        <w:rPr>
          <w:rFonts w:cs="Arial"/>
        </w:rPr>
        <w:t xml:space="preserve">          </w:t>
      </w:r>
      <w:r w:rsidR="00F03CEE">
        <w:rPr>
          <w:rFonts w:cs="Arial"/>
        </w:rPr>
        <w:t xml:space="preserve">    </w:t>
      </w:r>
      <w:r w:rsidR="00F03CEE" w:rsidRPr="00277598">
        <w:rPr>
          <w:rFonts w:cs="Arial"/>
        </w:rPr>
        <w:t xml:space="preserve"> (</w:t>
      </w:r>
      <w:r w:rsidR="00F03CEE">
        <w:rPr>
          <w:rFonts w:cs="Arial"/>
        </w:rPr>
        <w:t>6</w:t>
      </w:r>
      <w:r w:rsidR="00F03CEE" w:rsidRPr="00277598">
        <w:rPr>
          <w:rFonts w:cs="Arial"/>
        </w:rPr>
        <w:t>)</w:t>
      </w:r>
    </w:p>
    <w:p w14:paraId="1EA9E855" w14:textId="77834EBB" w:rsidR="00CC7901" w:rsidRPr="006203B3" w:rsidRDefault="00A52C9E" w:rsidP="00DC678B">
      <w:pPr>
        <w:spacing w:before="120" w:after="160" w:line="257" w:lineRule="auto"/>
        <w:rPr>
          <w:szCs w:val="18"/>
          <w:lang w:val="en-US"/>
        </w:rPr>
      </w:pPr>
      <m:oMath>
        <m:r>
          <m:rPr>
            <m:sty m:val="p"/>
          </m:rPr>
          <w:rPr>
            <w:rFonts w:ascii="Cambria Math" w:hAnsi="Cambria Math"/>
            <w:szCs w:val="18"/>
          </w:rPr>
          <m:t xml:space="preserve">WSI </m:t>
        </m:r>
        <m:d>
          <m:dPr>
            <m:ctrlPr>
              <w:rPr>
                <w:rFonts w:ascii="Cambria Math" w:hAnsi="Cambria Math"/>
                <w:szCs w:val="18"/>
              </w:rPr>
            </m:ctrlPr>
          </m:dPr>
          <m:e>
            <m:r>
              <m:rPr>
                <m:sty m:val="p"/>
              </m:rPr>
              <w:rPr>
                <w:rFonts w:ascii="Cambria Math" w:hAnsi="Cambria Math"/>
                <w:szCs w:val="18"/>
              </w:rPr>
              <m:t>%</m:t>
            </m:r>
          </m:e>
        </m:d>
        <m:r>
          <m:rPr>
            <m:sty m:val="p"/>
          </m:rPr>
          <w:rPr>
            <w:rFonts w:ascii="Cambria Math" w:hAnsi="Cambria Math"/>
            <w:szCs w:val="18"/>
          </w:rPr>
          <m:t xml:space="preserve">= </m:t>
        </m:r>
        <m:f>
          <m:fPr>
            <m:ctrlPr>
              <w:rPr>
                <w:rFonts w:ascii="Cambria Math" w:hAnsi="Cambria Math"/>
                <w:i/>
                <w:szCs w:val="18"/>
              </w:rPr>
            </m:ctrlPr>
          </m:fPr>
          <m:num>
            <m:r>
              <m:rPr>
                <m:sty m:val="p"/>
              </m:rPr>
              <w:rPr>
                <w:rFonts w:ascii="Cambria Math" w:hAnsi="Cambria Math"/>
                <w:szCs w:val="18"/>
                <w:lang w:val="en-US"/>
              </w:rPr>
              <m:t xml:space="preserve">Weight of sediment from dried supernatant </m:t>
            </m:r>
          </m:num>
          <m:den>
            <m:r>
              <m:rPr>
                <m:sty m:val="p"/>
              </m:rPr>
              <w:rPr>
                <w:rFonts w:ascii="Cambria Math" w:hAnsi="Cambria Math"/>
                <w:szCs w:val="18"/>
              </w:rPr>
              <m:t xml:space="preserve"> </m:t>
            </m:r>
            <m:r>
              <m:rPr>
                <m:sty m:val="p"/>
              </m:rPr>
              <w:rPr>
                <w:rFonts w:ascii="Cambria Math" w:hAnsi="Cambria Math"/>
                <w:szCs w:val="18"/>
                <w:lang w:val="en-US"/>
              </w:rPr>
              <m:t xml:space="preserve">Initial powder weight </m:t>
            </m:r>
          </m:den>
        </m:f>
        <m:r>
          <w:rPr>
            <w:rFonts w:ascii="Cambria Math" w:hAnsi="Cambria Math"/>
            <w:szCs w:val="18"/>
          </w:rPr>
          <m:t>*100</m:t>
        </m:r>
      </m:oMath>
      <w:r w:rsidR="00BC25DB">
        <w:rPr>
          <w:szCs w:val="18"/>
        </w:rPr>
        <w:t xml:space="preserve"> </w:t>
      </w:r>
      <w:r w:rsidR="00F03CEE" w:rsidRPr="00277598">
        <w:rPr>
          <w:rFonts w:cs="Arial"/>
        </w:rPr>
        <w:t xml:space="preserve">           (</w:t>
      </w:r>
      <w:r w:rsidR="00F03CEE">
        <w:rPr>
          <w:rFonts w:cs="Arial"/>
        </w:rPr>
        <w:t>7</w:t>
      </w:r>
      <w:r w:rsidR="00F03CEE" w:rsidRPr="00277598">
        <w:rPr>
          <w:rFonts w:cs="Arial"/>
        </w:rPr>
        <w:t>)</w:t>
      </w:r>
    </w:p>
    <w:p w14:paraId="618F4690" w14:textId="605CBE56" w:rsidR="009D05ED" w:rsidRPr="00E61F29" w:rsidRDefault="006203B3" w:rsidP="00DC678B">
      <w:pPr>
        <w:tabs>
          <w:tab w:val="clear" w:pos="7100"/>
        </w:tabs>
        <w:autoSpaceDE w:val="0"/>
        <w:autoSpaceDN w:val="0"/>
        <w:adjustRightInd w:val="0"/>
        <w:spacing w:after="160" w:line="240" w:lineRule="auto"/>
        <w:jc w:val="left"/>
        <w:rPr>
          <w:rFonts w:ascii="Times New Roman" w:eastAsiaTheme="minorEastAsia" w:hAnsi="Times New Roman"/>
          <w:i/>
          <w:szCs w:val="18"/>
          <w:lang w:val="en-US"/>
        </w:rPr>
      </w:pPr>
      <m:oMath>
        <m:r>
          <m:rPr>
            <m:sty m:val="p"/>
          </m:rPr>
          <w:rPr>
            <w:rFonts w:ascii="Cambria Math" w:eastAsiaTheme="minorHAnsi" w:hAnsi="Cambria Math"/>
            <w:szCs w:val="18"/>
            <w:lang w:val="en-US"/>
          </w:rPr>
          <m:t>WHC</m:t>
        </m:r>
        <m:r>
          <w:rPr>
            <w:rFonts w:ascii="Cambria Math" w:eastAsiaTheme="minorHAnsi" w:hAnsi="Cambria Math"/>
            <w:szCs w:val="18"/>
            <w:lang w:val="en-US"/>
          </w:rPr>
          <m:t xml:space="preserve"> </m:t>
        </m:r>
        <m:d>
          <m:dPr>
            <m:ctrlPr>
              <w:rPr>
                <w:rFonts w:ascii="Cambria Math" w:eastAsiaTheme="minorHAnsi" w:hAnsi="Cambria Math"/>
                <w:i/>
                <w:iCs/>
                <w:szCs w:val="18"/>
                <w:lang w:val="en-US"/>
              </w:rPr>
            </m:ctrlPr>
          </m:dPr>
          <m:e>
            <m:r>
              <w:rPr>
                <w:rFonts w:ascii="Cambria Math" w:eastAsiaTheme="minorHAnsi" w:hAnsi="Cambria Math"/>
                <w:szCs w:val="18"/>
                <w:lang w:val="en-US"/>
              </w:rPr>
              <m:t>%</m:t>
            </m:r>
          </m:e>
        </m:d>
        <m:r>
          <w:rPr>
            <w:rFonts w:ascii="Cambria Math" w:eastAsiaTheme="minorHAnsi" w:hAnsi="Cambria Math"/>
            <w:szCs w:val="18"/>
            <w:lang w:val="en-US"/>
          </w:rPr>
          <m:t>=</m:t>
        </m:r>
        <m:f>
          <m:fPr>
            <m:ctrlPr>
              <w:rPr>
                <w:rFonts w:ascii="Cambria Math" w:eastAsiaTheme="minorHAnsi" w:hAnsi="Cambria Math"/>
                <w:i/>
                <w:iCs/>
                <w:szCs w:val="18"/>
                <w:lang w:val="en-US"/>
              </w:rPr>
            </m:ctrlPr>
          </m:fPr>
          <m:num>
            <m:r>
              <w:rPr>
                <w:rFonts w:ascii="Cambria Math" w:eastAsiaTheme="minorHAnsi" w:hAnsi="Cambria Math"/>
                <w:szCs w:val="18"/>
                <w:lang w:val="en-US"/>
              </w:rPr>
              <m:t>Wheight of hydrated powder-weight of dry powder</m:t>
            </m:r>
          </m:num>
          <m:den>
            <m:r>
              <w:rPr>
                <w:rFonts w:ascii="Cambria Math" w:eastAsiaTheme="minorHAnsi" w:hAnsi="Cambria Math"/>
                <w:szCs w:val="18"/>
                <w:lang w:val="en-US"/>
              </w:rPr>
              <m:t>Weight of dry powder</m:t>
            </m:r>
          </m:den>
        </m:f>
        <m:r>
          <w:rPr>
            <w:rFonts w:ascii="Cambria Math" w:eastAsiaTheme="minorHAnsi" w:hAnsi="Cambria Math"/>
            <w:szCs w:val="18"/>
            <w:lang w:val="en-US"/>
          </w:rPr>
          <m:t>*100</m:t>
        </m:r>
      </m:oMath>
      <w:r w:rsidR="00BC25DB">
        <w:rPr>
          <w:rFonts w:ascii="Times New Roman" w:eastAsiaTheme="minorEastAsia" w:hAnsi="Times New Roman"/>
          <w:i/>
          <w:szCs w:val="18"/>
          <w:lang w:val="en-US"/>
        </w:rPr>
        <w:t xml:space="preserve"> </w:t>
      </w:r>
      <w:r w:rsidR="00F03CEE" w:rsidRPr="00277598">
        <w:rPr>
          <w:rFonts w:cs="Arial"/>
        </w:rPr>
        <w:t xml:space="preserve">           (</w:t>
      </w:r>
      <w:r w:rsidR="00F03CEE">
        <w:rPr>
          <w:rFonts w:cs="Arial"/>
        </w:rPr>
        <w:t>8</w:t>
      </w:r>
      <w:r w:rsidR="00F03CEE" w:rsidRPr="00277598">
        <w:rPr>
          <w:rFonts w:cs="Arial"/>
        </w:rPr>
        <w:t>)</w:t>
      </w:r>
    </w:p>
    <w:p w14:paraId="2223D603" w14:textId="780F16A1" w:rsidR="00E61F29" w:rsidRPr="00444043" w:rsidRDefault="00E41D03" w:rsidP="00DC678B">
      <w:pPr>
        <w:spacing w:before="120" w:after="160" w:line="257" w:lineRule="auto"/>
        <w:rPr>
          <w:sz w:val="20"/>
          <w:lang w:val="en-US"/>
        </w:rPr>
      </w:pPr>
      <m:oMath>
        <m:r>
          <m:rPr>
            <m:sty m:val="p"/>
          </m:rPr>
          <w:rPr>
            <w:rFonts w:ascii="Cambria Math" w:hAnsi="Cambria Math"/>
            <w:szCs w:val="18"/>
          </w:rPr>
          <m:t xml:space="preserve">OAC </m:t>
        </m:r>
        <m:d>
          <m:dPr>
            <m:ctrlPr>
              <w:rPr>
                <w:rFonts w:ascii="Cambria Math" w:hAnsi="Cambria Math"/>
                <w:szCs w:val="18"/>
              </w:rPr>
            </m:ctrlPr>
          </m:dPr>
          <m:e>
            <m:r>
              <m:rPr>
                <m:sty m:val="p"/>
              </m:rPr>
              <w:rPr>
                <w:rFonts w:ascii="Cambria Math" w:hAnsi="Cambria Math"/>
                <w:szCs w:val="18"/>
              </w:rPr>
              <m:t>%</m:t>
            </m:r>
          </m:e>
        </m:d>
        <m:r>
          <m:rPr>
            <m:sty m:val="p"/>
          </m:rPr>
          <w:rPr>
            <w:rFonts w:ascii="Cambria Math" w:hAnsi="Cambria Math"/>
            <w:szCs w:val="18"/>
          </w:rPr>
          <m:t xml:space="preserve">= </m:t>
        </m:r>
        <m:f>
          <m:fPr>
            <m:ctrlPr>
              <w:rPr>
                <w:rFonts w:ascii="Cambria Math" w:hAnsi="Cambria Math"/>
                <w:i/>
                <w:szCs w:val="18"/>
              </w:rPr>
            </m:ctrlPr>
          </m:fPr>
          <m:num>
            <m:r>
              <m:rPr>
                <m:sty m:val="p"/>
              </m:rPr>
              <w:rPr>
                <w:rFonts w:ascii="Cambria Math" w:hAnsi="Cambria Math"/>
                <w:szCs w:val="18"/>
              </w:rPr>
              <m:t>Weight of oiled powder-weight of dry powder</m:t>
            </m:r>
          </m:num>
          <m:den>
            <m:r>
              <m:rPr>
                <m:sty m:val="p"/>
              </m:rPr>
              <w:rPr>
                <w:rFonts w:ascii="Cambria Math" w:hAnsi="Cambria Math"/>
                <w:szCs w:val="18"/>
              </w:rPr>
              <m:t xml:space="preserve"> Weight of dry powder</m:t>
            </m:r>
          </m:den>
        </m:f>
        <m:r>
          <w:rPr>
            <w:rFonts w:ascii="Cambria Math" w:hAnsi="Cambria Math"/>
            <w:szCs w:val="18"/>
          </w:rPr>
          <m:t>*100</m:t>
        </m:r>
      </m:oMath>
      <w:r w:rsidR="00BC25DB">
        <w:rPr>
          <w:szCs w:val="18"/>
        </w:rPr>
        <w:t xml:space="preserve"> </w:t>
      </w:r>
      <w:r w:rsidR="00F03CEE" w:rsidRPr="00277598">
        <w:rPr>
          <w:rFonts w:cs="Arial"/>
        </w:rPr>
        <w:t xml:space="preserve">           (</w:t>
      </w:r>
      <w:r w:rsidR="00F03CEE">
        <w:rPr>
          <w:rFonts w:cs="Arial"/>
        </w:rPr>
        <w:t>9</w:t>
      </w:r>
      <w:r w:rsidR="00F03CEE" w:rsidRPr="00277598">
        <w:rPr>
          <w:rFonts w:cs="Arial"/>
        </w:rPr>
        <w:t>)</w:t>
      </w:r>
    </w:p>
    <w:p w14:paraId="105C6365" w14:textId="7BFFEA32" w:rsidR="009D05ED" w:rsidRPr="00E61F29" w:rsidRDefault="009D05ED" w:rsidP="00DC678B">
      <w:pPr>
        <w:spacing w:after="160"/>
        <w:rPr>
          <w:rFonts w:ascii="Times New Roman" w:eastAsiaTheme="minorHAnsi" w:hAnsi="Times New Roman"/>
          <w:i/>
          <w:iCs/>
          <w:szCs w:val="18"/>
          <w:lang w:val="en-US"/>
        </w:rPr>
      </w:pPr>
      <m:oMath>
        <m:r>
          <w:rPr>
            <w:rFonts w:ascii="Cambria Math" w:eastAsiaTheme="minorHAnsi" w:hAnsi="Cambria Math"/>
            <w:szCs w:val="18"/>
            <w:lang w:val="en-US"/>
          </w:rPr>
          <m:t xml:space="preserve">EC </m:t>
        </m:r>
        <m:d>
          <m:dPr>
            <m:ctrlPr>
              <w:rPr>
                <w:rFonts w:ascii="Cambria Math" w:eastAsiaTheme="minorHAnsi" w:hAnsi="Cambria Math"/>
                <w:i/>
                <w:iCs/>
                <w:szCs w:val="18"/>
                <w:lang w:val="en-US"/>
              </w:rPr>
            </m:ctrlPr>
          </m:dPr>
          <m:e>
            <m:r>
              <w:rPr>
                <w:rFonts w:ascii="Cambria Math" w:eastAsiaTheme="minorHAnsi" w:hAnsi="Cambria Math"/>
                <w:szCs w:val="18"/>
                <w:lang w:val="en-US"/>
              </w:rPr>
              <m:t>%</m:t>
            </m:r>
          </m:e>
        </m:d>
        <m:r>
          <w:rPr>
            <w:rFonts w:ascii="Cambria Math" w:eastAsiaTheme="minorHAnsi" w:hAnsi="Cambria Math"/>
            <w:szCs w:val="18"/>
            <w:lang w:val="en-US"/>
          </w:rPr>
          <m:t>=</m:t>
        </m:r>
        <m:f>
          <m:fPr>
            <m:ctrlPr>
              <w:rPr>
                <w:rFonts w:ascii="Cambria Math" w:eastAsiaTheme="minorHAnsi" w:hAnsi="Cambria Math"/>
                <w:i/>
                <w:iCs/>
                <w:szCs w:val="18"/>
                <w:lang w:val="en-US"/>
              </w:rPr>
            </m:ctrlPr>
          </m:fPr>
          <m:num>
            <m:r>
              <w:rPr>
                <w:rFonts w:ascii="Cambria Math" w:eastAsiaTheme="minorHAnsi" w:hAnsi="Cambria Math"/>
                <w:szCs w:val="18"/>
                <w:lang w:val="en-US"/>
              </w:rPr>
              <m:t xml:space="preserve">Volume of the emulsified layer </m:t>
            </m:r>
          </m:num>
          <m:den>
            <m:r>
              <w:rPr>
                <w:rFonts w:ascii="Cambria Math" w:eastAsiaTheme="minorHAnsi" w:hAnsi="Cambria Math"/>
                <w:szCs w:val="18"/>
                <w:lang w:val="en-US"/>
              </w:rPr>
              <m:t>Volume of emulsion before centrifugation</m:t>
            </m:r>
          </m:den>
        </m:f>
        <m:r>
          <w:rPr>
            <w:rFonts w:ascii="Cambria Math" w:eastAsiaTheme="minorHAnsi" w:hAnsi="Cambria Math"/>
            <w:szCs w:val="18"/>
            <w:lang w:val="en-US"/>
          </w:rPr>
          <m:t>*100</m:t>
        </m:r>
      </m:oMath>
      <w:r w:rsidR="00BC25DB">
        <w:rPr>
          <w:rFonts w:ascii="Times New Roman" w:eastAsiaTheme="minorEastAsia" w:hAnsi="Times New Roman"/>
          <w:i/>
          <w:szCs w:val="18"/>
          <w:lang w:val="en-US"/>
        </w:rPr>
        <w:t xml:space="preserve"> </w:t>
      </w:r>
      <w:r w:rsidR="00F03CEE" w:rsidRPr="00277598">
        <w:rPr>
          <w:rFonts w:cs="Arial"/>
        </w:rPr>
        <w:t xml:space="preserve">           (</w:t>
      </w:r>
      <w:r w:rsidR="00F03CEE">
        <w:rPr>
          <w:rFonts w:cs="Arial"/>
        </w:rPr>
        <w:t>10</w:t>
      </w:r>
      <w:r w:rsidR="00F03CEE" w:rsidRPr="00277598">
        <w:rPr>
          <w:rFonts w:cs="Arial"/>
        </w:rPr>
        <w:t>)</w:t>
      </w:r>
    </w:p>
    <w:p w14:paraId="7653627D" w14:textId="75B437C6" w:rsidR="009D05ED" w:rsidRPr="00E61F29" w:rsidRDefault="009D05ED" w:rsidP="00DC678B">
      <w:pPr>
        <w:spacing w:after="160"/>
        <w:rPr>
          <w:rFonts w:ascii="Times New Roman" w:eastAsiaTheme="minorHAnsi" w:hAnsi="Times New Roman"/>
          <w:i/>
          <w:iCs/>
          <w:szCs w:val="18"/>
          <w:lang w:val="en-US"/>
        </w:rPr>
      </w:pPr>
      <m:oMath>
        <m:r>
          <w:rPr>
            <w:rFonts w:ascii="Cambria Math" w:eastAsiaTheme="minorHAnsi" w:hAnsi="Cambria Math"/>
            <w:szCs w:val="18"/>
            <w:lang w:val="en-US"/>
          </w:rPr>
          <m:t xml:space="preserve">ES </m:t>
        </m:r>
        <m:d>
          <m:dPr>
            <m:ctrlPr>
              <w:rPr>
                <w:rFonts w:ascii="Cambria Math" w:eastAsiaTheme="minorHAnsi" w:hAnsi="Cambria Math"/>
                <w:i/>
                <w:iCs/>
                <w:szCs w:val="18"/>
                <w:lang w:val="en-US"/>
              </w:rPr>
            </m:ctrlPr>
          </m:dPr>
          <m:e>
            <m:r>
              <w:rPr>
                <w:rFonts w:ascii="Cambria Math" w:eastAsiaTheme="minorHAnsi" w:hAnsi="Cambria Math"/>
                <w:szCs w:val="18"/>
                <w:lang w:val="en-US"/>
              </w:rPr>
              <m:t>%</m:t>
            </m:r>
          </m:e>
        </m:d>
        <m:r>
          <w:rPr>
            <w:rFonts w:ascii="Cambria Math" w:eastAsiaTheme="minorHAnsi" w:hAnsi="Cambria Math"/>
            <w:szCs w:val="18"/>
            <w:lang w:val="en-US"/>
          </w:rPr>
          <m:t>=</m:t>
        </m:r>
        <m:f>
          <m:fPr>
            <m:ctrlPr>
              <w:rPr>
                <w:rFonts w:ascii="Cambria Math" w:eastAsiaTheme="minorHAnsi" w:hAnsi="Cambria Math"/>
                <w:i/>
                <w:iCs/>
                <w:szCs w:val="18"/>
                <w:lang w:val="en-US"/>
              </w:rPr>
            </m:ctrlPr>
          </m:fPr>
          <m:num>
            <m:r>
              <w:rPr>
                <w:rFonts w:ascii="Cambria Math" w:eastAsiaTheme="minorHAnsi" w:hAnsi="Cambria Math"/>
                <w:szCs w:val="18"/>
                <w:lang w:val="en-US"/>
              </w:rPr>
              <m:t>Volume of the emulsified layer after heating</m:t>
            </m:r>
          </m:num>
          <m:den>
            <m:r>
              <w:rPr>
                <w:rFonts w:ascii="Cambria Math" w:eastAsiaTheme="minorHAnsi" w:hAnsi="Cambria Math"/>
                <w:szCs w:val="18"/>
                <w:lang w:val="en-US"/>
              </w:rPr>
              <m:t>Volume of emulsion before centrifugation</m:t>
            </m:r>
          </m:den>
        </m:f>
        <m:r>
          <w:rPr>
            <w:rFonts w:ascii="Cambria Math" w:eastAsiaTheme="minorHAnsi" w:hAnsi="Cambria Math"/>
            <w:szCs w:val="18"/>
            <w:lang w:val="en-US"/>
          </w:rPr>
          <m:t>*100</m:t>
        </m:r>
      </m:oMath>
      <w:r w:rsidR="00BC25DB">
        <w:rPr>
          <w:rFonts w:ascii="Times New Roman" w:eastAsiaTheme="minorEastAsia" w:hAnsi="Times New Roman"/>
          <w:i/>
          <w:szCs w:val="18"/>
          <w:lang w:val="en-US"/>
        </w:rPr>
        <w:t xml:space="preserve"> </w:t>
      </w:r>
      <w:r w:rsidR="00F03CEE" w:rsidRPr="00277598">
        <w:rPr>
          <w:rFonts w:cs="Arial"/>
        </w:rPr>
        <w:t xml:space="preserve">           (</w:t>
      </w:r>
      <w:r w:rsidR="00F03CEE">
        <w:rPr>
          <w:rFonts w:cs="Arial"/>
        </w:rPr>
        <w:t>11</w:t>
      </w:r>
      <w:r w:rsidR="00F03CEE" w:rsidRPr="00277598">
        <w:rPr>
          <w:rFonts w:cs="Arial"/>
        </w:rPr>
        <w:t>)</w:t>
      </w:r>
    </w:p>
    <w:p w14:paraId="5A13E364" w14:textId="0BD5943A" w:rsidR="009D05ED" w:rsidRPr="00E61F29" w:rsidRDefault="009D05ED" w:rsidP="00DC678B">
      <w:pPr>
        <w:spacing w:after="160"/>
        <w:rPr>
          <w:rFonts w:ascii="Times New Roman" w:eastAsiaTheme="minorHAnsi" w:hAnsi="Times New Roman"/>
          <w:i/>
          <w:iCs/>
          <w:szCs w:val="18"/>
          <w:lang w:val="en-US"/>
        </w:rPr>
      </w:pPr>
      <m:oMath>
        <m:r>
          <w:rPr>
            <w:rFonts w:ascii="Cambria Math" w:eastAsiaTheme="minorHAnsi" w:hAnsi="Cambria Math"/>
            <w:szCs w:val="18"/>
            <w:lang w:val="en-US"/>
          </w:rPr>
          <m:t xml:space="preserve">FC </m:t>
        </m:r>
        <m:d>
          <m:dPr>
            <m:ctrlPr>
              <w:rPr>
                <w:rFonts w:ascii="Cambria Math" w:eastAsiaTheme="minorHAnsi" w:hAnsi="Cambria Math"/>
                <w:i/>
                <w:iCs/>
                <w:szCs w:val="18"/>
                <w:lang w:val="en-US"/>
              </w:rPr>
            </m:ctrlPr>
          </m:dPr>
          <m:e>
            <m:r>
              <w:rPr>
                <w:rFonts w:ascii="Cambria Math" w:eastAsiaTheme="minorHAnsi" w:hAnsi="Cambria Math"/>
                <w:szCs w:val="18"/>
                <w:lang w:val="en-US"/>
              </w:rPr>
              <m:t>%</m:t>
            </m:r>
          </m:e>
        </m:d>
        <m:r>
          <w:rPr>
            <w:rFonts w:ascii="Cambria Math" w:eastAsiaTheme="minorHAnsi" w:hAnsi="Cambria Math"/>
            <w:szCs w:val="18"/>
            <w:lang w:val="en-US"/>
          </w:rPr>
          <m:t>=</m:t>
        </m:r>
        <m:f>
          <m:fPr>
            <m:ctrlPr>
              <w:rPr>
                <w:rFonts w:ascii="Cambria Math" w:eastAsiaTheme="minorHAnsi" w:hAnsi="Cambria Math"/>
                <w:i/>
                <w:iCs/>
                <w:szCs w:val="18"/>
                <w:lang w:val="en-US"/>
              </w:rPr>
            </m:ctrlPr>
          </m:fPr>
          <m:num>
            <m:r>
              <w:rPr>
                <w:rFonts w:ascii="Cambria Math" w:eastAsiaTheme="minorHAnsi" w:hAnsi="Cambria Math"/>
                <w:szCs w:val="18"/>
                <w:lang w:val="en-US"/>
              </w:rPr>
              <m:t xml:space="preserve"> Foam volume</m:t>
            </m:r>
          </m:num>
          <m:den>
            <m:r>
              <w:rPr>
                <w:rFonts w:ascii="Cambria Math" w:eastAsiaTheme="minorHAnsi" w:hAnsi="Cambria Math"/>
                <w:szCs w:val="18"/>
                <w:lang w:val="en-US"/>
              </w:rPr>
              <m:t>Volume before whipping</m:t>
            </m:r>
          </m:den>
        </m:f>
        <m:r>
          <w:rPr>
            <w:rFonts w:ascii="Cambria Math" w:eastAsiaTheme="minorHAnsi" w:hAnsi="Cambria Math"/>
            <w:szCs w:val="18"/>
            <w:lang w:val="en-US"/>
          </w:rPr>
          <m:t>*100</m:t>
        </m:r>
      </m:oMath>
      <w:r w:rsidR="008B0B67">
        <w:rPr>
          <w:rFonts w:ascii="Times New Roman" w:eastAsiaTheme="minorEastAsia" w:hAnsi="Times New Roman"/>
          <w:i/>
          <w:szCs w:val="18"/>
          <w:lang w:val="en-US"/>
        </w:rPr>
        <w:t xml:space="preserve"> </w:t>
      </w:r>
      <w:r w:rsidR="00F03CEE" w:rsidRPr="00277598">
        <w:rPr>
          <w:rFonts w:cs="Arial"/>
        </w:rPr>
        <w:t xml:space="preserve">           (</w:t>
      </w:r>
      <w:r w:rsidR="00F03CEE">
        <w:rPr>
          <w:rFonts w:cs="Arial"/>
        </w:rPr>
        <w:t>12</w:t>
      </w:r>
      <w:r w:rsidR="00F03CEE" w:rsidRPr="00277598">
        <w:rPr>
          <w:rFonts w:cs="Arial"/>
        </w:rPr>
        <w:t>)</w:t>
      </w:r>
    </w:p>
    <w:p w14:paraId="1D65FA55" w14:textId="111904AB" w:rsidR="009D05ED" w:rsidRPr="00E61F29" w:rsidRDefault="009D05ED" w:rsidP="00DC678B">
      <w:pPr>
        <w:spacing w:after="160"/>
        <w:rPr>
          <w:szCs w:val="18"/>
          <w:lang w:val="en-US"/>
        </w:rPr>
      </w:pPr>
      <m:oMath>
        <m:r>
          <w:rPr>
            <w:rFonts w:ascii="Cambria Math" w:hAnsi="Cambria Math"/>
            <w:szCs w:val="18"/>
            <w:lang w:val="en-US"/>
          </w:rPr>
          <m:t xml:space="preserve">FS </m:t>
        </m:r>
        <m:d>
          <m:dPr>
            <m:ctrlPr>
              <w:rPr>
                <w:rFonts w:ascii="Cambria Math" w:hAnsi="Cambria Math"/>
                <w:i/>
                <w:szCs w:val="18"/>
                <w:lang w:val="en-US"/>
              </w:rPr>
            </m:ctrlPr>
          </m:dPr>
          <m:e>
            <m:r>
              <w:rPr>
                <w:rFonts w:ascii="Cambria Math" w:hAnsi="Cambria Math"/>
                <w:szCs w:val="18"/>
                <w:lang w:val="en-US"/>
              </w:rPr>
              <m:t>%</m:t>
            </m:r>
          </m:e>
        </m:d>
        <m:r>
          <w:rPr>
            <w:rFonts w:ascii="Cambria Math" w:hAnsi="Cambria Math"/>
            <w:szCs w:val="18"/>
            <w:lang w:val="en-US"/>
          </w:rPr>
          <m:t>=</m:t>
        </m:r>
        <m:f>
          <m:fPr>
            <m:ctrlPr>
              <w:rPr>
                <w:rFonts w:ascii="Cambria Math" w:hAnsi="Cambria Math"/>
                <w:i/>
                <w:szCs w:val="18"/>
                <w:lang w:val="en-US"/>
              </w:rPr>
            </m:ctrlPr>
          </m:fPr>
          <m:num>
            <m:r>
              <w:rPr>
                <w:rFonts w:ascii="Cambria Math" w:hAnsi="Cambria Math"/>
                <w:szCs w:val="18"/>
                <w:lang w:val="en-US"/>
              </w:rPr>
              <m:t xml:space="preserve"> Foam volume after time t</m:t>
            </m:r>
          </m:num>
          <m:den>
            <m:r>
              <w:rPr>
                <w:rFonts w:ascii="Cambria Math" w:hAnsi="Cambria Math"/>
                <w:szCs w:val="18"/>
                <w:lang w:val="en-US"/>
              </w:rPr>
              <m:t>initial foam volume</m:t>
            </m:r>
          </m:den>
        </m:f>
        <m:r>
          <w:rPr>
            <w:rFonts w:ascii="Cambria Math" w:hAnsi="Cambria Math"/>
            <w:szCs w:val="18"/>
            <w:lang w:val="en-US"/>
          </w:rPr>
          <m:t>*100</m:t>
        </m:r>
      </m:oMath>
      <w:r w:rsidR="00BC25DB">
        <w:rPr>
          <w:szCs w:val="18"/>
          <w:lang w:val="en-US"/>
        </w:rPr>
        <w:t xml:space="preserve"> </w:t>
      </w:r>
      <w:r w:rsidR="00F03CEE" w:rsidRPr="00277598">
        <w:rPr>
          <w:rFonts w:cs="Arial"/>
        </w:rPr>
        <w:t xml:space="preserve">           (</w:t>
      </w:r>
      <w:r w:rsidR="00F03CEE">
        <w:rPr>
          <w:rFonts w:cs="Arial"/>
        </w:rPr>
        <w:t>13</w:t>
      </w:r>
      <w:r w:rsidR="00F03CEE" w:rsidRPr="00277598">
        <w:rPr>
          <w:rFonts w:cs="Arial"/>
        </w:rPr>
        <w:t>)</w:t>
      </w:r>
    </w:p>
    <w:p w14:paraId="3D4DF03A" w14:textId="3C538F18" w:rsidR="00515F27" w:rsidRDefault="00515F27" w:rsidP="00EB436E">
      <w:pPr>
        <w:keepNext/>
        <w:rPr>
          <w:b/>
        </w:rPr>
      </w:pPr>
      <w:r>
        <w:rPr>
          <w:b/>
        </w:rPr>
        <w:lastRenderedPageBreak/>
        <w:t>2.4 Statistical analysis</w:t>
      </w:r>
    </w:p>
    <w:p w14:paraId="45AB4A1B" w14:textId="412A6ED3" w:rsidR="00515F27" w:rsidRPr="00636D02" w:rsidRDefault="00515F27" w:rsidP="00B25C45">
      <w:pPr>
        <w:rPr>
          <w:szCs w:val="18"/>
          <w:lang w:val="en-US"/>
        </w:rPr>
      </w:pPr>
      <w:r w:rsidRPr="00636D02">
        <w:rPr>
          <w:szCs w:val="18"/>
          <w:lang w:val="en-US"/>
        </w:rPr>
        <w:t xml:space="preserve">All the trials were conducted in </w:t>
      </w:r>
      <w:r w:rsidRPr="009A1AB2">
        <w:rPr>
          <w:color w:val="FF0000"/>
          <w:szCs w:val="18"/>
          <w:lang w:val="en-US"/>
        </w:rPr>
        <w:t>triplicate</w:t>
      </w:r>
      <w:r w:rsidRPr="00636D02">
        <w:rPr>
          <w:szCs w:val="18"/>
          <w:lang w:val="en-US"/>
        </w:rPr>
        <w:t>. Experimental data were reported as mean and standard deviation and subjected to one-way analysis of variance (one-way ANOVA). The significant differences (</w:t>
      </w:r>
      <w:r w:rsidRPr="00636D02">
        <w:rPr>
          <w:i/>
          <w:szCs w:val="18"/>
          <w:lang w:val="en-US"/>
        </w:rPr>
        <w:t>p&lt;0.05</w:t>
      </w:r>
      <w:r w:rsidRPr="00636D02">
        <w:rPr>
          <w:szCs w:val="18"/>
          <w:lang w:val="en-US"/>
        </w:rPr>
        <w:t>) among samples were determined via Duncan’s test through JMP statistical software (SAS Institute. Inc. Cary, NC, USA).</w:t>
      </w:r>
    </w:p>
    <w:p w14:paraId="677EBFF0" w14:textId="5C02140A" w:rsidR="00600535" w:rsidRPr="00D72774" w:rsidRDefault="00CF0C2B" w:rsidP="00277598">
      <w:pPr>
        <w:pStyle w:val="CETHeading1"/>
      </w:pPr>
      <w:r w:rsidRPr="00D72774">
        <w:t>Results and Discussion</w:t>
      </w:r>
    </w:p>
    <w:p w14:paraId="28749DBB" w14:textId="7D568B32" w:rsidR="00515F27" w:rsidRPr="001B473D" w:rsidRDefault="00515F27" w:rsidP="001B473D">
      <w:pPr>
        <w:pStyle w:val="CETheadingx"/>
      </w:pPr>
      <w:r w:rsidRPr="001B473D">
        <w:t>3.1 Total polyphenols content and antioxidant activity</w:t>
      </w:r>
    </w:p>
    <w:p w14:paraId="6E63B272" w14:textId="5F9F1ACC" w:rsidR="0051284A" w:rsidRPr="003847DE" w:rsidRDefault="00D72774" w:rsidP="0051284A">
      <w:pPr>
        <w:rPr>
          <w:lang w:val="en-US"/>
        </w:rPr>
      </w:pPr>
      <w:r>
        <w:t xml:space="preserve">Raw and </w:t>
      </w:r>
      <w:proofErr w:type="spellStart"/>
      <w:r w:rsidR="00612F7C">
        <w:t>hydrolyzed</w:t>
      </w:r>
      <w:proofErr w:type="spellEnd"/>
      <w:r>
        <w:t xml:space="preserve"> HSCF have</w:t>
      </w:r>
      <w:r w:rsidR="0039361F" w:rsidRPr="00D72774">
        <w:t xml:space="preserve"> been characterized by </w:t>
      </w:r>
      <w:r>
        <w:t>their</w:t>
      </w:r>
      <w:r w:rsidR="0039361F" w:rsidRPr="00D72774">
        <w:t xml:space="preserve"> </w:t>
      </w:r>
      <w:r w:rsidRPr="00D72774">
        <w:t xml:space="preserve">polyphenol content </w:t>
      </w:r>
      <w:r>
        <w:t xml:space="preserve">and </w:t>
      </w:r>
      <w:r w:rsidR="0039361F" w:rsidRPr="00D72774">
        <w:t>antioxidant activity</w:t>
      </w:r>
      <w:r>
        <w:t xml:space="preserve"> (Table 1)</w:t>
      </w:r>
      <w:r w:rsidR="0039361F" w:rsidRPr="00D72774">
        <w:t>.</w:t>
      </w:r>
      <w:r>
        <w:t xml:space="preserve"> </w:t>
      </w:r>
      <w:r w:rsidR="001B473D">
        <w:t>A</w:t>
      </w:r>
      <w:r>
        <w:t xml:space="preserve"> significant increase in the polyphenol </w:t>
      </w:r>
      <w:r w:rsidR="00FB7439">
        <w:t>amount</w:t>
      </w:r>
      <w:r>
        <w:t xml:space="preserve"> was observed in the </w:t>
      </w:r>
      <w:proofErr w:type="spellStart"/>
      <w:r w:rsidR="00612F7C">
        <w:t>hydrolyzed</w:t>
      </w:r>
      <w:proofErr w:type="spellEnd"/>
      <w:r>
        <w:t xml:space="preserve"> flour compared to the raw one. This increase </w:t>
      </w:r>
      <w:r w:rsidR="001B473D">
        <w:t>may</w:t>
      </w:r>
      <w:r>
        <w:t xml:space="preserve"> be </w:t>
      </w:r>
      <w:r w:rsidR="001B473D">
        <w:t>due</w:t>
      </w:r>
      <w:r>
        <w:t xml:space="preserve"> to the enzyme’s activity which, </w:t>
      </w:r>
      <w:r w:rsidR="001B473D">
        <w:t>along</w:t>
      </w:r>
      <w:r>
        <w:t xml:space="preserve"> with the </w:t>
      </w:r>
      <w:r w:rsidR="001B473D">
        <w:t xml:space="preserve">removal of </w:t>
      </w:r>
      <w:r>
        <w:t xml:space="preserve">lignin through DES pretreatment, </w:t>
      </w:r>
      <w:r w:rsidR="0051528A">
        <w:t>further improves</w:t>
      </w:r>
      <w:r w:rsidR="001B473D">
        <w:t xml:space="preserve"> the accessibility of</w:t>
      </w:r>
      <w:r>
        <w:t xml:space="preserve"> phenolic compounds in the matrix</w:t>
      </w:r>
      <w:r w:rsidR="001B473D">
        <w:t xml:space="preserve">, </w:t>
      </w:r>
      <w:r>
        <w:t xml:space="preserve">as </w:t>
      </w:r>
      <w:r w:rsidR="001B473D">
        <w:t>confirmed</w:t>
      </w:r>
      <w:r>
        <w:t xml:space="preserve"> </w:t>
      </w:r>
      <w:r w:rsidR="001B473D">
        <w:t xml:space="preserve">in </w:t>
      </w:r>
      <w:r w:rsidR="003847DE">
        <w:t xml:space="preserve">the </w:t>
      </w:r>
      <w:r w:rsidR="001B473D" w:rsidRPr="00B5675D">
        <w:t>literature (</w:t>
      </w:r>
      <w:r w:rsidRPr="00B5675D">
        <w:t>Pontonio et al.</w:t>
      </w:r>
      <w:r w:rsidR="001B473D" w:rsidRPr="00B5675D">
        <w:t>,</w:t>
      </w:r>
      <w:r w:rsidRPr="00B5675D">
        <w:t xml:space="preserve"> 2020</w:t>
      </w:r>
      <w:r w:rsidR="001B473D" w:rsidRPr="00B5675D">
        <w:t>).</w:t>
      </w:r>
      <w:r w:rsidRPr="00B5675D">
        <w:t xml:space="preserve"> </w:t>
      </w:r>
      <w:r w:rsidR="00A50757" w:rsidRPr="00B5675D">
        <w:rPr>
          <w:color w:val="FF0000"/>
        </w:rPr>
        <w:t>AA</w:t>
      </w:r>
      <w:r w:rsidR="00CA75B4" w:rsidRPr="00F70887">
        <w:rPr>
          <w:color w:val="000000" w:themeColor="text1"/>
        </w:rPr>
        <w:t xml:space="preserve"> of </w:t>
      </w:r>
      <w:proofErr w:type="spellStart"/>
      <w:r w:rsidR="00612F7C">
        <w:rPr>
          <w:color w:val="000000" w:themeColor="text1"/>
        </w:rPr>
        <w:t>hydrolyzed</w:t>
      </w:r>
      <w:proofErr w:type="spellEnd"/>
      <w:r w:rsidR="00CA75B4" w:rsidRPr="00F70887">
        <w:rPr>
          <w:color w:val="000000" w:themeColor="text1"/>
        </w:rPr>
        <w:t xml:space="preserve"> flour, </w:t>
      </w:r>
      <w:r w:rsidR="003847DE" w:rsidRPr="00F70887">
        <w:rPr>
          <w:color w:val="000000" w:themeColor="text1"/>
        </w:rPr>
        <w:t>assessed</w:t>
      </w:r>
      <w:r w:rsidR="00CA75B4" w:rsidRPr="00F70887">
        <w:rPr>
          <w:color w:val="000000" w:themeColor="text1"/>
        </w:rPr>
        <w:t xml:space="preserve"> through DPPH assays, was found to be higher than that of the raw flour. </w:t>
      </w:r>
      <w:r w:rsidR="00CA75B4" w:rsidRPr="00F70887">
        <w:rPr>
          <w:color w:val="000000" w:themeColor="text1"/>
          <w:lang w:val="en-US"/>
        </w:rPr>
        <w:t xml:space="preserve">However, the slight increase in the </w:t>
      </w:r>
      <w:r w:rsidR="00A50757" w:rsidRPr="00A50757">
        <w:rPr>
          <w:color w:val="FF0000"/>
          <w:lang w:val="en-US"/>
        </w:rPr>
        <w:t>AA</w:t>
      </w:r>
      <w:r w:rsidR="00CA75B4" w:rsidRPr="00F70887">
        <w:rPr>
          <w:color w:val="000000" w:themeColor="text1"/>
          <w:lang w:val="en-US"/>
        </w:rPr>
        <w:t xml:space="preserve"> observed in hydrolyzed HSCF is not directly linked to the significant increase in polyphenol compound </w:t>
      </w:r>
      <w:r w:rsidR="00AB6FF0" w:rsidRPr="00F70887">
        <w:rPr>
          <w:color w:val="000000" w:themeColor="text1"/>
          <w:lang w:val="en-US"/>
        </w:rPr>
        <w:t>amount</w:t>
      </w:r>
      <w:r w:rsidR="00CA75B4" w:rsidRPr="00F70887">
        <w:rPr>
          <w:color w:val="000000" w:themeColor="text1"/>
          <w:lang w:val="en-US"/>
        </w:rPr>
        <w:t xml:space="preserve">. </w:t>
      </w:r>
      <w:r w:rsidR="0051284A" w:rsidRPr="00CA75B4">
        <w:t xml:space="preserve">This finding highlighted that the increased bioavailability of the released phenolic compounds doesn’t necessarily lead to improved antioxidant activity. </w:t>
      </w:r>
      <w:r w:rsidR="0051284A" w:rsidRPr="0051284A">
        <w:t xml:space="preserve">Different factors, such as their chemical stability, interaction with other compounds, and metabolic transformations, could influence their overall effectiveness as antioxidants, as </w:t>
      </w:r>
      <w:r w:rsidR="0051284A" w:rsidRPr="00B5675D">
        <w:t>reported by Pontonio et al. (2020).</w:t>
      </w:r>
    </w:p>
    <w:p w14:paraId="7C9113CE" w14:textId="77777777" w:rsidR="0051284A" w:rsidRDefault="0051284A" w:rsidP="0051284A"/>
    <w:p w14:paraId="6A5167CF" w14:textId="0605F90E" w:rsidR="00600535" w:rsidRPr="00B57B36" w:rsidRDefault="00600535" w:rsidP="0051284A">
      <w:r w:rsidRPr="00515F27">
        <w:t xml:space="preserve">Table 1: </w:t>
      </w:r>
      <w:r w:rsidR="00515F27">
        <w:t xml:space="preserve">Total polyphenol content </w:t>
      </w:r>
      <w:r w:rsidR="00A50757" w:rsidRPr="00A50757">
        <w:rPr>
          <w:color w:val="FF0000"/>
        </w:rPr>
        <w:t>(TPC)</w:t>
      </w:r>
      <w:r w:rsidR="00A50757">
        <w:t xml:space="preserve"> </w:t>
      </w:r>
      <w:r w:rsidR="00515F27">
        <w:t>and antioxidant activity</w:t>
      </w:r>
      <w:r w:rsidR="00A50757">
        <w:t xml:space="preserve"> </w:t>
      </w:r>
      <w:r w:rsidR="00A50757" w:rsidRPr="00A50757">
        <w:rPr>
          <w:color w:val="FF0000"/>
        </w:rPr>
        <w:t>(AA)</w:t>
      </w:r>
      <w:r w:rsidR="00515F27">
        <w:t xml:space="preserve"> of raw and </w:t>
      </w:r>
      <w:proofErr w:type="spellStart"/>
      <w:r w:rsidR="00515F27">
        <w:t>hydrolyzed</w:t>
      </w:r>
      <w:proofErr w:type="spellEnd"/>
      <w:r w:rsidR="00515F27">
        <w:t xml:space="preserve"> HSCF</w:t>
      </w:r>
    </w:p>
    <w:tbl>
      <w:tblPr>
        <w:tblW w:w="501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111"/>
        <w:gridCol w:w="2057"/>
        <w:gridCol w:w="20"/>
        <w:gridCol w:w="20"/>
        <w:gridCol w:w="20"/>
        <w:gridCol w:w="1284"/>
        <w:gridCol w:w="1293"/>
      </w:tblGrid>
      <w:tr w:rsidR="00636AB2" w:rsidRPr="00B57B36" w14:paraId="4B29AA51" w14:textId="77777777" w:rsidTr="005E1BB2">
        <w:tc>
          <w:tcPr>
            <w:tcW w:w="2334" w:type="pct"/>
            <w:tcBorders>
              <w:top w:val="single" w:sz="12" w:space="0" w:color="008000"/>
              <w:bottom w:val="single" w:sz="6" w:space="0" w:color="008000"/>
            </w:tcBorders>
            <w:shd w:val="clear" w:color="auto" w:fill="FFFFFF"/>
          </w:tcPr>
          <w:p w14:paraId="500859EC" w14:textId="298DFCB3" w:rsidR="008D53F6" w:rsidRPr="00B57B36" w:rsidRDefault="008D53F6" w:rsidP="00102400">
            <w:pPr>
              <w:pStyle w:val="CETBodytext"/>
              <w:jc w:val="left"/>
              <w:rPr>
                <w:lang w:val="en-GB"/>
              </w:rPr>
            </w:pPr>
          </w:p>
        </w:tc>
        <w:tc>
          <w:tcPr>
            <w:tcW w:w="1168" w:type="pct"/>
            <w:tcBorders>
              <w:top w:val="single" w:sz="12" w:space="0" w:color="008000"/>
              <w:bottom w:val="single" w:sz="6" w:space="0" w:color="008000"/>
              <w:right w:val="nil"/>
            </w:tcBorders>
            <w:shd w:val="clear" w:color="auto" w:fill="FFFFFF"/>
          </w:tcPr>
          <w:p w14:paraId="6B6E97E3" w14:textId="33E8C263" w:rsidR="000D0565" w:rsidRPr="000D0565" w:rsidRDefault="008D53F6" w:rsidP="00102400">
            <w:pPr>
              <w:pStyle w:val="CETBodytext"/>
              <w:jc w:val="left"/>
              <w:rPr>
                <w:lang w:val="en-GB"/>
              </w:rPr>
            </w:pPr>
            <w:r w:rsidRPr="000D0565">
              <w:rPr>
                <w:lang w:val="en-GB"/>
              </w:rPr>
              <w:t>Raw HSCF</w:t>
            </w:r>
          </w:p>
        </w:tc>
        <w:tc>
          <w:tcPr>
            <w:tcW w:w="11" w:type="pct"/>
            <w:tcBorders>
              <w:top w:val="single" w:sz="12" w:space="0" w:color="008000"/>
              <w:left w:val="nil"/>
              <w:bottom w:val="single" w:sz="6" w:space="0" w:color="008000"/>
            </w:tcBorders>
            <w:shd w:val="clear" w:color="auto" w:fill="FFFFFF"/>
          </w:tcPr>
          <w:p w14:paraId="3766EA4A" w14:textId="77777777" w:rsidR="008D53F6" w:rsidRPr="000D0565" w:rsidRDefault="008D53F6" w:rsidP="00102400">
            <w:pPr>
              <w:pStyle w:val="CETBodytext"/>
              <w:jc w:val="left"/>
              <w:rPr>
                <w:lang w:val="en-GB"/>
              </w:rPr>
            </w:pPr>
          </w:p>
        </w:tc>
        <w:tc>
          <w:tcPr>
            <w:tcW w:w="11" w:type="pct"/>
            <w:tcBorders>
              <w:top w:val="single" w:sz="12" w:space="0" w:color="008000"/>
              <w:bottom w:val="single" w:sz="6" w:space="0" w:color="008000"/>
            </w:tcBorders>
            <w:shd w:val="clear" w:color="auto" w:fill="FFFFFF"/>
          </w:tcPr>
          <w:p w14:paraId="0CC5C18D" w14:textId="4F06152B" w:rsidR="008D53F6" w:rsidRPr="000D0565" w:rsidRDefault="008D53F6" w:rsidP="00102400">
            <w:pPr>
              <w:pStyle w:val="CETBodytext"/>
              <w:jc w:val="left"/>
              <w:rPr>
                <w:lang w:val="en-GB"/>
              </w:rPr>
            </w:pPr>
          </w:p>
        </w:tc>
        <w:tc>
          <w:tcPr>
            <w:tcW w:w="11" w:type="pct"/>
            <w:tcBorders>
              <w:top w:val="single" w:sz="12" w:space="0" w:color="008000"/>
              <w:bottom w:val="single" w:sz="6" w:space="0" w:color="008000"/>
            </w:tcBorders>
            <w:shd w:val="clear" w:color="auto" w:fill="FFFFFF"/>
          </w:tcPr>
          <w:p w14:paraId="199EE8DC" w14:textId="77777777" w:rsidR="008D53F6" w:rsidRPr="000D0565" w:rsidRDefault="008D53F6" w:rsidP="00102400">
            <w:pPr>
              <w:pStyle w:val="CETBodytext"/>
              <w:ind w:right="-1"/>
              <w:jc w:val="left"/>
              <w:rPr>
                <w:rFonts w:cs="Arial"/>
                <w:szCs w:val="18"/>
                <w:lang w:val="en-GB"/>
              </w:rPr>
            </w:pPr>
          </w:p>
        </w:tc>
        <w:tc>
          <w:tcPr>
            <w:tcW w:w="1463" w:type="pct"/>
            <w:gridSpan w:val="2"/>
            <w:tcBorders>
              <w:top w:val="single" w:sz="12" w:space="0" w:color="008000"/>
              <w:bottom w:val="single" w:sz="6" w:space="0" w:color="008000"/>
            </w:tcBorders>
            <w:shd w:val="clear" w:color="auto" w:fill="FFFFFF"/>
          </w:tcPr>
          <w:p w14:paraId="005800F7" w14:textId="385FCC77" w:rsidR="000D0565" w:rsidRPr="000D0565" w:rsidRDefault="008D53F6" w:rsidP="00102400">
            <w:pPr>
              <w:pStyle w:val="CETBodytext"/>
              <w:ind w:right="-1"/>
              <w:jc w:val="left"/>
              <w:rPr>
                <w:rFonts w:cs="Arial"/>
                <w:szCs w:val="18"/>
                <w:lang w:val="en-GB"/>
              </w:rPr>
            </w:pPr>
            <w:proofErr w:type="spellStart"/>
            <w:r w:rsidRPr="000D0565">
              <w:rPr>
                <w:rFonts w:cs="Arial"/>
                <w:szCs w:val="18"/>
                <w:lang w:val="en-GB"/>
              </w:rPr>
              <w:t>Hydrolyzed</w:t>
            </w:r>
            <w:proofErr w:type="spellEnd"/>
            <w:r w:rsidRPr="000D0565">
              <w:rPr>
                <w:rFonts w:cs="Arial"/>
                <w:szCs w:val="18"/>
                <w:lang w:val="en-GB"/>
              </w:rPr>
              <w:t xml:space="preserve"> HSCF</w:t>
            </w:r>
          </w:p>
        </w:tc>
      </w:tr>
      <w:tr w:rsidR="00636AB2" w:rsidRPr="00B57B36" w14:paraId="18FA68DB" w14:textId="77777777" w:rsidTr="005E1BB2">
        <w:trPr>
          <w:gridAfter w:val="1"/>
          <w:wAfter w:w="734" w:type="pct"/>
        </w:trPr>
        <w:tc>
          <w:tcPr>
            <w:tcW w:w="2334" w:type="pct"/>
            <w:shd w:val="clear" w:color="auto" w:fill="FFFFFF"/>
          </w:tcPr>
          <w:p w14:paraId="1877D42D" w14:textId="75D9A64E" w:rsidR="000D0565" w:rsidRPr="00B57B36" w:rsidRDefault="00A50757" w:rsidP="005E1BB2">
            <w:pPr>
              <w:pStyle w:val="CETBodytext"/>
              <w:jc w:val="left"/>
              <w:rPr>
                <w:lang w:val="en-GB"/>
              </w:rPr>
            </w:pPr>
            <w:r w:rsidRPr="00A50757">
              <w:rPr>
                <w:color w:val="FF0000"/>
                <w:lang w:val="en-GB"/>
              </w:rPr>
              <w:t>TPC</w:t>
            </w:r>
            <w:r w:rsidR="000D0565">
              <w:rPr>
                <w:lang w:val="en-GB"/>
              </w:rPr>
              <w:t xml:space="preserve"> [</w:t>
            </w:r>
            <w:proofErr w:type="spellStart"/>
            <w:r w:rsidR="000D0565" w:rsidRPr="000D0565">
              <w:rPr>
                <w:lang w:val="en-GB"/>
              </w:rPr>
              <w:t>mgGAE</w:t>
            </w:r>
            <w:proofErr w:type="spellEnd"/>
            <w:r w:rsidR="000D0565" w:rsidRPr="000D0565">
              <w:rPr>
                <w:lang w:val="en-GB"/>
              </w:rPr>
              <w:t>/</w:t>
            </w:r>
            <w:proofErr w:type="spellStart"/>
            <w:r w:rsidR="000D0565" w:rsidRPr="000D0565">
              <w:rPr>
                <w:lang w:val="en-GB"/>
              </w:rPr>
              <w:t>kg</w:t>
            </w:r>
            <w:r w:rsidR="000D0565" w:rsidRPr="00E1745B">
              <w:rPr>
                <w:vertAlign w:val="subscript"/>
                <w:lang w:val="en-GB"/>
              </w:rPr>
              <w:t>dw</w:t>
            </w:r>
            <w:proofErr w:type="spellEnd"/>
            <w:r w:rsidR="000D0565">
              <w:rPr>
                <w:lang w:val="en-GB"/>
              </w:rPr>
              <w:t>]</w:t>
            </w:r>
          </w:p>
        </w:tc>
        <w:tc>
          <w:tcPr>
            <w:tcW w:w="1168" w:type="pct"/>
            <w:tcBorders>
              <w:right w:val="nil"/>
            </w:tcBorders>
            <w:shd w:val="clear" w:color="auto" w:fill="FFFFFF"/>
            <w:vAlign w:val="center"/>
          </w:tcPr>
          <w:p w14:paraId="48136FAE" w14:textId="74224226" w:rsidR="008D53F6" w:rsidRPr="00B57B36" w:rsidRDefault="008D53F6" w:rsidP="00102400">
            <w:pPr>
              <w:pStyle w:val="CETBodytext"/>
              <w:jc w:val="left"/>
              <w:rPr>
                <w:lang w:val="en-GB"/>
              </w:rPr>
            </w:pPr>
            <w:r w:rsidRPr="008D53F6">
              <w:rPr>
                <w:lang w:val="en-GB"/>
              </w:rPr>
              <w:t>1821</w:t>
            </w:r>
            <w:r>
              <w:rPr>
                <w:lang w:val="en-GB"/>
              </w:rPr>
              <w:t>.</w:t>
            </w:r>
            <w:r w:rsidRPr="008D53F6">
              <w:rPr>
                <w:lang w:val="en-GB"/>
              </w:rPr>
              <w:t>02±20.11</w:t>
            </w:r>
            <w:r w:rsidR="00BC08CF" w:rsidRPr="00BC08CF">
              <w:rPr>
                <w:vertAlign w:val="superscript"/>
                <w:lang w:val="en-GB"/>
              </w:rPr>
              <w:t>a</w:t>
            </w:r>
          </w:p>
        </w:tc>
        <w:tc>
          <w:tcPr>
            <w:tcW w:w="11" w:type="pct"/>
            <w:tcBorders>
              <w:left w:val="nil"/>
            </w:tcBorders>
            <w:shd w:val="clear" w:color="auto" w:fill="FFFFFF"/>
            <w:vAlign w:val="center"/>
          </w:tcPr>
          <w:p w14:paraId="0E4754B2" w14:textId="77777777" w:rsidR="008D53F6" w:rsidRPr="00B57B36" w:rsidRDefault="008D53F6" w:rsidP="00102400">
            <w:pPr>
              <w:pStyle w:val="CETBodytext"/>
              <w:jc w:val="left"/>
              <w:rPr>
                <w:lang w:val="en-GB"/>
              </w:rPr>
            </w:pPr>
          </w:p>
        </w:tc>
        <w:tc>
          <w:tcPr>
            <w:tcW w:w="11" w:type="pct"/>
            <w:shd w:val="clear" w:color="auto" w:fill="FFFFFF"/>
            <w:vAlign w:val="center"/>
          </w:tcPr>
          <w:p w14:paraId="2CB03BEE" w14:textId="0236E04B" w:rsidR="008D53F6" w:rsidRPr="00B57B36" w:rsidRDefault="008D53F6" w:rsidP="00102400">
            <w:pPr>
              <w:pStyle w:val="CETBodytext"/>
              <w:jc w:val="left"/>
              <w:rPr>
                <w:lang w:val="en-GB"/>
              </w:rPr>
            </w:pPr>
          </w:p>
        </w:tc>
        <w:tc>
          <w:tcPr>
            <w:tcW w:w="11" w:type="pct"/>
            <w:shd w:val="clear" w:color="auto" w:fill="FFFFFF"/>
            <w:vAlign w:val="center"/>
          </w:tcPr>
          <w:p w14:paraId="7FF7EB81" w14:textId="77777777" w:rsidR="008D53F6" w:rsidRPr="00B57B36" w:rsidRDefault="008D53F6" w:rsidP="00102400">
            <w:pPr>
              <w:pStyle w:val="CETBodytext"/>
              <w:ind w:right="-1"/>
              <w:jc w:val="left"/>
              <w:rPr>
                <w:rFonts w:cs="Arial"/>
                <w:szCs w:val="18"/>
                <w:lang w:val="en-GB"/>
              </w:rPr>
            </w:pPr>
          </w:p>
        </w:tc>
        <w:tc>
          <w:tcPr>
            <w:tcW w:w="729" w:type="pct"/>
            <w:shd w:val="clear" w:color="auto" w:fill="FFFFFF"/>
            <w:vAlign w:val="center"/>
          </w:tcPr>
          <w:p w14:paraId="6512B018" w14:textId="21E24D16" w:rsidR="008D53F6" w:rsidRPr="00B57B36" w:rsidRDefault="008D53F6" w:rsidP="00102400">
            <w:pPr>
              <w:pStyle w:val="CETBodytext"/>
              <w:ind w:right="-1"/>
              <w:jc w:val="left"/>
              <w:rPr>
                <w:rFonts w:cs="Arial"/>
                <w:szCs w:val="18"/>
                <w:lang w:val="en-GB"/>
              </w:rPr>
            </w:pPr>
            <w:r>
              <w:rPr>
                <w:color w:val="000000"/>
              </w:rPr>
              <w:t>4386.90±16.56</w:t>
            </w:r>
            <w:r w:rsidR="00BC08CF" w:rsidRPr="00BC08CF">
              <w:rPr>
                <w:color w:val="000000"/>
                <w:vertAlign w:val="superscript"/>
              </w:rPr>
              <w:t>b</w:t>
            </w:r>
          </w:p>
        </w:tc>
      </w:tr>
      <w:tr w:rsidR="00636AB2" w:rsidRPr="00B57B36" w14:paraId="1777C522" w14:textId="77777777" w:rsidTr="005E1BB2">
        <w:tc>
          <w:tcPr>
            <w:tcW w:w="2334" w:type="pct"/>
            <w:shd w:val="clear" w:color="auto" w:fill="FFFFFF"/>
          </w:tcPr>
          <w:p w14:paraId="59954EC2" w14:textId="60F6D613" w:rsidR="000D0565" w:rsidRPr="00B57B36" w:rsidRDefault="00A50757" w:rsidP="005E1BB2">
            <w:pPr>
              <w:pStyle w:val="CETBodytext"/>
              <w:ind w:right="-1"/>
              <w:jc w:val="left"/>
              <w:rPr>
                <w:rFonts w:cs="Arial"/>
                <w:szCs w:val="18"/>
                <w:lang w:val="en-GB"/>
              </w:rPr>
            </w:pPr>
            <w:r w:rsidRPr="00A50757">
              <w:rPr>
                <w:rFonts w:cs="Arial"/>
                <w:color w:val="FF0000"/>
                <w:szCs w:val="18"/>
                <w:lang w:val="en-GB"/>
              </w:rPr>
              <w:t>AA</w:t>
            </w:r>
            <w:r w:rsidR="005E1BB2">
              <w:rPr>
                <w:rFonts w:cs="Arial"/>
                <w:szCs w:val="18"/>
                <w:lang w:val="en-GB"/>
              </w:rPr>
              <w:t xml:space="preserve"> </w:t>
            </w:r>
            <w:r w:rsidR="000D0565" w:rsidRPr="000D0565">
              <w:rPr>
                <w:rFonts w:cs="Arial"/>
                <w:szCs w:val="18"/>
                <w:lang w:val="en-GB"/>
              </w:rPr>
              <w:t>[</w:t>
            </w:r>
            <w:proofErr w:type="spellStart"/>
            <w:r w:rsidR="000D0565" w:rsidRPr="000D0565">
              <w:rPr>
                <w:rFonts w:cs="Arial"/>
                <w:szCs w:val="18"/>
                <w:lang w:val="en-GB"/>
              </w:rPr>
              <w:t>mmolTE</w:t>
            </w:r>
            <w:proofErr w:type="spellEnd"/>
            <w:r w:rsidR="000D0565" w:rsidRPr="000D0565">
              <w:rPr>
                <w:rFonts w:cs="Arial"/>
                <w:szCs w:val="18"/>
                <w:lang w:val="en-GB"/>
              </w:rPr>
              <w:t>/100g</w:t>
            </w:r>
            <w:r w:rsidR="000D0565" w:rsidRPr="00E1745B">
              <w:rPr>
                <w:rFonts w:cs="Arial"/>
                <w:szCs w:val="18"/>
                <w:vertAlign w:val="subscript"/>
                <w:lang w:val="en-GB"/>
              </w:rPr>
              <w:t>dw</w:t>
            </w:r>
            <w:r w:rsidR="000D0565" w:rsidRPr="000D0565">
              <w:rPr>
                <w:rFonts w:cs="Arial"/>
                <w:szCs w:val="18"/>
                <w:lang w:val="en-GB"/>
              </w:rPr>
              <w:t>]</w:t>
            </w:r>
          </w:p>
        </w:tc>
        <w:tc>
          <w:tcPr>
            <w:tcW w:w="1168" w:type="pct"/>
            <w:tcBorders>
              <w:bottom w:val="single" w:sz="12" w:space="0" w:color="008000"/>
              <w:right w:val="nil"/>
            </w:tcBorders>
            <w:shd w:val="clear" w:color="auto" w:fill="FFFFFF"/>
            <w:vAlign w:val="center"/>
          </w:tcPr>
          <w:p w14:paraId="4FFB40F7" w14:textId="0AE57A39" w:rsidR="008D53F6" w:rsidRPr="00B57B36" w:rsidRDefault="008D53F6" w:rsidP="00102400">
            <w:pPr>
              <w:pStyle w:val="CETBodytext"/>
              <w:ind w:right="-1"/>
              <w:jc w:val="left"/>
              <w:rPr>
                <w:rFonts w:cs="Arial"/>
                <w:szCs w:val="18"/>
                <w:lang w:val="en-GB"/>
              </w:rPr>
            </w:pPr>
            <w:r>
              <w:rPr>
                <w:color w:val="000000"/>
              </w:rPr>
              <w:t>0.32±0.04</w:t>
            </w:r>
            <w:r w:rsidR="00BC08CF" w:rsidRPr="00BC08CF">
              <w:rPr>
                <w:color w:val="000000"/>
                <w:vertAlign w:val="superscript"/>
              </w:rPr>
              <w:t>a</w:t>
            </w:r>
          </w:p>
        </w:tc>
        <w:tc>
          <w:tcPr>
            <w:tcW w:w="11" w:type="pct"/>
            <w:tcBorders>
              <w:left w:val="nil"/>
            </w:tcBorders>
            <w:shd w:val="clear" w:color="auto" w:fill="FFFFFF"/>
            <w:vAlign w:val="center"/>
          </w:tcPr>
          <w:p w14:paraId="5E068656" w14:textId="77777777" w:rsidR="008D53F6" w:rsidRPr="00B57B36" w:rsidRDefault="008D53F6" w:rsidP="00102400">
            <w:pPr>
              <w:pStyle w:val="CETBodytext"/>
              <w:ind w:right="-1"/>
              <w:jc w:val="left"/>
              <w:rPr>
                <w:rFonts w:cs="Arial"/>
                <w:szCs w:val="18"/>
                <w:lang w:val="en-GB"/>
              </w:rPr>
            </w:pPr>
          </w:p>
        </w:tc>
        <w:tc>
          <w:tcPr>
            <w:tcW w:w="11" w:type="pct"/>
            <w:shd w:val="clear" w:color="auto" w:fill="FFFFFF"/>
            <w:vAlign w:val="center"/>
          </w:tcPr>
          <w:p w14:paraId="74F8316C" w14:textId="6188F406" w:rsidR="008D53F6" w:rsidRPr="00B57B36" w:rsidRDefault="008D53F6" w:rsidP="00102400">
            <w:pPr>
              <w:pStyle w:val="CETBodytext"/>
              <w:ind w:right="-1"/>
              <w:jc w:val="left"/>
              <w:rPr>
                <w:rFonts w:cs="Arial"/>
                <w:szCs w:val="18"/>
                <w:lang w:val="en-GB"/>
              </w:rPr>
            </w:pPr>
          </w:p>
        </w:tc>
        <w:tc>
          <w:tcPr>
            <w:tcW w:w="11" w:type="pct"/>
            <w:shd w:val="clear" w:color="auto" w:fill="FFFFFF"/>
            <w:vAlign w:val="center"/>
          </w:tcPr>
          <w:p w14:paraId="708CF970" w14:textId="77777777" w:rsidR="008D53F6" w:rsidRPr="00B57B36" w:rsidRDefault="008D53F6" w:rsidP="00102400">
            <w:pPr>
              <w:pStyle w:val="CETBodytext"/>
              <w:ind w:right="-1"/>
              <w:jc w:val="left"/>
              <w:rPr>
                <w:rFonts w:cs="Arial"/>
                <w:szCs w:val="18"/>
                <w:lang w:val="en-GB"/>
              </w:rPr>
            </w:pPr>
          </w:p>
        </w:tc>
        <w:tc>
          <w:tcPr>
            <w:tcW w:w="1463" w:type="pct"/>
            <w:gridSpan w:val="2"/>
            <w:shd w:val="clear" w:color="auto" w:fill="FFFFFF"/>
            <w:vAlign w:val="center"/>
          </w:tcPr>
          <w:p w14:paraId="6B4A2B9B" w14:textId="503B3823" w:rsidR="008D53F6" w:rsidRPr="00B57B36" w:rsidRDefault="008D53F6" w:rsidP="00102400">
            <w:pPr>
              <w:pStyle w:val="CETBodytext"/>
              <w:ind w:right="-1"/>
              <w:jc w:val="left"/>
              <w:rPr>
                <w:rFonts w:cs="Arial"/>
                <w:szCs w:val="18"/>
                <w:lang w:val="en-GB"/>
              </w:rPr>
            </w:pPr>
            <w:r>
              <w:rPr>
                <w:color w:val="000000"/>
              </w:rPr>
              <w:t>0.41±0.02</w:t>
            </w:r>
            <w:r w:rsidR="00BC08CF" w:rsidRPr="00BC08CF">
              <w:rPr>
                <w:color w:val="000000"/>
                <w:vertAlign w:val="superscript"/>
              </w:rPr>
              <w:t>b</w:t>
            </w:r>
          </w:p>
        </w:tc>
      </w:tr>
    </w:tbl>
    <w:p w14:paraId="20F0680F" w14:textId="4CF2C367" w:rsidR="00D72774" w:rsidRDefault="00BC08CF" w:rsidP="00636AB2">
      <w:pPr>
        <w:rPr>
          <w:rFonts w:cs="Arial"/>
          <w:sz w:val="15"/>
          <w:szCs w:val="15"/>
        </w:rPr>
      </w:pPr>
      <w:r w:rsidRPr="00BC08CF">
        <w:rPr>
          <w:rFonts w:cs="Arial"/>
          <w:sz w:val="15"/>
          <w:szCs w:val="15"/>
        </w:rPr>
        <w:t>Different letters (a,</w:t>
      </w:r>
      <w:r w:rsidR="00542992">
        <w:rPr>
          <w:rFonts w:cs="Arial"/>
          <w:sz w:val="15"/>
          <w:szCs w:val="15"/>
        </w:rPr>
        <w:t xml:space="preserve"> </w:t>
      </w:r>
      <w:r w:rsidRPr="00BC08CF">
        <w:rPr>
          <w:rFonts w:cs="Arial"/>
          <w:sz w:val="15"/>
          <w:szCs w:val="15"/>
        </w:rPr>
        <w:t xml:space="preserve">b) in the same </w:t>
      </w:r>
      <w:r w:rsidRPr="00572795">
        <w:rPr>
          <w:rFonts w:cs="Arial"/>
          <w:color w:val="FF0000"/>
          <w:sz w:val="15"/>
          <w:szCs w:val="15"/>
        </w:rPr>
        <w:t>r</w:t>
      </w:r>
      <w:r w:rsidR="00572795" w:rsidRPr="00572795">
        <w:rPr>
          <w:rFonts w:cs="Arial"/>
          <w:color w:val="FF0000"/>
          <w:sz w:val="15"/>
          <w:szCs w:val="15"/>
        </w:rPr>
        <w:t>o</w:t>
      </w:r>
      <w:r w:rsidRPr="00572795">
        <w:rPr>
          <w:rFonts w:cs="Arial"/>
          <w:color w:val="FF0000"/>
          <w:sz w:val="15"/>
          <w:szCs w:val="15"/>
        </w:rPr>
        <w:t xml:space="preserve">w </w:t>
      </w:r>
      <w:r w:rsidRPr="00BC08CF">
        <w:rPr>
          <w:rFonts w:cs="Arial"/>
          <w:sz w:val="15"/>
          <w:szCs w:val="15"/>
        </w:rPr>
        <w:t>indicate statistical differences (</w:t>
      </w:r>
      <w:r w:rsidRPr="00BC08CF">
        <w:rPr>
          <w:rFonts w:cs="Arial"/>
          <w:i/>
          <w:sz w:val="15"/>
          <w:szCs w:val="15"/>
        </w:rPr>
        <w:t>p&lt;0.05</w:t>
      </w:r>
      <w:r w:rsidRPr="00BC08CF">
        <w:rPr>
          <w:rFonts w:cs="Arial"/>
          <w:sz w:val="15"/>
          <w:szCs w:val="15"/>
        </w:rPr>
        <w:t xml:space="preserve">) </w:t>
      </w:r>
      <w:r w:rsidR="00542992">
        <w:rPr>
          <w:rFonts w:cs="Arial"/>
          <w:sz w:val="15"/>
          <w:szCs w:val="15"/>
        </w:rPr>
        <w:t xml:space="preserve">between </w:t>
      </w:r>
      <w:r w:rsidRPr="00BC08CF">
        <w:rPr>
          <w:rFonts w:cs="Arial"/>
          <w:sz w:val="15"/>
          <w:szCs w:val="15"/>
        </w:rPr>
        <w:t>samples</w:t>
      </w:r>
      <w:r w:rsidR="00C05D18">
        <w:rPr>
          <w:rFonts w:cs="Arial"/>
          <w:sz w:val="15"/>
          <w:szCs w:val="15"/>
        </w:rPr>
        <w:t>.</w:t>
      </w:r>
    </w:p>
    <w:p w14:paraId="0969368E" w14:textId="77777777" w:rsidR="009225E4" w:rsidRPr="00C05D18" w:rsidRDefault="009225E4" w:rsidP="009225E4">
      <w:pPr>
        <w:rPr>
          <w:rFonts w:cs="Arial"/>
          <w:sz w:val="15"/>
          <w:szCs w:val="15"/>
        </w:rPr>
      </w:pPr>
      <w:r>
        <w:rPr>
          <w:rFonts w:cs="Arial"/>
          <w:sz w:val="15"/>
          <w:szCs w:val="15"/>
        </w:rPr>
        <w:t>HSCF: Hemp Seed Cake Flour</w:t>
      </w:r>
    </w:p>
    <w:p w14:paraId="0B94A8D3" w14:textId="77777777" w:rsidR="00636AB2" w:rsidRPr="00AA1DCF" w:rsidRDefault="00636AB2" w:rsidP="00636AB2">
      <w:pPr>
        <w:rPr>
          <w:rFonts w:cs="Arial"/>
          <w:szCs w:val="18"/>
        </w:rPr>
      </w:pPr>
    </w:p>
    <w:p w14:paraId="1A885998" w14:textId="787F89EA" w:rsidR="001B0818" w:rsidRPr="00F70887" w:rsidRDefault="00515F27" w:rsidP="001B473D">
      <w:pPr>
        <w:pStyle w:val="CETheadingx"/>
      </w:pPr>
      <w:r w:rsidRPr="00F70887">
        <w:t>3.</w:t>
      </w:r>
      <w:r w:rsidR="00636AB2" w:rsidRPr="00F70887">
        <w:t>2</w:t>
      </w:r>
      <w:r w:rsidRPr="00F70887">
        <w:t xml:space="preserve"> </w:t>
      </w:r>
      <w:r w:rsidR="00636AB2" w:rsidRPr="00A50757">
        <w:rPr>
          <w:color w:val="FF0000"/>
        </w:rPr>
        <w:t>Color</w:t>
      </w:r>
      <w:r w:rsidR="00636AB2" w:rsidRPr="00F70887">
        <w:t xml:space="preserve"> evaluation</w:t>
      </w:r>
    </w:p>
    <w:p w14:paraId="618E886B" w14:textId="61C20527" w:rsidR="00C05D18" w:rsidRDefault="00AB6FF0" w:rsidP="001B0818">
      <w:pPr>
        <w:pStyle w:val="CETBodytext"/>
        <w:rPr>
          <w:lang w:val="en-GB"/>
        </w:rPr>
      </w:pPr>
      <w:r w:rsidRPr="00F70887">
        <w:rPr>
          <w:color w:val="000000" w:themeColor="text1"/>
          <w:lang w:val="en-GB"/>
        </w:rPr>
        <w:t>Table 2 shows L</w:t>
      </w:r>
      <w:r w:rsidR="00A50757" w:rsidRPr="00A50757">
        <w:rPr>
          <w:color w:val="FF0000"/>
          <w:lang w:val="en-GB"/>
        </w:rPr>
        <w:t>*</w:t>
      </w:r>
      <w:r w:rsidRPr="00F70887">
        <w:rPr>
          <w:color w:val="000000" w:themeColor="text1"/>
          <w:lang w:val="en-GB"/>
        </w:rPr>
        <w:t>, a</w:t>
      </w:r>
      <w:r w:rsidR="00A50757" w:rsidRPr="00A50757">
        <w:rPr>
          <w:color w:val="FF0000"/>
          <w:lang w:val="en-GB"/>
        </w:rPr>
        <w:t>*</w:t>
      </w:r>
      <w:r w:rsidRPr="00F70887">
        <w:rPr>
          <w:color w:val="000000" w:themeColor="text1"/>
          <w:lang w:val="en-GB"/>
        </w:rPr>
        <w:t xml:space="preserve"> and b</w:t>
      </w:r>
      <w:r w:rsidR="00A50757" w:rsidRPr="00A50757">
        <w:rPr>
          <w:color w:val="FF0000"/>
          <w:lang w:val="en-GB"/>
        </w:rPr>
        <w:t>*</w:t>
      </w:r>
      <w:r w:rsidRPr="00F70887">
        <w:rPr>
          <w:color w:val="000000" w:themeColor="text1"/>
          <w:lang w:val="en-GB"/>
        </w:rPr>
        <w:t xml:space="preserve"> values evaluated for raw and </w:t>
      </w:r>
      <w:proofErr w:type="spellStart"/>
      <w:r w:rsidRPr="00F70887">
        <w:rPr>
          <w:color w:val="000000" w:themeColor="text1"/>
          <w:lang w:val="en-GB"/>
        </w:rPr>
        <w:t>hydrolyzed</w:t>
      </w:r>
      <w:proofErr w:type="spellEnd"/>
      <w:r w:rsidRPr="00F70887">
        <w:rPr>
          <w:color w:val="000000" w:themeColor="text1"/>
          <w:lang w:val="en-GB"/>
        </w:rPr>
        <w:t xml:space="preserve"> HSCF. T</w:t>
      </w:r>
      <w:r w:rsidR="00A8016A" w:rsidRPr="00F70887">
        <w:rPr>
          <w:color w:val="000000" w:themeColor="text1"/>
          <w:lang w:val="en-GB"/>
        </w:rPr>
        <w:t>he results</w:t>
      </w:r>
      <w:r w:rsidRPr="00F70887">
        <w:rPr>
          <w:color w:val="000000" w:themeColor="text1"/>
          <w:lang w:val="en-GB"/>
        </w:rPr>
        <w:t xml:space="preserve"> </w:t>
      </w:r>
      <w:r w:rsidR="00A8016A" w:rsidRPr="00F70887">
        <w:rPr>
          <w:color w:val="000000" w:themeColor="text1"/>
          <w:lang w:val="en-GB"/>
        </w:rPr>
        <w:t xml:space="preserve">highlight a significant </w:t>
      </w:r>
      <w:r w:rsidR="00A8016A">
        <w:rPr>
          <w:lang w:val="en-GB"/>
        </w:rPr>
        <w:t>reduction in lightness (L</w:t>
      </w:r>
      <w:r w:rsidR="00A50757" w:rsidRPr="00A50757">
        <w:rPr>
          <w:color w:val="FF0000"/>
          <w:lang w:val="en-GB"/>
        </w:rPr>
        <w:t>*</w:t>
      </w:r>
      <w:r w:rsidR="00A8016A">
        <w:rPr>
          <w:lang w:val="en-GB"/>
        </w:rPr>
        <w:t>), confirming that raw flour appears relatively lighter due to its higher L</w:t>
      </w:r>
      <w:r w:rsidR="00A50757" w:rsidRPr="00A50757">
        <w:rPr>
          <w:color w:val="FF0000"/>
          <w:lang w:val="en-GB"/>
        </w:rPr>
        <w:t>*</w:t>
      </w:r>
      <w:r w:rsidR="00A8016A">
        <w:rPr>
          <w:lang w:val="en-GB"/>
        </w:rPr>
        <w:t xml:space="preserve"> value, whereas </w:t>
      </w:r>
      <w:r w:rsidR="00564B06">
        <w:rPr>
          <w:lang w:val="en-GB"/>
        </w:rPr>
        <w:t xml:space="preserve">the </w:t>
      </w:r>
      <w:proofErr w:type="spellStart"/>
      <w:r w:rsidR="00A8016A">
        <w:rPr>
          <w:lang w:val="en-GB"/>
        </w:rPr>
        <w:t>hydrolyzed</w:t>
      </w:r>
      <w:proofErr w:type="spellEnd"/>
      <w:r w:rsidR="00A8016A">
        <w:rPr>
          <w:lang w:val="en-GB"/>
        </w:rPr>
        <w:t xml:space="preserve"> sample </w:t>
      </w:r>
      <w:r w:rsidR="00564B06">
        <w:rPr>
          <w:lang w:val="en-GB"/>
        </w:rPr>
        <w:t>becomes</w:t>
      </w:r>
      <w:r w:rsidR="00A8016A">
        <w:rPr>
          <w:lang w:val="en-GB"/>
        </w:rPr>
        <w:t xml:space="preserve"> noticeably darker with a lower L value. Additionally, the </w:t>
      </w:r>
      <w:proofErr w:type="spellStart"/>
      <w:r w:rsidR="00A8016A">
        <w:rPr>
          <w:lang w:val="en-GB"/>
        </w:rPr>
        <w:t>hydrolyzed</w:t>
      </w:r>
      <w:proofErr w:type="spellEnd"/>
      <w:r w:rsidR="00A8016A">
        <w:rPr>
          <w:lang w:val="en-GB"/>
        </w:rPr>
        <w:t xml:space="preserve"> flour shows an increase in a</w:t>
      </w:r>
      <w:r w:rsidR="00F70887">
        <w:rPr>
          <w:lang w:val="en-GB"/>
        </w:rPr>
        <w:t xml:space="preserve"> and a</w:t>
      </w:r>
      <w:r w:rsidR="00A50757" w:rsidRPr="00A50757">
        <w:rPr>
          <w:color w:val="FF0000"/>
          <w:lang w:val="en-GB"/>
        </w:rPr>
        <w:t>*</w:t>
      </w:r>
      <w:r w:rsidR="00F70887">
        <w:rPr>
          <w:lang w:val="en-GB"/>
        </w:rPr>
        <w:t xml:space="preserve"> decrease in b</w:t>
      </w:r>
      <w:r w:rsidR="00A50757" w:rsidRPr="00A50757">
        <w:rPr>
          <w:color w:val="FF0000"/>
          <w:lang w:val="en-GB"/>
        </w:rPr>
        <w:t>*</w:t>
      </w:r>
      <w:r w:rsidR="00F70887">
        <w:rPr>
          <w:lang w:val="en-GB"/>
        </w:rPr>
        <w:t xml:space="preserve"> value.</w:t>
      </w:r>
      <w:r w:rsidR="00C05D18">
        <w:rPr>
          <w:lang w:val="en-GB"/>
        </w:rPr>
        <w:t xml:space="preserve"> </w:t>
      </w:r>
    </w:p>
    <w:p w14:paraId="23F17272" w14:textId="693C9234" w:rsidR="001B0818" w:rsidRPr="00C05D18" w:rsidRDefault="00F70887" w:rsidP="001B0818">
      <w:pPr>
        <w:pStyle w:val="CETBodytext"/>
        <w:rPr>
          <w:lang w:val="en-GB"/>
        </w:rPr>
      </w:pPr>
      <w:r w:rsidRPr="00F70887">
        <w:rPr>
          <w:color w:val="000000" w:themeColor="text1"/>
          <w:lang w:val="en-GB"/>
        </w:rPr>
        <w:t xml:space="preserve">The </w:t>
      </w:r>
      <w:r w:rsidR="00564B06">
        <w:rPr>
          <w:color w:val="000000" w:themeColor="text1"/>
          <w:lang w:val="en-GB"/>
        </w:rPr>
        <w:t>value</w:t>
      </w:r>
      <w:r w:rsidRPr="00F70887">
        <w:rPr>
          <w:color w:val="000000" w:themeColor="text1"/>
          <w:lang w:val="en-GB"/>
        </w:rPr>
        <w:t xml:space="preserve"> of Hue angle and Chroma highlighted the yellowish hue of HSCF</w:t>
      </w:r>
      <w:r w:rsidR="008350B7" w:rsidRPr="00F70887">
        <w:rPr>
          <w:color w:val="000000" w:themeColor="text1"/>
        </w:rPr>
        <w:t>, which shifts toward a more brownish hue after hydrolysis treatment.</w:t>
      </w:r>
      <w:r w:rsidR="008350B7">
        <w:rPr>
          <w:color w:val="000000" w:themeColor="text1"/>
        </w:rPr>
        <w:t xml:space="preserve"> </w:t>
      </w:r>
      <w:r w:rsidR="008350B7">
        <w:t>In particular, t</w:t>
      </w:r>
      <w:r w:rsidR="008350B7" w:rsidRPr="001B0818">
        <w:t xml:space="preserve">he raw flour </w:t>
      </w:r>
      <w:r w:rsidR="008350B7">
        <w:t>showed</w:t>
      </w:r>
      <w:r w:rsidR="008350B7" w:rsidRPr="001B0818">
        <w:t xml:space="preserve"> a</w:t>
      </w:r>
      <w:r w:rsidR="008350B7">
        <w:t xml:space="preserve"> hue angle (88.54) </w:t>
      </w:r>
      <w:r w:rsidR="008350B7" w:rsidRPr="001B0818">
        <w:t>close to a purely yellow hue</w:t>
      </w:r>
      <w:r w:rsidR="008350B7">
        <w:t xml:space="preserve">, along with a higher chroma reflecting a more vivid </w:t>
      </w:r>
      <w:r w:rsidR="008350B7" w:rsidRPr="00A50757">
        <w:rPr>
          <w:color w:val="FF0000"/>
        </w:rPr>
        <w:t>color</w:t>
      </w:r>
      <w:r w:rsidR="008350B7">
        <w:t xml:space="preserve">. In contrast, </w:t>
      </w:r>
      <w:r w:rsidR="008350B7" w:rsidRPr="00A12AB0">
        <w:t xml:space="preserve">hydrolyzed </w:t>
      </w:r>
      <w:r w:rsidR="008350B7" w:rsidRPr="001B0818">
        <w:t xml:space="preserve">samples displayed </w:t>
      </w:r>
      <w:r w:rsidR="008350B7">
        <w:t>a significantly</w:t>
      </w:r>
      <w:r w:rsidR="008350B7" w:rsidRPr="001B0818">
        <w:t xml:space="preserve"> lower </w:t>
      </w:r>
      <w:r w:rsidR="008350B7">
        <w:t xml:space="preserve">hue angle </w:t>
      </w:r>
      <w:r w:rsidR="008350B7" w:rsidRPr="001B0818">
        <w:t>(</w:t>
      </w:r>
      <w:r w:rsidR="008350B7">
        <w:t>55.14</w:t>
      </w:r>
      <w:r w:rsidR="008350B7" w:rsidRPr="001B0818">
        <w:t xml:space="preserve">), </w:t>
      </w:r>
      <w:r w:rsidR="008350B7" w:rsidRPr="00B5675D">
        <w:t xml:space="preserve">shifting toward a reddish </w:t>
      </w:r>
      <w:r w:rsidR="008350B7" w:rsidRPr="00B5675D">
        <w:rPr>
          <w:color w:val="FF0000"/>
        </w:rPr>
        <w:t>color</w:t>
      </w:r>
      <w:r w:rsidR="00A8016A" w:rsidRPr="00B5675D">
        <w:rPr>
          <w:lang w:val="en-GB"/>
        </w:rPr>
        <w:t xml:space="preserve"> and </w:t>
      </w:r>
      <w:r w:rsidR="00564B06" w:rsidRPr="00B5675D">
        <w:rPr>
          <w:lang w:val="en-GB"/>
        </w:rPr>
        <w:t xml:space="preserve">a </w:t>
      </w:r>
      <w:r w:rsidR="00A8016A" w:rsidRPr="00B5675D">
        <w:rPr>
          <w:lang w:val="en-GB"/>
        </w:rPr>
        <w:t>reduced chroma.</w:t>
      </w:r>
      <w:r w:rsidR="00C05D18" w:rsidRPr="00B5675D">
        <w:rPr>
          <w:lang w:val="en-GB"/>
        </w:rPr>
        <w:t xml:space="preserve"> </w:t>
      </w:r>
      <w:r w:rsidR="00CA75B4" w:rsidRPr="00B5675D">
        <w:rPr>
          <w:color w:val="000000" w:themeColor="text1"/>
          <w:lang w:val="en-GB"/>
        </w:rPr>
        <w:t xml:space="preserve">The change in the </w:t>
      </w:r>
      <w:proofErr w:type="spellStart"/>
      <w:r w:rsidR="00CA75B4" w:rsidRPr="00B5675D">
        <w:rPr>
          <w:color w:val="FF0000"/>
          <w:lang w:val="en-GB"/>
        </w:rPr>
        <w:t>color</w:t>
      </w:r>
      <w:proofErr w:type="spellEnd"/>
      <w:r w:rsidR="00CA75B4" w:rsidRPr="00B5675D">
        <w:rPr>
          <w:color w:val="000000" w:themeColor="text1"/>
          <w:lang w:val="en-GB"/>
        </w:rPr>
        <w:t xml:space="preserve"> of the HSCF is likely </w:t>
      </w:r>
      <w:r w:rsidR="00CA75B4" w:rsidRPr="00176B83">
        <w:rPr>
          <w:color w:val="FF0000"/>
          <w:lang w:val="en-GB"/>
        </w:rPr>
        <w:t xml:space="preserve">due to the </w:t>
      </w:r>
      <w:r w:rsidR="00176B83" w:rsidRPr="00176B83">
        <w:rPr>
          <w:color w:val="FF0000"/>
          <w:lang w:val="en-GB"/>
        </w:rPr>
        <w:t>thermal impact during the pretreatment with DES</w:t>
      </w:r>
      <w:r w:rsidR="00AB6FF0" w:rsidRPr="00B5675D">
        <w:rPr>
          <w:color w:val="000000" w:themeColor="text1"/>
          <w:lang w:val="en-GB"/>
        </w:rPr>
        <w:t xml:space="preserve">, as reported </w:t>
      </w:r>
      <w:r w:rsidRPr="00B5675D">
        <w:rPr>
          <w:color w:val="000000" w:themeColor="text1"/>
          <w:lang w:val="en-GB"/>
        </w:rPr>
        <w:t xml:space="preserve">elsewhere </w:t>
      </w:r>
      <w:r w:rsidR="00CA75B4" w:rsidRPr="00AA1D0B">
        <w:rPr>
          <w:color w:val="000000" w:themeColor="text1"/>
          <w:lang w:val="en-GB"/>
        </w:rPr>
        <w:t>(Martinez et al., 2015).</w:t>
      </w:r>
      <w:r w:rsidR="00C05D18" w:rsidRPr="00AA1D0B">
        <w:rPr>
          <w:lang w:val="en-GB"/>
        </w:rPr>
        <w:t xml:space="preserve"> </w:t>
      </w:r>
      <w:r w:rsidR="00A8016A" w:rsidRPr="00AA1D0B">
        <w:rPr>
          <w:lang w:val="en-GB"/>
        </w:rPr>
        <w:t>Finally</w:t>
      </w:r>
      <w:r w:rsidR="00A8016A" w:rsidRPr="00B5675D">
        <w:rPr>
          <w:lang w:val="en-GB"/>
        </w:rPr>
        <w:t xml:space="preserve">, since the total </w:t>
      </w:r>
      <w:proofErr w:type="spellStart"/>
      <w:r w:rsidR="00A8016A" w:rsidRPr="00B5675D">
        <w:rPr>
          <w:color w:val="FF0000"/>
          <w:lang w:val="en-GB"/>
        </w:rPr>
        <w:t>color</w:t>
      </w:r>
      <w:proofErr w:type="spellEnd"/>
      <w:r w:rsidR="00A8016A" w:rsidRPr="00B5675D">
        <w:rPr>
          <w:lang w:val="en-GB"/>
        </w:rPr>
        <w:t xml:space="preserve"> difference was greater than 3 between raw and </w:t>
      </w:r>
      <w:proofErr w:type="spellStart"/>
      <w:r w:rsidR="00A8016A" w:rsidRPr="00B5675D">
        <w:rPr>
          <w:lang w:val="en-GB"/>
        </w:rPr>
        <w:t>hydrolyzed</w:t>
      </w:r>
      <w:proofErr w:type="spellEnd"/>
      <w:r w:rsidR="00A8016A" w:rsidRPr="00B5675D">
        <w:rPr>
          <w:lang w:val="en-GB"/>
        </w:rPr>
        <w:t xml:space="preserve"> HSCF, an indication of the perception of a colour difference by </w:t>
      </w:r>
      <w:r w:rsidR="00FB42E3" w:rsidRPr="00B5675D">
        <w:rPr>
          <w:lang w:val="en-GB"/>
        </w:rPr>
        <w:t xml:space="preserve">the </w:t>
      </w:r>
      <w:r w:rsidR="00A8016A" w:rsidRPr="00B5675D">
        <w:rPr>
          <w:lang w:val="en-GB"/>
        </w:rPr>
        <w:t>human eye was confirmed (</w:t>
      </w:r>
      <w:proofErr w:type="spellStart"/>
      <w:r w:rsidR="00A8016A" w:rsidRPr="00B5675D">
        <w:rPr>
          <w:lang w:val="en-GB"/>
        </w:rPr>
        <w:t>Pojic</w:t>
      </w:r>
      <w:proofErr w:type="spellEnd"/>
      <w:r w:rsidR="00A8016A" w:rsidRPr="00B5675D">
        <w:rPr>
          <w:lang w:val="en-GB"/>
        </w:rPr>
        <w:t xml:space="preserve"> et al., 2014)</w:t>
      </w:r>
      <w:r w:rsidRPr="00B5675D">
        <w:rPr>
          <w:color w:val="92D050"/>
          <w:lang w:val="en-GB"/>
        </w:rPr>
        <w:t>.</w:t>
      </w:r>
    </w:p>
    <w:p w14:paraId="38613605" w14:textId="1DEC54FF" w:rsidR="00102400" w:rsidRDefault="00102400" w:rsidP="00102400">
      <w:pPr>
        <w:pStyle w:val="CETTabletitle"/>
      </w:pPr>
      <w:r w:rsidRPr="00515F27">
        <w:t xml:space="preserve">Table </w:t>
      </w:r>
      <w:r>
        <w:t>2</w:t>
      </w:r>
      <w:r w:rsidRPr="00515F27">
        <w:t xml:space="preserve">: </w:t>
      </w:r>
      <w:r>
        <w:t xml:space="preserve">Colour evaluation of raw and </w:t>
      </w:r>
      <w:proofErr w:type="spellStart"/>
      <w:r>
        <w:t>hydrolyzed</w:t>
      </w:r>
      <w:proofErr w:type="spellEnd"/>
      <w:r>
        <w:t xml:space="preserve"> HSCF</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6"/>
        <w:gridCol w:w="1165"/>
        <w:gridCol w:w="25"/>
        <w:gridCol w:w="20"/>
        <w:gridCol w:w="20"/>
        <w:gridCol w:w="1180"/>
        <w:gridCol w:w="1134"/>
        <w:gridCol w:w="1276"/>
        <w:gridCol w:w="1139"/>
        <w:gridCol w:w="1139"/>
      </w:tblGrid>
      <w:tr w:rsidR="00A8016A" w:rsidRPr="00B57B36" w14:paraId="3B7B8DCC" w14:textId="2D94A50D" w:rsidTr="0043568D">
        <w:tc>
          <w:tcPr>
            <w:tcW w:w="1276" w:type="dxa"/>
            <w:tcBorders>
              <w:top w:val="single" w:sz="12" w:space="0" w:color="008000"/>
              <w:bottom w:val="single" w:sz="6" w:space="0" w:color="008000"/>
              <w:right w:val="nil"/>
            </w:tcBorders>
            <w:shd w:val="clear" w:color="auto" w:fill="FFFFFF"/>
          </w:tcPr>
          <w:p w14:paraId="71A97067" w14:textId="77777777" w:rsidR="00A8016A" w:rsidRPr="00B57B36" w:rsidRDefault="00A8016A" w:rsidP="006733F6">
            <w:pPr>
              <w:pStyle w:val="CETBodytext"/>
              <w:rPr>
                <w:lang w:val="en-GB"/>
              </w:rPr>
            </w:pPr>
            <w:bookmarkStart w:id="1" w:name="_Hlk191051470"/>
          </w:p>
        </w:tc>
        <w:tc>
          <w:tcPr>
            <w:tcW w:w="1165" w:type="dxa"/>
            <w:tcBorders>
              <w:top w:val="single" w:sz="12" w:space="0" w:color="008000"/>
              <w:left w:val="nil"/>
              <w:bottom w:val="single" w:sz="6" w:space="0" w:color="008000"/>
              <w:right w:val="nil"/>
            </w:tcBorders>
            <w:shd w:val="clear" w:color="auto" w:fill="FFFFFF"/>
          </w:tcPr>
          <w:p w14:paraId="0C4A1E5A" w14:textId="5ADB1A19" w:rsidR="00A8016A" w:rsidRPr="000D0565" w:rsidRDefault="00A8016A" w:rsidP="00636AB2">
            <w:pPr>
              <w:pStyle w:val="CETBodytext"/>
              <w:jc w:val="left"/>
              <w:rPr>
                <w:lang w:val="en-GB"/>
              </w:rPr>
            </w:pPr>
            <w:r>
              <w:rPr>
                <w:lang w:val="en-GB"/>
              </w:rPr>
              <w:t xml:space="preserve"> L</w:t>
            </w:r>
            <w:r w:rsidR="00C33B4A" w:rsidRPr="00C33B4A">
              <w:rPr>
                <w:color w:val="FF0000"/>
                <w:lang w:val="en-GB"/>
              </w:rPr>
              <w:t>*</w:t>
            </w:r>
            <w:r>
              <w:rPr>
                <w:lang w:val="en-GB"/>
              </w:rPr>
              <w:t xml:space="preserve">   </w:t>
            </w:r>
          </w:p>
        </w:tc>
        <w:tc>
          <w:tcPr>
            <w:tcW w:w="25" w:type="dxa"/>
            <w:tcBorders>
              <w:top w:val="single" w:sz="12" w:space="0" w:color="008000"/>
              <w:left w:val="nil"/>
              <w:bottom w:val="single" w:sz="6" w:space="0" w:color="008000"/>
            </w:tcBorders>
            <w:shd w:val="clear" w:color="auto" w:fill="FFFFFF"/>
          </w:tcPr>
          <w:p w14:paraId="127B0AA3" w14:textId="77777777" w:rsidR="00A8016A" w:rsidRPr="000D0565" w:rsidRDefault="00A8016A" w:rsidP="00636AB2">
            <w:pPr>
              <w:pStyle w:val="CETBodytext"/>
              <w:jc w:val="left"/>
              <w:rPr>
                <w:lang w:val="en-GB"/>
              </w:rPr>
            </w:pPr>
          </w:p>
        </w:tc>
        <w:tc>
          <w:tcPr>
            <w:tcW w:w="20" w:type="dxa"/>
            <w:tcBorders>
              <w:top w:val="single" w:sz="12" w:space="0" w:color="008000"/>
              <w:bottom w:val="single" w:sz="6" w:space="0" w:color="008000"/>
            </w:tcBorders>
            <w:shd w:val="clear" w:color="auto" w:fill="FFFFFF"/>
          </w:tcPr>
          <w:p w14:paraId="1553BB93" w14:textId="77777777" w:rsidR="00A8016A" w:rsidRPr="000D0565" w:rsidRDefault="00A8016A" w:rsidP="00636AB2">
            <w:pPr>
              <w:pStyle w:val="CETBodytext"/>
              <w:jc w:val="left"/>
              <w:rPr>
                <w:lang w:val="en-GB"/>
              </w:rPr>
            </w:pPr>
          </w:p>
        </w:tc>
        <w:tc>
          <w:tcPr>
            <w:tcW w:w="20" w:type="dxa"/>
            <w:tcBorders>
              <w:top w:val="single" w:sz="12" w:space="0" w:color="008000"/>
              <w:bottom w:val="single" w:sz="6" w:space="0" w:color="008000"/>
            </w:tcBorders>
            <w:shd w:val="clear" w:color="auto" w:fill="FFFFFF"/>
          </w:tcPr>
          <w:p w14:paraId="484FBE42" w14:textId="77777777" w:rsidR="00A8016A" w:rsidRPr="000D0565" w:rsidRDefault="00A8016A" w:rsidP="00636AB2">
            <w:pPr>
              <w:pStyle w:val="CETBodytext"/>
              <w:ind w:right="-1"/>
              <w:jc w:val="left"/>
              <w:rPr>
                <w:rFonts w:cs="Arial"/>
                <w:szCs w:val="18"/>
                <w:lang w:val="en-GB"/>
              </w:rPr>
            </w:pPr>
          </w:p>
        </w:tc>
        <w:tc>
          <w:tcPr>
            <w:tcW w:w="1180" w:type="dxa"/>
            <w:tcBorders>
              <w:top w:val="single" w:sz="12" w:space="0" w:color="008000"/>
              <w:bottom w:val="single" w:sz="6" w:space="0" w:color="008000"/>
              <w:right w:val="nil"/>
            </w:tcBorders>
            <w:shd w:val="clear" w:color="auto" w:fill="FFFFFF"/>
          </w:tcPr>
          <w:p w14:paraId="3642CB3C" w14:textId="39DE2E84" w:rsidR="00A8016A" w:rsidRPr="000D0565" w:rsidRDefault="00C33B4A" w:rsidP="00636AB2">
            <w:pPr>
              <w:pStyle w:val="CETBodytext"/>
              <w:ind w:right="-1"/>
              <w:jc w:val="left"/>
              <w:rPr>
                <w:rFonts w:cs="Arial"/>
                <w:szCs w:val="18"/>
                <w:lang w:val="en-GB"/>
              </w:rPr>
            </w:pPr>
            <w:r>
              <w:rPr>
                <w:rFonts w:cs="Arial"/>
                <w:szCs w:val="18"/>
                <w:lang w:val="en-GB"/>
              </w:rPr>
              <w:t>a</w:t>
            </w:r>
            <w:r w:rsidRPr="00C33B4A">
              <w:rPr>
                <w:rFonts w:cs="Arial"/>
                <w:color w:val="FF0000"/>
                <w:szCs w:val="18"/>
                <w:lang w:val="en-GB"/>
              </w:rPr>
              <w:t>*</w:t>
            </w:r>
          </w:p>
        </w:tc>
        <w:tc>
          <w:tcPr>
            <w:tcW w:w="1134" w:type="dxa"/>
            <w:tcBorders>
              <w:top w:val="single" w:sz="12" w:space="0" w:color="008000"/>
              <w:left w:val="nil"/>
              <w:bottom w:val="single" w:sz="6" w:space="0" w:color="008000"/>
              <w:right w:val="nil"/>
            </w:tcBorders>
            <w:shd w:val="clear" w:color="auto" w:fill="FFFFFF"/>
          </w:tcPr>
          <w:p w14:paraId="0130950A" w14:textId="47224F56" w:rsidR="00A8016A" w:rsidRDefault="00A8016A" w:rsidP="00636AB2">
            <w:pPr>
              <w:pStyle w:val="CETBodytext"/>
              <w:ind w:right="-1"/>
              <w:jc w:val="left"/>
              <w:rPr>
                <w:rFonts w:cs="Arial"/>
                <w:szCs w:val="18"/>
                <w:lang w:val="en-GB"/>
              </w:rPr>
            </w:pPr>
            <w:r>
              <w:rPr>
                <w:rFonts w:cs="Arial"/>
                <w:szCs w:val="18"/>
                <w:lang w:val="en-GB"/>
              </w:rPr>
              <w:t xml:space="preserve"> </w:t>
            </w:r>
            <w:r w:rsidR="00C33B4A">
              <w:rPr>
                <w:rFonts w:cs="Arial"/>
                <w:szCs w:val="18"/>
                <w:lang w:val="en-GB"/>
              </w:rPr>
              <w:t>b</w:t>
            </w:r>
            <w:r w:rsidR="00C33B4A" w:rsidRPr="00C33B4A">
              <w:rPr>
                <w:rFonts w:cs="Arial"/>
                <w:color w:val="FF0000"/>
                <w:szCs w:val="18"/>
                <w:lang w:val="en-GB"/>
              </w:rPr>
              <w:t>*</w:t>
            </w:r>
          </w:p>
        </w:tc>
        <w:tc>
          <w:tcPr>
            <w:tcW w:w="1276" w:type="dxa"/>
            <w:tcBorders>
              <w:top w:val="single" w:sz="12" w:space="0" w:color="008000"/>
              <w:left w:val="nil"/>
              <w:bottom w:val="single" w:sz="6" w:space="0" w:color="008000"/>
              <w:right w:val="nil"/>
            </w:tcBorders>
            <w:shd w:val="clear" w:color="auto" w:fill="FFFFFF"/>
          </w:tcPr>
          <w:p w14:paraId="571AC4DF" w14:textId="6636163A" w:rsidR="00A8016A" w:rsidRDefault="00A8016A" w:rsidP="00636AB2">
            <w:pPr>
              <w:pStyle w:val="CETBodytext"/>
              <w:ind w:right="-1"/>
              <w:jc w:val="left"/>
              <w:rPr>
                <w:rFonts w:cs="Arial"/>
                <w:szCs w:val="18"/>
                <w:lang w:val="en-GB"/>
              </w:rPr>
            </w:pPr>
            <w:r>
              <w:rPr>
                <w:rFonts w:cs="Arial"/>
                <w:szCs w:val="18"/>
                <w:lang w:val="en-GB"/>
              </w:rPr>
              <w:t xml:space="preserve"> </w:t>
            </w:r>
            <w:r w:rsidR="00C33B4A" w:rsidRPr="00C33B4A">
              <w:rPr>
                <w:rFonts w:cs="Arial"/>
                <w:color w:val="FF0000"/>
                <w:szCs w:val="18"/>
                <w:lang w:val="en-GB"/>
              </w:rPr>
              <w:t>h</w:t>
            </w:r>
            <w:r>
              <w:rPr>
                <w:rFonts w:cs="Arial"/>
                <w:szCs w:val="18"/>
                <w:lang w:val="en-GB"/>
              </w:rPr>
              <w:t>°</w:t>
            </w:r>
          </w:p>
        </w:tc>
        <w:tc>
          <w:tcPr>
            <w:tcW w:w="1139" w:type="dxa"/>
            <w:tcBorders>
              <w:top w:val="single" w:sz="12" w:space="0" w:color="008000"/>
              <w:left w:val="nil"/>
              <w:bottom w:val="single" w:sz="6" w:space="0" w:color="008000"/>
              <w:right w:val="nil"/>
            </w:tcBorders>
            <w:shd w:val="clear" w:color="auto" w:fill="FFFFFF"/>
          </w:tcPr>
          <w:p w14:paraId="719685AE" w14:textId="2047DEE1" w:rsidR="00A8016A" w:rsidRDefault="00A8016A" w:rsidP="00636AB2">
            <w:pPr>
              <w:pStyle w:val="CETBodytext"/>
              <w:ind w:right="-1"/>
              <w:jc w:val="left"/>
              <w:rPr>
                <w:rFonts w:cs="Arial"/>
                <w:szCs w:val="18"/>
                <w:lang w:val="en-GB"/>
              </w:rPr>
            </w:pPr>
            <w:r>
              <w:rPr>
                <w:rFonts w:cs="Arial"/>
                <w:szCs w:val="18"/>
                <w:lang w:val="en-GB"/>
              </w:rPr>
              <w:t xml:space="preserve"> C*</w:t>
            </w:r>
          </w:p>
        </w:tc>
        <w:tc>
          <w:tcPr>
            <w:tcW w:w="1139" w:type="dxa"/>
            <w:tcBorders>
              <w:top w:val="single" w:sz="12" w:space="0" w:color="008000"/>
              <w:left w:val="nil"/>
              <w:bottom w:val="single" w:sz="6" w:space="0" w:color="008000"/>
              <w:right w:val="nil"/>
            </w:tcBorders>
            <w:shd w:val="clear" w:color="auto" w:fill="FFFFFF"/>
          </w:tcPr>
          <w:p w14:paraId="3A8CA715" w14:textId="43FFA7EE" w:rsidR="00A8016A" w:rsidRDefault="00A8016A" w:rsidP="00636AB2">
            <w:pPr>
              <w:pStyle w:val="CETBodytext"/>
              <w:ind w:right="-1"/>
              <w:jc w:val="left"/>
              <w:rPr>
                <w:rFonts w:cs="Arial"/>
                <w:szCs w:val="18"/>
                <w:lang w:val="en-GB"/>
              </w:rPr>
            </w:pPr>
            <w:r>
              <w:rPr>
                <w:rFonts w:cs="Arial"/>
                <w:szCs w:val="18"/>
                <w:lang w:val="en-GB"/>
              </w:rPr>
              <w:t xml:space="preserve">   </w:t>
            </w:r>
            <w:r>
              <w:rPr>
                <w:rFonts w:cs="Arial"/>
                <w:szCs w:val="18"/>
                <w:lang w:val="en-GB"/>
              </w:rPr>
              <w:sym w:font="Symbol" w:char="F044"/>
            </w:r>
            <w:r>
              <w:rPr>
                <w:rFonts w:cs="Arial"/>
                <w:szCs w:val="18"/>
                <w:lang w:val="en-GB"/>
              </w:rPr>
              <w:t>E</w:t>
            </w:r>
            <w:r w:rsidR="00C33B4A" w:rsidRPr="00C33B4A">
              <w:rPr>
                <w:rFonts w:cs="Arial"/>
                <w:color w:val="FF0000"/>
                <w:szCs w:val="18"/>
                <w:lang w:val="en-GB"/>
              </w:rPr>
              <w:t>*</w:t>
            </w:r>
          </w:p>
        </w:tc>
      </w:tr>
      <w:tr w:rsidR="00A8016A" w:rsidRPr="00B57B36" w14:paraId="7EB71CCA" w14:textId="40F2B5C8" w:rsidTr="00A8016A">
        <w:tc>
          <w:tcPr>
            <w:tcW w:w="1276" w:type="dxa"/>
            <w:tcBorders>
              <w:right w:val="nil"/>
            </w:tcBorders>
            <w:shd w:val="clear" w:color="auto" w:fill="FFFFFF"/>
          </w:tcPr>
          <w:p w14:paraId="063C5AC3" w14:textId="7BCE4E7C" w:rsidR="00A8016A" w:rsidRPr="00B57B36" w:rsidRDefault="00A8016A" w:rsidP="006733F6">
            <w:pPr>
              <w:pStyle w:val="CETBodytext"/>
              <w:jc w:val="center"/>
              <w:rPr>
                <w:lang w:val="en-GB"/>
              </w:rPr>
            </w:pPr>
            <w:r>
              <w:rPr>
                <w:lang w:val="en-GB"/>
              </w:rPr>
              <w:t xml:space="preserve">Raw HSCF       </w:t>
            </w:r>
          </w:p>
        </w:tc>
        <w:tc>
          <w:tcPr>
            <w:tcW w:w="1165" w:type="dxa"/>
            <w:tcBorders>
              <w:left w:val="nil"/>
              <w:right w:val="nil"/>
            </w:tcBorders>
            <w:shd w:val="clear" w:color="auto" w:fill="FFFFFF"/>
            <w:vAlign w:val="center"/>
          </w:tcPr>
          <w:p w14:paraId="54728CDB" w14:textId="5E209CC6" w:rsidR="00A8016A" w:rsidRPr="00B57B36" w:rsidRDefault="00A8016A" w:rsidP="00636AB2">
            <w:pPr>
              <w:pStyle w:val="CETBodytext"/>
              <w:jc w:val="left"/>
              <w:rPr>
                <w:lang w:val="en-GB"/>
              </w:rPr>
            </w:pPr>
            <w:r>
              <w:rPr>
                <w:lang w:val="en-GB"/>
              </w:rPr>
              <w:t xml:space="preserve"> 57.13</w:t>
            </w:r>
            <w:r>
              <w:rPr>
                <w:color w:val="000000"/>
              </w:rPr>
              <w:t>±1.21</w:t>
            </w:r>
            <w:r w:rsidRPr="00151400">
              <w:rPr>
                <w:color w:val="000000"/>
                <w:vertAlign w:val="superscript"/>
              </w:rPr>
              <w:t>a</w:t>
            </w:r>
            <w:r>
              <w:rPr>
                <w:color w:val="000000"/>
                <w:vertAlign w:val="superscript"/>
              </w:rPr>
              <w:t xml:space="preserve">  </w:t>
            </w:r>
            <w:r>
              <w:rPr>
                <w:lang w:val="en-GB"/>
              </w:rPr>
              <w:t xml:space="preserve">     </w:t>
            </w:r>
          </w:p>
        </w:tc>
        <w:tc>
          <w:tcPr>
            <w:tcW w:w="25" w:type="dxa"/>
            <w:tcBorders>
              <w:left w:val="nil"/>
            </w:tcBorders>
            <w:shd w:val="clear" w:color="auto" w:fill="FFFFFF"/>
            <w:vAlign w:val="center"/>
          </w:tcPr>
          <w:p w14:paraId="4992993B" w14:textId="77777777" w:rsidR="00A8016A" w:rsidRPr="00B57B36" w:rsidRDefault="00A8016A" w:rsidP="00636AB2">
            <w:pPr>
              <w:pStyle w:val="CETBodytext"/>
              <w:jc w:val="left"/>
              <w:rPr>
                <w:lang w:val="en-GB"/>
              </w:rPr>
            </w:pPr>
          </w:p>
        </w:tc>
        <w:tc>
          <w:tcPr>
            <w:tcW w:w="20" w:type="dxa"/>
            <w:shd w:val="clear" w:color="auto" w:fill="FFFFFF"/>
            <w:vAlign w:val="center"/>
          </w:tcPr>
          <w:p w14:paraId="180D46F3" w14:textId="473A858B" w:rsidR="00A8016A" w:rsidRPr="00B57B36" w:rsidRDefault="00A8016A" w:rsidP="00636AB2">
            <w:pPr>
              <w:pStyle w:val="CETBodytext"/>
              <w:jc w:val="left"/>
              <w:rPr>
                <w:lang w:val="en-GB"/>
              </w:rPr>
            </w:pPr>
            <w:r>
              <w:rPr>
                <w:lang w:val="en-GB"/>
              </w:rPr>
              <w:t xml:space="preserve">        </w:t>
            </w:r>
          </w:p>
        </w:tc>
        <w:tc>
          <w:tcPr>
            <w:tcW w:w="20" w:type="dxa"/>
            <w:shd w:val="clear" w:color="auto" w:fill="FFFFFF"/>
            <w:vAlign w:val="center"/>
          </w:tcPr>
          <w:p w14:paraId="50679BF0" w14:textId="77777777" w:rsidR="00A8016A" w:rsidRPr="00B57B36" w:rsidRDefault="00A8016A" w:rsidP="00636AB2">
            <w:pPr>
              <w:pStyle w:val="CETBodytext"/>
              <w:ind w:right="-1"/>
              <w:jc w:val="left"/>
              <w:rPr>
                <w:rFonts w:cs="Arial"/>
                <w:szCs w:val="18"/>
                <w:lang w:val="en-GB"/>
              </w:rPr>
            </w:pPr>
          </w:p>
        </w:tc>
        <w:tc>
          <w:tcPr>
            <w:tcW w:w="1180" w:type="dxa"/>
            <w:tcBorders>
              <w:right w:val="nil"/>
            </w:tcBorders>
            <w:shd w:val="clear" w:color="auto" w:fill="FFFFFF"/>
            <w:vAlign w:val="center"/>
          </w:tcPr>
          <w:p w14:paraId="31D620DA" w14:textId="54C3AADB" w:rsidR="00A8016A" w:rsidRPr="00B57B36" w:rsidRDefault="00A8016A" w:rsidP="00636AB2">
            <w:pPr>
              <w:pStyle w:val="CETBodytext"/>
              <w:ind w:right="-1"/>
              <w:jc w:val="left"/>
              <w:rPr>
                <w:rFonts w:cs="Arial"/>
                <w:szCs w:val="18"/>
                <w:lang w:val="en-GB"/>
              </w:rPr>
            </w:pPr>
            <w:r>
              <w:rPr>
                <w:color w:val="000000"/>
              </w:rPr>
              <w:t>0.36±0.02</w:t>
            </w:r>
            <w:r w:rsidR="00880599">
              <w:rPr>
                <w:color w:val="000000"/>
                <w:vertAlign w:val="superscript"/>
              </w:rPr>
              <w:t>b</w:t>
            </w:r>
            <w:r>
              <w:rPr>
                <w:color w:val="000000"/>
                <w:vertAlign w:val="superscript"/>
              </w:rPr>
              <w:t xml:space="preserve">       </w:t>
            </w:r>
          </w:p>
        </w:tc>
        <w:tc>
          <w:tcPr>
            <w:tcW w:w="1134" w:type="dxa"/>
            <w:tcBorders>
              <w:left w:val="nil"/>
              <w:right w:val="nil"/>
            </w:tcBorders>
            <w:shd w:val="clear" w:color="auto" w:fill="FFFFFF"/>
          </w:tcPr>
          <w:p w14:paraId="044A7854" w14:textId="3594FEDF" w:rsidR="00A8016A" w:rsidRDefault="00A8016A" w:rsidP="00636AB2">
            <w:pPr>
              <w:pStyle w:val="CETBodytext"/>
              <w:ind w:right="-1"/>
              <w:jc w:val="left"/>
              <w:rPr>
                <w:color w:val="000000"/>
              </w:rPr>
            </w:pPr>
            <w:r>
              <w:rPr>
                <w:color w:val="000000"/>
              </w:rPr>
              <w:t xml:space="preserve"> 14.30±1.11</w:t>
            </w:r>
            <w:r w:rsidRPr="00151400">
              <w:rPr>
                <w:color w:val="000000"/>
                <w:vertAlign w:val="superscript"/>
              </w:rPr>
              <w:t>a</w:t>
            </w:r>
          </w:p>
        </w:tc>
        <w:tc>
          <w:tcPr>
            <w:tcW w:w="1276" w:type="dxa"/>
            <w:tcBorders>
              <w:left w:val="nil"/>
              <w:right w:val="nil"/>
            </w:tcBorders>
            <w:shd w:val="clear" w:color="auto" w:fill="FFFFFF"/>
          </w:tcPr>
          <w:p w14:paraId="3E755638" w14:textId="6C43798D" w:rsidR="00A8016A" w:rsidRDefault="00A8016A" w:rsidP="00636AB2">
            <w:pPr>
              <w:pStyle w:val="CETBodytext"/>
              <w:ind w:right="-1"/>
              <w:jc w:val="left"/>
              <w:rPr>
                <w:color w:val="000000"/>
              </w:rPr>
            </w:pPr>
            <w:r>
              <w:rPr>
                <w:color w:val="000000"/>
              </w:rPr>
              <w:t xml:space="preserve"> 88.54±2.12</w:t>
            </w:r>
            <w:r w:rsidRPr="00151400">
              <w:rPr>
                <w:color w:val="000000"/>
                <w:vertAlign w:val="superscript"/>
              </w:rPr>
              <w:t>a</w:t>
            </w:r>
          </w:p>
        </w:tc>
        <w:tc>
          <w:tcPr>
            <w:tcW w:w="1139" w:type="dxa"/>
            <w:tcBorders>
              <w:left w:val="nil"/>
              <w:right w:val="nil"/>
            </w:tcBorders>
            <w:shd w:val="clear" w:color="auto" w:fill="FFFFFF"/>
          </w:tcPr>
          <w:p w14:paraId="4D1EA3AC" w14:textId="003E2FF0" w:rsidR="00A8016A" w:rsidRDefault="00A8016A" w:rsidP="00636AB2">
            <w:pPr>
              <w:pStyle w:val="CETBodytext"/>
              <w:ind w:right="-1"/>
              <w:jc w:val="left"/>
              <w:rPr>
                <w:color w:val="000000"/>
              </w:rPr>
            </w:pPr>
            <w:r>
              <w:rPr>
                <w:color w:val="000000"/>
              </w:rPr>
              <w:t xml:space="preserve"> 14.31±0.78</w:t>
            </w:r>
            <w:r w:rsidRPr="00151400">
              <w:rPr>
                <w:color w:val="000000"/>
                <w:vertAlign w:val="superscript"/>
              </w:rPr>
              <w:t>a</w:t>
            </w:r>
          </w:p>
        </w:tc>
        <w:tc>
          <w:tcPr>
            <w:tcW w:w="1139" w:type="dxa"/>
            <w:vMerge w:val="restart"/>
            <w:tcBorders>
              <w:left w:val="nil"/>
              <w:right w:val="nil"/>
            </w:tcBorders>
            <w:shd w:val="clear" w:color="auto" w:fill="FFFFFF"/>
            <w:vAlign w:val="center"/>
          </w:tcPr>
          <w:p w14:paraId="3A349BBD" w14:textId="73DB61CE" w:rsidR="00A8016A" w:rsidRDefault="00A8016A" w:rsidP="00A8016A">
            <w:pPr>
              <w:pStyle w:val="CETBodytext"/>
              <w:ind w:right="-1"/>
              <w:rPr>
                <w:color w:val="000000"/>
              </w:rPr>
            </w:pPr>
            <w:r>
              <w:rPr>
                <w:color w:val="000000"/>
              </w:rPr>
              <w:t xml:space="preserve">   12.65±0.78</w:t>
            </w:r>
          </w:p>
        </w:tc>
      </w:tr>
      <w:tr w:rsidR="00A8016A" w:rsidRPr="00B57B36" w14:paraId="28FB3987" w14:textId="0F477296" w:rsidTr="0043568D">
        <w:tc>
          <w:tcPr>
            <w:tcW w:w="1276" w:type="dxa"/>
            <w:tcBorders>
              <w:bottom w:val="single" w:sz="12" w:space="0" w:color="008000"/>
              <w:right w:val="nil"/>
            </w:tcBorders>
            <w:shd w:val="clear" w:color="auto" w:fill="FFFFFF"/>
          </w:tcPr>
          <w:p w14:paraId="766DC5F7" w14:textId="6BEC2A53" w:rsidR="00A8016A" w:rsidRPr="00B57B36" w:rsidRDefault="00A8016A" w:rsidP="006733F6">
            <w:pPr>
              <w:pStyle w:val="CETBodytext"/>
              <w:ind w:right="-1"/>
              <w:jc w:val="center"/>
              <w:rPr>
                <w:rFonts w:cs="Arial"/>
                <w:szCs w:val="18"/>
                <w:lang w:val="en-GB"/>
              </w:rPr>
            </w:pPr>
            <w:proofErr w:type="spellStart"/>
            <w:r>
              <w:rPr>
                <w:rFonts w:cs="Arial"/>
                <w:szCs w:val="18"/>
                <w:lang w:val="en-GB"/>
              </w:rPr>
              <w:t>Hydrolyzed</w:t>
            </w:r>
            <w:proofErr w:type="spellEnd"/>
            <w:r>
              <w:rPr>
                <w:rFonts w:cs="Arial"/>
                <w:szCs w:val="18"/>
                <w:lang w:val="en-GB"/>
              </w:rPr>
              <w:t xml:space="preserve"> HSCF         </w:t>
            </w:r>
          </w:p>
        </w:tc>
        <w:tc>
          <w:tcPr>
            <w:tcW w:w="1165" w:type="dxa"/>
            <w:tcBorders>
              <w:left w:val="nil"/>
              <w:bottom w:val="single" w:sz="12" w:space="0" w:color="008000"/>
              <w:right w:val="nil"/>
            </w:tcBorders>
            <w:shd w:val="clear" w:color="auto" w:fill="FFFFFF"/>
            <w:vAlign w:val="center"/>
          </w:tcPr>
          <w:p w14:paraId="6C508678" w14:textId="242B440E" w:rsidR="00A8016A" w:rsidRPr="00B57B36" w:rsidRDefault="00A8016A" w:rsidP="00636AB2">
            <w:pPr>
              <w:pStyle w:val="CETBodytext"/>
              <w:ind w:right="-1"/>
              <w:jc w:val="left"/>
              <w:rPr>
                <w:rFonts w:cs="Arial"/>
                <w:szCs w:val="18"/>
                <w:lang w:val="en-GB"/>
              </w:rPr>
            </w:pPr>
            <w:r>
              <w:rPr>
                <w:rFonts w:cs="Arial"/>
                <w:szCs w:val="18"/>
                <w:lang w:val="en-GB"/>
              </w:rPr>
              <w:t xml:space="preserve"> 47.34</w:t>
            </w:r>
            <w:r>
              <w:rPr>
                <w:color w:val="000000"/>
              </w:rPr>
              <w:t>±2.45</w:t>
            </w:r>
            <w:r w:rsidRPr="00151400">
              <w:rPr>
                <w:color w:val="000000"/>
                <w:vertAlign w:val="superscript"/>
              </w:rPr>
              <w:t>b</w:t>
            </w:r>
          </w:p>
        </w:tc>
        <w:tc>
          <w:tcPr>
            <w:tcW w:w="25" w:type="dxa"/>
            <w:tcBorders>
              <w:left w:val="nil"/>
              <w:bottom w:val="single" w:sz="12" w:space="0" w:color="008000"/>
            </w:tcBorders>
            <w:shd w:val="clear" w:color="auto" w:fill="FFFFFF"/>
            <w:vAlign w:val="center"/>
          </w:tcPr>
          <w:p w14:paraId="68439F74" w14:textId="77777777" w:rsidR="00A8016A" w:rsidRPr="00B57B36" w:rsidRDefault="00A8016A" w:rsidP="00636AB2">
            <w:pPr>
              <w:pStyle w:val="CETBodytext"/>
              <w:ind w:right="-1"/>
              <w:jc w:val="left"/>
              <w:rPr>
                <w:rFonts w:cs="Arial"/>
                <w:szCs w:val="18"/>
                <w:lang w:val="en-GB"/>
              </w:rPr>
            </w:pPr>
          </w:p>
        </w:tc>
        <w:tc>
          <w:tcPr>
            <w:tcW w:w="20" w:type="dxa"/>
            <w:tcBorders>
              <w:bottom w:val="single" w:sz="12" w:space="0" w:color="008000"/>
            </w:tcBorders>
            <w:shd w:val="clear" w:color="auto" w:fill="FFFFFF"/>
            <w:vAlign w:val="center"/>
          </w:tcPr>
          <w:p w14:paraId="05491AB5" w14:textId="77777777" w:rsidR="00A8016A" w:rsidRPr="00B57B36" w:rsidRDefault="00A8016A" w:rsidP="00636AB2">
            <w:pPr>
              <w:pStyle w:val="CETBodytext"/>
              <w:ind w:right="-1"/>
              <w:jc w:val="left"/>
              <w:rPr>
                <w:rFonts w:cs="Arial"/>
                <w:szCs w:val="18"/>
                <w:lang w:val="en-GB"/>
              </w:rPr>
            </w:pPr>
          </w:p>
        </w:tc>
        <w:tc>
          <w:tcPr>
            <w:tcW w:w="20" w:type="dxa"/>
            <w:tcBorders>
              <w:bottom w:val="single" w:sz="12" w:space="0" w:color="008000"/>
            </w:tcBorders>
            <w:shd w:val="clear" w:color="auto" w:fill="FFFFFF"/>
            <w:vAlign w:val="center"/>
          </w:tcPr>
          <w:p w14:paraId="60924501" w14:textId="77777777" w:rsidR="00A8016A" w:rsidRPr="00B57B36" w:rsidRDefault="00A8016A" w:rsidP="00636AB2">
            <w:pPr>
              <w:pStyle w:val="CETBodytext"/>
              <w:ind w:right="-1"/>
              <w:jc w:val="left"/>
              <w:rPr>
                <w:rFonts w:cs="Arial"/>
                <w:szCs w:val="18"/>
                <w:lang w:val="en-GB"/>
              </w:rPr>
            </w:pPr>
          </w:p>
        </w:tc>
        <w:tc>
          <w:tcPr>
            <w:tcW w:w="1180" w:type="dxa"/>
            <w:tcBorders>
              <w:bottom w:val="single" w:sz="12" w:space="0" w:color="008000"/>
              <w:right w:val="nil"/>
            </w:tcBorders>
            <w:shd w:val="clear" w:color="auto" w:fill="FFFFFF"/>
            <w:vAlign w:val="center"/>
          </w:tcPr>
          <w:p w14:paraId="666E1A7E" w14:textId="1BCA21A0" w:rsidR="00A8016A" w:rsidRPr="00B57B36" w:rsidRDefault="00A8016A" w:rsidP="00636AB2">
            <w:pPr>
              <w:pStyle w:val="CETBodytext"/>
              <w:ind w:right="-1"/>
              <w:jc w:val="left"/>
              <w:rPr>
                <w:rFonts w:cs="Arial"/>
                <w:szCs w:val="18"/>
                <w:lang w:val="en-GB"/>
              </w:rPr>
            </w:pPr>
            <w:r>
              <w:rPr>
                <w:rFonts w:cs="Arial"/>
                <w:szCs w:val="18"/>
                <w:lang w:val="en-GB"/>
              </w:rPr>
              <w:t>5.97</w:t>
            </w:r>
            <w:r>
              <w:rPr>
                <w:color w:val="000000"/>
              </w:rPr>
              <w:t>±0.12</w:t>
            </w:r>
            <w:r w:rsidR="00880599">
              <w:rPr>
                <w:color w:val="000000"/>
                <w:vertAlign w:val="superscript"/>
              </w:rPr>
              <w:t>a</w:t>
            </w:r>
          </w:p>
        </w:tc>
        <w:tc>
          <w:tcPr>
            <w:tcW w:w="1134" w:type="dxa"/>
            <w:tcBorders>
              <w:left w:val="nil"/>
              <w:bottom w:val="single" w:sz="12" w:space="0" w:color="008000"/>
              <w:right w:val="nil"/>
            </w:tcBorders>
            <w:shd w:val="clear" w:color="auto" w:fill="FFFFFF"/>
            <w:vAlign w:val="center"/>
          </w:tcPr>
          <w:p w14:paraId="179024B2" w14:textId="6114433B" w:rsidR="00A8016A" w:rsidRPr="00B57B36" w:rsidRDefault="00A8016A" w:rsidP="00FB7439">
            <w:pPr>
              <w:pStyle w:val="CETBodytext"/>
              <w:ind w:right="-1"/>
              <w:jc w:val="center"/>
              <w:rPr>
                <w:rFonts w:cs="Arial"/>
                <w:szCs w:val="18"/>
                <w:lang w:val="en-GB"/>
              </w:rPr>
            </w:pPr>
            <w:r>
              <w:rPr>
                <w:rFonts w:cs="Arial"/>
                <w:szCs w:val="18"/>
                <w:lang w:val="en-GB"/>
              </w:rPr>
              <w:t>8.57</w:t>
            </w:r>
            <w:r>
              <w:rPr>
                <w:color w:val="000000"/>
              </w:rPr>
              <w:t>±0.98</w:t>
            </w:r>
            <w:r w:rsidRPr="00151400">
              <w:rPr>
                <w:color w:val="000000"/>
                <w:vertAlign w:val="superscript"/>
              </w:rPr>
              <w:t>b</w:t>
            </w:r>
          </w:p>
        </w:tc>
        <w:tc>
          <w:tcPr>
            <w:tcW w:w="1276" w:type="dxa"/>
            <w:tcBorders>
              <w:left w:val="nil"/>
              <w:bottom w:val="single" w:sz="12" w:space="0" w:color="008000"/>
              <w:right w:val="nil"/>
            </w:tcBorders>
            <w:shd w:val="clear" w:color="auto" w:fill="FFFFFF"/>
            <w:vAlign w:val="center"/>
          </w:tcPr>
          <w:p w14:paraId="6AE927E9" w14:textId="7B5CA415" w:rsidR="00A8016A" w:rsidRPr="00B57B36" w:rsidRDefault="00A8016A" w:rsidP="00A8016A">
            <w:pPr>
              <w:pStyle w:val="CETBodytext"/>
              <w:ind w:right="-1"/>
              <w:rPr>
                <w:rFonts w:cs="Arial"/>
                <w:szCs w:val="18"/>
                <w:lang w:val="en-GB"/>
              </w:rPr>
            </w:pPr>
            <w:r>
              <w:rPr>
                <w:rFonts w:cs="Arial"/>
                <w:szCs w:val="18"/>
                <w:lang w:val="en-GB"/>
              </w:rPr>
              <w:t xml:space="preserve"> 55.14</w:t>
            </w:r>
            <w:r>
              <w:rPr>
                <w:color w:val="000000"/>
              </w:rPr>
              <w:t>±3.43</w:t>
            </w:r>
            <w:r w:rsidRPr="00151400">
              <w:rPr>
                <w:color w:val="000000"/>
                <w:vertAlign w:val="superscript"/>
              </w:rPr>
              <w:t>b</w:t>
            </w:r>
          </w:p>
        </w:tc>
        <w:tc>
          <w:tcPr>
            <w:tcW w:w="1139" w:type="dxa"/>
            <w:tcBorders>
              <w:left w:val="nil"/>
              <w:bottom w:val="single" w:sz="12" w:space="0" w:color="008000"/>
              <w:right w:val="nil"/>
            </w:tcBorders>
            <w:shd w:val="clear" w:color="auto" w:fill="FFFFFF"/>
            <w:vAlign w:val="center"/>
          </w:tcPr>
          <w:p w14:paraId="7BF30092" w14:textId="560B7230" w:rsidR="00A8016A" w:rsidRPr="00B57B36" w:rsidRDefault="00A8016A" w:rsidP="00FB7439">
            <w:pPr>
              <w:pStyle w:val="CETBodytext"/>
              <w:ind w:right="-1"/>
              <w:jc w:val="center"/>
              <w:rPr>
                <w:rFonts w:cs="Arial"/>
                <w:szCs w:val="18"/>
                <w:lang w:val="en-GB"/>
              </w:rPr>
            </w:pPr>
            <w:r>
              <w:rPr>
                <w:rFonts w:cs="Arial"/>
                <w:szCs w:val="18"/>
                <w:lang w:val="en-GB"/>
              </w:rPr>
              <w:t>10.45</w:t>
            </w:r>
            <w:r>
              <w:rPr>
                <w:color w:val="000000"/>
              </w:rPr>
              <w:t>±1.05</w:t>
            </w:r>
            <w:r w:rsidRPr="00151400">
              <w:rPr>
                <w:color w:val="000000"/>
                <w:vertAlign w:val="superscript"/>
              </w:rPr>
              <w:t>b</w:t>
            </w:r>
          </w:p>
        </w:tc>
        <w:tc>
          <w:tcPr>
            <w:tcW w:w="1139" w:type="dxa"/>
            <w:vMerge/>
            <w:tcBorders>
              <w:left w:val="nil"/>
              <w:bottom w:val="single" w:sz="12" w:space="0" w:color="008000"/>
              <w:right w:val="nil"/>
            </w:tcBorders>
            <w:shd w:val="clear" w:color="auto" w:fill="FFFFFF"/>
          </w:tcPr>
          <w:p w14:paraId="43039E90" w14:textId="77777777" w:rsidR="00A8016A" w:rsidRDefault="00A8016A" w:rsidP="00FB7439">
            <w:pPr>
              <w:pStyle w:val="CETBodytext"/>
              <w:ind w:right="-1"/>
              <w:jc w:val="center"/>
              <w:rPr>
                <w:rFonts w:cs="Arial"/>
                <w:szCs w:val="18"/>
                <w:lang w:val="en-GB"/>
              </w:rPr>
            </w:pPr>
          </w:p>
        </w:tc>
      </w:tr>
    </w:tbl>
    <w:bookmarkEnd w:id="1"/>
    <w:p w14:paraId="3B63D7C3" w14:textId="5646803D" w:rsidR="00A8016A" w:rsidRDefault="00151400" w:rsidP="00C05D18">
      <w:pPr>
        <w:rPr>
          <w:rFonts w:cs="Arial"/>
          <w:sz w:val="15"/>
          <w:szCs w:val="15"/>
        </w:rPr>
      </w:pPr>
      <w:r w:rsidRPr="00BC08CF">
        <w:rPr>
          <w:rFonts w:cs="Arial"/>
          <w:sz w:val="15"/>
          <w:szCs w:val="15"/>
        </w:rPr>
        <w:t>Different letters (a,</w:t>
      </w:r>
      <w:r w:rsidR="00542992">
        <w:rPr>
          <w:rFonts w:cs="Arial"/>
          <w:sz w:val="15"/>
          <w:szCs w:val="15"/>
        </w:rPr>
        <w:t xml:space="preserve"> </w:t>
      </w:r>
      <w:r w:rsidRPr="00BC08CF">
        <w:rPr>
          <w:rFonts w:cs="Arial"/>
          <w:sz w:val="15"/>
          <w:szCs w:val="15"/>
        </w:rPr>
        <w:t xml:space="preserve">b) in the same </w:t>
      </w:r>
      <w:r>
        <w:rPr>
          <w:rFonts w:cs="Arial"/>
          <w:sz w:val="15"/>
          <w:szCs w:val="15"/>
        </w:rPr>
        <w:t>column</w:t>
      </w:r>
      <w:r w:rsidRPr="00BC08CF">
        <w:rPr>
          <w:rFonts w:cs="Arial"/>
          <w:sz w:val="15"/>
          <w:szCs w:val="15"/>
        </w:rPr>
        <w:t xml:space="preserve"> indicate statistical differences (</w:t>
      </w:r>
      <w:r w:rsidRPr="00BC08CF">
        <w:rPr>
          <w:rFonts w:cs="Arial"/>
          <w:i/>
          <w:sz w:val="15"/>
          <w:szCs w:val="15"/>
        </w:rPr>
        <w:t>p&lt;0.05</w:t>
      </w:r>
      <w:r w:rsidRPr="00BC08CF">
        <w:rPr>
          <w:rFonts w:cs="Arial"/>
          <w:sz w:val="15"/>
          <w:szCs w:val="15"/>
        </w:rPr>
        <w:t xml:space="preserve">) </w:t>
      </w:r>
      <w:r w:rsidR="00542992">
        <w:rPr>
          <w:rFonts w:cs="Arial"/>
          <w:sz w:val="15"/>
          <w:szCs w:val="15"/>
        </w:rPr>
        <w:t>between</w:t>
      </w:r>
      <w:r w:rsidRPr="00BC08CF">
        <w:rPr>
          <w:rFonts w:cs="Arial"/>
          <w:sz w:val="15"/>
          <w:szCs w:val="15"/>
        </w:rPr>
        <w:t xml:space="preserve"> samples</w:t>
      </w:r>
    </w:p>
    <w:p w14:paraId="515541FF" w14:textId="2BBE1ACC" w:rsidR="009225E4" w:rsidRPr="00C05D18" w:rsidRDefault="009225E4" w:rsidP="00C05D18">
      <w:pPr>
        <w:rPr>
          <w:rFonts w:cs="Arial"/>
          <w:sz w:val="15"/>
          <w:szCs w:val="15"/>
        </w:rPr>
      </w:pPr>
      <w:r>
        <w:rPr>
          <w:rFonts w:cs="Arial"/>
          <w:sz w:val="15"/>
          <w:szCs w:val="15"/>
        </w:rPr>
        <w:t>HSCF: Hemp Seed Cake Flour</w:t>
      </w:r>
    </w:p>
    <w:p w14:paraId="475843C9" w14:textId="0C2BE244" w:rsidR="00C51948" w:rsidRDefault="00515F27" w:rsidP="00C51948">
      <w:pPr>
        <w:pStyle w:val="CETheadingx"/>
      </w:pPr>
      <w:r>
        <w:t>3.</w:t>
      </w:r>
      <w:r w:rsidR="00636AB2">
        <w:t>3</w:t>
      </w:r>
      <w:r w:rsidRPr="00AF3C8A">
        <w:t xml:space="preserve"> Particle Size Distribution</w:t>
      </w:r>
      <w:r w:rsidR="004C4F1F">
        <w:t xml:space="preserve"> and Bulk Density</w:t>
      </w:r>
    </w:p>
    <w:p w14:paraId="75596051" w14:textId="0F0CBDFE" w:rsidR="00A23C5C" w:rsidRPr="006955CA" w:rsidRDefault="00A23C5C" w:rsidP="006955CA">
      <w:pPr>
        <w:pStyle w:val="CETBodytext"/>
        <w:spacing w:line="240" w:lineRule="auto"/>
        <w:rPr>
          <w:color w:val="000000" w:themeColor="text1"/>
        </w:rPr>
      </w:pPr>
      <w:r w:rsidRPr="00A23C5C">
        <w:rPr>
          <w:color w:val="000000" w:themeColor="text1"/>
        </w:rPr>
        <w:t>Flour particle size distribution is one</w:t>
      </w:r>
      <w:r w:rsidR="003847DE">
        <w:rPr>
          <w:color w:val="000000" w:themeColor="text1"/>
        </w:rPr>
        <w:t xml:space="preserve"> of</w:t>
      </w:r>
      <w:r w:rsidRPr="00A23C5C">
        <w:rPr>
          <w:color w:val="000000" w:themeColor="text1"/>
        </w:rPr>
        <w:t xml:space="preserve"> the main </w:t>
      </w:r>
      <w:r w:rsidR="003847DE" w:rsidRPr="00A23C5C">
        <w:rPr>
          <w:color w:val="000000" w:themeColor="text1"/>
        </w:rPr>
        <w:t>factors</w:t>
      </w:r>
      <w:r w:rsidRPr="00A23C5C">
        <w:rPr>
          <w:color w:val="000000" w:themeColor="text1"/>
        </w:rPr>
        <w:t xml:space="preserve"> governing the technological properties of flour and its performance in food applications. It can influence its </w:t>
      </w:r>
      <w:r w:rsidRPr="00B5675D">
        <w:rPr>
          <w:color w:val="FF0000"/>
        </w:rPr>
        <w:t>behavi</w:t>
      </w:r>
      <w:r w:rsidR="00C33B4A" w:rsidRPr="00B5675D">
        <w:rPr>
          <w:color w:val="FF0000"/>
        </w:rPr>
        <w:t>o</w:t>
      </w:r>
      <w:r w:rsidRPr="00B5675D">
        <w:rPr>
          <w:color w:val="FF0000"/>
        </w:rPr>
        <w:t>r</w:t>
      </w:r>
      <w:r w:rsidRPr="00B5675D">
        <w:rPr>
          <w:color w:val="000000" w:themeColor="text1"/>
        </w:rPr>
        <w:t xml:space="preserve"> during processing in terms of mixing characteristics, water adsorption and retention and moisture of the final products (Ahmed et al., 2019).</w:t>
      </w:r>
      <w:r w:rsidR="006955CA">
        <w:rPr>
          <w:color w:val="000000" w:themeColor="text1"/>
        </w:rPr>
        <w:t xml:space="preserve"> </w:t>
      </w:r>
      <w:r>
        <w:t xml:space="preserve">As reported in </w:t>
      </w:r>
      <w:r w:rsidRPr="00CE5D4B">
        <w:rPr>
          <w:color w:val="FF0000"/>
        </w:rPr>
        <w:t>Figure 1</w:t>
      </w:r>
      <w:r w:rsidR="00CE5D4B" w:rsidRPr="00CE5D4B">
        <w:rPr>
          <w:color w:val="FF0000"/>
        </w:rPr>
        <w:t>A</w:t>
      </w:r>
      <w:r>
        <w:t xml:space="preserve">, both raw and hydrolyzed HSCF displayed bimodal particle size distribution. </w:t>
      </w:r>
      <w:r w:rsidRPr="00515F27">
        <w:t xml:space="preserve">The raw </w:t>
      </w:r>
      <w:r>
        <w:t>HSCF</w:t>
      </w:r>
      <w:r w:rsidRPr="00515F27">
        <w:t xml:space="preserve"> showed its highest mass fraction</w:t>
      </w:r>
      <w:r>
        <w:t xml:space="preserve"> (</w:t>
      </w:r>
      <w:r w:rsidRPr="00515F27">
        <w:t>approximately 37%)</w:t>
      </w:r>
      <w:r>
        <w:t xml:space="preserve"> at</w:t>
      </w:r>
      <w:r w:rsidRPr="00515F27">
        <w:t xml:space="preserve"> 280 µm</w:t>
      </w:r>
      <w:r>
        <w:t xml:space="preserve">, </w:t>
      </w:r>
      <w:r w:rsidRPr="00A23C5C">
        <w:t>followed by</w:t>
      </w:r>
      <w:r>
        <w:t xml:space="preserve"> 25% of the mass characterized by a </w:t>
      </w:r>
      <w:r w:rsidRPr="00A23C5C">
        <w:t xml:space="preserve">450 µm </w:t>
      </w:r>
      <w:r>
        <w:t xml:space="preserve">dimension. </w:t>
      </w:r>
      <w:r w:rsidRPr="00515F27">
        <w:t xml:space="preserve">After </w:t>
      </w:r>
      <w:r>
        <w:t>hydrolysis</w:t>
      </w:r>
      <w:r w:rsidRPr="00515F27">
        <w:t>, the most notable shift appeared at 355 µm, where about 40% of the material was retained, suggest</w:t>
      </w:r>
      <w:r>
        <w:t>ing</w:t>
      </w:r>
      <w:r w:rsidRPr="00515F27">
        <w:t xml:space="preserve"> that the</w:t>
      </w:r>
      <w:r>
        <w:t xml:space="preserve"> enzymatic activity, along with the </w:t>
      </w:r>
      <w:r w:rsidRPr="00515F27">
        <w:t>removal of lignin</w:t>
      </w:r>
      <w:r>
        <w:t>,</w:t>
      </w:r>
      <w:r w:rsidRPr="00515F27">
        <w:t xml:space="preserve"> promote</w:t>
      </w:r>
      <w:r w:rsidR="003847DE">
        <w:t>d</w:t>
      </w:r>
      <w:r w:rsidRPr="00515F27">
        <w:t xml:space="preserve"> </w:t>
      </w:r>
      <w:r>
        <w:t xml:space="preserve">the </w:t>
      </w:r>
      <w:r w:rsidRPr="00515F27">
        <w:t xml:space="preserve">agglomeration into slightly </w:t>
      </w:r>
      <w:r>
        <w:t>bigger and</w:t>
      </w:r>
      <w:r w:rsidRPr="00515F27">
        <w:t xml:space="preserve"> more cohesive particles.</w:t>
      </w:r>
      <w:r w:rsidR="006955CA">
        <w:t xml:space="preserve"> </w:t>
      </w:r>
      <w:r w:rsidR="004C4F1F" w:rsidRPr="00B15D61">
        <w:t xml:space="preserve">According to its larger particle size, </w:t>
      </w:r>
      <w:r w:rsidR="004C4F1F" w:rsidRPr="00B15D61">
        <w:lastRenderedPageBreak/>
        <w:t>the hydroly</w:t>
      </w:r>
      <w:r w:rsidR="0009326C" w:rsidRPr="00B15D61">
        <w:t>z</w:t>
      </w:r>
      <w:r w:rsidR="004C4F1F" w:rsidRPr="00B15D61">
        <w:t xml:space="preserve">ed </w:t>
      </w:r>
      <w:r w:rsidR="00587632" w:rsidRPr="00B15D61">
        <w:t>flour</w:t>
      </w:r>
      <w:r w:rsidR="004C4F1F" w:rsidRPr="00B15D61">
        <w:t xml:space="preserve"> showed a </w:t>
      </w:r>
      <w:r w:rsidR="00587632" w:rsidRPr="00B15D61">
        <w:t xml:space="preserve">significantly </w:t>
      </w:r>
      <w:r w:rsidR="004C4F1F" w:rsidRPr="007E2D30">
        <w:t>lower</w:t>
      </w:r>
      <w:r w:rsidR="00EB436E" w:rsidRPr="007E2D30">
        <w:t xml:space="preserve"> (</w:t>
      </w:r>
      <w:r w:rsidR="00EB436E" w:rsidRPr="007E2D30">
        <w:rPr>
          <w:i/>
          <w:iCs/>
        </w:rPr>
        <w:t>p&lt;0.05</w:t>
      </w:r>
      <w:r w:rsidR="00EB436E" w:rsidRPr="007E2D30">
        <w:t xml:space="preserve">) </w:t>
      </w:r>
      <w:r w:rsidR="004C4F1F" w:rsidRPr="007E2D30">
        <w:t>bulk density</w:t>
      </w:r>
      <w:r w:rsidR="004C4F1F" w:rsidRPr="00B15D61">
        <w:t xml:space="preserve"> than raw flour</w:t>
      </w:r>
      <w:r w:rsidR="00587632" w:rsidRPr="00B15D61">
        <w:t xml:space="preserve">, i.e. 0.5052 ±0.003 </w:t>
      </w:r>
      <w:r w:rsidR="00587632" w:rsidRPr="00B15D61">
        <w:rPr>
          <w:lang w:val="en-GB"/>
        </w:rPr>
        <w:t>g/cm</w:t>
      </w:r>
      <w:r w:rsidR="00587632" w:rsidRPr="00B15D61">
        <w:rPr>
          <w:vertAlign w:val="superscript"/>
          <w:lang w:val="en-GB"/>
        </w:rPr>
        <w:t>3</w:t>
      </w:r>
      <w:r w:rsidR="00587632" w:rsidRPr="00B15D61">
        <w:t xml:space="preserve"> vs. 0.6029 ±0.004 </w:t>
      </w:r>
      <w:r w:rsidR="00587632" w:rsidRPr="00B15D61">
        <w:rPr>
          <w:lang w:val="en-GB"/>
        </w:rPr>
        <w:t>g/cm</w:t>
      </w:r>
      <w:r w:rsidR="00587632" w:rsidRPr="00B15D61">
        <w:rPr>
          <w:vertAlign w:val="superscript"/>
          <w:lang w:val="en-GB"/>
        </w:rPr>
        <w:t>3</w:t>
      </w:r>
      <w:r w:rsidR="00587632" w:rsidRPr="00B15D61">
        <w:t>.</w:t>
      </w:r>
    </w:p>
    <w:p w14:paraId="41A12954" w14:textId="77777777" w:rsidR="004D10C9" w:rsidRPr="00DC678B" w:rsidRDefault="004D10C9" w:rsidP="00A23C5C">
      <w:pPr>
        <w:pStyle w:val="CETBodytext"/>
      </w:pPr>
    </w:p>
    <w:p w14:paraId="0BA286BF" w14:textId="3F7B0657" w:rsidR="00247BC5" w:rsidRDefault="00B12020" w:rsidP="00515F27">
      <w:pPr>
        <w:pStyle w:val="CETBodytext"/>
      </w:pPr>
      <w:r w:rsidRPr="00B12020">
        <w:rPr>
          <w:noProof/>
          <w:lang w:val="en-GB"/>
        </w:rPr>
        <w:drawing>
          <wp:inline distT="0" distB="0" distL="0" distR="0" wp14:anchorId="6DAEFB7D" wp14:editId="6294639A">
            <wp:extent cx="5566691" cy="1968963"/>
            <wp:effectExtent l="0" t="0" r="0" b="0"/>
            <wp:docPr id="14144310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31031" name=""/>
                    <pic:cNvPicPr/>
                  </pic:nvPicPr>
                  <pic:blipFill>
                    <a:blip r:embed="rId10"/>
                    <a:stretch>
                      <a:fillRect/>
                    </a:stretch>
                  </pic:blipFill>
                  <pic:spPr>
                    <a:xfrm>
                      <a:off x="0" y="0"/>
                      <a:ext cx="5625989" cy="1989937"/>
                    </a:xfrm>
                    <a:prstGeom prst="rect">
                      <a:avLst/>
                    </a:prstGeom>
                  </pic:spPr>
                </pic:pic>
              </a:graphicData>
            </a:graphic>
          </wp:inline>
        </w:drawing>
      </w:r>
    </w:p>
    <w:p w14:paraId="00EED61B" w14:textId="05995A1E" w:rsidR="00AA1D0B" w:rsidRDefault="00AA1D0B" w:rsidP="00AA1D0B">
      <w:pPr>
        <w:pStyle w:val="CETBodytext"/>
        <w:jc w:val="center"/>
        <w:rPr>
          <w:rStyle w:val="CETCaptionCarattere"/>
        </w:rPr>
      </w:pPr>
      <w:r w:rsidRPr="00BD077D">
        <w:rPr>
          <w:rStyle w:val="CETCaptionCarattere"/>
        </w:rPr>
        <w:t>Figure 1</w:t>
      </w:r>
      <w:r>
        <w:rPr>
          <w:rStyle w:val="CETCaptionCarattere"/>
        </w:rPr>
        <w:t xml:space="preserve">: Particle Size Distribution (A) and Foam Stability (B) of raw and </w:t>
      </w:r>
      <w:proofErr w:type="spellStart"/>
      <w:r>
        <w:rPr>
          <w:rStyle w:val="CETCaptionCarattere"/>
        </w:rPr>
        <w:t>hydrolyzed</w:t>
      </w:r>
      <w:proofErr w:type="spellEnd"/>
      <w:r>
        <w:rPr>
          <w:rStyle w:val="CETCaptionCarattere"/>
        </w:rPr>
        <w:t xml:space="preserve"> Hemp Seed Cake Flour </w:t>
      </w:r>
    </w:p>
    <w:p w14:paraId="3C04342F" w14:textId="26948F1A" w:rsidR="00894305" w:rsidRDefault="00894305" w:rsidP="00515F27">
      <w:pPr>
        <w:pStyle w:val="CETBodytext"/>
      </w:pPr>
    </w:p>
    <w:p w14:paraId="7DADE2A1" w14:textId="6D77BF19" w:rsidR="00636AB2" w:rsidRPr="00636AB2" w:rsidRDefault="00636AB2" w:rsidP="001B473D">
      <w:pPr>
        <w:pStyle w:val="CETheadingx"/>
      </w:pPr>
      <w:r w:rsidRPr="00636AB2">
        <w:t xml:space="preserve">3.4 </w:t>
      </w:r>
      <w:r w:rsidRPr="00FB42E3">
        <w:rPr>
          <w:color w:val="auto"/>
        </w:rPr>
        <w:t>Technological properties</w:t>
      </w:r>
      <w:r w:rsidR="00FB42E3" w:rsidRPr="00FB42E3">
        <w:rPr>
          <w:color w:val="auto"/>
        </w:rPr>
        <w:t xml:space="preserve"> </w:t>
      </w:r>
    </w:p>
    <w:p w14:paraId="04D61FEC" w14:textId="77777777" w:rsidR="00557CDB" w:rsidRDefault="003847DE" w:rsidP="00880599">
      <w:pPr>
        <w:pStyle w:val="CETBodytext"/>
        <w:rPr>
          <w:lang w:val="en-GB"/>
        </w:rPr>
      </w:pPr>
      <w:r w:rsidRPr="002E4667">
        <w:rPr>
          <w:lang w:val="en-GB"/>
        </w:rPr>
        <w:t xml:space="preserve">The </w:t>
      </w:r>
      <w:r w:rsidR="00FB42E3" w:rsidRPr="002E4667">
        <w:t>hydrolyzed</w:t>
      </w:r>
      <w:r w:rsidRPr="002E4667">
        <w:rPr>
          <w:lang w:val="en-GB"/>
        </w:rPr>
        <w:t xml:space="preserve"> HSCF exhibited higher OAC, WHC, SI, WAI and WSI when compared to </w:t>
      </w:r>
      <w:r w:rsidR="00FB42E3" w:rsidRPr="002E4667">
        <w:t xml:space="preserve">raw </w:t>
      </w:r>
      <w:r w:rsidRPr="002E4667">
        <w:rPr>
          <w:lang w:val="en-GB"/>
        </w:rPr>
        <w:t>flour</w:t>
      </w:r>
      <w:r w:rsidR="00542992" w:rsidRPr="002E4667">
        <w:rPr>
          <w:lang w:val="en-GB"/>
        </w:rPr>
        <w:t xml:space="preserve"> (Table 3)</w:t>
      </w:r>
      <w:r w:rsidRPr="002E4667">
        <w:rPr>
          <w:lang w:val="en-GB"/>
        </w:rPr>
        <w:t>.</w:t>
      </w:r>
      <w:r w:rsidRPr="003847DE">
        <w:rPr>
          <w:lang w:val="en-GB"/>
        </w:rPr>
        <w:t xml:space="preserve"> </w:t>
      </w:r>
    </w:p>
    <w:p w14:paraId="76EFAA20" w14:textId="3F571EF2" w:rsidR="00880599" w:rsidRDefault="003847DE" w:rsidP="00880599">
      <w:pPr>
        <w:pStyle w:val="CETBodytext"/>
        <w:rPr>
          <w:lang w:val="en-GB"/>
        </w:rPr>
      </w:pPr>
      <w:r w:rsidRPr="003847DE">
        <w:rPr>
          <w:lang w:val="en-GB"/>
        </w:rPr>
        <w:t xml:space="preserve">These findings are consistent with literature </w:t>
      </w:r>
      <w:r w:rsidRPr="00B5675D">
        <w:rPr>
          <w:lang w:val="en-GB"/>
        </w:rPr>
        <w:t>data (Wouters et al., 2016). OAC is strictly dependent on hydrophobic proteins and, as highlighted by previous studies</w:t>
      </w:r>
      <w:r w:rsidR="00F123E5" w:rsidRPr="00B5675D">
        <w:rPr>
          <w:lang w:val="en-GB"/>
        </w:rPr>
        <w:t xml:space="preserve"> (Wouters et al., 2016; </w:t>
      </w:r>
      <w:proofErr w:type="spellStart"/>
      <w:r w:rsidR="00F123E5" w:rsidRPr="00B5675D">
        <w:rPr>
          <w:rFonts w:cs="Arial"/>
          <w:color w:val="222222"/>
          <w:szCs w:val="18"/>
          <w:shd w:val="clear" w:color="auto" w:fill="FFFFFF"/>
        </w:rPr>
        <w:t>Bhetwal</w:t>
      </w:r>
      <w:proofErr w:type="spellEnd"/>
      <w:r w:rsidR="00F123E5" w:rsidRPr="00B5675D">
        <w:rPr>
          <w:rFonts w:cs="Arial"/>
          <w:color w:val="222222"/>
          <w:szCs w:val="18"/>
          <w:shd w:val="clear" w:color="auto" w:fill="FFFFFF"/>
        </w:rPr>
        <w:t xml:space="preserve"> </w:t>
      </w:r>
      <w:r w:rsidR="00F123E5" w:rsidRPr="00B5675D">
        <w:rPr>
          <w:lang w:val="en-GB"/>
        </w:rPr>
        <w:t>et al., 2024)</w:t>
      </w:r>
      <w:r w:rsidRPr="00B5675D">
        <w:rPr>
          <w:lang w:val="en-GB"/>
        </w:rPr>
        <w:t xml:space="preserve"> protein hydrolysis significantly increases this parameter. This is due to the higher availability of hydrophobic groups resulting from hydrolysis. Likewise, there is substantial evidence that protein hydrolysis leads to a higher availability of polar, ionizable groups with a beneficial impact on WHC. SI and WAI reflect the volume and weight occupied by the polysaccharides after they swell in excess water; the hydrolysis process transforms insoluble </w:t>
      </w:r>
      <w:proofErr w:type="spellStart"/>
      <w:r w:rsidR="00FB42E3" w:rsidRPr="00B5675D">
        <w:rPr>
          <w:lang w:val="en-GB"/>
        </w:rPr>
        <w:t>fib</w:t>
      </w:r>
      <w:r w:rsidR="00512705" w:rsidRPr="00B5675D">
        <w:rPr>
          <w:lang w:val="en-GB"/>
        </w:rPr>
        <w:t>e</w:t>
      </w:r>
      <w:r w:rsidR="00FB42E3" w:rsidRPr="00B5675D">
        <w:rPr>
          <w:lang w:val="en-GB"/>
        </w:rPr>
        <w:t>r</w:t>
      </w:r>
      <w:r w:rsidR="00EE23EB" w:rsidRPr="00B5675D">
        <w:rPr>
          <w:lang w:val="en-GB"/>
        </w:rPr>
        <w:t>s</w:t>
      </w:r>
      <w:proofErr w:type="spellEnd"/>
      <w:r w:rsidRPr="00B5675D">
        <w:rPr>
          <w:lang w:val="en-GB"/>
        </w:rPr>
        <w:t xml:space="preserve"> into a more amorphous form, making them more accessible to water, thereby improving SI and WAI. Additionally, the higher value of WSI suggests higher levels of water-soluble molecules such as sugars, small peptides, and amino acids, which </w:t>
      </w:r>
      <w:r w:rsidR="00FB42E3" w:rsidRPr="00B5675D">
        <w:rPr>
          <w:lang w:val="en-GB"/>
        </w:rPr>
        <w:t xml:space="preserve">are </w:t>
      </w:r>
      <w:r w:rsidRPr="00B5675D">
        <w:rPr>
          <w:lang w:val="en-GB"/>
        </w:rPr>
        <w:t xml:space="preserve">also </w:t>
      </w:r>
      <w:r w:rsidR="00FB42E3" w:rsidRPr="00B5675D">
        <w:rPr>
          <w:lang w:val="en-GB"/>
        </w:rPr>
        <w:t>derived</w:t>
      </w:r>
      <w:r w:rsidRPr="00B5675D">
        <w:rPr>
          <w:lang w:val="en-GB"/>
        </w:rPr>
        <w:t xml:space="preserve"> from hydrolysis.</w:t>
      </w:r>
      <w:r w:rsidR="00542992" w:rsidRPr="00B5675D">
        <w:rPr>
          <w:lang w:val="en-GB"/>
        </w:rPr>
        <w:t xml:space="preserve"> </w:t>
      </w:r>
      <w:r w:rsidRPr="00B5675D">
        <w:rPr>
          <w:lang w:val="en-GB"/>
        </w:rPr>
        <w:t>The hydrolysis treatment increased the foaming capacity and decreased the foaming stability</w:t>
      </w:r>
      <w:r w:rsidR="00DC6D33" w:rsidRPr="00B5675D">
        <w:rPr>
          <w:lang w:val="en-GB"/>
        </w:rPr>
        <w:t xml:space="preserve"> </w:t>
      </w:r>
      <w:r w:rsidRPr="00B5675D">
        <w:rPr>
          <w:lang w:val="en-GB"/>
        </w:rPr>
        <w:t xml:space="preserve">of HSCF. As a result, the foam height was </w:t>
      </w:r>
      <w:r w:rsidR="00FB42E3" w:rsidRPr="00B5675D">
        <w:rPr>
          <w:lang w:val="en-GB"/>
        </w:rPr>
        <w:t>higher,</w:t>
      </w:r>
      <w:r w:rsidRPr="00B5675D">
        <w:rPr>
          <w:lang w:val="en-GB"/>
        </w:rPr>
        <w:t xml:space="preserve"> but its volume diminished faster, leading to the foam disappearing within 45 minutes</w:t>
      </w:r>
      <w:r w:rsidR="003E50BF" w:rsidRPr="00B5675D">
        <w:rPr>
          <w:lang w:val="en-GB"/>
        </w:rPr>
        <w:t xml:space="preserve"> (</w:t>
      </w:r>
      <w:r w:rsidR="003E50BF" w:rsidRPr="00CE5D4B">
        <w:rPr>
          <w:color w:val="FF0000"/>
          <w:lang w:val="en-GB"/>
        </w:rPr>
        <w:t xml:space="preserve">Figure </w:t>
      </w:r>
      <w:r w:rsidR="00CE5D4B" w:rsidRPr="00CE5D4B">
        <w:rPr>
          <w:color w:val="FF0000"/>
          <w:lang w:val="en-GB"/>
        </w:rPr>
        <w:t>1B</w:t>
      </w:r>
      <w:r w:rsidR="003E50BF" w:rsidRPr="00B5675D">
        <w:rPr>
          <w:lang w:val="en-GB"/>
        </w:rPr>
        <w:t>)</w:t>
      </w:r>
      <w:r w:rsidRPr="00B5675D">
        <w:rPr>
          <w:lang w:val="en-GB"/>
        </w:rPr>
        <w:t xml:space="preserve">. These findings are consistent with previous research which shows that </w:t>
      </w:r>
      <w:proofErr w:type="spellStart"/>
      <w:r w:rsidRPr="00B5675D">
        <w:rPr>
          <w:lang w:val="en-GB"/>
        </w:rPr>
        <w:t>hydrolyzed</w:t>
      </w:r>
      <w:proofErr w:type="spellEnd"/>
      <w:r w:rsidRPr="00B5675D">
        <w:rPr>
          <w:lang w:val="en-GB"/>
        </w:rPr>
        <w:t xml:space="preserve"> proteins contribute to foam expansion, while larger proteins are necessary for stabilizing the foam (Wouters et al., 2016). Regarding emulsifying properties, the enzymatically treated HSCF exhibited a reduced emulsifying capacity but a higher emulsifying stability. Typically, protein hydrolysis enhances the exposure of hydrophobic groups, which can improve the emulsifying properties of proteins but, at the same time, this can lead to aggregation impairing emulsifying ability. The emulsifying properties of protein hydrolysates can vary considerably according to the degree of hydrolysis; the observed increase in emulsifying stability suggests that the hydrolysis process</w:t>
      </w:r>
      <w:r w:rsidR="007E2D30" w:rsidRPr="00B5675D">
        <w:rPr>
          <w:lang w:val="en-GB"/>
        </w:rPr>
        <w:t xml:space="preserve"> is</w:t>
      </w:r>
      <w:r w:rsidRPr="00B5675D">
        <w:rPr>
          <w:lang w:val="en-GB"/>
        </w:rPr>
        <w:t xml:space="preserve"> not excessive (Vogelsang-O’Dwyer et al., 2022).</w:t>
      </w:r>
    </w:p>
    <w:p w14:paraId="6516A537" w14:textId="77777777" w:rsidR="00761A8C" w:rsidRDefault="00761A8C" w:rsidP="00761A8C">
      <w:pPr>
        <w:pStyle w:val="CETTabletitle"/>
      </w:pPr>
      <w:r w:rsidRPr="00515F27">
        <w:t xml:space="preserve">Table </w:t>
      </w:r>
      <w:r>
        <w:t>3</w:t>
      </w:r>
      <w:r w:rsidRPr="00515F27">
        <w:t xml:space="preserve">: </w:t>
      </w:r>
      <w:r w:rsidRPr="00FB42E3">
        <w:t xml:space="preserve">Technological properties </w:t>
      </w:r>
      <w:r>
        <w:t xml:space="preserve">of raw and </w:t>
      </w:r>
      <w:proofErr w:type="spellStart"/>
      <w:r>
        <w:t>hydrolyzed</w:t>
      </w:r>
      <w:proofErr w:type="spellEnd"/>
      <w:r>
        <w:t xml:space="preserve"> HSCF</w:t>
      </w:r>
    </w:p>
    <w:tbl>
      <w:tblPr>
        <w:tblStyle w:val="Grigliatabella"/>
        <w:tblW w:w="8789" w:type="dxa"/>
        <w:tblInd w:w="1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994"/>
        <w:gridCol w:w="994"/>
        <w:gridCol w:w="994"/>
        <w:gridCol w:w="994"/>
        <w:gridCol w:w="927"/>
        <w:gridCol w:w="949"/>
        <w:gridCol w:w="949"/>
        <w:gridCol w:w="927"/>
      </w:tblGrid>
      <w:tr w:rsidR="00761A8C" w:rsidRPr="003F363B" w14:paraId="0B8B3116" w14:textId="77777777" w:rsidTr="00A55333">
        <w:trPr>
          <w:trHeight w:val="20"/>
        </w:trPr>
        <w:tc>
          <w:tcPr>
            <w:tcW w:w="1061" w:type="dxa"/>
            <w:tcBorders>
              <w:top w:val="single" w:sz="12" w:space="0" w:color="008000"/>
              <w:bottom w:val="single" w:sz="6" w:space="0" w:color="008000"/>
            </w:tcBorders>
            <w:vAlign w:val="center"/>
          </w:tcPr>
          <w:p w14:paraId="30CD25D1" w14:textId="77777777" w:rsidR="00761A8C" w:rsidRPr="00880599" w:rsidRDefault="00761A8C" w:rsidP="00A55333">
            <w:pPr>
              <w:pStyle w:val="CETBodytext"/>
              <w:rPr>
                <w:sz w:val="16"/>
                <w:szCs w:val="16"/>
                <w:lang w:val="en-GB"/>
              </w:rPr>
            </w:pPr>
          </w:p>
        </w:tc>
        <w:tc>
          <w:tcPr>
            <w:tcW w:w="994" w:type="dxa"/>
            <w:tcBorders>
              <w:top w:val="single" w:sz="12" w:space="0" w:color="008000"/>
              <w:bottom w:val="single" w:sz="6" w:space="0" w:color="008000"/>
            </w:tcBorders>
            <w:vAlign w:val="center"/>
          </w:tcPr>
          <w:p w14:paraId="49309FE9" w14:textId="77777777" w:rsidR="00761A8C" w:rsidRPr="00880599" w:rsidRDefault="00761A8C" w:rsidP="00A55333">
            <w:pPr>
              <w:pStyle w:val="CETBodytext"/>
              <w:rPr>
                <w:sz w:val="16"/>
                <w:szCs w:val="16"/>
                <w:lang w:val="en-GB"/>
              </w:rPr>
            </w:pPr>
            <w:r w:rsidRPr="00880599">
              <w:rPr>
                <w:sz w:val="16"/>
                <w:szCs w:val="16"/>
                <w:lang w:val="en-GB"/>
              </w:rPr>
              <w:t xml:space="preserve">OAC </w:t>
            </w:r>
          </w:p>
          <w:p w14:paraId="69739771" w14:textId="77777777" w:rsidR="00761A8C" w:rsidRPr="00880599" w:rsidRDefault="00761A8C" w:rsidP="00A55333">
            <w:pPr>
              <w:pStyle w:val="CETBodytext"/>
              <w:rPr>
                <w:sz w:val="16"/>
                <w:szCs w:val="16"/>
                <w:lang w:val="en-GB"/>
              </w:rPr>
            </w:pPr>
            <w:r w:rsidRPr="00880599">
              <w:rPr>
                <w:sz w:val="16"/>
                <w:szCs w:val="16"/>
                <w:lang w:val="en-GB"/>
              </w:rPr>
              <w:t>(% w/w)</w:t>
            </w:r>
          </w:p>
        </w:tc>
        <w:tc>
          <w:tcPr>
            <w:tcW w:w="994" w:type="dxa"/>
            <w:tcBorders>
              <w:top w:val="single" w:sz="12" w:space="0" w:color="008000"/>
              <w:bottom w:val="single" w:sz="6" w:space="0" w:color="008000"/>
            </w:tcBorders>
            <w:vAlign w:val="center"/>
          </w:tcPr>
          <w:p w14:paraId="1285B62D" w14:textId="77777777" w:rsidR="00761A8C" w:rsidRPr="00880599" w:rsidRDefault="00761A8C" w:rsidP="00A55333">
            <w:pPr>
              <w:pStyle w:val="CETBodytext"/>
              <w:rPr>
                <w:sz w:val="16"/>
                <w:szCs w:val="16"/>
                <w:lang w:val="en-GB"/>
              </w:rPr>
            </w:pPr>
            <w:r w:rsidRPr="00880599">
              <w:rPr>
                <w:sz w:val="16"/>
                <w:szCs w:val="16"/>
                <w:lang w:val="en-GB"/>
              </w:rPr>
              <w:t xml:space="preserve">WHC </w:t>
            </w:r>
          </w:p>
          <w:p w14:paraId="2EAA93F2" w14:textId="77777777" w:rsidR="00761A8C" w:rsidRPr="00880599" w:rsidRDefault="00761A8C" w:rsidP="00A55333">
            <w:pPr>
              <w:pStyle w:val="CETBodytext"/>
              <w:rPr>
                <w:sz w:val="16"/>
                <w:szCs w:val="16"/>
                <w:lang w:val="en-GB"/>
              </w:rPr>
            </w:pPr>
            <w:r w:rsidRPr="00880599">
              <w:rPr>
                <w:sz w:val="16"/>
                <w:szCs w:val="16"/>
                <w:lang w:val="en-GB"/>
              </w:rPr>
              <w:t>(% w/w)</w:t>
            </w:r>
          </w:p>
        </w:tc>
        <w:tc>
          <w:tcPr>
            <w:tcW w:w="994" w:type="dxa"/>
            <w:tcBorders>
              <w:top w:val="single" w:sz="12" w:space="0" w:color="008000"/>
              <w:bottom w:val="single" w:sz="6" w:space="0" w:color="008000"/>
            </w:tcBorders>
            <w:vAlign w:val="center"/>
          </w:tcPr>
          <w:p w14:paraId="60FA7C36" w14:textId="77777777" w:rsidR="00761A8C" w:rsidRPr="00880599" w:rsidRDefault="00761A8C" w:rsidP="00A55333">
            <w:pPr>
              <w:pStyle w:val="CETBodytext"/>
              <w:rPr>
                <w:sz w:val="16"/>
                <w:szCs w:val="16"/>
                <w:lang w:val="en-GB"/>
              </w:rPr>
            </w:pPr>
            <w:r w:rsidRPr="00880599">
              <w:rPr>
                <w:sz w:val="16"/>
                <w:szCs w:val="16"/>
                <w:lang w:val="en-GB"/>
              </w:rPr>
              <w:t xml:space="preserve">SI </w:t>
            </w:r>
          </w:p>
          <w:p w14:paraId="047C0088" w14:textId="77777777" w:rsidR="00761A8C" w:rsidRPr="00880599" w:rsidRDefault="00761A8C" w:rsidP="00A55333">
            <w:pPr>
              <w:pStyle w:val="CETBodytext"/>
              <w:rPr>
                <w:sz w:val="16"/>
                <w:szCs w:val="16"/>
                <w:lang w:val="en-GB"/>
              </w:rPr>
            </w:pPr>
            <w:r w:rsidRPr="00880599">
              <w:rPr>
                <w:sz w:val="16"/>
                <w:szCs w:val="16"/>
                <w:lang w:val="en-GB"/>
              </w:rPr>
              <w:t>(% v/w)</w:t>
            </w:r>
          </w:p>
        </w:tc>
        <w:tc>
          <w:tcPr>
            <w:tcW w:w="994" w:type="dxa"/>
            <w:tcBorders>
              <w:top w:val="single" w:sz="12" w:space="0" w:color="008000"/>
              <w:bottom w:val="single" w:sz="6" w:space="0" w:color="008000"/>
            </w:tcBorders>
            <w:vAlign w:val="center"/>
          </w:tcPr>
          <w:p w14:paraId="242D1DE0" w14:textId="77777777" w:rsidR="00761A8C" w:rsidRPr="00880599" w:rsidRDefault="00761A8C" w:rsidP="00A55333">
            <w:pPr>
              <w:pStyle w:val="CETBodytext"/>
              <w:rPr>
                <w:sz w:val="16"/>
                <w:szCs w:val="16"/>
                <w:lang w:val="en-GB"/>
              </w:rPr>
            </w:pPr>
            <w:r w:rsidRPr="00880599">
              <w:rPr>
                <w:sz w:val="16"/>
                <w:szCs w:val="16"/>
                <w:lang w:val="en-GB"/>
              </w:rPr>
              <w:t xml:space="preserve">WAI </w:t>
            </w:r>
          </w:p>
          <w:p w14:paraId="71DFE440" w14:textId="77777777" w:rsidR="00761A8C" w:rsidRPr="00880599" w:rsidRDefault="00761A8C" w:rsidP="00A55333">
            <w:pPr>
              <w:pStyle w:val="CETBodytext"/>
              <w:rPr>
                <w:sz w:val="16"/>
                <w:szCs w:val="16"/>
                <w:lang w:val="en-GB"/>
              </w:rPr>
            </w:pPr>
            <w:r w:rsidRPr="00880599">
              <w:rPr>
                <w:sz w:val="16"/>
                <w:szCs w:val="16"/>
                <w:lang w:val="en-GB"/>
              </w:rPr>
              <w:t>(% w/w)</w:t>
            </w:r>
          </w:p>
        </w:tc>
        <w:tc>
          <w:tcPr>
            <w:tcW w:w="927" w:type="dxa"/>
            <w:tcBorders>
              <w:top w:val="single" w:sz="12" w:space="0" w:color="008000"/>
              <w:bottom w:val="single" w:sz="6" w:space="0" w:color="008000"/>
            </w:tcBorders>
            <w:vAlign w:val="center"/>
          </w:tcPr>
          <w:p w14:paraId="35446F33" w14:textId="77777777" w:rsidR="00761A8C" w:rsidRPr="00880599" w:rsidRDefault="00761A8C" w:rsidP="00A55333">
            <w:pPr>
              <w:pStyle w:val="CETBodytext"/>
              <w:rPr>
                <w:sz w:val="16"/>
                <w:szCs w:val="16"/>
                <w:lang w:val="en-GB"/>
              </w:rPr>
            </w:pPr>
            <w:r w:rsidRPr="00880599">
              <w:rPr>
                <w:sz w:val="16"/>
                <w:szCs w:val="16"/>
                <w:lang w:val="en-GB"/>
              </w:rPr>
              <w:t xml:space="preserve">WSI </w:t>
            </w:r>
          </w:p>
          <w:p w14:paraId="1D6ACC6C" w14:textId="77777777" w:rsidR="00761A8C" w:rsidRPr="00880599" w:rsidRDefault="00761A8C" w:rsidP="00A55333">
            <w:pPr>
              <w:pStyle w:val="CETBodytext"/>
              <w:rPr>
                <w:sz w:val="16"/>
                <w:szCs w:val="16"/>
                <w:lang w:val="en-GB"/>
              </w:rPr>
            </w:pPr>
            <w:r w:rsidRPr="00880599">
              <w:rPr>
                <w:sz w:val="16"/>
                <w:szCs w:val="16"/>
                <w:lang w:val="en-GB"/>
              </w:rPr>
              <w:t>(% w/w)</w:t>
            </w:r>
          </w:p>
        </w:tc>
        <w:tc>
          <w:tcPr>
            <w:tcW w:w="949" w:type="dxa"/>
            <w:tcBorders>
              <w:top w:val="single" w:sz="12" w:space="0" w:color="008000"/>
              <w:bottom w:val="single" w:sz="6" w:space="0" w:color="008000"/>
            </w:tcBorders>
            <w:vAlign w:val="center"/>
          </w:tcPr>
          <w:p w14:paraId="25311D5C" w14:textId="77777777" w:rsidR="00761A8C" w:rsidRPr="00880599" w:rsidRDefault="00761A8C" w:rsidP="00A55333">
            <w:pPr>
              <w:pStyle w:val="CETBodytext"/>
              <w:rPr>
                <w:sz w:val="16"/>
                <w:szCs w:val="16"/>
                <w:lang w:val="en-GB"/>
              </w:rPr>
            </w:pPr>
            <w:r w:rsidRPr="00880599">
              <w:rPr>
                <w:sz w:val="16"/>
                <w:szCs w:val="16"/>
                <w:lang w:val="en-GB"/>
              </w:rPr>
              <w:t>EC</w:t>
            </w:r>
          </w:p>
          <w:p w14:paraId="684008E5" w14:textId="77777777" w:rsidR="00761A8C" w:rsidRPr="00880599" w:rsidRDefault="00761A8C" w:rsidP="00A55333">
            <w:pPr>
              <w:pStyle w:val="CETBodytext"/>
              <w:rPr>
                <w:sz w:val="16"/>
                <w:szCs w:val="16"/>
                <w:lang w:val="en-GB"/>
              </w:rPr>
            </w:pPr>
            <w:r w:rsidRPr="00880599">
              <w:rPr>
                <w:sz w:val="16"/>
                <w:szCs w:val="16"/>
                <w:lang w:val="en-GB"/>
              </w:rPr>
              <w:t>(% v/v)</w:t>
            </w:r>
          </w:p>
        </w:tc>
        <w:tc>
          <w:tcPr>
            <w:tcW w:w="949" w:type="dxa"/>
            <w:tcBorders>
              <w:top w:val="single" w:sz="12" w:space="0" w:color="008000"/>
              <w:bottom w:val="single" w:sz="6" w:space="0" w:color="008000"/>
            </w:tcBorders>
            <w:vAlign w:val="center"/>
          </w:tcPr>
          <w:p w14:paraId="7BA2150D" w14:textId="77777777" w:rsidR="00761A8C" w:rsidRPr="00880599" w:rsidRDefault="00761A8C" w:rsidP="00A55333">
            <w:pPr>
              <w:pStyle w:val="CETBodytext"/>
              <w:rPr>
                <w:sz w:val="16"/>
                <w:szCs w:val="16"/>
                <w:lang w:val="en-GB"/>
              </w:rPr>
            </w:pPr>
            <w:r w:rsidRPr="00880599">
              <w:rPr>
                <w:sz w:val="16"/>
                <w:szCs w:val="16"/>
                <w:lang w:val="en-GB"/>
              </w:rPr>
              <w:t>ES</w:t>
            </w:r>
          </w:p>
          <w:p w14:paraId="140E8817" w14:textId="77777777" w:rsidR="00761A8C" w:rsidRPr="00880599" w:rsidRDefault="00761A8C" w:rsidP="00A55333">
            <w:pPr>
              <w:pStyle w:val="CETBodytext"/>
              <w:rPr>
                <w:sz w:val="16"/>
                <w:szCs w:val="16"/>
                <w:lang w:val="en-GB"/>
              </w:rPr>
            </w:pPr>
            <w:r w:rsidRPr="00880599">
              <w:rPr>
                <w:sz w:val="16"/>
                <w:szCs w:val="16"/>
                <w:lang w:val="en-GB"/>
              </w:rPr>
              <w:t>(% v/v)</w:t>
            </w:r>
          </w:p>
        </w:tc>
        <w:tc>
          <w:tcPr>
            <w:tcW w:w="927" w:type="dxa"/>
            <w:tcBorders>
              <w:top w:val="single" w:sz="12" w:space="0" w:color="008000"/>
              <w:bottom w:val="single" w:sz="6" w:space="0" w:color="008000"/>
            </w:tcBorders>
            <w:vAlign w:val="center"/>
          </w:tcPr>
          <w:p w14:paraId="0C879148" w14:textId="77777777" w:rsidR="00761A8C" w:rsidRPr="00880599" w:rsidRDefault="00761A8C" w:rsidP="00A55333">
            <w:pPr>
              <w:pStyle w:val="CETBodytext"/>
              <w:rPr>
                <w:sz w:val="16"/>
                <w:szCs w:val="16"/>
                <w:lang w:val="en-GB"/>
              </w:rPr>
            </w:pPr>
            <w:r w:rsidRPr="00880599">
              <w:rPr>
                <w:sz w:val="16"/>
                <w:szCs w:val="16"/>
                <w:lang w:val="en-GB"/>
              </w:rPr>
              <w:t>FC</w:t>
            </w:r>
          </w:p>
          <w:p w14:paraId="47DD301A" w14:textId="77777777" w:rsidR="00761A8C" w:rsidRPr="00880599" w:rsidRDefault="00761A8C" w:rsidP="00A55333">
            <w:pPr>
              <w:pStyle w:val="CETBodytext"/>
              <w:rPr>
                <w:sz w:val="16"/>
                <w:szCs w:val="16"/>
                <w:lang w:val="en-GB"/>
              </w:rPr>
            </w:pPr>
            <w:r w:rsidRPr="00880599">
              <w:rPr>
                <w:sz w:val="16"/>
                <w:szCs w:val="16"/>
                <w:lang w:val="en-GB"/>
              </w:rPr>
              <w:t>(% v/v)</w:t>
            </w:r>
          </w:p>
        </w:tc>
      </w:tr>
      <w:tr w:rsidR="00761A8C" w:rsidRPr="003F363B" w14:paraId="6A4522FD" w14:textId="77777777" w:rsidTr="00A55333">
        <w:trPr>
          <w:trHeight w:val="119"/>
        </w:trPr>
        <w:tc>
          <w:tcPr>
            <w:tcW w:w="1061" w:type="dxa"/>
            <w:tcBorders>
              <w:top w:val="single" w:sz="6" w:space="0" w:color="008000"/>
              <w:bottom w:val="nil"/>
            </w:tcBorders>
          </w:tcPr>
          <w:p w14:paraId="75E6D216" w14:textId="77777777" w:rsidR="00761A8C" w:rsidRPr="00880599" w:rsidRDefault="00761A8C" w:rsidP="00A55333">
            <w:pPr>
              <w:pStyle w:val="CETBodytext"/>
              <w:jc w:val="center"/>
              <w:rPr>
                <w:sz w:val="16"/>
                <w:szCs w:val="16"/>
                <w:lang w:val="en-GB"/>
              </w:rPr>
            </w:pPr>
            <w:r w:rsidRPr="00880599">
              <w:rPr>
                <w:sz w:val="16"/>
                <w:szCs w:val="16"/>
                <w:lang w:val="en-GB"/>
              </w:rPr>
              <w:t>Raw HSCF</w:t>
            </w:r>
          </w:p>
        </w:tc>
        <w:tc>
          <w:tcPr>
            <w:tcW w:w="994" w:type="dxa"/>
            <w:tcBorders>
              <w:top w:val="single" w:sz="6" w:space="0" w:color="008000"/>
              <w:bottom w:val="nil"/>
            </w:tcBorders>
            <w:vAlign w:val="center"/>
          </w:tcPr>
          <w:p w14:paraId="33167F91" w14:textId="77777777" w:rsidR="00761A8C" w:rsidRPr="00880599" w:rsidRDefault="00761A8C" w:rsidP="00A55333">
            <w:pPr>
              <w:pStyle w:val="CETBodytext"/>
              <w:rPr>
                <w:sz w:val="16"/>
                <w:szCs w:val="16"/>
                <w:lang w:val="en-GB"/>
              </w:rPr>
            </w:pPr>
            <w:r w:rsidRPr="00880599">
              <w:rPr>
                <w:sz w:val="16"/>
                <w:szCs w:val="16"/>
                <w:lang w:val="en-GB"/>
              </w:rPr>
              <w:t>95.9±0.0</w:t>
            </w:r>
            <w:r w:rsidRPr="00151400">
              <w:rPr>
                <w:color w:val="000000"/>
                <w:vertAlign w:val="superscript"/>
              </w:rPr>
              <w:t>b</w:t>
            </w:r>
          </w:p>
        </w:tc>
        <w:tc>
          <w:tcPr>
            <w:tcW w:w="994" w:type="dxa"/>
            <w:tcBorders>
              <w:top w:val="single" w:sz="6" w:space="0" w:color="008000"/>
              <w:bottom w:val="nil"/>
            </w:tcBorders>
            <w:vAlign w:val="center"/>
          </w:tcPr>
          <w:p w14:paraId="0128B4F9" w14:textId="77777777" w:rsidR="00761A8C" w:rsidRPr="00880599" w:rsidRDefault="00761A8C" w:rsidP="00A55333">
            <w:pPr>
              <w:pStyle w:val="CETBodytext"/>
              <w:rPr>
                <w:sz w:val="16"/>
                <w:szCs w:val="16"/>
                <w:lang w:val="en-GB"/>
              </w:rPr>
            </w:pPr>
            <w:r w:rsidRPr="00880599">
              <w:rPr>
                <w:sz w:val="16"/>
                <w:szCs w:val="16"/>
                <w:lang w:val="en-GB"/>
              </w:rPr>
              <w:t>128.6±1.3</w:t>
            </w:r>
            <w:r w:rsidRPr="00151400">
              <w:rPr>
                <w:color w:val="000000"/>
                <w:vertAlign w:val="superscript"/>
              </w:rPr>
              <w:t>b</w:t>
            </w:r>
          </w:p>
        </w:tc>
        <w:tc>
          <w:tcPr>
            <w:tcW w:w="994" w:type="dxa"/>
            <w:tcBorders>
              <w:top w:val="single" w:sz="6" w:space="0" w:color="008000"/>
              <w:bottom w:val="nil"/>
            </w:tcBorders>
            <w:vAlign w:val="center"/>
          </w:tcPr>
          <w:p w14:paraId="11B35906" w14:textId="77777777" w:rsidR="00761A8C" w:rsidRPr="00880599" w:rsidRDefault="00761A8C" w:rsidP="00A55333">
            <w:pPr>
              <w:pStyle w:val="CETBodytext"/>
              <w:rPr>
                <w:sz w:val="16"/>
                <w:szCs w:val="16"/>
                <w:lang w:val="en-GB"/>
              </w:rPr>
            </w:pPr>
            <w:r w:rsidRPr="00880599">
              <w:rPr>
                <w:sz w:val="16"/>
                <w:szCs w:val="16"/>
                <w:lang w:val="en-GB"/>
              </w:rPr>
              <w:t>103.0±1.1</w:t>
            </w:r>
            <w:r w:rsidRPr="00151400">
              <w:rPr>
                <w:color w:val="000000"/>
                <w:vertAlign w:val="superscript"/>
              </w:rPr>
              <w:t>b</w:t>
            </w:r>
          </w:p>
        </w:tc>
        <w:tc>
          <w:tcPr>
            <w:tcW w:w="994" w:type="dxa"/>
            <w:tcBorders>
              <w:top w:val="single" w:sz="6" w:space="0" w:color="008000"/>
              <w:bottom w:val="nil"/>
            </w:tcBorders>
            <w:vAlign w:val="center"/>
          </w:tcPr>
          <w:p w14:paraId="286B073C" w14:textId="77777777" w:rsidR="00761A8C" w:rsidRPr="00880599" w:rsidRDefault="00761A8C" w:rsidP="00A55333">
            <w:pPr>
              <w:pStyle w:val="CETBodytext"/>
              <w:rPr>
                <w:sz w:val="16"/>
                <w:szCs w:val="16"/>
                <w:lang w:val="en-GB"/>
              </w:rPr>
            </w:pPr>
            <w:r w:rsidRPr="00880599">
              <w:rPr>
                <w:sz w:val="16"/>
                <w:szCs w:val="16"/>
                <w:lang w:val="en-GB"/>
              </w:rPr>
              <w:t>181.7±1.2</w:t>
            </w:r>
            <w:r w:rsidRPr="00151400">
              <w:rPr>
                <w:color w:val="000000"/>
                <w:vertAlign w:val="superscript"/>
              </w:rPr>
              <w:t>b</w:t>
            </w:r>
          </w:p>
        </w:tc>
        <w:tc>
          <w:tcPr>
            <w:tcW w:w="927" w:type="dxa"/>
            <w:tcBorders>
              <w:top w:val="single" w:sz="6" w:space="0" w:color="008000"/>
              <w:bottom w:val="nil"/>
            </w:tcBorders>
            <w:vAlign w:val="center"/>
          </w:tcPr>
          <w:p w14:paraId="2D0155CA" w14:textId="77777777" w:rsidR="00761A8C" w:rsidRPr="00880599" w:rsidRDefault="00761A8C" w:rsidP="00A55333">
            <w:pPr>
              <w:pStyle w:val="CETBodytext"/>
              <w:rPr>
                <w:sz w:val="16"/>
                <w:szCs w:val="16"/>
                <w:lang w:val="en-GB"/>
              </w:rPr>
            </w:pPr>
            <w:r w:rsidRPr="00880599">
              <w:rPr>
                <w:sz w:val="16"/>
                <w:szCs w:val="16"/>
                <w:lang w:val="en-GB"/>
              </w:rPr>
              <w:t>1.0 ±0.0</w:t>
            </w:r>
            <w:r w:rsidRPr="00151400">
              <w:rPr>
                <w:color w:val="000000"/>
                <w:vertAlign w:val="superscript"/>
              </w:rPr>
              <w:t>b</w:t>
            </w:r>
          </w:p>
        </w:tc>
        <w:tc>
          <w:tcPr>
            <w:tcW w:w="949" w:type="dxa"/>
            <w:tcBorders>
              <w:top w:val="single" w:sz="6" w:space="0" w:color="008000"/>
              <w:bottom w:val="nil"/>
            </w:tcBorders>
            <w:vAlign w:val="center"/>
          </w:tcPr>
          <w:p w14:paraId="2744DF11" w14:textId="77777777" w:rsidR="00761A8C" w:rsidRPr="00880599" w:rsidRDefault="00761A8C" w:rsidP="00A55333">
            <w:pPr>
              <w:pStyle w:val="CETBodytext"/>
              <w:rPr>
                <w:sz w:val="16"/>
                <w:szCs w:val="16"/>
                <w:lang w:val="en-GB"/>
              </w:rPr>
            </w:pPr>
            <w:r w:rsidRPr="00880599">
              <w:rPr>
                <w:sz w:val="16"/>
                <w:szCs w:val="16"/>
                <w:lang w:val="en-GB"/>
              </w:rPr>
              <w:t>57.1±0.0</w:t>
            </w:r>
            <w:r>
              <w:rPr>
                <w:color w:val="000000"/>
                <w:vertAlign w:val="superscript"/>
              </w:rPr>
              <w:t>a</w:t>
            </w:r>
          </w:p>
        </w:tc>
        <w:tc>
          <w:tcPr>
            <w:tcW w:w="949" w:type="dxa"/>
            <w:tcBorders>
              <w:top w:val="single" w:sz="6" w:space="0" w:color="008000"/>
              <w:bottom w:val="nil"/>
            </w:tcBorders>
            <w:vAlign w:val="center"/>
          </w:tcPr>
          <w:p w14:paraId="182E659C" w14:textId="77777777" w:rsidR="00761A8C" w:rsidRPr="00880599" w:rsidRDefault="00761A8C" w:rsidP="00A55333">
            <w:pPr>
              <w:pStyle w:val="CETBodytext"/>
              <w:rPr>
                <w:sz w:val="16"/>
                <w:szCs w:val="16"/>
                <w:lang w:val="en-GB"/>
              </w:rPr>
            </w:pPr>
            <w:r w:rsidRPr="00880599">
              <w:rPr>
                <w:sz w:val="16"/>
                <w:szCs w:val="16"/>
                <w:lang w:val="en-GB"/>
              </w:rPr>
              <w:t>25.9±0.0</w:t>
            </w:r>
            <w:r w:rsidRPr="00151400">
              <w:rPr>
                <w:color w:val="000000"/>
                <w:vertAlign w:val="superscript"/>
              </w:rPr>
              <w:t>b</w:t>
            </w:r>
          </w:p>
        </w:tc>
        <w:tc>
          <w:tcPr>
            <w:tcW w:w="927" w:type="dxa"/>
            <w:tcBorders>
              <w:top w:val="single" w:sz="6" w:space="0" w:color="008000"/>
              <w:bottom w:val="nil"/>
            </w:tcBorders>
            <w:vAlign w:val="center"/>
          </w:tcPr>
          <w:p w14:paraId="46FCC602" w14:textId="77777777" w:rsidR="00761A8C" w:rsidRPr="00880599" w:rsidRDefault="00761A8C" w:rsidP="00A55333">
            <w:pPr>
              <w:pStyle w:val="CETBodytext"/>
              <w:rPr>
                <w:sz w:val="16"/>
                <w:szCs w:val="16"/>
                <w:lang w:val="en-GB"/>
              </w:rPr>
            </w:pPr>
            <w:r w:rsidRPr="00880599">
              <w:rPr>
                <w:sz w:val="16"/>
                <w:szCs w:val="16"/>
                <w:lang w:val="en-GB"/>
              </w:rPr>
              <w:t>6.6±0.4</w:t>
            </w:r>
            <w:r w:rsidRPr="00151400">
              <w:rPr>
                <w:color w:val="000000"/>
                <w:vertAlign w:val="superscript"/>
              </w:rPr>
              <w:t>b</w:t>
            </w:r>
          </w:p>
        </w:tc>
      </w:tr>
      <w:tr w:rsidR="00761A8C" w14:paraId="55D491C0" w14:textId="77777777" w:rsidTr="00A55333">
        <w:trPr>
          <w:trHeight w:val="340"/>
        </w:trPr>
        <w:tc>
          <w:tcPr>
            <w:tcW w:w="1061" w:type="dxa"/>
            <w:tcBorders>
              <w:bottom w:val="single" w:sz="12" w:space="0" w:color="008000"/>
            </w:tcBorders>
          </w:tcPr>
          <w:p w14:paraId="795C2769" w14:textId="77777777" w:rsidR="00761A8C" w:rsidRPr="00880599" w:rsidRDefault="00761A8C" w:rsidP="00A55333">
            <w:pPr>
              <w:pStyle w:val="CETBodytext"/>
              <w:jc w:val="center"/>
              <w:rPr>
                <w:sz w:val="16"/>
                <w:szCs w:val="16"/>
                <w:lang w:val="en-GB"/>
              </w:rPr>
            </w:pPr>
            <w:proofErr w:type="spellStart"/>
            <w:r w:rsidRPr="00880599">
              <w:rPr>
                <w:sz w:val="16"/>
                <w:szCs w:val="16"/>
                <w:lang w:val="en-GB"/>
              </w:rPr>
              <w:t>Hydrolyzed</w:t>
            </w:r>
            <w:proofErr w:type="spellEnd"/>
            <w:r w:rsidRPr="00880599">
              <w:rPr>
                <w:sz w:val="16"/>
                <w:szCs w:val="16"/>
                <w:lang w:val="en-GB"/>
              </w:rPr>
              <w:t xml:space="preserve"> HSCF</w:t>
            </w:r>
          </w:p>
        </w:tc>
        <w:tc>
          <w:tcPr>
            <w:tcW w:w="994" w:type="dxa"/>
            <w:tcBorders>
              <w:bottom w:val="single" w:sz="12" w:space="0" w:color="008000"/>
            </w:tcBorders>
            <w:vAlign w:val="center"/>
          </w:tcPr>
          <w:p w14:paraId="5F60EFBD" w14:textId="77777777" w:rsidR="00761A8C" w:rsidRPr="00880599" w:rsidRDefault="00761A8C" w:rsidP="00A55333">
            <w:pPr>
              <w:pStyle w:val="CETBodytext"/>
              <w:rPr>
                <w:sz w:val="16"/>
                <w:szCs w:val="16"/>
                <w:lang w:val="en-GB"/>
              </w:rPr>
            </w:pPr>
            <w:r w:rsidRPr="00880599">
              <w:rPr>
                <w:sz w:val="16"/>
                <w:szCs w:val="16"/>
                <w:lang w:val="en-GB"/>
              </w:rPr>
              <w:t>211.7±0.9</w:t>
            </w:r>
            <w:r>
              <w:rPr>
                <w:color w:val="000000"/>
                <w:vertAlign w:val="superscript"/>
              </w:rPr>
              <w:t>a</w:t>
            </w:r>
          </w:p>
        </w:tc>
        <w:tc>
          <w:tcPr>
            <w:tcW w:w="994" w:type="dxa"/>
            <w:tcBorders>
              <w:bottom w:val="single" w:sz="12" w:space="0" w:color="008000"/>
            </w:tcBorders>
            <w:vAlign w:val="center"/>
          </w:tcPr>
          <w:p w14:paraId="24DA0499" w14:textId="77777777" w:rsidR="00761A8C" w:rsidRPr="00880599" w:rsidRDefault="00761A8C" w:rsidP="00A55333">
            <w:pPr>
              <w:pStyle w:val="CETBodytext"/>
              <w:rPr>
                <w:sz w:val="16"/>
                <w:szCs w:val="16"/>
                <w:lang w:val="en-GB"/>
              </w:rPr>
            </w:pPr>
            <w:r w:rsidRPr="00880599">
              <w:rPr>
                <w:sz w:val="16"/>
                <w:szCs w:val="16"/>
                <w:lang w:val="en-GB"/>
              </w:rPr>
              <w:t>257.0±0.0</w:t>
            </w:r>
            <w:r>
              <w:rPr>
                <w:color w:val="000000"/>
                <w:vertAlign w:val="superscript"/>
              </w:rPr>
              <w:t>a</w:t>
            </w:r>
          </w:p>
        </w:tc>
        <w:tc>
          <w:tcPr>
            <w:tcW w:w="994" w:type="dxa"/>
            <w:tcBorders>
              <w:bottom w:val="single" w:sz="12" w:space="0" w:color="008000"/>
            </w:tcBorders>
            <w:vAlign w:val="center"/>
          </w:tcPr>
          <w:p w14:paraId="5AEF1A60" w14:textId="77777777" w:rsidR="00761A8C" w:rsidRPr="00880599" w:rsidRDefault="00761A8C" w:rsidP="00A55333">
            <w:pPr>
              <w:pStyle w:val="CETBodytext"/>
              <w:rPr>
                <w:sz w:val="16"/>
                <w:szCs w:val="16"/>
                <w:lang w:val="en-GB"/>
              </w:rPr>
            </w:pPr>
            <w:r w:rsidRPr="00880599">
              <w:rPr>
                <w:sz w:val="16"/>
                <w:szCs w:val="16"/>
                <w:lang w:val="en-GB"/>
              </w:rPr>
              <w:t>234.4±1.2</w:t>
            </w:r>
            <w:r>
              <w:rPr>
                <w:color w:val="000000"/>
                <w:vertAlign w:val="superscript"/>
              </w:rPr>
              <w:t>a</w:t>
            </w:r>
          </w:p>
        </w:tc>
        <w:tc>
          <w:tcPr>
            <w:tcW w:w="994" w:type="dxa"/>
            <w:tcBorders>
              <w:bottom w:val="single" w:sz="12" w:space="0" w:color="008000"/>
            </w:tcBorders>
            <w:vAlign w:val="center"/>
          </w:tcPr>
          <w:p w14:paraId="21D3C8F1" w14:textId="77777777" w:rsidR="00761A8C" w:rsidRPr="00880599" w:rsidRDefault="00761A8C" w:rsidP="00A55333">
            <w:pPr>
              <w:pStyle w:val="CETBodytext"/>
              <w:rPr>
                <w:sz w:val="16"/>
                <w:szCs w:val="16"/>
                <w:lang w:val="en-GB"/>
              </w:rPr>
            </w:pPr>
            <w:r w:rsidRPr="00880599">
              <w:rPr>
                <w:sz w:val="16"/>
                <w:szCs w:val="16"/>
                <w:lang w:val="en-GB"/>
              </w:rPr>
              <w:t>292.2±6.6</w:t>
            </w:r>
            <w:r>
              <w:rPr>
                <w:color w:val="000000"/>
                <w:vertAlign w:val="superscript"/>
              </w:rPr>
              <w:t>a</w:t>
            </w:r>
          </w:p>
        </w:tc>
        <w:tc>
          <w:tcPr>
            <w:tcW w:w="927" w:type="dxa"/>
            <w:tcBorders>
              <w:bottom w:val="single" w:sz="12" w:space="0" w:color="008000"/>
            </w:tcBorders>
            <w:vAlign w:val="center"/>
          </w:tcPr>
          <w:p w14:paraId="54D086E3" w14:textId="77777777" w:rsidR="00761A8C" w:rsidRPr="00880599" w:rsidRDefault="00761A8C" w:rsidP="00A55333">
            <w:pPr>
              <w:pStyle w:val="CETBodytext"/>
              <w:rPr>
                <w:sz w:val="16"/>
                <w:szCs w:val="16"/>
                <w:lang w:val="en-GB"/>
              </w:rPr>
            </w:pPr>
            <w:r w:rsidRPr="00880599">
              <w:rPr>
                <w:sz w:val="16"/>
                <w:szCs w:val="16"/>
                <w:lang w:val="en-GB"/>
              </w:rPr>
              <w:t>2.</w:t>
            </w:r>
            <w:r>
              <w:rPr>
                <w:sz w:val="16"/>
                <w:szCs w:val="16"/>
                <w:lang w:val="en-GB"/>
              </w:rPr>
              <w:t>2</w:t>
            </w:r>
            <w:r w:rsidRPr="00880599">
              <w:rPr>
                <w:sz w:val="16"/>
                <w:szCs w:val="16"/>
                <w:lang w:val="en-GB"/>
              </w:rPr>
              <w:t>±0.1</w:t>
            </w:r>
            <w:r>
              <w:rPr>
                <w:color w:val="000000"/>
                <w:vertAlign w:val="superscript"/>
              </w:rPr>
              <w:t>a</w:t>
            </w:r>
          </w:p>
        </w:tc>
        <w:tc>
          <w:tcPr>
            <w:tcW w:w="949" w:type="dxa"/>
            <w:tcBorders>
              <w:bottom w:val="single" w:sz="12" w:space="0" w:color="008000"/>
            </w:tcBorders>
            <w:vAlign w:val="center"/>
          </w:tcPr>
          <w:p w14:paraId="5ED39B4A" w14:textId="77777777" w:rsidR="00761A8C" w:rsidRPr="00880599" w:rsidRDefault="00761A8C" w:rsidP="00A55333">
            <w:pPr>
              <w:pStyle w:val="CETBodytext"/>
              <w:rPr>
                <w:sz w:val="16"/>
                <w:szCs w:val="16"/>
                <w:lang w:val="en-GB"/>
              </w:rPr>
            </w:pPr>
            <w:r w:rsidRPr="00880599">
              <w:rPr>
                <w:sz w:val="16"/>
                <w:szCs w:val="16"/>
                <w:lang w:val="en-GB"/>
              </w:rPr>
              <w:t>42.5±0.1</w:t>
            </w:r>
            <w:r>
              <w:rPr>
                <w:color w:val="000000"/>
                <w:vertAlign w:val="superscript"/>
              </w:rPr>
              <w:t>b</w:t>
            </w:r>
          </w:p>
        </w:tc>
        <w:tc>
          <w:tcPr>
            <w:tcW w:w="949" w:type="dxa"/>
            <w:tcBorders>
              <w:bottom w:val="single" w:sz="12" w:space="0" w:color="008000"/>
            </w:tcBorders>
            <w:vAlign w:val="center"/>
          </w:tcPr>
          <w:p w14:paraId="76F94424" w14:textId="77777777" w:rsidR="00761A8C" w:rsidRPr="00880599" w:rsidRDefault="00761A8C" w:rsidP="00A55333">
            <w:pPr>
              <w:pStyle w:val="CETBodytext"/>
              <w:rPr>
                <w:sz w:val="16"/>
                <w:szCs w:val="16"/>
                <w:lang w:val="en-GB"/>
              </w:rPr>
            </w:pPr>
            <w:r w:rsidRPr="00880599">
              <w:rPr>
                <w:sz w:val="16"/>
                <w:szCs w:val="16"/>
                <w:lang w:val="en-GB"/>
              </w:rPr>
              <w:t>35.0±0.</w:t>
            </w:r>
            <w:r>
              <w:rPr>
                <w:sz w:val="16"/>
                <w:szCs w:val="16"/>
                <w:lang w:val="en-GB"/>
              </w:rPr>
              <w:t>1</w:t>
            </w:r>
            <w:r>
              <w:rPr>
                <w:color w:val="000000"/>
                <w:vertAlign w:val="superscript"/>
              </w:rPr>
              <w:t>a</w:t>
            </w:r>
          </w:p>
        </w:tc>
        <w:tc>
          <w:tcPr>
            <w:tcW w:w="927" w:type="dxa"/>
            <w:tcBorders>
              <w:bottom w:val="single" w:sz="12" w:space="0" w:color="008000"/>
            </w:tcBorders>
            <w:vAlign w:val="center"/>
          </w:tcPr>
          <w:p w14:paraId="53B8063F" w14:textId="77777777" w:rsidR="00761A8C" w:rsidRPr="00880599" w:rsidRDefault="00761A8C" w:rsidP="00A55333">
            <w:pPr>
              <w:pStyle w:val="CETBodytext"/>
              <w:rPr>
                <w:sz w:val="16"/>
                <w:szCs w:val="16"/>
                <w:lang w:val="en-GB"/>
              </w:rPr>
            </w:pPr>
            <w:r w:rsidRPr="00880599">
              <w:rPr>
                <w:sz w:val="16"/>
                <w:szCs w:val="16"/>
                <w:lang w:val="en-GB"/>
              </w:rPr>
              <w:t>8.1±0.4</w:t>
            </w:r>
            <w:r>
              <w:rPr>
                <w:color w:val="000000"/>
                <w:vertAlign w:val="superscript"/>
              </w:rPr>
              <w:t>a</w:t>
            </w:r>
          </w:p>
        </w:tc>
      </w:tr>
    </w:tbl>
    <w:p w14:paraId="298D86C8" w14:textId="3D5C8015" w:rsidR="00E15446" w:rsidRPr="00C20A9C" w:rsidRDefault="00213B81" w:rsidP="00C20A9C">
      <w:pPr>
        <w:rPr>
          <w:rFonts w:cs="Arial"/>
          <w:sz w:val="15"/>
          <w:szCs w:val="15"/>
        </w:rPr>
      </w:pPr>
      <w:r w:rsidRPr="007E2D30">
        <w:rPr>
          <w:rFonts w:cs="Arial"/>
          <w:sz w:val="15"/>
          <w:szCs w:val="15"/>
        </w:rPr>
        <w:t xml:space="preserve">WHC: Water Holding Capacity; OAC: Oil Absorption Capacity; SI: Swelling Index; WAI: Water Absorption Index; WSI: Water Solubility Index; EC: Emulsion Capacity, ES: Emulsion Stability; FC: Foam Capacity; FS: Foam Stability. </w:t>
      </w:r>
      <w:r w:rsidR="00761A8C" w:rsidRPr="007E2D30">
        <w:rPr>
          <w:rFonts w:cs="Arial"/>
          <w:sz w:val="15"/>
          <w:szCs w:val="15"/>
        </w:rPr>
        <w:t>Different letters (a, b) in the same column indicate statistical differences (</w:t>
      </w:r>
      <w:r w:rsidR="00761A8C" w:rsidRPr="007E2D30">
        <w:rPr>
          <w:rFonts w:cs="Arial"/>
          <w:i/>
          <w:sz w:val="15"/>
          <w:szCs w:val="15"/>
        </w:rPr>
        <w:t>p&lt;0.05</w:t>
      </w:r>
      <w:r w:rsidR="00761A8C" w:rsidRPr="007E2D30">
        <w:rPr>
          <w:rFonts w:cs="Arial"/>
          <w:sz w:val="15"/>
          <w:szCs w:val="15"/>
        </w:rPr>
        <w:t>) between samples.</w:t>
      </w:r>
    </w:p>
    <w:p w14:paraId="68D26B83" w14:textId="02FC4532" w:rsidR="00600535" w:rsidRPr="00B57B36" w:rsidRDefault="00600535" w:rsidP="00D72774">
      <w:pPr>
        <w:pStyle w:val="CETHeading1"/>
      </w:pPr>
      <w:r w:rsidRPr="00B57B36">
        <w:t>Conclusions</w:t>
      </w:r>
    </w:p>
    <w:p w14:paraId="2521D412" w14:textId="77F54C5F" w:rsidR="003F0674" w:rsidRPr="0046226D" w:rsidRDefault="003F0674" w:rsidP="003F0674">
      <w:pPr>
        <w:pStyle w:val="CETBodytext"/>
        <w:rPr>
          <w:color w:val="000000" w:themeColor="text1"/>
          <w:lang w:val="en-GB"/>
        </w:rPr>
      </w:pPr>
      <w:r w:rsidRPr="0046226D">
        <w:rPr>
          <w:color w:val="000000" w:themeColor="text1"/>
          <w:lang w:val="en-GB"/>
        </w:rPr>
        <w:t>This study demonstrated the positive impact of enzymatic hydrolysis on the key technological properties of hemp seed cake flour. Through the hydrolysis of the polysaccharide matrix, hemp flour exhibited higher polyphenol content and improved oil adsorption capacity, water-holding capacity, and swelling properties. These improvements are likely due to the increased exposure of hydrophilic and hydrophobic groups in hemp proteins.</w:t>
      </w:r>
    </w:p>
    <w:p w14:paraId="5416F619" w14:textId="1787F9A4" w:rsidR="003F0674" w:rsidRPr="0046226D" w:rsidRDefault="003F0674" w:rsidP="003F0674">
      <w:pPr>
        <w:pStyle w:val="CETBodytext"/>
        <w:rPr>
          <w:color w:val="000000" w:themeColor="text1"/>
          <w:lang w:val="en-GB"/>
        </w:rPr>
      </w:pPr>
      <w:r w:rsidRPr="0046226D">
        <w:rPr>
          <w:color w:val="000000" w:themeColor="text1"/>
          <w:lang w:val="en-GB"/>
        </w:rPr>
        <w:t xml:space="preserve">Changes in particle size distribution and bulk density were also observed, indicating structural modifications that may influence processing and the final characteristics of the product. Furthermore, enzymatic hydrolysis </w:t>
      </w:r>
      <w:r w:rsidRPr="0046226D">
        <w:rPr>
          <w:color w:val="000000" w:themeColor="text1"/>
          <w:lang w:val="en-GB"/>
        </w:rPr>
        <w:lastRenderedPageBreak/>
        <w:t>enhanced foam capacity and emulsion stability.</w:t>
      </w:r>
      <w:r w:rsidR="007B5074">
        <w:rPr>
          <w:color w:val="000000" w:themeColor="text1"/>
          <w:lang w:val="en-GB"/>
        </w:rPr>
        <w:t xml:space="preserve"> </w:t>
      </w:r>
      <w:r w:rsidR="007B5074" w:rsidRPr="007B5074">
        <w:rPr>
          <w:color w:val="FF0000"/>
          <w:lang w:val="en-GB"/>
        </w:rPr>
        <w:t>In addition to the improvement of technological properties, it is important to underline that the hydrolysis of proteins offers significant nutritional advantages, as it promotes the release of peptides and amino acids, which contribute to improving the digestibility of the flour.</w:t>
      </w:r>
      <w:r w:rsidR="006955CA">
        <w:rPr>
          <w:color w:val="000000" w:themeColor="text1"/>
          <w:lang w:val="en-GB"/>
        </w:rPr>
        <w:t xml:space="preserve"> </w:t>
      </w:r>
      <w:r w:rsidRPr="0046226D">
        <w:rPr>
          <w:color w:val="000000" w:themeColor="text1"/>
          <w:lang w:val="en-GB"/>
        </w:rPr>
        <w:t>In conclusion, enzymatic hydrolysis represents a promising approach for enhancing the technological properties of hemp seed cake flour, increasing its potential as a sustainable and valuable ingredient for food applications.</w:t>
      </w:r>
    </w:p>
    <w:p w14:paraId="4F1327F8" w14:textId="3AF5218B" w:rsidR="00600535" w:rsidRDefault="00600535" w:rsidP="00EA3F6B">
      <w:pPr>
        <w:pStyle w:val="CETReference"/>
        <w:spacing w:after="0"/>
        <w:jc w:val="both"/>
      </w:pPr>
      <w:r w:rsidRPr="00B57B36">
        <w:t>References</w:t>
      </w:r>
    </w:p>
    <w:p w14:paraId="42FC2292" w14:textId="0B87B45E" w:rsidR="00A23C5C" w:rsidRDefault="00A23C5C" w:rsidP="00EA3F6B">
      <w:pPr>
        <w:pStyle w:val="CETReference"/>
        <w:spacing w:before="0" w:after="0"/>
        <w:jc w:val="both"/>
        <w:rPr>
          <w:b w:val="0"/>
        </w:rPr>
      </w:pPr>
      <w:r>
        <w:rPr>
          <w:b w:val="0"/>
        </w:rPr>
        <w:t>Ahmed J., Thomas L., Arfat Y.A., 2019, Functional, rheological, microstructural and antioxidant properties of quinoa flour in dispersions as influenced by particle size. Food Research International, 116, 302-311.</w:t>
      </w:r>
    </w:p>
    <w:p w14:paraId="341B0D02" w14:textId="1BC08006" w:rsidR="0069350B" w:rsidRPr="0069350B" w:rsidRDefault="0069350B" w:rsidP="00C05D18">
      <w:pPr>
        <w:pStyle w:val="CETReference"/>
        <w:spacing w:before="0" w:after="0"/>
        <w:jc w:val="both"/>
        <w:rPr>
          <w:b w:val="0"/>
        </w:rPr>
      </w:pPr>
      <w:r w:rsidRPr="0069350B">
        <w:rPr>
          <w:b w:val="0"/>
        </w:rPr>
        <w:t xml:space="preserve">Bárta J., Bártová V., Jarošová M., </w:t>
      </w:r>
      <w:proofErr w:type="spellStart"/>
      <w:r w:rsidRPr="0069350B">
        <w:rPr>
          <w:b w:val="0"/>
        </w:rPr>
        <w:t>Švajner</w:t>
      </w:r>
      <w:proofErr w:type="spellEnd"/>
      <w:r w:rsidRPr="0069350B">
        <w:rPr>
          <w:b w:val="0"/>
        </w:rPr>
        <w:t xml:space="preserve"> J., Smetana P., Kadlec J., Filip V., Kyselka J., </w:t>
      </w:r>
      <w:proofErr w:type="spellStart"/>
      <w:r w:rsidRPr="0069350B">
        <w:rPr>
          <w:b w:val="0"/>
        </w:rPr>
        <w:t>Bercíková</w:t>
      </w:r>
      <w:proofErr w:type="spellEnd"/>
      <w:r w:rsidRPr="0069350B">
        <w:rPr>
          <w:b w:val="0"/>
        </w:rPr>
        <w:t xml:space="preserve"> M., </w:t>
      </w:r>
      <w:proofErr w:type="spellStart"/>
      <w:r w:rsidRPr="0069350B">
        <w:rPr>
          <w:b w:val="0"/>
        </w:rPr>
        <w:t>Zdráhal</w:t>
      </w:r>
      <w:proofErr w:type="spellEnd"/>
      <w:r w:rsidRPr="0069350B">
        <w:rPr>
          <w:b w:val="0"/>
        </w:rPr>
        <w:t xml:space="preserve"> Z., et al., 2021, Oilseed Cake Flour Composition, Functional Properties and Antioxidant Potential as Effects of Sieving and Species Differences. Foods, 10, 2766.</w:t>
      </w:r>
    </w:p>
    <w:p w14:paraId="0CCEE590" w14:textId="3F0AB6D7" w:rsidR="0069350B" w:rsidRPr="0069350B" w:rsidRDefault="0069350B" w:rsidP="00C05D18">
      <w:pPr>
        <w:pStyle w:val="CETReference"/>
        <w:spacing w:before="0" w:after="0"/>
        <w:jc w:val="both"/>
        <w:rPr>
          <w:b w:val="0"/>
          <w:bCs/>
        </w:rPr>
      </w:pPr>
      <w:proofErr w:type="spellStart"/>
      <w:r w:rsidRPr="0069350B">
        <w:rPr>
          <w:b w:val="0"/>
          <w:bCs/>
        </w:rPr>
        <w:t>Bashash</w:t>
      </w:r>
      <w:proofErr w:type="spellEnd"/>
      <w:r w:rsidRPr="0069350B">
        <w:rPr>
          <w:b w:val="0"/>
          <w:bCs/>
        </w:rPr>
        <w:t xml:space="preserve"> M.</w:t>
      </w:r>
      <w:r w:rsidR="000E0598" w:rsidRPr="000E0598">
        <w:rPr>
          <w:b w:val="0"/>
          <w:bCs/>
        </w:rPr>
        <w:t>,</w:t>
      </w:r>
      <w:r w:rsidRPr="0069350B">
        <w:rPr>
          <w:b w:val="0"/>
          <w:bCs/>
        </w:rPr>
        <w:t xml:space="preserve"> Wang-Pruski G.</w:t>
      </w:r>
      <w:r w:rsidR="000E0598" w:rsidRPr="000E0598">
        <w:rPr>
          <w:b w:val="0"/>
          <w:bCs/>
        </w:rPr>
        <w:t>,</w:t>
      </w:r>
      <w:r w:rsidRPr="0069350B">
        <w:rPr>
          <w:b w:val="0"/>
          <w:bCs/>
        </w:rPr>
        <w:t xml:space="preserve"> He Q.S.</w:t>
      </w:r>
      <w:r w:rsidR="000E0598" w:rsidRPr="000E0598">
        <w:rPr>
          <w:b w:val="0"/>
          <w:bCs/>
        </w:rPr>
        <w:t>,</w:t>
      </w:r>
      <w:r w:rsidRPr="0069350B">
        <w:rPr>
          <w:b w:val="0"/>
          <w:bCs/>
        </w:rPr>
        <w:t xml:space="preserve"> Sun X.</w:t>
      </w:r>
      <w:r w:rsidR="000E0598" w:rsidRPr="000E0598">
        <w:rPr>
          <w:b w:val="0"/>
          <w:bCs/>
        </w:rPr>
        <w:t xml:space="preserve">, </w:t>
      </w:r>
      <w:r w:rsidRPr="0069350B">
        <w:rPr>
          <w:b w:val="0"/>
          <w:bCs/>
        </w:rPr>
        <w:t>2024</w:t>
      </w:r>
      <w:r w:rsidR="000E0598" w:rsidRPr="000E0598">
        <w:rPr>
          <w:b w:val="0"/>
          <w:bCs/>
        </w:rPr>
        <w:t>,</w:t>
      </w:r>
      <w:r w:rsidRPr="0069350B">
        <w:rPr>
          <w:b w:val="0"/>
          <w:bCs/>
        </w:rPr>
        <w:t xml:space="preserve"> The emulsifying capacity and stability of potato proteins and peptides: A comprehensive review. Comprehensive reviews in Food Science and Food Safety, </w:t>
      </w:r>
      <w:proofErr w:type="gramStart"/>
      <w:r w:rsidRPr="0069350B">
        <w:rPr>
          <w:b w:val="0"/>
          <w:bCs/>
        </w:rPr>
        <w:t>23:e</w:t>
      </w:r>
      <w:proofErr w:type="gramEnd"/>
      <w:r w:rsidRPr="0069350B">
        <w:rPr>
          <w:b w:val="0"/>
          <w:bCs/>
        </w:rPr>
        <w:t>70007.</w:t>
      </w:r>
    </w:p>
    <w:p w14:paraId="772CF3D3" w14:textId="77777777" w:rsidR="00F123E5" w:rsidRPr="00213B81" w:rsidRDefault="00F123E5" w:rsidP="00C05D18">
      <w:pPr>
        <w:rPr>
          <w:szCs w:val="18"/>
        </w:rPr>
      </w:pPr>
      <w:proofErr w:type="spellStart"/>
      <w:r w:rsidRPr="007E2D30">
        <w:rPr>
          <w:rFonts w:cs="Arial"/>
          <w:color w:val="222222"/>
          <w:szCs w:val="18"/>
          <w:shd w:val="clear" w:color="auto" w:fill="FFFFFF"/>
        </w:rPr>
        <w:t>Bhetwal</w:t>
      </w:r>
      <w:proofErr w:type="spellEnd"/>
      <w:r w:rsidRPr="007E2D30">
        <w:rPr>
          <w:rFonts w:cs="Arial"/>
          <w:color w:val="222222"/>
          <w:szCs w:val="18"/>
          <w:shd w:val="clear" w:color="auto" w:fill="FFFFFF"/>
        </w:rPr>
        <w:t xml:space="preserve"> P., Umar M., Anal A.K., 2024, Enhanced functional characteristics and digestibility of blends of hemp protein hydrolysate and pea protein isolate. </w:t>
      </w:r>
      <w:r w:rsidRPr="007E2D30">
        <w:rPr>
          <w:rFonts w:cs="Arial"/>
          <w:iCs/>
          <w:color w:val="222222"/>
          <w:szCs w:val="18"/>
          <w:shd w:val="clear" w:color="auto" w:fill="FFFFFF"/>
        </w:rPr>
        <w:t>Journal of Food Measurement and Characterization</w:t>
      </w:r>
      <w:r w:rsidRPr="007E2D30">
        <w:rPr>
          <w:rFonts w:cs="Arial"/>
          <w:color w:val="222222"/>
          <w:szCs w:val="18"/>
          <w:shd w:val="clear" w:color="auto" w:fill="FFFFFF"/>
        </w:rPr>
        <w:t xml:space="preserve">, </w:t>
      </w:r>
      <w:r w:rsidRPr="007E2D30">
        <w:rPr>
          <w:rFonts w:cs="Arial"/>
          <w:iCs/>
          <w:color w:val="222222"/>
          <w:szCs w:val="18"/>
          <w:shd w:val="clear" w:color="auto" w:fill="FFFFFF"/>
        </w:rPr>
        <w:t>18</w:t>
      </w:r>
      <w:r w:rsidRPr="007E2D30">
        <w:rPr>
          <w:rFonts w:cs="Arial"/>
          <w:color w:val="222222"/>
          <w:szCs w:val="18"/>
          <w:shd w:val="clear" w:color="auto" w:fill="FFFFFF"/>
        </w:rPr>
        <w:t>(8), 7112-7123.</w:t>
      </w:r>
    </w:p>
    <w:p w14:paraId="7C265406" w14:textId="53D95E6C" w:rsidR="0026222A" w:rsidRDefault="0026222A" w:rsidP="00C05D18">
      <w:pPr>
        <w:pStyle w:val="CETReference"/>
        <w:spacing w:before="0" w:after="0"/>
        <w:jc w:val="both"/>
        <w:rPr>
          <w:b w:val="0"/>
          <w:bCs/>
          <w:lang w:val="en-US"/>
        </w:rPr>
      </w:pPr>
      <w:r>
        <w:rPr>
          <w:b w:val="0"/>
          <w:bCs/>
          <w:lang w:val="en-US"/>
        </w:rPr>
        <w:t>Brand-Williams W., Cuvelier M.E., Berset C., 1995, Use of a free radical method to evaluate antioxidant activity. LWT-Food and Science Technology, 28, 25-20.</w:t>
      </w:r>
    </w:p>
    <w:p w14:paraId="74CCD9E0" w14:textId="04DAB44C" w:rsidR="0026222A" w:rsidRDefault="0026222A" w:rsidP="00C05D18">
      <w:pPr>
        <w:pStyle w:val="CETReference"/>
        <w:spacing w:before="0" w:after="0"/>
        <w:jc w:val="both"/>
        <w:rPr>
          <w:b w:val="0"/>
          <w:bCs/>
          <w:lang w:val="en-US"/>
        </w:rPr>
      </w:pPr>
      <w:proofErr w:type="spellStart"/>
      <w:r w:rsidRPr="0026222A">
        <w:rPr>
          <w:b w:val="0"/>
          <w:bCs/>
          <w:lang w:val="en-US"/>
        </w:rPr>
        <w:t>Caponio</w:t>
      </w:r>
      <w:proofErr w:type="spellEnd"/>
      <w:r w:rsidRPr="0026222A">
        <w:rPr>
          <w:b w:val="0"/>
          <w:bCs/>
          <w:lang w:val="en-US"/>
        </w:rPr>
        <w:t xml:space="preserve"> F., Piga A., Poiana M., 2022, Valorization of Food Processing By-products. </w:t>
      </w:r>
      <w:r>
        <w:rPr>
          <w:b w:val="0"/>
          <w:bCs/>
          <w:lang w:val="en-US"/>
        </w:rPr>
        <w:t>Foods, 11(20), 3246.</w:t>
      </w:r>
    </w:p>
    <w:p w14:paraId="63E3789E" w14:textId="3902F71F" w:rsidR="007B4223" w:rsidRPr="00144D05" w:rsidRDefault="007B4223" w:rsidP="00C05D18">
      <w:pPr>
        <w:rPr>
          <w:rFonts w:eastAsia="Cambria"/>
          <w:noProof/>
        </w:rPr>
      </w:pPr>
      <w:r w:rsidRPr="00C7250E">
        <w:rPr>
          <w:rFonts w:eastAsia="Cambria"/>
          <w:noProof/>
        </w:rPr>
        <w:t>Du S.K., Jiang H., Yu X., Jane J.L.</w:t>
      </w:r>
      <w:r w:rsidR="00580C97">
        <w:rPr>
          <w:rFonts w:eastAsia="Cambria"/>
          <w:noProof/>
        </w:rPr>
        <w:t xml:space="preserve">, </w:t>
      </w:r>
      <w:r w:rsidRPr="00C7250E">
        <w:rPr>
          <w:rFonts w:eastAsia="Cambria"/>
          <w:noProof/>
        </w:rPr>
        <w:t>2014</w:t>
      </w:r>
      <w:r w:rsidR="00580C97">
        <w:rPr>
          <w:rFonts w:eastAsia="Cambria"/>
          <w:noProof/>
        </w:rPr>
        <w:t>,</w:t>
      </w:r>
      <w:r w:rsidRPr="00C7250E">
        <w:rPr>
          <w:rFonts w:eastAsia="Cambria"/>
          <w:noProof/>
        </w:rPr>
        <w:t xml:space="preserve"> Physicochemical and functional properties of whole legume flour.</w:t>
      </w:r>
      <w:r w:rsidR="00580C97">
        <w:rPr>
          <w:rFonts w:eastAsia="Cambria"/>
          <w:noProof/>
        </w:rPr>
        <w:t xml:space="preserve"> </w:t>
      </w:r>
      <w:r w:rsidRPr="00580C97">
        <w:rPr>
          <w:rFonts w:eastAsia="Cambria"/>
          <w:noProof/>
        </w:rPr>
        <w:t>LWT</w:t>
      </w:r>
      <w:r w:rsidRPr="00144D05">
        <w:rPr>
          <w:rFonts w:eastAsia="Cambria"/>
          <w:noProof/>
        </w:rPr>
        <w:t>,</w:t>
      </w:r>
      <w:r w:rsidR="00580C97">
        <w:rPr>
          <w:rFonts w:eastAsia="Cambria"/>
          <w:noProof/>
        </w:rPr>
        <w:t xml:space="preserve"> </w:t>
      </w:r>
      <w:r w:rsidRPr="00144D05">
        <w:rPr>
          <w:rFonts w:eastAsia="Cambria"/>
          <w:i/>
          <w:iCs/>
          <w:noProof/>
        </w:rPr>
        <w:t>55</w:t>
      </w:r>
      <w:r w:rsidRPr="00144D05">
        <w:rPr>
          <w:rFonts w:eastAsia="Cambria"/>
          <w:noProof/>
        </w:rPr>
        <w:t>(1), 308-313.</w:t>
      </w:r>
    </w:p>
    <w:p w14:paraId="78498500" w14:textId="0EA54175" w:rsidR="0069350B" w:rsidRPr="0069350B" w:rsidRDefault="0069350B" w:rsidP="00C05D18">
      <w:pPr>
        <w:pStyle w:val="CETReference"/>
        <w:spacing w:before="0" w:after="0"/>
        <w:jc w:val="both"/>
        <w:rPr>
          <w:b w:val="0"/>
          <w:bCs/>
        </w:rPr>
      </w:pPr>
      <w:proofErr w:type="spellStart"/>
      <w:r w:rsidRPr="0069350B">
        <w:rPr>
          <w:b w:val="0"/>
          <w:bCs/>
          <w:lang w:val="en-US"/>
        </w:rPr>
        <w:t>Farinon</w:t>
      </w:r>
      <w:proofErr w:type="spellEnd"/>
      <w:r w:rsidRPr="0069350B">
        <w:rPr>
          <w:b w:val="0"/>
          <w:bCs/>
          <w:lang w:val="en-US"/>
        </w:rPr>
        <w:t xml:space="preserve"> B.</w:t>
      </w:r>
      <w:r w:rsidRPr="00F26227">
        <w:rPr>
          <w:b w:val="0"/>
          <w:bCs/>
          <w:lang w:val="en-US"/>
        </w:rPr>
        <w:t>,</w:t>
      </w:r>
      <w:r w:rsidRPr="0069350B">
        <w:rPr>
          <w:b w:val="0"/>
          <w:bCs/>
          <w:lang w:val="en-US"/>
        </w:rPr>
        <w:t xml:space="preserve"> Molinari R.</w:t>
      </w:r>
      <w:r w:rsidRPr="00F26227">
        <w:rPr>
          <w:b w:val="0"/>
          <w:bCs/>
          <w:lang w:val="en-US"/>
        </w:rPr>
        <w:t>,</w:t>
      </w:r>
      <w:r w:rsidRPr="0069350B">
        <w:rPr>
          <w:b w:val="0"/>
          <w:bCs/>
          <w:lang w:val="en-US"/>
        </w:rPr>
        <w:t xml:space="preserve"> Costantini L.</w:t>
      </w:r>
      <w:r w:rsidRPr="00F26227">
        <w:rPr>
          <w:b w:val="0"/>
          <w:bCs/>
          <w:lang w:val="en-US"/>
        </w:rPr>
        <w:t>,</w:t>
      </w:r>
      <w:r w:rsidRPr="0069350B">
        <w:rPr>
          <w:b w:val="0"/>
          <w:bCs/>
          <w:lang w:val="en-US"/>
        </w:rPr>
        <w:t xml:space="preserve"> Merendino N.</w:t>
      </w:r>
      <w:r w:rsidRPr="00F26227">
        <w:rPr>
          <w:b w:val="0"/>
          <w:bCs/>
          <w:lang w:val="en-US"/>
        </w:rPr>
        <w:t xml:space="preserve">, </w:t>
      </w:r>
      <w:r w:rsidRPr="0069350B">
        <w:rPr>
          <w:b w:val="0"/>
          <w:bCs/>
          <w:lang w:val="en-US"/>
        </w:rPr>
        <w:t>2020</w:t>
      </w:r>
      <w:r w:rsidRPr="00F26227">
        <w:rPr>
          <w:b w:val="0"/>
          <w:bCs/>
          <w:lang w:val="en-US"/>
        </w:rPr>
        <w:t>,</w:t>
      </w:r>
      <w:r w:rsidRPr="0069350B">
        <w:rPr>
          <w:b w:val="0"/>
          <w:bCs/>
          <w:lang w:val="en-US"/>
        </w:rPr>
        <w:t xml:space="preserve"> </w:t>
      </w:r>
      <w:r w:rsidRPr="0069350B">
        <w:rPr>
          <w:b w:val="0"/>
          <w:bCs/>
        </w:rPr>
        <w:t>The Seed of Industrial Hemp (Cannabis sativa L.): Nutritional Quality and Potential Functionality for Human Health and Nutrition. Nutrients, 12, 1935.</w:t>
      </w:r>
    </w:p>
    <w:p w14:paraId="05161332" w14:textId="77777777" w:rsidR="00DC678B" w:rsidRDefault="00DC678B" w:rsidP="00C05D18">
      <w:pPr>
        <w:rPr>
          <w:rFonts w:eastAsia="Cambria"/>
          <w:noProof/>
        </w:rPr>
      </w:pPr>
      <w:r w:rsidRPr="00B91A6D">
        <w:rPr>
          <w:rFonts w:eastAsia="Cambria"/>
          <w:noProof/>
        </w:rPr>
        <w:t>Girotto F., Merlino M., Giovanelli G., Condurso C., Piazza L., 2024, Unveiling the potential of micronized dehulled sunflower press</w:t>
      </w:r>
      <w:r w:rsidRPr="00B91A6D">
        <w:rPr>
          <w:rFonts w:ascii="Cambria Math" w:eastAsia="Cambria" w:hAnsi="Cambria Math" w:cs="Cambria Math"/>
          <w:noProof/>
        </w:rPr>
        <w:t>‐</w:t>
      </w:r>
      <w:r w:rsidRPr="00B91A6D">
        <w:rPr>
          <w:rFonts w:eastAsia="Cambria"/>
          <w:noProof/>
        </w:rPr>
        <w:t>cake: a breakthrough in sustainable plant</w:t>
      </w:r>
      <w:r w:rsidRPr="00B91A6D">
        <w:rPr>
          <w:rFonts w:ascii="Cambria Math" w:eastAsia="Cambria" w:hAnsi="Cambria Math" w:cs="Cambria Math"/>
          <w:noProof/>
        </w:rPr>
        <w:t>‐</w:t>
      </w:r>
      <w:r w:rsidRPr="00B91A6D">
        <w:rPr>
          <w:rFonts w:eastAsia="Cambria"/>
          <w:noProof/>
        </w:rPr>
        <w:t>based protein</w:t>
      </w:r>
      <w:r w:rsidRPr="00B91A6D">
        <w:rPr>
          <w:rFonts w:ascii="Cambria Math" w:eastAsia="Cambria" w:hAnsi="Cambria Math" w:cs="Cambria Math"/>
          <w:noProof/>
        </w:rPr>
        <w:t>‐</w:t>
      </w:r>
      <w:r w:rsidRPr="00B91A6D">
        <w:rPr>
          <w:rFonts w:eastAsia="Cambria"/>
          <w:noProof/>
        </w:rPr>
        <w:t>rich sport beverages.</w:t>
      </w:r>
      <w:r w:rsidRPr="00B91A6D">
        <w:rPr>
          <w:rFonts w:eastAsia="Cambria" w:cs="Arial"/>
          <w:noProof/>
        </w:rPr>
        <w:t xml:space="preserve"> </w:t>
      </w:r>
      <w:r w:rsidRPr="00B91A6D">
        <w:rPr>
          <w:rFonts w:eastAsia="Cambria"/>
          <w:noProof/>
        </w:rPr>
        <w:t>International Journal of Food Science &amp; Technology, 59(7), 4784-4796.</w:t>
      </w:r>
    </w:p>
    <w:p w14:paraId="16E25781" w14:textId="12D75101" w:rsidR="00F26227" w:rsidRPr="007E2D30" w:rsidRDefault="0069350B" w:rsidP="00C05D18">
      <w:pPr>
        <w:pStyle w:val="CETReference"/>
        <w:spacing w:before="0" w:after="0"/>
        <w:jc w:val="both"/>
        <w:rPr>
          <w:b w:val="0"/>
          <w:bCs/>
        </w:rPr>
      </w:pPr>
      <w:r w:rsidRPr="0069350B">
        <w:rPr>
          <w:b w:val="0"/>
          <w:bCs/>
        </w:rPr>
        <w:t>Istrate A.M.</w:t>
      </w:r>
      <w:r w:rsidR="00F26227" w:rsidRPr="00F26227">
        <w:rPr>
          <w:b w:val="0"/>
          <w:bCs/>
        </w:rPr>
        <w:t>,</w:t>
      </w:r>
      <w:r w:rsidRPr="0069350B">
        <w:rPr>
          <w:b w:val="0"/>
          <w:bCs/>
        </w:rPr>
        <w:t xml:space="preserve"> Dabija A.</w:t>
      </w:r>
      <w:r w:rsidR="00F26227" w:rsidRPr="00F26227">
        <w:rPr>
          <w:b w:val="0"/>
          <w:bCs/>
        </w:rPr>
        <w:t>,</w:t>
      </w:r>
      <w:r w:rsidRPr="0069350B">
        <w:rPr>
          <w:b w:val="0"/>
          <w:bCs/>
        </w:rPr>
        <w:t xml:space="preserve"> Codina G.G.</w:t>
      </w:r>
      <w:r w:rsidR="00F26227" w:rsidRPr="00F26227">
        <w:rPr>
          <w:b w:val="0"/>
          <w:bCs/>
        </w:rPr>
        <w:t>,</w:t>
      </w:r>
      <w:r w:rsidRPr="0069350B">
        <w:rPr>
          <w:b w:val="0"/>
          <w:bCs/>
        </w:rPr>
        <w:t xml:space="preserve"> Rusu L</w:t>
      </w:r>
      <w:r w:rsidR="00F26227" w:rsidRPr="00F26227">
        <w:rPr>
          <w:b w:val="0"/>
          <w:bCs/>
        </w:rPr>
        <w:t xml:space="preserve">, </w:t>
      </w:r>
      <w:r w:rsidRPr="0069350B">
        <w:rPr>
          <w:b w:val="0"/>
          <w:bCs/>
        </w:rPr>
        <w:t>2021</w:t>
      </w:r>
      <w:r w:rsidR="00F26227" w:rsidRPr="00F26227">
        <w:rPr>
          <w:b w:val="0"/>
          <w:bCs/>
        </w:rPr>
        <w:t>,</w:t>
      </w:r>
      <w:r w:rsidRPr="0069350B">
        <w:rPr>
          <w:b w:val="0"/>
          <w:bCs/>
        </w:rPr>
        <w:t xml:space="preserve"> Influence of hemp flour on dough rheology and bread qu</w:t>
      </w:r>
      <w:r w:rsidRPr="0069350B">
        <w:rPr>
          <w:b w:val="0"/>
          <w:bCs/>
          <w:i/>
          <w:iCs/>
        </w:rPr>
        <w:t>al</w:t>
      </w:r>
      <w:r w:rsidRPr="007E2D30">
        <w:rPr>
          <w:b w:val="0"/>
          <w:bCs/>
          <w:i/>
          <w:iCs/>
        </w:rPr>
        <w:t>ity</w:t>
      </w:r>
      <w:r w:rsidRPr="007E2D30">
        <w:rPr>
          <w:b w:val="0"/>
          <w:bCs/>
        </w:rPr>
        <w:t>. Sci</w:t>
      </w:r>
      <w:r w:rsidR="00F26227" w:rsidRPr="007E2D30">
        <w:rPr>
          <w:b w:val="0"/>
          <w:bCs/>
        </w:rPr>
        <w:t>entific</w:t>
      </w:r>
      <w:r w:rsidRPr="007E2D30">
        <w:rPr>
          <w:b w:val="0"/>
          <w:bCs/>
        </w:rPr>
        <w:t xml:space="preserve"> Study </w:t>
      </w:r>
      <w:r w:rsidR="00F26227" w:rsidRPr="007E2D30">
        <w:rPr>
          <w:b w:val="0"/>
          <w:bCs/>
        </w:rPr>
        <w:t xml:space="preserve">&amp; </w:t>
      </w:r>
      <w:r w:rsidRPr="007E2D30">
        <w:rPr>
          <w:b w:val="0"/>
          <w:bCs/>
        </w:rPr>
        <w:t>Res</w:t>
      </w:r>
      <w:r w:rsidR="00F26227" w:rsidRPr="007E2D30">
        <w:rPr>
          <w:b w:val="0"/>
          <w:bCs/>
        </w:rPr>
        <w:t>earch</w:t>
      </w:r>
      <w:r w:rsidRPr="007E2D30">
        <w:rPr>
          <w:b w:val="0"/>
          <w:bCs/>
        </w:rPr>
        <w:t xml:space="preserve"> Chem</w:t>
      </w:r>
      <w:r w:rsidR="00F26227" w:rsidRPr="007E2D30">
        <w:rPr>
          <w:b w:val="0"/>
          <w:bCs/>
        </w:rPr>
        <w:t>istry</w:t>
      </w:r>
      <w:r w:rsidRPr="007E2D30">
        <w:rPr>
          <w:b w:val="0"/>
          <w:bCs/>
        </w:rPr>
        <w:t xml:space="preserve"> </w:t>
      </w:r>
      <w:r w:rsidR="00F26227" w:rsidRPr="007E2D30">
        <w:rPr>
          <w:b w:val="0"/>
          <w:bCs/>
        </w:rPr>
        <w:t xml:space="preserve">&amp; </w:t>
      </w:r>
      <w:r w:rsidRPr="007E2D30">
        <w:rPr>
          <w:b w:val="0"/>
          <w:bCs/>
        </w:rPr>
        <w:t>Chem</w:t>
      </w:r>
      <w:r w:rsidR="00F26227" w:rsidRPr="007E2D30">
        <w:rPr>
          <w:b w:val="0"/>
          <w:bCs/>
        </w:rPr>
        <w:t>ical</w:t>
      </w:r>
      <w:r w:rsidRPr="007E2D30">
        <w:rPr>
          <w:b w:val="0"/>
          <w:bCs/>
        </w:rPr>
        <w:t xml:space="preserve"> Eng</w:t>
      </w:r>
      <w:r w:rsidR="00F26227" w:rsidRPr="007E2D30">
        <w:rPr>
          <w:b w:val="0"/>
          <w:bCs/>
        </w:rPr>
        <w:t>ineering</w:t>
      </w:r>
      <w:r w:rsidRPr="007E2D30">
        <w:rPr>
          <w:b w:val="0"/>
          <w:bCs/>
        </w:rPr>
        <w:t xml:space="preserve"> Biotechnol</w:t>
      </w:r>
      <w:r w:rsidR="00F26227" w:rsidRPr="007E2D30">
        <w:rPr>
          <w:b w:val="0"/>
          <w:bCs/>
        </w:rPr>
        <w:t>ogy</w:t>
      </w:r>
      <w:r w:rsidRPr="007E2D30">
        <w:rPr>
          <w:b w:val="0"/>
          <w:bCs/>
        </w:rPr>
        <w:t xml:space="preserve"> Food In</w:t>
      </w:r>
      <w:r w:rsidR="00F26227" w:rsidRPr="007E2D30">
        <w:rPr>
          <w:b w:val="0"/>
          <w:bCs/>
        </w:rPr>
        <w:t>dustry</w:t>
      </w:r>
      <w:r w:rsidRPr="007E2D30">
        <w:rPr>
          <w:b w:val="0"/>
          <w:bCs/>
        </w:rPr>
        <w:t xml:space="preserve">, 22, 521-531  </w:t>
      </w:r>
    </w:p>
    <w:p w14:paraId="36125878" w14:textId="674F11D7" w:rsidR="0069350B" w:rsidRPr="0069350B" w:rsidRDefault="0069350B" w:rsidP="00C05D18">
      <w:pPr>
        <w:pStyle w:val="CETReference"/>
        <w:spacing w:before="0" w:after="0"/>
        <w:jc w:val="both"/>
        <w:rPr>
          <w:b w:val="0"/>
          <w:bCs/>
          <w:lang w:val="en-US"/>
        </w:rPr>
      </w:pPr>
      <w:proofErr w:type="spellStart"/>
      <w:r w:rsidRPr="0069350B">
        <w:rPr>
          <w:b w:val="0"/>
          <w:bCs/>
          <w:lang w:val="en-US"/>
        </w:rPr>
        <w:t>Jagelaviciute</w:t>
      </w:r>
      <w:proofErr w:type="spellEnd"/>
      <w:r w:rsidRPr="0069350B">
        <w:rPr>
          <w:b w:val="0"/>
          <w:bCs/>
          <w:lang w:val="en-US"/>
        </w:rPr>
        <w:t xml:space="preserve"> J.</w:t>
      </w:r>
      <w:r w:rsidR="006955D5" w:rsidRPr="006955D5">
        <w:rPr>
          <w:b w:val="0"/>
          <w:bCs/>
          <w:lang w:val="en-US"/>
        </w:rPr>
        <w:t>,</w:t>
      </w:r>
      <w:r w:rsidRPr="0069350B">
        <w:rPr>
          <w:b w:val="0"/>
          <w:bCs/>
          <w:lang w:val="en-US"/>
        </w:rPr>
        <w:t xml:space="preserve"> </w:t>
      </w:r>
      <w:proofErr w:type="spellStart"/>
      <w:r w:rsidRPr="0069350B">
        <w:rPr>
          <w:b w:val="0"/>
          <w:bCs/>
          <w:lang w:val="en-US"/>
        </w:rPr>
        <w:t>Cizeikiene</w:t>
      </w:r>
      <w:proofErr w:type="spellEnd"/>
      <w:r w:rsidRPr="0069350B">
        <w:rPr>
          <w:b w:val="0"/>
          <w:bCs/>
          <w:lang w:val="en-US"/>
        </w:rPr>
        <w:t xml:space="preserve"> D.</w:t>
      </w:r>
      <w:r w:rsidR="006955D5" w:rsidRPr="006955D5">
        <w:rPr>
          <w:b w:val="0"/>
          <w:bCs/>
          <w:lang w:val="en-US"/>
        </w:rPr>
        <w:t xml:space="preserve">, </w:t>
      </w:r>
      <w:r w:rsidRPr="0069350B">
        <w:rPr>
          <w:b w:val="0"/>
          <w:bCs/>
          <w:lang w:val="en-US"/>
        </w:rPr>
        <w:t>2021</w:t>
      </w:r>
      <w:r w:rsidR="006955D5" w:rsidRPr="006955D5">
        <w:rPr>
          <w:b w:val="0"/>
          <w:bCs/>
          <w:lang w:val="en-US"/>
        </w:rPr>
        <w:t>,</w:t>
      </w:r>
      <w:r w:rsidRPr="0069350B">
        <w:rPr>
          <w:b w:val="0"/>
          <w:bCs/>
          <w:lang w:val="en-US"/>
        </w:rPr>
        <w:t xml:space="preserve"> The Influence of Non-Traditional Sourdough Made with Quinoa, Hemp and Chia Flour on the</w:t>
      </w:r>
      <w:r w:rsidR="006955D5" w:rsidRPr="006955D5">
        <w:rPr>
          <w:b w:val="0"/>
          <w:bCs/>
          <w:lang w:val="en-US"/>
        </w:rPr>
        <w:t xml:space="preserve"> </w:t>
      </w:r>
      <w:r w:rsidRPr="0069350B">
        <w:rPr>
          <w:b w:val="0"/>
          <w:bCs/>
          <w:lang w:val="en-US"/>
        </w:rPr>
        <w:t xml:space="preserve">Characteristics of Gluten-Free Maize/Rice Bread. LWT, 137, 110457. </w:t>
      </w:r>
    </w:p>
    <w:p w14:paraId="0B4916C5" w14:textId="77777777" w:rsidR="00A64EE8" w:rsidRDefault="0069350B" w:rsidP="00C05D18">
      <w:pPr>
        <w:pStyle w:val="CETReference"/>
        <w:spacing w:before="0" w:after="0"/>
        <w:jc w:val="both"/>
        <w:rPr>
          <w:b w:val="0"/>
          <w:bCs/>
          <w:lang w:val="en-US"/>
        </w:rPr>
      </w:pPr>
      <w:r w:rsidRPr="0069350B">
        <w:rPr>
          <w:b w:val="0"/>
          <w:bCs/>
          <w:lang w:val="en-US"/>
        </w:rPr>
        <w:t>Korus J.</w:t>
      </w:r>
      <w:r w:rsidR="006955D5" w:rsidRPr="006955D5">
        <w:rPr>
          <w:b w:val="0"/>
          <w:bCs/>
          <w:lang w:val="en-US"/>
        </w:rPr>
        <w:t xml:space="preserve">, </w:t>
      </w:r>
      <w:r w:rsidRPr="0069350B">
        <w:rPr>
          <w:b w:val="0"/>
          <w:bCs/>
          <w:lang w:val="en-US"/>
        </w:rPr>
        <w:t>Witczak M.</w:t>
      </w:r>
      <w:r w:rsidR="006955D5" w:rsidRPr="006955D5">
        <w:rPr>
          <w:b w:val="0"/>
          <w:bCs/>
          <w:lang w:val="en-US"/>
        </w:rPr>
        <w:t>,</w:t>
      </w:r>
      <w:r w:rsidRPr="0069350B">
        <w:rPr>
          <w:b w:val="0"/>
          <w:bCs/>
          <w:lang w:val="en-US"/>
        </w:rPr>
        <w:t xml:space="preserve"> Ziobro R.</w:t>
      </w:r>
      <w:r w:rsidR="006955D5" w:rsidRPr="006955D5">
        <w:rPr>
          <w:b w:val="0"/>
          <w:bCs/>
          <w:lang w:val="en-US"/>
        </w:rPr>
        <w:t>,</w:t>
      </w:r>
      <w:r w:rsidRPr="0069350B">
        <w:rPr>
          <w:b w:val="0"/>
          <w:bCs/>
          <w:lang w:val="en-US"/>
        </w:rPr>
        <w:t xml:space="preserve"> Juszczak L</w:t>
      </w:r>
      <w:r w:rsidR="006955D5" w:rsidRPr="006955D5">
        <w:rPr>
          <w:b w:val="0"/>
          <w:bCs/>
          <w:lang w:val="en-US"/>
        </w:rPr>
        <w:t xml:space="preserve">., </w:t>
      </w:r>
      <w:r w:rsidRPr="0069350B">
        <w:rPr>
          <w:b w:val="0"/>
          <w:bCs/>
          <w:lang w:val="en-US"/>
        </w:rPr>
        <w:t>2017</w:t>
      </w:r>
      <w:r w:rsidR="006955D5" w:rsidRPr="006955D5">
        <w:rPr>
          <w:b w:val="0"/>
          <w:bCs/>
          <w:lang w:val="en-US"/>
        </w:rPr>
        <w:t>,</w:t>
      </w:r>
      <w:r w:rsidRPr="0069350B">
        <w:rPr>
          <w:b w:val="0"/>
          <w:bCs/>
          <w:lang w:val="en-US"/>
        </w:rPr>
        <w:t xml:space="preserve"> Hemp (</w:t>
      </w:r>
      <w:r w:rsidRPr="007E2D30">
        <w:rPr>
          <w:b w:val="0"/>
          <w:bCs/>
          <w:i/>
          <w:iCs/>
          <w:lang w:val="en-US"/>
        </w:rPr>
        <w:t>Cannabis sativa</w:t>
      </w:r>
      <w:r w:rsidRPr="00324DF9">
        <w:rPr>
          <w:b w:val="0"/>
          <w:bCs/>
          <w:lang w:val="en-US"/>
        </w:rPr>
        <w:t xml:space="preserve"> </w:t>
      </w:r>
      <w:r w:rsidRPr="0069350B">
        <w:rPr>
          <w:b w:val="0"/>
          <w:bCs/>
          <w:lang w:val="en-US"/>
        </w:rPr>
        <w:t>Subsp. Sativa) Flour and Protein Preparation as Natural Nutrients and Structure Forming Agents in Starch Based Gluten-Free Bread. LWT, 84, 143–150.</w:t>
      </w:r>
    </w:p>
    <w:p w14:paraId="6455945E" w14:textId="77777777" w:rsidR="00A64EE8" w:rsidRDefault="00A64EE8" w:rsidP="00C05D18">
      <w:pPr>
        <w:pStyle w:val="CETReference"/>
        <w:spacing w:before="0" w:after="0"/>
        <w:jc w:val="both"/>
        <w:rPr>
          <w:b w:val="0"/>
          <w:bCs/>
          <w:lang w:val="en-US"/>
        </w:rPr>
      </w:pPr>
      <w:r w:rsidRPr="00A64EE8">
        <w:rPr>
          <w:b w:val="0"/>
          <w:bCs/>
          <w:lang w:val="en-US"/>
        </w:rPr>
        <w:t>Li X.; Wang L.; Tan B.; Li R., 2024, Effect of structural characteristics on the physicochemical properties and functional activities of dietary fiber: A review of structure-activity relationship. International Journal of Biological Macromolecules, 269, 132214</w:t>
      </w:r>
      <w:r>
        <w:rPr>
          <w:b w:val="0"/>
          <w:bCs/>
          <w:lang w:val="en-US"/>
        </w:rPr>
        <w:t>.</w:t>
      </w:r>
    </w:p>
    <w:p w14:paraId="42A92433" w14:textId="7998572F" w:rsidR="00734322" w:rsidRPr="007E2D30" w:rsidRDefault="00734322" w:rsidP="00C05D18">
      <w:pPr>
        <w:pStyle w:val="CETReference"/>
        <w:spacing w:before="0" w:after="0"/>
        <w:jc w:val="both"/>
        <w:rPr>
          <w:b w:val="0"/>
          <w:bCs/>
          <w:lang w:val="en-US"/>
        </w:rPr>
      </w:pPr>
      <w:r w:rsidRPr="00734322">
        <w:rPr>
          <w:b w:val="0"/>
          <w:bCs/>
          <w:lang w:val="en-US"/>
        </w:rPr>
        <w:t xml:space="preserve">Martinez M.M., </w:t>
      </w:r>
      <w:r w:rsidRPr="007E2D30">
        <w:rPr>
          <w:b w:val="0"/>
          <w:bCs/>
          <w:lang w:val="en-US"/>
        </w:rPr>
        <w:t xml:space="preserve">Pico J., Gomez M., 2015, Physicochemical modification of native and </w:t>
      </w:r>
      <w:r w:rsidR="007516C9" w:rsidRPr="007E2D30">
        <w:rPr>
          <w:b w:val="0"/>
          <w:lang w:val="en-US"/>
        </w:rPr>
        <w:t>extruded</w:t>
      </w:r>
      <w:r w:rsidRPr="007E2D30">
        <w:rPr>
          <w:b w:val="0"/>
          <w:bCs/>
          <w:lang w:val="en-US"/>
        </w:rPr>
        <w:t xml:space="preserve"> wheat flours by enzymatic amylolysis. Food Chemistry, 167, 447 – 453.   </w:t>
      </w:r>
    </w:p>
    <w:p w14:paraId="369EC959" w14:textId="5458263A" w:rsidR="0069350B" w:rsidRPr="007E2D30" w:rsidRDefault="0069350B" w:rsidP="00C05D18">
      <w:pPr>
        <w:pStyle w:val="CETReference"/>
        <w:spacing w:before="0" w:after="0"/>
        <w:jc w:val="both"/>
        <w:rPr>
          <w:b w:val="0"/>
          <w:bCs/>
          <w:lang w:val="en-US"/>
        </w:rPr>
      </w:pPr>
      <w:r w:rsidRPr="007E2D30">
        <w:rPr>
          <w:b w:val="0"/>
          <w:bCs/>
          <w:lang w:val="en-US"/>
        </w:rPr>
        <w:t>Merlino M.</w:t>
      </w:r>
      <w:r w:rsidR="006955D5" w:rsidRPr="007E2D30">
        <w:rPr>
          <w:b w:val="0"/>
          <w:bCs/>
          <w:lang w:val="en-US"/>
        </w:rPr>
        <w:t>,</w:t>
      </w:r>
      <w:r w:rsidRPr="007E2D30">
        <w:rPr>
          <w:b w:val="0"/>
          <w:bCs/>
          <w:lang w:val="en-US"/>
        </w:rPr>
        <w:t xml:space="preserve"> Tripodi G.</w:t>
      </w:r>
      <w:r w:rsidR="006955D5" w:rsidRPr="007E2D30">
        <w:rPr>
          <w:b w:val="0"/>
          <w:bCs/>
          <w:lang w:val="en-US"/>
        </w:rPr>
        <w:t>,</w:t>
      </w:r>
      <w:r w:rsidRPr="007E2D30">
        <w:rPr>
          <w:b w:val="0"/>
          <w:bCs/>
          <w:lang w:val="en-US"/>
        </w:rPr>
        <w:t xml:space="preserve"> Cincotta F.</w:t>
      </w:r>
      <w:r w:rsidR="006955D5" w:rsidRPr="007E2D30">
        <w:rPr>
          <w:b w:val="0"/>
          <w:bCs/>
          <w:lang w:val="en-US"/>
        </w:rPr>
        <w:t>,</w:t>
      </w:r>
      <w:r w:rsidRPr="007E2D30">
        <w:rPr>
          <w:b w:val="0"/>
          <w:bCs/>
          <w:lang w:val="en-US"/>
        </w:rPr>
        <w:t xml:space="preserve"> Prestia O.</w:t>
      </w:r>
      <w:r w:rsidR="006955D5" w:rsidRPr="007E2D30">
        <w:rPr>
          <w:b w:val="0"/>
          <w:bCs/>
          <w:lang w:val="en-US"/>
        </w:rPr>
        <w:t>,</w:t>
      </w:r>
      <w:r w:rsidRPr="007E2D30">
        <w:rPr>
          <w:b w:val="0"/>
          <w:bCs/>
          <w:lang w:val="en-US"/>
        </w:rPr>
        <w:t xml:space="preserve"> Miller A.</w:t>
      </w:r>
      <w:r w:rsidR="006955D5" w:rsidRPr="007E2D30">
        <w:rPr>
          <w:b w:val="0"/>
          <w:bCs/>
          <w:lang w:val="en-US"/>
        </w:rPr>
        <w:t>,</w:t>
      </w:r>
      <w:r w:rsidRPr="007E2D30">
        <w:rPr>
          <w:b w:val="0"/>
          <w:bCs/>
          <w:lang w:val="en-US"/>
        </w:rPr>
        <w:t xml:space="preserve"> Gattuso A.</w:t>
      </w:r>
      <w:r w:rsidR="006955D5" w:rsidRPr="007E2D30">
        <w:rPr>
          <w:b w:val="0"/>
          <w:bCs/>
          <w:lang w:val="en-US"/>
        </w:rPr>
        <w:t>,</w:t>
      </w:r>
      <w:r w:rsidRPr="007E2D30">
        <w:rPr>
          <w:b w:val="0"/>
          <w:bCs/>
          <w:lang w:val="en-US"/>
        </w:rPr>
        <w:t xml:space="preserve"> </w:t>
      </w:r>
      <w:proofErr w:type="spellStart"/>
      <w:r w:rsidRPr="007E2D30">
        <w:rPr>
          <w:b w:val="0"/>
          <w:bCs/>
          <w:lang w:val="en-US"/>
        </w:rPr>
        <w:t>Verzera</w:t>
      </w:r>
      <w:proofErr w:type="spellEnd"/>
      <w:r w:rsidRPr="007E2D30">
        <w:rPr>
          <w:b w:val="0"/>
          <w:bCs/>
          <w:lang w:val="en-US"/>
        </w:rPr>
        <w:t xml:space="preserve"> A.</w:t>
      </w:r>
      <w:r w:rsidR="006955D5" w:rsidRPr="007E2D30">
        <w:rPr>
          <w:b w:val="0"/>
          <w:bCs/>
          <w:lang w:val="en-US"/>
        </w:rPr>
        <w:t>,</w:t>
      </w:r>
      <w:r w:rsidRPr="007E2D30">
        <w:rPr>
          <w:b w:val="0"/>
          <w:bCs/>
          <w:lang w:val="en-US"/>
        </w:rPr>
        <w:t xml:space="preserve"> </w:t>
      </w:r>
      <w:proofErr w:type="spellStart"/>
      <w:r w:rsidRPr="007E2D30">
        <w:rPr>
          <w:b w:val="0"/>
          <w:bCs/>
          <w:lang w:val="en-US"/>
        </w:rPr>
        <w:t>Condurso</w:t>
      </w:r>
      <w:proofErr w:type="spellEnd"/>
      <w:r w:rsidRPr="007E2D30">
        <w:rPr>
          <w:b w:val="0"/>
          <w:bCs/>
          <w:lang w:val="en-US"/>
        </w:rPr>
        <w:t xml:space="preserve"> C.</w:t>
      </w:r>
      <w:r w:rsidR="006955D5" w:rsidRPr="007E2D30">
        <w:rPr>
          <w:b w:val="0"/>
          <w:bCs/>
          <w:lang w:val="en-US"/>
        </w:rPr>
        <w:t xml:space="preserve">, </w:t>
      </w:r>
      <w:r w:rsidRPr="007E2D30">
        <w:rPr>
          <w:b w:val="0"/>
          <w:bCs/>
          <w:lang w:val="en-US"/>
        </w:rPr>
        <w:t>2022</w:t>
      </w:r>
      <w:r w:rsidR="006955D5" w:rsidRPr="007E2D30">
        <w:rPr>
          <w:b w:val="0"/>
          <w:bCs/>
          <w:lang w:val="en-US"/>
        </w:rPr>
        <w:t>,</w:t>
      </w:r>
      <w:r w:rsidRPr="007E2D30">
        <w:rPr>
          <w:b w:val="0"/>
          <w:bCs/>
          <w:lang w:val="en-US"/>
        </w:rPr>
        <w:t xml:space="preserve"> Technological, </w:t>
      </w:r>
      <w:r w:rsidR="0028627B" w:rsidRPr="007E2D30">
        <w:rPr>
          <w:b w:val="0"/>
          <w:bCs/>
          <w:lang w:val="en-US"/>
        </w:rPr>
        <w:t>n</w:t>
      </w:r>
      <w:r w:rsidRPr="007E2D30">
        <w:rPr>
          <w:b w:val="0"/>
          <w:bCs/>
          <w:lang w:val="en-US"/>
        </w:rPr>
        <w:t>utritional,</w:t>
      </w:r>
      <w:r w:rsidR="006955D5" w:rsidRPr="007E2D30">
        <w:rPr>
          <w:b w:val="0"/>
          <w:bCs/>
          <w:lang w:val="en-US"/>
        </w:rPr>
        <w:t xml:space="preserve"> </w:t>
      </w:r>
      <w:r w:rsidRPr="007E2D30">
        <w:rPr>
          <w:b w:val="0"/>
          <w:bCs/>
        </w:rPr>
        <w:t xml:space="preserve">and </w:t>
      </w:r>
      <w:r w:rsidR="0028627B" w:rsidRPr="007E2D30">
        <w:rPr>
          <w:b w:val="0"/>
          <w:bCs/>
        </w:rPr>
        <w:t>s</w:t>
      </w:r>
      <w:r w:rsidRPr="007E2D30">
        <w:rPr>
          <w:b w:val="0"/>
          <w:bCs/>
        </w:rPr>
        <w:t xml:space="preserve">ensory </w:t>
      </w:r>
      <w:r w:rsidR="0028627B" w:rsidRPr="007E2D30">
        <w:rPr>
          <w:b w:val="0"/>
          <w:bCs/>
        </w:rPr>
        <w:t>c</w:t>
      </w:r>
      <w:r w:rsidRPr="007E2D30">
        <w:rPr>
          <w:b w:val="0"/>
          <w:bCs/>
        </w:rPr>
        <w:t xml:space="preserve">haracteristics of Gnocchi </w:t>
      </w:r>
      <w:r w:rsidR="0028627B" w:rsidRPr="007E2D30">
        <w:rPr>
          <w:b w:val="0"/>
          <w:bCs/>
        </w:rPr>
        <w:t>e</w:t>
      </w:r>
      <w:r w:rsidRPr="007E2D30">
        <w:rPr>
          <w:b w:val="0"/>
          <w:bCs/>
        </w:rPr>
        <w:t>nriched with Hemp Seed Flour. Foods, 11(18), 2783</w:t>
      </w:r>
      <w:r w:rsidRPr="007E2D30">
        <w:rPr>
          <w:b w:val="0"/>
          <w:bCs/>
          <w:i/>
          <w:iCs/>
        </w:rPr>
        <w:t>.</w:t>
      </w:r>
    </w:p>
    <w:p w14:paraId="2FB5696E" w14:textId="3D8C60A1" w:rsidR="00A8016A" w:rsidRPr="007E2D30" w:rsidRDefault="00A8016A" w:rsidP="00C05D18">
      <w:pPr>
        <w:pStyle w:val="CETReference"/>
        <w:spacing w:before="0" w:after="0"/>
        <w:jc w:val="both"/>
        <w:rPr>
          <w:b w:val="0"/>
          <w:bCs/>
          <w:lang w:val="en-US"/>
        </w:rPr>
      </w:pPr>
      <w:proofErr w:type="spellStart"/>
      <w:r w:rsidRPr="007E2D30">
        <w:rPr>
          <w:b w:val="0"/>
          <w:bCs/>
          <w:lang w:val="en-US"/>
        </w:rPr>
        <w:t>Pojic</w:t>
      </w:r>
      <w:proofErr w:type="spellEnd"/>
      <w:r w:rsidRPr="007E2D30">
        <w:rPr>
          <w:b w:val="0"/>
          <w:bCs/>
          <w:lang w:val="en-US"/>
        </w:rPr>
        <w:t xml:space="preserve"> M., </w:t>
      </w:r>
      <w:proofErr w:type="spellStart"/>
      <w:r w:rsidRPr="007E2D30">
        <w:rPr>
          <w:b w:val="0"/>
          <w:bCs/>
          <w:lang w:val="en-US"/>
        </w:rPr>
        <w:t>Misan</w:t>
      </w:r>
      <w:proofErr w:type="spellEnd"/>
      <w:r w:rsidRPr="007E2D30">
        <w:rPr>
          <w:b w:val="0"/>
          <w:bCs/>
          <w:lang w:val="en-US"/>
        </w:rPr>
        <w:t xml:space="preserve"> A., </w:t>
      </w:r>
      <w:proofErr w:type="spellStart"/>
      <w:r w:rsidRPr="007E2D30">
        <w:rPr>
          <w:b w:val="0"/>
          <w:bCs/>
          <w:lang w:val="en-US"/>
        </w:rPr>
        <w:t>Sakac</w:t>
      </w:r>
      <w:proofErr w:type="spellEnd"/>
      <w:r w:rsidRPr="007E2D30">
        <w:rPr>
          <w:b w:val="0"/>
          <w:bCs/>
          <w:lang w:val="en-US"/>
        </w:rPr>
        <w:t xml:space="preserve"> M., </w:t>
      </w:r>
      <w:proofErr w:type="spellStart"/>
      <w:r w:rsidRPr="007E2D30">
        <w:rPr>
          <w:b w:val="0"/>
          <w:bCs/>
          <w:lang w:val="en-US"/>
        </w:rPr>
        <w:t>Hadnadev</w:t>
      </w:r>
      <w:proofErr w:type="spellEnd"/>
      <w:r w:rsidRPr="007E2D30">
        <w:rPr>
          <w:b w:val="0"/>
          <w:bCs/>
          <w:lang w:val="en-US"/>
        </w:rPr>
        <w:t xml:space="preserve"> T.D., Saric B., Milovanovic I., </w:t>
      </w:r>
      <w:proofErr w:type="spellStart"/>
      <w:r w:rsidRPr="007E2D30">
        <w:rPr>
          <w:b w:val="0"/>
          <w:bCs/>
          <w:lang w:val="en-US"/>
        </w:rPr>
        <w:t>Hadnadev</w:t>
      </w:r>
      <w:proofErr w:type="spellEnd"/>
      <w:r w:rsidRPr="007E2D30">
        <w:rPr>
          <w:b w:val="0"/>
          <w:bCs/>
          <w:lang w:val="en-US"/>
        </w:rPr>
        <w:t xml:space="preserve"> M., 2014, Characterization of Byproducts </w:t>
      </w:r>
      <w:r w:rsidR="0028627B" w:rsidRPr="007E2D30">
        <w:rPr>
          <w:b w:val="0"/>
          <w:bCs/>
          <w:lang w:val="en-US"/>
        </w:rPr>
        <w:t>o</w:t>
      </w:r>
      <w:r w:rsidRPr="007E2D30">
        <w:rPr>
          <w:b w:val="0"/>
          <w:bCs/>
          <w:lang w:val="en-US"/>
        </w:rPr>
        <w:t xml:space="preserve">riginating from </w:t>
      </w:r>
      <w:r w:rsidR="0028627B" w:rsidRPr="007E2D30">
        <w:rPr>
          <w:b w:val="0"/>
          <w:bCs/>
          <w:lang w:val="en-US"/>
        </w:rPr>
        <w:t>h</w:t>
      </w:r>
      <w:r w:rsidRPr="007E2D30">
        <w:rPr>
          <w:b w:val="0"/>
          <w:bCs/>
          <w:lang w:val="en-US"/>
        </w:rPr>
        <w:t xml:space="preserve">emp </w:t>
      </w:r>
      <w:r w:rsidR="0028627B" w:rsidRPr="007E2D30">
        <w:rPr>
          <w:b w:val="0"/>
          <w:bCs/>
          <w:lang w:val="en-US"/>
        </w:rPr>
        <w:t>o</w:t>
      </w:r>
      <w:r w:rsidRPr="007E2D30">
        <w:rPr>
          <w:b w:val="0"/>
          <w:bCs/>
          <w:lang w:val="en-US"/>
        </w:rPr>
        <w:t xml:space="preserve">il </w:t>
      </w:r>
      <w:r w:rsidR="0028627B" w:rsidRPr="007E2D30">
        <w:rPr>
          <w:b w:val="0"/>
          <w:bCs/>
          <w:lang w:val="en-US"/>
        </w:rPr>
        <w:t>p</w:t>
      </w:r>
      <w:r w:rsidRPr="007E2D30">
        <w:rPr>
          <w:b w:val="0"/>
          <w:bCs/>
          <w:lang w:val="en-US"/>
        </w:rPr>
        <w:t xml:space="preserve">rocessing. </w:t>
      </w:r>
      <w:r w:rsidR="007E2D30" w:rsidRPr="007E2D30">
        <w:rPr>
          <w:b w:val="0"/>
          <w:bCs/>
          <w:lang w:val="en-US"/>
        </w:rPr>
        <w:t xml:space="preserve">Journal of </w:t>
      </w:r>
      <w:r w:rsidRPr="007E2D30">
        <w:rPr>
          <w:b w:val="0"/>
          <w:bCs/>
          <w:lang w:val="en-US"/>
        </w:rPr>
        <w:t>Agricultural and Food Chemistry, 62, 12436 – 12442.</w:t>
      </w:r>
    </w:p>
    <w:p w14:paraId="3189A43E" w14:textId="77777777" w:rsidR="007E2D30" w:rsidRDefault="00102400" w:rsidP="00C05D18">
      <w:pPr>
        <w:pStyle w:val="CETReference"/>
        <w:spacing w:before="0" w:after="0"/>
        <w:jc w:val="both"/>
        <w:rPr>
          <w:b w:val="0"/>
          <w:bCs/>
          <w:lang w:val="en-US"/>
        </w:rPr>
      </w:pPr>
      <w:r w:rsidRPr="007E2D30">
        <w:rPr>
          <w:b w:val="0"/>
          <w:bCs/>
          <w:lang w:val="en-US"/>
        </w:rPr>
        <w:t xml:space="preserve">Pontonio E., Verni M., </w:t>
      </w:r>
      <w:proofErr w:type="spellStart"/>
      <w:r w:rsidRPr="007E2D30">
        <w:rPr>
          <w:b w:val="0"/>
          <w:bCs/>
          <w:lang w:val="en-US"/>
        </w:rPr>
        <w:t>Dingeo</w:t>
      </w:r>
      <w:proofErr w:type="spellEnd"/>
      <w:r w:rsidRPr="007E2D30">
        <w:rPr>
          <w:b w:val="0"/>
          <w:bCs/>
          <w:lang w:val="en-US"/>
        </w:rPr>
        <w:t xml:space="preserve"> C., Diaz-de-Cerio E., Pinto D., </w:t>
      </w:r>
      <w:proofErr w:type="spellStart"/>
      <w:r w:rsidRPr="007E2D30">
        <w:rPr>
          <w:b w:val="0"/>
          <w:bCs/>
          <w:lang w:val="en-US"/>
        </w:rPr>
        <w:t>Rizzello</w:t>
      </w:r>
      <w:proofErr w:type="spellEnd"/>
      <w:r w:rsidRPr="007E2D30">
        <w:rPr>
          <w:b w:val="0"/>
          <w:bCs/>
          <w:lang w:val="en-US"/>
        </w:rPr>
        <w:t xml:space="preserve"> C.G., 2020, Impact of </w:t>
      </w:r>
      <w:r w:rsidRPr="007E2D30">
        <w:rPr>
          <w:b w:val="0"/>
          <w:bCs/>
        </w:rPr>
        <w:t>enzymatic and microbial bioprocessing on antioxidant properties of hemp (</w:t>
      </w:r>
      <w:r w:rsidRPr="007E2D30">
        <w:rPr>
          <w:b w:val="0"/>
          <w:bCs/>
          <w:i/>
          <w:iCs/>
        </w:rPr>
        <w:t>Cannabis sativa L.</w:t>
      </w:r>
      <w:r w:rsidRPr="007E2D30">
        <w:rPr>
          <w:b w:val="0"/>
          <w:bCs/>
        </w:rPr>
        <w:t>),</w:t>
      </w:r>
      <w:r w:rsidRPr="007E2D30">
        <w:rPr>
          <w:b w:val="0"/>
          <w:bCs/>
          <w:lang w:val="en-US"/>
        </w:rPr>
        <w:t xml:space="preserve"> </w:t>
      </w:r>
      <w:r w:rsidRPr="007E2D30">
        <w:rPr>
          <w:b w:val="0"/>
          <w:bCs/>
        </w:rPr>
        <w:t>Antioxidant, 9, 1258</w:t>
      </w:r>
    </w:p>
    <w:p w14:paraId="0A67366D" w14:textId="21BB827C" w:rsidR="007E2D30" w:rsidRPr="007E2D30" w:rsidRDefault="007E2D30" w:rsidP="00C05D18">
      <w:pPr>
        <w:pStyle w:val="CETReference"/>
        <w:spacing w:before="0" w:after="0"/>
        <w:jc w:val="both"/>
        <w:rPr>
          <w:b w:val="0"/>
          <w:bCs/>
          <w:lang w:val="en-US"/>
        </w:rPr>
      </w:pPr>
      <w:proofErr w:type="spellStart"/>
      <w:r w:rsidRPr="007E2D30">
        <w:rPr>
          <w:b w:val="0"/>
          <w:bCs/>
        </w:rPr>
        <w:t>Procentese</w:t>
      </w:r>
      <w:proofErr w:type="spellEnd"/>
      <w:r w:rsidRPr="007E2D30">
        <w:rPr>
          <w:b w:val="0"/>
          <w:bCs/>
        </w:rPr>
        <w:t xml:space="preserve"> A., </w:t>
      </w:r>
      <w:proofErr w:type="spellStart"/>
      <w:r w:rsidRPr="007E2D30">
        <w:rPr>
          <w:b w:val="0"/>
          <w:bCs/>
        </w:rPr>
        <w:t>Raganati</w:t>
      </w:r>
      <w:proofErr w:type="spellEnd"/>
      <w:r w:rsidRPr="007E2D30">
        <w:rPr>
          <w:b w:val="0"/>
          <w:bCs/>
        </w:rPr>
        <w:t xml:space="preserve"> F., Olivieri G., Russo M.E., Rehmann L., </w:t>
      </w:r>
      <w:proofErr w:type="spellStart"/>
      <w:r w:rsidRPr="007E2D30">
        <w:rPr>
          <w:b w:val="0"/>
          <w:bCs/>
        </w:rPr>
        <w:t>Marzocchella</w:t>
      </w:r>
      <w:proofErr w:type="spellEnd"/>
      <w:r w:rsidRPr="007E2D30">
        <w:rPr>
          <w:b w:val="0"/>
          <w:bCs/>
        </w:rPr>
        <w:t xml:space="preserve">, A., 2018, </w:t>
      </w:r>
      <w:r w:rsidRPr="007E2D30">
        <w:rPr>
          <w:b w:val="0"/>
          <w:bCs/>
          <w:lang w:val="en-US"/>
        </w:rPr>
        <w:t xml:space="preserve">Deep Eutectic Solvents pretreatment of agro-industrial food waste. Biotechnology for Biofuels. 11, 37. </w:t>
      </w:r>
    </w:p>
    <w:p w14:paraId="1C6C257D" w14:textId="56BCF73E" w:rsidR="0069350B" w:rsidRPr="007E2D30" w:rsidRDefault="0069350B" w:rsidP="00C05D18">
      <w:pPr>
        <w:pStyle w:val="CETReference"/>
        <w:spacing w:before="0" w:after="0"/>
        <w:jc w:val="both"/>
        <w:rPr>
          <w:b w:val="0"/>
          <w:bCs/>
        </w:rPr>
      </w:pPr>
      <w:r w:rsidRPr="007E2D30">
        <w:rPr>
          <w:b w:val="0"/>
          <w:bCs/>
        </w:rPr>
        <w:t>Rusu I.E.</w:t>
      </w:r>
      <w:r w:rsidR="006955D5" w:rsidRPr="007E2D30">
        <w:rPr>
          <w:b w:val="0"/>
          <w:bCs/>
        </w:rPr>
        <w:t>,</w:t>
      </w:r>
      <w:r w:rsidRPr="007E2D30">
        <w:rPr>
          <w:b w:val="0"/>
          <w:bCs/>
        </w:rPr>
        <w:t xml:space="preserve"> Marc R.A.</w:t>
      </w:r>
      <w:r w:rsidR="006955D5" w:rsidRPr="007E2D30">
        <w:rPr>
          <w:b w:val="0"/>
          <w:bCs/>
        </w:rPr>
        <w:t>,</w:t>
      </w:r>
      <w:r w:rsidRPr="007E2D30">
        <w:rPr>
          <w:b w:val="0"/>
          <w:bCs/>
        </w:rPr>
        <w:t xml:space="preserve"> Muresan C.C.</w:t>
      </w:r>
      <w:r w:rsidR="006955D5" w:rsidRPr="007E2D30">
        <w:rPr>
          <w:b w:val="0"/>
          <w:bCs/>
        </w:rPr>
        <w:t>,</w:t>
      </w:r>
      <w:r w:rsidRPr="007E2D30">
        <w:rPr>
          <w:b w:val="0"/>
          <w:bCs/>
        </w:rPr>
        <w:t xml:space="preserve"> Muresan A.E.</w:t>
      </w:r>
      <w:r w:rsidR="006955D5" w:rsidRPr="007E2D30">
        <w:rPr>
          <w:b w:val="0"/>
          <w:bCs/>
        </w:rPr>
        <w:t>,</w:t>
      </w:r>
      <w:r w:rsidRPr="007E2D30">
        <w:rPr>
          <w:b w:val="0"/>
          <w:bCs/>
        </w:rPr>
        <w:t xml:space="preserve"> Muresan V.</w:t>
      </w:r>
      <w:r w:rsidR="006955D5" w:rsidRPr="007E2D30">
        <w:rPr>
          <w:b w:val="0"/>
          <w:bCs/>
        </w:rPr>
        <w:t>,</w:t>
      </w:r>
      <w:r w:rsidRPr="007E2D30">
        <w:rPr>
          <w:b w:val="0"/>
          <w:bCs/>
        </w:rPr>
        <w:t xml:space="preserve"> Pop C.R.</w:t>
      </w:r>
      <w:r w:rsidR="006955D5" w:rsidRPr="007E2D30">
        <w:rPr>
          <w:b w:val="0"/>
          <w:bCs/>
        </w:rPr>
        <w:t>,</w:t>
      </w:r>
      <w:r w:rsidRPr="007E2D30">
        <w:rPr>
          <w:b w:val="0"/>
          <w:bCs/>
        </w:rPr>
        <w:t xml:space="preserve"> Chis M.S.</w:t>
      </w:r>
      <w:r w:rsidR="006955D5" w:rsidRPr="007E2D30">
        <w:rPr>
          <w:b w:val="0"/>
          <w:bCs/>
        </w:rPr>
        <w:t>,</w:t>
      </w:r>
      <w:r w:rsidRPr="007E2D30">
        <w:rPr>
          <w:b w:val="0"/>
          <w:bCs/>
        </w:rPr>
        <w:t xml:space="preserve"> Filip M.R.</w:t>
      </w:r>
      <w:r w:rsidR="006955D5" w:rsidRPr="007E2D30">
        <w:rPr>
          <w:b w:val="0"/>
          <w:bCs/>
        </w:rPr>
        <w:t>,</w:t>
      </w:r>
      <w:r w:rsidRPr="007E2D30">
        <w:rPr>
          <w:b w:val="0"/>
          <w:bCs/>
        </w:rPr>
        <w:t xml:space="preserve"> Onica B.M.</w:t>
      </w:r>
      <w:r w:rsidR="006955D5" w:rsidRPr="007E2D30">
        <w:rPr>
          <w:b w:val="0"/>
          <w:bCs/>
        </w:rPr>
        <w:t xml:space="preserve">, </w:t>
      </w:r>
      <w:r w:rsidRPr="007E2D30">
        <w:rPr>
          <w:b w:val="0"/>
          <w:bCs/>
        </w:rPr>
        <w:t>2021</w:t>
      </w:r>
      <w:r w:rsidR="006955D5" w:rsidRPr="007E2D30">
        <w:rPr>
          <w:b w:val="0"/>
          <w:bCs/>
        </w:rPr>
        <w:t>,</w:t>
      </w:r>
      <w:r w:rsidRPr="007E2D30">
        <w:rPr>
          <w:b w:val="0"/>
          <w:bCs/>
        </w:rPr>
        <w:t xml:space="preserve"> Hemp (Cannabis sativa L.) flour-based wheat bread as fortified bakery product. Plants, 2021, 10, 1558.</w:t>
      </w:r>
    </w:p>
    <w:p w14:paraId="5A756DBC" w14:textId="68D2A0B4" w:rsidR="0026222A" w:rsidRPr="0069350B" w:rsidRDefault="0026222A" w:rsidP="00C05D18">
      <w:pPr>
        <w:pStyle w:val="CETReference"/>
        <w:spacing w:before="0" w:after="0"/>
        <w:jc w:val="both"/>
        <w:rPr>
          <w:b w:val="0"/>
          <w:bCs/>
          <w:lang w:val="en-US"/>
        </w:rPr>
      </w:pPr>
      <w:r w:rsidRPr="007E2D30">
        <w:rPr>
          <w:b w:val="0"/>
          <w:bCs/>
          <w:lang w:val="en-US"/>
        </w:rPr>
        <w:t xml:space="preserve">Singleton V.L., Rossi J.A., 1965, Colorimetry of </w:t>
      </w:r>
      <w:r w:rsidR="008D00B7" w:rsidRPr="007E2D30">
        <w:rPr>
          <w:b w:val="0"/>
          <w:bCs/>
          <w:lang w:val="en-US"/>
        </w:rPr>
        <w:t>t</w:t>
      </w:r>
      <w:r w:rsidRPr="007E2D30">
        <w:rPr>
          <w:b w:val="0"/>
          <w:bCs/>
          <w:lang w:val="en-US"/>
        </w:rPr>
        <w:t xml:space="preserve">otal </w:t>
      </w:r>
      <w:r w:rsidR="008D00B7" w:rsidRPr="007E2D30">
        <w:rPr>
          <w:b w:val="0"/>
          <w:bCs/>
          <w:lang w:val="en-US"/>
        </w:rPr>
        <w:t>p</w:t>
      </w:r>
      <w:r w:rsidRPr="007E2D30">
        <w:rPr>
          <w:b w:val="0"/>
          <w:bCs/>
          <w:lang w:val="en-US"/>
        </w:rPr>
        <w:t xml:space="preserve">henolics with </w:t>
      </w:r>
      <w:r w:rsidR="008D00B7" w:rsidRPr="007E2D30">
        <w:rPr>
          <w:b w:val="0"/>
          <w:bCs/>
          <w:lang w:val="en-US"/>
        </w:rPr>
        <w:t>p</w:t>
      </w:r>
      <w:r w:rsidRPr="007E2D30">
        <w:rPr>
          <w:b w:val="0"/>
          <w:bCs/>
          <w:lang w:val="en-US"/>
        </w:rPr>
        <w:t>hosphomolybdic</w:t>
      </w:r>
      <w:r>
        <w:rPr>
          <w:b w:val="0"/>
          <w:bCs/>
          <w:lang w:val="en-US"/>
        </w:rPr>
        <w:t>-</w:t>
      </w:r>
      <w:proofErr w:type="spellStart"/>
      <w:r>
        <w:rPr>
          <w:b w:val="0"/>
          <w:bCs/>
          <w:lang w:val="en-US"/>
        </w:rPr>
        <w:t>phosphotungstic</w:t>
      </w:r>
      <w:proofErr w:type="spellEnd"/>
      <w:r>
        <w:rPr>
          <w:b w:val="0"/>
          <w:bCs/>
          <w:lang w:val="en-US"/>
        </w:rPr>
        <w:t xml:space="preserve"> acid reagents. American Journal of Enology and Viticulture, 16, 144-158.  </w:t>
      </w:r>
    </w:p>
    <w:p w14:paraId="670A6C63" w14:textId="1D25F833" w:rsidR="0069350B" w:rsidRPr="0069350B" w:rsidRDefault="0069350B" w:rsidP="00C05D18">
      <w:pPr>
        <w:pStyle w:val="CETReference"/>
        <w:spacing w:before="0" w:after="0"/>
        <w:jc w:val="both"/>
        <w:rPr>
          <w:b w:val="0"/>
          <w:bCs/>
        </w:rPr>
      </w:pPr>
      <w:proofErr w:type="spellStart"/>
      <w:r w:rsidRPr="0069350B">
        <w:rPr>
          <w:b w:val="0"/>
          <w:bCs/>
        </w:rPr>
        <w:t>Teterycz</w:t>
      </w:r>
      <w:proofErr w:type="spellEnd"/>
      <w:r w:rsidRPr="0069350B">
        <w:rPr>
          <w:b w:val="0"/>
          <w:bCs/>
        </w:rPr>
        <w:t xml:space="preserve"> D.</w:t>
      </w:r>
      <w:r w:rsidR="006955D5" w:rsidRPr="006955D5">
        <w:rPr>
          <w:b w:val="0"/>
          <w:bCs/>
        </w:rPr>
        <w:t>,</w:t>
      </w:r>
      <w:r w:rsidRPr="0069350B">
        <w:rPr>
          <w:b w:val="0"/>
          <w:bCs/>
        </w:rPr>
        <w:t xml:space="preserve"> Sobota A.</w:t>
      </w:r>
      <w:r w:rsidR="006955D5" w:rsidRPr="006955D5">
        <w:rPr>
          <w:b w:val="0"/>
          <w:bCs/>
        </w:rPr>
        <w:t>,</w:t>
      </w:r>
      <w:r w:rsidRPr="0069350B">
        <w:rPr>
          <w:b w:val="0"/>
          <w:bCs/>
        </w:rPr>
        <w:t xml:space="preserve"> </w:t>
      </w:r>
      <w:proofErr w:type="spellStart"/>
      <w:r w:rsidRPr="0069350B">
        <w:rPr>
          <w:b w:val="0"/>
          <w:bCs/>
        </w:rPr>
        <w:t>Przygodzka</w:t>
      </w:r>
      <w:proofErr w:type="spellEnd"/>
      <w:r w:rsidRPr="0069350B">
        <w:rPr>
          <w:b w:val="0"/>
          <w:bCs/>
        </w:rPr>
        <w:t xml:space="preserve"> D.</w:t>
      </w:r>
      <w:r w:rsidR="006955D5" w:rsidRPr="006955D5">
        <w:rPr>
          <w:b w:val="0"/>
          <w:bCs/>
        </w:rPr>
        <w:t>,</w:t>
      </w:r>
      <w:r w:rsidRPr="0069350B">
        <w:rPr>
          <w:b w:val="0"/>
          <w:bCs/>
        </w:rPr>
        <w:t xml:space="preserve"> </w:t>
      </w:r>
      <w:proofErr w:type="spellStart"/>
      <w:r w:rsidRPr="0069350B">
        <w:rPr>
          <w:b w:val="0"/>
          <w:bCs/>
        </w:rPr>
        <w:t>Lysakowska</w:t>
      </w:r>
      <w:proofErr w:type="spellEnd"/>
      <w:r w:rsidRPr="0069350B">
        <w:rPr>
          <w:b w:val="0"/>
          <w:bCs/>
        </w:rPr>
        <w:t xml:space="preserve"> P</w:t>
      </w:r>
      <w:r w:rsidR="006955D5" w:rsidRPr="006955D5">
        <w:rPr>
          <w:b w:val="0"/>
          <w:bCs/>
        </w:rPr>
        <w:t xml:space="preserve">., </w:t>
      </w:r>
      <w:r w:rsidRPr="0069350B">
        <w:rPr>
          <w:b w:val="0"/>
          <w:bCs/>
        </w:rPr>
        <w:t>2021</w:t>
      </w:r>
      <w:r w:rsidR="006955D5" w:rsidRPr="006955D5">
        <w:rPr>
          <w:b w:val="0"/>
          <w:bCs/>
        </w:rPr>
        <w:t>,</w:t>
      </w:r>
      <w:r w:rsidRPr="0069350B">
        <w:rPr>
          <w:b w:val="0"/>
          <w:bCs/>
        </w:rPr>
        <w:t xml:space="preserve"> Hemp seed (</w:t>
      </w:r>
      <w:r w:rsidRPr="007E2D30">
        <w:rPr>
          <w:b w:val="0"/>
          <w:bCs/>
          <w:i/>
          <w:iCs/>
        </w:rPr>
        <w:t>Cannabis sativa L</w:t>
      </w:r>
      <w:r w:rsidRPr="0069350B">
        <w:rPr>
          <w:b w:val="0"/>
          <w:bCs/>
        </w:rPr>
        <w:t>.) enriched pasta: Physicochemical</w:t>
      </w:r>
      <w:r w:rsidR="006955D5" w:rsidRPr="006955D5">
        <w:rPr>
          <w:b w:val="0"/>
          <w:bCs/>
        </w:rPr>
        <w:t xml:space="preserve"> </w:t>
      </w:r>
      <w:r w:rsidRPr="0069350B">
        <w:rPr>
          <w:b w:val="0"/>
          <w:bCs/>
        </w:rPr>
        <w:t xml:space="preserve">properties and quality evaluation. </w:t>
      </w:r>
      <w:proofErr w:type="spellStart"/>
      <w:r w:rsidRPr="0069350B">
        <w:rPr>
          <w:b w:val="0"/>
          <w:bCs/>
          <w:i/>
          <w:iCs/>
        </w:rPr>
        <w:t>PloS</w:t>
      </w:r>
      <w:proofErr w:type="spellEnd"/>
      <w:r w:rsidRPr="0069350B">
        <w:rPr>
          <w:b w:val="0"/>
          <w:bCs/>
          <w:i/>
          <w:iCs/>
        </w:rPr>
        <w:t xml:space="preserve"> one</w:t>
      </w:r>
      <w:r w:rsidRPr="0069350B">
        <w:rPr>
          <w:b w:val="0"/>
          <w:bCs/>
        </w:rPr>
        <w:t>, 16 (3), e0248790.</w:t>
      </w:r>
    </w:p>
    <w:p w14:paraId="19C4FC68" w14:textId="046D74A2" w:rsidR="004628D2" w:rsidRDefault="0069350B" w:rsidP="00C05D18">
      <w:pPr>
        <w:pStyle w:val="CETReference"/>
        <w:spacing w:before="0" w:after="0"/>
        <w:jc w:val="both"/>
        <w:rPr>
          <w:b w:val="0"/>
          <w:bCs/>
        </w:rPr>
      </w:pPr>
      <w:r w:rsidRPr="0069350B">
        <w:rPr>
          <w:b w:val="0"/>
          <w:bCs/>
        </w:rPr>
        <w:t>Wang C.</w:t>
      </w:r>
      <w:r w:rsidR="00121CEE" w:rsidRPr="00121CEE">
        <w:rPr>
          <w:b w:val="0"/>
          <w:bCs/>
        </w:rPr>
        <w:t>,</w:t>
      </w:r>
      <w:r w:rsidRPr="0069350B">
        <w:rPr>
          <w:b w:val="0"/>
          <w:bCs/>
        </w:rPr>
        <w:t xml:space="preserve"> Song R.</w:t>
      </w:r>
      <w:r w:rsidR="00121CEE" w:rsidRPr="00121CEE">
        <w:rPr>
          <w:b w:val="0"/>
          <w:bCs/>
        </w:rPr>
        <w:t>,</w:t>
      </w:r>
      <w:r w:rsidRPr="0069350B">
        <w:rPr>
          <w:b w:val="0"/>
          <w:bCs/>
        </w:rPr>
        <w:t xml:space="preserve"> Wei S.</w:t>
      </w:r>
      <w:r w:rsidR="00121CEE" w:rsidRPr="00121CEE">
        <w:rPr>
          <w:b w:val="0"/>
          <w:bCs/>
        </w:rPr>
        <w:t>,</w:t>
      </w:r>
      <w:r w:rsidRPr="0069350B">
        <w:rPr>
          <w:b w:val="0"/>
          <w:bCs/>
        </w:rPr>
        <w:t xml:space="preserve"> Wang W.</w:t>
      </w:r>
      <w:r w:rsidR="00121CEE" w:rsidRPr="00121CEE">
        <w:rPr>
          <w:b w:val="0"/>
          <w:bCs/>
        </w:rPr>
        <w:t>,</w:t>
      </w:r>
      <w:r w:rsidRPr="0069350B">
        <w:rPr>
          <w:b w:val="0"/>
          <w:bCs/>
        </w:rPr>
        <w:t xml:space="preserve"> Li F.</w:t>
      </w:r>
      <w:r w:rsidR="00121CEE" w:rsidRPr="00121CEE">
        <w:rPr>
          <w:b w:val="0"/>
          <w:bCs/>
        </w:rPr>
        <w:t>,</w:t>
      </w:r>
      <w:r w:rsidRPr="0069350B">
        <w:rPr>
          <w:b w:val="0"/>
          <w:bCs/>
        </w:rPr>
        <w:t xml:space="preserve"> Tang X.</w:t>
      </w:r>
      <w:r w:rsidR="00121CEE" w:rsidRPr="00121CEE">
        <w:rPr>
          <w:b w:val="0"/>
          <w:bCs/>
        </w:rPr>
        <w:t>,</w:t>
      </w:r>
      <w:r w:rsidRPr="0069350B">
        <w:rPr>
          <w:b w:val="0"/>
          <w:bCs/>
        </w:rPr>
        <w:t xml:space="preserve"> Li N.</w:t>
      </w:r>
      <w:r w:rsidR="00121CEE" w:rsidRPr="00121CEE">
        <w:rPr>
          <w:b w:val="0"/>
          <w:bCs/>
        </w:rPr>
        <w:t xml:space="preserve">, </w:t>
      </w:r>
      <w:r w:rsidRPr="0069350B">
        <w:rPr>
          <w:b w:val="0"/>
          <w:bCs/>
        </w:rPr>
        <w:t>2020</w:t>
      </w:r>
      <w:r w:rsidR="00121CEE" w:rsidRPr="00121CEE">
        <w:rPr>
          <w:b w:val="0"/>
          <w:bCs/>
        </w:rPr>
        <w:t>,</w:t>
      </w:r>
      <w:r w:rsidRPr="0069350B">
        <w:rPr>
          <w:b w:val="0"/>
          <w:bCs/>
        </w:rPr>
        <w:t xml:space="preserve"> Modification of insoluble dietary </w:t>
      </w:r>
      <w:proofErr w:type="spellStart"/>
      <w:r w:rsidRPr="0069350B">
        <w:rPr>
          <w:b w:val="0"/>
          <w:bCs/>
        </w:rPr>
        <w:t>fiber</w:t>
      </w:r>
      <w:proofErr w:type="spellEnd"/>
      <w:r w:rsidRPr="0069350B">
        <w:rPr>
          <w:b w:val="0"/>
          <w:bCs/>
        </w:rPr>
        <w:t xml:space="preserve"> from ginger residue through enzymatic treatment to improve its bioactive properties. LWT, 125, 109220.</w:t>
      </w:r>
    </w:p>
    <w:p w14:paraId="7655F988" w14:textId="211E893E" w:rsidR="00EB650A" w:rsidRPr="00E56E50" w:rsidRDefault="00EB650A" w:rsidP="00C05D18">
      <w:r w:rsidRPr="00E56E50">
        <w:t>Vogelsang-O’Dwyer M., Sahin A.W., Arendt E.K., Zannini E.</w:t>
      </w:r>
      <w:r>
        <w:t>,</w:t>
      </w:r>
      <w:r w:rsidRPr="00E56E50">
        <w:t xml:space="preserve"> 2022</w:t>
      </w:r>
      <w:r>
        <w:t>,</w:t>
      </w:r>
      <w:r w:rsidRPr="00E56E50">
        <w:t xml:space="preserve"> Enzymatic hydrolysis of pulse proteins as a tool to improve techno-functional properties.</w:t>
      </w:r>
      <w:r>
        <w:t xml:space="preserve"> </w:t>
      </w:r>
      <w:r w:rsidRPr="00EB650A">
        <w:t>Foods</w:t>
      </w:r>
      <w:r w:rsidRPr="00E56E50">
        <w:t>,</w:t>
      </w:r>
      <w:r>
        <w:t xml:space="preserve"> </w:t>
      </w:r>
      <w:r w:rsidRPr="00EB650A">
        <w:t>11(9),</w:t>
      </w:r>
      <w:r w:rsidRPr="00E56E50">
        <w:t xml:space="preserve"> 1307.</w:t>
      </w:r>
    </w:p>
    <w:p w14:paraId="2208864C" w14:textId="36E9EE6C" w:rsidR="005E53D8" w:rsidRDefault="00EB650A" w:rsidP="00C05D18">
      <w:r w:rsidRPr="00E56E50">
        <w:t>Wouters</w:t>
      </w:r>
      <w:r>
        <w:t xml:space="preserve"> </w:t>
      </w:r>
      <w:r w:rsidRPr="00E56E50">
        <w:t xml:space="preserve">A.G., </w:t>
      </w:r>
      <w:proofErr w:type="spellStart"/>
      <w:r w:rsidRPr="00E56E50">
        <w:t>Rombouts</w:t>
      </w:r>
      <w:proofErr w:type="spellEnd"/>
      <w:r w:rsidRPr="00E56E50">
        <w:t xml:space="preserve"> I., </w:t>
      </w:r>
      <w:proofErr w:type="spellStart"/>
      <w:r w:rsidRPr="00E56E50">
        <w:t>Fierens</w:t>
      </w:r>
      <w:proofErr w:type="spellEnd"/>
      <w:r w:rsidRPr="00E56E50">
        <w:t xml:space="preserve"> E., </w:t>
      </w:r>
      <w:proofErr w:type="spellStart"/>
      <w:r w:rsidRPr="00E56E50">
        <w:t>Brijs</w:t>
      </w:r>
      <w:proofErr w:type="spellEnd"/>
      <w:r w:rsidRPr="00E56E50">
        <w:t xml:space="preserve"> K., Delcour J.A.</w:t>
      </w:r>
      <w:r>
        <w:t>,</w:t>
      </w:r>
      <w:r w:rsidRPr="00E56E50">
        <w:t xml:space="preserve"> 2016</w:t>
      </w:r>
      <w:r>
        <w:t>,</w:t>
      </w:r>
      <w:r w:rsidRPr="00E56E50">
        <w:t xml:space="preserve"> Relevance of the functional properties of enzymatic plant protein hydrolysates in food systems.</w:t>
      </w:r>
      <w:r>
        <w:t xml:space="preserve"> </w:t>
      </w:r>
      <w:r w:rsidRPr="00EB650A">
        <w:t>Comprehensive Reviews in Food Science and Food Safety</w:t>
      </w:r>
      <w:r w:rsidRPr="00E56E50">
        <w:t>,</w:t>
      </w:r>
      <w:r>
        <w:t xml:space="preserve"> </w:t>
      </w:r>
      <w:r w:rsidRPr="00EB650A">
        <w:t>15</w:t>
      </w:r>
      <w:r w:rsidRPr="00E56E50">
        <w:t>(4), 786-800.</w:t>
      </w:r>
    </w:p>
    <w:sectPr w:rsidR="005E53D8"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A176" w14:textId="77777777" w:rsidR="00187AF1" w:rsidRDefault="00187AF1" w:rsidP="004F5E36">
      <w:r>
        <w:separator/>
      </w:r>
    </w:p>
  </w:endnote>
  <w:endnote w:type="continuationSeparator" w:id="0">
    <w:p w14:paraId="2F76991C" w14:textId="77777777" w:rsidR="00187AF1" w:rsidRDefault="00187AF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1E26" w14:textId="77777777" w:rsidR="00187AF1" w:rsidRDefault="00187AF1" w:rsidP="004F5E36">
      <w:r>
        <w:separator/>
      </w:r>
    </w:p>
  </w:footnote>
  <w:footnote w:type="continuationSeparator" w:id="0">
    <w:p w14:paraId="00F9E96E" w14:textId="77777777" w:rsidR="00187AF1" w:rsidRDefault="00187AF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CD329F7"/>
    <w:multiLevelType w:val="multilevel"/>
    <w:tmpl w:val="634E3872"/>
    <w:lvl w:ilvl="0">
      <w:start w:val="2"/>
      <w:numFmt w:val="decimal"/>
      <w:lvlText w:val="%1"/>
      <w:lvlJc w:val="left"/>
      <w:pPr>
        <w:ind w:left="400" w:hanging="400"/>
      </w:pPr>
      <w:rPr>
        <w:rFonts w:hint="default"/>
      </w:rPr>
    </w:lvl>
    <w:lvl w:ilvl="1">
      <w:start w:val="3"/>
      <w:numFmt w:val="decimal"/>
      <w:lvlText w:val="%1.%2"/>
      <w:lvlJc w:val="left"/>
      <w:pPr>
        <w:ind w:left="471" w:hanging="4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425"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2650046">
    <w:abstractNumId w:val="11"/>
  </w:num>
  <w:num w:numId="2" w16cid:durableId="27068368">
    <w:abstractNumId w:val="8"/>
  </w:num>
  <w:num w:numId="3" w16cid:durableId="1348941756">
    <w:abstractNumId w:val="3"/>
  </w:num>
  <w:num w:numId="4" w16cid:durableId="780534918">
    <w:abstractNumId w:val="2"/>
  </w:num>
  <w:num w:numId="5" w16cid:durableId="1196239033">
    <w:abstractNumId w:val="1"/>
  </w:num>
  <w:num w:numId="6" w16cid:durableId="647125848">
    <w:abstractNumId w:val="0"/>
  </w:num>
  <w:num w:numId="7" w16cid:durableId="483161667">
    <w:abstractNumId w:val="9"/>
  </w:num>
  <w:num w:numId="8" w16cid:durableId="1779566193">
    <w:abstractNumId w:val="7"/>
  </w:num>
  <w:num w:numId="9" w16cid:durableId="1629968883">
    <w:abstractNumId w:val="6"/>
  </w:num>
  <w:num w:numId="10" w16cid:durableId="1564828480">
    <w:abstractNumId w:val="5"/>
  </w:num>
  <w:num w:numId="11" w16cid:durableId="633947757">
    <w:abstractNumId w:val="4"/>
  </w:num>
  <w:num w:numId="12" w16cid:durableId="319164996">
    <w:abstractNumId w:val="18"/>
  </w:num>
  <w:num w:numId="13" w16cid:durableId="2134520542">
    <w:abstractNumId w:val="13"/>
  </w:num>
  <w:num w:numId="14" w16cid:durableId="2130781859">
    <w:abstractNumId w:val="19"/>
  </w:num>
  <w:num w:numId="15" w16cid:durableId="2062748365">
    <w:abstractNumId w:val="21"/>
  </w:num>
  <w:num w:numId="16" w16cid:durableId="795953509">
    <w:abstractNumId w:val="20"/>
  </w:num>
  <w:num w:numId="17" w16cid:durableId="1830512341">
    <w:abstractNumId w:val="12"/>
  </w:num>
  <w:num w:numId="18" w16cid:durableId="207500220">
    <w:abstractNumId w:val="13"/>
    <w:lvlOverride w:ilvl="0">
      <w:startOverride w:val="1"/>
    </w:lvlOverride>
  </w:num>
  <w:num w:numId="19" w16cid:durableId="1987009949">
    <w:abstractNumId w:val="17"/>
  </w:num>
  <w:num w:numId="20" w16cid:durableId="291637599">
    <w:abstractNumId w:val="16"/>
  </w:num>
  <w:num w:numId="21" w16cid:durableId="655838644">
    <w:abstractNumId w:val="15"/>
  </w:num>
  <w:num w:numId="22" w16cid:durableId="1219321308">
    <w:abstractNumId w:val="14"/>
  </w:num>
  <w:num w:numId="23" w16cid:durableId="10031030">
    <w:abstractNumId w:val="10"/>
  </w:num>
  <w:num w:numId="24" w16cid:durableId="2085443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38AB"/>
    <w:rsid w:val="0003148D"/>
    <w:rsid w:val="00031EEC"/>
    <w:rsid w:val="00032D35"/>
    <w:rsid w:val="0003664D"/>
    <w:rsid w:val="00050907"/>
    <w:rsid w:val="00051566"/>
    <w:rsid w:val="00054288"/>
    <w:rsid w:val="000562A9"/>
    <w:rsid w:val="00062A9A"/>
    <w:rsid w:val="00065058"/>
    <w:rsid w:val="00086C39"/>
    <w:rsid w:val="00092F30"/>
    <w:rsid w:val="0009326C"/>
    <w:rsid w:val="000A03B2"/>
    <w:rsid w:val="000B3940"/>
    <w:rsid w:val="000C2448"/>
    <w:rsid w:val="000C737C"/>
    <w:rsid w:val="000D0268"/>
    <w:rsid w:val="000D0565"/>
    <w:rsid w:val="000D2EF3"/>
    <w:rsid w:val="000D34BE"/>
    <w:rsid w:val="000E0598"/>
    <w:rsid w:val="000E102F"/>
    <w:rsid w:val="000E36F1"/>
    <w:rsid w:val="000E3A73"/>
    <w:rsid w:val="000E414A"/>
    <w:rsid w:val="000F093C"/>
    <w:rsid w:val="000F787B"/>
    <w:rsid w:val="00102400"/>
    <w:rsid w:val="001060AC"/>
    <w:rsid w:val="0012091F"/>
    <w:rsid w:val="00121CEE"/>
    <w:rsid w:val="00126BC2"/>
    <w:rsid w:val="001308B6"/>
    <w:rsid w:val="0013121F"/>
    <w:rsid w:val="00131FE6"/>
    <w:rsid w:val="0013263F"/>
    <w:rsid w:val="001331DF"/>
    <w:rsid w:val="00134DE4"/>
    <w:rsid w:val="00137519"/>
    <w:rsid w:val="0014034D"/>
    <w:rsid w:val="00144D16"/>
    <w:rsid w:val="00147407"/>
    <w:rsid w:val="00150E59"/>
    <w:rsid w:val="00151400"/>
    <w:rsid w:val="00152DE3"/>
    <w:rsid w:val="00164CF9"/>
    <w:rsid w:val="001667A6"/>
    <w:rsid w:val="00167520"/>
    <w:rsid w:val="001702EE"/>
    <w:rsid w:val="00172B10"/>
    <w:rsid w:val="00173C06"/>
    <w:rsid w:val="00176B83"/>
    <w:rsid w:val="00184AD6"/>
    <w:rsid w:val="00186D5A"/>
    <w:rsid w:val="00187AF1"/>
    <w:rsid w:val="0019654F"/>
    <w:rsid w:val="001A165A"/>
    <w:rsid w:val="001A4AF7"/>
    <w:rsid w:val="001B0349"/>
    <w:rsid w:val="001B0818"/>
    <w:rsid w:val="001B1E93"/>
    <w:rsid w:val="001B473D"/>
    <w:rsid w:val="001B65C1"/>
    <w:rsid w:val="001C1B02"/>
    <w:rsid w:val="001C393E"/>
    <w:rsid w:val="001C684B"/>
    <w:rsid w:val="001D0BA9"/>
    <w:rsid w:val="001D0CFB"/>
    <w:rsid w:val="001D21AF"/>
    <w:rsid w:val="001D53FC"/>
    <w:rsid w:val="001E0E4C"/>
    <w:rsid w:val="001F42A5"/>
    <w:rsid w:val="001F4EEF"/>
    <w:rsid w:val="001F7B9D"/>
    <w:rsid w:val="001F7F35"/>
    <w:rsid w:val="00201419"/>
    <w:rsid w:val="00201C93"/>
    <w:rsid w:val="00213B81"/>
    <w:rsid w:val="00215BA0"/>
    <w:rsid w:val="00216759"/>
    <w:rsid w:val="002224B4"/>
    <w:rsid w:val="00236914"/>
    <w:rsid w:val="002447EF"/>
    <w:rsid w:val="00247BC5"/>
    <w:rsid w:val="00251550"/>
    <w:rsid w:val="0026222A"/>
    <w:rsid w:val="00263B05"/>
    <w:rsid w:val="0026454D"/>
    <w:rsid w:val="002719EE"/>
    <w:rsid w:val="0027221A"/>
    <w:rsid w:val="00275B61"/>
    <w:rsid w:val="00276F04"/>
    <w:rsid w:val="00277598"/>
    <w:rsid w:val="00280FAF"/>
    <w:rsid w:val="00282656"/>
    <w:rsid w:val="0028627B"/>
    <w:rsid w:val="00296B83"/>
    <w:rsid w:val="002A1750"/>
    <w:rsid w:val="002A4614"/>
    <w:rsid w:val="002B0E4F"/>
    <w:rsid w:val="002B4015"/>
    <w:rsid w:val="002B78CE"/>
    <w:rsid w:val="002C0F56"/>
    <w:rsid w:val="002C2FB6"/>
    <w:rsid w:val="002D12E2"/>
    <w:rsid w:val="002D32BD"/>
    <w:rsid w:val="002D7517"/>
    <w:rsid w:val="002E4667"/>
    <w:rsid w:val="002E5FA7"/>
    <w:rsid w:val="002F3309"/>
    <w:rsid w:val="002F712E"/>
    <w:rsid w:val="003008CE"/>
    <w:rsid w:val="003009B7"/>
    <w:rsid w:val="00300E56"/>
    <w:rsid w:val="0030152C"/>
    <w:rsid w:val="0030469C"/>
    <w:rsid w:val="00321CA6"/>
    <w:rsid w:val="00323763"/>
    <w:rsid w:val="00323C5F"/>
    <w:rsid w:val="00324DF9"/>
    <w:rsid w:val="003312AE"/>
    <w:rsid w:val="00331FCD"/>
    <w:rsid w:val="00334C09"/>
    <w:rsid w:val="003630EE"/>
    <w:rsid w:val="00363BAC"/>
    <w:rsid w:val="003648C6"/>
    <w:rsid w:val="003723D4"/>
    <w:rsid w:val="00374F0E"/>
    <w:rsid w:val="0037578D"/>
    <w:rsid w:val="00381905"/>
    <w:rsid w:val="003847DE"/>
    <w:rsid w:val="00384CC8"/>
    <w:rsid w:val="003871FD"/>
    <w:rsid w:val="0039361F"/>
    <w:rsid w:val="00394DF7"/>
    <w:rsid w:val="003A1570"/>
    <w:rsid w:val="003A1E30"/>
    <w:rsid w:val="003A2829"/>
    <w:rsid w:val="003A31AA"/>
    <w:rsid w:val="003A7D1C"/>
    <w:rsid w:val="003B0A24"/>
    <w:rsid w:val="003B304B"/>
    <w:rsid w:val="003B3146"/>
    <w:rsid w:val="003B3961"/>
    <w:rsid w:val="003C6E59"/>
    <w:rsid w:val="003D0260"/>
    <w:rsid w:val="003E077E"/>
    <w:rsid w:val="003E50BF"/>
    <w:rsid w:val="003F015E"/>
    <w:rsid w:val="003F0674"/>
    <w:rsid w:val="003F14B0"/>
    <w:rsid w:val="003F5A5B"/>
    <w:rsid w:val="00400414"/>
    <w:rsid w:val="0041446B"/>
    <w:rsid w:val="00431D67"/>
    <w:rsid w:val="0044071E"/>
    <w:rsid w:val="004426BC"/>
    <w:rsid w:val="0044329C"/>
    <w:rsid w:val="00445B1B"/>
    <w:rsid w:val="00447B92"/>
    <w:rsid w:val="004533C0"/>
    <w:rsid w:val="00453E24"/>
    <w:rsid w:val="00457456"/>
    <w:rsid w:val="004577FE"/>
    <w:rsid w:val="00457B9C"/>
    <w:rsid w:val="0046164A"/>
    <w:rsid w:val="0046226D"/>
    <w:rsid w:val="00462737"/>
    <w:rsid w:val="004628D2"/>
    <w:rsid w:val="00462DCD"/>
    <w:rsid w:val="004638F4"/>
    <w:rsid w:val="004648AD"/>
    <w:rsid w:val="004703A9"/>
    <w:rsid w:val="004760DE"/>
    <w:rsid w:val="004763D7"/>
    <w:rsid w:val="004A004E"/>
    <w:rsid w:val="004A1E43"/>
    <w:rsid w:val="004A24CF"/>
    <w:rsid w:val="004A45F7"/>
    <w:rsid w:val="004A4E58"/>
    <w:rsid w:val="004B0FF7"/>
    <w:rsid w:val="004B6CD1"/>
    <w:rsid w:val="004B7EC9"/>
    <w:rsid w:val="004C1616"/>
    <w:rsid w:val="004C3D1D"/>
    <w:rsid w:val="004C3D84"/>
    <w:rsid w:val="004C4F1F"/>
    <w:rsid w:val="004C7913"/>
    <w:rsid w:val="004D10C9"/>
    <w:rsid w:val="004D482F"/>
    <w:rsid w:val="004E0A88"/>
    <w:rsid w:val="004E4DD6"/>
    <w:rsid w:val="004E6861"/>
    <w:rsid w:val="004F5E36"/>
    <w:rsid w:val="00507B47"/>
    <w:rsid w:val="00507BEF"/>
    <w:rsid w:val="00507CC9"/>
    <w:rsid w:val="005119A5"/>
    <w:rsid w:val="00512705"/>
    <w:rsid w:val="0051284A"/>
    <w:rsid w:val="0051528A"/>
    <w:rsid w:val="00515F27"/>
    <w:rsid w:val="00516E07"/>
    <w:rsid w:val="0052492B"/>
    <w:rsid w:val="005278B7"/>
    <w:rsid w:val="00532016"/>
    <w:rsid w:val="005346C8"/>
    <w:rsid w:val="00542992"/>
    <w:rsid w:val="00543E7D"/>
    <w:rsid w:val="00544E0F"/>
    <w:rsid w:val="00547A68"/>
    <w:rsid w:val="005531C9"/>
    <w:rsid w:val="00557CDB"/>
    <w:rsid w:val="00557E00"/>
    <w:rsid w:val="00564B06"/>
    <w:rsid w:val="00570C43"/>
    <w:rsid w:val="00572795"/>
    <w:rsid w:val="00576FDB"/>
    <w:rsid w:val="0058052C"/>
    <w:rsid w:val="00580C97"/>
    <w:rsid w:val="005862CE"/>
    <w:rsid w:val="005863A1"/>
    <w:rsid w:val="00586A02"/>
    <w:rsid w:val="00587632"/>
    <w:rsid w:val="005B2110"/>
    <w:rsid w:val="005B61E6"/>
    <w:rsid w:val="005B7BE0"/>
    <w:rsid w:val="005C0C1C"/>
    <w:rsid w:val="005C77E1"/>
    <w:rsid w:val="005D318C"/>
    <w:rsid w:val="005D605A"/>
    <w:rsid w:val="005D668A"/>
    <w:rsid w:val="005D6A2F"/>
    <w:rsid w:val="005E1A82"/>
    <w:rsid w:val="005E1BB2"/>
    <w:rsid w:val="005E53D8"/>
    <w:rsid w:val="005E72C6"/>
    <w:rsid w:val="005E794C"/>
    <w:rsid w:val="005F0A28"/>
    <w:rsid w:val="005F0E5E"/>
    <w:rsid w:val="005F3FDA"/>
    <w:rsid w:val="00600535"/>
    <w:rsid w:val="00604D76"/>
    <w:rsid w:val="00610CD6"/>
    <w:rsid w:val="00612F7C"/>
    <w:rsid w:val="006203B3"/>
    <w:rsid w:val="00620DEE"/>
    <w:rsid w:val="00621F92"/>
    <w:rsid w:val="0062280A"/>
    <w:rsid w:val="00625639"/>
    <w:rsid w:val="00631B33"/>
    <w:rsid w:val="00636AB2"/>
    <w:rsid w:val="00636D02"/>
    <w:rsid w:val="006408FC"/>
    <w:rsid w:val="0064184D"/>
    <w:rsid w:val="006422CC"/>
    <w:rsid w:val="00660E3E"/>
    <w:rsid w:val="00662E74"/>
    <w:rsid w:val="006653FC"/>
    <w:rsid w:val="0067572B"/>
    <w:rsid w:val="00680C23"/>
    <w:rsid w:val="00681460"/>
    <w:rsid w:val="00684C7F"/>
    <w:rsid w:val="00686367"/>
    <w:rsid w:val="006869FA"/>
    <w:rsid w:val="0069350B"/>
    <w:rsid w:val="00693766"/>
    <w:rsid w:val="006955CA"/>
    <w:rsid w:val="006955D5"/>
    <w:rsid w:val="0069580B"/>
    <w:rsid w:val="00697738"/>
    <w:rsid w:val="006A3281"/>
    <w:rsid w:val="006B4888"/>
    <w:rsid w:val="006C2E45"/>
    <w:rsid w:val="006C359C"/>
    <w:rsid w:val="006C5579"/>
    <w:rsid w:val="006C6496"/>
    <w:rsid w:val="006D238D"/>
    <w:rsid w:val="006D2902"/>
    <w:rsid w:val="006D6E8B"/>
    <w:rsid w:val="006E737D"/>
    <w:rsid w:val="006F32AF"/>
    <w:rsid w:val="006F76BF"/>
    <w:rsid w:val="00702F56"/>
    <w:rsid w:val="00707DD1"/>
    <w:rsid w:val="00713973"/>
    <w:rsid w:val="00715916"/>
    <w:rsid w:val="00720A24"/>
    <w:rsid w:val="00732386"/>
    <w:rsid w:val="0073289E"/>
    <w:rsid w:val="00734322"/>
    <w:rsid w:val="00734802"/>
    <w:rsid w:val="0073514D"/>
    <w:rsid w:val="007447F3"/>
    <w:rsid w:val="00745BC8"/>
    <w:rsid w:val="007516C9"/>
    <w:rsid w:val="0075499F"/>
    <w:rsid w:val="00761A8C"/>
    <w:rsid w:val="00762F60"/>
    <w:rsid w:val="00765F6D"/>
    <w:rsid w:val="007661C8"/>
    <w:rsid w:val="0077098D"/>
    <w:rsid w:val="007931FA"/>
    <w:rsid w:val="007A4861"/>
    <w:rsid w:val="007A7BBA"/>
    <w:rsid w:val="007B0C50"/>
    <w:rsid w:val="007B4223"/>
    <w:rsid w:val="007B48F9"/>
    <w:rsid w:val="007B5074"/>
    <w:rsid w:val="007C1A43"/>
    <w:rsid w:val="007C1FFD"/>
    <w:rsid w:val="007D0951"/>
    <w:rsid w:val="007D478E"/>
    <w:rsid w:val="007E2D30"/>
    <w:rsid w:val="007E65E5"/>
    <w:rsid w:val="0080013E"/>
    <w:rsid w:val="00813288"/>
    <w:rsid w:val="008168FC"/>
    <w:rsid w:val="0081708C"/>
    <w:rsid w:val="00830996"/>
    <w:rsid w:val="00832A04"/>
    <w:rsid w:val="008345F1"/>
    <w:rsid w:val="008350B7"/>
    <w:rsid w:val="00835ECC"/>
    <w:rsid w:val="00852829"/>
    <w:rsid w:val="00865B07"/>
    <w:rsid w:val="008667EA"/>
    <w:rsid w:val="0087637F"/>
    <w:rsid w:val="00880599"/>
    <w:rsid w:val="00882E92"/>
    <w:rsid w:val="00885226"/>
    <w:rsid w:val="00890250"/>
    <w:rsid w:val="008905AC"/>
    <w:rsid w:val="00892AD5"/>
    <w:rsid w:val="00894305"/>
    <w:rsid w:val="008A1512"/>
    <w:rsid w:val="008B0B67"/>
    <w:rsid w:val="008B73C5"/>
    <w:rsid w:val="008C7456"/>
    <w:rsid w:val="008D00B7"/>
    <w:rsid w:val="008D32B9"/>
    <w:rsid w:val="008D433B"/>
    <w:rsid w:val="008D4A16"/>
    <w:rsid w:val="008D53BF"/>
    <w:rsid w:val="008D53F6"/>
    <w:rsid w:val="008E0B89"/>
    <w:rsid w:val="008E566E"/>
    <w:rsid w:val="008E58F7"/>
    <w:rsid w:val="008F01EE"/>
    <w:rsid w:val="008F3B9B"/>
    <w:rsid w:val="00901097"/>
    <w:rsid w:val="0090161A"/>
    <w:rsid w:val="00901EB6"/>
    <w:rsid w:val="00903FF0"/>
    <w:rsid w:val="00904C62"/>
    <w:rsid w:val="00904EA0"/>
    <w:rsid w:val="00916017"/>
    <w:rsid w:val="009225E4"/>
    <w:rsid w:val="00922BA8"/>
    <w:rsid w:val="00924DAC"/>
    <w:rsid w:val="00927058"/>
    <w:rsid w:val="00927933"/>
    <w:rsid w:val="0094209F"/>
    <w:rsid w:val="00942750"/>
    <w:rsid w:val="009427C9"/>
    <w:rsid w:val="009450CE"/>
    <w:rsid w:val="009459BB"/>
    <w:rsid w:val="00947179"/>
    <w:rsid w:val="0095164B"/>
    <w:rsid w:val="00954090"/>
    <w:rsid w:val="00955561"/>
    <w:rsid w:val="009573E7"/>
    <w:rsid w:val="00961A86"/>
    <w:rsid w:val="00963E05"/>
    <w:rsid w:val="00964A45"/>
    <w:rsid w:val="00967843"/>
    <w:rsid w:val="00967D54"/>
    <w:rsid w:val="00971028"/>
    <w:rsid w:val="00993B84"/>
    <w:rsid w:val="00994020"/>
    <w:rsid w:val="00995C29"/>
    <w:rsid w:val="00996483"/>
    <w:rsid w:val="00996F5A"/>
    <w:rsid w:val="009A1AB2"/>
    <w:rsid w:val="009B041A"/>
    <w:rsid w:val="009C37C3"/>
    <w:rsid w:val="009C5E3F"/>
    <w:rsid w:val="009C7C86"/>
    <w:rsid w:val="009D05ED"/>
    <w:rsid w:val="009D2FF7"/>
    <w:rsid w:val="009D3657"/>
    <w:rsid w:val="009E1BF9"/>
    <w:rsid w:val="009E7884"/>
    <w:rsid w:val="009E788A"/>
    <w:rsid w:val="009F0E08"/>
    <w:rsid w:val="009F128C"/>
    <w:rsid w:val="00A0035F"/>
    <w:rsid w:val="00A12AB0"/>
    <w:rsid w:val="00A1763D"/>
    <w:rsid w:val="00A17CEC"/>
    <w:rsid w:val="00A21DE9"/>
    <w:rsid w:val="00A230A5"/>
    <w:rsid w:val="00A23C5C"/>
    <w:rsid w:val="00A26A2C"/>
    <w:rsid w:val="00A27EF0"/>
    <w:rsid w:val="00A40F46"/>
    <w:rsid w:val="00A42361"/>
    <w:rsid w:val="00A50757"/>
    <w:rsid w:val="00A50B20"/>
    <w:rsid w:val="00A51390"/>
    <w:rsid w:val="00A52C9E"/>
    <w:rsid w:val="00A56F08"/>
    <w:rsid w:val="00A60D13"/>
    <w:rsid w:val="00A64EE8"/>
    <w:rsid w:val="00A714EF"/>
    <w:rsid w:val="00A7223D"/>
    <w:rsid w:val="00A72270"/>
    <w:rsid w:val="00A72272"/>
    <w:rsid w:val="00A72745"/>
    <w:rsid w:val="00A76EFC"/>
    <w:rsid w:val="00A8016A"/>
    <w:rsid w:val="00A87D50"/>
    <w:rsid w:val="00A91010"/>
    <w:rsid w:val="00A97F29"/>
    <w:rsid w:val="00AA1D0B"/>
    <w:rsid w:val="00AA1DCF"/>
    <w:rsid w:val="00AA41E5"/>
    <w:rsid w:val="00AA702E"/>
    <w:rsid w:val="00AA7D26"/>
    <w:rsid w:val="00AB0964"/>
    <w:rsid w:val="00AB5011"/>
    <w:rsid w:val="00AB6FF0"/>
    <w:rsid w:val="00AC4208"/>
    <w:rsid w:val="00AC4BDB"/>
    <w:rsid w:val="00AC5FBC"/>
    <w:rsid w:val="00AC7368"/>
    <w:rsid w:val="00AD16B9"/>
    <w:rsid w:val="00AD6BA3"/>
    <w:rsid w:val="00AE377D"/>
    <w:rsid w:val="00AE50F8"/>
    <w:rsid w:val="00AF0EBA"/>
    <w:rsid w:val="00AF3A1C"/>
    <w:rsid w:val="00AF3C8A"/>
    <w:rsid w:val="00AF45D2"/>
    <w:rsid w:val="00AF46C8"/>
    <w:rsid w:val="00B02C8A"/>
    <w:rsid w:val="00B04235"/>
    <w:rsid w:val="00B12020"/>
    <w:rsid w:val="00B15D61"/>
    <w:rsid w:val="00B17FBD"/>
    <w:rsid w:val="00B25C45"/>
    <w:rsid w:val="00B315A6"/>
    <w:rsid w:val="00B31813"/>
    <w:rsid w:val="00B323E1"/>
    <w:rsid w:val="00B33365"/>
    <w:rsid w:val="00B364EE"/>
    <w:rsid w:val="00B37D5D"/>
    <w:rsid w:val="00B45351"/>
    <w:rsid w:val="00B47395"/>
    <w:rsid w:val="00B5135E"/>
    <w:rsid w:val="00B5675D"/>
    <w:rsid w:val="00B57B36"/>
    <w:rsid w:val="00B57E6F"/>
    <w:rsid w:val="00B73131"/>
    <w:rsid w:val="00B8686D"/>
    <w:rsid w:val="00B91A6D"/>
    <w:rsid w:val="00B91F69"/>
    <w:rsid w:val="00B93F69"/>
    <w:rsid w:val="00B93FBD"/>
    <w:rsid w:val="00B978E6"/>
    <w:rsid w:val="00BB1DDC"/>
    <w:rsid w:val="00BB632E"/>
    <w:rsid w:val="00BB77BD"/>
    <w:rsid w:val="00BC08CF"/>
    <w:rsid w:val="00BC25DB"/>
    <w:rsid w:val="00BC30C9"/>
    <w:rsid w:val="00BD004F"/>
    <w:rsid w:val="00BD077D"/>
    <w:rsid w:val="00BD7B52"/>
    <w:rsid w:val="00BE3E58"/>
    <w:rsid w:val="00BF2086"/>
    <w:rsid w:val="00BF605A"/>
    <w:rsid w:val="00C01616"/>
    <w:rsid w:val="00C0162B"/>
    <w:rsid w:val="00C05D18"/>
    <w:rsid w:val="00C068ED"/>
    <w:rsid w:val="00C20A9C"/>
    <w:rsid w:val="00C20CD2"/>
    <w:rsid w:val="00C22E0C"/>
    <w:rsid w:val="00C24AF1"/>
    <w:rsid w:val="00C33B4A"/>
    <w:rsid w:val="00C345B1"/>
    <w:rsid w:val="00C40142"/>
    <w:rsid w:val="00C51948"/>
    <w:rsid w:val="00C52C3C"/>
    <w:rsid w:val="00C57182"/>
    <w:rsid w:val="00C57863"/>
    <w:rsid w:val="00C640AF"/>
    <w:rsid w:val="00C655FD"/>
    <w:rsid w:val="00C6713C"/>
    <w:rsid w:val="00C75407"/>
    <w:rsid w:val="00C83E1A"/>
    <w:rsid w:val="00C841C6"/>
    <w:rsid w:val="00C870A8"/>
    <w:rsid w:val="00C91C93"/>
    <w:rsid w:val="00C94434"/>
    <w:rsid w:val="00CA0D75"/>
    <w:rsid w:val="00CA12BA"/>
    <w:rsid w:val="00CA1449"/>
    <w:rsid w:val="00CA1C95"/>
    <w:rsid w:val="00CA3FCC"/>
    <w:rsid w:val="00CA5A9C"/>
    <w:rsid w:val="00CA75B4"/>
    <w:rsid w:val="00CC4C20"/>
    <w:rsid w:val="00CC702D"/>
    <w:rsid w:val="00CC7901"/>
    <w:rsid w:val="00CD3517"/>
    <w:rsid w:val="00CD5FE2"/>
    <w:rsid w:val="00CE08CF"/>
    <w:rsid w:val="00CE4CBC"/>
    <w:rsid w:val="00CE5D4B"/>
    <w:rsid w:val="00CE7C68"/>
    <w:rsid w:val="00CF0C2B"/>
    <w:rsid w:val="00CF5AA8"/>
    <w:rsid w:val="00D00074"/>
    <w:rsid w:val="00D00AF5"/>
    <w:rsid w:val="00D02004"/>
    <w:rsid w:val="00D02B4C"/>
    <w:rsid w:val="00D040C4"/>
    <w:rsid w:val="00D142EA"/>
    <w:rsid w:val="00D20AD1"/>
    <w:rsid w:val="00D21481"/>
    <w:rsid w:val="00D2582C"/>
    <w:rsid w:val="00D27232"/>
    <w:rsid w:val="00D40724"/>
    <w:rsid w:val="00D46B7E"/>
    <w:rsid w:val="00D57C84"/>
    <w:rsid w:val="00D6057D"/>
    <w:rsid w:val="00D67A08"/>
    <w:rsid w:val="00D71640"/>
    <w:rsid w:val="00D72172"/>
    <w:rsid w:val="00D72774"/>
    <w:rsid w:val="00D836C5"/>
    <w:rsid w:val="00D84576"/>
    <w:rsid w:val="00D957E5"/>
    <w:rsid w:val="00D962FB"/>
    <w:rsid w:val="00D96F88"/>
    <w:rsid w:val="00DA1399"/>
    <w:rsid w:val="00DA24C6"/>
    <w:rsid w:val="00DA2F7A"/>
    <w:rsid w:val="00DA4D7B"/>
    <w:rsid w:val="00DA7E7F"/>
    <w:rsid w:val="00DB6F7B"/>
    <w:rsid w:val="00DC1B4D"/>
    <w:rsid w:val="00DC678B"/>
    <w:rsid w:val="00DC6D33"/>
    <w:rsid w:val="00DD271C"/>
    <w:rsid w:val="00DE10E3"/>
    <w:rsid w:val="00DE264A"/>
    <w:rsid w:val="00DE2F2D"/>
    <w:rsid w:val="00DE5CCF"/>
    <w:rsid w:val="00DF5072"/>
    <w:rsid w:val="00E02D18"/>
    <w:rsid w:val="00E041E7"/>
    <w:rsid w:val="00E121BE"/>
    <w:rsid w:val="00E15446"/>
    <w:rsid w:val="00E1745B"/>
    <w:rsid w:val="00E23CA1"/>
    <w:rsid w:val="00E371DC"/>
    <w:rsid w:val="00E409A8"/>
    <w:rsid w:val="00E41D03"/>
    <w:rsid w:val="00E44853"/>
    <w:rsid w:val="00E46D43"/>
    <w:rsid w:val="00E50C12"/>
    <w:rsid w:val="00E61F29"/>
    <w:rsid w:val="00E65B91"/>
    <w:rsid w:val="00E7209D"/>
    <w:rsid w:val="00E72EAD"/>
    <w:rsid w:val="00E77223"/>
    <w:rsid w:val="00E80CE6"/>
    <w:rsid w:val="00E8257C"/>
    <w:rsid w:val="00E8528B"/>
    <w:rsid w:val="00E85B94"/>
    <w:rsid w:val="00E978D0"/>
    <w:rsid w:val="00EA2CEF"/>
    <w:rsid w:val="00EA3F6B"/>
    <w:rsid w:val="00EA4613"/>
    <w:rsid w:val="00EA49A7"/>
    <w:rsid w:val="00EA7F91"/>
    <w:rsid w:val="00EB1523"/>
    <w:rsid w:val="00EB436E"/>
    <w:rsid w:val="00EB650A"/>
    <w:rsid w:val="00EC0E49"/>
    <w:rsid w:val="00EC101F"/>
    <w:rsid w:val="00EC1D9F"/>
    <w:rsid w:val="00ED032A"/>
    <w:rsid w:val="00ED399E"/>
    <w:rsid w:val="00ED5007"/>
    <w:rsid w:val="00ED50C7"/>
    <w:rsid w:val="00EE0131"/>
    <w:rsid w:val="00EE17B0"/>
    <w:rsid w:val="00EE23EB"/>
    <w:rsid w:val="00EF06D9"/>
    <w:rsid w:val="00EF7477"/>
    <w:rsid w:val="00F03CEE"/>
    <w:rsid w:val="00F123E5"/>
    <w:rsid w:val="00F149BE"/>
    <w:rsid w:val="00F23015"/>
    <w:rsid w:val="00F26227"/>
    <w:rsid w:val="00F3049E"/>
    <w:rsid w:val="00F30C64"/>
    <w:rsid w:val="00F320F0"/>
    <w:rsid w:val="00F32BA2"/>
    <w:rsid w:val="00F32CDB"/>
    <w:rsid w:val="00F467AF"/>
    <w:rsid w:val="00F47870"/>
    <w:rsid w:val="00F565FE"/>
    <w:rsid w:val="00F63A70"/>
    <w:rsid w:val="00F63D8C"/>
    <w:rsid w:val="00F6647F"/>
    <w:rsid w:val="00F66807"/>
    <w:rsid w:val="00F70887"/>
    <w:rsid w:val="00F7534E"/>
    <w:rsid w:val="00F82C52"/>
    <w:rsid w:val="00F863A0"/>
    <w:rsid w:val="00F87D4C"/>
    <w:rsid w:val="00F92B73"/>
    <w:rsid w:val="00F93EDF"/>
    <w:rsid w:val="00FA1802"/>
    <w:rsid w:val="00FA21D0"/>
    <w:rsid w:val="00FA5F5F"/>
    <w:rsid w:val="00FB42E3"/>
    <w:rsid w:val="00FB51E1"/>
    <w:rsid w:val="00FB730C"/>
    <w:rsid w:val="00FB7439"/>
    <w:rsid w:val="00FC2695"/>
    <w:rsid w:val="00FC3E03"/>
    <w:rsid w:val="00FC3FC1"/>
    <w:rsid w:val="00FD481C"/>
    <w:rsid w:val="00FF26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B473D"/>
    <w:pPr>
      <w:keepNext/>
      <w:suppressAutoHyphens/>
      <w:spacing w:before="120" w:after="120" w:line="240" w:lineRule="auto"/>
    </w:pPr>
    <w:rPr>
      <w:rFonts w:ascii="Arial" w:eastAsia="Times New Roman" w:hAnsi="Arial" w:cs="Times New Roman"/>
      <w:b/>
      <w:color w:val="000000" w:themeColor="text1"/>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B473D"/>
    <w:rPr>
      <w:rFonts w:ascii="Arial" w:eastAsia="Times New Roman" w:hAnsi="Arial" w:cs="Times New Roman"/>
      <w:b/>
      <w:color w:val="000000" w:themeColor="text1"/>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9F12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3870">
      <w:bodyDiv w:val="1"/>
      <w:marLeft w:val="0"/>
      <w:marRight w:val="0"/>
      <w:marTop w:val="0"/>
      <w:marBottom w:val="0"/>
      <w:divBdr>
        <w:top w:val="none" w:sz="0" w:space="0" w:color="auto"/>
        <w:left w:val="none" w:sz="0" w:space="0" w:color="auto"/>
        <w:bottom w:val="none" w:sz="0" w:space="0" w:color="auto"/>
        <w:right w:val="none" w:sz="0" w:space="0" w:color="auto"/>
      </w:divBdr>
    </w:div>
    <w:div w:id="190188610">
      <w:bodyDiv w:val="1"/>
      <w:marLeft w:val="0"/>
      <w:marRight w:val="0"/>
      <w:marTop w:val="0"/>
      <w:marBottom w:val="0"/>
      <w:divBdr>
        <w:top w:val="none" w:sz="0" w:space="0" w:color="auto"/>
        <w:left w:val="none" w:sz="0" w:space="0" w:color="auto"/>
        <w:bottom w:val="none" w:sz="0" w:space="0" w:color="auto"/>
        <w:right w:val="none" w:sz="0" w:space="0" w:color="auto"/>
      </w:divBdr>
    </w:div>
    <w:div w:id="690572860">
      <w:bodyDiv w:val="1"/>
      <w:marLeft w:val="0"/>
      <w:marRight w:val="0"/>
      <w:marTop w:val="0"/>
      <w:marBottom w:val="0"/>
      <w:divBdr>
        <w:top w:val="none" w:sz="0" w:space="0" w:color="auto"/>
        <w:left w:val="none" w:sz="0" w:space="0" w:color="auto"/>
        <w:bottom w:val="none" w:sz="0" w:space="0" w:color="auto"/>
        <w:right w:val="none" w:sz="0" w:space="0" w:color="auto"/>
      </w:divBdr>
    </w:div>
    <w:div w:id="707995625">
      <w:bodyDiv w:val="1"/>
      <w:marLeft w:val="0"/>
      <w:marRight w:val="0"/>
      <w:marTop w:val="0"/>
      <w:marBottom w:val="0"/>
      <w:divBdr>
        <w:top w:val="none" w:sz="0" w:space="0" w:color="auto"/>
        <w:left w:val="none" w:sz="0" w:space="0" w:color="auto"/>
        <w:bottom w:val="none" w:sz="0" w:space="0" w:color="auto"/>
        <w:right w:val="none" w:sz="0" w:space="0" w:color="auto"/>
      </w:divBdr>
    </w:div>
    <w:div w:id="737091644">
      <w:bodyDiv w:val="1"/>
      <w:marLeft w:val="0"/>
      <w:marRight w:val="0"/>
      <w:marTop w:val="0"/>
      <w:marBottom w:val="0"/>
      <w:divBdr>
        <w:top w:val="none" w:sz="0" w:space="0" w:color="auto"/>
        <w:left w:val="none" w:sz="0" w:space="0" w:color="auto"/>
        <w:bottom w:val="none" w:sz="0" w:space="0" w:color="auto"/>
        <w:right w:val="none" w:sz="0" w:space="0" w:color="auto"/>
      </w:divBdr>
    </w:div>
    <w:div w:id="77097452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617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5709">
      <w:bodyDiv w:val="1"/>
      <w:marLeft w:val="0"/>
      <w:marRight w:val="0"/>
      <w:marTop w:val="0"/>
      <w:marBottom w:val="0"/>
      <w:divBdr>
        <w:top w:val="none" w:sz="0" w:space="0" w:color="auto"/>
        <w:left w:val="none" w:sz="0" w:space="0" w:color="auto"/>
        <w:bottom w:val="none" w:sz="0" w:space="0" w:color="auto"/>
        <w:right w:val="none" w:sz="0" w:space="0" w:color="auto"/>
      </w:divBdr>
    </w:div>
    <w:div w:id="111905950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9316530">
      <w:bodyDiv w:val="1"/>
      <w:marLeft w:val="0"/>
      <w:marRight w:val="0"/>
      <w:marTop w:val="0"/>
      <w:marBottom w:val="0"/>
      <w:divBdr>
        <w:top w:val="none" w:sz="0" w:space="0" w:color="auto"/>
        <w:left w:val="none" w:sz="0" w:space="0" w:color="auto"/>
        <w:bottom w:val="none" w:sz="0" w:space="0" w:color="auto"/>
        <w:right w:val="none" w:sz="0" w:space="0" w:color="auto"/>
      </w:divBdr>
    </w:div>
    <w:div w:id="160276277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1632">
      <w:bodyDiv w:val="1"/>
      <w:marLeft w:val="0"/>
      <w:marRight w:val="0"/>
      <w:marTop w:val="0"/>
      <w:marBottom w:val="0"/>
      <w:divBdr>
        <w:top w:val="none" w:sz="0" w:space="0" w:color="auto"/>
        <w:left w:val="none" w:sz="0" w:space="0" w:color="auto"/>
        <w:bottom w:val="none" w:sz="0" w:space="0" w:color="auto"/>
        <w:right w:val="none" w:sz="0" w:space="0" w:color="auto"/>
      </w:divBdr>
    </w:div>
    <w:div w:id="2050569378">
      <w:bodyDiv w:val="1"/>
      <w:marLeft w:val="0"/>
      <w:marRight w:val="0"/>
      <w:marTop w:val="0"/>
      <w:marBottom w:val="0"/>
      <w:divBdr>
        <w:top w:val="none" w:sz="0" w:space="0" w:color="auto"/>
        <w:left w:val="none" w:sz="0" w:space="0" w:color="auto"/>
        <w:bottom w:val="none" w:sz="0" w:space="0" w:color="auto"/>
        <w:right w:val="none" w:sz="0" w:space="0" w:color="auto"/>
      </w:divBdr>
    </w:div>
    <w:div w:id="209716839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3F3D-819D-4814-8E90-313A2DB9D0DA}">
  <ds:schemaRefs>
    <ds:schemaRef ds:uri="http://schemas.openxmlformats.org/officeDocument/2006/bibliography"/>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165</TotalTime>
  <Pages>6</Pages>
  <Words>3902</Words>
  <Characters>22248</Characters>
  <Application>Microsoft Office Word</Application>
  <DocSecurity>0</DocSecurity>
  <Lines>185</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Francesca MALVANO</cp:lastModifiedBy>
  <cp:revision>34</cp:revision>
  <cp:lastPrinted>2015-05-12T18:31:00Z</cp:lastPrinted>
  <dcterms:created xsi:type="dcterms:W3CDTF">2025-03-10T09:14:00Z</dcterms:created>
  <dcterms:modified xsi:type="dcterms:W3CDTF">2025-06-12T19:55:00Z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74341c8a8ba5b94420b2a2975118b1e4995ad3f76e85769790b2cc81c421fcaf</vt:lpwstr>
  </property>
</Properties>
</file>