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3A646" w14:textId="77777777" w:rsidR="003F1AC5" w:rsidRDefault="003F1AC5">
      <w:pPr>
        <w:widowControl w:val="0"/>
        <w:pBdr>
          <w:top w:val="nil"/>
          <w:left w:val="nil"/>
          <w:bottom w:val="nil"/>
          <w:right w:val="nil"/>
          <w:between w:val="nil"/>
        </w:pBdr>
        <w:spacing w:line="276" w:lineRule="auto"/>
        <w:jc w:val="left"/>
        <w:rPr>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3F1AC5" w14:paraId="5A44B2EB" w14:textId="77777777">
        <w:trPr>
          <w:trHeight w:val="852"/>
          <w:jc w:val="center"/>
        </w:trPr>
        <w:tc>
          <w:tcPr>
            <w:tcW w:w="6940" w:type="dxa"/>
            <w:vMerge w:val="restart"/>
            <w:tcBorders>
              <w:right w:val="single" w:sz="4" w:space="0" w:color="000000"/>
            </w:tcBorders>
          </w:tcPr>
          <w:p w14:paraId="044ECEA2" w14:textId="77777777" w:rsidR="003F1AC5"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0B1E314E" wp14:editId="20563A1B">
                  <wp:extent cx="640080" cy="373380"/>
                  <wp:effectExtent l="0" t="0" r="0" b="0"/>
                  <wp:docPr id="2111404037" name="image1.jpg" descr="cetlogo"/>
                  <wp:cNvGraphicFramePr/>
                  <a:graphic xmlns:a="http://schemas.openxmlformats.org/drawingml/2006/main">
                    <a:graphicData uri="http://schemas.openxmlformats.org/drawingml/2006/picture">
                      <pic:pic xmlns:pic="http://schemas.openxmlformats.org/drawingml/2006/picture">
                        <pic:nvPicPr>
                          <pic:cNvPr id="0" name="image1.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5E59D26C" w14:textId="77777777" w:rsidR="003F1AC5" w:rsidRDefault="00000000">
            <w:pPr>
              <w:tabs>
                <w:tab w:val="left" w:pos="-108"/>
              </w:tabs>
              <w:ind w:left="-108"/>
              <w:rPr>
                <w:b/>
                <w:i/>
                <w:color w:val="000066"/>
                <w:sz w:val="22"/>
                <w:szCs w:val="22"/>
              </w:rPr>
            </w:pPr>
            <w:r>
              <w:rPr>
                <w:b/>
                <w:i/>
                <w:color w:val="000066"/>
                <w:sz w:val="22"/>
                <w:szCs w:val="22"/>
              </w:rPr>
              <w:t xml:space="preserve">VOL.  </w:t>
            </w:r>
            <w:proofErr w:type="gramStart"/>
            <w:r>
              <w:rPr>
                <w:b/>
                <w:i/>
                <w:color w:val="000066"/>
                <w:sz w:val="22"/>
                <w:szCs w:val="22"/>
              </w:rPr>
              <w:t xml:space="preserve">  ,</w:t>
            </w:r>
            <w:proofErr w:type="gramEnd"/>
            <w:r>
              <w:rPr>
                <w:b/>
                <w:i/>
                <w:color w:val="000066"/>
                <w:sz w:val="22"/>
                <w:szCs w:val="22"/>
              </w:rPr>
              <w:t xml:space="preserve"> 2025</w:t>
            </w:r>
          </w:p>
        </w:tc>
        <w:tc>
          <w:tcPr>
            <w:tcW w:w="1842" w:type="dxa"/>
            <w:tcBorders>
              <w:left w:val="single" w:sz="4" w:space="0" w:color="000000"/>
              <w:bottom w:val="nil"/>
              <w:right w:val="single" w:sz="4" w:space="0" w:color="000000"/>
            </w:tcBorders>
          </w:tcPr>
          <w:p w14:paraId="36EA7491" w14:textId="77777777" w:rsidR="003F1AC5" w:rsidRDefault="00000000">
            <w:pPr>
              <w:jc w:val="right"/>
              <w:rPr>
                <w:sz w:val="14"/>
                <w:szCs w:val="14"/>
              </w:rPr>
            </w:pPr>
            <w:r>
              <w:rPr>
                <w:sz w:val="14"/>
                <w:szCs w:val="14"/>
              </w:rPr>
              <w:t>A publication of</w:t>
            </w:r>
          </w:p>
          <w:p w14:paraId="5B86B7C4" w14:textId="77777777" w:rsidR="003F1AC5" w:rsidRDefault="00000000">
            <w:pPr>
              <w:jc w:val="right"/>
            </w:pPr>
            <w:r>
              <w:rPr>
                <w:noProof/>
              </w:rPr>
              <w:drawing>
                <wp:inline distT="0" distB="0" distL="0" distR="0" wp14:anchorId="26FFDD33" wp14:editId="40D5BAA1">
                  <wp:extent cx="670560" cy="358140"/>
                  <wp:effectExtent l="0" t="0" r="0" b="0"/>
                  <wp:docPr id="2111404038" name="image7.jpg" descr="aidiclogo_grande"/>
                  <wp:cNvGraphicFramePr/>
                  <a:graphic xmlns:a="http://schemas.openxmlformats.org/drawingml/2006/main">
                    <a:graphicData uri="http://schemas.openxmlformats.org/drawingml/2006/picture">
                      <pic:pic xmlns:pic="http://schemas.openxmlformats.org/drawingml/2006/picture">
                        <pic:nvPicPr>
                          <pic:cNvPr id="0" name="image7.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3F1AC5" w14:paraId="4FAACB97" w14:textId="77777777">
        <w:trPr>
          <w:trHeight w:val="567"/>
          <w:jc w:val="center"/>
        </w:trPr>
        <w:tc>
          <w:tcPr>
            <w:tcW w:w="6940" w:type="dxa"/>
            <w:vMerge/>
            <w:tcBorders>
              <w:right w:val="single" w:sz="4" w:space="0" w:color="000000"/>
            </w:tcBorders>
          </w:tcPr>
          <w:p w14:paraId="1890BD9C" w14:textId="77777777" w:rsidR="003F1AC5" w:rsidRDefault="003F1AC5">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03C6D428" w14:textId="77777777" w:rsidR="003F1AC5" w:rsidRDefault="00000000">
            <w:pPr>
              <w:jc w:val="right"/>
              <w:rPr>
                <w:sz w:val="14"/>
                <w:szCs w:val="14"/>
              </w:rPr>
            </w:pPr>
            <w:r>
              <w:rPr>
                <w:sz w:val="14"/>
                <w:szCs w:val="14"/>
              </w:rPr>
              <w:t>The Italian Association</w:t>
            </w:r>
          </w:p>
          <w:p w14:paraId="7DC5A4C5" w14:textId="77777777" w:rsidR="003F1AC5" w:rsidRDefault="00000000">
            <w:pPr>
              <w:jc w:val="right"/>
              <w:rPr>
                <w:sz w:val="14"/>
                <w:szCs w:val="14"/>
              </w:rPr>
            </w:pPr>
            <w:r>
              <w:rPr>
                <w:sz w:val="14"/>
                <w:szCs w:val="14"/>
              </w:rPr>
              <w:t>of Chemical Engineering</w:t>
            </w:r>
          </w:p>
          <w:p w14:paraId="224F1A25" w14:textId="77777777" w:rsidR="003F1AC5" w:rsidRDefault="00000000">
            <w:pPr>
              <w:jc w:val="right"/>
              <w:rPr>
                <w:sz w:val="13"/>
                <w:szCs w:val="13"/>
              </w:rPr>
            </w:pPr>
            <w:r>
              <w:rPr>
                <w:sz w:val="13"/>
                <w:szCs w:val="13"/>
              </w:rPr>
              <w:t>Online at www.cetjournal.it</w:t>
            </w:r>
          </w:p>
        </w:tc>
      </w:tr>
      <w:tr w:rsidR="003F1AC5" w14:paraId="2A8AD060" w14:textId="77777777">
        <w:trPr>
          <w:trHeight w:val="68"/>
          <w:jc w:val="center"/>
        </w:trPr>
        <w:tc>
          <w:tcPr>
            <w:tcW w:w="8782" w:type="dxa"/>
            <w:gridSpan w:val="2"/>
          </w:tcPr>
          <w:p w14:paraId="66514B00" w14:textId="77777777" w:rsidR="003F1AC5" w:rsidRPr="00344845" w:rsidRDefault="00000000">
            <w:pPr>
              <w:ind w:left="-107"/>
              <w:rPr>
                <w:rFonts w:ascii="Tahoma" w:eastAsia="Tahoma" w:hAnsi="Tahoma" w:cs="Tahoma"/>
                <w:color w:val="000000"/>
                <w:sz w:val="14"/>
                <w:szCs w:val="14"/>
                <w:lang w:val="it-IT"/>
              </w:rPr>
            </w:pPr>
            <w:r w:rsidRPr="00344845">
              <w:rPr>
                <w:rFonts w:ascii="Tahoma" w:eastAsia="Tahoma" w:hAnsi="Tahoma" w:cs="Tahoma"/>
                <w:color w:val="333333"/>
                <w:sz w:val="14"/>
                <w:szCs w:val="14"/>
                <w:lang w:val="it-IT"/>
              </w:rPr>
              <w:t>Guest Editors:</w:t>
            </w:r>
            <w:r w:rsidRPr="00344845">
              <w:rPr>
                <w:rFonts w:ascii="Tahoma" w:eastAsia="Tahoma" w:hAnsi="Tahoma" w:cs="Tahoma"/>
                <w:color w:val="000000"/>
                <w:sz w:val="14"/>
                <w:szCs w:val="14"/>
                <w:highlight w:val="white"/>
                <w:lang w:val="it-IT"/>
              </w:rPr>
              <w:t xml:space="preserve"> Laura Piazza, Francesco </w:t>
            </w:r>
            <w:proofErr w:type="spellStart"/>
            <w:r w:rsidRPr="00344845">
              <w:rPr>
                <w:rFonts w:ascii="Tahoma" w:eastAsia="Tahoma" w:hAnsi="Tahoma" w:cs="Tahoma"/>
                <w:color w:val="000000"/>
                <w:sz w:val="14"/>
                <w:szCs w:val="14"/>
                <w:highlight w:val="white"/>
                <w:lang w:val="it-IT"/>
              </w:rPr>
              <w:t>Donsì</w:t>
            </w:r>
            <w:proofErr w:type="spellEnd"/>
            <w:r w:rsidRPr="00344845">
              <w:rPr>
                <w:rFonts w:ascii="Tahoma" w:eastAsia="Tahoma" w:hAnsi="Tahoma" w:cs="Tahoma"/>
                <w:color w:val="000000"/>
                <w:sz w:val="14"/>
                <w:szCs w:val="14"/>
                <w:highlight w:val="white"/>
                <w:lang w:val="it-IT"/>
              </w:rPr>
              <w:t>, Giorgia Spigno</w:t>
            </w:r>
          </w:p>
          <w:p w14:paraId="57B73576" w14:textId="77777777" w:rsidR="003F1AC5" w:rsidRDefault="00000000">
            <w:pPr>
              <w:tabs>
                <w:tab w:val="left" w:pos="-108"/>
              </w:tabs>
              <w:ind w:left="-107"/>
              <w:jc w:val="left"/>
            </w:pPr>
            <w:r>
              <w:rPr>
                <w:rFonts w:ascii="Tahoma" w:eastAsia="Tahoma" w:hAnsi="Tahoma" w:cs="Tahoma"/>
                <w:color w:val="333333"/>
                <w:sz w:val="14"/>
                <w:szCs w:val="14"/>
              </w:rPr>
              <w:t xml:space="preserve">Copyright © 2025, AIDIC </w:t>
            </w:r>
            <w:proofErr w:type="spellStart"/>
            <w:r>
              <w:rPr>
                <w:rFonts w:ascii="Tahoma" w:eastAsia="Tahoma" w:hAnsi="Tahoma" w:cs="Tahoma"/>
                <w:color w:val="333333"/>
                <w:sz w:val="14"/>
                <w:szCs w:val="14"/>
              </w:rPr>
              <w:t>Servizi</w:t>
            </w:r>
            <w:proofErr w:type="spellEnd"/>
            <w:r>
              <w:rPr>
                <w:rFonts w:ascii="Tahoma" w:eastAsia="Tahoma" w:hAnsi="Tahoma" w:cs="Tahoma"/>
                <w:color w:val="333333"/>
                <w:sz w:val="14"/>
                <w:szCs w:val="14"/>
              </w:rPr>
              <w:t xml:space="preserve"> </w:t>
            </w:r>
            <w:proofErr w:type="spellStart"/>
            <w:r>
              <w:rPr>
                <w:rFonts w:ascii="Tahoma" w:eastAsia="Tahoma" w:hAnsi="Tahoma" w:cs="Tahoma"/>
                <w:color w:val="333333"/>
                <w:sz w:val="14"/>
                <w:szCs w:val="14"/>
              </w:rPr>
              <w:t>S.r.l</w:t>
            </w:r>
            <w:proofErr w:type="spellEnd"/>
            <w:r>
              <w:rPr>
                <w:rFonts w:ascii="Tahoma" w:eastAsia="Tahoma" w:hAnsi="Tahoma" w:cs="Tahoma"/>
                <w:color w:val="333333"/>
                <w:sz w:val="14"/>
                <w:szCs w:val="14"/>
              </w:rPr>
              <w:t>.</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979-12-81206-19-9</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2A68CAEB" w14:textId="77777777" w:rsidR="003F1AC5" w:rsidRDefault="00000000" w:rsidP="00B50AA1">
      <w:pPr>
        <w:pBdr>
          <w:top w:val="nil"/>
          <w:left w:val="nil"/>
          <w:bottom w:val="nil"/>
          <w:right w:val="nil"/>
          <w:between w:val="nil"/>
        </w:pBdr>
        <w:spacing w:before="360" w:after="120"/>
        <w:jc w:val="center"/>
        <w:rPr>
          <w:color w:val="000000"/>
          <w:sz w:val="32"/>
          <w:szCs w:val="32"/>
        </w:rPr>
      </w:pPr>
      <w:r>
        <w:rPr>
          <w:color w:val="000000"/>
          <w:sz w:val="32"/>
          <w:szCs w:val="32"/>
        </w:rPr>
        <w:t>Pasta drying modeling for product quality and process optimization</w:t>
      </w:r>
    </w:p>
    <w:p w14:paraId="113D5D42" w14:textId="77777777" w:rsidR="003F1AC5" w:rsidRPr="00344845" w:rsidRDefault="00000000">
      <w:pPr>
        <w:keepNext/>
        <w:pBdr>
          <w:top w:val="nil"/>
          <w:left w:val="nil"/>
          <w:bottom w:val="nil"/>
          <w:right w:val="nil"/>
          <w:between w:val="nil"/>
        </w:pBdr>
        <w:spacing w:after="120"/>
        <w:rPr>
          <w:color w:val="000000"/>
          <w:sz w:val="24"/>
          <w:szCs w:val="24"/>
          <w:lang w:val="it-IT"/>
        </w:rPr>
      </w:pPr>
      <w:r w:rsidRPr="00344845">
        <w:rPr>
          <w:color w:val="000000"/>
          <w:sz w:val="24"/>
          <w:szCs w:val="24"/>
          <w:lang w:val="it-IT"/>
        </w:rPr>
        <w:t xml:space="preserve">Francesco </w:t>
      </w:r>
      <w:proofErr w:type="spellStart"/>
      <w:r w:rsidRPr="00344845">
        <w:rPr>
          <w:color w:val="000000"/>
          <w:sz w:val="24"/>
          <w:szCs w:val="24"/>
          <w:lang w:val="it-IT"/>
        </w:rPr>
        <w:t>Petrosino</w:t>
      </w:r>
      <w:r w:rsidRPr="00344845">
        <w:rPr>
          <w:color w:val="000000"/>
          <w:sz w:val="24"/>
          <w:szCs w:val="24"/>
          <w:vertAlign w:val="superscript"/>
          <w:lang w:val="it-IT"/>
        </w:rPr>
        <w:t>a</w:t>
      </w:r>
      <w:proofErr w:type="spellEnd"/>
      <w:r w:rsidRPr="00344845">
        <w:rPr>
          <w:color w:val="000000"/>
          <w:sz w:val="24"/>
          <w:szCs w:val="24"/>
          <w:lang w:val="it-IT"/>
        </w:rPr>
        <w:t xml:space="preserve">*, Gaetano </w:t>
      </w:r>
      <w:proofErr w:type="spellStart"/>
      <w:r w:rsidRPr="00344845">
        <w:rPr>
          <w:color w:val="000000"/>
          <w:sz w:val="24"/>
          <w:szCs w:val="24"/>
          <w:lang w:val="it-IT"/>
        </w:rPr>
        <w:t>Adduci</w:t>
      </w:r>
      <w:r w:rsidRPr="00344845">
        <w:rPr>
          <w:color w:val="000000"/>
          <w:sz w:val="24"/>
          <w:szCs w:val="24"/>
          <w:vertAlign w:val="superscript"/>
          <w:lang w:val="it-IT"/>
        </w:rPr>
        <w:t>a</w:t>
      </w:r>
      <w:proofErr w:type="spellEnd"/>
      <w:r w:rsidRPr="00344845">
        <w:rPr>
          <w:color w:val="000000"/>
          <w:sz w:val="24"/>
          <w:szCs w:val="24"/>
          <w:lang w:val="it-IT"/>
        </w:rPr>
        <w:t xml:space="preserve">, Eleonora </w:t>
      </w:r>
      <w:proofErr w:type="spellStart"/>
      <w:r w:rsidRPr="00344845">
        <w:rPr>
          <w:color w:val="000000"/>
          <w:sz w:val="24"/>
          <w:szCs w:val="24"/>
          <w:lang w:val="it-IT"/>
        </w:rPr>
        <w:t>Manoli</w:t>
      </w:r>
      <w:r w:rsidRPr="00344845">
        <w:rPr>
          <w:color w:val="000000"/>
          <w:sz w:val="24"/>
          <w:szCs w:val="24"/>
          <w:vertAlign w:val="superscript"/>
          <w:lang w:val="it-IT"/>
        </w:rPr>
        <w:t>b</w:t>
      </w:r>
      <w:proofErr w:type="spellEnd"/>
      <w:r w:rsidRPr="00344845">
        <w:rPr>
          <w:color w:val="000000"/>
          <w:sz w:val="24"/>
          <w:szCs w:val="24"/>
          <w:lang w:val="it-IT"/>
        </w:rPr>
        <w:t xml:space="preserve">, Emily </w:t>
      </w:r>
      <w:proofErr w:type="spellStart"/>
      <w:r w:rsidRPr="00344845">
        <w:rPr>
          <w:color w:val="000000"/>
          <w:sz w:val="24"/>
          <w:szCs w:val="24"/>
          <w:lang w:val="it-IT"/>
        </w:rPr>
        <w:t>Cardaropoli</w:t>
      </w:r>
      <w:r w:rsidRPr="00344845">
        <w:rPr>
          <w:color w:val="000000"/>
          <w:sz w:val="24"/>
          <w:szCs w:val="24"/>
          <w:vertAlign w:val="superscript"/>
          <w:lang w:val="it-IT"/>
        </w:rPr>
        <w:t>b</w:t>
      </w:r>
      <w:proofErr w:type="spellEnd"/>
      <w:r w:rsidRPr="00344845">
        <w:rPr>
          <w:color w:val="000000"/>
          <w:sz w:val="24"/>
          <w:szCs w:val="24"/>
          <w:lang w:val="it-IT"/>
        </w:rPr>
        <w:t xml:space="preserve">, Gerardo </w:t>
      </w:r>
      <w:proofErr w:type="spellStart"/>
      <w:r w:rsidRPr="00344845">
        <w:rPr>
          <w:color w:val="000000"/>
          <w:sz w:val="24"/>
          <w:szCs w:val="24"/>
          <w:lang w:val="it-IT"/>
        </w:rPr>
        <w:t>Coppola</w:t>
      </w:r>
      <w:r w:rsidRPr="00344845">
        <w:rPr>
          <w:color w:val="000000"/>
          <w:sz w:val="24"/>
          <w:szCs w:val="24"/>
          <w:vertAlign w:val="superscript"/>
          <w:lang w:val="it-IT"/>
        </w:rPr>
        <w:t>a</w:t>
      </w:r>
      <w:proofErr w:type="spellEnd"/>
      <w:r w:rsidRPr="00344845">
        <w:rPr>
          <w:color w:val="000000"/>
          <w:sz w:val="24"/>
          <w:szCs w:val="24"/>
          <w:lang w:val="it-IT"/>
        </w:rPr>
        <w:t xml:space="preserve">, Stefano </w:t>
      </w:r>
      <w:proofErr w:type="spellStart"/>
      <w:r w:rsidRPr="00344845">
        <w:rPr>
          <w:color w:val="000000"/>
          <w:sz w:val="24"/>
          <w:szCs w:val="24"/>
          <w:lang w:val="it-IT"/>
        </w:rPr>
        <w:t>Curcio</w:t>
      </w:r>
      <w:r w:rsidRPr="00344845">
        <w:rPr>
          <w:color w:val="000000"/>
          <w:sz w:val="24"/>
          <w:szCs w:val="24"/>
          <w:vertAlign w:val="superscript"/>
          <w:lang w:val="it-IT"/>
        </w:rPr>
        <w:t>a</w:t>
      </w:r>
      <w:proofErr w:type="spellEnd"/>
    </w:p>
    <w:p w14:paraId="7A2F762E" w14:textId="77777777" w:rsidR="003F1AC5" w:rsidRDefault="00000000">
      <w:pPr>
        <w:keepNext/>
        <w:pBdr>
          <w:top w:val="nil"/>
          <w:left w:val="nil"/>
          <w:bottom w:val="nil"/>
          <w:right w:val="nil"/>
          <w:between w:val="nil"/>
        </w:pBdr>
        <w:spacing w:line="276" w:lineRule="auto"/>
        <w:jc w:val="left"/>
        <w:rPr>
          <w:color w:val="000000"/>
          <w:sz w:val="16"/>
          <w:szCs w:val="16"/>
        </w:rPr>
      </w:pPr>
      <w:proofErr w:type="spellStart"/>
      <w:r>
        <w:rPr>
          <w:color w:val="000000"/>
          <w:sz w:val="16"/>
          <w:szCs w:val="16"/>
          <w:vertAlign w:val="superscript"/>
        </w:rPr>
        <w:t>a</w:t>
      </w:r>
      <w:r>
        <w:rPr>
          <w:color w:val="000000"/>
          <w:sz w:val="16"/>
          <w:szCs w:val="16"/>
        </w:rPr>
        <w:t>Department</w:t>
      </w:r>
      <w:proofErr w:type="spellEnd"/>
      <w:r>
        <w:rPr>
          <w:color w:val="000000"/>
          <w:sz w:val="16"/>
          <w:szCs w:val="16"/>
        </w:rPr>
        <w:t xml:space="preserve"> of Computer Engineering, Modeling, Electronics and Systems (D.I.M.E.S.), Laboratory of Transport Phenomena and Biotechnology, University of Calabria, Ponte P. Bucci, </w:t>
      </w:r>
      <w:proofErr w:type="spellStart"/>
      <w:r>
        <w:rPr>
          <w:color w:val="000000"/>
          <w:sz w:val="16"/>
          <w:szCs w:val="16"/>
        </w:rPr>
        <w:t>Cubo</w:t>
      </w:r>
      <w:proofErr w:type="spellEnd"/>
      <w:r>
        <w:rPr>
          <w:color w:val="000000"/>
          <w:sz w:val="16"/>
          <w:szCs w:val="16"/>
        </w:rPr>
        <w:t xml:space="preserve"> 42/a, 87036 Rende (CS), </w:t>
      </w:r>
      <w:proofErr w:type="gramStart"/>
      <w:r>
        <w:rPr>
          <w:color w:val="000000"/>
          <w:sz w:val="16"/>
          <w:szCs w:val="16"/>
        </w:rPr>
        <w:t>Italy;</w:t>
      </w:r>
      <w:proofErr w:type="gramEnd"/>
    </w:p>
    <w:p w14:paraId="09D5AE50" w14:textId="77777777" w:rsidR="003F1AC5" w:rsidRPr="00344845" w:rsidRDefault="00000000">
      <w:pPr>
        <w:keepNext/>
        <w:pBdr>
          <w:top w:val="nil"/>
          <w:left w:val="nil"/>
          <w:bottom w:val="nil"/>
          <w:right w:val="nil"/>
          <w:between w:val="nil"/>
        </w:pBdr>
        <w:spacing w:line="276" w:lineRule="auto"/>
        <w:jc w:val="left"/>
        <w:rPr>
          <w:color w:val="000000"/>
          <w:sz w:val="16"/>
          <w:szCs w:val="16"/>
          <w:lang w:val="it-IT"/>
        </w:rPr>
      </w:pPr>
      <w:proofErr w:type="spellStart"/>
      <w:r w:rsidRPr="00344845">
        <w:rPr>
          <w:color w:val="000000"/>
          <w:sz w:val="16"/>
          <w:szCs w:val="16"/>
          <w:vertAlign w:val="superscript"/>
          <w:lang w:val="it-IT"/>
        </w:rPr>
        <w:t>b</w:t>
      </w:r>
      <w:r w:rsidRPr="00344845">
        <w:rPr>
          <w:color w:val="000000"/>
          <w:sz w:val="16"/>
          <w:szCs w:val="16"/>
          <w:lang w:val="it-IT"/>
        </w:rPr>
        <w:t>Barilla</w:t>
      </w:r>
      <w:proofErr w:type="spellEnd"/>
      <w:r w:rsidRPr="00344845">
        <w:rPr>
          <w:color w:val="000000"/>
          <w:sz w:val="16"/>
          <w:szCs w:val="16"/>
          <w:lang w:val="it-IT"/>
        </w:rPr>
        <w:t xml:space="preserve"> G. e R. Fratelli </w:t>
      </w:r>
      <w:proofErr w:type="spellStart"/>
      <w:r w:rsidRPr="00344845">
        <w:rPr>
          <w:color w:val="000000"/>
          <w:sz w:val="16"/>
          <w:szCs w:val="16"/>
          <w:lang w:val="it-IT"/>
        </w:rPr>
        <w:t>S.p.A</w:t>
      </w:r>
      <w:proofErr w:type="spellEnd"/>
      <w:r w:rsidRPr="00344845">
        <w:rPr>
          <w:color w:val="000000"/>
          <w:sz w:val="16"/>
          <w:szCs w:val="16"/>
          <w:lang w:val="it-IT"/>
        </w:rPr>
        <w:t xml:space="preserve">, Via Mantova 166, 43122 Parma. </w:t>
      </w:r>
      <w:proofErr w:type="spellStart"/>
      <w:r w:rsidRPr="00344845">
        <w:rPr>
          <w:color w:val="000000"/>
          <w:sz w:val="16"/>
          <w:szCs w:val="16"/>
          <w:lang w:val="it-IT"/>
        </w:rPr>
        <w:t>Italy</w:t>
      </w:r>
      <w:proofErr w:type="spellEnd"/>
      <w:r w:rsidRPr="00344845">
        <w:rPr>
          <w:color w:val="000000"/>
          <w:sz w:val="16"/>
          <w:szCs w:val="16"/>
          <w:lang w:val="it-IT"/>
        </w:rPr>
        <w:t>;</w:t>
      </w:r>
    </w:p>
    <w:p w14:paraId="658CE03E" w14:textId="77777777" w:rsidR="003F1AC5" w:rsidRPr="00344845" w:rsidRDefault="003F1AC5" w:rsidP="00B50AA1">
      <w:pPr>
        <w:pBdr>
          <w:top w:val="nil"/>
          <w:left w:val="nil"/>
          <w:bottom w:val="nil"/>
          <w:right w:val="nil"/>
          <w:between w:val="nil"/>
        </w:pBdr>
        <w:spacing w:after="120" w:line="276" w:lineRule="auto"/>
        <w:jc w:val="left"/>
        <w:rPr>
          <w:color w:val="000000"/>
          <w:sz w:val="16"/>
          <w:szCs w:val="16"/>
          <w:lang w:val="it-IT"/>
        </w:rPr>
      </w:pPr>
      <w:hyperlink r:id="rId9">
        <w:r w:rsidRPr="00344845">
          <w:rPr>
            <w:color w:val="0000FF"/>
            <w:sz w:val="16"/>
            <w:szCs w:val="16"/>
            <w:u w:val="single"/>
            <w:lang w:val="it-IT"/>
          </w:rPr>
          <w:t>f.petrosino@dimes.unical.it</w:t>
        </w:r>
      </w:hyperlink>
      <w:r w:rsidRPr="00344845">
        <w:rPr>
          <w:color w:val="000000"/>
          <w:sz w:val="16"/>
          <w:szCs w:val="16"/>
          <w:lang w:val="it-IT"/>
        </w:rPr>
        <w:t xml:space="preserve"> </w:t>
      </w:r>
    </w:p>
    <w:p w14:paraId="688398AA" w14:textId="77777777" w:rsidR="003F1AC5" w:rsidRDefault="00000000">
      <w:r>
        <w:t>In the field of pasta drying, where accurate prediction of temperature and moisture content distribution is critical, the use of modeling and simulation plays a key role. This study aims to assess operational conditions that ensure the production of safe, high-quality pasta. An advanced two-domain model was developed and solved to estimate transport phenomena in both the food and air domains. Unlike traditional models that rely on predefined interfacial heat and mass transfer coefficients, the proposed model serves as a flexible tool applicable across a wide range of process and fluid-dynamic conditions in real pasta dryers. The system of nonlinear unsteady-state partial differential equations governing the behavior of a "</w:t>
      </w:r>
      <w:proofErr w:type="spellStart"/>
      <w:r>
        <w:t>Rigatone</w:t>
      </w:r>
      <w:proofErr w:type="spellEnd"/>
      <w:r>
        <w:t>" pasta sample in a dryer was solved using the finite element method to evaluate how air properties affect drying performance. A pilot-scale drying chamber was used for model validation at inlet air temperatures (</w:t>
      </w:r>
      <w:proofErr w:type="spellStart"/>
      <w:proofErr w:type="gramStart"/>
      <w:r>
        <w:t>Ta,in</w:t>
      </w:r>
      <w:proofErr w:type="spellEnd"/>
      <w:proofErr w:type="gramEnd"/>
      <w:r>
        <w:t>) of 80 °C and relative humidity levels (</w:t>
      </w:r>
      <w:proofErr w:type="spellStart"/>
      <w:r>
        <w:t>RHin</w:t>
      </w:r>
      <w:proofErr w:type="spellEnd"/>
      <w:r>
        <w:t>) of 50% and 60%, with consistent errors below 10%.</w:t>
      </w:r>
    </w:p>
    <w:p w14:paraId="0D3442CC" w14:textId="22747FF3" w:rsidR="00344845" w:rsidRDefault="00000000" w:rsidP="00344845">
      <w:pPr>
        <w:pStyle w:val="CETHeading1"/>
      </w:pPr>
      <w:r>
        <w:rPr>
          <w:rFonts w:eastAsia="Arial"/>
        </w:rPr>
        <w:t>Introduction</w:t>
      </w:r>
    </w:p>
    <w:p w14:paraId="4CBD3B43" w14:textId="75450101" w:rsidR="003F1AC5" w:rsidRDefault="00000000">
      <w:pPr>
        <w:pBdr>
          <w:top w:val="nil"/>
          <w:left w:val="nil"/>
          <w:bottom w:val="nil"/>
          <w:right w:val="nil"/>
          <w:between w:val="nil"/>
        </w:pBdr>
        <w:rPr>
          <w:color w:val="000000"/>
        </w:rPr>
      </w:pPr>
      <w:r>
        <w:rPr>
          <w:color w:val="000000"/>
        </w:rPr>
        <w:t xml:space="preserve">The production of pasta is an ancient art that has evolved over centuries, blending tradition with modern technology. From the rolling and cutting of dough to its final drying phase, each step in the process plays a critical role in determining the quality of the final product. </w:t>
      </w:r>
      <w:r w:rsidR="00B62532">
        <w:rPr>
          <w:color w:val="000000"/>
        </w:rPr>
        <w:t>D</w:t>
      </w:r>
      <w:r>
        <w:rPr>
          <w:color w:val="000000"/>
        </w:rPr>
        <w:t>rying stands out as one of the most crucial stages, influencing both the sensory attributes (such as texture and flavor) and shelf life of pasta. (Guo et al., 2017).</w:t>
      </w:r>
    </w:p>
    <w:p w14:paraId="5458C69F" w14:textId="6947AE0B" w:rsidR="003F1AC5" w:rsidRDefault="00000000">
      <w:pPr>
        <w:pBdr>
          <w:top w:val="nil"/>
          <w:left w:val="nil"/>
          <w:bottom w:val="nil"/>
          <w:right w:val="nil"/>
          <w:between w:val="nil"/>
        </w:pBdr>
        <w:rPr>
          <w:color w:val="000000"/>
        </w:rPr>
      </w:pPr>
      <w:r>
        <w:rPr>
          <w:color w:val="000000"/>
        </w:rPr>
        <w:t>In recent years, there has been growing interest in developing mathematical models to simulate and optimize the pasta drying process. By leveraging advanced computational tools, researchers and industry professionals are now able to predict how different drying parameters—such as temperature, humidity, air velocity, and time—affect the quality of the final product. This enables more efficient use of resources, reduced energy consumption, and improved process control (Li et al., 2019).</w:t>
      </w:r>
    </w:p>
    <w:p w14:paraId="6CC89EBF" w14:textId="0237D692" w:rsidR="003F1AC5" w:rsidRDefault="00000000">
      <w:pPr>
        <w:pBdr>
          <w:top w:val="nil"/>
          <w:left w:val="nil"/>
          <w:bottom w:val="nil"/>
          <w:right w:val="nil"/>
          <w:between w:val="nil"/>
        </w:pBdr>
        <w:rPr>
          <w:color w:val="000000"/>
        </w:rPr>
      </w:pPr>
      <w:r>
        <w:rPr>
          <w:color w:val="000000"/>
        </w:rPr>
        <w:t xml:space="preserve">Pasta </w:t>
      </w:r>
      <w:proofErr w:type="gramStart"/>
      <w:r>
        <w:rPr>
          <w:color w:val="000000"/>
        </w:rPr>
        <w:t>drying modeling</w:t>
      </w:r>
      <w:proofErr w:type="gramEnd"/>
      <w:r>
        <w:rPr>
          <w:color w:val="000000"/>
        </w:rPr>
        <w:t xml:space="preserve"> represents a bridge between scientific inquiry and industrial practice. By bridging this gap, new possibilities can be unlocked for innovation in the pasta industry. As consumer expectations grow increasingly sophisticated, the ability to tailor drying processes to specific product requirements becomes ever more vital. Through rigorous research and application of robust modeling techniques, manufacturers can meet these demands while maintaining cost-effectiveness and sustainability (Chen &amp; Auerswald, 2018; Jamwal et al., 2020).</w:t>
      </w:r>
    </w:p>
    <w:p w14:paraId="677EEF2F" w14:textId="124BDCD6" w:rsidR="003F1AC5" w:rsidRDefault="00000000">
      <w:pPr>
        <w:pBdr>
          <w:top w:val="nil"/>
          <w:left w:val="nil"/>
          <w:bottom w:val="nil"/>
          <w:right w:val="nil"/>
          <w:between w:val="nil"/>
        </w:pBdr>
        <w:rPr>
          <w:color w:val="000000"/>
        </w:rPr>
      </w:pPr>
      <w:r>
        <w:rPr>
          <w:color w:val="000000"/>
        </w:rPr>
        <w:t>The complexity of pasta drying lies in its multifaceted nature, involving simultaneous changes in thermal, mechanical, and biochemical properties. For instance, improper drying conditions may lead to undesirable phenomena such as case hardening, where the outer layer dries too quickly compared to the interior, causing internal stresses and potential breakage. Similarly, insufficient drying times can result in microbial growth or spoilage due to residual moisture. To address these challenges, dynamic models capable of capturing the intricate dynamics of moisture removal and heat distribution throughout the pasta matrix have been developed</w:t>
      </w:r>
      <w:r w:rsidR="00AE1857">
        <w:rPr>
          <w:color w:val="000000"/>
        </w:rPr>
        <w:t xml:space="preserve"> </w:t>
      </w:r>
      <w:r>
        <w:rPr>
          <w:color w:val="000000"/>
        </w:rPr>
        <w:t>(Xu et al., 2024).</w:t>
      </w:r>
    </w:p>
    <w:p w14:paraId="0BAACA33" w14:textId="5C4B9968" w:rsidR="003F1AC5" w:rsidRDefault="00000000">
      <w:pPr>
        <w:pBdr>
          <w:top w:val="nil"/>
          <w:left w:val="nil"/>
          <w:bottom w:val="nil"/>
          <w:right w:val="nil"/>
          <w:between w:val="nil"/>
        </w:pBdr>
        <w:rPr>
          <w:color w:val="000000"/>
        </w:rPr>
      </w:pPr>
      <w:r>
        <w:rPr>
          <w:color w:val="000000"/>
        </w:rPr>
        <w:lastRenderedPageBreak/>
        <w:t>Another key aspect of pasta drying modeling is its contribution to process optimization. In large-scale production facilities, minimizing downtime and maximizing throughput are essential goals. Models can help identify bottlenecks in the drying process, suggest alternative configurations for dryers, and evaluate the trade-offs associated with varying operational settings. This</w:t>
      </w:r>
      <w:r w:rsidR="00AE1857">
        <w:rPr>
          <w:color w:val="000000"/>
        </w:rPr>
        <w:t xml:space="preserve"> </w:t>
      </w:r>
      <w:r>
        <w:rPr>
          <w:color w:val="000000"/>
        </w:rPr>
        <w:t>not only improves product consistency but also reduces waste and lowers operational costs (</w:t>
      </w:r>
      <w:proofErr w:type="spellStart"/>
      <w:r>
        <w:rPr>
          <w:color w:val="000000"/>
        </w:rPr>
        <w:t>Shirkole</w:t>
      </w:r>
      <w:proofErr w:type="spellEnd"/>
      <w:r>
        <w:rPr>
          <w:color w:val="000000"/>
        </w:rPr>
        <w:t xml:space="preserve"> et al., 2020).</w:t>
      </w:r>
    </w:p>
    <w:p w14:paraId="6D59A2EB" w14:textId="75EC1532" w:rsidR="003F1AC5" w:rsidRDefault="00000000">
      <w:pPr>
        <w:pBdr>
          <w:top w:val="nil"/>
          <w:left w:val="nil"/>
          <w:bottom w:val="nil"/>
          <w:right w:val="nil"/>
          <w:between w:val="nil"/>
        </w:pBdr>
        <w:rPr>
          <w:color w:val="000000"/>
        </w:rPr>
      </w:pPr>
      <w:r>
        <w:rPr>
          <w:color w:val="000000"/>
        </w:rPr>
        <w:t>Pasta drying modeling offers a powerful tool for addressing some of the most pressing issues facing the industry today, from reducing energy consumption to enhancing nutritional value. By integrating state-of-the-art modeling techniques with traditional expertise, we can pave the way for a future where high-quality pasta is produced with minimal environmental impact (Aguilar-</w:t>
      </w:r>
      <w:proofErr w:type="spellStart"/>
      <w:r>
        <w:rPr>
          <w:color w:val="000000"/>
        </w:rPr>
        <w:t>Toalá</w:t>
      </w:r>
      <w:proofErr w:type="spellEnd"/>
      <w:r>
        <w:rPr>
          <w:color w:val="000000"/>
        </w:rPr>
        <w:t xml:space="preserve"> et al., 2018; Calabuig-Jiménez et al., 2019).</w:t>
      </w:r>
    </w:p>
    <w:p w14:paraId="22CC14A6" w14:textId="77777777" w:rsidR="003F1AC5" w:rsidRDefault="00000000">
      <w:pPr>
        <w:pBdr>
          <w:top w:val="nil"/>
          <w:left w:val="nil"/>
          <w:bottom w:val="nil"/>
          <w:right w:val="nil"/>
          <w:between w:val="nil"/>
        </w:pBdr>
        <w:rPr>
          <w:color w:val="000000"/>
        </w:rPr>
      </w:pPr>
      <w:r>
        <w:rPr>
          <w:color w:val="000000"/>
        </w:rPr>
        <w:t>The present study extends the investigation into pasta drying by introducing a novel model designed to quantify transport phenomena occurring both within the food matrix and the drying air. Unlike existing models in the literature, this framework uniquely calculates real-time interfacial transport rates, offering a flexible predictive tool adaptable to diverse process configurations and aerodynamic conditions in pasta drying systems (Adduci et al., 2024, 2025).</w:t>
      </w:r>
    </w:p>
    <w:p w14:paraId="0A40E0C7" w14:textId="77777777" w:rsidR="003F1AC5" w:rsidRDefault="00000000">
      <w:pPr>
        <w:pBdr>
          <w:top w:val="nil"/>
          <w:left w:val="nil"/>
          <w:bottom w:val="nil"/>
          <w:right w:val="nil"/>
          <w:between w:val="nil"/>
        </w:pBdr>
        <w:rPr>
          <w:color w:val="000000"/>
        </w:rPr>
      </w:pPr>
      <w:r>
        <w:rPr>
          <w:color w:val="000000"/>
        </w:rPr>
        <w:t>The central objective of this research is to analyze the process optimization during pasta drying using the implemented model (Adduci et al., 2024, 2025). The goal is to refine the existing model’s accuracy in predicting pasta moisture content, thereby enabling optimizations in conventional drying processes and aiding the design of novel drying protocols. This enhanced model aims to improve process efficiency while ensuring consistent high-quality product standards.</w:t>
      </w:r>
    </w:p>
    <w:p w14:paraId="75FBD5CE" w14:textId="2A67DA16" w:rsidR="003F1AC5" w:rsidRDefault="00000000">
      <w:pPr>
        <w:pBdr>
          <w:top w:val="nil"/>
          <w:left w:val="nil"/>
          <w:bottom w:val="nil"/>
          <w:right w:val="nil"/>
          <w:between w:val="nil"/>
        </w:pBdr>
        <w:rPr>
          <w:color w:val="000000"/>
        </w:rPr>
      </w:pPr>
      <w:r>
        <w:rPr>
          <w:color w:val="000000"/>
        </w:rPr>
        <w:t>The model’s validation relied on a geometric configuration derived from symmetry analyses, which accounted for the three-dimensional structure of "</w:t>
      </w:r>
      <w:proofErr w:type="spellStart"/>
      <w:r>
        <w:rPr>
          <w:color w:val="000000"/>
        </w:rPr>
        <w:t>rigatone</w:t>
      </w:r>
      <w:proofErr w:type="spellEnd"/>
      <w:r>
        <w:rPr>
          <w:color w:val="000000"/>
        </w:rPr>
        <w:t xml:space="preserve">" pasta during drying. Experimental validation was conducted using a pilot-scale drying chamber at Barilla’s R&amp;D facilities, demonstrating strong </w:t>
      </w:r>
      <w:r w:rsidRPr="00AE1857">
        <w:t xml:space="preserve">alignment </w:t>
      </w:r>
      <w:r w:rsidR="00075A2E" w:rsidRPr="00AE1857">
        <w:t>with</w:t>
      </w:r>
      <w:r w:rsidRPr="00AE1857">
        <w:t xml:space="preserve"> simulated</w:t>
      </w:r>
      <w:r w:rsidR="00AE1857">
        <w:t xml:space="preserve"> </w:t>
      </w:r>
      <w:r>
        <w:rPr>
          <w:color w:val="000000"/>
        </w:rPr>
        <w:t>results. This agreement underscores the model’s reliability in replicating real-world drying dynamics.</w:t>
      </w:r>
    </w:p>
    <w:p w14:paraId="594643C9" w14:textId="77777777" w:rsidR="003F1AC5" w:rsidRDefault="00000000" w:rsidP="00344845">
      <w:pPr>
        <w:pStyle w:val="CETHeading1"/>
      </w:pPr>
      <w:r>
        <w:rPr>
          <w:rFonts w:eastAsia="Arial"/>
        </w:rPr>
        <w:t>Mathematical modeling</w:t>
      </w:r>
    </w:p>
    <w:p w14:paraId="77A34AE9" w14:textId="77777777" w:rsidR="003F1AC5" w:rsidRDefault="00000000">
      <w:pPr>
        <w:pBdr>
          <w:top w:val="nil"/>
          <w:left w:val="nil"/>
          <w:bottom w:val="nil"/>
          <w:right w:val="nil"/>
          <w:between w:val="nil"/>
        </w:pBdr>
        <w:rPr>
          <w:color w:val="000000"/>
        </w:rPr>
      </w:pPr>
      <w:r>
        <w:rPr>
          <w:color w:val="000000"/>
        </w:rPr>
        <w:t>During the pasta drying process, when a cold, moist food product is exposed to a flow of hot, dry air, two primary transport phenomena occur simultaneously: heat transfer from the surrounding fluid to the solid structure of the food and the migration of moisture from the food to the drying environment.</w:t>
      </w:r>
    </w:p>
    <w:p w14:paraId="4E7DC521" w14:textId="77777777" w:rsidR="003F1AC5" w:rsidRDefault="00000000" w:rsidP="00B50AA1">
      <w:pPr>
        <w:pStyle w:val="CETBodytext"/>
      </w:pPr>
      <w:r>
        <w:t>The rate at which moisture is eliminated from the food’s surface depends on two factors: the diffusion of water vapor into the boundary layer formed within the drying air and the evaporation of liquid water at the food’s outer surfaces (Curcio et al., 2016).</w:t>
      </w:r>
    </w:p>
    <w:p w14:paraId="4A005FD3" w14:textId="77777777" w:rsidR="003F1AC5" w:rsidRDefault="00000000">
      <w:pPr>
        <w:pBdr>
          <w:top w:val="nil"/>
          <w:left w:val="nil"/>
          <w:bottom w:val="nil"/>
          <w:right w:val="nil"/>
          <w:between w:val="nil"/>
        </w:pBdr>
        <w:rPr>
          <w:color w:val="000000"/>
        </w:rPr>
      </w:pPr>
      <w:r>
        <w:rPr>
          <w:color w:val="000000"/>
        </w:rPr>
        <w:t>The simulated case (Figure 1), is composed by the dough sample positioned centrally along the longitudinal direction of the dryer, taking on a shape and size resembling that of a “</w:t>
      </w:r>
      <w:proofErr w:type="spellStart"/>
      <w:r>
        <w:rPr>
          <w:color w:val="000000"/>
        </w:rPr>
        <w:t>Rigatone</w:t>
      </w:r>
      <w:proofErr w:type="spellEnd"/>
      <w:r>
        <w:rPr>
          <w:color w:val="000000"/>
        </w:rPr>
        <w:t>” pasta.</w:t>
      </w:r>
    </w:p>
    <w:p w14:paraId="55D27EF4" w14:textId="1CB2F9FF" w:rsidR="003F1AC5" w:rsidRDefault="00B50AA1" w:rsidP="00B50AA1">
      <w:pPr>
        <w:pStyle w:val="CETCaption"/>
      </w:pPr>
      <w:r>
        <w:rPr>
          <w:noProof/>
        </w:rPr>
        <w:drawing>
          <wp:anchor distT="0" distB="0" distL="114300" distR="114300" simplePos="0" relativeHeight="251658240" behindDoc="0" locked="0" layoutInCell="1" hidden="0" allowOverlap="1" wp14:anchorId="626588CE" wp14:editId="4B721A90">
            <wp:simplePos x="0" y="0"/>
            <wp:positionH relativeFrom="column">
              <wp:posOffset>-635</wp:posOffset>
            </wp:positionH>
            <wp:positionV relativeFrom="paragraph">
              <wp:posOffset>3810</wp:posOffset>
            </wp:positionV>
            <wp:extent cx="2766695" cy="1134745"/>
            <wp:effectExtent l="0" t="0" r="0" b="8255"/>
            <wp:wrapSquare wrapText="bothSides" distT="0" distB="0" distL="114300" distR="114300"/>
            <wp:docPr id="2111404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766695" cy="1134745"/>
                    </a:xfrm>
                    <a:prstGeom prst="rect">
                      <a:avLst/>
                    </a:prstGeom>
                    <a:ln/>
                  </pic:spPr>
                </pic:pic>
              </a:graphicData>
            </a:graphic>
            <wp14:sizeRelH relativeFrom="margin">
              <wp14:pctWidth>0</wp14:pctWidth>
            </wp14:sizeRelH>
            <wp14:sizeRelV relativeFrom="margin">
              <wp14:pctHeight>0</wp14:pctHeight>
            </wp14:sizeRelV>
          </wp:anchor>
        </w:drawing>
      </w:r>
      <w:r w:rsidR="00000000">
        <w:t>Figure 1: Model Geometry</w:t>
      </w:r>
    </w:p>
    <w:p w14:paraId="1D9B0A8A" w14:textId="77777777" w:rsidR="003F1AC5" w:rsidRDefault="00000000" w:rsidP="00B50AA1">
      <w:pPr>
        <w:pStyle w:val="CETBodytext"/>
      </w:pPr>
      <w:r>
        <w:t>The duct's length is three times that of the dough sample, which has a thickness of 1.3mm, a length of 46mm, and a radius of 5mm, defined as the distance of its outermost segment from the r-axis.</w:t>
      </w:r>
    </w:p>
    <w:p w14:paraId="16AA5F21" w14:textId="77777777" w:rsidR="003F1AC5" w:rsidRDefault="00000000" w:rsidP="00B50AA1">
      <w:pPr>
        <w:pStyle w:val="CETBodytext"/>
        <w:rPr>
          <w:i/>
          <w:color w:val="0070C0"/>
          <w:highlight w:val="yellow"/>
        </w:rPr>
      </w:pPr>
      <w:r>
        <w:t>Therefore, modeling the pasta drying process requires an integrated approach that simultaneously addresses heat and mass transfer. The governing equations in this model link key variables such as the solid’s temperature (Ts) and liquid concentration (cl), and the fluid’s temperature (Ta), vapor concentration (cv), velocity (u), and pressure (p). These variables are connected to the thermophysical characteristics of both the food and the surrounding drying medium.</w:t>
      </w:r>
      <w:r w:rsidRPr="001C5E76">
        <w:t xml:space="preserve"> The food product is treated as a non-porous medium, indeed, unlike vegetables (Curcio et Al., 2016), for unleavened doughs (as in the present case), the microscopic structure of the food is more easily attributable to that of a compact solid, with porosity values below 5% and, therefore, negligible (Mercier et Al. 2010).These results are in complete agreement with experimental measurements carried out by Barilla company S.p.A. (platform PL1, project “Density analysis of expanded dough for predictive model calculation PL1.4D7) where they found a porosity of the dried product equal to 4.6%.</w:t>
      </w:r>
    </w:p>
    <w:p w14:paraId="21103BB9" w14:textId="5AF14B8C" w:rsidR="003F1AC5" w:rsidRDefault="00000000">
      <w:pPr>
        <w:pBdr>
          <w:top w:val="nil"/>
          <w:left w:val="nil"/>
          <w:bottom w:val="nil"/>
          <w:right w:val="nil"/>
          <w:between w:val="nil"/>
        </w:pBdr>
      </w:pPr>
      <w:r>
        <w:t>In this framework, t</w:t>
      </w:r>
      <w:r>
        <w:rPr>
          <w:color w:val="000000"/>
        </w:rPr>
        <w:t>he model assumes that the food product undergoes mass transfer exclusively through diffusion and heat transfer solely via conduction.</w:t>
      </w:r>
    </w:p>
    <w:p w14:paraId="06CFEDAB" w14:textId="77777777" w:rsidR="003F1AC5" w:rsidRDefault="00000000" w:rsidP="00B50AA1">
      <w:pPr>
        <w:pStyle w:val="CETBodytext"/>
      </w:pPr>
      <w:r>
        <w:t>Conversely, for the drying air, heat transfer occurs via convection and conduction, while water vapor transport involves both convection and diffusion. The time-dependent equations describing energy and mass transfer within the food are thus formulated using Fourier’s law (Eq. 1) for heat conduction and Fick’s law (Eq. 2) for mass diffusion.</w:t>
      </w:r>
    </w:p>
    <w:tbl>
      <w:tblPr>
        <w:tblStyle w:val="a0"/>
        <w:tblW w:w="8784" w:type="dxa"/>
        <w:tblInd w:w="0" w:type="dxa"/>
        <w:tblLayout w:type="fixed"/>
        <w:tblLook w:val="0400" w:firstRow="0" w:lastRow="0" w:firstColumn="0" w:lastColumn="0" w:noHBand="0" w:noVBand="1"/>
      </w:tblPr>
      <w:tblGrid>
        <w:gridCol w:w="8075"/>
        <w:gridCol w:w="709"/>
      </w:tblGrid>
      <w:tr w:rsidR="003F1AC5" w14:paraId="38A56EC2" w14:textId="77777777">
        <w:tc>
          <w:tcPr>
            <w:tcW w:w="8075" w:type="dxa"/>
          </w:tcPr>
          <w:p w14:paraId="71DD7B35" w14:textId="77777777" w:rsidR="003F1AC5" w:rsidRDefault="00000000">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ρ</m:t>
                    </m:r>
                  </m:e>
                  <m:sub>
                    <m:r>
                      <w:rPr>
                        <w:rFonts w:ascii="Cambria Math" w:eastAsia="Cambria Math" w:hAnsi="Cambria Math" w:cs="Cambria Math"/>
                        <w:color w:val="000000"/>
                      </w:rPr>
                      <m:t>d</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pd</m:t>
                    </m:r>
                  </m:sub>
                </m:sSub>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s</m:t>
                        </m:r>
                      </m:sub>
                    </m:sSub>
                  </m:num>
                  <m:den>
                    <m:r>
                      <w:rPr>
                        <w:rFonts w:ascii="Cambria Math" w:eastAsia="Cambria Math" w:hAnsi="Cambria Math" w:cs="Cambria Math"/>
                        <w:color w:val="000000"/>
                      </w:rPr>
                      <m:t>∂t</m:t>
                    </m:r>
                  </m:den>
                </m:f>
                <m:r>
                  <w:rPr>
                    <w:rFonts w:ascii="Cambria Math" w:eastAsia="Cambria Math" w:hAnsi="Cambria Math" w:cs="Cambria Math"/>
                    <w:color w:val="000000"/>
                  </w:rPr>
                  <m:t xml:space="preserve">=∇ ∙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s</m:t>
                        </m:r>
                      </m:sub>
                    </m:sSub>
                  </m:e>
                </m:d>
              </m:oMath>
            </m:oMathPara>
          </w:p>
        </w:tc>
        <w:tc>
          <w:tcPr>
            <w:tcW w:w="709" w:type="dxa"/>
          </w:tcPr>
          <w:p w14:paraId="58CC8209" w14:textId="77777777" w:rsidR="003F1AC5"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(1)</m:t>
                </m:r>
              </m:oMath>
            </m:oMathPara>
          </w:p>
        </w:tc>
      </w:tr>
      <w:tr w:rsidR="003F1AC5" w14:paraId="3549219C" w14:textId="77777777">
        <w:tc>
          <w:tcPr>
            <w:tcW w:w="8075" w:type="dxa"/>
          </w:tcPr>
          <w:p w14:paraId="3D96DA00" w14:textId="77777777" w:rsidR="003F1AC5" w:rsidRDefault="0000000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hAnsi="Cambria Math"/>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l</m:t>
                        </m:r>
                      </m:sub>
                    </m:sSub>
                  </m:num>
                  <m:den>
                    <m:r>
                      <w:rPr>
                        <w:rFonts w:ascii="Cambria Math" w:eastAsia="Cambria Math" w:hAnsi="Cambria Math" w:cs="Cambria Math"/>
                        <w:color w:val="000000"/>
                      </w:rPr>
                      <m:t>∂t</m:t>
                    </m:r>
                  </m:den>
                </m:f>
                <m:r>
                  <w:rPr>
                    <w:rFonts w:ascii="Cambria Math" w:eastAsia="Cambria Math" w:hAnsi="Cambria Math" w:cs="Cambria Math"/>
                    <w:color w:val="000000"/>
                  </w:rPr>
                  <m:t xml:space="preserve"> = ∇ ∙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d</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l</m:t>
                        </m:r>
                      </m:sub>
                    </m:sSub>
                  </m:e>
                </m:d>
              </m:oMath>
            </m:oMathPara>
          </w:p>
        </w:tc>
        <w:tc>
          <w:tcPr>
            <w:tcW w:w="709" w:type="dxa"/>
          </w:tcPr>
          <w:p w14:paraId="5F35FD74" w14:textId="77777777" w:rsidR="003F1AC5" w:rsidRDefault="00000000">
            <w:pPr>
              <w:jc w:val="center"/>
              <w:rPr>
                <w:rFonts w:ascii="Cambria Math" w:eastAsia="Cambria Math" w:hAnsi="Cambria Math" w:cs="Cambria Math"/>
                <w:color w:val="000000"/>
              </w:rPr>
            </w:pPr>
            <m:oMathPara>
              <m:oMath>
                <m:r>
                  <w:rPr>
                    <w:rFonts w:ascii="Cambria Math" w:eastAsia="Cambria Math" w:hAnsi="Cambria Math" w:cs="Cambria Math"/>
                    <w:color w:val="000000"/>
                  </w:rPr>
                  <m:t>(2)</m:t>
                </m:r>
              </m:oMath>
            </m:oMathPara>
          </w:p>
        </w:tc>
      </w:tr>
    </w:tbl>
    <w:p w14:paraId="519B28AD" w14:textId="77777777" w:rsidR="003F1AC5" w:rsidRDefault="00000000" w:rsidP="00B50AA1">
      <w:pPr>
        <w:pStyle w:val="CETBodytext"/>
      </w:pPr>
      <w:r>
        <w:t xml:space="preserve">Within the framework of the proposed model, the convective component of transport equations in the food domain is neglected, based on the assumption of minimal internal evaporation. Similarly, diffusion-driven water vapor transport from the material’s core to its outer surface is deemed negligible, as this mechanism is primarily relevant to highly porous materials. Instead, evaporation in this model is considered to occur predominantly at the food’s outer surfaces directly exposed to the drying air (May &amp; </w:t>
      </w:r>
      <w:proofErr w:type="spellStart"/>
      <w:r>
        <w:t>Perré</w:t>
      </w:r>
      <w:proofErr w:type="spellEnd"/>
      <w:r>
        <w:t>, 2002).</w:t>
      </w:r>
    </w:p>
    <w:p w14:paraId="487447DE" w14:textId="77777777" w:rsidR="003F1AC5" w:rsidRDefault="00000000">
      <w:pPr>
        <w:pBdr>
          <w:top w:val="nil"/>
          <w:left w:val="nil"/>
          <w:bottom w:val="nil"/>
          <w:right w:val="nil"/>
          <w:between w:val="nil"/>
        </w:pBdr>
        <w:rPr>
          <w:color w:val="000000"/>
        </w:rPr>
      </w:pPr>
      <w:r>
        <w:rPr>
          <w:color w:val="000000"/>
        </w:rPr>
        <w:t>The energy balance equation for the air (Eq. (3)) incorporates both convective and conductive contributions (R. Byron Bird, Warren E. Stewart, 1989; Welty, JR, Rorrer, GL, Foster, 2014).</w:t>
      </w:r>
    </w:p>
    <w:tbl>
      <w:tblPr>
        <w:tblStyle w:val="a1"/>
        <w:tblW w:w="8784" w:type="dxa"/>
        <w:tblInd w:w="0" w:type="dxa"/>
        <w:tblLayout w:type="fixed"/>
        <w:tblLook w:val="0600" w:firstRow="0" w:lastRow="0" w:firstColumn="0" w:lastColumn="0" w:noHBand="1" w:noVBand="1"/>
      </w:tblPr>
      <w:tblGrid>
        <w:gridCol w:w="8075"/>
        <w:gridCol w:w="709"/>
      </w:tblGrid>
      <w:tr w:rsidR="003F1AC5" w14:paraId="0CDBC297" w14:textId="77777777" w:rsidTr="003F1AC5">
        <w:tc>
          <w:tcPr>
            <w:tcW w:w="8075" w:type="dxa"/>
          </w:tcPr>
          <w:p w14:paraId="2FF5F361" w14:textId="77777777" w:rsidR="003F1AC5" w:rsidRDefault="00000000">
            <w:pPr>
              <w:jc w:val="center"/>
              <w:rPr>
                <w:rFonts w:ascii="Cambria Math" w:eastAsia="Cambria Math" w:hAnsi="Cambria Math" w:cs="Cambria Math"/>
                <w:color w:val="000000"/>
              </w:rPr>
            </w:pPr>
            <m:oMathPara>
              <m:oMath>
                <m:sSub>
                  <m:sSubPr>
                    <m:ctrlPr>
                      <w:rPr>
                        <w:rFonts w:ascii="Cambria Math" w:eastAsia="Cambria Math" w:hAnsi="Cambria Math" w:cs="Cambria Math"/>
                        <w:color w:val="000000"/>
                      </w:rPr>
                    </m:ctrlPr>
                  </m:sSubPr>
                  <m:e>
                    <m:r>
                      <w:rPr>
                        <w:rFonts w:ascii="Cambria Math" w:hAnsi="Cambria Math"/>
                      </w:rPr>
                      <m:t>ρ</m:t>
                    </m:r>
                  </m:e>
                  <m:sub>
                    <m: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pa</m:t>
                    </m:r>
                  </m:sub>
                </m:sSub>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m:t>
                        </m:r>
                      </m:sub>
                    </m:sSub>
                  </m:num>
                  <m:den>
                    <m:r>
                      <w:rPr>
                        <w:rFonts w:ascii="Cambria Math" w:eastAsia="Cambria Math" w:hAnsi="Cambria Math" w:cs="Cambria Math"/>
                        <w:color w:val="000000"/>
                      </w:rPr>
                      <m:t xml:space="preserve">∂t </m:t>
                    </m:r>
                  </m:den>
                </m:f>
                <m:r>
                  <w:rPr>
                    <w:rFonts w:ascii="Cambria Math" w:eastAsia="Cambria Math" w:hAnsi="Cambria Math" w:cs="Cambria Math"/>
                    <w:color w:val="000000"/>
                  </w:rPr>
                  <m:t xml:space="preserve"> -∇ ∙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m:t>
                        </m:r>
                      </m:sub>
                    </m:sSub>
                  </m:e>
                </m:d>
                <m:r>
                  <w:rPr>
                    <w:rFonts w:ascii="Cambria Math" w:eastAsia="Cambria Math" w:hAnsi="Cambria Math" w:cs="Cambria Math"/>
                    <w:color w:val="000000"/>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ρ</m:t>
                    </m:r>
                  </m:e>
                  <m:sub>
                    <m: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pa</m:t>
                    </m:r>
                  </m:sub>
                </m:sSub>
                <m:r>
                  <w:rPr>
                    <w:rFonts w:ascii="Cambria Math" w:eastAsia="Cambria Math" w:hAnsi="Cambria Math" w:cs="Cambria Math"/>
                    <w:color w:val="000000"/>
                  </w:rPr>
                  <m:t xml:space="preserve"> u ∇</m:t>
                </m:r>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m:t>
                    </m:r>
                  </m:sub>
                </m:sSub>
                <m:r>
                  <w:rPr>
                    <w:rFonts w:ascii="Cambria Math" w:eastAsia="Cambria Math" w:hAnsi="Cambria Math" w:cs="Cambria Math"/>
                    <w:color w:val="000000"/>
                  </w:rPr>
                  <m:t>=0</m:t>
                </m:r>
              </m:oMath>
            </m:oMathPara>
          </w:p>
        </w:tc>
        <w:tc>
          <w:tcPr>
            <w:tcW w:w="709" w:type="dxa"/>
          </w:tcPr>
          <w:p w14:paraId="0986A104" w14:textId="77777777" w:rsidR="003F1AC5" w:rsidRDefault="00000000">
            <w:pPr>
              <w:jc w:val="center"/>
              <w:rPr>
                <w:rFonts w:ascii="Cambria Math" w:eastAsia="Cambria Math" w:hAnsi="Cambria Math" w:cs="Cambria Math"/>
                <w:color w:val="000000"/>
              </w:rPr>
            </w:pPr>
            <m:oMathPara>
              <m:oMath>
                <m:d>
                  <m:dPr>
                    <m:ctrlPr>
                      <w:rPr>
                        <w:rFonts w:ascii="Cambria Math" w:eastAsia="Cambria Math" w:hAnsi="Cambria Math" w:cs="Cambria Math"/>
                        <w:color w:val="000000"/>
                      </w:rPr>
                    </m:ctrlPr>
                  </m:dPr>
                  <m:e>
                    <m:r>
                      <w:rPr>
                        <w:rFonts w:ascii="Cambria Math" w:eastAsia="Cambria Math" w:hAnsi="Cambria Math" w:cs="Cambria Math"/>
                        <w:color w:val="000000"/>
                      </w:rPr>
                      <m:t>3</m:t>
                    </m:r>
                  </m:e>
                </m:d>
              </m:oMath>
            </m:oMathPara>
          </w:p>
        </w:tc>
      </w:tr>
    </w:tbl>
    <w:p w14:paraId="65C4CDCE" w14:textId="77777777" w:rsidR="003F1AC5" w:rsidRDefault="00000000" w:rsidP="00B50AA1">
      <w:pPr>
        <w:pStyle w:val="CETBodytext"/>
      </w:pPr>
      <w:r>
        <w:t>Regarding the water mass balance within the fluid (Eq.4), taking into consideration both convective and diffusive contributions, the relevant equation is expressed as (R. Byron Bird, Warren E. Stewart, 1989; Welty, JR, Rorrer, GL, Foster, 2014).</w:t>
      </w:r>
    </w:p>
    <w:tbl>
      <w:tblPr>
        <w:tblStyle w:val="a2"/>
        <w:tblW w:w="8784" w:type="dxa"/>
        <w:tblInd w:w="0" w:type="dxa"/>
        <w:tblLayout w:type="fixed"/>
        <w:tblLook w:val="0600" w:firstRow="0" w:lastRow="0" w:firstColumn="0" w:lastColumn="0" w:noHBand="1" w:noVBand="1"/>
      </w:tblPr>
      <w:tblGrid>
        <w:gridCol w:w="8075"/>
        <w:gridCol w:w="709"/>
      </w:tblGrid>
      <w:tr w:rsidR="003F1AC5" w14:paraId="093079D8" w14:textId="77777777" w:rsidTr="003F1AC5">
        <w:tc>
          <w:tcPr>
            <w:tcW w:w="8075" w:type="dxa"/>
          </w:tcPr>
          <w:p w14:paraId="4A184575" w14:textId="77777777" w:rsidR="003F1AC5" w:rsidRDefault="0000000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hAnsi="Cambria Math"/>
                      </w:rPr>
                      <m:t>∂</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v</m:t>
                        </m:r>
                      </m:sub>
                    </m:sSub>
                  </m:num>
                  <m:den>
                    <m:r>
                      <w:rPr>
                        <w:rFonts w:ascii="Cambria Math" w:eastAsia="Cambria Math" w:hAnsi="Cambria Math" w:cs="Cambria Math"/>
                        <w:color w:val="000000"/>
                      </w:rPr>
                      <m:t>∂t</m:t>
                    </m:r>
                  </m:den>
                </m:f>
                <m:r>
                  <w:rPr>
                    <w:rFonts w:ascii="Cambria Math" w:eastAsia="Cambria Math" w:hAnsi="Cambria Math" w:cs="Cambria Math"/>
                    <w:color w:val="000000"/>
                  </w:rPr>
                  <m:t xml:space="preserve"> +∇ ∙ </m:t>
                </m:r>
                <m:d>
                  <m:dPr>
                    <m:ctrlPr>
                      <w:rPr>
                        <w:rFonts w:ascii="Cambria Math" w:eastAsia="Cambria Math" w:hAnsi="Cambria Math" w:cs="Cambria Math"/>
                        <w:color w:val="000000"/>
                      </w:rPr>
                    </m:ctrlPr>
                  </m:dPr>
                  <m:e>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a</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v</m:t>
                        </m:r>
                      </m:sub>
                    </m:sSub>
                  </m:e>
                </m:d>
                <m:r>
                  <w:rPr>
                    <w:rFonts w:ascii="Cambria Math" w:eastAsia="Cambria Math" w:hAnsi="Cambria Math" w:cs="Cambria Math"/>
                    <w:color w:val="000000"/>
                  </w:rPr>
                  <m:t>+u ∇</m:t>
                </m:r>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v</m:t>
                    </m:r>
                  </m:sub>
                </m:sSub>
                <m:r>
                  <w:rPr>
                    <w:rFonts w:ascii="Cambria Math" w:eastAsia="Cambria Math" w:hAnsi="Cambria Math" w:cs="Cambria Math"/>
                    <w:color w:val="000000"/>
                  </w:rPr>
                  <m:t>=0</m:t>
                </m:r>
              </m:oMath>
            </m:oMathPara>
          </w:p>
        </w:tc>
        <w:tc>
          <w:tcPr>
            <w:tcW w:w="709" w:type="dxa"/>
          </w:tcPr>
          <w:p w14:paraId="202D6961" w14:textId="77777777" w:rsidR="003F1AC5" w:rsidRDefault="00000000">
            <w:pPr>
              <w:jc w:val="center"/>
              <w:rPr>
                <w:rFonts w:ascii="Cambria Math" w:eastAsia="Cambria Math" w:hAnsi="Cambria Math" w:cs="Cambria Math"/>
                <w:color w:val="000000"/>
              </w:rPr>
            </w:pPr>
            <m:oMathPara>
              <m:oMath>
                <m:d>
                  <m:dPr>
                    <m:ctrlPr>
                      <w:rPr>
                        <w:rFonts w:ascii="Cambria Math" w:eastAsia="Cambria Math" w:hAnsi="Cambria Math" w:cs="Cambria Math"/>
                        <w:color w:val="000000"/>
                      </w:rPr>
                    </m:ctrlPr>
                  </m:dPr>
                  <m:e>
                    <m:r>
                      <w:rPr>
                        <w:rFonts w:ascii="Cambria Math" w:eastAsia="Cambria Math" w:hAnsi="Cambria Math" w:cs="Cambria Math"/>
                        <w:color w:val="000000"/>
                      </w:rPr>
                      <m:t>4</m:t>
                    </m:r>
                  </m:e>
                </m:d>
              </m:oMath>
            </m:oMathPara>
          </w:p>
        </w:tc>
      </w:tr>
    </w:tbl>
    <w:p w14:paraId="23BF1183" w14:textId="77777777" w:rsidR="003F1AC5" w:rsidRDefault="00000000" w:rsidP="00B50AA1">
      <w:pPr>
        <w:pStyle w:val="CETBodytext"/>
      </w:pPr>
      <w:r>
        <w:t xml:space="preserve">The non-isothermal air flow within the dryer, after an appropriate verification of the flow regime, has been simulated using the </w:t>
      </w:r>
      <m:oMath>
        <m:r>
          <w:rPr>
            <w:rFonts w:ascii="Cambria Math" w:eastAsia="Cambria Math" w:hAnsi="Cambria Math" w:cs="Cambria Math"/>
          </w:rPr>
          <m:t>k-ε</m:t>
        </m:r>
      </m:oMath>
      <w:r>
        <w:t xml:space="preserve"> model (Verboven et al., 1997, 2001).</w:t>
      </w:r>
    </w:p>
    <w:p w14:paraId="28D39B12" w14:textId="1D8ABC8E" w:rsidR="003F1AC5" w:rsidRDefault="000E2415">
      <w:pPr>
        <w:pBdr>
          <w:top w:val="nil"/>
          <w:left w:val="nil"/>
          <w:bottom w:val="nil"/>
          <w:right w:val="nil"/>
          <w:between w:val="nil"/>
        </w:pBdr>
        <w:rPr>
          <w:color w:val="000000"/>
        </w:rPr>
      </w:pPr>
      <w:r>
        <w:rPr>
          <w:noProof/>
        </w:rPr>
        <w:drawing>
          <wp:anchor distT="0" distB="0" distL="114300" distR="114300" simplePos="0" relativeHeight="251659264" behindDoc="0" locked="0" layoutInCell="1" hidden="0" allowOverlap="1" wp14:anchorId="27E84DF8" wp14:editId="030ED03F">
            <wp:simplePos x="0" y="0"/>
            <wp:positionH relativeFrom="column">
              <wp:posOffset>31115</wp:posOffset>
            </wp:positionH>
            <wp:positionV relativeFrom="paragraph">
              <wp:posOffset>64770</wp:posOffset>
            </wp:positionV>
            <wp:extent cx="2065020" cy="1457960"/>
            <wp:effectExtent l="0" t="0" r="0" b="8890"/>
            <wp:wrapSquare wrapText="bothSides" distT="0" distB="0" distL="114300" distR="114300"/>
            <wp:docPr id="2111404035" name="image2.png"/>
            <wp:cNvGraphicFramePr/>
            <a:graphic xmlns:a="http://schemas.openxmlformats.org/drawingml/2006/main">
              <a:graphicData uri="http://schemas.openxmlformats.org/drawingml/2006/picture">
                <pic:pic xmlns:pic="http://schemas.openxmlformats.org/drawingml/2006/picture">
                  <pic:nvPicPr>
                    <pic:cNvPr id="2111404035" name="image2.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065020" cy="1457960"/>
                    </a:xfrm>
                    <a:prstGeom prst="rect">
                      <a:avLst/>
                    </a:prstGeom>
                    <a:ln/>
                  </pic:spPr>
                </pic:pic>
              </a:graphicData>
            </a:graphic>
            <wp14:sizeRelH relativeFrom="margin">
              <wp14:pctWidth>0</wp14:pctWidth>
            </wp14:sizeRelH>
            <wp14:sizeRelV relativeFrom="margin">
              <wp14:pctHeight>0</wp14:pctHeight>
            </wp14:sizeRelV>
          </wp:anchor>
        </w:drawing>
      </w:r>
      <w:r>
        <w:rPr>
          <w:color w:val="000000"/>
        </w:rPr>
        <w:t>The model employs a two-domain (dough-air) framework, structuring the system into two interacting domains that exchange data dynamically. It distinguishes between vapor-phase water (</w:t>
      </w:r>
      <w:r>
        <w:rPr>
          <w:i/>
          <w:color w:val="000000"/>
        </w:rPr>
        <w:t>cv</w:t>
      </w:r>
      <w:r>
        <w:rPr>
          <w:color w:val="000000"/>
        </w:rPr>
        <w:t>) in the fluid domain and liquid-phase water (</w:t>
      </w:r>
      <w:r>
        <w:rPr>
          <w:i/>
          <w:color w:val="000000"/>
        </w:rPr>
        <w:t>cl</w:t>
      </w:r>
      <w:r>
        <w:rPr>
          <w:color w:val="000000"/>
        </w:rPr>
        <w:t>) in the pasta domain. Accordingly, mass transfer is modeled exclusively as liquid-phase transport within the solid matrix and vapor-phase transport within the fluid domain.</w:t>
      </w:r>
      <w:r w:rsidR="00B50AA1">
        <w:rPr>
          <w:color w:val="000000"/>
        </w:rPr>
        <w:t xml:space="preserve"> </w:t>
      </w:r>
      <w:r w:rsidR="00000000">
        <w:rPr>
          <w:color w:val="000000"/>
        </w:rPr>
        <w:t>The initial conditions are schematized in Figure 2.</w:t>
      </w:r>
    </w:p>
    <w:p w14:paraId="25AAC8A3" w14:textId="77777777" w:rsidR="003F1AC5" w:rsidRDefault="00000000" w:rsidP="00B50AA1">
      <w:pPr>
        <w:pStyle w:val="CETCaption"/>
        <w:rPr>
          <w:rFonts w:ascii="Calibri" w:eastAsia="Calibri" w:hAnsi="Calibri" w:cs="Calibri"/>
          <w:sz w:val="22"/>
          <w:szCs w:val="22"/>
        </w:rPr>
      </w:pPr>
      <w:r>
        <w:t>Figure 2: Schematization of the initial conditions and boundaries defined within the two domains</w:t>
      </w:r>
    </w:p>
    <w:p w14:paraId="23DFCC10" w14:textId="77777777" w:rsidR="003F1AC5" w:rsidRDefault="00000000">
      <w:pPr>
        <w:pBdr>
          <w:top w:val="nil"/>
          <w:left w:val="nil"/>
          <w:bottom w:val="nil"/>
          <w:right w:val="nil"/>
          <w:between w:val="nil"/>
        </w:pBdr>
        <w:rPr>
          <w:color w:val="000000"/>
        </w:rPr>
      </w:pPr>
      <w:r>
        <w:rPr>
          <w:color w:val="000000"/>
        </w:rPr>
        <w:t>The boundary conditions, corresponding to the boundaries depicted in Figure 2, are summarized in Table 1.</w:t>
      </w:r>
    </w:p>
    <w:p w14:paraId="6C6925CC" w14:textId="761F670B" w:rsidR="00344845" w:rsidRPr="00344845" w:rsidRDefault="00344845" w:rsidP="00344845">
      <w:pPr>
        <w:pStyle w:val="CETTabletitle"/>
        <w:rPr>
          <w:color w:val="000000"/>
        </w:rPr>
      </w:pPr>
      <w:r>
        <w:t xml:space="preserve">Table </w:t>
      </w:r>
      <w:r>
        <w:fldChar w:fldCharType="begin"/>
      </w:r>
      <w:r>
        <w:instrText xml:space="preserve"> SEQ Table \* ARABIC </w:instrText>
      </w:r>
      <w:r>
        <w:fldChar w:fldCharType="separate"/>
      </w:r>
      <w:r w:rsidR="00001F6D">
        <w:rPr>
          <w:noProof/>
        </w:rPr>
        <w:t>1</w:t>
      </w:r>
      <w:r>
        <w:fldChar w:fldCharType="end"/>
      </w:r>
      <w:r>
        <w:t xml:space="preserve">: </w:t>
      </w:r>
      <w:r>
        <w:rPr>
          <w:rFonts w:eastAsia="Arial" w:cs="Arial"/>
          <w:color w:val="000000"/>
          <w:szCs w:val="18"/>
        </w:rPr>
        <w:t>implemented boundary conditions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3261"/>
        <w:gridCol w:w="4110"/>
      </w:tblGrid>
      <w:tr w:rsidR="00344845" w:rsidRPr="001C5E76" w14:paraId="73BC46B6" w14:textId="77777777" w:rsidTr="00344845">
        <w:tc>
          <w:tcPr>
            <w:tcW w:w="1134" w:type="dxa"/>
            <w:vMerge w:val="restart"/>
            <w:shd w:val="clear" w:color="auto" w:fill="FFFFFF"/>
            <w:vAlign w:val="center"/>
          </w:tcPr>
          <w:p w14:paraId="04AAF734" w14:textId="66E0D6E5" w:rsidR="00344845" w:rsidRPr="001C5E76" w:rsidRDefault="00344845" w:rsidP="00344845">
            <w:pPr>
              <w:pStyle w:val="CETBodytext"/>
              <w:jc w:val="center"/>
              <w:rPr>
                <w:lang w:val="en-GB"/>
              </w:rPr>
            </w:pPr>
            <w:r w:rsidRPr="001C5E76">
              <w:rPr>
                <w:lang w:val="en-GB"/>
              </w:rPr>
              <w:t>1</w:t>
            </w:r>
          </w:p>
        </w:tc>
        <w:tc>
          <w:tcPr>
            <w:tcW w:w="3261" w:type="dxa"/>
            <w:shd w:val="clear" w:color="auto" w:fill="FFFFFF"/>
            <w:vAlign w:val="center"/>
          </w:tcPr>
          <w:p w14:paraId="1944D834" w14:textId="77777777" w:rsidR="00344845" w:rsidRPr="001C5E76" w:rsidRDefault="00344845" w:rsidP="00344845">
            <w:pPr>
              <w:jc w:val="center"/>
              <w:rPr>
                <w:rFonts w:ascii="Cambria Math" w:eastAsia="Cambria Math" w:hAnsi="Cambria Math" w:cs="Cambria Math"/>
                <w:color w:val="000000"/>
                <w:sz w:val="14"/>
                <w:szCs w:val="14"/>
              </w:rPr>
            </w:pPr>
            <m:oMathPara>
              <m:oMath>
                <m:r>
                  <w:rPr>
                    <w:rFonts w:ascii="Cambria Math" w:eastAsia="Cambria Math" w:hAnsi="Cambria Math" w:cs="Cambria Math"/>
                    <w:color w:val="000000"/>
                    <w:sz w:val="14"/>
                    <w:szCs w:val="14"/>
                  </w:rPr>
                  <m:t>u∙n=</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wtr</m:t>
                    </m:r>
                  </m:sub>
                </m:sSub>
                <m:r>
                  <w:rPr>
                    <w:rFonts w:ascii="Cambria Math" w:eastAsia="Cambria Math" w:hAnsi="Cambria Math" w:cs="Cambria Math"/>
                    <w:color w:val="000000"/>
                    <w:sz w:val="14"/>
                    <w:szCs w:val="14"/>
                  </w:rPr>
                  <m:t>∙n;</m:t>
                </m:r>
              </m:oMath>
            </m:oMathPara>
          </w:p>
          <w:p w14:paraId="2DDA2656" w14:textId="01270AC0" w:rsidR="00344845" w:rsidRPr="001C5E76" w:rsidRDefault="00000000" w:rsidP="00344845">
            <w:pPr>
              <w:pStyle w:val="CETBodytext"/>
              <w:jc w:val="center"/>
              <w:rPr>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wtr,x</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in</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wtr,y</m:t>
                    </m:r>
                  </m:sub>
                </m:sSub>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24FD7DAC" w14:textId="51D422A5" w:rsidR="00344845" w:rsidRPr="001C5E76" w:rsidRDefault="00344845" w:rsidP="00344845">
            <w:pPr>
              <w:pStyle w:val="CETBodytext"/>
              <w:jc w:val="left"/>
              <w:rPr>
                <w:lang w:val="en-GB"/>
              </w:rPr>
            </w:pPr>
            <w:r w:rsidRPr="001C5E76">
              <w:rPr>
                <w:rFonts w:eastAsia="Arial" w:cs="Arial"/>
                <w:color w:val="000000"/>
                <w:sz w:val="14"/>
                <w:szCs w:val="14"/>
              </w:rPr>
              <w:t>“Slip” condition</w:t>
            </w:r>
          </w:p>
        </w:tc>
      </w:tr>
      <w:tr w:rsidR="00344845" w:rsidRPr="001C5E76" w14:paraId="2C76BCD5" w14:textId="77777777" w:rsidTr="00344845">
        <w:tc>
          <w:tcPr>
            <w:tcW w:w="1134" w:type="dxa"/>
            <w:vMerge/>
            <w:shd w:val="clear" w:color="auto" w:fill="FFFFFF"/>
            <w:vAlign w:val="center"/>
          </w:tcPr>
          <w:p w14:paraId="18F1B6CB"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0BFE5B32" w14:textId="5241E4F0"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-k</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37FD51A6" w14:textId="44F8BE0D"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Thermal insulation</w:t>
            </w:r>
          </w:p>
        </w:tc>
      </w:tr>
      <w:tr w:rsidR="00344845" w:rsidRPr="001C5E76" w14:paraId="7B53B138" w14:textId="77777777" w:rsidTr="00344845">
        <w:tc>
          <w:tcPr>
            <w:tcW w:w="1134" w:type="dxa"/>
            <w:vMerge/>
            <w:shd w:val="clear" w:color="auto" w:fill="FFFFFF"/>
            <w:vAlign w:val="center"/>
          </w:tcPr>
          <w:p w14:paraId="4E2140D3"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6CC0CED1" w14:textId="159FE406"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 xml:space="preserve"> u</m:t>
                    </m:r>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3BCB24E8" w14:textId="31FB71DA"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No mass flux</w:t>
            </w:r>
          </w:p>
        </w:tc>
      </w:tr>
      <w:tr w:rsidR="00344845" w:rsidRPr="001C5E76" w14:paraId="5E55C5AF" w14:textId="77777777" w:rsidTr="00344845">
        <w:tc>
          <w:tcPr>
            <w:tcW w:w="1134" w:type="dxa"/>
            <w:vMerge w:val="restart"/>
            <w:shd w:val="clear" w:color="auto" w:fill="FFFFFF"/>
            <w:vAlign w:val="center"/>
          </w:tcPr>
          <w:p w14:paraId="44B5EE5C" w14:textId="5AA0FEC2" w:rsidR="00344845" w:rsidRPr="001C5E76" w:rsidRDefault="00344845" w:rsidP="00344845">
            <w:pPr>
              <w:pStyle w:val="CETBodytext"/>
              <w:ind w:right="-1"/>
              <w:jc w:val="center"/>
              <w:rPr>
                <w:rFonts w:cs="Arial"/>
                <w:szCs w:val="18"/>
                <w:lang w:val="en-GB"/>
              </w:rPr>
            </w:pPr>
            <w:r w:rsidRPr="001C5E76">
              <w:rPr>
                <w:rFonts w:cs="Arial"/>
                <w:szCs w:val="18"/>
                <w:lang w:val="en-GB"/>
              </w:rPr>
              <w:t>2</w:t>
            </w:r>
          </w:p>
        </w:tc>
        <w:tc>
          <w:tcPr>
            <w:tcW w:w="3261" w:type="dxa"/>
            <w:shd w:val="clear" w:color="auto" w:fill="FFFFFF"/>
            <w:vAlign w:val="center"/>
          </w:tcPr>
          <w:p w14:paraId="12861D3C" w14:textId="164B9077" w:rsidR="00344845" w:rsidRPr="001C5E76" w:rsidRDefault="00000000" w:rsidP="00344845">
            <w:pPr>
              <w:pStyle w:val="CETBodytext"/>
              <w:ind w:right="-1"/>
              <w:jc w:val="center"/>
              <w:rPr>
                <w:rFonts w:cs="Arial"/>
                <w:szCs w:val="18"/>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x</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in</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u</m:t>
                    </m:r>
                  </m:e>
                  <m:sub>
                    <m:r>
                      <w:rPr>
                        <w:rFonts w:ascii="Cambria Math" w:eastAsia="Cambria Math" w:hAnsi="Cambria Math" w:cs="Cambria Math"/>
                        <w:color w:val="000000"/>
                        <w:sz w:val="14"/>
                        <w:szCs w:val="14"/>
                      </w:rPr>
                      <m:t>y</m:t>
                    </m:r>
                  </m:sub>
                </m:sSub>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3E1C4A28" w14:textId="6BF1D7A8"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Inlet air velocity normal to the section</w:t>
            </w:r>
          </w:p>
        </w:tc>
      </w:tr>
      <w:tr w:rsidR="00344845" w:rsidRPr="001C5E76" w14:paraId="383DA775" w14:textId="77777777" w:rsidTr="00344845">
        <w:tc>
          <w:tcPr>
            <w:tcW w:w="1134" w:type="dxa"/>
            <w:vMerge/>
            <w:shd w:val="clear" w:color="auto" w:fill="FFFFFF"/>
            <w:vAlign w:val="center"/>
          </w:tcPr>
          <w:p w14:paraId="6E8CB7F9"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277AB9D4" w14:textId="37EB2B3D" w:rsidR="00344845" w:rsidRPr="001C5E76" w:rsidRDefault="00000000" w:rsidP="00344845">
            <w:pPr>
              <w:pStyle w:val="CETBodytext"/>
              <w:ind w:right="-1"/>
              <w:jc w:val="center"/>
              <w:rPr>
                <w:rFonts w:cs="Arial"/>
                <w:szCs w:val="18"/>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a,in</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a,0</m:t>
                    </m:r>
                  </m:sub>
                </m:sSub>
              </m:oMath>
            </m:oMathPara>
          </w:p>
        </w:tc>
        <w:tc>
          <w:tcPr>
            <w:tcW w:w="4110" w:type="dxa"/>
            <w:shd w:val="clear" w:color="auto" w:fill="FFFFFF"/>
            <w:vAlign w:val="center"/>
          </w:tcPr>
          <w:p w14:paraId="2A37C2EC" w14:textId="53E68984"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 xml:space="preserve">Inlet air temperature equal to that of the fluid domain at time </w:t>
            </w:r>
            <m:oMath>
              <m:r>
                <w:rPr>
                  <w:rFonts w:ascii="Cambria Math" w:eastAsia="Cambria Math" w:hAnsi="Cambria Math" w:cs="Cambria Math"/>
                  <w:color w:val="000000"/>
                  <w:sz w:val="14"/>
                  <w:szCs w:val="14"/>
                </w:rPr>
                <m:t>t=0</m:t>
              </m:r>
            </m:oMath>
          </w:p>
        </w:tc>
      </w:tr>
      <w:tr w:rsidR="00344845" w:rsidRPr="001C5E76" w14:paraId="4007EAD9" w14:textId="77777777" w:rsidTr="00344845">
        <w:tc>
          <w:tcPr>
            <w:tcW w:w="1134" w:type="dxa"/>
            <w:vMerge/>
            <w:shd w:val="clear" w:color="auto" w:fill="FFFFFF"/>
            <w:vAlign w:val="center"/>
          </w:tcPr>
          <w:p w14:paraId="2232D9E6"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13DE05BA" w14:textId="4E367C4C" w:rsidR="00344845" w:rsidRPr="001C5E76" w:rsidRDefault="00000000" w:rsidP="00344845">
            <w:pPr>
              <w:pStyle w:val="CETBodytext"/>
              <w:ind w:right="-1"/>
              <w:jc w:val="center"/>
              <w:rPr>
                <w:rFonts w:cs="Arial"/>
                <w:szCs w:val="18"/>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v,in</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v,0</m:t>
                    </m:r>
                  </m:sub>
                </m:sSub>
              </m:oMath>
            </m:oMathPara>
          </w:p>
        </w:tc>
        <w:tc>
          <w:tcPr>
            <w:tcW w:w="4110" w:type="dxa"/>
            <w:shd w:val="clear" w:color="auto" w:fill="FFFFFF"/>
            <w:vAlign w:val="center"/>
          </w:tcPr>
          <w:p w14:paraId="478E7AC0" w14:textId="1B4B464E" w:rsidR="00344845" w:rsidRPr="001C5E76" w:rsidRDefault="00344845" w:rsidP="00344845">
            <w:pPr>
              <w:pStyle w:val="CETBodytext"/>
              <w:ind w:right="-1"/>
              <w:jc w:val="left"/>
              <w:rPr>
                <w:rFonts w:cs="Arial"/>
                <w:szCs w:val="18"/>
                <w:lang w:val="en-GB"/>
              </w:rPr>
            </w:pPr>
            <w:proofErr w:type="spellStart"/>
            <w:r w:rsidRPr="001C5E76">
              <w:rPr>
                <w:rFonts w:eastAsia="Arial" w:cs="Arial"/>
                <w:color w:val="000000"/>
                <w:sz w:val="14"/>
                <w:szCs w:val="14"/>
              </w:rPr>
              <w:t>Vapour</w:t>
            </w:r>
            <w:proofErr w:type="spellEnd"/>
            <w:r w:rsidRPr="001C5E76">
              <w:rPr>
                <w:rFonts w:eastAsia="Arial" w:cs="Arial"/>
                <w:color w:val="000000"/>
                <w:sz w:val="14"/>
                <w:szCs w:val="14"/>
              </w:rPr>
              <w:t xml:space="preserve"> concentration at the inlet section equal to that of fluid domain at time </w:t>
            </w:r>
            <m:oMath>
              <m:r>
                <w:rPr>
                  <w:rFonts w:ascii="Cambria Math" w:eastAsia="Cambria Math" w:hAnsi="Cambria Math" w:cs="Cambria Math"/>
                  <w:color w:val="000000"/>
                  <w:sz w:val="14"/>
                  <w:szCs w:val="14"/>
                </w:rPr>
                <m:t>t=0</m:t>
              </m:r>
            </m:oMath>
          </w:p>
        </w:tc>
      </w:tr>
      <w:tr w:rsidR="00344845" w:rsidRPr="001C5E76" w14:paraId="2521CCB7" w14:textId="77777777" w:rsidTr="00344845">
        <w:tc>
          <w:tcPr>
            <w:tcW w:w="1134" w:type="dxa"/>
            <w:vMerge w:val="restart"/>
            <w:shd w:val="clear" w:color="auto" w:fill="FFFFFF"/>
            <w:vAlign w:val="center"/>
          </w:tcPr>
          <w:p w14:paraId="6AD894C3" w14:textId="6D5A4412" w:rsidR="00344845" w:rsidRPr="001C5E76" w:rsidRDefault="00344845" w:rsidP="00344845">
            <w:pPr>
              <w:pStyle w:val="CETBodytext"/>
              <w:ind w:right="-1"/>
              <w:jc w:val="center"/>
              <w:rPr>
                <w:rFonts w:cs="Arial"/>
                <w:szCs w:val="18"/>
                <w:lang w:val="en-GB"/>
              </w:rPr>
            </w:pPr>
            <w:r w:rsidRPr="001C5E76">
              <w:rPr>
                <w:rFonts w:cs="Arial"/>
                <w:szCs w:val="18"/>
                <w:lang w:val="en-GB"/>
              </w:rPr>
              <w:t>3</w:t>
            </w:r>
          </w:p>
        </w:tc>
        <w:tc>
          <w:tcPr>
            <w:tcW w:w="3261" w:type="dxa"/>
            <w:shd w:val="clear" w:color="auto" w:fill="FFFFFF"/>
            <w:vAlign w:val="center"/>
          </w:tcPr>
          <w:p w14:paraId="11CFFC39" w14:textId="31D4D7E2"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p=</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p</m:t>
                    </m:r>
                  </m:e>
                  <m:sub>
                    <m:r>
                      <w:rPr>
                        <w:rFonts w:ascii="Cambria Math" w:eastAsia="Cambria Math" w:hAnsi="Cambria Math" w:cs="Cambria Math"/>
                        <w:color w:val="000000"/>
                        <w:sz w:val="14"/>
                        <w:szCs w:val="14"/>
                      </w:rPr>
                      <m:t>atm</m:t>
                    </m:r>
                  </m:sub>
                </m:sSub>
              </m:oMath>
            </m:oMathPara>
          </w:p>
        </w:tc>
        <w:tc>
          <w:tcPr>
            <w:tcW w:w="4110" w:type="dxa"/>
            <w:shd w:val="clear" w:color="auto" w:fill="FFFFFF"/>
            <w:vAlign w:val="center"/>
          </w:tcPr>
          <w:p w14:paraId="730BC216" w14:textId="4D6ABFC2"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Atmospheric pressure discharge</w:t>
            </w:r>
          </w:p>
        </w:tc>
      </w:tr>
      <w:tr w:rsidR="00344845" w:rsidRPr="001C5E76" w14:paraId="655C2220" w14:textId="77777777" w:rsidTr="00344845">
        <w:tc>
          <w:tcPr>
            <w:tcW w:w="1134" w:type="dxa"/>
            <w:vMerge/>
            <w:shd w:val="clear" w:color="auto" w:fill="FFFFFF"/>
            <w:vAlign w:val="center"/>
          </w:tcPr>
          <w:p w14:paraId="5E270D06"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1B2B94E5" w14:textId="134B5A55"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-k</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4CD53516" w14:textId="77777777" w:rsidR="00344845" w:rsidRPr="001C5E76" w:rsidRDefault="00344845" w:rsidP="00344845">
            <w:pPr>
              <w:pBdr>
                <w:top w:val="nil"/>
                <w:left w:val="nil"/>
                <w:bottom w:val="nil"/>
                <w:right w:val="nil"/>
                <w:between w:val="nil"/>
              </w:pBdr>
              <w:jc w:val="left"/>
              <w:rPr>
                <w:color w:val="000000"/>
                <w:sz w:val="14"/>
                <w:szCs w:val="14"/>
              </w:rPr>
            </w:pPr>
            <w:r w:rsidRPr="001C5E76">
              <w:rPr>
                <w:color w:val="000000"/>
                <w:sz w:val="14"/>
                <w:szCs w:val="14"/>
              </w:rPr>
              <w:t>Convection prevailing over conduction</w:t>
            </w:r>
          </w:p>
          <w:p w14:paraId="71FBD660" w14:textId="2A626E67"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(Heat transport)</w:t>
            </w:r>
          </w:p>
        </w:tc>
      </w:tr>
      <w:tr w:rsidR="00344845" w:rsidRPr="001C5E76" w14:paraId="6CA4451F" w14:textId="77777777" w:rsidTr="00344845">
        <w:tc>
          <w:tcPr>
            <w:tcW w:w="1134" w:type="dxa"/>
            <w:vMerge/>
            <w:shd w:val="clear" w:color="auto" w:fill="FFFFFF"/>
            <w:vAlign w:val="center"/>
          </w:tcPr>
          <w:p w14:paraId="5E727365"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67C1C494" w14:textId="1D321DFE"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26B55212" w14:textId="77777777" w:rsidR="00344845" w:rsidRPr="001C5E76" w:rsidRDefault="00344845" w:rsidP="00344845">
            <w:pPr>
              <w:pBdr>
                <w:top w:val="nil"/>
                <w:left w:val="nil"/>
                <w:bottom w:val="nil"/>
                <w:right w:val="nil"/>
                <w:between w:val="nil"/>
              </w:pBdr>
              <w:jc w:val="left"/>
              <w:rPr>
                <w:color w:val="000000"/>
                <w:sz w:val="14"/>
                <w:szCs w:val="14"/>
              </w:rPr>
            </w:pPr>
            <w:r w:rsidRPr="001C5E76">
              <w:rPr>
                <w:color w:val="000000"/>
                <w:sz w:val="14"/>
                <w:szCs w:val="14"/>
              </w:rPr>
              <w:t>Convection prevailing over diffusion</w:t>
            </w:r>
          </w:p>
          <w:p w14:paraId="0F9F4845" w14:textId="151A4A3E"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(Mass transport)</w:t>
            </w:r>
          </w:p>
        </w:tc>
      </w:tr>
      <w:tr w:rsidR="00344845" w:rsidRPr="001C5E76" w14:paraId="461E19EB" w14:textId="77777777" w:rsidTr="00344845">
        <w:tc>
          <w:tcPr>
            <w:tcW w:w="1134" w:type="dxa"/>
            <w:vMerge w:val="restart"/>
            <w:shd w:val="clear" w:color="auto" w:fill="FFFFFF"/>
            <w:vAlign w:val="center"/>
          </w:tcPr>
          <w:p w14:paraId="49F7D657" w14:textId="44D7E2B1" w:rsidR="00344845" w:rsidRPr="001C5E76" w:rsidRDefault="00344845" w:rsidP="00344845">
            <w:pPr>
              <w:pStyle w:val="CETBodytext"/>
              <w:ind w:right="-1"/>
              <w:jc w:val="center"/>
              <w:rPr>
                <w:rFonts w:cs="Arial"/>
                <w:szCs w:val="18"/>
                <w:lang w:val="en-GB"/>
              </w:rPr>
            </w:pPr>
            <w:r w:rsidRPr="001C5E76">
              <w:rPr>
                <w:rFonts w:cs="Arial"/>
                <w:szCs w:val="18"/>
                <w:lang w:val="en-GB"/>
              </w:rPr>
              <w:t>4</w:t>
            </w:r>
          </w:p>
        </w:tc>
        <w:tc>
          <w:tcPr>
            <w:tcW w:w="3261" w:type="dxa"/>
            <w:shd w:val="clear" w:color="auto" w:fill="FFFFFF"/>
            <w:vAlign w:val="center"/>
          </w:tcPr>
          <w:p w14:paraId="43E6AEC8" w14:textId="0B741E6D"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u∙n=0</m:t>
                </m:r>
              </m:oMath>
            </m:oMathPara>
          </w:p>
        </w:tc>
        <w:tc>
          <w:tcPr>
            <w:tcW w:w="4110" w:type="dxa"/>
            <w:shd w:val="clear" w:color="auto" w:fill="FFFFFF"/>
            <w:vAlign w:val="center"/>
          </w:tcPr>
          <w:p w14:paraId="03CC0D12" w14:textId="00BFDFFA"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“No slip” condition</w:t>
            </w:r>
          </w:p>
        </w:tc>
      </w:tr>
      <w:tr w:rsidR="00344845" w:rsidRPr="001C5E76" w14:paraId="1BD6C5B5" w14:textId="77777777" w:rsidTr="00344845">
        <w:tc>
          <w:tcPr>
            <w:tcW w:w="1134" w:type="dxa"/>
            <w:vMerge/>
            <w:shd w:val="clear" w:color="auto" w:fill="FFFFFF"/>
            <w:vAlign w:val="center"/>
          </w:tcPr>
          <w:p w14:paraId="7D2D07DE"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4393D612" w14:textId="5C0019A5" w:rsidR="00344845" w:rsidRPr="001C5E76" w:rsidRDefault="00000000" w:rsidP="00344845">
            <w:pPr>
              <w:pStyle w:val="CETBodytext"/>
              <w:ind w:right="-1"/>
              <w:jc w:val="center"/>
              <w:rPr>
                <w:rFonts w:cs="Arial"/>
                <w:szCs w:val="18"/>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s</m:t>
                    </m:r>
                  </m:sub>
                </m:sSub>
              </m:oMath>
            </m:oMathPara>
          </w:p>
        </w:tc>
        <w:tc>
          <w:tcPr>
            <w:tcW w:w="4110" w:type="dxa"/>
            <w:shd w:val="clear" w:color="auto" w:fill="FFFFFF"/>
            <w:vAlign w:val="center"/>
          </w:tcPr>
          <w:p w14:paraId="19884549" w14:textId="0AE4B834"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Temperature continuity</w:t>
            </w:r>
          </w:p>
        </w:tc>
      </w:tr>
      <w:tr w:rsidR="00344845" w:rsidRPr="001C5E76" w14:paraId="15DF4724" w14:textId="77777777" w:rsidTr="00344845">
        <w:tc>
          <w:tcPr>
            <w:tcW w:w="1134" w:type="dxa"/>
            <w:vMerge/>
            <w:shd w:val="clear" w:color="auto" w:fill="FFFFFF"/>
            <w:vAlign w:val="center"/>
          </w:tcPr>
          <w:p w14:paraId="4D03C652"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037B4B35" w14:textId="77777777" w:rsidR="00344845" w:rsidRPr="001C5E76" w:rsidRDefault="00344845" w:rsidP="00344845">
            <w:pPr>
              <w:jc w:val="center"/>
              <w:rPr>
                <w:rFonts w:ascii="Cambria Math" w:eastAsia="Cambria Math" w:hAnsi="Cambria Math" w:cs="Cambria Math"/>
                <w:color w:val="000000"/>
                <w:sz w:val="14"/>
                <w:szCs w:val="14"/>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-k</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ρ</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pa</m:t>
                        </m:r>
                      </m:sub>
                    </m:sSub>
                    <m:r>
                      <w:rPr>
                        <w:rFonts w:ascii="Cambria Math" w:eastAsia="Cambria Math" w:hAnsi="Cambria Math" w:cs="Cambria Math"/>
                        <w:color w:val="000000"/>
                        <w:sz w:val="14"/>
                        <w:szCs w:val="14"/>
                      </w:rPr>
                      <m:t xml:space="preserve"> u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a</m:t>
                        </m:r>
                      </m:sub>
                    </m:sSub>
                  </m:e>
                </m:d>
                <m:r>
                  <w:rPr>
                    <w:rFonts w:ascii="Cambria Math" w:eastAsia="Cambria Math" w:hAnsi="Cambria Math" w:cs="Cambria Math"/>
                    <w:color w:val="000000"/>
                    <w:sz w:val="14"/>
                    <w:szCs w:val="14"/>
                  </w:rPr>
                  <m:t>=</m:t>
                </m:r>
              </m:oMath>
            </m:oMathPara>
          </w:p>
          <w:p w14:paraId="24DC06C4" w14:textId="2C00D917"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-k</m:t>
                        </m:r>
                      </m:e>
                      <m:sub>
                        <m:r>
                          <w:rPr>
                            <w:rFonts w:ascii="Cambria Math" w:eastAsia="Cambria Math" w:hAnsi="Cambria Math" w:cs="Cambria Math"/>
                            <w:color w:val="000000"/>
                            <w:sz w:val="14"/>
                            <w:szCs w:val="14"/>
                          </w:rPr>
                          <m:t>d</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s</m:t>
                        </m:r>
                      </m:sub>
                    </m:sSub>
                  </m:e>
                </m:d>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λ</m:t>
                    </m:r>
                  </m:e>
                  <m:sub>
                    <m:r>
                      <w:rPr>
                        <w:rFonts w:ascii="Cambria Math" w:eastAsia="Cambria Math" w:hAnsi="Cambria Math" w:cs="Cambria Math"/>
                        <w:color w:val="000000"/>
                        <w:sz w:val="14"/>
                        <w:szCs w:val="14"/>
                      </w:rPr>
                      <m:t>ev</m:t>
                    </m:r>
                  </m:sub>
                </m:sSub>
                <m:r>
                  <w:rPr>
                    <w:rFonts w:ascii="Cambria Math" w:eastAsia="Cambria Math" w:hAnsi="Cambria Math" w:cs="Cambria Math"/>
                    <w:color w:val="000000"/>
                    <w:sz w:val="14"/>
                    <w:szCs w:val="14"/>
                  </w:rPr>
                  <m:t xml:space="preserve"> 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d</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l</m:t>
                        </m:r>
                      </m:sub>
                    </m:sSub>
                  </m:e>
                </m:d>
              </m:oMath>
            </m:oMathPara>
          </w:p>
        </w:tc>
        <w:tc>
          <w:tcPr>
            <w:tcW w:w="4110" w:type="dxa"/>
            <w:shd w:val="clear" w:color="auto" w:fill="FFFFFF"/>
            <w:vAlign w:val="center"/>
          </w:tcPr>
          <w:p w14:paraId="27FC51EA" w14:textId="379520F8"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Heat flux continuity</w:t>
            </w:r>
          </w:p>
        </w:tc>
      </w:tr>
      <w:tr w:rsidR="00344845" w:rsidRPr="001C5E76" w14:paraId="5C36B75A" w14:textId="77777777" w:rsidTr="00344845">
        <w:tc>
          <w:tcPr>
            <w:tcW w:w="1134" w:type="dxa"/>
            <w:vMerge/>
            <w:shd w:val="clear" w:color="auto" w:fill="FFFFFF"/>
            <w:vAlign w:val="center"/>
          </w:tcPr>
          <w:p w14:paraId="5187BA92"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5F0D5CC3" w14:textId="6F1EAD39"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a</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 xml:space="preserve"> u</m:t>
                    </m:r>
                  </m:e>
                </m:d>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d</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l</m:t>
                        </m:r>
                      </m:sub>
                    </m:sSub>
                  </m:e>
                </m:d>
              </m:oMath>
            </m:oMathPara>
          </w:p>
        </w:tc>
        <w:tc>
          <w:tcPr>
            <w:tcW w:w="4110" w:type="dxa"/>
            <w:shd w:val="clear" w:color="auto" w:fill="FFFFFF"/>
            <w:vAlign w:val="center"/>
          </w:tcPr>
          <w:p w14:paraId="1EAC89FF" w14:textId="06E84977"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Mass flux continuity</w:t>
            </w:r>
          </w:p>
        </w:tc>
      </w:tr>
      <w:tr w:rsidR="00344845" w:rsidRPr="001C5E76" w14:paraId="2CFC1517" w14:textId="77777777" w:rsidTr="00344845">
        <w:tc>
          <w:tcPr>
            <w:tcW w:w="1134" w:type="dxa"/>
            <w:vMerge/>
            <w:shd w:val="clear" w:color="auto" w:fill="FFFFFF"/>
            <w:vAlign w:val="center"/>
          </w:tcPr>
          <w:p w14:paraId="6CAA7AF6"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633C1EA2" w14:textId="1857011F" w:rsidR="00344845" w:rsidRPr="001C5E76" w:rsidRDefault="00000000" w:rsidP="00344845">
            <w:pPr>
              <w:pStyle w:val="CETBodytext"/>
              <w:ind w:right="-1"/>
              <w:jc w:val="center"/>
              <w:rPr>
                <w:rFonts w:cs="Arial"/>
                <w:szCs w:val="18"/>
                <w:lang w:val="en-GB"/>
              </w:rPr>
            </w:pPr>
            <m:oMathPara>
              <m:oMath>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y</m:t>
                    </m:r>
                  </m:e>
                  <m:sub>
                    <m:r>
                      <w:rPr>
                        <w:rFonts w:ascii="Cambria Math" w:eastAsia="Cambria Math" w:hAnsi="Cambria Math" w:cs="Cambria Math"/>
                        <w:color w:val="000000"/>
                        <w:sz w:val="14"/>
                        <w:szCs w:val="14"/>
                      </w:rPr>
                      <m:t>v</m:t>
                    </m:r>
                  </m:sub>
                </m:sSub>
                <m:r>
                  <w:rPr>
                    <w:rFonts w:ascii="Cambria Math" w:eastAsia="Cambria Math" w:hAnsi="Cambria Math" w:cs="Cambria Math"/>
                    <w:color w:val="000000"/>
                    <w:sz w:val="14"/>
                    <w:szCs w:val="14"/>
                  </w:rPr>
                  <m:t>∙p=</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P</m:t>
                    </m:r>
                  </m:e>
                  <m:sub>
                    <m:r>
                      <w:rPr>
                        <w:rFonts w:ascii="Cambria Math" w:eastAsia="Cambria Math" w:hAnsi="Cambria Math" w:cs="Cambria Math"/>
                        <w:color w:val="000000"/>
                        <w:sz w:val="14"/>
                        <w:szCs w:val="14"/>
                      </w:rPr>
                      <m:t>s</m:t>
                    </m:r>
                  </m:sub>
                </m:sSub>
                <m:r>
                  <w:rPr>
                    <w:rFonts w:ascii="Cambria Math" w:eastAsia="Cambria Math" w:hAnsi="Cambria Math" w:cs="Cambria Math"/>
                    <w:color w:val="000000"/>
                    <w:sz w:val="14"/>
                    <w:szCs w:val="14"/>
                  </w:rPr>
                  <m:t>∙</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a</m:t>
                    </m:r>
                  </m:e>
                  <m:sub>
                    <m:r>
                      <w:rPr>
                        <w:rFonts w:ascii="Cambria Math" w:eastAsia="Cambria Math" w:hAnsi="Cambria Math" w:cs="Cambria Math"/>
                        <w:color w:val="000000"/>
                        <w:sz w:val="14"/>
                        <w:szCs w:val="14"/>
                      </w:rPr>
                      <m:t>w</m:t>
                    </m:r>
                  </m:sub>
                </m:sSub>
              </m:oMath>
            </m:oMathPara>
          </w:p>
        </w:tc>
        <w:tc>
          <w:tcPr>
            <w:tcW w:w="4110" w:type="dxa"/>
            <w:shd w:val="clear" w:color="auto" w:fill="FFFFFF"/>
            <w:vAlign w:val="center"/>
          </w:tcPr>
          <w:p w14:paraId="14702304" w14:textId="5CD2C027"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Thermodynamic equilibrium</w:t>
            </w:r>
          </w:p>
        </w:tc>
      </w:tr>
      <w:tr w:rsidR="00344845" w:rsidRPr="001C5E76" w14:paraId="7B6E3B5B" w14:textId="77777777" w:rsidTr="00344845">
        <w:tc>
          <w:tcPr>
            <w:tcW w:w="1134" w:type="dxa"/>
            <w:vMerge w:val="restart"/>
            <w:shd w:val="clear" w:color="auto" w:fill="FFFFFF"/>
            <w:vAlign w:val="center"/>
          </w:tcPr>
          <w:p w14:paraId="7248ED93" w14:textId="20F41152" w:rsidR="00344845" w:rsidRPr="001C5E76" w:rsidRDefault="00344845" w:rsidP="00344845">
            <w:pPr>
              <w:pStyle w:val="CETBodytext"/>
              <w:ind w:right="-1"/>
              <w:jc w:val="center"/>
              <w:rPr>
                <w:rFonts w:cs="Arial"/>
                <w:szCs w:val="18"/>
                <w:lang w:val="en-GB"/>
              </w:rPr>
            </w:pPr>
            <w:r w:rsidRPr="001C5E76">
              <w:rPr>
                <w:rFonts w:cs="Arial"/>
                <w:szCs w:val="18"/>
                <w:lang w:val="en-GB"/>
              </w:rPr>
              <w:t>5,6,7</w:t>
            </w:r>
          </w:p>
        </w:tc>
        <w:tc>
          <w:tcPr>
            <w:tcW w:w="3261" w:type="dxa"/>
            <w:shd w:val="clear" w:color="auto" w:fill="FFFFFF"/>
            <w:vAlign w:val="center"/>
          </w:tcPr>
          <w:p w14:paraId="72CF19DC" w14:textId="1C22735C"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-k</m:t>
                        </m:r>
                      </m:e>
                      <m:sub>
                        <m:r>
                          <w:rPr>
                            <w:rFonts w:ascii="Cambria Math" w:eastAsia="Cambria Math" w:hAnsi="Cambria Math" w:cs="Cambria Math"/>
                            <w:color w:val="000000"/>
                            <w:sz w:val="14"/>
                            <w:szCs w:val="14"/>
                          </w:rPr>
                          <m:t>d</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T</m:t>
                        </m:r>
                      </m:e>
                      <m:sub>
                        <m:r>
                          <w:rPr>
                            <w:rFonts w:ascii="Cambria Math" w:eastAsia="Cambria Math" w:hAnsi="Cambria Math" w:cs="Cambria Math"/>
                            <w:color w:val="000000"/>
                            <w:sz w:val="14"/>
                            <w:szCs w:val="14"/>
                          </w:rPr>
                          <m:t>s</m:t>
                        </m:r>
                      </m:sub>
                    </m:sSub>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0E1FF7B3" w14:textId="70B04611"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Thermal insulation</w:t>
            </w:r>
          </w:p>
        </w:tc>
      </w:tr>
      <w:tr w:rsidR="00344845" w:rsidRPr="00B57B36" w14:paraId="5EACF84B" w14:textId="77777777" w:rsidTr="00344845">
        <w:tc>
          <w:tcPr>
            <w:tcW w:w="1134" w:type="dxa"/>
            <w:vMerge/>
            <w:shd w:val="clear" w:color="auto" w:fill="FFFFFF"/>
            <w:vAlign w:val="center"/>
          </w:tcPr>
          <w:p w14:paraId="2ACDB3C2" w14:textId="77777777" w:rsidR="00344845" w:rsidRPr="001C5E76" w:rsidRDefault="00344845" w:rsidP="00344845">
            <w:pPr>
              <w:pStyle w:val="CETBodytext"/>
              <w:ind w:right="-1"/>
              <w:jc w:val="center"/>
              <w:rPr>
                <w:rFonts w:cs="Arial"/>
                <w:szCs w:val="18"/>
                <w:lang w:val="en-GB"/>
              </w:rPr>
            </w:pPr>
          </w:p>
        </w:tc>
        <w:tc>
          <w:tcPr>
            <w:tcW w:w="3261" w:type="dxa"/>
            <w:shd w:val="clear" w:color="auto" w:fill="FFFFFF"/>
            <w:vAlign w:val="center"/>
          </w:tcPr>
          <w:p w14:paraId="3075E71B" w14:textId="357CFC7A" w:rsidR="00344845" w:rsidRPr="001C5E76" w:rsidRDefault="00344845" w:rsidP="00344845">
            <w:pPr>
              <w:pStyle w:val="CETBodytext"/>
              <w:ind w:right="-1"/>
              <w:jc w:val="center"/>
              <w:rPr>
                <w:rFonts w:cs="Arial"/>
                <w:szCs w:val="18"/>
                <w:lang w:val="en-GB"/>
              </w:rPr>
            </w:pPr>
            <m:oMathPara>
              <m:oMath>
                <m:r>
                  <w:rPr>
                    <w:rFonts w:ascii="Cambria Math" w:eastAsia="Cambria Math" w:hAnsi="Cambria Math" w:cs="Cambria Math"/>
                    <w:color w:val="000000"/>
                    <w:sz w:val="14"/>
                    <w:szCs w:val="14"/>
                  </w:rPr>
                  <m:t>n∙</m:t>
                </m:r>
                <m:d>
                  <m:dPr>
                    <m:ctrlPr>
                      <w:rPr>
                        <w:rFonts w:ascii="Cambria Math" w:eastAsia="Cambria Math" w:hAnsi="Cambria Math" w:cs="Cambria Math"/>
                        <w:color w:val="000000"/>
                        <w:sz w:val="14"/>
                        <w:szCs w:val="14"/>
                      </w:rPr>
                    </m:ctrlPr>
                  </m:dPr>
                  <m:e>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-D</m:t>
                        </m:r>
                      </m:e>
                      <m:sub>
                        <m:r>
                          <w:rPr>
                            <w:rFonts w:ascii="Cambria Math" w:eastAsia="Cambria Math" w:hAnsi="Cambria Math" w:cs="Cambria Math"/>
                            <w:color w:val="000000"/>
                            <w:sz w:val="14"/>
                            <w:szCs w:val="14"/>
                          </w:rPr>
                          <m:t>d</m:t>
                        </m:r>
                      </m:sub>
                    </m:sSub>
                    <m:r>
                      <w:rPr>
                        <w:rFonts w:ascii="Cambria Math" w:eastAsia="Cambria Math" w:hAnsi="Cambria Math" w:cs="Cambria Math"/>
                        <w:color w:val="000000"/>
                        <w:sz w:val="14"/>
                        <w:szCs w:val="14"/>
                      </w:rPr>
                      <m:t xml:space="preserve"> ∇</m:t>
                    </m:r>
                    <m:sSub>
                      <m:sSubPr>
                        <m:ctrlPr>
                          <w:rPr>
                            <w:rFonts w:ascii="Cambria Math" w:eastAsia="Cambria Math" w:hAnsi="Cambria Math" w:cs="Cambria Math"/>
                            <w:color w:val="000000"/>
                            <w:sz w:val="14"/>
                            <w:szCs w:val="14"/>
                          </w:rPr>
                        </m:ctrlPr>
                      </m:sSubPr>
                      <m:e>
                        <m:r>
                          <w:rPr>
                            <w:rFonts w:ascii="Cambria Math" w:eastAsia="Cambria Math" w:hAnsi="Cambria Math" w:cs="Cambria Math"/>
                            <w:color w:val="000000"/>
                            <w:sz w:val="14"/>
                            <w:szCs w:val="14"/>
                          </w:rPr>
                          <m:t>c</m:t>
                        </m:r>
                      </m:e>
                      <m:sub>
                        <m:r>
                          <w:rPr>
                            <w:rFonts w:ascii="Cambria Math" w:eastAsia="Cambria Math" w:hAnsi="Cambria Math" w:cs="Cambria Math"/>
                            <w:color w:val="000000"/>
                            <w:sz w:val="14"/>
                            <w:szCs w:val="14"/>
                          </w:rPr>
                          <m:t>l</m:t>
                        </m:r>
                      </m:sub>
                    </m:sSub>
                  </m:e>
                </m:d>
                <m:r>
                  <w:rPr>
                    <w:rFonts w:ascii="Cambria Math" w:eastAsia="Cambria Math" w:hAnsi="Cambria Math" w:cs="Cambria Math"/>
                    <w:color w:val="000000"/>
                    <w:sz w:val="14"/>
                    <w:szCs w:val="14"/>
                  </w:rPr>
                  <m:t>=0</m:t>
                </m:r>
              </m:oMath>
            </m:oMathPara>
          </w:p>
        </w:tc>
        <w:tc>
          <w:tcPr>
            <w:tcW w:w="4110" w:type="dxa"/>
            <w:shd w:val="clear" w:color="auto" w:fill="FFFFFF"/>
            <w:vAlign w:val="center"/>
          </w:tcPr>
          <w:p w14:paraId="362FB12E" w14:textId="16EEA95E" w:rsidR="00344845" w:rsidRPr="001C5E76" w:rsidRDefault="00344845" w:rsidP="00344845">
            <w:pPr>
              <w:pStyle w:val="CETBodytext"/>
              <w:ind w:right="-1"/>
              <w:jc w:val="left"/>
              <w:rPr>
                <w:rFonts w:cs="Arial"/>
                <w:szCs w:val="18"/>
                <w:lang w:val="en-GB"/>
              </w:rPr>
            </w:pPr>
            <w:r w:rsidRPr="001C5E76">
              <w:rPr>
                <w:rFonts w:eastAsia="Arial" w:cs="Arial"/>
                <w:color w:val="000000"/>
                <w:sz w:val="14"/>
                <w:szCs w:val="14"/>
              </w:rPr>
              <w:t>No mass flux</w:t>
            </w:r>
          </w:p>
        </w:tc>
      </w:tr>
    </w:tbl>
    <w:p w14:paraId="08F3DFB7" w14:textId="77777777" w:rsidR="003F1AC5" w:rsidRDefault="00000000" w:rsidP="00344845">
      <w:pPr>
        <w:pStyle w:val="CETHeading1"/>
      </w:pPr>
      <w:r>
        <w:rPr>
          <w:rFonts w:eastAsia="Arial"/>
        </w:rPr>
        <w:t>Results and discussion</w:t>
      </w:r>
    </w:p>
    <w:p w14:paraId="0EDA1B3E" w14:textId="77777777" w:rsidR="003F1AC5" w:rsidRDefault="00000000">
      <w:pPr>
        <w:pBdr>
          <w:top w:val="nil"/>
          <w:left w:val="nil"/>
          <w:bottom w:val="nil"/>
          <w:right w:val="nil"/>
          <w:between w:val="nil"/>
        </w:pBdr>
        <w:rPr>
          <w:color w:val="000000"/>
        </w:rPr>
      </w:pPr>
      <w:r>
        <w:rPr>
          <w:color w:val="000000"/>
        </w:rPr>
        <w:t>Figure 3 illustrates the temperature (a) and liquid concentration (b) profiles within the solid matrix. Thermal transport within the dough layers exhibits uniformity, reflecting efficient heat conduction due to the presence of a single "</w:t>
      </w:r>
      <w:proofErr w:type="spellStart"/>
      <w:r>
        <w:rPr>
          <w:color w:val="000000"/>
        </w:rPr>
        <w:t>Rigatone</w:t>
      </w:r>
      <w:proofErr w:type="spellEnd"/>
      <w:r>
        <w:rPr>
          <w:color w:val="000000"/>
        </w:rPr>
        <w:t>" and the minimal thickness of the dough layer. The primary thermal resistances are localized in the boundary layer adjacent to the dough, within the air domain.</w:t>
      </w:r>
    </w:p>
    <w:p w14:paraId="0A5F4581" w14:textId="77777777" w:rsidR="003F1AC5" w:rsidRDefault="00000000" w:rsidP="00B50AA1">
      <w:pPr>
        <w:pBdr>
          <w:top w:val="nil"/>
          <w:left w:val="nil"/>
          <w:bottom w:val="nil"/>
          <w:right w:val="nil"/>
          <w:between w:val="nil"/>
        </w:pBdr>
        <w:jc w:val="center"/>
        <w:rPr>
          <w:color w:val="000000"/>
        </w:rPr>
      </w:pPr>
      <w:r>
        <w:rPr>
          <w:noProof/>
          <w:color w:val="000000"/>
        </w:rPr>
        <w:lastRenderedPageBreak/>
        <w:drawing>
          <wp:inline distT="0" distB="0" distL="0" distR="0" wp14:anchorId="2DAFE0AD" wp14:editId="5C99B5A9">
            <wp:extent cx="4680000" cy="1440000"/>
            <wp:effectExtent l="0" t="0" r="6350" b="8255"/>
            <wp:docPr id="2111404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07" r="206"/>
                    <a:stretch>
                      <a:fillRect/>
                    </a:stretch>
                  </pic:blipFill>
                  <pic:spPr>
                    <a:xfrm>
                      <a:off x="0" y="0"/>
                      <a:ext cx="4680000" cy="1440000"/>
                    </a:xfrm>
                    <a:prstGeom prst="rect">
                      <a:avLst/>
                    </a:prstGeom>
                    <a:ln/>
                  </pic:spPr>
                </pic:pic>
              </a:graphicData>
            </a:graphic>
          </wp:inline>
        </w:drawing>
      </w:r>
    </w:p>
    <w:p w14:paraId="03FA0D81" w14:textId="77777777" w:rsidR="003F1AC5" w:rsidRDefault="00000000" w:rsidP="00B50AA1">
      <w:pPr>
        <w:pStyle w:val="CETCaption"/>
        <w:spacing w:after="0"/>
      </w:pPr>
      <w:r>
        <w:t xml:space="preserve">Figure 3: Radial temperature (a) and water concentration (b) at different time intervals. Vertical lines represent the sample's boundaries. </w:t>
      </w:r>
      <w:r>
        <w:rPr>
          <w:rFonts w:ascii="Cambria Math" w:eastAsia="Cambria Math" w:hAnsi="Cambria Math" w:cs="Cambria Math"/>
          <w:sz w:val="20"/>
        </w:rPr>
        <w:t>(</w:t>
      </w:r>
      <m:oMath>
        <m:sSub>
          <m:sSubPr>
            <m:ctrlPr>
              <w:rPr>
                <w:rFonts w:ascii="Cambria Math" w:eastAsia="Cambria Math" w:hAnsi="Cambria Math" w:cs="Cambria Math"/>
                <w:sz w:val="20"/>
              </w:rPr>
            </m:ctrlPr>
          </m:sSubPr>
          <m:e>
            <m:r>
              <w:rPr>
                <w:rFonts w:ascii="Cambria Math" w:eastAsia="Cambria Math" w:hAnsi="Cambria Math" w:cs="Cambria Math"/>
                <w:sz w:val="20"/>
              </w:rPr>
              <m:t>u</m:t>
            </m:r>
          </m:e>
          <m:sub>
            <m:r>
              <w:rPr>
                <w:rFonts w:ascii="Cambria Math" w:eastAsia="Cambria Math" w:hAnsi="Cambria Math" w:cs="Cambria Math"/>
                <w:sz w:val="20"/>
              </w:rPr>
              <m:t>in</m:t>
            </m:r>
          </m:sub>
        </m:sSub>
        <m:r>
          <w:rPr>
            <w:rFonts w:ascii="Cambria Math" w:eastAsia="Cambria Math" w:hAnsi="Cambria Math" w:cs="Cambria Math"/>
            <w:sz w:val="20"/>
          </w:rPr>
          <m:t xml:space="preserve">=1 </m:t>
        </m:r>
        <m:f>
          <m:fPr>
            <m:ctrlPr>
              <w:rPr>
                <w:rFonts w:ascii="Cambria Math" w:eastAsia="Cambria Math" w:hAnsi="Cambria Math" w:cs="Cambria Math"/>
                <w:sz w:val="20"/>
              </w:rPr>
            </m:ctrlPr>
          </m:fPr>
          <m:num>
            <m:r>
              <w:rPr>
                <w:rFonts w:ascii="Cambria Math" w:eastAsia="Cambria Math" w:hAnsi="Cambria Math" w:cs="Cambria Math"/>
                <w:sz w:val="20"/>
              </w:rPr>
              <m:t>m</m:t>
            </m:r>
          </m:num>
          <m:den>
            <m:r>
              <w:rPr>
                <w:rFonts w:ascii="Cambria Math" w:eastAsia="Cambria Math" w:hAnsi="Cambria Math" w:cs="Cambria Math"/>
                <w:sz w:val="20"/>
              </w:rPr>
              <m:t>s</m:t>
            </m:r>
          </m:den>
        </m:f>
        <m:r>
          <w:rPr>
            <w:rFonts w:ascii="Cambria Math" w:eastAsia="Cambria Math" w:hAnsi="Cambria Math" w:cs="Cambria Math"/>
            <w:sz w:val="20"/>
          </w:rPr>
          <m:t xml:space="preserve">, </m:t>
        </m:r>
        <m:sSub>
          <m:sSubPr>
            <m:ctrlPr>
              <w:rPr>
                <w:rFonts w:ascii="Cambria Math" w:eastAsia="Cambria Math" w:hAnsi="Cambria Math" w:cs="Cambria Math"/>
                <w:sz w:val="20"/>
              </w:rPr>
            </m:ctrlPr>
          </m:sSubPr>
          <m:e>
            <m:r>
              <w:rPr>
                <w:rFonts w:ascii="Cambria Math" w:eastAsia="Cambria Math" w:hAnsi="Cambria Math" w:cs="Cambria Math"/>
                <w:sz w:val="20"/>
              </w:rPr>
              <m:t>T</m:t>
            </m:r>
          </m:e>
          <m:sub>
            <m:r>
              <w:rPr>
                <w:rFonts w:ascii="Cambria Math" w:eastAsia="Cambria Math" w:hAnsi="Cambria Math" w:cs="Cambria Math"/>
                <w:sz w:val="20"/>
              </w:rPr>
              <m:t>s,0</m:t>
            </m:r>
          </m:sub>
        </m:sSub>
        <m:r>
          <w:rPr>
            <w:rFonts w:ascii="Cambria Math" w:eastAsia="Cambria Math" w:hAnsi="Cambria Math" w:cs="Cambria Math"/>
            <w:sz w:val="20"/>
          </w:rPr>
          <m:t>=45 °C,</m:t>
        </m:r>
        <m:sSub>
          <m:sSubPr>
            <m:ctrlPr>
              <w:rPr>
                <w:rFonts w:ascii="Cambria Math" w:eastAsia="Cambria Math" w:hAnsi="Cambria Math" w:cs="Cambria Math"/>
                <w:sz w:val="20"/>
              </w:rPr>
            </m:ctrlPr>
          </m:sSubPr>
          <m:e>
            <m:r>
              <w:rPr>
                <w:rFonts w:ascii="Cambria Math" w:eastAsia="Cambria Math" w:hAnsi="Cambria Math" w:cs="Cambria Math"/>
                <w:sz w:val="20"/>
              </w:rPr>
              <m:t>RH</m:t>
            </m:r>
          </m:e>
          <m:sub>
            <m:r>
              <w:rPr>
                <w:rFonts w:ascii="Cambria Math" w:eastAsia="Cambria Math" w:hAnsi="Cambria Math" w:cs="Cambria Math"/>
                <w:sz w:val="20"/>
              </w:rPr>
              <m:t>in</m:t>
            </m:r>
          </m:sub>
        </m:sSub>
        <m:r>
          <w:rPr>
            <w:rFonts w:ascii="Cambria Math" w:eastAsia="Cambria Math" w:hAnsi="Cambria Math" w:cs="Cambria Math"/>
            <w:sz w:val="20"/>
          </w:rPr>
          <m:t xml:space="preserve">= 30 %, </m:t>
        </m:r>
        <m:sSub>
          <m:sSubPr>
            <m:ctrlPr>
              <w:rPr>
                <w:rFonts w:ascii="Cambria Math" w:eastAsia="Cambria Math" w:hAnsi="Cambria Math" w:cs="Cambria Math"/>
                <w:sz w:val="20"/>
              </w:rPr>
            </m:ctrlPr>
          </m:sSubPr>
          <m:e>
            <m:r>
              <w:rPr>
                <w:rFonts w:ascii="Cambria Math" w:eastAsia="Cambria Math" w:hAnsi="Cambria Math" w:cs="Cambria Math"/>
                <w:sz w:val="20"/>
              </w:rPr>
              <m:t>X</m:t>
            </m:r>
          </m:e>
          <m:sub>
            <m:r>
              <w:rPr>
                <w:rFonts w:ascii="Cambria Math" w:eastAsia="Cambria Math" w:hAnsi="Cambria Math" w:cs="Cambria Math"/>
                <w:sz w:val="20"/>
              </w:rPr>
              <m:t>0</m:t>
            </m:r>
          </m:sub>
        </m:sSub>
        <m:r>
          <w:rPr>
            <w:rFonts w:ascii="Cambria Math" w:eastAsia="Cambria Math" w:hAnsi="Cambria Math" w:cs="Cambria Math"/>
            <w:sz w:val="20"/>
          </w:rPr>
          <m:t xml:space="preserve">=0.3 </m:t>
        </m:r>
        <m:f>
          <m:fPr>
            <m:ctrlPr>
              <w:rPr>
                <w:rFonts w:ascii="Cambria Math" w:eastAsia="Cambria Math" w:hAnsi="Cambria Math" w:cs="Cambria Math"/>
                <w:sz w:val="20"/>
              </w:rPr>
            </m:ctrlPr>
          </m:fPr>
          <m:num>
            <m:sSub>
              <m:sSubPr>
                <m:ctrlPr>
                  <w:rPr>
                    <w:rFonts w:ascii="Cambria Math" w:eastAsia="Cambria Math" w:hAnsi="Cambria Math" w:cs="Cambria Math"/>
                    <w:sz w:val="20"/>
                  </w:rPr>
                </m:ctrlPr>
              </m:sSubPr>
              <m:e>
                <m:r>
                  <w:rPr>
                    <w:rFonts w:ascii="Cambria Math" w:eastAsia="Cambria Math" w:hAnsi="Cambria Math" w:cs="Cambria Math"/>
                    <w:sz w:val="20"/>
                  </w:rPr>
                  <m:t>kg</m:t>
                </m:r>
              </m:e>
              <m:sub>
                <m:r>
                  <w:rPr>
                    <w:rFonts w:ascii="Cambria Math" w:eastAsia="Cambria Math" w:hAnsi="Cambria Math" w:cs="Cambria Math"/>
                    <w:sz w:val="20"/>
                  </w:rPr>
                  <m:t>w</m:t>
                </m:r>
              </m:sub>
            </m:sSub>
          </m:num>
          <m:den>
            <m:sSub>
              <m:sSubPr>
                <m:ctrlPr>
                  <w:rPr>
                    <w:rFonts w:ascii="Cambria Math" w:eastAsia="Cambria Math" w:hAnsi="Cambria Math" w:cs="Cambria Math"/>
                    <w:sz w:val="20"/>
                  </w:rPr>
                </m:ctrlPr>
              </m:sSubPr>
              <m:e>
                <m:r>
                  <w:rPr>
                    <w:rFonts w:ascii="Cambria Math" w:eastAsia="Cambria Math" w:hAnsi="Cambria Math" w:cs="Cambria Math"/>
                    <w:sz w:val="20"/>
                  </w:rPr>
                  <m:t>kg</m:t>
                </m:r>
              </m:e>
              <m:sub>
                <m:r>
                  <w:rPr>
                    <w:rFonts w:ascii="Cambria Math" w:eastAsia="Cambria Math" w:hAnsi="Cambria Math" w:cs="Cambria Math"/>
                    <w:sz w:val="20"/>
                  </w:rPr>
                  <m:t>dry</m:t>
                </m:r>
              </m:sub>
            </m:sSub>
          </m:den>
        </m:f>
      </m:oMath>
      <w:r>
        <w:rPr>
          <w:rFonts w:ascii="Cambria Math" w:eastAsia="Cambria Math" w:hAnsi="Cambria Math" w:cs="Cambria Math"/>
          <w:sz w:val="20"/>
        </w:rPr>
        <w:t>)</w:t>
      </w:r>
    </w:p>
    <w:p w14:paraId="2AE4C4B6" w14:textId="77777777" w:rsidR="003F1AC5" w:rsidRDefault="00000000">
      <w:pPr>
        <w:pBdr>
          <w:top w:val="nil"/>
          <w:left w:val="nil"/>
          <w:bottom w:val="nil"/>
          <w:right w:val="nil"/>
          <w:between w:val="nil"/>
        </w:pBdr>
        <w:rPr>
          <w:color w:val="000000"/>
        </w:rPr>
      </w:pPr>
      <w:r>
        <w:rPr>
          <w:color w:val="000000"/>
        </w:rPr>
        <w:t>The concentration profiles reveal a noticeable transport resistance within the sample, as expected, with distinct gradients confirming a controlled drying rate for the dough. This gradual drying strategy is intentionally employed to avoid surface layer fracturing, underscoring the necessity of avoiding harsh operational conditions during the process.</w:t>
      </w:r>
    </w:p>
    <w:p w14:paraId="255B5276" w14:textId="77777777" w:rsidR="003F1AC5" w:rsidRDefault="00000000">
      <w:pPr>
        <w:pBdr>
          <w:top w:val="nil"/>
          <w:left w:val="nil"/>
          <w:bottom w:val="nil"/>
          <w:right w:val="nil"/>
          <w:between w:val="nil"/>
        </w:pBdr>
        <w:rPr>
          <w:color w:val="000000"/>
        </w:rPr>
      </w:pPr>
      <w:r>
        <w:rPr>
          <w:color w:val="000000"/>
        </w:rPr>
        <w:t>Consistent with earlier observations, analyzing the boundary conditions enforcing temperature and flux continuity makes it evident that the highest heat flux occurs at the food’s outer boundaries. Furthermore, the fluid mixture’s temperature remains largely uniform across the domain, except for a minor localized cooling effect in the air stream directly beneath the "</w:t>
      </w:r>
      <w:proofErr w:type="spellStart"/>
      <w:r>
        <w:rPr>
          <w:color w:val="000000"/>
        </w:rPr>
        <w:t>Rigatone</w:t>
      </w:r>
      <w:proofErr w:type="spellEnd"/>
      <w:r>
        <w:rPr>
          <w:color w:val="000000"/>
        </w:rPr>
        <w:t>."</w:t>
      </w:r>
    </w:p>
    <w:p w14:paraId="3B773243" w14:textId="77777777" w:rsidR="003F1AC5" w:rsidRDefault="00000000">
      <w:pPr>
        <w:pBdr>
          <w:top w:val="nil"/>
          <w:left w:val="nil"/>
          <w:bottom w:val="nil"/>
          <w:right w:val="nil"/>
          <w:between w:val="nil"/>
        </w:pBdr>
        <w:rPr>
          <w:color w:val="000000"/>
        </w:rPr>
      </w:pPr>
      <w:r>
        <w:rPr>
          <w:color w:val="000000"/>
        </w:rPr>
        <w:t>Figure 4 presents the results obtained from the parametric studies conducted on the inlet temperature of the drying air, focusing on the evolution of the average water content within the food sample on a dry basis and the average food temperature (Adduci et al., 2024, 2025).</w:t>
      </w:r>
    </w:p>
    <w:p w14:paraId="66D0136C" w14:textId="77777777" w:rsidR="003F1AC5" w:rsidRDefault="00000000" w:rsidP="00B50AA1">
      <w:pPr>
        <w:pBdr>
          <w:top w:val="nil"/>
          <w:left w:val="nil"/>
          <w:bottom w:val="nil"/>
          <w:right w:val="nil"/>
          <w:between w:val="nil"/>
        </w:pBdr>
        <w:jc w:val="center"/>
        <w:rPr>
          <w:color w:val="000000"/>
        </w:rPr>
      </w:pPr>
      <w:r>
        <w:rPr>
          <w:noProof/>
          <w:color w:val="000000"/>
        </w:rPr>
        <w:drawing>
          <wp:inline distT="0" distB="0" distL="0" distR="0" wp14:anchorId="0F2F5599" wp14:editId="3BFF02A0">
            <wp:extent cx="4680000" cy="1440000"/>
            <wp:effectExtent l="0" t="0" r="6350" b="0"/>
            <wp:docPr id="2111404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4680000" cy="1440000"/>
                    </a:xfrm>
                    <a:prstGeom prst="rect">
                      <a:avLst/>
                    </a:prstGeom>
                    <a:ln/>
                  </pic:spPr>
                </pic:pic>
              </a:graphicData>
            </a:graphic>
          </wp:inline>
        </w:drawing>
      </w:r>
    </w:p>
    <w:p w14:paraId="57860354" w14:textId="77777777" w:rsidR="003F1AC5" w:rsidRDefault="00000000" w:rsidP="00B50AA1">
      <w:pPr>
        <w:pStyle w:val="CETCaption"/>
        <w:spacing w:after="120"/>
      </w:pPr>
      <w:r>
        <w:t>Figure 4: Evolution of the (a) moisture content on a dry basis and (b) temperature within the food after parameterization of T_(</w:t>
      </w:r>
      <w:proofErr w:type="spellStart"/>
      <w:proofErr w:type="gramStart"/>
      <w:r>
        <w:t>a,in</w:t>
      </w:r>
      <w:proofErr w:type="spellEnd"/>
      <w:proofErr w:type="gramEnd"/>
      <w:r>
        <w:t>) for default configuration</w:t>
      </w:r>
    </w:p>
    <w:p w14:paraId="621181BC" w14:textId="7E7F2F7E" w:rsidR="00B36EA0" w:rsidRPr="00B36EA0" w:rsidRDefault="00000000" w:rsidP="00B36EA0">
      <w:pPr>
        <w:pBdr>
          <w:top w:val="nil"/>
          <w:left w:val="nil"/>
          <w:bottom w:val="nil"/>
          <w:right w:val="nil"/>
          <w:between w:val="nil"/>
        </w:pBdr>
        <w:rPr>
          <w:color w:val="000000"/>
        </w:rPr>
      </w:pPr>
      <w:r>
        <w:rPr>
          <w:color w:val="000000"/>
        </w:rPr>
        <w:t>As the air temperature rises, the foodstuff's moisture content is lower by the end of the drying process. However, during the initial stages of simulation, a contrasting trend is observed. With an increase in air temperature, the moisture content decreases more slowly, as the wet bulb temperature of the air-steam mixture also rises. When the temperature at the solid-fluid interface is below the wet bulb temperature of the drying medium, water vapor condenses on the sample's outer surface until its temperature equalizes with the wet bulb temperature of the fluid phase.</w:t>
      </w:r>
    </w:p>
    <w:p w14:paraId="429F4815" w14:textId="2EFEB08A" w:rsidR="003F1AC5" w:rsidRPr="00001F6D" w:rsidRDefault="00000000">
      <w:pPr>
        <w:pBdr>
          <w:top w:val="nil"/>
          <w:left w:val="nil"/>
          <w:bottom w:val="nil"/>
          <w:right w:val="nil"/>
          <w:between w:val="nil"/>
        </w:pBdr>
      </w:pPr>
      <w:r w:rsidRPr="001C5E76">
        <w:t>The model was validated through drying experiments conducted in a laboratory-scale drying chamber equipped with an air temperature and relative humidity control system, a ventilation system, shelving units, a built-in scale, and a data logging and monitoring system (</w:t>
      </w:r>
      <w:proofErr w:type="spellStart"/>
      <w:r w:rsidRPr="001C5E76">
        <w:t>Italpast</w:t>
      </w:r>
      <w:proofErr w:type="spellEnd"/>
      <w:r w:rsidRPr="001C5E76">
        <w:t xml:space="preserve"> Test-Lab laboratory dryer EAC-LAB 60141). </w:t>
      </w:r>
      <w:r w:rsidRPr="001C5E76">
        <w:rPr>
          <w:highlight w:val="white"/>
        </w:rPr>
        <w:t>To recreate the structure of the model, a small amount of pasta was strategically distributed over a series of stationary perforated plates within the drying chamber. The chamber, which is approximately 50 cm high and 1m wide, was kept sealed throughout the entire drying procedure.</w:t>
      </w:r>
      <w:r w:rsidRPr="001C5E76">
        <w:t xml:space="preserve"> The system was programmed to periodically halt ventilation for a few seconds to facilitate accurate measurements of the drying solid mass, ensuring accurate tracking of moisture loss</w:t>
      </w:r>
      <w:r w:rsidRPr="001C5E76">
        <w:rPr>
          <w:rFonts w:ascii="Times New Roman" w:eastAsia="Times New Roman" w:hAnsi="Times New Roman" w:cs="Times New Roman"/>
          <w:sz w:val="24"/>
          <w:szCs w:val="24"/>
        </w:rPr>
        <w:t>.</w:t>
      </w:r>
      <w:r w:rsidR="00AE1857" w:rsidRPr="001C5E76">
        <w:rPr>
          <w:rFonts w:ascii="Times New Roman" w:eastAsia="Times New Roman" w:hAnsi="Times New Roman" w:cs="Times New Roman"/>
          <w:sz w:val="24"/>
          <w:szCs w:val="24"/>
        </w:rPr>
        <w:t xml:space="preserve"> </w:t>
      </w:r>
      <w:r w:rsidR="00075A2E" w:rsidRPr="001C5E76">
        <w:t xml:space="preserve">The </w:t>
      </w:r>
      <w:r w:rsidRPr="001C5E76">
        <w:rPr>
          <w:rStyle w:val="CETBodytextCarattere"/>
          <w:rFonts w:eastAsia="Arial"/>
        </w:rPr>
        <w:t>drying</w:t>
      </w:r>
      <w:r w:rsidR="00075A2E" w:rsidRPr="001C5E76">
        <w:rPr>
          <w:rStyle w:val="CETBodytextCarattere"/>
          <w:rFonts w:eastAsia="Arial"/>
        </w:rPr>
        <w:t xml:space="preserve"> process</w:t>
      </w:r>
      <w:r w:rsidRPr="001C5E76">
        <w:t xml:space="preserve"> was </w:t>
      </w:r>
      <w:r>
        <w:rPr>
          <w:color w:val="000000"/>
        </w:rPr>
        <w:t>monitored over 252 minutes under varying conditions (90°C with 40% or 60% relative humidity)</w:t>
      </w:r>
      <w:r w:rsidR="00075A2E">
        <w:rPr>
          <w:color w:val="000000"/>
        </w:rPr>
        <w:t>.</w:t>
      </w:r>
      <w:r>
        <w:rPr>
          <w:color w:val="000000"/>
        </w:rPr>
        <w:t xml:space="preserve"> Experiments were repeated in triplicate for </w:t>
      </w:r>
      <w:r w:rsidRPr="00001F6D">
        <w:t>reliability</w:t>
      </w:r>
      <w:r w:rsidR="001C5E76" w:rsidRPr="00001F6D">
        <w:t xml:space="preserve"> </w:t>
      </w:r>
      <w:r w:rsidR="001C5E76" w:rsidRPr="00001F6D">
        <w:t>and the selected experimental conditions are representative of key stages within the</w:t>
      </w:r>
      <w:r w:rsidR="002016F8" w:rsidRPr="00001F6D">
        <w:t xml:space="preserve"> </w:t>
      </w:r>
      <w:r w:rsidR="002016F8" w:rsidRPr="00001F6D">
        <w:t>industrial drying</w:t>
      </w:r>
      <w:r w:rsidR="001C5E76" w:rsidRPr="00001F6D">
        <w:t xml:space="preserve"> process</w:t>
      </w:r>
      <w:r w:rsidRPr="00001F6D">
        <w:t>.</w:t>
      </w:r>
    </w:p>
    <w:p w14:paraId="739D290A" w14:textId="18545C5F" w:rsidR="003F1AC5" w:rsidRPr="00001F6D" w:rsidRDefault="00000000">
      <w:pPr>
        <w:pBdr>
          <w:top w:val="nil"/>
          <w:left w:val="nil"/>
          <w:bottom w:val="nil"/>
          <w:right w:val="nil"/>
          <w:between w:val="nil"/>
        </w:pBdr>
      </w:pPr>
      <w:r w:rsidRPr="00001F6D">
        <w:t xml:space="preserve">To account for initial disturbances caused by inserting the sample, the model incorporated transient conditions that lasted about 10 minutes before stabilizing. Comparison of model predictions with and without these transient effects, as shown in Figure </w:t>
      </w:r>
      <w:r w:rsidR="00001F6D">
        <w:t>5</w:t>
      </w:r>
      <w:r w:rsidRPr="00001F6D">
        <w:t>, demonstrated that including them improved accuracy in the early dehydration stages, though later stages remained largely unaffected.</w:t>
      </w:r>
      <w:r w:rsidR="001C5E76" w:rsidRPr="00001F6D">
        <w:t xml:space="preserve"> </w:t>
      </w:r>
      <w:r w:rsidR="001C5E76" w:rsidRPr="00001F6D">
        <w:rPr>
          <w:shd w:val="clear" w:color="auto" w:fill="FAFAFA"/>
        </w:rPr>
        <w:t xml:space="preserve">Quantitatively, the root </w:t>
      </w:r>
      <w:proofErr w:type="gramStart"/>
      <w:r w:rsidR="001C5E76" w:rsidRPr="00001F6D">
        <w:rPr>
          <w:shd w:val="clear" w:color="auto" w:fill="FAFAFA"/>
        </w:rPr>
        <w:t>mean</w:t>
      </w:r>
      <w:proofErr w:type="gramEnd"/>
      <w:r w:rsidR="001C5E76" w:rsidRPr="00001F6D">
        <w:rPr>
          <w:shd w:val="clear" w:color="auto" w:fill="FAFAFA"/>
        </w:rPr>
        <w:t xml:space="preserve"> square error (RMSE) </w:t>
      </w:r>
      <w:r w:rsidR="001C5E76" w:rsidRPr="00001F6D">
        <w:rPr>
          <w:shd w:val="clear" w:color="auto" w:fill="FAFAFA"/>
        </w:rPr>
        <w:lastRenderedPageBreak/>
        <w:t xml:space="preserve">values for condition (a) </w:t>
      </w:r>
      <w:bookmarkStart w:id="0" w:name="_Hlk202784890"/>
      <w:r w:rsidR="001C5E76" w:rsidRPr="00001F6D">
        <w:rPr>
          <w:shd w:val="clear" w:color="auto" w:fill="FAFAFA"/>
        </w:rPr>
        <w:t>were 0.01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and 0.02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xml:space="preserve">] </w:t>
      </w:r>
      <w:r w:rsidR="00C542B1" w:rsidRPr="00001F6D">
        <w:rPr>
          <w:shd w:val="clear" w:color="auto" w:fill="FAFAFA"/>
        </w:rPr>
        <w:t xml:space="preserve">respectively with and </w:t>
      </w:r>
      <w:r w:rsidR="001C5E76" w:rsidRPr="00001F6D">
        <w:rPr>
          <w:shd w:val="clear" w:color="auto" w:fill="FAFAFA"/>
        </w:rPr>
        <w:t>without</w:t>
      </w:r>
      <w:r w:rsidR="00C542B1" w:rsidRPr="00001F6D">
        <w:rPr>
          <w:shd w:val="clear" w:color="auto" w:fill="FAFAFA"/>
        </w:rPr>
        <w:t xml:space="preserve"> initial</w:t>
      </w:r>
      <w:r w:rsidR="001C5E76" w:rsidRPr="00001F6D">
        <w:rPr>
          <w:shd w:val="clear" w:color="auto" w:fill="FAFAFA"/>
        </w:rPr>
        <w:t xml:space="preserve"> transient</w:t>
      </w:r>
      <w:r w:rsidR="00C542B1" w:rsidRPr="00001F6D">
        <w:rPr>
          <w:shd w:val="clear" w:color="auto" w:fill="FAFAFA"/>
        </w:rPr>
        <w:t xml:space="preserve"> conditions</w:t>
      </w:r>
      <w:r w:rsidR="001C5E76" w:rsidRPr="00001F6D">
        <w:rPr>
          <w:shd w:val="clear" w:color="auto" w:fill="FAFAFA"/>
        </w:rPr>
        <w:t>;</w:t>
      </w:r>
      <w:bookmarkEnd w:id="0"/>
      <w:r w:rsidR="001C5E76" w:rsidRPr="00001F6D">
        <w:rPr>
          <w:shd w:val="clear" w:color="auto" w:fill="FAFAFA"/>
        </w:rPr>
        <w:t xml:space="preserve"> for condition (b), RMSE values were 0.02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and 0.03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respectively. These results underscore the relevance of transient phenomena primarily in the early dehydration regime.</w:t>
      </w:r>
      <w:r w:rsidR="001C5E76" w:rsidRPr="00001F6D">
        <w:rPr>
          <w:shd w:val="clear" w:color="auto" w:fill="FAFAFA"/>
        </w:rPr>
        <w:t xml:space="preserve"> </w:t>
      </w:r>
      <w:r w:rsidRPr="00001F6D">
        <w:t xml:space="preserve">The dotted curves in Figure </w:t>
      </w:r>
      <w:r w:rsidR="00001F6D">
        <w:t>5</w:t>
      </w:r>
      <w:r w:rsidRPr="00001F6D">
        <w:t xml:space="preserve"> illustrate a double change in concavity at early </w:t>
      </w:r>
      <w:proofErr w:type="gramStart"/>
      <w:r w:rsidRPr="00001F6D">
        <w:t>time points</w:t>
      </w:r>
      <w:proofErr w:type="gramEnd"/>
      <w:r w:rsidRPr="00001F6D">
        <w:t>, reflecting system responses to disturbances before reaching steady-state conditions.</w:t>
      </w:r>
    </w:p>
    <w:p w14:paraId="6F3C558C" w14:textId="2F68385D" w:rsidR="003F1AC5" w:rsidRDefault="00000000">
      <w:pPr>
        <w:pBdr>
          <w:top w:val="nil"/>
          <w:left w:val="nil"/>
          <w:bottom w:val="nil"/>
          <w:right w:val="nil"/>
          <w:between w:val="nil"/>
        </w:pBdr>
        <w:rPr>
          <w:color w:val="000000"/>
        </w:rPr>
      </w:pPr>
      <w:r w:rsidRPr="00001F6D">
        <w:t xml:space="preserve">The model accurately described transient perturbations, though experimental data did not capture these due to measurement latency. Overall, the model predictions closely matched experimental results, with a mean relative error below 9%. Additionally, Figure </w:t>
      </w:r>
      <w:r w:rsidR="00001F6D">
        <w:t>5</w:t>
      </w:r>
      <w:r w:rsidRPr="00001F6D">
        <w:t xml:space="preserve"> includes model predictions without considering glass transition phenomena, showing that incorporating this physical process significantly improves accuracy in predicting pasta dehydration.</w:t>
      </w:r>
      <w:r w:rsidR="001C5E76" w:rsidRPr="00001F6D">
        <w:t xml:space="preserve"> </w:t>
      </w:r>
      <w:r w:rsidR="001C5E76" w:rsidRPr="00001F6D">
        <w:rPr>
          <w:shd w:val="clear" w:color="auto" w:fill="FAFAFA"/>
        </w:rPr>
        <w:t>The corresponding root mean square error (RMSE) values were 0.06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for condition (a) and 0.05 [</w:t>
      </w:r>
      <w:proofErr w:type="spellStart"/>
      <w:r w:rsidR="001C5E76" w:rsidRPr="00001F6D">
        <w:rPr>
          <w:shd w:val="clear" w:color="auto" w:fill="FAFAFA"/>
        </w:rPr>
        <w:t>kg_w</w:t>
      </w:r>
      <w:proofErr w:type="spellEnd"/>
      <w:r w:rsidR="001C5E76" w:rsidRPr="00001F6D">
        <w:rPr>
          <w:shd w:val="clear" w:color="auto" w:fill="FAFAFA"/>
        </w:rPr>
        <w:t>/</w:t>
      </w:r>
      <w:proofErr w:type="spellStart"/>
      <w:r w:rsidR="001C5E76" w:rsidRPr="00001F6D">
        <w:rPr>
          <w:shd w:val="clear" w:color="auto" w:fill="FAFAFA"/>
        </w:rPr>
        <w:t>kg_dry</w:t>
      </w:r>
      <w:proofErr w:type="spellEnd"/>
      <w:r w:rsidR="001C5E76" w:rsidRPr="00001F6D">
        <w:rPr>
          <w:shd w:val="clear" w:color="auto" w:fill="FAFAFA"/>
        </w:rPr>
        <w:t>] for condition (b). These results further confirm that accounting or glass transition improves the model’s predictive accuracy across different dehydration scenarios.</w:t>
      </w:r>
    </w:p>
    <w:p w14:paraId="78AAD1DE" w14:textId="77777777" w:rsidR="003F1AC5" w:rsidRDefault="00000000" w:rsidP="00B50AA1">
      <w:pPr>
        <w:pBdr>
          <w:top w:val="nil"/>
          <w:left w:val="nil"/>
          <w:bottom w:val="nil"/>
          <w:right w:val="nil"/>
          <w:between w:val="nil"/>
        </w:pBdr>
        <w:jc w:val="center"/>
        <w:rPr>
          <w:color w:val="000000"/>
        </w:rPr>
      </w:pPr>
      <w:r>
        <w:rPr>
          <w:noProof/>
          <w:color w:val="000000"/>
        </w:rPr>
        <w:drawing>
          <wp:inline distT="0" distB="0" distL="0" distR="0" wp14:anchorId="0B413A92" wp14:editId="787F26AC">
            <wp:extent cx="4680000" cy="1440000"/>
            <wp:effectExtent l="0" t="0" r="6350" b="8255"/>
            <wp:docPr id="21114040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4680000" cy="1440000"/>
                    </a:xfrm>
                    <a:prstGeom prst="rect">
                      <a:avLst/>
                    </a:prstGeom>
                    <a:ln/>
                  </pic:spPr>
                </pic:pic>
              </a:graphicData>
            </a:graphic>
          </wp:inline>
        </w:drawing>
      </w:r>
    </w:p>
    <w:p w14:paraId="4C423526" w14:textId="77777777" w:rsidR="003F1AC5" w:rsidRDefault="00000000" w:rsidP="00B50AA1">
      <w:pPr>
        <w:pBdr>
          <w:top w:val="nil"/>
          <w:left w:val="nil"/>
          <w:bottom w:val="nil"/>
          <w:right w:val="nil"/>
          <w:between w:val="nil"/>
        </w:pBdr>
        <w:spacing w:after="120"/>
        <w:rPr>
          <w:rFonts w:ascii="Times New Roman" w:eastAsia="Times New Roman" w:hAnsi="Times New Roman" w:cs="Times New Roman"/>
          <w:i/>
          <w:color w:val="000000"/>
        </w:rPr>
      </w:pPr>
      <w:r>
        <w:rPr>
          <w:i/>
          <w:color w:val="000000"/>
        </w:rPr>
        <w:t>Figure 5: Comparison of experimental results and model predictions under specified drying condition</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u</m:t>
            </m:r>
          </m:e>
          <m:sub>
            <m:r>
              <w:rPr>
                <w:rFonts w:ascii="Cambria Math" w:eastAsia="Cambria Math" w:hAnsi="Cambria Math" w:cs="Cambria Math"/>
                <w:color w:val="000000"/>
              </w:rPr>
              <m:t>in</m:t>
            </m:r>
          </m:sub>
        </m:sSub>
        <m:r>
          <w:rPr>
            <w:rFonts w:ascii="Cambria Math" w:eastAsia="Cambria Math" w:hAnsi="Cambria Math" w:cs="Cambria Math"/>
            <w:color w:val="000000"/>
          </w:rPr>
          <m:t>=0.3 m/s</m:t>
        </m:r>
      </m:oMath>
      <w:r>
        <w:rPr>
          <w:i/>
          <w:color w:val="000000"/>
        </w:rPr>
        <w:t xml:space="preserve"> and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s,0</m:t>
            </m:r>
          </m:sub>
        </m:sSub>
        <m:r>
          <w:rPr>
            <w:rFonts w:ascii="Cambria Math" w:eastAsia="Cambria Math" w:hAnsi="Cambria Math" w:cs="Cambria Math"/>
            <w:color w:val="000000"/>
          </w:rPr>
          <m:t>=30 °C</m:t>
        </m:r>
      </m:oMath>
      <w:r>
        <w:rPr>
          <w:i/>
          <w:color w:val="000000"/>
        </w:rPr>
        <w:t xml:space="preserve">). Experimental points have a relative error within 10%. Model predictions are shown with transient conditions (dotted line,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 in</m:t>
            </m:r>
          </m:sub>
        </m:sSub>
        <m:r>
          <w:rPr>
            <w:rFonts w:ascii="Cambria Math" w:eastAsia="Cambria Math" w:hAnsi="Cambria Math" w:cs="Cambria Math"/>
            <w:color w:val="000000"/>
          </w:rPr>
          <m:t>=</m:t>
        </m:r>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 in</m:t>
            </m:r>
          </m:sub>
        </m:sSub>
        <m:r>
          <w:rPr>
            <w:rFonts w:ascii="Cambria Math" w:eastAsia="Cambria Math" w:hAnsi="Cambria Math" w:cs="Cambria Math"/>
            <w:color w:val="000000"/>
          </w:rPr>
          <m:t>(t)</m:t>
        </m:r>
      </m:oMath>
      <w:r>
        <w:rPr>
          <w:i/>
          <w:color w:val="000000"/>
        </w:rPr>
        <w:t xml:space="preserve">) and without transient conditions (solid line, </w:t>
      </w:r>
      <m:oMath>
        <m:sSub>
          <m:sSubPr>
            <m:ctrlPr>
              <w:rPr>
                <w:rFonts w:ascii="Cambria Math" w:eastAsia="Cambria Math" w:hAnsi="Cambria Math" w:cs="Cambria Math"/>
                <w:i/>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 in</m:t>
            </m:r>
          </m:sub>
        </m:sSub>
        <m:r>
          <w:rPr>
            <w:rFonts w:ascii="Cambria Math" w:eastAsia="Cambria Math" w:hAnsi="Cambria Math" w:cs="Cambria Math"/>
            <w:color w:val="000000"/>
          </w:rPr>
          <m:t>=90°C</m:t>
        </m:r>
      </m:oMath>
      <w:r>
        <w:rPr>
          <w:i/>
          <w:color w:val="000000"/>
        </w:rPr>
        <w:t>). The dash-dotted line represents model data without considering the glass transition (Adduci et al., 2025).</w:t>
      </w:r>
    </w:p>
    <w:p w14:paraId="22FDC441" w14:textId="77777777" w:rsidR="003F1AC5" w:rsidRDefault="00000000" w:rsidP="00075A2E">
      <w:pPr>
        <w:pStyle w:val="CETHeading1"/>
      </w:pPr>
      <w:r>
        <w:rPr>
          <w:rFonts w:eastAsia="Arial"/>
        </w:rPr>
        <w:t>Conclusions</w:t>
      </w:r>
    </w:p>
    <w:p w14:paraId="0A83D496" w14:textId="77777777" w:rsidR="00AE1857" w:rsidRDefault="00000000">
      <w:pPr>
        <w:pBdr>
          <w:top w:val="nil"/>
          <w:left w:val="nil"/>
          <w:bottom w:val="nil"/>
          <w:right w:val="nil"/>
          <w:between w:val="nil"/>
        </w:pBdr>
        <w:rPr>
          <w:color w:val="000000"/>
        </w:rPr>
      </w:pPr>
      <w:r>
        <w:rPr>
          <w:color w:val="000000"/>
        </w:rPr>
        <w:t>This paper explores the significance of pasta drying modeling in achieving high-quality products while optimizing industrial processes</w:t>
      </w:r>
      <w:r w:rsidR="00AE1857">
        <w:rPr>
          <w:color w:val="000000"/>
        </w:rPr>
        <w:t>.</w:t>
      </w:r>
    </w:p>
    <w:p w14:paraId="587CB7AB" w14:textId="4EC584C8" w:rsidR="003F1AC5" w:rsidRDefault="00000000">
      <w:pPr>
        <w:pBdr>
          <w:top w:val="nil"/>
          <w:left w:val="nil"/>
          <w:bottom w:val="nil"/>
          <w:right w:val="nil"/>
          <w:between w:val="nil"/>
        </w:pBdr>
        <w:rPr>
          <w:color w:val="000000"/>
        </w:rPr>
      </w:pPr>
      <w:r>
        <w:rPr>
          <w:color w:val="000000"/>
        </w:rPr>
        <w:t>For an operating temperature (T) of 90°C, results indicate a maximum heat flux (q) of approximately 290 W/m</w:t>
      </w:r>
      <w:r>
        <w:rPr>
          <w:color w:val="000000"/>
          <w:vertAlign w:val="superscript"/>
        </w:rPr>
        <w:t>2</w:t>
      </w:r>
      <w:r>
        <w:rPr>
          <w:color w:val="000000"/>
        </w:rPr>
        <w:t xml:space="preserve"> and a final water content (X) of 4%. In an industrial context, selecting the optimal operating temperature requires balancing the shortest drying time to achieve the target moisture level with preserving product quality. While maintaining an air temperature of 90°C, a recommended practice involves reducing the drying rate by adopting gentler fluid dynamics (e.g., lower </w:t>
      </w:r>
      <w:proofErr w:type="gramStart"/>
      <w:r>
        <w:rPr>
          <w:color w:val="000000"/>
        </w:rPr>
        <w:t>airflow</w:t>
      </w:r>
      <w:proofErr w:type="gramEnd"/>
      <w:r>
        <w:rPr>
          <w:color w:val="000000"/>
        </w:rPr>
        <w:t xml:space="preserve"> velocities). This approach minimizes heat flux and mitigates risks of dough damage or structural failure during drying.</w:t>
      </w:r>
    </w:p>
    <w:p w14:paraId="439F0C30" w14:textId="68FE089C" w:rsidR="003F1AC5" w:rsidRDefault="00000000">
      <w:pPr>
        <w:pBdr>
          <w:top w:val="nil"/>
          <w:left w:val="nil"/>
          <w:bottom w:val="nil"/>
          <w:right w:val="nil"/>
          <w:between w:val="nil"/>
        </w:pBdr>
        <w:rPr>
          <w:color w:val="000000"/>
        </w:rPr>
      </w:pPr>
      <w:r>
        <w:rPr>
          <w:color w:val="000000"/>
        </w:rPr>
        <w:t xml:space="preserve">Results seamlessly reflect the experimental validation data obtained in a specifically designed drying chamber. In summary, pasta drying modeling empowers us to design smarter, greener, and more adaptable </w:t>
      </w:r>
      <w:r w:rsidRPr="001C5E76">
        <w:t xml:space="preserve">manufacturing </w:t>
      </w:r>
      <w:r w:rsidR="00B36EA0" w:rsidRPr="001C5E76">
        <w:t xml:space="preserve">pasta drying </w:t>
      </w:r>
      <w:r w:rsidRPr="001C5E76">
        <w:t>systems</w:t>
      </w:r>
      <w:r>
        <w:rPr>
          <w:color w:val="000000"/>
        </w:rPr>
        <w:t>. As we delve deeper into the topics covered in this document, readers will gain valuable insights into the latest developments in this field and discover how they can apply these concepts to improve their own processes. Ultimately, the goal is to strike a balance between preserving the rich heritage of pasta-making and embracing the innovations necessary to thrive in an ever-evolving market landscape.</w:t>
      </w:r>
    </w:p>
    <w:p w14:paraId="47A36AF3" w14:textId="77777777" w:rsidR="003F1AC5" w:rsidRDefault="00000000">
      <w:pPr>
        <w:keepNext/>
        <w:pBdr>
          <w:top w:val="nil"/>
          <w:left w:val="nil"/>
          <w:bottom w:val="nil"/>
          <w:right w:val="nil"/>
          <w:between w:val="nil"/>
        </w:pBdr>
        <w:spacing w:before="120" w:after="120" w:line="240" w:lineRule="auto"/>
        <w:jc w:val="left"/>
        <w:rPr>
          <w:b/>
          <w:color w:val="000000"/>
        </w:rPr>
        <w:sectPr w:rsidR="003F1AC5">
          <w:pgSz w:w="11906" w:h="16838"/>
          <w:pgMar w:top="1701" w:right="1418" w:bottom="1701" w:left="1701" w:header="1701" w:footer="0" w:gutter="0"/>
          <w:pgNumType w:start="1"/>
          <w:cols w:space="720"/>
          <w:titlePg/>
        </w:sectPr>
      </w:pPr>
      <w:r>
        <w:rPr>
          <w:b/>
          <w:color w:val="000000"/>
        </w:rPr>
        <w:t>Nomenclature</w:t>
      </w:r>
    </w:p>
    <w:p w14:paraId="634ABA20"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a</m:t>
            </m:r>
          </m:e>
          <m:sub>
            <m:r>
              <w:rPr>
                <w:rFonts w:ascii="Cambria Math" w:eastAsia="Cambria Math" w:hAnsi="Cambria Math" w:cs="Cambria Math"/>
                <w:color w:val="000000"/>
              </w:rPr>
              <m:t>w</m:t>
            </m:r>
          </m:sub>
        </m:sSub>
      </m:oMath>
      <w:r>
        <w:rPr>
          <w:color w:val="000000"/>
        </w:rPr>
        <w:t xml:space="preserve"> – Water activity in dough, </w:t>
      </w:r>
      <m:oMath>
        <m:r>
          <w:rPr>
            <w:rFonts w:ascii="Cambria Math" w:eastAsia="Cambria Math" w:hAnsi="Cambria Math" w:cs="Cambria Math"/>
            <w:color w:val="000000"/>
          </w:rPr>
          <m:t>-</m:t>
        </m:r>
      </m:oMath>
    </w:p>
    <w:p w14:paraId="44D35343"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pa</m:t>
            </m:r>
          </m:sub>
        </m:sSub>
      </m:oMath>
      <w:r>
        <w:rPr>
          <w:color w:val="000000"/>
        </w:rPr>
        <w:t xml:space="preserve"> – Air specific heat, </w:t>
      </w:r>
      <m:oMath>
        <m:r>
          <w:rPr>
            <w:rFonts w:ascii="Cambria Math" w:eastAsia="Cambria Math" w:hAnsi="Cambria Math" w:cs="Cambria Math"/>
            <w:color w:val="000000"/>
          </w:rPr>
          <m:t>J/</m:t>
        </m:r>
        <m:d>
          <m:dPr>
            <m:ctrlPr>
              <w:rPr>
                <w:rFonts w:ascii="Cambria Math" w:eastAsia="Cambria Math" w:hAnsi="Cambria Math" w:cs="Cambria Math"/>
                <w:color w:val="000000"/>
              </w:rPr>
            </m:ctrlPr>
          </m:dPr>
          <m:e>
            <m:r>
              <w:rPr>
                <w:rFonts w:ascii="Cambria Math" w:eastAsia="Cambria Math" w:hAnsi="Cambria Math" w:cs="Cambria Math"/>
                <w:color w:val="000000"/>
              </w:rPr>
              <m:t>kg∙K</m:t>
            </m:r>
          </m:e>
        </m:d>
      </m:oMath>
    </w:p>
    <w:p w14:paraId="7A2E11EB"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pd</m:t>
            </m:r>
          </m:sub>
        </m:sSub>
      </m:oMath>
      <w:r>
        <w:rPr>
          <w:color w:val="000000"/>
        </w:rPr>
        <w:t xml:space="preserve"> – Dough specific heat, </w:t>
      </w:r>
      <m:oMath>
        <m:r>
          <w:rPr>
            <w:rFonts w:ascii="Cambria Math" w:eastAsia="Cambria Math" w:hAnsi="Cambria Math" w:cs="Cambria Math"/>
            <w:color w:val="000000"/>
          </w:rPr>
          <m:t>J/</m:t>
        </m:r>
        <m:d>
          <m:dPr>
            <m:ctrlPr>
              <w:rPr>
                <w:rFonts w:ascii="Cambria Math" w:eastAsia="Cambria Math" w:hAnsi="Cambria Math" w:cs="Cambria Math"/>
                <w:color w:val="000000"/>
              </w:rPr>
            </m:ctrlPr>
          </m:dPr>
          <m:e>
            <m:r>
              <w:rPr>
                <w:rFonts w:ascii="Cambria Math" w:eastAsia="Cambria Math" w:hAnsi="Cambria Math" w:cs="Cambria Math"/>
                <w:color w:val="000000"/>
              </w:rPr>
              <m:t>kg∙K</m:t>
            </m:r>
          </m:e>
        </m:d>
      </m:oMath>
    </w:p>
    <w:p w14:paraId="547269BE" w14:textId="56BDAAF4"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l</m:t>
            </m:r>
          </m:sub>
        </m:sSub>
      </m:oMath>
      <w:r>
        <w:rPr>
          <w:color w:val="000000"/>
        </w:rPr>
        <w:t xml:space="preserve"> – Water concentration in dough</w:t>
      </w:r>
      <w:r w:rsidR="00B50AA1">
        <w:rPr>
          <w:color w:val="000000"/>
        </w:rPr>
        <w:t xml:space="preserve">, </w:t>
      </w:r>
      <m:oMath>
        <m:r>
          <m:rPr>
            <m:sty m:val="p"/>
          </m:rPr>
          <w:rPr>
            <w:rFonts w:ascii="Cambria Math" w:eastAsia="Cambria Math" w:hAnsi="Cambria Math" w:cs="Cambria Math"/>
            <w:color w:val="000000"/>
          </w:rPr>
          <m:t>mol/</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oMath>
    </w:p>
    <w:p w14:paraId="444F8427" w14:textId="75BAABD6"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c</m:t>
            </m:r>
          </m:e>
          <m:sub>
            <m:r>
              <w:rPr>
                <w:rFonts w:ascii="Cambria Math" w:eastAsia="Cambria Math" w:hAnsi="Cambria Math" w:cs="Cambria Math"/>
                <w:color w:val="000000"/>
              </w:rPr>
              <m:t>v</m:t>
            </m:r>
          </m:sub>
        </m:sSub>
      </m:oMath>
      <w:r>
        <w:rPr>
          <w:color w:val="000000"/>
        </w:rPr>
        <w:t xml:space="preserve"> – </w:t>
      </w:r>
      <w:proofErr w:type="spellStart"/>
      <w:r>
        <w:rPr>
          <w:color w:val="000000"/>
        </w:rPr>
        <w:t>Vapour</w:t>
      </w:r>
      <w:proofErr w:type="spellEnd"/>
      <w:r>
        <w:rPr>
          <w:color w:val="000000"/>
        </w:rPr>
        <w:t xml:space="preserve"> concentration in air,</w:t>
      </w:r>
      <m:oMath>
        <m:r>
          <m:rPr>
            <m:sty m:val="p"/>
          </m:rPr>
          <w:rPr>
            <w:rFonts w:ascii="Cambria Math" w:eastAsia="Cambria Math" w:hAnsi="Cambria Math" w:cs="Cambria Math"/>
            <w:color w:val="000000"/>
          </w:rPr>
          <m:t>mol/</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oMath>
    </w:p>
    <w:p w14:paraId="398D95C0"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eq</m:t>
            </m:r>
          </m:sub>
        </m:sSub>
      </m:oMath>
      <w:r>
        <w:rPr>
          <w:color w:val="000000"/>
        </w:rPr>
        <w:t xml:space="preserve"> – Equivalent diameter of the duct, </w:t>
      </w:r>
      <m:oMath>
        <m:r>
          <w:rPr>
            <w:rFonts w:ascii="Cambria Math" w:eastAsia="Cambria Math" w:hAnsi="Cambria Math" w:cs="Cambria Math"/>
            <w:color w:val="000000"/>
          </w:rPr>
          <m:t>m</m:t>
        </m:r>
      </m:oMath>
    </w:p>
    <w:p w14:paraId="07B6A877" w14:textId="44461355"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a</m:t>
            </m:r>
          </m:sub>
        </m:sSub>
      </m:oMath>
      <w:r>
        <w:rPr>
          <w:color w:val="000000"/>
        </w:rPr>
        <w:t xml:space="preserve"> – Diffusion coefficient of vapour in air, </w:t>
      </w:r>
      <m:oMath>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2</m:t>
            </m:r>
          </m:sup>
        </m:sSup>
        <m:r>
          <m:rPr>
            <m:sty m:val="p"/>
          </m:rPr>
          <w:rPr>
            <w:rFonts w:ascii="Cambria Math" w:eastAsia="Cambria Math" w:hAnsi="Cambria Math" w:cs="Cambria Math"/>
            <w:color w:val="000000"/>
          </w:rPr>
          <m:t>/</m:t>
        </m:r>
        <m:r>
          <w:rPr>
            <w:rFonts w:ascii="Cambria Math" w:eastAsia="Cambria Math" w:hAnsi="Cambria Math" w:cs="Cambria Math"/>
            <w:color w:val="000000"/>
          </w:rPr>
          <m:t>s</m:t>
        </m:r>
      </m:oMath>
    </w:p>
    <w:p w14:paraId="05699C2D" w14:textId="055B18AD"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D</m:t>
            </m:r>
          </m:e>
          <m:sub>
            <m:r>
              <w:rPr>
                <w:rFonts w:ascii="Cambria Math" w:eastAsia="Cambria Math" w:hAnsi="Cambria Math" w:cs="Cambria Math"/>
                <w:color w:val="000000"/>
              </w:rPr>
              <m:t>d</m:t>
            </m:r>
          </m:sub>
        </m:sSub>
      </m:oMath>
      <w:r>
        <w:rPr>
          <w:color w:val="000000"/>
        </w:rPr>
        <w:t xml:space="preserve"> – Diffusion coefficient of water in dough, </w:t>
      </w:r>
      <m:oMath>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2</m:t>
            </m:r>
          </m:sup>
        </m:sSup>
        <m:r>
          <m:rPr>
            <m:sty m:val="p"/>
          </m:rPr>
          <w:rPr>
            <w:rFonts w:ascii="Cambria Math" w:eastAsia="Cambria Math" w:hAnsi="Cambria Math" w:cs="Cambria Math"/>
            <w:color w:val="000000"/>
          </w:rPr>
          <m:t>/</m:t>
        </m:r>
        <m:r>
          <w:rPr>
            <w:rFonts w:ascii="Cambria Math" w:eastAsia="Cambria Math" w:hAnsi="Cambria Math" w:cs="Cambria Math"/>
            <w:color w:val="000000"/>
          </w:rPr>
          <m:t>s</m:t>
        </m:r>
      </m:oMath>
    </w:p>
    <w:p w14:paraId="3F990DA4" w14:textId="590F5E64"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J</m:t>
        </m:r>
      </m:oMath>
      <w:r>
        <w:rPr>
          <w:b/>
          <w:color w:val="000000"/>
        </w:rPr>
        <w:t xml:space="preserve"> </w:t>
      </w:r>
      <w:r>
        <w:rPr>
          <w:color w:val="000000"/>
        </w:rPr>
        <w:t xml:space="preserve">– Interfacial mass flux, </w:t>
      </w:r>
      <m:oMath>
        <m:r>
          <w:rPr>
            <w:rFonts w:ascii="Cambria Math" w:hAnsi="Cambria Math"/>
            <w:color w:val="000000"/>
          </w:rPr>
          <m:t>mol /</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 xml:space="preserve"> </m:t>
            </m:r>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2</m:t>
            </m:r>
          </m:sup>
        </m:sSup>
        <m:r>
          <m:rPr>
            <m:sty m:val="p"/>
          </m:rPr>
          <w:rPr>
            <w:rFonts w:ascii="Cambria Math" w:eastAsia="Cambria Math" w:hAnsi="Cambria Math" w:cs="Cambria Math"/>
            <w:color w:val="000000"/>
          </w:rPr>
          <m:t>∙</m:t>
        </m:r>
        <m:r>
          <w:rPr>
            <w:rFonts w:ascii="Cambria Math" w:eastAsia="Cambria Math" w:hAnsi="Cambria Math" w:cs="Cambria Math"/>
            <w:color w:val="000000"/>
          </w:rPr>
          <m:t>s</m:t>
        </m:r>
      </m:oMath>
    </w:p>
    <w:p w14:paraId="6DAD1542" w14:textId="06BF6E0E"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a</m:t>
            </m:r>
          </m:sub>
        </m:sSub>
      </m:oMath>
      <w:r>
        <w:rPr>
          <w:b/>
          <w:color w:val="000000"/>
        </w:rPr>
        <w:t xml:space="preserve"> </w:t>
      </w:r>
      <w:r>
        <w:rPr>
          <w:color w:val="000000"/>
        </w:rPr>
        <w:t xml:space="preserve">– Air thermal conductivity, </w:t>
      </w:r>
      <m:oMath>
        <m:r>
          <w:rPr>
            <w:rFonts w:ascii="Cambria Math" w:hAnsi="Cambria Math"/>
            <w:color w:val="000000"/>
          </w:rPr>
          <m:t>W</m:t>
        </m:r>
        <m:r>
          <w:rPr>
            <w:rFonts w:ascii="Cambria Math" w:hAnsi="Cambria Math"/>
            <w:color w:val="000000"/>
          </w:rPr>
          <m:t xml:space="preserve"> /</m:t>
        </m:r>
        <m:r>
          <m:rPr>
            <m:sty m:val="p"/>
          </m:rP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K</m:t>
        </m:r>
      </m:oMath>
    </w:p>
    <w:p w14:paraId="24156629" w14:textId="216EA1C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m:t>
            </m:r>
          </m:e>
          <m:sub>
            <m:r>
              <w:rPr>
                <w:rFonts w:ascii="Cambria Math" w:eastAsia="Cambria Math" w:hAnsi="Cambria Math" w:cs="Cambria Math"/>
                <w:color w:val="000000"/>
              </w:rPr>
              <m:t>d</m:t>
            </m:r>
          </m:sub>
        </m:sSub>
      </m:oMath>
      <w:r>
        <w:rPr>
          <w:color w:val="000000"/>
        </w:rPr>
        <w:t xml:space="preserve">– Dough thermal conductivity, </w:t>
      </w:r>
      <m:oMath>
        <m:r>
          <w:rPr>
            <w:rFonts w:ascii="Cambria Math" w:hAnsi="Cambria Math"/>
            <w:color w:val="000000"/>
          </w:rPr>
          <m:t>W /</m:t>
        </m:r>
        <m:r>
          <m:rPr>
            <m:sty m:val="p"/>
          </m:rPr>
          <w:rPr>
            <w:rFonts w:ascii="Cambria Math" w:eastAsia="Cambria Math" w:hAnsi="Cambria Math" w:cs="Cambria Math"/>
            <w:color w:val="000000"/>
          </w:rPr>
          <m:t>m∙</m:t>
        </m:r>
        <m:r>
          <w:rPr>
            <w:rFonts w:ascii="Cambria Math" w:eastAsia="Cambria Math" w:hAnsi="Cambria Math" w:cs="Cambria Math"/>
            <w:color w:val="000000"/>
          </w:rPr>
          <m:t>K</m:t>
        </m:r>
      </m:oMath>
    </w:p>
    <w:p w14:paraId="63FCFCFF"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n</m:t>
        </m:r>
      </m:oMath>
      <w:r>
        <w:rPr>
          <w:b/>
          <w:color w:val="000000"/>
        </w:rPr>
        <w:t xml:space="preserve"> </w:t>
      </w:r>
      <w:r>
        <w:rPr>
          <w:color w:val="000000"/>
        </w:rPr>
        <w:t xml:space="preserve">– Unity vector normal to surface, </w:t>
      </w:r>
      <m:oMath>
        <m:r>
          <w:rPr>
            <w:rFonts w:ascii="Cambria Math" w:eastAsia="Cambria Math" w:hAnsi="Cambria Math" w:cs="Cambria Math"/>
            <w:color w:val="000000"/>
          </w:rPr>
          <m:t>-</m:t>
        </m:r>
      </m:oMath>
    </w:p>
    <w:p w14:paraId="7B82B520" w14:textId="5E67951B"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q</m:t>
        </m:r>
      </m:oMath>
      <w:r>
        <w:rPr>
          <w:b/>
          <w:color w:val="000000"/>
        </w:rPr>
        <w:t xml:space="preserve"> </w:t>
      </w:r>
      <w:r>
        <w:rPr>
          <w:color w:val="000000"/>
        </w:rPr>
        <w:t xml:space="preserve">– Interfacial heat flux, </w:t>
      </w:r>
      <m:oMath>
        <m:r>
          <w:rPr>
            <w:rFonts w:ascii="Cambria Math" w:hAnsi="Cambria Math"/>
            <w:color w:val="000000"/>
          </w:rPr>
          <m:t>W /</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ctrlPr>
              <w:rPr>
                <w:rFonts w:ascii="Cambria Math" w:hAnsi="Cambria Math"/>
                <w:i/>
                <w:color w:val="000000"/>
              </w:rPr>
            </m:ctrlPr>
          </m:e>
          <m:sup>
            <m:r>
              <w:rPr>
                <w:rFonts w:ascii="Cambria Math" w:hAnsi="Cambria Math"/>
                <w:color w:val="000000"/>
              </w:rPr>
              <m:t>2</m:t>
            </m:r>
          </m:sup>
        </m:sSup>
      </m:oMath>
    </w:p>
    <w:p w14:paraId="606B7B71"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P</m:t>
            </m:r>
          </m:e>
          <m:sub>
            <m:r>
              <w:rPr>
                <w:rFonts w:ascii="Cambria Math" w:eastAsia="Cambria Math" w:hAnsi="Cambria Math" w:cs="Cambria Math"/>
                <w:color w:val="000000"/>
              </w:rPr>
              <m:t>s</m:t>
            </m:r>
          </m:sub>
        </m:sSub>
      </m:oMath>
      <w:r>
        <w:rPr>
          <w:color w:val="000000"/>
        </w:rPr>
        <w:t xml:space="preserve"> – Saturation pressure of water, </w:t>
      </w:r>
      <m:oMath>
        <m:r>
          <w:rPr>
            <w:rFonts w:ascii="Cambria Math" w:eastAsia="Cambria Math" w:hAnsi="Cambria Math" w:cs="Cambria Math"/>
            <w:color w:val="000000"/>
          </w:rPr>
          <m:t>Pa</m:t>
        </m:r>
      </m:oMath>
    </w:p>
    <w:p w14:paraId="166B90C5"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p</m:t>
        </m:r>
      </m:oMath>
      <w:r>
        <w:rPr>
          <w:color w:val="000000"/>
        </w:rPr>
        <w:t xml:space="preserve"> – Total pressure of air-vapour mixture, </w:t>
      </w:r>
      <m:oMath>
        <m:r>
          <w:rPr>
            <w:rFonts w:ascii="Cambria Math" w:eastAsia="Cambria Math" w:hAnsi="Cambria Math" w:cs="Cambria Math"/>
            <w:color w:val="000000"/>
          </w:rPr>
          <m:t>Pa</m:t>
        </m:r>
      </m:oMath>
    </w:p>
    <w:p w14:paraId="379D8C91" w14:textId="436EFA3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R</m:t>
        </m:r>
      </m:oMath>
      <w:r>
        <w:rPr>
          <w:color w:val="000000"/>
        </w:rPr>
        <w:t xml:space="preserve"> – Gas constant, </w:t>
      </w:r>
      <m:oMath>
        <m:r>
          <w:rPr>
            <w:rFonts w:ascii="Cambria Math" w:hAnsi="Cambria Math"/>
            <w:color w:val="000000"/>
          </w:rPr>
          <m:t>J</m:t>
        </m:r>
        <m:r>
          <w:rPr>
            <w:rFonts w:ascii="Cambria Math" w:hAnsi="Cambria Math"/>
            <w:color w:val="000000"/>
          </w:rPr>
          <m:t xml:space="preserve"> /</m:t>
        </m:r>
        <m:r>
          <m:rPr>
            <m:sty m:val="p"/>
          </m:rPr>
          <w:rPr>
            <w:rFonts w:ascii="Cambria Math" w:eastAsia="Cambria Math" w:hAnsi="Cambria Math" w:cs="Cambria Math"/>
            <w:color w:val="000000"/>
          </w:rPr>
          <m:t>m</m:t>
        </m:r>
        <m:r>
          <m:rPr>
            <m:sty m:val="p"/>
          </m:rPr>
          <w:rPr>
            <w:rFonts w:ascii="Cambria Math" w:eastAsia="Cambria Math" w:hAnsi="Cambria Math" w:cs="Cambria Math"/>
            <w:color w:val="000000"/>
          </w:rPr>
          <m:t>ol</m:t>
        </m:r>
        <m:r>
          <m:rPr>
            <m:sty m:val="p"/>
          </m:rPr>
          <w:rPr>
            <w:rFonts w:ascii="Cambria Math" w:eastAsia="Cambria Math" w:hAnsi="Cambria Math" w:cs="Cambria Math"/>
            <w:color w:val="000000"/>
          </w:rPr>
          <m:t>∙</m:t>
        </m:r>
        <m:r>
          <w:rPr>
            <w:rFonts w:ascii="Cambria Math" w:eastAsia="Cambria Math" w:hAnsi="Cambria Math" w:cs="Cambria Math"/>
            <w:color w:val="000000"/>
          </w:rPr>
          <m:t>K</m:t>
        </m:r>
      </m:oMath>
    </w:p>
    <w:p w14:paraId="32265697"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RH</m:t>
        </m:r>
      </m:oMath>
      <w:r>
        <w:rPr>
          <w:b/>
          <w:color w:val="000000"/>
        </w:rPr>
        <w:t xml:space="preserve"> </w:t>
      </w:r>
      <w:r>
        <w:rPr>
          <w:color w:val="000000"/>
        </w:rPr>
        <w:t xml:space="preserve">– Air relative humidity, </w:t>
      </w:r>
      <m:oMath>
        <m:r>
          <w:rPr>
            <w:rFonts w:ascii="Cambria Math" w:eastAsia="Cambria Math" w:hAnsi="Cambria Math" w:cs="Cambria Math"/>
            <w:color w:val="000000"/>
          </w:rPr>
          <m:t>-</m:t>
        </m:r>
      </m:oMath>
    </w:p>
    <w:p w14:paraId="03D4B660"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r</m:t>
        </m:r>
      </m:oMath>
      <w:r>
        <w:rPr>
          <w:b/>
          <w:color w:val="000000"/>
        </w:rPr>
        <w:t xml:space="preserve"> </w:t>
      </w:r>
      <w:r>
        <w:rPr>
          <w:color w:val="000000"/>
        </w:rPr>
        <w:t xml:space="preserve">– Spatial coordinate, </w:t>
      </w:r>
      <m:oMath>
        <m:r>
          <w:rPr>
            <w:rFonts w:ascii="Cambria Math" w:eastAsia="Cambria Math" w:hAnsi="Cambria Math" w:cs="Cambria Math"/>
            <w:color w:val="000000"/>
          </w:rPr>
          <m:t>m</m:t>
        </m:r>
      </m:oMath>
    </w:p>
    <w:p w14:paraId="12653A59"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T</m:t>
        </m:r>
      </m:oMath>
      <w:r>
        <w:rPr>
          <w:b/>
          <w:color w:val="000000"/>
        </w:rPr>
        <w:t xml:space="preserve"> </w:t>
      </w:r>
      <w:r>
        <w:rPr>
          <w:color w:val="000000"/>
        </w:rPr>
        <w:t xml:space="preserve">– Generic temperature, </w:t>
      </w:r>
      <m:oMath>
        <m:r>
          <w:rPr>
            <w:rFonts w:ascii="Cambria Math" w:eastAsia="Cambria Math" w:hAnsi="Cambria Math" w:cs="Cambria Math"/>
            <w:color w:val="000000"/>
          </w:rPr>
          <m:t>K</m:t>
        </m:r>
      </m:oMath>
    </w:p>
    <w:p w14:paraId="507C2805"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a</m:t>
            </m:r>
          </m:sub>
        </m:sSub>
      </m:oMath>
      <w:r>
        <w:rPr>
          <w:b/>
          <w:color w:val="000000"/>
        </w:rPr>
        <w:t xml:space="preserve"> </w:t>
      </w:r>
      <w:r>
        <w:rPr>
          <w:color w:val="000000"/>
        </w:rPr>
        <w:t xml:space="preserve">– Air temperature, </w:t>
      </w:r>
      <m:oMath>
        <m:r>
          <w:rPr>
            <w:rFonts w:ascii="Cambria Math" w:eastAsia="Cambria Math" w:hAnsi="Cambria Math" w:cs="Cambria Math"/>
            <w:color w:val="000000"/>
          </w:rPr>
          <m:t>K</m:t>
        </m:r>
      </m:oMath>
    </w:p>
    <w:p w14:paraId="461830CA"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T</m:t>
            </m:r>
          </m:e>
          <m:sub>
            <m:r>
              <w:rPr>
                <w:rFonts w:ascii="Cambria Math" w:eastAsia="Cambria Math" w:hAnsi="Cambria Math" w:cs="Cambria Math"/>
                <w:color w:val="000000"/>
              </w:rPr>
              <m:t>s</m:t>
            </m:r>
          </m:sub>
        </m:sSub>
      </m:oMath>
      <w:r>
        <w:rPr>
          <w:b/>
          <w:color w:val="000000"/>
        </w:rPr>
        <w:t xml:space="preserve"> </w:t>
      </w:r>
      <w:r>
        <w:rPr>
          <w:color w:val="000000"/>
        </w:rPr>
        <w:t xml:space="preserve">– Dough temperature, </w:t>
      </w:r>
      <m:oMath>
        <m:r>
          <w:rPr>
            <w:rFonts w:ascii="Cambria Math" w:eastAsia="Cambria Math" w:hAnsi="Cambria Math" w:cs="Cambria Math"/>
            <w:color w:val="000000"/>
          </w:rPr>
          <m:t>K</m:t>
        </m:r>
      </m:oMath>
    </w:p>
    <w:p w14:paraId="2914A195"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t</m:t>
        </m:r>
      </m:oMath>
      <w:r>
        <w:rPr>
          <w:b/>
          <w:color w:val="000000"/>
        </w:rPr>
        <w:t xml:space="preserve"> </w:t>
      </w:r>
      <w:r>
        <w:rPr>
          <w:color w:val="000000"/>
        </w:rPr>
        <w:t xml:space="preserve">– Time, </w:t>
      </w:r>
      <m:oMath>
        <m:r>
          <w:rPr>
            <w:rFonts w:ascii="Cambria Math" w:eastAsia="Cambria Math" w:hAnsi="Cambria Math" w:cs="Cambria Math"/>
            <w:color w:val="000000"/>
          </w:rPr>
          <m:t>s</m:t>
        </m:r>
      </m:oMath>
    </w:p>
    <w:p w14:paraId="17878FB2" w14:textId="1CF946F8"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U</m:t>
        </m:r>
      </m:oMath>
      <w:r>
        <w:rPr>
          <w:b/>
          <w:color w:val="000000"/>
        </w:rPr>
        <w:t xml:space="preserve"> </w:t>
      </w:r>
      <w:r>
        <w:rPr>
          <w:color w:val="000000"/>
        </w:rPr>
        <w:t xml:space="preserve">– Dough water content wet basis,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kg</m:t>
            </m:r>
          </m:e>
          <m:sub>
            <m:r>
              <w:rPr>
                <w:rFonts w:ascii="Cambria Math" w:eastAsia="Cambria Math" w:hAnsi="Cambria Math" w:cs="Cambria Math"/>
                <w:color w:val="000000"/>
              </w:rPr>
              <m:t>w</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kg</m:t>
            </m:r>
          </m:e>
          <m:sub>
            <m:r>
              <w:rPr>
                <w:rFonts w:ascii="Cambria Math" w:eastAsia="Cambria Math" w:hAnsi="Cambria Math" w:cs="Cambria Math"/>
                <w:color w:val="000000"/>
              </w:rPr>
              <m:t>wet</m:t>
            </m:r>
          </m:sub>
        </m:sSub>
      </m:oMath>
    </w:p>
    <w:p w14:paraId="46A06CD7" w14:textId="58E33BE0"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u</m:t>
        </m:r>
      </m:oMath>
      <w:r>
        <w:rPr>
          <w:b/>
          <w:color w:val="000000"/>
        </w:rPr>
        <w:t xml:space="preserve"> </w:t>
      </w:r>
      <w:r>
        <w:rPr>
          <w:color w:val="000000"/>
        </w:rPr>
        <w:t xml:space="preserve">– Air velocity vector, </w:t>
      </w:r>
      <m:oMath>
        <m:r>
          <m:rPr>
            <m:sty m:val="p"/>
          </m:rPr>
          <w:rPr>
            <w:rFonts w:ascii="Cambria Math" w:eastAsia="Cambria Math" w:hAnsi="Cambria Math" w:cs="Cambria Math"/>
            <w:color w:val="000000"/>
          </w:rPr>
          <m:t>m/s</m:t>
        </m:r>
      </m:oMath>
    </w:p>
    <w:p w14:paraId="137C5165" w14:textId="24F5070B"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X</m:t>
        </m:r>
      </m:oMath>
      <w:r>
        <w:rPr>
          <w:color w:val="000000"/>
        </w:rPr>
        <w:t xml:space="preserve"> – Dough water content dry basis, </w:t>
      </w:r>
      <m:oMath>
        <m:sSub>
          <m:sSubPr>
            <m:ctrlPr>
              <w:rPr>
                <w:rFonts w:ascii="Cambria Math" w:eastAsia="Cambria Math" w:hAnsi="Cambria Math" w:cs="Cambria Math"/>
                <w:color w:val="000000"/>
              </w:rPr>
            </m:ctrlPr>
          </m:sSubPr>
          <m:e>
            <m:r>
              <w:rPr>
                <w:rFonts w:ascii="Cambria Math" w:eastAsia="Cambria Math" w:hAnsi="Cambria Math" w:cs="Cambria Math"/>
                <w:color w:val="000000"/>
              </w:rPr>
              <m:t>kg</m:t>
            </m:r>
          </m:e>
          <m:sub>
            <m:r>
              <w:rPr>
                <w:rFonts w:ascii="Cambria Math" w:eastAsia="Cambria Math" w:hAnsi="Cambria Math" w:cs="Cambria Math"/>
                <w:color w:val="000000"/>
              </w:rPr>
              <m:t>w</m:t>
            </m:r>
          </m:sub>
        </m:sSub>
        <m:r>
          <w:rPr>
            <w:rFonts w:ascii="Cambria Math" w:eastAsia="Cambria Math" w:hAnsi="Cambria Math" w:cs="Cambria Math"/>
            <w:color w:val="000000"/>
          </w:rPr>
          <m:t xml:space="preserve"> /</m:t>
        </m:r>
        <m:sSub>
          <m:sSubPr>
            <m:ctrlPr>
              <w:rPr>
                <w:rFonts w:ascii="Cambria Math" w:eastAsia="Cambria Math" w:hAnsi="Cambria Math" w:cs="Cambria Math"/>
                <w:color w:val="000000"/>
              </w:rPr>
            </m:ctrlPr>
          </m:sSubPr>
          <m:e>
            <m:r>
              <w:rPr>
                <w:rFonts w:ascii="Cambria Math" w:eastAsia="Cambria Math" w:hAnsi="Cambria Math" w:cs="Cambria Math"/>
                <w:color w:val="000000"/>
              </w:rPr>
              <m:t>kg</m:t>
            </m:r>
          </m:e>
          <m:sub>
            <m:r>
              <w:rPr>
                <w:rFonts w:ascii="Cambria Math" w:eastAsia="Cambria Math" w:hAnsi="Cambria Math" w:cs="Cambria Math"/>
                <w:color w:val="000000"/>
              </w:rPr>
              <m:t>dry</m:t>
            </m:r>
          </m:sub>
        </m:sSub>
      </m:oMath>
    </w:p>
    <w:p w14:paraId="234B48A4" w14:textId="77777777"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eastAsia="Cambria Math" w:hAnsi="Cambria Math" w:cs="Cambria Math"/>
                <w:color w:val="000000"/>
              </w:rPr>
              <m:t>y</m:t>
            </m:r>
          </m:e>
          <m:sub>
            <m:r>
              <w:rPr>
                <w:rFonts w:ascii="Cambria Math" w:eastAsia="Cambria Math" w:hAnsi="Cambria Math" w:cs="Cambria Math"/>
                <w:color w:val="000000"/>
              </w:rPr>
              <m:t>v</m:t>
            </m:r>
          </m:sub>
        </m:sSub>
      </m:oMath>
      <w:r>
        <w:rPr>
          <w:color w:val="000000"/>
        </w:rPr>
        <w:t xml:space="preserve">– Vapour molar fraction in air, </w:t>
      </w:r>
      <m:oMath>
        <m:r>
          <w:rPr>
            <w:rFonts w:ascii="Cambria Math" w:eastAsia="Cambria Math" w:hAnsi="Cambria Math" w:cs="Cambria Math"/>
            <w:color w:val="000000"/>
          </w:rPr>
          <m:t>-</m:t>
        </m:r>
      </m:oMath>
    </w:p>
    <w:p w14:paraId="1A2E70DB" w14:textId="77777777" w:rsidR="003F1AC5" w:rsidRDefault="00000000">
      <w:pPr>
        <w:pBdr>
          <w:top w:val="nil"/>
          <w:left w:val="nil"/>
          <w:bottom w:val="nil"/>
          <w:right w:val="nil"/>
          <w:between w:val="nil"/>
        </w:pBdr>
        <w:jc w:val="left"/>
        <w:rPr>
          <w:color w:val="000000"/>
        </w:rPr>
      </w:pPr>
      <w:r>
        <w:rPr>
          <w:color w:val="000000"/>
        </w:rPr>
        <w:lastRenderedPageBreak/>
        <w:t>x, y – cartesian coordinates</w:t>
      </w:r>
    </w:p>
    <w:p w14:paraId="02AC3AA8"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z</m:t>
        </m:r>
      </m:oMath>
      <w:r>
        <w:rPr>
          <w:color w:val="000000"/>
        </w:rPr>
        <w:t xml:space="preserve"> – Spatial coordinate, </w:t>
      </w:r>
      <m:oMath>
        <m:r>
          <w:rPr>
            <w:rFonts w:ascii="Cambria Math" w:eastAsia="Cambria Math" w:hAnsi="Cambria Math" w:cs="Cambria Math"/>
            <w:color w:val="000000"/>
          </w:rPr>
          <m:t>m</m:t>
        </m:r>
      </m:oMath>
    </w:p>
    <w:p w14:paraId="2453023E" w14:textId="053C15AE"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hAnsi="Cambria Math"/>
              </w:rPr>
              <m:t>λ</m:t>
            </m:r>
          </m:e>
          <m:sub>
            <m:r>
              <w:rPr>
                <w:rFonts w:ascii="Cambria Math" w:eastAsia="Cambria Math" w:hAnsi="Cambria Math" w:cs="Cambria Math"/>
                <w:color w:val="000000"/>
              </w:rPr>
              <m:t>ev</m:t>
            </m:r>
          </m:sub>
        </m:sSub>
      </m:oMath>
      <w:r>
        <w:rPr>
          <w:color w:val="000000"/>
        </w:rPr>
        <w:t xml:space="preserve"> – Water latent heat of vaporization, </w:t>
      </w:r>
      <m:oMath>
        <m:r>
          <m:rPr>
            <m:sty m:val="p"/>
          </m:rPr>
          <w:rPr>
            <w:rFonts w:ascii="Cambria Math" w:eastAsia="Cambria Math" w:hAnsi="Cambria Math" w:cs="Cambria Math"/>
            <w:color w:val="000000"/>
          </w:rPr>
          <m:t>J/kg</m:t>
        </m:r>
      </m:oMath>
    </w:p>
    <w:p w14:paraId="1F89DBBF" w14:textId="1BBA21DA"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hAnsi="Cambria Math"/>
              </w:rPr>
              <m:t>ρ</m:t>
            </m:r>
          </m:e>
          <m:sub>
            <m:r>
              <w:rPr>
                <w:rFonts w:ascii="Cambria Math" w:eastAsia="Cambria Math" w:hAnsi="Cambria Math" w:cs="Cambria Math"/>
                <w:color w:val="000000"/>
              </w:rPr>
              <m:t>a</m:t>
            </m:r>
          </m:sub>
        </m:sSub>
      </m:oMath>
      <w:r>
        <w:rPr>
          <w:color w:val="000000"/>
        </w:rPr>
        <w:t xml:space="preserve"> – Air density, </w:t>
      </w:r>
      <m:oMath>
        <m:r>
          <m:rPr>
            <m:sty m:val="p"/>
          </m:rPr>
          <w:rPr>
            <w:rFonts w:ascii="Cambria Math" w:eastAsia="Cambria Math" w:hAnsi="Cambria Math" w:cs="Cambria Math"/>
            <w:color w:val="000000"/>
          </w:rPr>
          <m:t>kg/</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oMath>
    </w:p>
    <w:p w14:paraId="06BFE2FD" w14:textId="0F154C71" w:rsidR="003F1AC5" w:rsidRDefault="00000000">
      <w:pPr>
        <w:pBdr>
          <w:top w:val="nil"/>
          <w:left w:val="nil"/>
          <w:bottom w:val="nil"/>
          <w:right w:val="nil"/>
          <w:between w:val="nil"/>
        </w:pBdr>
        <w:jc w:val="left"/>
        <w:rPr>
          <w:color w:val="000000"/>
        </w:rPr>
      </w:pPr>
      <m:oMath>
        <m:sSub>
          <m:sSubPr>
            <m:ctrlPr>
              <w:rPr>
                <w:rFonts w:ascii="Cambria Math" w:eastAsia="Cambria Math" w:hAnsi="Cambria Math" w:cs="Cambria Math"/>
                <w:color w:val="000000"/>
              </w:rPr>
            </m:ctrlPr>
          </m:sSubPr>
          <m:e>
            <m:r>
              <w:rPr>
                <w:rFonts w:ascii="Cambria Math" w:hAnsi="Cambria Math"/>
              </w:rPr>
              <m:t>ρ</m:t>
            </m:r>
          </m:e>
          <m:sub>
            <m:r>
              <w:rPr>
                <w:rFonts w:ascii="Cambria Math" w:eastAsia="Cambria Math" w:hAnsi="Cambria Math" w:cs="Cambria Math"/>
                <w:color w:val="000000"/>
              </w:rPr>
              <m:t>d</m:t>
            </m:r>
          </m:sub>
        </m:sSub>
      </m:oMath>
      <w:r>
        <w:rPr>
          <w:color w:val="000000"/>
        </w:rPr>
        <w:t xml:space="preserve"> – Dough density, </w:t>
      </w:r>
      <m:oMath>
        <m:r>
          <m:rPr>
            <m:sty m:val="p"/>
          </m:rPr>
          <w:rPr>
            <w:rFonts w:ascii="Cambria Math" w:eastAsia="Cambria Math" w:hAnsi="Cambria Math" w:cs="Cambria Math"/>
            <w:color w:val="000000"/>
          </w:rPr>
          <m:t>kg/</m:t>
        </m:r>
        <m:sSup>
          <m:sSupPr>
            <m:ctrlPr>
              <w:rPr>
                <w:rFonts w:ascii="Cambria Math" w:eastAsia="Cambria Math" w:hAnsi="Cambria Math" w:cs="Cambria Math"/>
                <w:color w:val="000000"/>
              </w:rPr>
            </m:ctrlPr>
          </m:sSupPr>
          <m:e>
            <m:r>
              <m:rPr>
                <m:sty m:val="p"/>
              </m:rPr>
              <w:rPr>
                <w:rFonts w:ascii="Cambria Math" w:eastAsia="Cambria Math" w:hAnsi="Cambria Math" w:cs="Cambria Math"/>
                <w:color w:val="000000"/>
              </w:rPr>
              <m:t>m</m:t>
            </m:r>
          </m:e>
          <m:sup>
            <m:r>
              <m:rPr>
                <m:sty m:val="p"/>
              </m:rPr>
              <w:rPr>
                <w:rFonts w:ascii="Cambria Math" w:eastAsia="Cambria Math" w:hAnsi="Cambria Math" w:cs="Cambria Math"/>
                <w:color w:val="000000"/>
              </w:rPr>
              <m:t>3</m:t>
            </m:r>
          </m:sup>
        </m:sSup>
      </m:oMath>
    </w:p>
    <w:p w14:paraId="0A73CB05" w14:textId="77777777" w:rsidR="003F1AC5" w:rsidRDefault="00000000">
      <w:pPr>
        <w:pBdr>
          <w:top w:val="nil"/>
          <w:left w:val="nil"/>
          <w:bottom w:val="nil"/>
          <w:right w:val="nil"/>
          <w:between w:val="nil"/>
        </w:pBdr>
        <w:jc w:val="left"/>
        <w:rPr>
          <w:color w:val="000000"/>
        </w:rPr>
      </w:pPr>
      <m:oMath>
        <m:r>
          <w:rPr>
            <w:rFonts w:ascii="Cambria Math" w:eastAsia="Cambria Math" w:hAnsi="Cambria Math" w:cs="Cambria Math"/>
            <w:color w:val="000000"/>
          </w:rPr>
          <m:t>in</m:t>
        </m:r>
      </m:oMath>
      <w:r>
        <w:rPr>
          <w:color w:val="000000"/>
        </w:rPr>
        <w:t xml:space="preserve"> – Inlet conditions</w:t>
      </w:r>
    </w:p>
    <w:p w14:paraId="174040C2" w14:textId="77777777" w:rsidR="003F1AC5" w:rsidRDefault="00000000">
      <w:pPr>
        <w:pBdr>
          <w:top w:val="nil"/>
          <w:left w:val="nil"/>
          <w:bottom w:val="nil"/>
          <w:right w:val="nil"/>
          <w:between w:val="nil"/>
        </w:pBdr>
        <w:jc w:val="left"/>
        <w:rPr>
          <w:color w:val="000000"/>
        </w:rPr>
        <w:sectPr w:rsidR="003F1AC5">
          <w:type w:val="continuous"/>
          <w:pgSz w:w="11906" w:h="16838"/>
          <w:pgMar w:top="1701" w:right="1418" w:bottom="1701" w:left="1701" w:header="1701" w:footer="0" w:gutter="0"/>
          <w:cols w:num="2" w:space="720" w:equalWidth="0">
            <w:col w:w="4039" w:space="708"/>
            <w:col w:w="4039" w:space="0"/>
          </w:cols>
          <w:titlePg/>
        </w:sectPr>
      </w:pPr>
      <m:oMath>
        <m:r>
          <w:rPr>
            <w:rFonts w:ascii="Cambria Math" w:eastAsia="Cambria Math" w:hAnsi="Cambria Math" w:cs="Cambria Math"/>
            <w:color w:val="000000"/>
          </w:rPr>
          <m:t>wb</m:t>
        </m:r>
      </m:oMath>
      <w:r>
        <w:rPr>
          <w:b/>
          <w:color w:val="000000"/>
        </w:rPr>
        <w:t xml:space="preserve"> </w:t>
      </w:r>
      <w:r>
        <w:rPr>
          <w:color w:val="000000"/>
        </w:rPr>
        <w:t>– Wet bulb conditions</w:t>
      </w:r>
    </w:p>
    <w:p w14:paraId="1700FFF6" w14:textId="77777777" w:rsidR="003F1AC5" w:rsidRDefault="00000000" w:rsidP="00B50AA1">
      <w:pPr>
        <w:keepNext/>
        <w:pBdr>
          <w:top w:val="nil"/>
          <w:left w:val="nil"/>
          <w:bottom w:val="nil"/>
          <w:right w:val="nil"/>
          <w:between w:val="nil"/>
        </w:pBdr>
        <w:spacing w:before="120" w:after="120" w:line="240" w:lineRule="auto"/>
        <w:jc w:val="left"/>
        <w:rPr>
          <w:b/>
          <w:color w:val="000000"/>
        </w:rPr>
      </w:pPr>
      <w:r>
        <w:rPr>
          <w:b/>
          <w:color w:val="000000"/>
        </w:rPr>
        <w:t>Acknowledgments</w:t>
      </w:r>
    </w:p>
    <w:p w14:paraId="1C683DA9" w14:textId="77777777" w:rsidR="003F1AC5" w:rsidRDefault="00000000" w:rsidP="00B50AA1">
      <w:pPr>
        <w:pBdr>
          <w:top w:val="nil"/>
          <w:left w:val="nil"/>
          <w:bottom w:val="nil"/>
          <w:right w:val="nil"/>
          <w:between w:val="nil"/>
        </w:pBdr>
        <w:spacing w:before="120" w:after="120" w:line="276" w:lineRule="auto"/>
        <w:jc w:val="left"/>
        <w:rPr>
          <w:b/>
          <w:color w:val="000000"/>
        </w:rPr>
      </w:pPr>
      <w:r>
        <w:rPr>
          <w:b/>
          <w:color w:val="000000"/>
        </w:rPr>
        <w:t>The authors acknowledge the project PNRR “Tech4You” on the “</w:t>
      </w:r>
      <w:proofErr w:type="spellStart"/>
      <w:r>
        <w:rPr>
          <w:b/>
          <w:color w:val="000000"/>
        </w:rPr>
        <w:t>Ecosistemi</w:t>
      </w:r>
      <w:proofErr w:type="spellEnd"/>
      <w:r>
        <w:rPr>
          <w:b/>
          <w:color w:val="000000"/>
        </w:rPr>
        <w:t xml:space="preserve"> </w:t>
      </w:r>
      <w:proofErr w:type="spellStart"/>
      <w:r>
        <w:rPr>
          <w:b/>
          <w:color w:val="000000"/>
        </w:rPr>
        <w:t>dell’Innovazione</w:t>
      </w:r>
      <w:proofErr w:type="spellEnd"/>
      <w:r>
        <w:rPr>
          <w:b/>
          <w:color w:val="000000"/>
        </w:rPr>
        <w:t xml:space="preserve"> (ECS) of MUR (DD n.3277, December 30, 2021)” for the provided support.</w:t>
      </w:r>
    </w:p>
    <w:p w14:paraId="66124632" w14:textId="77777777" w:rsidR="003F1AC5" w:rsidRPr="00344845" w:rsidRDefault="00000000">
      <w:pPr>
        <w:keepNext/>
        <w:pBdr>
          <w:top w:val="nil"/>
          <w:left w:val="nil"/>
          <w:bottom w:val="nil"/>
          <w:right w:val="nil"/>
          <w:between w:val="nil"/>
        </w:pBdr>
        <w:spacing w:before="120" w:after="120" w:line="240" w:lineRule="auto"/>
        <w:jc w:val="left"/>
        <w:rPr>
          <w:b/>
          <w:color w:val="000000"/>
          <w:lang w:val="it-IT"/>
        </w:rPr>
      </w:pPr>
      <w:proofErr w:type="spellStart"/>
      <w:r w:rsidRPr="00344845">
        <w:rPr>
          <w:b/>
          <w:color w:val="000000"/>
          <w:lang w:val="it-IT"/>
        </w:rPr>
        <w:t>References</w:t>
      </w:r>
      <w:proofErr w:type="spellEnd"/>
    </w:p>
    <w:p w14:paraId="661BE924" w14:textId="77777777" w:rsidR="003F1AC5" w:rsidRPr="001C5E76" w:rsidRDefault="00000000" w:rsidP="001C5E76">
      <w:pPr>
        <w:pStyle w:val="CETReferencetext"/>
      </w:pPr>
      <w:r w:rsidRPr="001C5E76">
        <w:t xml:space="preserve">Adduci, G., Petrosino, F., Manoli, E., Cardaropoli, E., Coppola, G., &amp; Curcio, S. (2024). Transport phenomena in pasta drying: a dough-air double domain advanced </w:t>
      </w:r>
      <w:proofErr w:type="spellStart"/>
      <w:r w:rsidRPr="001C5E76">
        <w:t>modeling</w:t>
      </w:r>
      <w:proofErr w:type="spellEnd"/>
      <w:r w:rsidRPr="001C5E76">
        <w:t>. Journal of Food Engineering, 376, 112052. https://doi.org/10.1016/J.JFOODENG.2024.112052</w:t>
      </w:r>
    </w:p>
    <w:p w14:paraId="57CC0961" w14:textId="77777777" w:rsidR="003F1AC5" w:rsidRPr="001C5E76" w:rsidRDefault="00000000" w:rsidP="001C5E76">
      <w:pPr>
        <w:pStyle w:val="CETReferencetext"/>
      </w:pPr>
      <w:r w:rsidRPr="001C5E76">
        <w:t xml:space="preserve">Adduci, G., Petrosino, F., Manoli, E., Cardaropoli, E., Coppola, G., &amp; Curcio, S. (2025). Glass transition in pasta drying: Advanced </w:t>
      </w:r>
      <w:proofErr w:type="spellStart"/>
      <w:r w:rsidRPr="001C5E76">
        <w:t>modeling</w:t>
      </w:r>
      <w:proofErr w:type="spellEnd"/>
      <w:r w:rsidRPr="001C5E76">
        <w:t xml:space="preserve"> of the glassy layer evolution. LWT, 218, 117484. https://doi.org/10.1016/J.LWT.2025.117484</w:t>
      </w:r>
    </w:p>
    <w:p w14:paraId="4990BF61" w14:textId="77777777" w:rsidR="003F1AC5" w:rsidRPr="001C5E76" w:rsidRDefault="00000000" w:rsidP="001C5E76">
      <w:pPr>
        <w:pStyle w:val="CETReferencetext"/>
      </w:pPr>
      <w:r w:rsidRPr="001C5E76">
        <w:t>Aguilar-</w:t>
      </w:r>
      <w:proofErr w:type="spellStart"/>
      <w:r w:rsidRPr="001C5E76">
        <w:t>Toalá</w:t>
      </w:r>
      <w:proofErr w:type="spellEnd"/>
      <w:r w:rsidRPr="001C5E76">
        <w:t>, J. E., Garcia-Varela, R., Garcia, H. S., Mata-Haro, V., González-Córdova, A. F., Vallejo-Cordoba, B., &amp; Hernández-Mendoza, A. (2018). Postbiotics: An evolving term within the functional foods field. Trends in Food Science &amp; Technology, 75, 105–114. https://doi.org/10.1016/J.TIFS.2018.03.009</w:t>
      </w:r>
    </w:p>
    <w:p w14:paraId="510AD0B7" w14:textId="77777777" w:rsidR="003F1AC5" w:rsidRPr="001C5E76" w:rsidRDefault="00000000" w:rsidP="001C5E76">
      <w:pPr>
        <w:pStyle w:val="CETReferencetext"/>
      </w:pPr>
      <w:r w:rsidRPr="001C5E76">
        <w:t xml:space="preserve">Calabuig-Jiménez, L., </w:t>
      </w:r>
      <w:proofErr w:type="spellStart"/>
      <w:r w:rsidRPr="001C5E76">
        <w:t>Betoret</w:t>
      </w:r>
      <w:proofErr w:type="spellEnd"/>
      <w:r w:rsidRPr="001C5E76">
        <w:t xml:space="preserve">, E., </w:t>
      </w:r>
      <w:proofErr w:type="spellStart"/>
      <w:r w:rsidRPr="001C5E76">
        <w:t>Betoret</w:t>
      </w:r>
      <w:proofErr w:type="spellEnd"/>
      <w:r w:rsidRPr="001C5E76">
        <w:t xml:space="preserve">, N., </w:t>
      </w:r>
      <w:proofErr w:type="spellStart"/>
      <w:r w:rsidRPr="001C5E76">
        <w:t>Patrignani</w:t>
      </w:r>
      <w:proofErr w:type="spellEnd"/>
      <w:r w:rsidRPr="001C5E76">
        <w:t xml:space="preserve">, F., Barrera, C., </w:t>
      </w:r>
      <w:proofErr w:type="spellStart"/>
      <w:r w:rsidRPr="001C5E76">
        <w:t>Seguí</w:t>
      </w:r>
      <w:proofErr w:type="spellEnd"/>
      <w:r w:rsidRPr="001C5E76">
        <w:t>, L., Lanciotti, R., &amp; Dalla Rosa, M. (2019). High pressures homogenization (HPH) to microencapsulate L. salivarius spp. salivarius in mandarin juice. Probiotic survival and in vitro digestion. Journal of Food Engineering, 240, 43–48. https://doi.org/10.1016/J.JFOODENG.2018.07.012</w:t>
      </w:r>
    </w:p>
    <w:p w14:paraId="26F5EC93" w14:textId="77777777" w:rsidR="003F1AC5" w:rsidRPr="001C5E76" w:rsidRDefault="00000000" w:rsidP="001C5E76">
      <w:pPr>
        <w:pStyle w:val="CETReferencetext"/>
      </w:pPr>
      <w:r w:rsidRPr="001C5E76">
        <w:t>Chen, G., &amp; Auerswald, K. (2018). A user-friendly calculator for determining oxygen isotope composition of body water in cows based on the MK model and examples of its applications. Computers and Electronics in Agriculture, 154, 248–255. https://doi.org/10.1016/J.COMPAG.2018.09.015</w:t>
      </w:r>
    </w:p>
    <w:p w14:paraId="4381930D" w14:textId="77777777" w:rsidR="003F1AC5" w:rsidRPr="001C5E76" w:rsidRDefault="00000000" w:rsidP="001C5E76">
      <w:pPr>
        <w:pStyle w:val="CETReferencetext"/>
      </w:pPr>
      <w:r w:rsidRPr="001C5E76">
        <w:t xml:space="preserve">Curcio, S., Aversa, M., Chakraborty, S., </w:t>
      </w:r>
      <w:proofErr w:type="spellStart"/>
      <w:r w:rsidRPr="001C5E76">
        <w:t>Calabrò</w:t>
      </w:r>
      <w:proofErr w:type="spellEnd"/>
      <w:r w:rsidRPr="001C5E76">
        <w:t xml:space="preserve">, V., &amp; Iorio, G. (2016). Formulation of a 3D conjugated multiphase transport model to predict drying process </w:t>
      </w:r>
      <w:proofErr w:type="spellStart"/>
      <w:r w:rsidRPr="001C5E76">
        <w:t>behavior</w:t>
      </w:r>
      <w:proofErr w:type="spellEnd"/>
      <w:r w:rsidRPr="001C5E76">
        <w:t xml:space="preserve"> of irregular-shaped vegetables. Journal of Food Engineering, 176, 36–55. https://doi.org/https://doi.org/10.1016/j.jfoodeng.2015.11.020</w:t>
      </w:r>
    </w:p>
    <w:p w14:paraId="5CF336C8" w14:textId="77777777" w:rsidR="003F1AC5" w:rsidRPr="001C5E76" w:rsidRDefault="00000000" w:rsidP="001C5E76">
      <w:pPr>
        <w:pStyle w:val="CETReferencetext"/>
      </w:pPr>
      <w:r w:rsidRPr="001C5E76">
        <w:t xml:space="preserve">Guo, X. </w:t>
      </w:r>
      <w:proofErr w:type="spellStart"/>
      <w:r w:rsidRPr="001C5E76">
        <w:t>fei</w:t>
      </w:r>
      <w:proofErr w:type="spellEnd"/>
      <w:r w:rsidRPr="001C5E76">
        <w:t>, Yang, B., Cai, W., &amp; Li, D. (2017). Effect of sea buckthorn (</w:t>
      </w:r>
      <w:proofErr w:type="spellStart"/>
      <w:r w:rsidRPr="001C5E76">
        <w:t>Hippophae</w:t>
      </w:r>
      <w:proofErr w:type="spellEnd"/>
      <w:r w:rsidRPr="001C5E76">
        <w:t xml:space="preserve"> </w:t>
      </w:r>
      <w:proofErr w:type="spellStart"/>
      <w:r w:rsidRPr="001C5E76">
        <w:t>rhamnoides</w:t>
      </w:r>
      <w:proofErr w:type="spellEnd"/>
      <w:r w:rsidRPr="001C5E76">
        <w:t xml:space="preserve"> L.) on blood lipid profiles: A systematic review and meta-analysis from 11 independent randomized controlled trials. Trends in Food Science &amp; Technology, 61, 1–10. https://doi.org/10.1016/J.TIFS.2016.11.007</w:t>
      </w:r>
    </w:p>
    <w:p w14:paraId="7989876C" w14:textId="77777777" w:rsidR="003F1AC5" w:rsidRPr="001C5E76" w:rsidRDefault="00000000" w:rsidP="001C5E76">
      <w:pPr>
        <w:pStyle w:val="CETReferencetext"/>
      </w:pPr>
      <w:r w:rsidRPr="001C5E76">
        <w:t xml:space="preserve">Jamwal, R., Amit, Kumari, S., Balan, B., </w:t>
      </w:r>
      <w:proofErr w:type="spellStart"/>
      <w:r w:rsidRPr="001C5E76">
        <w:t>Dhaulaniya</w:t>
      </w:r>
      <w:proofErr w:type="spellEnd"/>
      <w:r w:rsidRPr="001C5E76">
        <w:t>, A. S., Kelly, S., Cannavan, A., &amp; Singh, D. K. (2020). Attenuated total Reflectance–Fourier transform infrared (ATR–FTIR) spectroscopy coupled with chemometrics for rapid detection of argemone oil adulteration in mustard oil. LWT, 120, 108945. https://doi.org/10.1016/J.LWT.2019.108945</w:t>
      </w:r>
    </w:p>
    <w:p w14:paraId="2C1D223D" w14:textId="77777777" w:rsidR="003F1AC5" w:rsidRPr="001C5E76" w:rsidRDefault="00000000" w:rsidP="001C5E76">
      <w:pPr>
        <w:pStyle w:val="CETReferencetext"/>
      </w:pPr>
      <w:r w:rsidRPr="001C5E76">
        <w:t xml:space="preserve">Li, K., Liu, J. Y., Fu, L., Li, W. J., Zhao, Y. Y., Bai, Y. H., &amp; Kang, Z. L. (2019). Effect of </w:t>
      </w:r>
      <w:proofErr w:type="spellStart"/>
      <w:r w:rsidRPr="001C5E76">
        <w:t>gellan</w:t>
      </w:r>
      <w:proofErr w:type="spellEnd"/>
      <w:r w:rsidRPr="001C5E76">
        <w:t xml:space="preserve"> gum on functional properties of low-fat chicken meat batters. Journal of Texture Studies, 50(2), 131–138. https://doi.org/10.1111/JTXS.12379</w:t>
      </w:r>
    </w:p>
    <w:p w14:paraId="74B73621" w14:textId="77777777" w:rsidR="003F1AC5" w:rsidRPr="001C5E76" w:rsidRDefault="00000000" w:rsidP="001C5E76">
      <w:pPr>
        <w:pStyle w:val="CETReferencetext"/>
      </w:pPr>
      <w:r w:rsidRPr="001C5E76">
        <w:t xml:space="preserve">May, B. K., &amp; </w:t>
      </w:r>
      <w:proofErr w:type="spellStart"/>
      <w:r w:rsidRPr="001C5E76">
        <w:t>Perré</w:t>
      </w:r>
      <w:proofErr w:type="spellEnd"/>
      <w:r w:rsidRPr="001C5E76">
        <w:t>, P. (2002). The importance of considering exchange surface area reduction to exhibit a constant drying flux period in foodstuffs. Journal of Food Engineering, 54(4), 271–282. https://doi.org/https://doi.org/10.1016/S0260-8774(01)00213-8</w:t>
      </w:r>
    </w:p>
    <w:p w14:paraId="496DAE72" w14:textId="77777777" w:rsidR="003F1AC5" w:rsidRPr="001C5E76" w:rsidRDefault="00000000" w:rsidP="001C5E76">
      <w:pPr>
        <w:pStyle w:val="CETReferencetext"/>
      </w:pPr>
      <w:r w:rsidRPr="001C5E76">
        <w:t xml:space="preserve">R. Byron Bird, Warren E. Stewart, E. N. (1989). R. Byron Bird, Warren E. Stewart, Edwin N. Lightfoot - Transport Phenomena, 2nd Edition-Wiley (2001). In </w:t>
      </w:r>
      <w:proofErr w:type="spellStart"/>
      <w:r w:rsidRPr="001C5E76">
        <w:t>Arquivos</w:t>
      </w:r>
      <w:proofErr w:type="spellEnd"/>
      <w:r w:rsidRPr="001C5E76">
        <w:t xml:space="preserve"> </w:t>
      </w:r>
      <w:proofErr w:type="spellStart"/>
      <w:r w:rsidRPr="001C5E76">
        <w:t>brasileiros</w:t>
      </w:r>
      <w:proofErr w:type="spellEnd"/>
      <w:r w:rsidRPr="001C5E76">
        <w:t xml:space="preserve"> de </w:t>
      </w:r>
      <w:proofErr w:type="spellStart"/>
      <w:r w:rsidRPr="001C5E76">
        <w:t>cardiologia</w:t>
      </w:r>
      <w:proofErr w:type="spellEnd"/>
      <w:r w:rsidRPr="001C5E76">
        <w:t xml:space="preserve"> (Vol. 52, Issue 3).</w:t>
      </w:r>
    </w:p>
    <w:p w14:paraId="0FCA17B2" w14:textId="77777777" w:rsidR="003F1AC5" w:rsidRPr="001C5E76" w:rsidRDefault="00000000" w:rsidP="001C5E76">
      <w:pPr>
        <w:pStyle w:val="CETReferencetext"/>
      </w:pPr>
      <w:proofErr w:type="spellStart"/>
      <w:r w:rsidRPr="001C5E76">
        <w:t>Shirkole</w:t>
      </w:r>
      <w:proofErr w:type="spellEnd"/>
      <w:r w:rsidRPr="001C5E76">
        <w:t xml:space="preserve">, S. S., </w:t>
      </w:r>
      <w:proofErr w:type="spellStart"/>
      <w:r w:rsidRPr="001C5E76">
        <w:t>Jayabalan</w:t>
      </w:r>
      <w:proofErr w:type="spellEnd"/>
      <w:r w:rsidRPr="001C5E76">
        <w:t>, R., &amp; Sutar, P. P. (2020). Dry Sterilization of Paprika (Capsicum annuum L.) by Short Time-Intensive Microwave-Infrared Radiation: Establishment of Process Using Glass Transition, Sorption, and Quality Degradation Kinetic Parameters. Innovative Food Science &amp; Emerging Technologies, 62, 102345. https://doi.org/10.1016/J.IFSET.2020.102345</w:t>
      </w:r>
    </w:p>
    <w:p w14:paraId="11C2EBB4" w14:textId="77777777" w:rsidR="003F1AC5" w:rsidRPr="001C5E76" w:rsidRDefault="00000000" w:rsidP="001C5E76">
      <w:pPr>
        <w:pStyle w:val="CETReferencetext"/>
      </w:pPr>
      <w:proofErr w:type="spellStart"/>
      <w:r w:rsidRPr="001C5E76">
        <w:t>Verboven</w:t>
      </w:r>
      <w:proofErr w:type="spellEnd"/>
      <w:r w:rsidRPr="001C5E76">
        <w:t xml:space="preserve">, P., </w:t>
      </w:r>
      <w:proofErr w:type="spellStart"/>
      <w:r w:rsidRPr="001C5E76">
        <w:t>Nicolaï</w:t>
      </w:r>
      <w:proofErr w:type="spellEnd"/>
      <w:r w:rsidRPr="001C5E76">
        <w:t xml:space="preserve">, B. M., </w:t>
      </w:r>
      <w:proofErr w:type="spellStart"/>
      <w:r w:rsidRPr="001C5E76">
        <w:t>Scheerlinck</w:t>
      </w:r>
      <w:proofErr w:type="spellEnd"/>
      <w:r w:rsidRPr="001C5E76">
        <w:t xml:space="preserve">, N., &amp; De </w:t>
      </w:r>
      <w:proofErr w:type="spellStart"/>
      <w:r w:rsidRPr="001C5E76">
        <w:t>Baerdemaeker</w:t>
      </w:r>
      <w:proofErr w:type="spellEnd"/>
      <w:r w:rsidRPr="001C5E76">
        <w:t>, J. (1997). The local surface heat transfer coefficient in thermal food process calculations: A CFD approach. Journal of Food Engineering, 33(1), 15–35. https://doi.org/https://doi.org/10.1016/S0260-8774(97)00041-1</w:t>
      </w:r>
    </w:p>
    <w:p w14:paraId="7DD9092A" w14:textId="77777777" w:rsidR="003F1AC5" w:rsidRPr="001C5E76" w:rsidRDefault="00000000" w:rsidP="001C5E76">
      <w:pPr>
        <w:pStyle w:val="CETReferencetext"/>
      </w:pPr>
      <w:proofErr w:type="spellStart"/>
      <w:r w:rsidRPr="001C5E76">
        <w:t>Verboven</w:t>
      </w:r>
      <w:proofErr w:type="spellEnd"/>
      <w:r w:rsidRPr="001C5E76">
        <w:t xml:space="preserve">, P., </w:t>
      </w:r>
      <w:proofErr w:type="spellStart"/>
      <w:r w:rsidRPr="001C5E76">
        <w:t>Scheerlinck</w:t>
      </w:r>
      <w:proofErr w:type="spellEnd"/>
      <w:r w:rsidRPr="001C5E76">
        <w:t xml:space="preserve">, N., De </w:t>
      </w:r>
      <w:proofErr w:type="spellStart"/>
      <w:r w:rsidRPr="001C5E76">
        <w:t>Baerdemaeker</w:t>
      </w:r>
      <w:proofErr w:type="spellEnd"/>
      <w:r w:rsidRPr="001C5E76">
        <w:t xml:space="preserve">, J., &amp; </w:t>
      </w:r>
      <w:proofErr w:type="spellStart"/>
      <w:r w:rsidRPr="001C5E76">
        <w:t>Nicolaï</w:t>
      </w:r>
      <w:proofErr w:type="spellEnd"/>
      <w:r w:rsidRPr="001C5E76">
        <w:t>, B. M. (2001). Sensitivity of the food centre temperature with respect to the air velocity and the turbulence kinetic energy. Journal of Food Engineering, 48(1), 53–60. https://doi.org/10.1016/S0260-8774(00)00145-X</w:t>
      </w:r>
    </w:p>
    <w:p w14:paraId="0A4199FB" w14:textId="77777777" w:rsidR="003F1AC5" w:rsidRPr="001C5E76" w:rsidRDefault="00000000" w:rsidP="001C5E76">
      <w:pPr>
        <w:pStyle w:val="CETReferencetext"/>
      </w:pPr>
      <w:r w:rsidRPr="001C5E76">
        <w:t>Welty, JR, Rorrer, GL, Foster, D. (2014). Fundamentals of Momentum, Heat, and Mass Transfer, 6th Ed. In John Wiley &amp; Sons.</w:t>
      </w:r>
    </w:p>
    <w:p w14:paraId="11BCE045" w14:textId="77777777" w:rsidR="003F1AC5" w:rsidRPr="001C5E76" w:rsidRDefault="00000000" w:rsidP="001C5E76">
      <w:pPr>
        <w:pStyle w:val="CETReferencetext"/>
      </w:pPr>
      <w:r w:rsidRPr="001C5E76">
        <w:t>Xu, Z., Han, S., Guan, S., Zhang, R., Chen, H., Zhang, L., Han, L., Tan, Z., Du, M., &amp; Li, T. (2024). Preparation, design, identification and application of self-assembly peptides from seafood: A review. Food Chemistry: X, 23, 101557. https://doi.org/10.1016/J.FOCHX.2024.101557</w:t>
      </w:r>
    </w:p>
    <w:sectPr w:rsidR="003F1AC5" w:rsidRPr="001C5E76">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5488A49-495E-4098-91DD-EF159935861B}"/>
    <w:embedBold r:id="rId2" w:fontKey="{872A8892-010D-4773-BB28-F4FCCCB34509}"/>
    <w:embedItalic r:id="rId3" w:fontKey="{C4A408FB-8582-4809-BB47-D39C8674D2CE}"/>
    <w:embedBoldItalic r:id="rId4" w:fontKey="{62383D2A-7687-4EE8-87C0-3C306BC941E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8D0AAD5-E18A-4EF4-8D8F-C15EA461977B}"/>
    <w:embedBold r:id="rId6" w:fontKey="{C5BE8B8B-4614-480D-89AF-BBFA89B8AEB2}"/>
  </w:font>
  <w:font w:name="Consolas">
    <w:panose1 w:val="020B0609020204030204"/>
    <w:charset w:val="00"/>
    <w:family w:val="modern"/>
    <w:pitch w:val="fixed"/>
    <w:sig w:usb0="E00006FF" w:usb1="0000FCFF" w:usb2="00000001" w:usb3="00000000" w:csb0="0000019F" w:csb1="00000000"/>
    <w:embedRegular r:id="rId7" w:fontKey="{490DD5D2-274F-4FAD-ABA5-FA9B592321FC}"/>
  </w:font>
  <w:font w:name="Georgia">
    <w:panose1 w:val="02040502050405020303"/>
    <w:charset w:val="00"/>
    <w:family w:val="roman"/>
    <w:pitch w:val="variable"/>
    <w:sig w:usb0="00000287" w:usb1="00000000" w:usb2="00000000" w:usb3="00000000" w:csb0="0000009F" w:csb1="00000000"/>
    <w:embedRegular r:id="rId8" w:fontKey="{3AF78C3C-2CD1-4A5E-B2DF-B452A2562392}"/>
    <w:embedItalic r:id="rId9" w:fontKey="{7D4C6A08-393B-46B2-8027-9E00AC3E80DE}"/>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10" w:fontKey="{0F4E7CBC-28A9-4899-9968-44A8F427FB17}"/>
    <w:embedItalic r:id="rId11" w:fontKey="{BC8C0762-5C40-45AF-9CB8-9B9DF2BEAD34}"/>
  </w:font>
  <w:font w:name="Calibri">
    <w:panose1 w:val="020F0502020204030204"/>
    <w:charset w:val="00"/>
    <w:family w:val="swiss"/>
    <w:pitch w:val="variable"/>
    <w:sig w:usb0="E4002EFF" w:usb1="C200247B" w:usb2="00000009" w:usb3="00000000" w:csb0="000001FF" w:csb1="00000000"/>
    <w:embedRegular r:id="rId12" w:fontKey="{810E8BB4-D5F0-4E48-A664-B2E7595A6B98}"/>
    <w:embedItalic r:id="rId13" w:fontKey="{FB095EFF-A9E8-4FF1-A8F7-0400E910AF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C8A"/>
    <w:multiLevelType w:val="multilevel"/>
    <w:tmpl w:val="8FF88BE0"/>
    <w:lvl w:ilvl="0">
      <w:start w:val="1"/>
      <w:numFmt w:val="decimal"/>
      <w:lvlText w:val="Chapter %1"/>
      <w:lvlJc w:val="left"/>
      <w:pPr>
        <w:ind w:left="0" w:firstLine="0"/>
      </w:pPr>
    </w:lvl>
    <w:lvl w:ilvl="1">
      <w:start w:val="1"/>
      <w:numFmt w:val="decimal"/>
      <w:pStyle w:val="CETHeading1"/>
      <w:lvlText w:val="%2."/>
      <w:lvlJc w:val="left"/>
      <w:pPr>
        <w:ind w:left="0" w:firstLine="0"/>
      </w:pPr>
    </w:lvl>
    <w:lvl w:ilvl="2">
      <w:start w:val="1"/>
      <w:numFmt w:val="decimal"/>
      <w:pStyle w:val="CETheadingx"/>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1" w15:restartNumberingAfterBreak="0">
    <w:nsid w:val="406D5817"/>
    <w:multiLevelType w:val="multilevel"/>
    <w:tmpl w:val="52FCE934"/>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49256308">
    <w:abstractNumId w:val="0"/>
  </w:num>
  <w:num w:numId="2" w16cid:durableId="2050913645">
    <w:abstractNumId w:val="1"/>
  </w:num>
  <w:num w:numId="3" w16cid:durableId="727996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76592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1359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4551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0783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143071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0974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751182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755613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72705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47765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72171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AC5"/>
    <w:rsid w:val="00001F6D"/>
    <w:rsid w:val="00075A2E"/>
    <w:rsid w:val="000E2415"/>
    <w:rsid w:val="001C5E76"/>
    <w:rsid w:val="001F2F73"/>
    <w:rsid w:val="002016F8"/>
    <w:rsid w:val="00253C38"/>
    <w:rsid w:val="00344845"/>
    <w:rsid w:val="003F1AC5"/>
    <w:rsid w:val="009C3084"/>
    <w:rsid w:val="00A93271"/>
    <w:rsid w:val="00AE1857"/>
    <w:rsid w:val="00B36EA0"/>
    <w:rsid w:val="00B50AA1"/>
    <w:rsid w:val="00B62532"/>
    <w:rsid w:val="00C542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1FF7B"/>
  <w15:docId w15:val="{6BCB4E17-BDBA-4536-A9C0-26DCE9E8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 w:eastAsia="it-IT"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pBdr>
        <w:top w:val="nil"/>
        <w:left w:val="nil"/>
        <w:bottom w:val="nil"/>
        <w:right w:val="nil"/>
        <w:between w:val="nil"/>
      </w:pBdr>
      <w:spacing w:before="240" w:after="120" w:line="240" w:lineRule="auto"/>
      <w:outlineLvl w:val="0"/>
    </w:pPr>
    <w:rPr>
      <w:b/>
      <w:color w:val="000000"/>
      <w:sz w:val="20"/>
      <w:szCs w:val="20"/>
    </w:rPr>
  </w:style>
  <w:style w:type="paragraph" w:styleId="Titolo2">
    <w:name w:val="heading 2"/>
    <w:basedOn w:val="Normale"/>
    <w:next w:val="Normale"/>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Titolo3">
    <w:name w:val="heading 3"/>
    <w:basedOn w:val="Normale"/>
    <w:next w:val="Normale"/>
    <w:uiPriority w:val="9"/>
    <w:semiHidden/>
    <w:unhideWhenUsed/>
    <w:qFormat/>
    <w:pPr>
      <w:keepNext/>
      <w:keepLines/>
      <w:spacing w:before="200"/>
      <w:outlineLvl w:val="2"/>
    </w:pPr>
    <w:rPr>
      <w:rFonts w:ascii="Cambria" w:eastAsia="Cambria" w:hAnsi="Cambria" w:cs="Cambria"/>
      <w:b/>
      <w:color w:val="4F81BD"/>
    </w:rPr>
  </w:style>
  <w:style w:type="paragraph" w:styleId="Titolo4">
    <w:name w:val="heading 4"/>
    <w:basedOn w:val="Normale"/>
    <w:next w:val="Normale"/>
    <w:uiPriority w:val="9"/>
    <w:semiHidden/>
    <w:unhideWhenUsed/>
    <w:qFormat/>
    <w:pPr>
      <w:keepNext/>
      <w:keepLines/>
      <w:spacing w:before="200"/>
      <w:outlineLvl w:val="3"/>
    </w:pPr>
    <w:rPr>
      <w:rFonts w:ascii="Cambria" w:eastAsia="Cambria" w:hAnsi="Cambria" w:cs="Cambria"/>
      <w:b/>
      <w:i/>
      <w:color w:val="4F81BD"/>
    </w:rPr>
  </w:style>
  <w:style w:type="paragraph" w:styleId="Titolo5">
    <w:name w:val="heading 5"/>
    <w:basedOn w:val="Normale"/>
    <w:next w:val="Normale"/>
    <w:uiPriority w:val="9"/>
    <w:semiHidden/>
    <w:unhideWhenUsed/>
    <w:qFormat/>
    <w:pPr>
      <w:keepNext/>
      <w:keepLines/>
      <w:spacing w:before="200"/>
      <w:outlineLvl w:val="4"/>
    </w:pPr>
    <w:rPr>
      <w:rFonts w:ascii="Cambria" w:eastAsia="Cambria" w:hAnsi="Cambria" w:cs="Cambria"/>
      <w:color w:val="243F61"/>
    </w:rPr>
  </w:style>
  <w:style w:type="paragraph" w:styleId="Titolo6">
    <w:name w:val="heading 6"/>
    <w:basedOn w:val="Normale"/>
    <w:next w:val="Normale"/>
    <w:uiPriority w:val="9"/>
    <w:semiHidden/>
    <w:unhideWhenUsed/>
    <w:qFormat/>
    <w:pPr>
      <w:keepNext/>
      <w:keepLines/>
      <w:spacing w:before="200"/>
      <w:outlineLvl w:val="5"/>
    </w:pPr>
    <w:rPr>
      <w:rFonts w:ascii="Cambria" w:eastAsia="Cambria" w:hAnsi="Cambria" w:cs="Cambria"/>
      <w:i/>
      <w:color w:val="243F61"/>
    </w:rPr>
  </w:style>
  <w:style w:type="paragraph" w:styleId="Titolo7">
    <w:name w:val="heading 7"/>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lang w:val="en-GB"/>
    </w:rPr>
  </w:style>
  <w:style w:type="table" w:styleId="Tabellasemplice1">
    <w:name w:val="Table Simple 1"/>
    <w:basedOn w:val="Tabellanormale"/>
    <w:semiHidden/>
    <w:rsid w:val="000E414A"/>
    <w:pPr>
      <w:numPr>
        <w:ilvl w:val="3"/>
        <w:numId w:val="1"/>
      </w:numPr>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lang w:val="en-GB"/>
    </w:rPr>
  </w:style>
  <w:style w:type="paragraph" w:customStyle="1" w:styleId="CETCaption">
    <w:name w:val="CET Caption"/>
    <w:link w:val="CETCaptionCarattere"/>
    <w:qFormat/>
    <w:rsid w:val="00F7534E"/>
    <w:pPr>
      <w:spacing w:before="240" w:after="240"/>
    </w:pPr>
    <w:rPr>
      <w:rFonts w:eastAsia="Times New Roman" w:cs="Times New Roman"/>
      <w:i/>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uiPriority w:val="35"/>
    <w:unhideWhenUsed/>
    <w:qFormat/>
    <w:rsid w:val="0003148D"/>
    <w:pPr>
      <w:spacing w:line="240" w:lineRule="auto"/>
    </w:pPr>
    <w:rPr>
      <w:b/>
      <w:bCs/>
      <w:color w:val="4F81BD" w:themeColor="accent1"/>
    </w:rPr>
  </w:style>
  <w:style w:type="paragraph" w:styleId="Elenco">
    <w:name w:val="List"/>
    <w:uiPriority w:val="99"/>
    <w:semiHidden/>
    <w:unhideWhenUsed/>
    <w:rsid w:val="0003148D"/>
    <w:pPr>
      <w:ind w:left="283" w:hanging="283"/>
      <w:contextualSpacing/>
    </w:pPr>
  </w:style>
  <w:style w:type="paragraph" w:styleId="Elenco2">
    <w:name w:val="List 2"/>
    <w:uiPriority w:val="99"/>
    <w:semiHidden/>
    <w:unhideWhenUsed/>
    <w:rsid w:val="0003148D"/>
    <w:pPr>
      <w:ind w:left="566" w:hanging="283"/>
      <w:contextualSpacing/>
    </w:pPr>
  </w:style>
  <w:style w:type="paragraph" w:styleId="Elenco3">
    <w:name w:val="List 3"/>
    <w:uiPriority w:val="99"/>
    <w:semiHidden/>
    <w:unhideWhenUsed/>
    <w:rsid w:val="0003148D"/>
    <w:pPr>
      <w:ind w:left="849" w:hanging="283"/>
      <w:contextualSpacing/>
    </w:pPr>
  </w:style>
  <w:style w:type="paragraph" w:styleId="Elenco4">
    <w:name w:val="List 4"/>
    <w:uiPriority w:val="99"/>
    <w:semiHidden/>
    <w:unhideWhenUsed/>
    <w:rsid w:val="0003148D"/>
    <w:pPr>
      <w:ind w:left="1132" w:hanging="283"/>
      <w:contextualSpacing/>
    </w:pPr>
  </w:style>
  <w:style w:type="paragraph" w:styleId="Elenco5">
    <w:name w:val="List 5"/>
    <w:uiPriority w:val="99"/>
    <w:semiHidden/>
    <w:unhideWhenUsed/>
    <w:rsid w:val="0003148D"/>
    <w:pPr>
      <w:ind w:left="1415" w:hanging="283"/>
      <w:contextualSpacing/>
    </w:pPr>
  </w:style>
  <w:style w:type="paragraph" w:styleId="Elencocontinua">
    <w:name w:val="List Continue"/>
    <w:uiPriority w:val="99"/>
    <w:semiHidden/>
    <w:unhideWhenUsed/>
    <w:rsid w:val="0003148D"/>
    <w:pPr>
      <w:spacing w:after="120"/>
      <w:ind w:left="283"/>
      <w:contextualSpacing/>
    </w:pPr>
  </w:style>
  <w:style w:type="paragraph" w:styleId="Elencocontinua2">
    <w:name w:val="List Continue 2"/>
    <w:uiPriority w:val="99"/>
    <w:semiHidden/>
    <w:unhideWhenUsed/>
    <w:rsid w:val="0003148D"/>
    <w:pPr>
      <w:spacing w:after="120"/>
      <w:ind w:left="566"/>
      <w:contextualSpacing/>
    </w:pPr>
  </w:style>
  <w:style w:type="paragraph" w:styleId="Elencocontinua3">
    <w:name w:val="List Continue 3"/>
    <w:uiPriority w:val="99"/>
    <w:semiHidden/>
    <w:unhideWhenUsed/>
    <w:rsid w:val="0003148D"/>
    <w:pPr>
      <w:spacing w:after="120"/>
      <w:ind w:left="849"/>
      <w:contextualSpacing/>
    </w:pPr>
  </w:style>
  <w:style w:type="paragraph" w:styleId="Elencocontinua4">
    <w:name w:val="List Continue 4"/>
    <w:uiPriority w:val="99"/>
    <w:semiHidden/>
    <w:unhideWhenUsed/>
    <w:rsid w:val="0003148D"/>
    <w:pPr>
      <w:spacing w:after="120"/>
      <w:ind w:left="1132"/>
      <w:contextualSpacing/>
    </w:pPr>
  </w:style>
  <w:style w:type="paragraph" w:styleId="Elencocontinua5">
    <w:name w:val="List Continue 5"/>
    <w:uiPriority w:val="99"/>
    <w:semiHidden/>
    <w:unhideWhenUsed/>
    <w:rsid w:val="0003148D"/>
    <w:pPr>
      <w:spacing w:after="120"/>
      <w:ind w:left="1415"/>
      <w:contextualSpacing/>
    </w:pPr>
  </w:style>
  <w:style w:type="paragraph" w:styleId="Firma">
    <w:name w:val="Signatur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autoRedefine/>
    <w:uiPriority w:val="99"/>
    <w:semiHidden/>
    <w:unhideWhenUsed/>
    <w:rsid w:val="0003148D"/>
    <w:pPr>
      <w:spacing w:line="240" w:lineRule="auto"/>
      <w:ind w:left="220" w:hanging="220"/>
    </w:pPr>
  </w:style>
  <w:style w:type="paragraph" w:styleId="Indice2">
    <w:name w:val="index 2"/>
    <w:autoRedefine/>
    <w:uiPriority w:val="99"/>
    <w:semiHidden/>
    <w:unhideWhenUsed/>
    <w:rsid w:val="0003148D"/>
    <w:pPr>
      <w:spacing w:line="240" w:lineRule="auto"/>
      <w:ind w:left="440" w:hanging="220"/>
    </w:pPr>
  </w:style>
  <w:style w:type="paragraph" w:styleId="Indice3">
    <w:name w:val="index 3"/>
    <w:autoRedefine/>
    <w:uiPriority w:val="99"/>
    <w:semiHidden/>
    <w:unhideWhenUsed/>
    <w:rsid w:val="0003148D"/>
    <w:pPr>
      <w:spacing w:line="240" w:lineRule="auto"/>
      <w:ind w:left="660" w:hanging="220"/>
    </w:pPr>
  </w:style>
  <w:style w:type="paragraph" w:styleId="Indice4">
    <w:name w:val="index 4"/>
    <w:autoRedefine/>
    <w:uiPriority w:val="99"/>
    <w:semiHidden/>
    <w:unhideWhenUsed/>
    <w:rsid w:val="0003148D"/>
    <w:pPr>
      <w:spacing w:line="240" w:lineRule="auto"/>
      <w:ind w:left="880" w:hanging="220"/>
    </w:pPr>
  </w:style>
  <w:style w:type="paragraph" w:styleId="Indice5">
    <w:name w:val="index 5"/>
    <w:autoRedefine/>
    <w:uiPriority w:val="99"/>
    <w:semiHidden/>
    <w:unhideWhenUsed/>
    <w:rsid w:val="0003148D"/>
    <w:pPr>
      <w:spacing w:line="240" w:lineRule="auto"/>
      <w:ind w:left="1100" w:hanging="220"/>
    </w:pPr>
  </w:style>
  <w:style w:type="paragraph" w:styleId="Indice6">
    <w:name w:val="index 6"/>
    <w:autoRedefine/>
    <w:uiPriority w:val="99"/>
    <w:semiHidden/>
    <w:unhideWhenUsed/>
    <w:rsid w:val="0003148D"/>
    <w:pPr>
      <w:spacing w:line="240" w:lineRule="auto"/>
      <w:ind w:left="1320" w:hanging="220"/>
    </w:pPr>
  </w:style>
  <w:style w:type="paragraph" w:styleId="Indice7">
    <w:name w:val="index 7"/>
    <w:autoRedefine/>
    <w:uiPriority w:val="99"/>
    <w:semiHidden/>
    <w:unhideWhenUsed/>
    <w:rsid w:val="0003148D"/>
    <w:pPr>
      <w:spacing w:line="240" w:lineRule="auto"/>
      <w:ind w:left="1540" w:hanging="220"/>
    </w:pPr>
  </w:style>
  <w:style w:type="paragraph" w:styleId="Indice8">
    <w:name w:val="index 8"/>
    <w:autoRedefine/>
    <w:uiPriority w:val="99"/>
    <w:semiHidden/>
    <w:unhideWhenUsed/>
    <w:rsid w:val="0003148D"/>
    <w:pPr>
      <w:spacing w:line="240" w:lineRule="auto"/>
      <w:ind w:left="1760" w:hanging="220"/>
    </w:pPr>
  </w:style>
  <w:style w:type="paragraph" w:styleId="Indice9">
    <w:name w:val="index 9"/>
    <w:autoRedefine/>
    <w:uiPriority w:val="99"/>
    <w:semiHidden/>
    <w:unhideWhenUsed/>
    <w:rsid w:val="0003148D"/>
    <w:pPr>
      <w:spacing w:line="240" w:lineRule="auto"/>
      <w:ind w:left="1980" w:hanging="220"/>
    </w:pPr>
  </w:style>
  <w:style w:type="paragraph" w:styleId="Indicedellefigure">
    <w:name w:val="table of figures"/>
    <w:uiPriority w:val="99"/>
    <w:semiHidden/>
    <w:unhideWhenUsed/>
    <w:rsid w:val="0003148D"/>
  </w:style>
  <w:style w:type="paragraph" w:styleId="Indicefonti">
    <w:name w:val="table of authorities"/>
    <w:uiPriority w:val="99"/>
    <w:semiHidden/>
    <w:unhideWhenUsed/>
    <w:rsid w:val="0003148D"/>
    <w:pPr>
      <w:ind w:left="220" w:hanging="220"/>
    </w:pPr>
  </w:style>
  <w:style w:type="paragraph" w:styleId="Indirizzodestinatario">
    <w:name w:val="envelope address"/>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uiPriority w:val="99"/>
    <w:semiHidden/>
    <w:unhideWhenUsed/>
    <w:rsid w:val="0003148D"/>
    <w:rPr>
      <w:sz w:val="24"/>
      <w:szCs w:val="24"/>
    </w:rPr>
  </w:style>
  <w:style w:type="paragraph" w:styleId="Numeroelenco">
    <w:name w:val="List Number"/>
    <w:uiPriority w:val="99"/>
    <w:semiHidden/>
    <w:unhideWhenUsed/>
    <w:rsid w:val="0003148D"/>
    <w:pPr>
      <w:numPr>
        <w:numId w:val="2"/>
      </w:numPr>
      <w:contextualSpacing/>
    </w:pPr>
  </w:style>
  <w:style w:type="paragraph" w:styleId="Numeroelenco2">
    <w:name w:val="List Number 2"/>
    <w:uiPriority w:val="99"/>
    <w:semiHidden/>
    <w:unhideWhenUsed/>
    <w:rsid w:val="0003148D"/>
    <w:pPr>
      <w:tabs>
        <w:tab w:val="num" w:pos="720"/>
      </w:tabs>
      <w:ind w:left="720" w:hanging="720"/>
      <w:contextualSpacing/>
    </w:pPr>
  </w:style>
  <w:style w:type="paragraph" w:styleId="Numeroelenco3">
    <w:name w:val="List Number 3"/>
    <w:uiPriority w:val="99"/>
    <w:semiHidden/>
    <w:unhideWhenUsed/>
    <w:rsid w:val="0003148D"/>
    <w:pPr>
      <w:tabs>
        <w:tab w:val="num" w:pos="720"/>
      </w:tabs>
      <w:ind w:left="720" w:hanging="720"/>
      <w:contextualSpacing/>
    </w:pPr>
  </w:style>
  <w:style w:type="paragraph" w:styleId="Numeroelenco4">
    <w:name w:val="List Number 4"/>
    <w:uiPriority w:val="99"/>
    <w:semiHidden/>
    <w:unhideWhenUsed/>
    <w:rsid w:val="0003148D"/>
    <w:pPr>
      <w:tabs>
        <w:tab w:val="num" w:pos="720"/>
      </w:tabs>
      <w:ind w:left="720" w:hanging="720"/>
      <w:contextualSpacing/>
    </w:pPr>
  </w:style>
  <w:style w:type="paragraph" w:styleId="Numeroelenco5">
    <w:name w:val="List Number 5"/>
    <w:uiPriority w:val="99"/>
    <w:semiHidden/>
    <w:unhideWhenUsed/>
    <w:rsid w:val="0003148D"/>
    <w:pPr>
      <w:tabs>
        <w:tab w:val="num" w:pos="720"/>
      </w:tabs>
      <w:ind w:left="720" w:hanging="720"/>
      <w:contextualSpacing/>
    </w:pPr>
  </w:style>
  <w:style w:type="paragraph" w:styleId="PreformattatoHTML">
    <w:name w:val="HTML Preformatted"/>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uiPriority w:val="99"/>
    <w:semiHidden/>
    <w:unhideWhenUsed/>
    <w:rsid w:val="0003148D"/>
    <w:pPr>
      <w:tabs>
        <w:tab w:val="num" w:pos="720"/>
      </w:tabs>
      <w:ind w:left="720" w:hanging="720"/>
      <w:contextualSpacing/>
    </w:pPr>
  </w:style>
  <w:style w:type="paragraph" w:styleId="Puntoelenco2">
    <w:name w:val="List Bullet 2"/>
    <w:uiPriority w:val="99"/>
    <w:semiHidden/>
    <w:unhideWhenUsed/>
    <w:rsid w:val="0003148D"/>
    <w:pPr>
      <w:tabs>
        <w:tab w:val="num" w:pos="720"/>
      </w:tabs>
      <w:ind w:left="720" w:hanging="720"/>
      <w:contextualSpacing/>
    </w:pPr>
  </w:style>
  <w:style w:type="paragraph" w:styleId="Puntoelenco3">
    <w:name w:val="List Bullet 3"/>
    <w:uiPriority w:val="99"/>
    <w:semiHidden/>
    <w:unhideWhenUsed/>
    <w:rsid w:val="0003148D"/>
    <w:pPr>
      <w:tabs>
        <w:tab w:val="num" w:pos="720"/>
      </w:tabs>
      <w:ind w:left="720" w:hanging="720"/>
      <w:contextualSpacing/>
    </w:pPr>
  </w:style>
  <w:style w:type="paragraph" w:styleId="Puntoelenco4">
    <w:name w:val="List Bullet 4"/>
    <w:uiPriority w:val="99"/>
    <w:semiHidden/>
    <w:unhideWhenUsed/>
    <w:rsid w:val="0003148D"/>
    <w:pPr>
      <w:tabs>
        <w:tab w:val="num" w:pos="720"/>
      </w:tabs>
      <w:ind w:left="720" w:hanging="720"/>
      <w:contextualSpacing/>
    </w:pPr>
  </w:style>
  <w:style w:type="paragraph" w:styleId="Puntoelenco5">
    <w:name w:val="List Bullet 5"/>
    <w:uiPriority w:val="99"/>
    <w:semiHidden/>
    <w:unhideWhenUsed/>
    <w:rsid w:val="0003148D"/>
    <w:pPr>
      <w:tabs>
        <w:tab w:val="num" w:pos="720"/>
      </w:tabs>
      <w:ind w:left="720" w:hanging="720"/>
      <w:contextualSpacing/>
    </w:pPr>
  </w:style>
  <w:style w:type="paragraph" w:styleId="Rientrocorpodeltesto2">
    <w:name w:val="Body Text Indent 2"/>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uiPriority w:val="99"/>
    <w:semiHidden/>
    <w:unhideWhenUsed/>
    <w:rsid w:val="0003148D"/>
    <w:pPr>
      <w:ind w:left="720"/>
    </w:pPr>
  </w:style>
  <w:style w:type="paragraph" w:styleId="Testocommento">
    <w:name w:val="annotation text"/>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autoRedefine/>
    <w:uiPriority w:val="39"/>
    <w:semiHidden/>
    <w:unhideWhenUsed/>
    <w:rsid w:val="0003148D"/>
    <w:pPr>
      <w:spacing w:after="100"/>
    </w:pPr>
  </w:style>
  <w:style w:type="paragraph" w:styleId="Sommario2">
    <w:name w:val="toc 2"/>
    <w:autoRedefine/>
    <w:uiPriority w:val="39"/>
    <w:semiHidden/>
    <w:unhideWhenUsed/>
    <w:rsid w:val="0003148D"/>
    <w:pPr>
      <w:spacing w:after="100"/>
      <w:ind w:left="220"/>
    </w:pPr>
  </w:style>
  <w:style w:type="paragraph" w:styleId="Sommario3">
    <w:name w:val="toc 3"/>
    <w:autoRedefine/>
    <w:uiPriority w:val="39"/>
    <w:semiHidden/>
    <w:unhideWhenUsed/>
    <w:rsid w:val="0003148D"/>
    <w:pPr>
      <w:spacing w:after="100"/>
      <w:ind w:left="440"/>
    </w:pPr>
  </w:style>
  <w:style w:type="paragraph" w:styleId="Sommario4">
    <w:name w:val="toc 4"/>
    <w:autoRedefine/>
    <w:uiPriority w:val="39"/>
    <w:semiHidden/>
    <w:unhideWhenUsed/>
    <w:rsid w:val="0003148D"/>
    <w:pPr>
      <w:spacing w:after="100"/>
      <w:ind w:left="660"/>
    </w:pPr>
  </w:style>
  <w:style w:type="paragraph" w:styleId="Sommario5">
    <w:name w:val="toc 5"/>
    <w:autoRedefine/>
    <w:uiPriority w:val="39"/>
    <w:semiHidden/>
    <w:unhideWhenUsed/>
    <w:rsid w:val="0003148D"/>
    <w:pPr>
      <w:spacing w:after="100"/>
      <w:ind w:left="880"/>
    </w:pPr>
  </w:style>
  <w:style w:type="paragraph" w:styleId="Sommario6">
    <w:name w:val="toc 6"/>
    <w:autoRedefine/>
    <w:uiPriority w:val="39"/>
    <w:semiHidden/>
    <w:unhideWhenUsed/>
    <w:rsid w:val="0003148D"/>
    <w:pPr>
      <w:spacing w:after="100"/>
      <w:ind w:left="1100"/>
    </w:pPr>
  </w:style>
  <w:style w:type="paragraph" w:styleId="Sommario7">
    <w:name w:val="toc 7"/>
    <w:autoRedefine/>
    <w:uiPriority w:val="39"/>
    <w:semiHidden/>
    <w:unhideWhenUsed/>
    <w:rsid w:val="0003148D"/>
    <w:pPr>
      <w:spacing w:after="100"/>
      <w:ind w:left="1320"/>
    </w:pPr>
  </w:style>
  <w:style w:type="paragraph" w:styleId="Sommario8">
    <w:name w:val="toc 8"/>
    <w:autoRedefine/>
    <w:uiPriority w:val="39"/>
    <w:semiHidden/>
    <w:unhideWhenUsed/>
    <w:rsid w:val="0003148D"/>
    <w:pPr>
      <w:spacing w:after="100"/>
      <w:ind w:left="1540"/>
    </w:pPr>
  </w:style>
  <w:style w:type="paragraph" w:styleId="Sommario9">
    <w:name w:val="toc 9"/>
    <w:autoRedefine/>
    <w:uiPriority w:val="39"/>
    <w:semiHidden/>
    <w:unhideWhenUsed/>
    <w:rsid w:val="0003148D"/>
    <w:pPr>
      <w:spacing w:after="100"/>
      <w:ind w:left="1760"/>
    </w:pPr>
  </w:style>
  <w:style w:type="paragraph" w:styleId="Testodelblocco">
    <w:name w:val="Block Text"/>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next w:val="Indice1"/>
    <w:uiPriority w:val="99"/>
    <w:semiHidden/>
    <w:unhideWhenUsed/>
    <w:rsid w:val="0003148D"/>
    <w:rPr>
      <w:rFonts w:asciiTheme="majorHAnsi" w:eastAsiaTheme="majorEastAsia" w:hAnsiTheme="majorHAnsi" w:cstheme="majorBidi"/>
      <w:b/>
      <w:bCs/>
    </w:rPr>
  </w:style>
  <w:style w:type="paragraph" w:styleId="Titoloindicefonti">
    <w:name w:val="toa heading"/>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uiPriority w:val="39"/>
    <w:semiHidden/>
    <w:unhideWhenUsed/>
    <w:qFormat/>
    <w:rsid w:val="0003148D"/>
  </w:style>
  <w:style w:type="paragraph" w:customStyle="1" w:styleId="CETemail">
    <w:name w:val="CET email"/>
    <w:next w:val="CETBodytext"/>
    <w:rsid w:val="009E788A"/>
    <w:pPr>
      <w:spacing w:after="240"/>
    </w:pPr>
    <w:rPr>
      <w:rFonts w:eastAsia="Times New Roman"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lang w:val="en-GB"/>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lang w:val="en-GB"/>
    </w:rPr>
  </w:style>
  <w:style w:type="paragraph" w:styleId="Intestazione">
    <w:name w:val="header"/>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BD0CA4"/>
    <w:pPr>
      <w:spacing w:line="240" w:lineRule="auto"/>
    </w:pP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ind w:left="340" w:hanging="227"/>
    </w:pPr>
    <w:rPr>
      <w:rFonts w:eastAsia="Times New Roman" w:cs="Times New Roman"/>
      <w:szCs w:val="20"/>
      <w:lang w:val="en-GB"/>
    </w:rPr>
  </w:style>
  <w:style w:type="paragraph" w:customStyle="1" w:styleId="CETReferencetext">
    <w:name w:val="CET Reference text"/>
    <w:qFormat/>
    <w:rsid w:val="00600535"/>
    <w:pPr>
      <w:ind w:left="284" w:hanging="284"/>
    </w:pPr>
    <w:rPr>
      <w:rFonts w:eastAsia="Times New Roman" w:cs="Times New Roman"/>
      <w:szCs w:val="20"/>
      <w:lang w:val="en-GB"/>
    </w:rPr>
  </w:style>
  <w:style w:type="paragraph" w:customStyle="1" w:styleId="CETTabletitle">
    <w:name w:val="CET Table title"/>
    <w:qFormat/>
    <w:rsid w:val="00600535"/>
    <w:pPr>
      <w:keepNext/>
      <w:spacing w:before="240" w:after="80" w:line="240" w:lineRule="exact"/>
    </w:pPr>
    <w:rPr>
      <w:rFonts w:eastAsia="Times New Roman" w:cs="Times New Roman"/>
      <w:i/>
      <w:szCs w:val="20"/>
      <w:lang w:val="en-GB"/>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1E61F5"/>
    <w:rPr>
      <w:color w:val="605E5C"/>
      <w:shd w:val="clear" w:color="auto" w:fill="E1DFDD"/>
    </w:rPr>
  </w:style>
  <w:style w:type="character" w:styleId="Testosegnaposto">
    <w:name w:val="Placeholder Text"/>
    <w:basedOn w:val="Carpredefinitoparagrafo"/>
    <w:uiPriority w:val="99"/>
    <w:semiHidden/>
    <w:rsid w:val="000579F1"/>
    <w:rPr>
      <w:color w:val="666666"/>
    </w:rPr>
  </w:style>
  <w:style w:type="table" w:styleId="Tabellasemplice4">
    <w:name w:val="Plain Table 4"/>
    <w:basedOn w:val="Tabellanormale"/>
    <w:uiPriority w:val="44"/>
    <w:rsid w:val="009331A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1622AC"/>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08" w:type="dxa"/>
        <w:right w:w="108"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tblStylePr w:type="firstRow">
      <w:rPr>
        <w:rFonts w:ascii="Cambria" w:eastAsia="Cambria" w:hAnsi="Cambria" w:cs="Cambria"/>
        <w:i/>
        <w:sz w:val="26"/>
        <w:szCs w:val="26"/>
      </w:rPr>
      <w:tblPr/>
      <w:tcPr>
        <w:tcBorders>
          <w:bottom w:val="single" w:sz="4" w:space="0" w:color="7F7F7F"/>
        </w:tcBorders>
        <w:shd w:val="clear" w:color="auto" w:fill="FFFFFF"/>
      </w:tcPr>
    </w:tblStylePr>
    <w:tblStylePr w:type="lastRow">
      <w:rPr>
        <w:rFonts w:ascii="Cambria" w:eastAsia="Cambria" w:hAnsi="Cambria" w:cs="Cambria"/>
        <w:i/>
        <w:sz w:val="26"/>
        <w:szCs w:val="26"/>
      </w:rPr>
      <w:tblPr/>
      <w:tcPr>
        <w:tcBorders>
          <w:top w:val="single" w:sz="4" w:space="0" w:color="7F7F7F"/>
        </w:tcBorders>
        <w:shd w:val="clear" w:color="auto" w:fill="FFFFFF"/>
      </w:tcPr>
    </w:tblStylePr>
    <w:tblStylePr w:type="firstCol">
      <w:pPr>
        <w:jc w:val="right"/>
      </w:pPr>
      <w:rPr>
        <w:rFonts w:ascii="Cambria" w:eastAsia="Cambria" w:hAnsi="Cambria" w:cs="Cambria"/>
        <w:i/>
        <w:sz w:val="26"/>
        <w:szCs w:val="26"/>
      </w:rPr>
      <w:tblPr/>
      <w:tcPr>
        <w:tcBorders>
          <w:right w:val="single" w:sz="4" w:space="0" w:color="7F7F7F"/>
        </w:tcBorders>
        <w:shd w:val="clear" w:color="auto" w:fill="FFFFFF"/>
      </w:tcPr>
    </w:tblStylePr>
    <w:tblStylePr w:type="lastCol">
      <w:rPr>
        <w:rFonts w:ascii="Cambria" w:eastAsia="Cambria" w:hAnsi="Cambria" w:cs="Cambria"/>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
    <w:pPr>
      <w:spacing w:line="240" w:lineRule="auto"/>
    </w:pPr>
    <w:tblPr>
      <w:tblStyleRowBandSize w:val="1"/>
      <w:tblStyleColBandSize w:val="1"/>
      <w:tblCellMar>
        <w:left w:w="108" w:type="dxa"/>
        <w:right w:w="108" w:type="dxa"/>
      </w:tblCellMar>
    </w:tblPr>
    <w:tblStylePr w:type="firstRow">
      <w:rPr>
        <w:rFonts w:ascii="Cambria" w:eastAsia="Cambria" w:hAnsi="Cambria" w:cs="Cambria"/>
        <w:i/>
        <w:sz w:val="26"/>
        <w:szCs w:val="26"/>
      </w:rPr>
      <w:tblPr/>
      <w:tcPr>
        <w:tcBorders>
          <w:bottom w:val="single" w:sz="4" w:space="0" w:color="7F7F7F"/>
        </w:tcBorders>
        <w:shd w:val="clear" w:color="auto" w:fill="FFFFFF"/>
      </w:tcPr>
    </w:tblStylePr>
    <w:tblStylePr w:type="lastRow">
      <w:rPr>
        <w:rFonts w:ascii="Cambria" w:eastAsia="Cambria" w:hAnsi="Cambria" w:cs="Cambria"/>
        <w:i/>
        <w:sz w:val="26"/>
        <w:szCs w:val="26"/>
      </w:rPr>
      <w:tblPr/>
      <w:tcPr>
        <w:tcBorders>
          <w:top w:val="single" w:sz="4" w:space="0" w:color="7F7F7F"/>
        </w:tcBorders>
        <w:shd w:val="clear" w:color="auto" w:fill="FFFFFF"/>
      </w:tcPr>
    </w:tblStylePr>
    <w:tblStylePr w:type="firstCol">
      <w:pPr>
        <w:jc w:val="right"/>
      </w:pPr>
      <w:rPr>
        <w:rFonts w:ascii="Cambria" w:eastAsia="Cambria" w:hAnsi="Cambria" w:cs="Cambria"/>
        <w:i/>
        <w:sz w:val="26"/>
        <w:szCs w:val="26"/>
      </w:rPr>
      <w:tblPr/>
      <w:tcPr>
        <w:tcBorders>
          <w:right w:val="single" w:sz="4" w:space="0" w:color="7F7F7F"/>
        </w:tcBorders>
        <w:shd w:val="clear" w:color="auto" w:fill="FFFFFF"/>
      </w:tcPr>
    </w:tblStylePr>
    <w:tblStylePr w:type="lastCol">
      <w:rPr>
        <w:rFonts w:ascii="Cambria" w:eastAsia="Cambria" w:hAnsi="Cambria" w:cs="Cambria"/>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mailto:f.petrosino@dimes.unical.it" TargetMode="Externa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AfABCNfjfOkQgplbVXVic0jJAQ==">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2600FC-1843-49D8-BFAD-7EB83F52B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1660</TotalTime>
  <Pages>6</Pages>
  <Words>3758</Words>
  <Characters>21423</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Francesco Petrosino</cp:lastModifiedBy>
  <cp:revision>11</cp:revision>
  <dcterms:created xsi:type="dcterms:W3CDTF">2025-01-30T09:31:00Z</dcterms:created>
  <dcterms:modified xsi:type="dcterms:W3CDTF">2025-07-07T10:55:00Z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